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vertAnchor="page" w:horzAnchor="page" w:tblpX="1135" w:tblpY="285"/>
        <w:tblOverlap w:val="never"/>
        <w:tblW w:w="9639" w:type="dxa"/>
        <w:tblBorders>
          <w:bottom w:val="single" w:sz="12" w:space="0" w:color="auto"/>
          <w:insideH w:val="single" w:sz="4" w:space="0" w:color="auto"/>
        </w:tblBorders>
        <w:tblLayout w:type="fixed"/>
        <w:tblCellMar>
          <w:left w:w="0" w:type="dxa"/>
          <w:right w:w="0" w:type="dxa"/>
        </w:tblCellMar>
        <w:tblLook w:val="01E0" w:firstRow="1" w:lastRow="1" w:firstColumn="1" w:lastColumn="1" w:noHBand="0" w:noVBand="0"/>
      </w:tblPr>
      <w:tblGrid>
        <w:gridCol w:w="1242"/>
        <w:gridCol w:w="2552"/>
        <w:gridCol w:w="717"/>
        <w:gridCol w:w="2293"/>
        <w:gridCol w:w="2835"/>
      </w:tblGrid>
      <w:tr w:rsidR="00756BC7" w:rsidRPr="00D652D5" w14:paraId="6454CE0B" w14:textId="77777777" w:rsidTr="00BC36B3">
        <w:trPr>
          <w:cantSplit/>
          <w:trHeight w:hRule="exact" w:val="1134"/>
        </w:trPr>
        <w:tc>
          <w:tcPr>
            <w:tcW w:w="1242" w:type="dxa"/>
            <w:vAlign w:val="bottom"/>
          </w:tcPr>
          <w:p w14:paraId="043EA011" w14:textId="77777777" w:rsidR="00756BC7" w:rsidRPr="00D652D5" w:rsidRDefault="00F03B0A" w:rsidP="00E42813">
            <w:r w:rsidRPr="00D652D5">
              <w:rPr>
                <w:noProof/>
                <w:lang w:eastAsia="en-US"/>
              </w:rPr>
              <w:drawing>
                <wp:inline distT="0" distB="0" distL="0" distR="0" wp14:anchorId="4357B844" wp14:editId="1744D8A8">
                  <wp:extent cx="657225" cy="561975"/>
                  <wp:effectExtent l="0" t="0" r="0" b="0"/>
                  <wp:docPr id="1" name="Picture 1" descr="Description: Description: Description: 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_un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7225" cy="561975"/>
                          </a:xfrm>
                          <a:prstGeom prst="rect">
                            <a:avLst/>
                          </a:prstGeom>
                          <a:noFill/>
                          <a:ln>
                            <a:noFill/>
                          </a:ln>
                        </pic:spPr>
                      </pic:pic>
                    </a:graphicData>
                  </a:graphic>
                </wp:inline>
              </w:drawing>
            </w:r>
          </w:p>
        </w:tc>
        <w:tc>
          <w:tcPr>
            <w:tcW w:w="2552" w:type="dxa"/>
            <w:vAlign w:val="bottom"/>
          </w:tcPr>
          <w:p w14:paraId="718F5097" w14:textId="77777777" w:rsidR="00756BC7" w:rsidRPr="00D652D5" w:rsidRDefault="00756BC7" w:rsidP="00E42813">
            <w:pPr>
              <w:ind w:left="113"/>
              <w:rPr>
                <w:sz w:val="28"/>
                <w:szCs w:val="28"/>
              </w:rPr>
            </w:pPr>
            <w:r w:rsidRPr="00D652D5">
              <w:rPr>
                <w:sz w:val="28"/>
                <w:szCs w:val="28"/>
              </w:rPr>
              <w:t>United Nations</w:t>
            </w:r>
          </w:p>
        </w:tc>
        <w:tc>
          <w:tcPr>
            <w:tcW w:w="5845" w:type="dxa"/>
            <w:gridSpan w:val="3"/>
            <w:vAlign w:val="bottom"/>
          </w:tcPr>
          <w:p w14:paraId="22139556" w14:textId="69D8281F" w:rsidR="00756BC7" w:rsidRPr="00EA4A64" w:rsidRDefault="00EA4A64" w:rsidP="00EA4A64">
            <w:pPr>
              <w:jc w:val="right"/>
            </w:pPr>
            <w:r w:rsidRPr="00EA4A64">
              <w:rPr>
                <w:sz w:val="40"/>
              </w:rPr>
              <w:t>FCCC</w:t>
            </w:r>
            <w:r>
              <w:t>/KP/CMP/2019/8/Add.1</w:t>
            </w:r>
          </w:p>
        </w:tc>
      </w:tr>
      <w:tr w:rsidR="00756BC7" w:rsidRPr="00D652D5" w14:paraId="5D554F44" w14:textId="77777777" w:rsidTr="00BC36B3">
        <w:trPr>
          <w:cantSplit/>
          <w:trHeight w:hRule="exact" w:val="2552"/>
        </w:trPr>
        <w:tc>
          <w:tcPr>
            <w:tcW w:w="4511" w:type="dxa"/>
            <w:gridSpan w:val="3"/>
          </w:tcPr>
          <w:p w14:paraId="5ED9EE9E" w14:textId="784C2D46" w:rsidR="00756BC7" w:rsidRPr="00D652D5" w:rsidRDefault="00F03B0A" w:rsidP="00BB6C8A">
            <w:r w:rsidRPr="00D652D5">
              <w:rPr>
                <w:noProof/>
                <w:lang w:eastAsia="en-US"/>
              </w:rPr>
              <w:drawing>
                <wp:anchor distT="0" distB="0" distL="114300" distR="114300" simplePos="0" relativeHeight="251658240" behindDoc="1" locked="0" layoutInCell="1" allowOverlap="1" wp14:anchorId="4738513D" wp14:editId="68FCCA32">
                  <wp:simplePos x="0" y="0"/>
                  <wp:positionH relativeFrom="column">
                    <wp:posOffset>3479</wp:posOffset>
                  </wp:positionH>
                  <wp:positionV relativeFrom="paragraph">
                    <wp:posOffset>-331</wp:posOffset>
                  </wp:positionV>
                  <wp:extent cx="2400300" cy="5619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00300" cy="561975"/>
                          </a:xfrm>
                          <a:prstGeom prst="rect">
                            <a:avLst/>
                          </a:prstGeom>
                          <a:noFill/>
                          <a:ln>
                            <a:noFill/>
                          </a:ln>
                        </pic:spPr>
                      </pic:pic>
                    </a:graphicData>
                  </a:graphic>
                </wp:anchor>
              </w:drawing>
            </w:r>
          </w:p>
        </w:tc>
        <w:tc>
          <w:tcPr>
            <w:tcW w:w="2293" w:type="dxa"/>
          </w:tcPr>
          <w:p w14:paraId="69A407E0" w14:textId="77777777" w:rsidR="00756BC7" w:rsidRPr="00D652D5" w:rsidRDefault="00756BC7" w:rsidP="00E42813"/>
        </w:tc>
        <w:tc>
          <w:tcPr>
            <w:tcW w:w="2835" w:type="dxa"/>
          </w:tcPr>
          <w:p w14:paraId="674874FC" w14:textId="77777777" w:rsidR="00A475D5" w:rsidRDefault="00EA4A64" w:rsidP="00EA4A64">
            <w:pPr>
              <w:spacing w:before="240" w:line="240" w:lineRule="exact"/>
              <w:ind w:left="143"/>
            </w:pPr>
            <w:r>
              <w:t>Distr.: General</w:t>
            </w:r>
          </w:p>
          <w:p w14:paraId="3FD18690" w14:textId="5436E2DB" w:rsidR="00EA4A64" w:rsidRDefault="00AE0D84" w:rsidP="00EA4A64">
            <w:pPr>
              <w:spacing w:line="240" w:lineRule="exact"/>
              <w:ind w:left="143"/>
            </w:pPr>
            <w:r>
              <w:t>1</w:t>
            </w:r>
            <w:r w:rsidR="00CF37D8">
              <w:t>6</w:t>
            </w:r>
            <w:r w:rsidR="00EA4A64">
              <w:t xml:space="preserve"> March 2020</w:t>
            </w:r>
          </w:p>
          <w:p w14:paraId="55E35229" w14:textId="77777777" w:rsidR="00EA4A64" w:rsidRDefault="00EA4A64" w:rsidP="00EA4A64">
            <w:pPr>
              <w:spacing w:line="240" w:lineRule="exact"/>
              <w:ind w:left="143"/>
            </w:pPr>
          </w:p>
          <w:p w14:paraId="05710EE6" w14:textId="0CD3DC71" w:rsidR="00EA4A64" w:rsidRPr="00D652D5" w:rsidRDefault="00EA4A64" w:rsidP="00EA4A64">
            <w:pPr>
              <w:spacing w:line="240" w:lineRule="exact"/>
              <w:ind w:left="143"/>
            </w:pPr>
            <w:r>
              <w:t>Original: English</w:t>
            </w:r>
          </w:p>
        </w:tc>
      </w:tr>
    </w:tbl>
    <w:p w14:paraId="1DE81E07" w14:textId="63AA9C4E" w:rsidR="00BC2618" w:rsidRPr="00D652D5" w:rsidRDefault="00E42813" w:rsidP="00BC2618">
      <w:pPr>
        <w:spacing w:before="120"/>
        <w:rPr>
          <w:b/>
          <w:sz w:val="24"/>
          <w:szCs w:val="24"/>
        </w:rPr>
      </w:pPr>
      <w:r w:rsidRPr="00D652D5">
        <w:rPr>
          <w:b/>
          <w:sz w:val="24"/>
          <w:szCs w:val="24"/>
        </w:rPr>
        <w:t>Conference of the Parties serving as the meeting</w:t>
      </w:r>
      <w:r w:rsidRPr="00D652D5">
        <w:rPr>
          <w:b/>
          <w:sz w:val="24"/>
          <w:szCs w:val="24"/>
        </w:rPr>
        <w:br/>
        <w:t>of the Parties to the Kyoto Protocol</w:t>
      </w:r>
    </w:p>
    <w:p w14:paraId="55D597E9" w14:textId="00964B85" w:rsidR="001C50AD" w:rsidRPr="00D652D5" w:rsidRDefault="001C50AD" w:rsidP="001C50AD">
      <w:pPr>
        <w:pStyle w:val="HChG"/>
      </w:pPr>
      <w:r w:rsidRPr="00D652D5">
        <w:tab/>
      </w:r>
      <w:r w:rsidRPr="00D652D5">
        <w:tab/>
      </w:r>
      <w:r w:rsidR="00E42813" w:rsidRPr="00D652D5">
        <w:t>Report of the Conference of the Parties serving as the meeting of the Parties to the Kyoto Protocol on it</w:t>
      </w:r>
      <w:r w:rsidR="009E38C9" w:rsidRPr="00D652D5">
        <w:t>s</w:t>
      </w:r>
      <w:r w:rsidR="00E42813" w:rsidRPr="00D652D5">
        <w:t xml:space="preserve"> fifteenth session, held in </w:t>
      </w:r>
      <w:r w:rsidR="00BD4CC6" w:rsidRPr="00D652D5">
        <w:t>Madrid</w:t>
      </w:r>
      <w:r w:rsidR="00E42813" w:rsidRPr="00D652D5">
        <w:t xml:space="preserve"> from 2 to 1</w:t>
      </w:r>
      <w:r w:rsidR="00BD4CC6" w:rsidRPr="00D652D5">
        <w:t>5</w:t>
      </w:r>
      <w:r w:rsidR="00E42813" w:rsidRPr="00D652D5">
        <w:t xml:space="preserve"> December 2019</w:t>
      </w:r>
    </w:p>
    <w:p w14:paraId="1A9BC97D" w14:textId="1D93308B" w:rsidR="00E42813" w:rsidRPr="00D652D5" w:rsidRDefault="00E42813" w:rsidP="00E42813">
      <w:pPr>
        <w:pStyle w:val="H1G"/>
      </w:pPr>
      <w:r w:rsidRPr="00D652D5">
        <w:tab/>
        <w:t>Addendum</w:t>
      </w:r>
    </w:p>
    <w:p w14:paraId="32B9F726" w14:textId="58BD3CEF" w:rsidR="00E42813" w:rsidRPr="00D652D5" w:rsidRDefault="00E42813" w:rsidP="009C7ABA">
      <w:pPr>
        <w:pStyle w:val="H1G"/>
      </w:pPr>
      <w:r w:rsidRPr="00D652D5">
        <w:tab/>
        <w:t>Part two: Action taken by the Conference of the Parties serving as the meeting of the Parties to the Kyoto Protocol at its fifteenth session</w:t>
      </w:r>
    </w:p>
    <w:p w14:paraId="4C878410" w14:textId="3F832632" w:rsidR="00C722E5" w:rsidRPr="00D652D5" w:rsidRDefault="00E42813" w:rsidP="00E42813">
      <w:pPr>
        <w:spacing w:after="120"/>
        <w:rPr>
          <w:sz w:val="28"/>
        </w:rPr>
      </w:pPr>
      <w:r w:rsidRPr="00D652D5">
        <w:rPr>
          <w:sz w:val="28"/>
        </w:rPr>
        <w:t>Contents</w:t>
      </w:r>
    </w:p>
    <w:p w14:paraId="156EFCFA" w14:textId="7BFE7B9D" w:rsidR="00E42813" w:rsidRPr="00D652D5" w:rsidRDefault="00E42813" w:rsidP="00E42813">
      <w:pPr>
        <w:pStyle w:val="HChG"/>
      </w:pPr>
      <w:r w:rsidRPr="00D652D5">
        <w:tab/>
      </w:r>
      <w:r w:rsidRPr="00D652D5">
        <w:tab/>
        <w:t>Decisions adopted by the Conference of the Parties serving as the meeting of the Parties to the Kyoto Protocol</w:t>
      </w:r>
    </w:p>
    <w:p w14:paraId="19E7E218" w14:textId="4FB25F69" w:rsidR="009C7ABA" w:rsidRDefault="009C7ABA" w:rsidP="009C7ABA">
      <w:pPr>
        <w:tabs>
          <w:tab w:val="left" w:pos="1134"/>
          <w:tab w:val="right" w:pos="8929"/>
          <w:tab w:val="right" w:pos="9638"/>
        </w:tabs>
        <w:spacing w:after="120"/>
        <w:ind w:left="284"/>
        <w:rPr>
          <w:i/>
          <w:sz w:val="18"/>
        </w:rPr>
      </w:pPr>
      <w:r>
        <w:rPr>
          <w:i/>
          <w:sz w:val="18"/>
        </w:rPr>
        <w:tab/>
        <w:t>Decision</w:t>
      </w:r>
      <w:r>
        <w:rPr>
          <w:i/>
          <w:sz w:val="18"/>
        </w:rPr>
        <w:tab/>
        <w:t>Page</w:t>
      </w:r>
    </w:p>
    <w:p w14:paraId="6FD97F85" w14:textId="04DB5C04" w:rsidR="009C7ABA" w:rsidRDefault="009C7ABA" w:rsidP="00B33EF4">
      <w:pPr>
        <w:pStyle w:val="TOC1"/>
      </w:pPr>
      <w:r>
        <w:tab/>
      </w:r>
      <w:r>
        <w:tab/>
      </w:r>
      <w:hyperlink w:anchor="D1" w:history="1">
        <w:r w:rsidRPr="00FD2AA5">
          <w:rPr>
            <w:rStyle w:val="Hyperlink"/>
          </w:rPr>
          <w:t>1/CMP.15</w:t>
        </w:r>
      </w:hyperlink>
      <w:r>
        <w:tab/>
        <w:t>Chile Madrid Time for Action</w:t>
      </w:r>
      <w:r>
        <w:tab/>
      </w:r>
      <w:r>
        <w:tab/>
      </w:r>
      <w:r w:rsidR="000E2280">
        <w:t>2</w:t>
      </w:r>
    </w:p>
    <w:p w14:paraId="612069BA" w14:textId="65EAFC80" w:rsidR="00E42813" w:rsidRPr="00D652D5" w:rsidRDefault="009C7ABA" w:rsidP="00B33EF4">
      <w:pPr>
        <w:pStyle w:val="TOC1"/>
      </w:pPr>
      <w:r>
        <w:tab/>
      </w:r>
      <w:r>
        <w:tab/>
      </w:r>
      <w:hyperlink w:anchor="D2" w:history="1">
        <w:r w:rsidR="00E42813" w:rsidRPr="00FD2AA5">
          <w:rPr>
            <w:rStyle w:val="Hyperlink"/>
          </w:rPr>
          <w:t>2/CMP.15</w:t>
        </w:r>
      </w:hyperlink>
      <w:r w:rsidR="00E42813" w:rsidRPr="00D652D5">
        <w:tab/>
      </w:r>
      <w:r w:rsidR="0027033D" w:rsidRPr="00D652D5">
        <w:t>Guidance relating to the clean development mechanism</w:t>
      </w:r>
      <w:r>
        <w:tab/>
      </w:r>
      <w:r>
        <w:tab/>
      </w:r>
      <w:r w:rsidR="000E2280">
        <w:t>3</w:t>
      </w:r>
    </w:p>
    <w:p w14:paraId="3A390CEC" w14:textId="7ADA20ED" w:rsidR="00E42813" w:rsidRPr="00D652D5" w:rsidRDefault="009C7ABA" w:rsidP="00B33EF4">
      <w:pPr>
        <w:pStyle w:val="TOC1"/>
      </w:pPr>
      <w:r>
        <w:tab/>
      </w:r>
      <w:r>
        <w:tab/>
      </w:r>
      <w:hyperlink w:anchor="D3" w:history="1">
        <w:r w:rsidR="00E42813" w:rsidRPr="00FD2AA5">
          <w:rPr>
            <w:rStyle w:val="Hyperlink"/>
          </w:rPr>
          <w:t>3/CMP.15</w:t>
        </w:r>
      </w:hyperlink>
      <w:r w:rsidR="00E42813" w:rsidRPr="00D652D5">
        <w:tab/>
      </w:r>
      <w:r w:rsidR="0027033D" w:rsidRPr="00D652D5">
        <w:t>Report of the Adaptation Fund Board</w:t>
      </w:r>
      <w:r>
        <w:tab/>
      </w:r>
      <w:r>
        <w:tab/>
      </w:r>
      <w:r w:rsidR="000E2280">
        <w:t>6</w:t>
      </w:r>
    </w:p>
    <w:p w14:paraId="3DD90D5F" w14:textId="3C6E2B00" w:rsidR="0027033D" w:rsidRPr="00D652D5" w:rsidRDefault="009C7ABA" w:rsidP="00B33EF4">
      <w:pPr>
        <w:pStyle w:val="TOC1"/>
      </w:pPr>
      <w:r>
        <w:tab/>
      </w:r>
      <w:r>
        <w:tab/>
      </w:r>
      <w:hyperlink w:anchor="D4" w:history="1">
        <w:r w:rsidR="00E42813" w:rsidRPr="00FD2AA5">
          <w:rPr>
            <w:rStyle w:val="Hyperlink"/>
          </w:rPr>
          <w:t>4/CMP.15</w:t>
        </w:r>
      </w:hyperlink>
      <w:r w:rsidR="00E42813" w:rsidRPr="00D652D5">
        <w:tab/>
      </w:r>
      <w:r w:rsidR="0027033D" w:rsidRPr="00D652D5">
        <w:t xml:space="preserve">Workplan of the forum on the impact of the implementation of </w:t>
      </w:r>
      <w:r>
        <w:br/>
      </w:r>
      <w:r w:rsidR="0027033D" w:rsidRPr="00D652D5">
        <w:t>response measures and its Katowice Committee of Experts on the</w:t>
      </w:r>
      <w:r>
        <w:br/>
      </w:r>
      <w:r w:rsidR="0027033D" w:rsidRPr="00D652D5">
        <w:t>Impacts of the Implementation of Response Measures</w:t>
      </w:r>
      <w:r>
        <w:tab/>
      </w:r>
      <w:r>
        <w:tab/>
      </w:r>
      <w:r w:rsidR="000E2280">
        <w:t>8</w:t>
      </w:r>
    </w:p>
    <w:p w14:paraId="7CBF47F6" w14:textId="79B15B62" w:rsidR="00E42813" w:rsidRPr="00D652D5" w:rsidRDefault="009C7ABA" w:rsidP="00B33EF4">
      <w:pPr>
        <w:pStyle w:val="TOC1"/>
      </w:pPr>
      <w:r>
        <w:tab/>
      </w:r>
      <w:r>
        <w:tab/>
      </w:r>
      <w:hyperlink w:anchor="D5" w:history="1">
        <w:r w:rsidR="00D95F29" w:rsidRPr="00FD2AA5">
          <w:rPr>
            <w:rStyle w:val="Hyperlink"/>
          </w:rPr>
          <w:t>5</w:t>
        </w:r>
        <w:r w:rsidR="00E42813" w:rsidRPr="00FD2AA5">
          <w:rPr>
            <w:rStyle w:val="Hyperlink"/>
          </w:rPr>
          <w:t>/CMP.15</w:t>
        </w:r>
      </w:hyperlink>
      <w:r w:rsidR="00E42813" w:rsidRPr="00D652D5">
        <w:tab/>
      </w:r>
      <w:r>
        <w:tab/>
      </w:r>
      <w:r w:rsidR="00CF7617" w:rsidRPr="00D652D5">
        <w:t xml:space="preserve">Budget for the international transaction log and a methodology </w:t>
      </w:r>
      <w:r w:rsidR="00CF7617">
        <w:br/>
      </w:r>
      <w:r w:rsidR="00CF7617" w:rsidRPr="00D652D5">
        <w:t>for the collection of its fees for the biennium 2020–2021</w:t>
      </w:r>
      <w:r>
        <w:tab/>
      </w:r>
      <w:r w:rsidR="00CF7617">
        <w:tab/>
      </w:r>
      <w:r w:rsidR="000E2280">
        <w:t>18</w:t>
      </w:r>
    </w:p>
    <w:p w14:paraId="1E928997" w14:textId="707E83C5" w:rsidR="00E42813" w:rsidRPr="00D652D5" w:rsidRDefault="009C7ABA" w:rsidP="00B33EF4">
      <w:pPr>
        <w:pStyle w:val="TOC1"/>
      </w:pPr>
      <w:r>
        <w:tab/>
      </w:r>
      <w:r>
        <w:tab/>
      </w:r>
      <w:hyperlink w:anchor="D6" w:history="1">
        <w:r w:rsidR="00D95F29" w:rsidRPr="00FD2AA5">
          <w:rPr>
            <w:rStyle w:val="Hyperlink"/>
          </w:rPr>
          <w:t>6</w:t>
        </w:r>
        <w:r w:rsidR="00E42813" w:rsidRPr="00FD2AA5">
          <w:rPr>
            <w:rStyle w:val="Hyperlink"/>
          </w:rPr>
          <w:t>/CMP.15</w:t>
        </w:r>
      </w:hyperlink>
      <w:r w:rsidR="00E42813" w:rsidRPr="00D652D5">
        <w:tab/>
      </w:r>
      <w:r w:rsidR="0027033D" w:rsidRPr="00D652D5">
        <w:t>Programme budget for the biennium 2020–2021</w:t>
      </w:r>
      <w:r>
        <w:tab/>
      </w:r>
      <w:r>
        <w:tab/>
      </w:r>
      <w:r w:rsidR="000E2280">
        <w:t>2</w:t>
      </w:r>
      <w:r w:rsidR="00CF7617">
        <w:t>2</w:t>
      </w:r>
    </w:p>
    <w:p w14:paraId="347FE89F" w14:textId="41215AD5" w:rsidR="0027033D" w:rsidRPr="009C7ABA" w:rsidRDefault="009C7ABA" w:rsidP="00B33EF4">
      <w:pPr>
        <w:pStyle w:val="TOC1"/>
      </w:pPr>
      <w:r>
        <w:tab/>
      </w:r>
      <w:r>
        <w:tab/>
      </w:r>
      <w:hyperlink w:anchor="D7" w:history="1">
        <w:r w:rsidR="00D95F29" w:rsidRPr="00FD2AA5">
          <w:rPr>
            <w:rStyle w:val="Hyperlink"/>
          </w:rPr>
          <w:t>7/CMP.15</w:t>
        </w:r>
      </w:hyperlink>
      <w:r w:rsidR="00D95F29" w:rsidRPr="00D652D5">
        <w:tab/>
      </w:r>
      <w:r w:rsidR="00CF7617">
        <w:t>Administrative, financial and institutional matters</w:t>
      </w:r>
      <w:r>
        <w:tab/>
      </w:r>
      <w:r>
        <w:tab/>
      </w:r>
      <w:r w:rsidR="000E2280">
        <w:t>2</w:t>
      </w:r>
      <w:r w:rsidR="00CF7617">
        <w:t>7</w:t>
      </w:r>
    </w:p>
    <w:p w14:paraId="662E5267" w14:textId="3F1F28D4" w:rsidR="00E42813" w:rsidRPr="00D652D5" w:rsidRDefault="00E42813" w:rsidP="00E42813">
      <w:pPr>
        <w:pStyle w:val="SingleTxtG"/>
        <w:rPr>
          <w:i/>
        </w:rPr>
      </w:pPr>
      <w:r w:rsidRPr="00D652D5">
        <w:rPr>
          <w:i/>
        </w:rPr>
        <w:t>Resolution</w:t>
      </w:r>
    </w:p>
    <w:p w14:paraId="7FAC1EAD" w14:textId="084110A2" w:rsidR="0027033D" w:rsidRPr="00D652D5" w:rsidRDefault="009C7ABA" w:rsidP="00B33EF4">
      <w:pPr>
        <w:pStyle w:val="TOC1"/>
        <w:rPr>
          <w:rFonts w:eastAsiaTheme="minorHAnsi"/>
          <w:sz w:val="24"/>
        </w:rPr>
      </w:pPr>
      <w:r>
        <w:tab/>
      </w:r>
      <w:r>
        <w:tab/>
      </w:r>
      <w:hyperlink w:anchor="R1" w:history="1">
        <w:r w:rsidR="00E42813" w:rsidRPr="00FD2AA5">
          <w:rPr>
            <w:rStyle w:val="Hyperlink"/>
          </w:rPr>
          <w:t>1/CMP.15</w:t>
        </w:r>
      </w:hyperlink>
      <w:r w:rsidR="00E42813" w:rsidRPr="00D652D5">
        <w:tab/>
      </w:r>
      <w:r w:rsidR="0027033D" w:rsidRPr="00D652D5">
        <w:t xml:space="preserve">Expression of gratitude to </w:t>
      </w:r>
      <w:r w:rsidR="002E0930" w:rsidRPr="00D652D5">
        <w:t xml:space="preserve">the </w:t>
      </w:r>
      <w:r w:rsidR="0027033D" w:rsidRPr="00D652D5">
        <w:t xml:space="preserve">Government of the Republic of Chile, </w:t>
      </w:r>
      <w:r>
        <w:br/>
      </w:r>
      <w:r w:rsidR="0027033D" w:rsidRPr="00D652D5">
        <w:t xml:space="preserve">the Government of the Kingdom of Spain and the people of the </w:t>
      </w:r>
      <w:r>
        <w:br/>
      </w:r>
      <w:r w:rsidR="0027033D" w:rsidRPr="00D652D5">
        <w:t>city of Madrid</w:t>
      </w:r>
      <w:r>
        <w:tab/>
      </w:r>
      <w:r>
        <w:tab/>
      </w:r>
      <w:r w:rsidR="000E2280">
        <w:t>2</w:t>
      </w:r>
      <w:r w:rsidR="00CF7617">
        <w:t>9</w:t>
      </w:r>
    </w:p>
    <w:p w14:paraId="0B5C0182" w14:textId="77777777" w:rsidR="005E6DF9" w:rsidRPr="00D652D5" w:rsidRDefault="005E6DF9">
      <w:pPr>
        <w:suppressAutoHyphens w:val="0"/>
        <w:spacing w:line="240" w:lineRule="auto"/>
        <w:rPr>
          <w:b/>
          <w:sz w:val="28"/>
        </w:rPr>
      </w:pPr>
      <w:r w:rsidRPr="00D652D5">
        <w:br w:type="page"/>
      </w:r>
    </w:p>
    <w:p w14:paraId="02CC314F" w14:textId="7FD15D0E" w:rsidR="00E42813" w:rsidRPr="00D652D5" w:rsidRDefault="00E42813" w:rsidP="00E42813">
      <w:pPr>
        <w:pStyle w:val="HChG"/>
      </w:pPr>
      <w:r w:rsidRPr="00D652D5">
        <w:lastRenderedPageBreak/>
        <w:tab/>
      </w:r>
      <w:r w:rsidRPr="00D652D5">
        <w:tab/>
      </w:r>
      <w:bookmarkStart w:id="0" w:name="D1"/>
      <w:r w:rsidRPr="00D652D5">
        <w:t>Decision 1/CMP.15</w:t>
      </w:r>
      <w:bookmarkEnd w:id="0"/>
    </w:p>
    <w:p w14:paraId="670FE973" w14:textId="77777777" w:rsidR="002E1AA5" w:rsidRPr="00D652D5" w:rsidRDefault="002E1AA5" w:rsidP="002E1AA5">
      <w:pPr>
        <w:pStyle w:val="HChG"/>
      </w:pPr>
      <w:r w:rsidRPr="00D652D5">
        <w:tab/>
      </w:r>
      <w:r w:rsidRPr="00D652D5">
        <w:tab/>
        <w:t>Chile Madrid Time for Action</w:t>
      </w:r>
    </w:p>
    <w:p w14:paraId="687BBE36" w14:textId="77777777" w:rsidR="002E1AA5" w:rsidRPr="00D652D5" w:rsidRDefault="002E1AA5" w:rsidP="002E1AA5">
      <w:pPr>
        <w:pStyle w:val="SingleTxtG"/>
        <w:ind w:firstLine="567"/>
        <w:rPr>
          <w:i/>
        </w:rPr>
      </w:pPr>
      <w:r w:rsidRPr="00D652D5">
        <w:rPr>
          <w:i/>
        </w:rPr>
        <w:t>The Conference of the Parties serving as the meeting of the Parties to the Kyoto Protocol</w:t>
      </w:r>
      <w:r w:rsidRPr="00D652D5">
        <w:t>,</w:t>
      </w:r>
      <w:r w:rsidRPr="00D652D5">
        <w:rPr>
          <w:i/>
        </w:rPr>
        <w:t xml:space="preserve"> </w:t>
      </w:r>
    </w:p>
    <w:p w14:paraId="6E3D0ADC" w14:textId="37E34122" w:rsidR="002E1AA5" w:rsidRPr="00D652D5" w:rsidRDefault="002E1AA5" w:rsidP="002E1AA5">
      <w:pPr>
        <w:pStyle w:val="SingleTxtG"/>
      </w:pPr>
      <w:r w:rsidRPr="00D652D5">
        <w:tab/>
      </w:r>
      <w:r w:rsidR="00E87B62">
        <w:tab/>
      </w:r>
      <w:r w:rsidRPr="00D652D5">
        <w:rPr>
          <w:i/>
        </w:rPr>
        <w:t xml:space="preserve">Recalling </w:t>
      </w:r>
      <w:r w:rsidRPr="00D652D5">
        <w:t>decision 1/CMP.8,</w:t>
      </w:r>
    </w:p>
    <w:p w14:paraId="36D693AE" w14:textId="6D36F724" w:rsidR="002E1AA5" w:rsidRPr="00D652D5" w:rsidRDefault="006C00BB" w:rsidP="006C00BB">
      <w:pPr>
        <w:pStyle w:val="RegSingleTxtG"/>
        <w:numPr>
          <w:ilvl w:val="0"/>
          <w:numId w:val="0"/>
        </w:numPr>
        <w:ind w:left="1134"/>
      </w:pPr>
      <w:bookmarkStart w:id="1" w:name="_Hlk26427539"/>
      <w:r w:rsidRPr="00D652D5">
        <w:t>1.</w:t>
      </w:r>
      <w:r w:rsidRPr="00D652D5">
        <w:tab/>
      </w:r>
      <w:r w:rsidR="002E1AA5" w:rsidRPr="00D652D5">
        <w:rPr>
          <w:i/>
        </w:rPr>
        <w:t>Welcomes</w:t>
      </w:r>
      <w:r w:rsidR="002E1AA5" w:rsidRPr="00D652D5">
        <w:rPr>
          <w:b/>
        </w:rPr>
        <w:t xml:space="preserve"> </w:t>
      </w:r>
      <w:r w:rsidR="002E1AA5" w:rsidRPr="00D652D5">
        <w:t>decision 1/CP.25;</w:t>
      </w:r>
    </w:p>
    <w:bookmarkEnd w:id="1"/>
    <w:p w14:paraId="60EC5A7E" w14:textId="2DF36358" w:rsidR="002E1AA5" w:rsidRPr="00D652D5" w:rsidRDefault="006C00BB" w:rsidP="006C00BB">
      <w:pPr>
        <w:pStyle w:val="RegSingleTxtG"/>
        <w:numPr>
          <w:ilvl w:val="0"/>
          <w:numId w:val="0"/>
        </w:numPr>
        <w:ind w:left="1134"/>
      </w:pPr>
      <w:r w:rsidRPr="00D652D5">
        <w:t>2.</w:t>
      </w:r>
      <w:r w:rsidRPr="00D652D5">
        <w:tab/>
      </w:r>
      <w:r w:rsidR="002E1AA5" w:rsidRPr="00D652D5">
        <w:rPr>
          <w:i/>
        </w:rPr>
        <w:t>Stresses</w:t>
      </w:r>
      <w:r w:rsidR="002E1AA5" w:rsidRPr="00D652D5">
        <w:t xml:space="preserve"> the urgency of delivering on the pre-2020 commitments under the Kyoto Protocol;</w:t>
      </w:r>
    </w:p>
    <w:p w14:paraId="66587D45" w14:textId="097022CA" w:rsidR="002E1AA5" w:rsidRPr="00D652D5" w:rsidRDefault="006C00BB" w:rsidP="006C00BB">
      <w:pPr>
        <w:pStyle w:val="RegSingleTxtG"/>
        <w:numPr>
          <w:ilvl w:val="0"/>
          <w:numId w:val="0"/>
        </w:numPr>
        <w:ind w:left="1134"/>
      </w:pPr>
      <w:r w:rsidRPr="00D652D5">
        <w:t>3.</w:t>
      </w:r>
      <w:r w:rsidRPr="00D652D5">
        <w:tab/>
      </w:r>
      <w:r w:rsidR="002E1AA5" w:rsidRPr="00D652D5">
        <w:rPr>
          <w:i/>
        </w:rPr>
        <w:t>Congratulates</w:t>
      </w:r>
      <w:r w:rsidR="002E1AA5" w:rsidRPr="00D652D5">
        <w:t xml:space="preserve"> Parties that have accepted the Doha Amendment to the Kyoto Protocol;</w:t>
      </w:r>
    </w:p>
    <w:p w14:paraId="6BCAB6AD" w14:textId="7B6C6BCA" w:rsidR="002E1AA5" w:rsidRPr="00D652D5" w:rsidRDefault="006C00BB" w:rsidP="006C00BB">
      <w:pPr>
        <w:pStyle w:val="RegSingleTxtG"/>
        <w:numPr>
          <w:ilvl w:val="0"/>
          <w:numId w:val="0"/>
        </w:numPr>
        <w:ind w:left="1134"/>
      </w:pPr>
      <w:r w:rsidRPr="00D652D5">
        <w:t>4.</w:t>
      </w:r>
      <w:r w:rsidRPr="00D652D5">
        <w:tab/>
      </w:r>
      <w:r w:rsidR="002E1AA5" w:rsidRPr="00D652D5">
        <w:rPr>
          <w:i/>
        </w:rPr>
        <w:t>Underscores</w:t>
      </w:r>
      <w:r w:rsidR="002E1AA5" w:rsidRPr="00D652D5">
        <w:t xml:space="preserve"> the urgent need for the entry into force of the Doha Amendment and </w:t>
      </w:r>
      <w:r w:rsidR="002E1AA5" w:rsidRPr="00D652D5">
        <w:rPr>
          <w:i/>
        </w:rPr>
        <w:t xml:space="preserve">strongly urges </w:t>
      </w:r>
      <w:r w:rsidR="002E1AA5" w:rsidRPr="00D652D5">
        <w:t>Parties to the Kyoto Protocol that have yet to ratify the Doha Amendment to deposit an instrument of acceptance with the Depositary as soon as possible.</w:t>
      </w:r>
    </w:p>
    <w:p w14:paraId="3A35AC61" w14:textId="50AD8300" w:rsidR="00CB63E2" w:rsidRPr="00D652D5" w:rsidRDefault="00CB63E2" w:rsidP="00CB63E2">
      <w:pPr>
        <w:pStyle w:val="RegSingleTxtG"/>
        <w:numPr>
          <w:ilvl w:val="0"/>
          <w:numId w:val="0"/>
        </w:numPr>
        <w:ind w:left="1134"/>
        <w:jc w:val="right"/>
        <w:rPr>
          <w:i/>
        </w:rPr>
      </w:pPr>
      <w:bookmarkStart w:id="2" w:name="_Hlk27563243"/>
      <w:r w:rsidRPr="00D652D5">
        <w:rPr>
          <w:i/>
        </w:rPr>
        <w:t>8</w:t>
      </w:r>
      <w:r w:rsidRPr="00D652D5">
        <w:rPr>
          <w:i/>
          <w:vertAlign w:val="superscript"/>
        </w:rPr>
        <w:t>th</w:t>
      </w:r>
      <w:r w:rsidRPr="00D652D5">
        <w:rPr>
          <w:i/>
        </w:rPr>
        <w:t xml:space="preserve"> plenary meeting</w:t>
      </w:r>
      <w:r w:rsidRPr="00D652D5">
        <w:rPr>
          <w:i/>
        </w:rPr>
        <w:br/>
        <w:t>15 December 2019</w:t>
      </w:r>
    </w:p>
    <w:bookmarkEnd w:id="2"/>
    <w:p w14:paraId="1DEBD34E" w14:textId="7B161C7E" w:rsidR="00E42813" w:rsidRPr="00D652D5" w:rsidRDefault="00E42813" w:rsidP="00E42813"/>
    <w:p w14:paraId="268C2849" w14:textId="77777777" w:rsidR="002E1AA5" w:rsidRPr="00D652D5" w:rsidRDefault="002E1AA5" w:rsidP="00E42813">
      <w:pPr>
        <w:sectPr w:rsidR="002E1AA5" w:rsidRPr="00D652D5" w:rsidSect="00EA4A64">
          <w:headerReference w:type="even" r:id="rId14"/>
          <w:headerReference w:type="default" r:id="rId15"/>
          <w:footerReference w:type="even" r:id="rId16"/>
          <w:footerReference w:type="default" r:id="rId17"/>
          <w:headerReference w:type="first" r:id="rId18"/>
          <w:footnotePr>
            <w:numRestart w:val="eachSect"/>
          </w:footnotePr>
          <w:pgSz w:w="11906" w:h="16838" w:code="9"/>
          <w:pgMar w:top="1417" w:right="1134" w:bottom="1134" w:left="1134" w:header="850" w:footer="567" w:gutter="0"/>
          <w:cols w:space="708"/>
          <w:titlePg/>
          <w:docGrid w:linePitch="360"/>
        </w:sectPr>
      </w:pPr>
    </w:p>
    <w:p w14:paraId="0EB91755" w14:textId="5A71CBC6" w:rsidR="002E1AA5" w:rsidRPr="00D652D5" w:rsidRDefault="002E1AA5" w:rsidP="002E1AA5">
      <w:pPr>
        <w:pStyle w:val="HChG"/>
      </w:pPr>
      <w:r w:rsidRPr="00D652D5">
        <w:lastRenderedPageBreak/>
        <w:tab/>
      </w:r>
      <w:r w:rsidRPr="00D652D5">
        <w:tab/>
      </w:r>
      <w:bookmarkStart w:id="3" w:name="D2"/>
      <w:r w:rsidRPr="00D652D5">
        <w:t>Decision 2/CMP.15</w:t>
      </w:r>
      <w:bookmarkEnd w:id="3"/>
    </w:p>
    <w:p w14:paraId="34CD3BCD" w14:textId="2D93BAA5" w:rsidR="00A475D5" w:rsidRPr="00D652D5" w:rsidRDefault="002E1AA5" w:rsidP="004B0811">
      <w:pPr>
        <w:pStyle w:val="HChG"/>
      </w:pPr>
      <w:r w:rsidRPr="00D652D5">
        <w:tab/>
      </w:r>
      <w:r w:rsidRPr="00D652D5">
        <w:tab/>
      </w:r>
      <w:r w:rsidR="00A475D5" w:rsidRPr="00D652D5">
        <w:tab/>
        <w:t>Guidance relating to the clean development mechanism</w:t>
      </w:r>
    </w:p>
    <w:p w14:paraId="407C038F" w14:textId="77777777" w:rsidR="00A475D5" w:rsidRPr="00D652D5" w:rsidRDefault="00A475D5" w:rsidP="00D01D7D">
      <w:pPr>
        <w:pStyle w:val="SingleTxtG"/>
        <w:ind w:firstLine="567"/>
        <w:rPr>
          <w:i/>
        </w:rPr>
      </w:pPr>
      <w:r w:rsidRPr="00D652D5">
        <w:rPr>
          <w:i/>
        </w:rPr>
        <w:t>The Conference of the Parties serving as the meeting of the Parties to the Kyoto Protocol</w:t>
      </w:r>
      <w:r w:rsidRPr="00D652D5">
        <w:t>,</w:t>
      </w:r>
    </w:p>
    <w:p w14:paraId="70A167DA" w14:textId="2E135CFE" w:rsidR="00A475D5" w:rsidRPr="00D652D5" w:rsidRDefault="00D01D7D" w:rsidP="00D01D7D">
      <w:pPr>
        <w:pStyle w:val="SingleTxtG"/>
      </w:pPr>
      <w:r>
        <w:rPr>
          <w:i/>
        </w:rPr>
        <w:tab/>
      </w:r>
      <w:r w:rsidR="00E87B62">
        <w:rPr>
          <w:i/>
        </w:rPr>
        <w:tab/>
      </w:r>
      <w:r w:rsidR="00A475D5" w:rsidRPr="00D652D5">
        <w:rPr>
          <w:i/>
        </w:rPr>
        <w:t xml:space="preserve">Recalling </w:t>
      </w:r>
      <w:r w:rsidR="00A475D5" w:rsidRPr="00D652D5">
        <w:t>Articles 3 and 12 of the Kyoto Protocol,</w:t>
      </w:r>
    </w:p>
    <w:p w14:paraId="7B1A0D67" w14:textId="77777777" w:rsidR="00A475D5" w:rsidRPr="00D652D5" w:rsidRDefault="00A475D5" w:rsidP="00D01D7D">
      <w:pPr>
        <w:pStyle w:val="SingleTxtG"/>
        <w:ind w:firstLine="567"/>
      </w:pPr>
      <w:r w:rsidRPr="00D652D5">
        <w:rPr>
          <w:i/>
        </w:rPr>
        <w:t xml:space="preserve">Also </w:t>
      </w:r>
      <w:r w:rsidRPr="00D01D7D">
        <w:t>recalling</w:t>
      </w:r>
      <w:r w:rsidRPr="00D652D5">
        <w:t xml:space="preserve"> decision 3/CMP.1 and subsequent guidance provided by the Conference of the Parties serving as the meeting of the Parties to the Kyoto Protocol relating to the clean development mechanism,</w:t>
      </w:r>
    </w:p>
    <w:p w14:paraId="31812852" w14:textId="77777777" w:rsidR="00A475D5" w:rsidRPr="00D652D5" w:rsidRDefault="00A475D5" w:rsidP="00D01D7D">
      <w:pPr>
        <w:pStyle w:val="SingleTxtG"/>
        <w:ind w:firstLine="567"/>
      </w:pPr>
      <w:r w:rsidRPr="00D01D7D">
        <w:rPr>
          <w:i/>
        </w:rPr>
        <w:t>Acknowledging</w:t>
      </w:r>
      <w:r w:rsidRPr="00D01D7D">
        <w:t xml:space="preserve"> </w:t>
      </w:r>
      <w:r w:rsidRPr="00D652D5">
        <w:t>the contribution to global efforts to address climate change of the clean development mechanism, which as at 30 November 2019 was responsible for over 7,800 project activities being registered, 325 programmes of activities being registered and over 2.02 billion certified emission reductions being issued, of which over 183 million had been voluntarily cancelled either in national registries or in the clean development mechanism registry,</w:t>
      </w:r>
    </w:p>
    <w:p w14:paraId="42F4AE07" w14:textId="77777777" w:rsidR="00A475D5" w:rsidRPr="00D652D5" w:rsidRDefault="00A475D5" w:rsidP="00D01D7D">
      <w:pPr>
        <w:pStyle w:val="SingleTxtG"/>
        <w:ind w:firstLine="567"/>
      </w:pPr>
      <w:r w:rsidRPr="00D01D7D">
        <w:rPr>
          <w:i/>
        </w:rPr>
        <w:t>Also acknowledging</w:t>
      </w:r>
      <w:r w:rsidRPr="00D652D5">
        <w:t xml:space="preserve"> that the Executive Board of the clean development mechanism requested the Conference of the Parties serving as the meeting of the Parties to the Kyoto Protocol</w:t>
      </w:r>
      <w:r w:rsidRPr="00D652D5" w:rsidDel="00C321E6">
        <w:t xml:space="preserve"> </w:t>
      </w:r>
      <w:r w:rsidRPr="00D652D5">
        <w:t>to provide guidance on the functioning of the clean development mechanism beyond the end of the second commitment period of the Kyoto Protocol,</w:t>
      </w:r>
    </w:p>
    <w:p w14:paraId="3FC50D06" w14:textId="77777777" w:rsidR="00A475D5" w:rsidRPr="00D652D5" w:rsidRDefault="00A475D5" w:rsidP="00D01D7D">
      <w:pPr>
        <w:pStyle w:val="SingleTxtG"/>
        <w:ind w:firstLine="567"/>
      </w:pPr>
      <w:r w:rsidRPr="00D01D7D">
        <w:rPr>
          <w:i/>
        </w:rPr>
        <w:t>Noting</w:t>
      </w:r>
      <w:r w:rsidRPr="00D652D5">
        <w:t xml:space="preserve"> that the Executive Board of the clean development mechanism has estimated that the Trust Fund for the Clean Development Mechanism would have a forecasted healthy balance of USD 11–54 million at the end of 2023, in addition to USD 45 million held in reserve,</w:t>
      </w:r>
    </w:p>
    <w:p w14:paraId="059167CA" w14:textId="4CD751DD" w:rsidR="00A475D5" w:rsidRPr="00D652D5" w:rsidRDefault="006C00BB" w:rsidP="006C00BB">
      <w:pPr>
        <w:pStyle w:val="AnnoHCHG"/>
        <w:numPr>
          <w:ilvl w:val="0"/>
          <w:numId w:val="0"/>
        </w:numPr>
        <w:tabs>
          <w:tab w:val="left" w:pos="1135"/>
        </w:tabs>
        <w:ind w:left="1135" w:hanging="284"/>
      </w:pPr>
      <w:r w:rsidRPr="00D652D5">
        <w:t>I.</w:t>
      </w:r>
      <w:r w:rsidRPr="00D652D5">
        <w:tab/>
      </w:r>
      <w:r w:rsidR="00A475D5" w:rsidRPr="00D652D5">
        <w:t>General</w:t>
      </w:r>
    </w:p>
    <w:p w14:paraId="3647643C" w14:textId="12186495" w:rsidR="00A475D5" w:rsidRPr="00D652D5" w:rsidRDefault="006C00BB" w:rsidP="006C00BB">
      <w:pPr>
        <w:pStyle w:val="RegSingleTxtG"/>
        <w:numPr>
          <w:ilvl w:val="0"/>
          <w:numId w:val="0"/>
        </w:numPr>
        <w:tabs>
          <w:tab w:val="left" w:pos="568"/>
        </w:tabs>
        <w:ind w:left="1135"/>
      </w:pPr>
      <w:r w:rsidRPr="00D652D5">
        <w:t>1.</w:t>
      </w:r>
      <w:r w:rsidRPr="00D652D5">
        <w:tab/>
      </w:r>
      <w:r w:rsidR="00A475D5" w:rsidRPr="00D652D5">
        <w:rPr>
          <w:i/>
        </w:rPr>
        <w:t xml:space="preserve">Welcomes </w:t>
      </w:r>
      <w:r w:rsidR="00A475D5" w:rsidRPr="00D652D5">
        <w:t>the report for 2018–2019 of the Executive Board of the clean development mechanism;</w:t>
      </w:r>
      <w:r w:rsidR="00A475D5" w:rsidRPr="00D652D5">
        <w:rPr>
          <w:rStyle w:val="FootnoteReference"/>
        </w:rPr>
        <w:footnoteReference w:id="2"/>
      </w:r>
      <w:r w:rsidR="00A475D5" w:rsidRPr="00D652D5" w:rsidDel="00D4668A">
        <w:rPr>
          <w:rStyle w:val="FootnoteReference"/>
        </w:rPr>
        <w:t xml:space="preserve"> </w:t>
      </w:r>
    </w:p>
    <w:p w14:paraId="6BDD1FF2" w14:textId="397D2C47" w:rsidR="00A475D5" w:rsidRPr="00D652D5" w:rsidRDefault="006C00BB" w:rsidP="006C00BB">
      <w:pPr>
        <w:pStyle w:val="RegSingleTxtG"/>
        <w:numPr>
          <w:ilvl w:val="0"/>
          <w:numId w:val="0"/>
        </w:numPr>
        <w:tabs>
          <w:tab w:val="left" w:pos="568"/>
        </w:tabs>
        <w:ind w:left="1135"/>
      </w:pPr>
      <w:r w:rsidRPr="00D652D5">
        <w:t>2.</w:t>
      </w:r>
      <w:r w:rsidRPr="00D652D5">
        <w:tab/>
      </w:r>
      <w:r w:rsidR="00A475D5" w:rsidRPr="00D652D5">
        <w:rPr>
          <w:i/>
        </w:rPr>
        <w:t>Appreciates</w:t>
      </w:r>
      <w:r w:rsidR="00A475D5" w:rsidRPr="00D652D5">
        <w:t xml:space="preserve"> the work undertaken over the past year by the Executive Board, its panels and the secretariat in overseeing the implementation of the mechanism and maintaining stakeholder engagement in its operations;</w:t>
      </w:r>
    </w:p>
    <w:p w14:paraId="1D1F7210" w14:textId="3CEBB4A0" w:rsidR="00A475D5" w:rsidRPr="00D652D5" w:rsidRDefault="006C00BB" w:rsidP="006C00BB">
      <w:pPr>
        <w:pStyle w:val="RegSingleTxtG"/>
        <w:numPr>
          <w:ilvl w:val="0"/>
          <w:numId w:val="0"/>
        </w:numPr>
        <w:tabs>
          <w:tab w:val="left" w:pos="568"/>
        </w:tabs>
        <w:ind w:left="1135"/>
      </w:pPr>
      <w:r w:rsidRPr="00D652D5">
        <w:t>3.</w:t>
      </w:r>
      <w:r w:rsidRPr="00D652D5">
        <w:tab/>
      </w:r>
      <w:r w:rsidR="00A475D5" w:rsidRPr="00D01D7D">
        <w:rPr>
          <w:i/>
        </w:rPr>
        <w:t>Notes</w:t>
      </w:r>
      <w:r w:rsidR="00A475D5" w:rsidRPr="00D652D5">
        <w:t xml:space="preserve"> that the implementation of the clean development mechanism has resulted in the issuance of over 2.02 billion certified emission reductions to date;</w:t>
      </w:r>
    </w:p>
    <w:p w14:paraId="5A67A00F" w14:textId="4E1CAB7D" w:rsidR="00A475D5" w:rsidRPr="00D652D5" w:rsidRDefault="006C00BB" w:rsidP="006C00BB">
      <w:pPr>
        <w:pStyle w:val="RegSingleTxtG"/>
        <w:numPr>
          <w:ilvl w:val="0"/>
          <w:numId w:val="0"/>
        </w:numPr>
        <w:tabs>
          <w:tab w:val="left" w:pos="568"/>
        </w:tabs>
        <w:ind w:left="1135"/>
      </w:pPr>
      <w:r w:rsidRPr="00D652D5">
        <w:t>4.</w:t>
      </w:r>
      <w:r w:rsidRPr="00D652D5">
        <w:tab/>
      </w:r>
      <w:r w:rsidR="00A475D5" w:rsidRPr="00D01D7D">
        <w:rPr>
          <w:i/>
        </w:rPr>
        <w:t>Designates</w:t>
      </w:r>
      <w:r w:rsidR="00A475D5" w:rsidRPr="00D652D5">
        <w:t xml:space="preserve"> as operational entities those entities that have been accredited and provisionally designated as such by the Executive Board to carry out sectoral scope-specific validation and/or verification functions as set out in the annex;</w:t>
      </w:r>
    </w:p>
    <w:p w14:paraId="54744DE5" w14:textId="43B33C4A" w:rsidR="00A475D5" w:rsidRPr="00D652D5" w:rsidRDefault="006C00BB" w:rsidP="006C00BB">
      <w:pPr>
        <w:pStyle w:val="RegHChG"/>
        <w:numPr>
          <w:ilvl w:val="0"/>
          <w:numId w:val="0"/>
        </w:numPr>
        <w:tabs>
          <w:tab w:val="left" w:pos="1135"/>
        </w:tabs>
        <w:ind w:left="1134" w:hanging="454"/>
      </w:pPr>
      <w:r w:rsidRPr="00D652D5">
        <w:t>II.</w:t>
      </w:r>
      <w:r w:rsidRPr="00D652D5">
        <w:tab/>
      </w:r>
      <w:r w:rsidR="00A475D5" w:rsidRPr="00D652D5">
        <w:t>Baseline and monitoring methodologies</w:t>
      </w:r>
    </w:p>
    <w:p w14:paraId="0CDD19FE" w14:textId="3B799E1B" w:rsidR="00A475D5" w:rsidRPr="00D652D5" w:rsidRDefault="006C00BB" w:rsidP="006C00BB">
      <w:pPr>
        <w:pStyle w:val="RegSingleTxtG"/>
        <w:numPr>
          <w:ilvl w:val="0"/>
          <w:numId w:val="0"/>
        </w:numPr>
        <w:tabs>
          <w:tab w:val="left" w:pos="568"/>
        </w:tabs>
        <w:ind w:left="1135"/>
      </w:pPr>
      <w:r w:rsidRPr="00D652D5">
        <w:t>5.</w:t>
      </w:r>
      <w:r w:rsidRPr="00D652D5">
        <w:tab/>
      </w:r>
      <w:r w:rsidR="00A475D5" w:rsidRPr="00D652D5">
        <w:rPr>
          <w:i/>
        </w:rPr>
        <w:t>Notes</w:t>
      </w:r>
      <w:r w:rsidR="00A475D5" w:rsidRPr="00D652D5">
        <w:t xml:space="preserve"> that the baseline and monitoring methodologies and methodological tools under the clean development mechanism are being utilized by Parties and stakeholders for other measurement, reporting and verification purposes, including in relation to results-based finance;</w:t>
      </w:r>
    </w:p>
    <w:p w14:paraId="193AE9E9" w14:textId="49902F76" w:rsidR="00A475D5" w:rsidRPr="00D652D5" w:rsidRDefault="006C00BB" w:rsidP="006C00BB">
      <w:pPr>
        <w:pStyle w:val="RegSingleTxtG"/>
        <w:numPr>
          <w:ilvl w:val="0"/>
          <w:numId w:val="0"/>
        </w:numPr>
        <w:tabs>
          <w:tab w:val="left" w:pos="568"/>
        </w:tabs>
        <w:ind w:left="1135"/>
      </w:pPr>
      <w:r w:rsidRPr="00D652D5">
        <w:t>6.</w:t>
      </w:r>
      <w:r w:rsidRPr="00D652D5">
        <w:tab/>
      </w:r>
      <w:r w:rsidR="00A475D5" w:rsidRPr="00D652D5">
        <w:rPr>
          <w:i/>
        </w:rPr>
        <w:t xml:space="preserve">Expresses its appreciation </w:t>
      </w:r>
      <w:r w:rsidR="00A475D5" w:rsidRPr="00D652D5">
        <w:t>for the work of the Executive Board</w:t>
      </w:r>
      <w:r w:rsidR="00A475D5" w:rsidRPr="00D652D5">
        <w:rPr>
          <w:i/>
        </w:rPr>
        <w:t xml:space="preserve"> </w:t>
      </w:r>
      <w:r w:rsidR="00A475D5" w:rsidRPr="00D652D5">
        <w:t>in simplifying and streamlining the methodologies for and guidance on demonstrating additionality, and communicating the sustainable development co-benefits of clean development mechanism project activities and programmes of activities;</w:t>
      </w:r>
    </w:p>
    <w:p w14:paraId="042C51CF" w14:textId="2A3B7CC6" w:rsidR="00A475D5" w:rsidRPr="00D652D5" w:rsidRDefault="006C00BB" w:rsidP="006C00BB">
      <w:pPr>
        <w:pStyle w:val="RegSingleTxtG"/>
        <w:numPr>
          <w:ilvl w:val="0"/>
          <w:numId w:val="0"/>
        </w:numPr>
        <w:tabs>
          <w:tab w:val="left" w:pos="568"/>
        </w:tabs>
        <w:ind w:left="1135"/>
      </w:pPr>
      <w:bookmarkStart w:id="4" w:name="_Ref26810283"/>
      <w:bookmarkStart w:id="5" w:name="_Ref26465367"/>
      <w:r w:rsidRPr="00D652D5">
        <w:lastRenderedPageBreak/>
        <w:t>7.</w:t>
      </w:r>
      <w:r w:rsidRPr="00D652D5">
        <w:tab/>
      </w:r>
      <w:r w:rsidR="00A475D5" w:rsidRPr="00D652D5">
        <w:rPr>
          <w:i/>
        </w:rPr>
        <w:t>Acknowledges</w:t>
      </w:r>
      <w:r w:rsidR="00A475D5" w:rsidRPr="00D652D5">
        <w:t xml:space="preserve"> the work of the Executive Board in reviewing methodological approaches for calculating emission reductions achieved by project activities that result in reduced use of non-renewable biomass in households;</w:t>
      </w:r>
      <w:bookmarkEnd w:id="4"/>
    </w:p>
    <w:p w14:paraId="334B3496" w14:textId="635EEE79" w:rsidR="00A475D5" w:rsidRPr="00D652D5" w:rsidRDefault="006C00BB" w:rsidP="006C00BB">
      <w:pPr>
        <w:pStyle w:val="RegSingleTxtG"/>
        <w:numPr>
          <w:ilvl w:val="0"/>
          <w:numId w:val="0"/>
        </w:numPr>
        <w:tabs>
          <w:tab w:val="left" w:pos="568"/>
        </w:tabs>
        <w:ind w:left="1135"/>
      </w:pPr>
      <w:bookmarkStart w:id="6" w:name="_Ref26466101"/>
      <w:bookmarkEnd w:id="5"/>
      <w:r w:rsidRPr="00D652D5">
        <w:t>8.</w:t>
      </w:r>
      <w:r w:rsidRPr="00D652D5">
        <w:tab/>
      </w:r>
      <w:r w:rsidR="00A475D5" w:rsidRPr="00D652D5">
        <w:rPr>
          <w:i/>
        </w:rPr>
        <w:t xml:space="preserve">Encourages </w:t>
      </w:r>
      <w:r w:rsidR="00A475D5" w:rsidRPr="00D652D5">
        <w:t>the</w:t>
      </w:r>
      <w:r w:rsidR="00A475D5" w:rsidRPr="00D652D5">
        <w:rPr>
          <w:i/>
        </w:rPr>
        <w:t xml:space="preserve"> </w:t>
      </w:r>
      <w:r w:rsidR="00A475D5" w:rsidRPr="00D652D5">
        <w:t>Executive Board to continue</w:t>
      </w:r>
      <w:r w:rsidR="00A475D5" w:rsidRPr="00D652D5">
        <w:rPr>
          <w:i/>
        </w:rPr>
        <w:t xml:space="preserve"> </w:t>
      </w:r>
      <w:r w:rsidR="00A475D5" w:rsidRPr="00D652D5">
        <w:t xml:space="preserve">to review the methodological approaches referred to in paragraph </w:t>
      </w:r>
      <w:r w:rsidR="00A475D5" w:rsidRPr="00D652D5">
        <w:fldChar w:fldCharType="begin"/>
      </w:r>
      <w:r w:rsidR="00A475D5" w:rsidRPr="00D652D5">
        <w:instrText xml:space="preserve"> REF _Ref26810283 \n \p \h </w:instrText>
      </w:r>
      <w:r w:rsidR="00A475D5" w:rsidRPr="00D652D5">
        <w:fldChar w:fldCharType="separate"/>
      </w:r>
      <w:r w:rsidR="000034A5">
        <w:t>7 above</w:t>
      </w:r>
      <w:r w:rsidR="00A475D5" w:rsidRPr="00D652D5">
        <w:fldChar w:fldCharType="end"/>
      </w:r>
      <w:r w:rsidR="00A475D5" w:rsidRPr="00D652D5">
        <w:t>, in particular with respect to the default baseline assumptions applied;</w:t>
      </w:r>
      <w:bookmarkEnd w:id="6"/>
    </w:p>
    <w:p w14:paraId="672D35C8" w14:textId="174F96F5" w:rsidR="00A475D5" w:rsidRPr="00D652D5" w:rsidRDefault="006C00BB" w:rsidP="006C00BB">
      <w:pPr>
        <w:pStyle w:val="AnnoHCHG"/>
        <w:numPr>
          <w:ilvl w:val="0"/>
          <w:numId w:val="0"/>
        </w:numPr>
        <w:tabs>
          <w:tab w:val="left" w:pos="1135"/>
        </w:tabs>
        <w:ind w:left="1134" w:hanging="424"/>
      </w:pPr>
      <w:r w:rsidRPr="00D652D5">
        <w:t>III.</w:t>
      </w:r>
      <w:r w:rsidRPr="00D652D5">
        <w:tab/>
      </w:r>
      <w:r w:rsidR="00A475D5" w:rsidRPr="00D652D5">
        <w:t xml:space="preserve">Regional and </w:t>
      </w:r>
      <w:proofErr w:type="spellStart"/>
      <w:r w:rsidR="00A475D5" w:rsidRPr="00D652D5">
        <w:t>subregional</w:t>
      </w:r>
      <w:proofErr w:type="spellEnd"/>
      <w:r w:rsidR="00A475D5" w:rsidRPr="00D652D5">
        <w:t xml:space="preserve"> distribution</w:t>
      </w:r>
    </w:p>
    <w:p w14:paraId="4C752AF3" w14:textId="796AF540" w:rsidR="00A475D5" w:rsidRPr="00D652D5" w:rsidRDefault="006C00BB" w:rsidP="006C00BB">
      <w:pPr>
        <w:pStyle w:val="RegSingleTxtG"/>
        <w:numPr>
          <w:ilvl w:val="0"/>
          <w:numId w:val="0"/>
        </w:numPr>
        <w:tabs>
          <w:tab w:val="left" w:pos="568"/>
        </w:tabs>
        <w:ind w:left="1135"/>
      </w:pPr>
      <w:r w:rsidRPr="00D652D5">
        <w:t>9.</w:t>
      </w:r>
      <w:r w:rsidRPr="00D652D5">
        <w:tab/>
      </w:r>
      <w:r w:rsidR="00A475D5" w:rsidRPr="00D652D5">
        <w:rPr>
          <w:i/>
        </w:rPr>
        <w:t>Acknowledges</w:t>
      </w:r>
      <w:r w:rsidR="00A475D5" w:rsidRPr="00D652D5">
        <w:t xml:space="preserve"> that certain Parties and regions have faced challenges in effectively participating in the clean development mechanism;</w:t>
      </w:r>
    </w:p>
    <w:p w14:paraId="45FD7854" w14:textId="77259FA8" w:rsidR="00A475D5" w:rsidRPr="00D652D5" w:rsidRDefault="006C00BB" w:rsidP="006C00BB">
      <w:pPr>
        <w:pStyle w:val="RegSingleTxtG"/>
        <w:numPr>
          <w:ilvl w:val="0"/>
          <w:numId w:val="0"/>
        </w:numPr>
        <w:tabs>
          <w:tab w:val="left" w:pos="568"/>
        </w:tabs>
        <w:ind w:left="1135"/>
      </w:pPr>
      <w:r w:rsidRPr="00D652D5">
        <w:t>10.</w:t>
      </w:r>
      <w:r w:rsidRPr="00D652D5">
        <w:tab/>
      </w:r>
      <w:r w:rsidR="00A475D5" w:rsidRPr="00D652D5">
        <w:rPr>
          <w:i/>
        </w:rPr>
        <w:t>Appreciates</w:t>
      </w:r>
      <w:r w:rsidR="00A475D5" w:rsidRPr="00D652D5">
        <w:t xml:space="preserve"> the work undertaken by the secretariat, through its regional collaboration centres and other partnership activities, to build capacity for enhanced participation in the clean development mechanism;</w:t>
      </w:r>
    </w:p>
    <w:p w14:paraId="27FE165E" w14:textId="26E34047" w:rsidR="00A475D5" w:rsidRPr="00D652D5" w:rsidRDefault="006C00BB" w:rsidP="006C00BB">
      <w:pPr>
        <w:pStyle w:val="AnnoHCHG"/>
        <w:numPr>
          <w:ilvl w:val="0"/>
          <w:numId w:val="0"/>
        </w:numPr>
        <w:tabs>
          <w:tab w:val="left" w:pos="1135"/>
        </w:tabs>
        <w:ind w:left="1134" w:hanging="424"/>
      </w:pPr>
      <w:r w:rsidRPr="00D652D5">
        <w:t>IV.</w:t>
      </w:r>
      <w:r w:rsidRPr="00D652D5">
        <w:tab/>
      </w:r>
      <w:r w:rsidR="00A475D5" w:rsidRPr="00D652D5">
        <w:t>Management of financial resources</w:t>
      </w:r>
    </w:p>
    <w:p w14:paraId="59ACE48C" w14:textId="0EA54D26" w:rsidR="00A475D5" w:rsidRPr="00D652D5" w:rsidRDefault="006C00BB" w:rsidP="006C00BB">
      <w:pPr>
        <w:pStyle w:val="RegSingleTxtG"/>
        <w:numPr>
          <w:ilvl w:val="0"/>
          <w:numId w:val="0"/>
        </w:numPr>
        <w:tabs>
          <w:tab w:val="left" w:pos="568"/>
        </w:tabs>
        <w:ind w:left="1135"/>
      </w:pPr>
      <w:bookmarkStart w:id="7" w:name="_Ref26642579"/>
      <w:r w:rsidRPr="00D652D5">
        <w:t>11.</w:t>
      </w:r>
      <w:r w:rsidRPr="00D652D5">
        <w:tab/>
      </w:r>
      <w:r w:rsidR="00A475D5" w:rsidRPr="00D652D5">
        <w:rPr>
          <w:i/>
        </w:rPr>
        <w:t>Takes note</w:t>
      </w:r>
      <w:r w:rsidR="00A475D5" w:rsidRPr="00D652D5">
        <w:t xml:space="preserve"> of the report on the present financial situation of the clean development mechanism and the foreseen budgets for activities up until the end of 2023.</w:t>
      </w:r>
      <w:r w:rsidR="00A475D5" w:rsidRPr="00D652D5">
        <w:rPr>
          <w:rStyle w:val="FootnoteReference"/>
        </w:rPr>
        <w:footnoteReference w:id="3"/>
      </w:r>
      <w:bookmarkEnd w:id="7"/>
    </w:p>
    <w:p w14:paraId="58C8A4E0" w14:textId="77777777" w:rsidR="00A475D5" w:rsidRPr="00D652D5" w:rsidRDefault="00A475D5" w:rsidP="00A475D5">
      <w:pPr>
        <w:pStyle w:val="HChG"/>
        <w:spacing w:before="0"/>
      </w:pPr>
      <w:r w:rsidRPr="00D652D5">
        <w:br w:type="page"/>
      </w:r>
    </w:p>
    <w:p w14:paraId="246A134C" w14:textId="77777777" w:rsidR="00A475D5" w:rsidRPr="00D652D5" w:rsidRDefault="00A475D5" w:rsidP="00A475D5">
      <w:pPr>
        <w:pStyle w:val="HChG"/>
        <w:spacing w:before="0"/>
      </w:pPr>
      <w:r w:rsidRPr="00D652D5">
        <w:lastRenderedPageBreak/>
        <w:t>Annex</w:t>
      </w:r>
    </w:p>
    <w:p w14:paraId="14730FFF" w14:textId="02E72CC0" w:rsidR="00A475D5" w:rsidRDefault="00A475D5" w:rsidP="00A475D5">
      <w:pPr>
        <w:pStyle w:val="H1G"/>
        <w:spacing w:line="300" w:lineRule="exact"/>
        <w:ind w:firstLine="0"/>
        <w:rPr>
          <w:sz w:val="28"/>
          <w:szCs w:val="28"/>
        </w:rPr>
      </w:pPr>
      <w:r w:rsidRPr="00D652D5">
        <w:rPr>
          <w:sz w:val="28"/>
          <w:szCs w:val="28"/>
        </w:rPr>
        <w:t>Designation by the Conference of the Parties serving as the meeting of the Parties to the Kyoto Protocol at its fifteenth session of the operational entities that were accredited by the Executive Board of the clean development mechanism during its reporting period (1 September 2018 to 12 September 2019)</w:t>
      </w:r>
    </w:p>
    <w:p w14:paraId="79AC784B" w14:textId="3A06D365" w:rsidR="003859AD" w:rsidRPr="003859AD" w:rsidRDefault="003859AD" w:rsidP="003859AD">
      <w:pPr>
        <w:jc w:val="right"/>
      </w:pPr>
      <w:r>
        <w:t>[English only]</w:t>
      </w:r>
    </w:p>
    <w:p w14:paraId="3DDB2604" w14:textId="77777777" w:rsidR="00A475D5" w:rsidRPr="00D652D5" w:rsidRDefault="00A475D5" w:rsidP="00A475D5">
      <w:pPr>
        <w:jc w:val="right"/>
      </w:pPr>
    </w:p>
    <w:tbl>
      <w:tblPr>
        <w:tblW w:w="7371" w:type="dxa"/>
        <w:tblInd w:w="1134" w:type="dxa"/>
        <w:tblBorders>
          <w:top w:val="single" w:sz="4" w:space="0" w:color="auto"/>
        </w:tblBorders>
        <w:tblCellMar>
          <w:left w:w="0" w:type="dxa"/>
        </w:tblCellMar>
        <w:tblLook w:val="04A0" w:firstRow="1" w:lastRow="0" w:firstColumn="1" w:lastColumn="0" w:noHBand="0" w:noVBand="1"/>
      </w:tblPr>
      <w:tblGrid>
        <w:gridCol w:w="5245"/>
        <w:gridCol w:w="2126"/>
      </w:tblGrid>
      <w:tr w:rsidR="00A475D5" w:rsidRPr="00D652D5" w14:paraId="1ED5CE03" w14:textId="77777777" w:rsidTr="00B306BB">
        <w:trPr>
          <w:cantSplit/>
          <w:trHeight w:val="240"/>
          <w:tblHeader/>
        </w:trPr>
        <w:tc>
          <w:tcPr>
            <w:tcW w:w="3558" w:type="pct"/>
            <w:tcBorders>
              <w:top w:val="single" w:sz="4" w:space="0" w:color="auto"/>
              <w:bottom w:val="single" w:sz="12" w:space="0" w:color="auto"/>
            </w:tcBorders>
            <w:shd w:val="clear" w:color="auto" w:fill="auto"/>
            <w:tcMar>
              <w:top w:w="0" w:type="dxa"/>
              <w:bottom w:w="0" w:type="dxa"/>
              <w:right w:w="0" w:type="dxa"/>
            </w:tcMar>
            <w:vAlign w:val="bottom"/>
          </w:tcPr>
          <w:p w14:paraId="1B4E427E" w14:textId="77777777" w:rsidR="00A475D5" w:rsidRPr="00D652D5" w:rsidRDefault="00A475D5" w:rsidP="00A475D5">
            <w:pPr>
              <w:suppressAutoHyphens w:val="0"/>
              <w:spacing w:before="80" w:after="80" w:line="200" w:lineRule="exact"/>
              <w:rPr>
                <w:i/>
                <w:sz w:val="16"/>
                <w:szCs w:val="16"/>
              </w:rPr>
            </w:pPr>
            <w:r w:rsidRPr="00D652D5">
              <w:rPr>
                <w:i/>
                <w:sz w:val="16"/>
                <w:szCs w:val="16"/>
              </w:rPr>
              <w:t>Name of entity</w:t>
            </w:r>
          </w:p>
        </w:tc>
        <w:tc>
          <w:tcPr>
            <w:tcW w:w="1442" w:type="pct"/>
            <w:tcBorders>
              <w:top w:val="single" w:sz="4" w:space="0" w:color="auto"/>
              <w:bottom w:val="single" w:sz="12" w:space="0" w:color="auto"/>
            </w:tcBorders>
            <w:shd w:val="clear" w:color="auto" w:fill="auto"/>
            <w:tcMar>
              <w:top w:w="0" w:type="dxa"/>
              <w:bottom w:w="0" w:type="dxa"/>
              <w:right w:w="0" w:type="dxa"/>
            </w:tcMar>
            <w:vAlign w:val="bottom"/>
          </w:tcPr>
          <w:p w14:paraId="2459A9DA" w14:textId="77777777" w:rsidR="00A475D5" w:rsidRPr="00D652D5" w:rsidRDefault="00A475D5" w:rsidP="00A475D5">
            <w:pPr>
              <w:suppressAutoHyphens w:val="0"/>
              <w:spacing w:before="80" w:after="80" w:line="200" w:lineRule="exact"/>
              <w:rPr>
                <w:i/>
                <w:sz w:val="16"/>
                <w:szCs w:val="16"/>
              </w:rPr>
            </w:pPr>
            <w:r w:rsidRPr="00D652D5">
              <w:rPr>
                <w:i/>
                <w:sz w:val="16"/>
                <w:szCs w:val="16"/>
              </w:rPr>
              <w:t>Sectoral scopes (validation and verification)</w:t>
            </w:r>
          </w:p>
        </w:tc>
      </w:tr>
      <w:tr w:rsidR="00A475D5" w:rsidRPr="00D652D5" w14:paraId="0F1FA9F2" w14:textId="77777777" w:rsidTr="00B306BB">
        <w:trPr>
          <w:cantSplit/>
          <w:trHeight w:val="240"/>
        </w:trPr>
        <w:tc>
          <w:tcPr>
            <w:tcW w:w="3558" w:type="pct"/>
            <w:tcBorders>
              <w:top w:val="single" w:sz="12" w:space="0" w:color="auto"/>
            </w:tcBorders>
            <w:shd w:val="clear" w:color="auto" w:fill="auto"/>
          </w:tcPr>
          <w:p w14:paraId="0B4D1D50" w14:textId="77777777" w:rsidR="00A475D5" w:rsidRPr="00D652D5" w:rsidRDefault="00A475D5" w:rsidP="00A475D5">
            <w:pPr>
              <w:suppressAutoHyphens w:val="0"/>
              <w:spacing w:before="40" w:after="120" w:line="220" w:lineRule="exact"/>
            </w:pPr>
            <w:r w:rsidRPr="00D652D5">
              <w:t>AENOR INTERNACIONAL, S.A.U. (AENOR)</w:t>
            </w:r>
          </w:p>
        </w:tc>
        <w:tc>
          <w:tcPr>
            <w:tcW w:w="1442" w:type="pct"/>
            <w:tcBorders>
              <w:top w:val="single" w:sz="12" w:space="0" w:color="auto"/>
            </w:tcBorders>
            <w:shd w:val="clear" w:color="auto" w:fill="auto"/>
          </w:tcPr>
          <w:p w14:paraId="286A3FD5" w14:textId="77777777" w:rsidR="00A475D5" w:rsidRPr="00D652D5" w:rsidRDefault="00A475D5" w:rsidP="00A475D5">
            <w:pPr>
              <w:suppressAutoHyphens w:val="0"/>
              <w:spacing w:before="40" w:after="120" w:line="220" w:lineRule="exact"/>
            </w:pPr>
            <w:r w:rsidRPr="00D652D5">
              <w:t>1–15</w:t>
            </w:r>
          </w:p>
        </w:tc>
      </w:tr>
      <w:tr w:rsidR="00A475D5" w:rsidRPr="00D652D5" w14:paraId="6F3A795B" w14:textId="77777777" w:rsidTr="00B306BB">
        <w:trPr>
          <w:cantSplit/>
          <w:trHeight w:val="240"/>
        </w:trPr>
        <w:tc>
          <w:tcPr>
            <w:tcW w:w="3558" w:type="pct"/>
            <w:shd w:val="clear" w:color="auto" w:fill="auto"/>
          </w:tcPr>
          <w:p w14:paraId="4CC75B0A" w14:textId="77777777" w:rsidR="00A475D5" w:rsidRPr="00D652D5" w:rsidRDefault="00A475D5" w:rsidP="00A475D5">
            <w:pPr>
              <w:suppressAutoHyphens w:val="0"/>
              <w:spacing w:before="40" w:after="120" w:line="220" w:lineRule="exact"/>
            </w:pPr>
            <w:r w:rsidRPr="00D652D5">
              <w:t>Carbon Check (India) Private Ltd. (Carbon Check)</w:t>
            </w:r>
          </w:p>
        </w:tc>
        <w:tc>
          <w:tcPr>
            <w:tcW w:w="1442" w:type="pct"/>
            <w:shd w:val="clear" w:color="auto" w:fill="auto"/>
          </w:tcPr>
          <w:p w14:paraId="16FC7C55" w14:textId="2C093022" w:rsidR="00A475D5" w:rsidRPr="00D652D5" w:rsidRDefault="00A475D5" w:rsidP="00A475D5">
            <w:pPr>
              <w:suppressAutoHyphens w:val="0"/>
              <w:spacing w:before="40" w:after="120" w:line="220" w:lineRule="exact"/>
            </w:pPr>
            <w:r w:rsidRPr="00D652D5">
              <w:t>1, 3–5, 9, 10, 13</w:t>
            </w:r>
            <w:r w:rsidR="00BA0166" w:rsidRPr="00D652D5">
              <w:t>,</w:t>
            </w:r>
            <w:r w:rsidRPr="00D652D5">
              <w:t xml:space="preserve"> 14</w:t>
            </w:r>
          </w:p>
        </w:tc>
      </w:tr>
      <w:tr w:rsidR="00A475D5" w:rsidRPr="00D652D5" w14:paraId="7292F901" w14:textId="77777777" w:rsidTr="00B306BB">
        <w:trPr>
          <w:cantSplit/>
          <w:trHeight w:val="240"/>
        </w:trPr>
        <w:tc>
          <w:tcPr>
            <w:tcW w:w="3558" w:type="pct"/>
            <w:shd w:val="clear" w:color="auto" w:fill="auto"/>
          </w:tcPr>
          <w:p w14:paraId="314E85E8" w14:textId="77777777" w:rsidR="00A475D5" w:rsidRPr="00D652D5" w:rsidRDefault="00A475D5" w:rsidP="00A475D5">
            <w:pPr>
              <w:suppressAutoHyphens w:val="0"/>
              <w:spacing w:before="40" w:after="120" w:line="220" w:lineRule="exact"/>
            </w:pPr>
            <w:r w:rsidRPr="00D652D5">
              <w:t>Deloitte Tohmatsu Sustainability, Co., Ltd. (DTSUS)</w:t>
            </w:r>
          </w:p>
        </w:tc>
        <w:tc>
          <w:tcPr>
            <w:tcW w:w="1442" w:type="pct"/>
            <w:shd w:val="clear" w:color="auto" w:fill="auto"/>
          </w:tcPr>
          <w:p w14:paraId="2C73D3D9" w14:textId="7788415E" w:rsidR="00A475D5" w:rsidRPr="00D652D5" w:rsidRDefault="00A475D5" w:rsidP="00A475D5">
            <w:pPr>
              <w:suppressAutoHyphens w:val="0"/>
              <w:spacing w:before="40" w:after="120" w:line="220" w:lineRule="exact"/>
            </w:pPr>
            <w:r w:rsidRPr="00D652D5">
              <w:t>1–3, 5, 10, 12, 13</w:t>
            </w:r>
            <w:r w:rsidR="00BA0166" w:rsidRPr="00D652D5">
              <w:t>,</w:t>
            </w:r>
            <w:r w:rsidRPr="00D652D5">
              <w:t xml:space="preserve"> 15</w:t>
            </w:r>
          </w:p>
        </w:tc>
      </w:tr>
      <w:tr w:rsidR="00A475D5" w:rsidRPr="00D652D5" w14:paraId="7EE0A58F" w14:textId="77777777" w:rsidTr="00B306BB">
        <w:trPr>
          <w:cantSplit/>
          <w:trHeight w:val="240"/>
        </w:trPr>
        <w:tc>
          <w:tcPr>
            <w:tcW w:w="3558" w:type="pct"/>
            <w:shd w:val="clear" w:color="auto" w:fill="auto"/>
          </w:tcPr>
          <w:p w14:paraId="0B679F04" w14:textId="77777777" w:rsidR="00A475D5" w:rsidRPr="00D652D5" w:rsidRDefault="00A475D5" w:rsidP="00A475D5">
            <w:pPr>
              <w:suppressAutoHyphens w:val="0"/>
              <w:spacing w:before="40" w:after="120" w:line="220" w:lineRule="exact"/>
            </w:pPr>
            <w:proofErr w:type="spellStart"/>
            <w:r w:rsidRPr="00D652D5">
              <w:t>Earthood</w:t>
            </w:r>
            <w:proofErr w:type="spellEnd"/>
            <w:r w:rsidRPr="00D652D5">
              <w:t xml:space="preserve"> Services Private Limited (</w:t>
            </w:r>
            <w:proofErr w:type="spellStart"/>
            <w:r w:rsidRPr="00D652D5">
              <w:t>Earthood</w:t>
            </w:r>
            <w:proofErr w:type="spellEnd"/>
            <w:r w:rsidRPr="00D652D5">
              <w:t>)</w:t>
            </w:r>
          </w:p>
        </w:tc>
        <w:tc>
          <w:tcPr>
            <w:tcW w:w="1442" w:type="pct"/>
            <w:shd w:val="clear" w:color="auto" w:fill="auto"/>
          </w:tcPr>
          <w:p w14:paraId="214C157A" w14:textId="4140BC1E" w:rsidR="00A475D5" w:rsidRPr="00D652D5" w:rsidRDefault="00A475D5" w:rsidP="00A475D5">
            <w:pPr>
              <w:suppressAutoHyphens w:val="0"/>
              <w:spacing w:before="40" w:after="120" w:line="220" w:lineRule="exact"/>
            </w:pPr>
            <w:r w:rsidRPr="00D652D5">
              <w:t>1, 3–7, 9, 10</w:t>
            </w:r>
            <w:r w:rsidR="00BA0166" w:rsidRPr="00D652D5">
              <w:t>,</w:t>
            </w:r>
            <w:r w:rsidRPr="00D652D5">
              <w:t xml:space="preserve"> 13–15</w:t>
            </w:r>
          </w:p>
        </w:tc>
      </w:tr>
      <w:tr w:rsidR="00A475D5" w:rsidRPr="00D652D5" w14:paraId="1917332E" w14:textId="77777777" w:rsidTr="00B306BB">
        <w:trPr>
          <w:cantSplit/>
          <w:trHeight w:val="240"/>
        </w:trPr>
        <w:tc>
          <w:tcPr>
            <w:tcW w:w="3558" w:type="pct"/>
            <w:shd w:val="clear" w:color="auto" w:fill="auto"/>
          </w:tcPr>
          <w:p w14:paraId="0B3C60A7" w14:textId="77777777" w:rsidR="00A475D5" w:rsidRPr="00D652D5" w:rsidRDefault="00A475D5" w:rsidP="00A475D5">
            <w:pPr>
              <w:suppressAutoHyphens w:val="0"/>
              <w:spacing w:before="40" w:after="120" w:line="220" w:lineRule="exact"/>
            </w:pPr>
            <w:r w:rsidRPr="00D652D5">
              <w:t>4K Earth Science Private Limited (4KES)</w:t>
            </w:r>
          </w:p>
        </w:tc>
        <w:tc>
          <w:tcPr>
            <w:tcW w:w="1442" w:type="pct"/>
            <w:shd w:val="clear" w:color="auto" w:fill="auto"/>
          </w:tcPr>
          <w:p w14:paraId="2654AA55" w14:textId="6B7DA63C" w:rsidR="00A475D5" w:rsidRPr="00D652D5" w:rsidRDefault="00A475D5" w:rsidP="00A475D5">
            <w:pPr>
              <w:suppressAutoHyphens w:val="0"/>
              <w:spacing w:before="40" w:after="120" w:line="220" w:lineRule="exact"/>
            </w:pPr>
            <w:r w:rsidRPr="00D652D5">
              <w:t>1–3, 5, 6</w:t>
            </w:r>
            <w:r w:rsidR="00BA0166" w:rsidRPr="00D652D5">
              <w:t>,</w:t>
            </w:r>
            <w:r w:rsidRPr="00D652D5">
              <w:t xml:space="preserve"> 12–15</w:t>
            </w:r>
          </w:p>
        </w:tc>
      </w:tr>
      <w:tr w:rsidR="00A475D5" w:rsidRPr="00D652D5" w14:paraId="5C40C19B" w14:textId="77777777" w:rsidTr="00B306BB">
        <w:trPr>
          <w:cantSplit/>
          <w:trHeight w:val="240"/>
        </w:trPr>
        <w:tc>
          <w:tcPr>
            <w:tcW w:w="3558" w:type="pct"/>
            <w:tcBorders>
              <w:top w:val="nil"/>
              <w:bottom w:val="single" w:sz="12" w:space="0" w:color="auto"/>
            </w:tcBorders>
            <w:shd w:val="clear" w:color="auto" w:fill="auto"/>
          </w:tcPr>
          <w:p w14:paraId="2A133D4F" w14:textId="77777777" w:rsidR="00A475D5" w:rsidRPr="00D652D5" w:rsidRDefault="00A475D5" w:rsidP="00A475D5">
            <w:pPr>
              <w:suppressAutoHyphens w:val="0"/>
              <w:spacing w:before="40" w:after="120" w:line="220" w:lineRule="exact"/>
            </w:pPr>
            <w:r w:rsidRPr="00D652D5">
              <w:t>Colombian Institute for Technical Standards and Certification (ICONTEC)</w:t>
            </w:r>
          </w:p>
        </w:tc>
        <w:tc>
          <w:tcPr>
            <w:tcW w:w="1442" w:type="pct"/>
            <w:tcBorders>
              <w:top w:val="nil"/>
              <w:bottom w:val="single" w:sz="12" w:space="0" w:color="auto"/>
            </w:tcBorders>
            <w:shd w:val="clear" w:color="auto" w:fill="auto"/>
          </w:tcPr>
          <w:p w14:paraId="3F23D21F" w14:textId="4E5F35BF" w:rsidR="00A475D5" w:rsidRPr="00D652D5" w:rsidRDefault="00A475D5" w:rsidP="00A475D5">
            <w:pPr>
              <w:suppressAutoHyphens w:val="0"/>
              <w:spacing w:before="40" w:after="120" w:line="220" w:lineRule="exact"/>
            </w:pPr>
            <w:r w:rsidRPr="00D652D5">
              <w:t>1–3, 7, 13</w:t>
            </w:r>
            <w:r w:rsidR="00BA0166" w:rsidRPr="00D652D5">
              <w:t>,</w:t>
            </w:r>
            <w:r w:rsidRPr="00D652D5">
              <w:t xml:space="preserve"> 14</w:t>
            </w:r>
          </w:p>
        </w:tc>
      </w:tr>
    </w:tbl>
    <w:p w14:paraId="3B50490D" w14:textId="77777777" w:rsidR="00A475D5" w:rsidRPr="00D652D5" w:rsidRDefault="00A475D5" w:rsidP="007F0BCC">
      <w:pPr>
        <w:pStyle w:val="FootnoteTable"/>
        <w:spacing w:before="60" w:line="200" w:lineRule="exact"/>
        <w:ind w:left="1304"/>
        <w:jc w:val="left"/>
      </w:pPr>
      <w:r w:rsidRPr="00D652D5">
        <w:rPr>
          <w:i/>
        </w:rPr>
        <w:t>Note</w:t>
      </w:r>
      <w:r w:rsidRPr="00D652D5">
        <w:t>: Accreditation granted for five years.</w:t>
      </w:r>
    </w:p>
    <w:p w14:paraId="4E3B039A" w14:textId="3C4A9B69" w:rsidR="00CB63E2" w:rsidRPr="00D652D5" w:rsidRDefault="00CB63E2" w:rsidP="00CB63E2">
      <w:pPr>
        <w:pStyle w:val="RegSingleTxtG"/>
        <w:numPr>
          <w:ilvl w:val="0"/>
          <w:numId w:val="0"/>
        </w:numPr>
        <w:ind w:left="1134"/>
        <w:jc w:val="right"/>
        <w:rPr>
          <w:i/>
        </w:rPr>
      </w:pPr>
      <w:r w:rsidRPr="00D652D5">
        <w:rPr>
          <w:i/>
        </w:rPr>
        <w:t>7</w:t>
      </w:r>
      <w:r w:rsidRPr="00D652D5">
        <w:rPr>
          <w:i/>
          <w:vertAlign w:val="superscript"/>
        </w:rPr>
        <w:t>th</w:t>
      </w:r>
      <w:r w:rsidRPr="00D652D5">
        <w:rPr>
          <w:i/>
        </w:rPr>
        <w:t xml:space="preserve"> plenary meeting</w:t>
      </w:r>
      <w:r w:rsidRPr="00D652D5">
        <w:rPr>
          <w:i/>
        </w:rPr>
        <w:br/>
        <w:t>12 December 2019</w:t>
      </w:r>
    </w:p>
    <w:p w14:paraId="6B52CD2A" w14:textId="77777777" w:rsidR="004B0811" w:rsidRPr="00D652D5" w:rsidRDefault="004B0811" w:rsidP="002E1AA5">
      <w:pPr>
        <w:ind w:left="1135" w:right="1134"/>
        <w:jc w:val="center"/>
        <w:rPr>
          <w:sz w:val="24"/>
          <w:szCs w:val="24"/>
          <w:u w:val="single"/>
        </w:rPr>
        <w:sectPr w:rsidR="004B0811" w:rsidRPr="00D652D5" w:rsidSect="002600C7">
          <w:headerReference w:type="even" r:id="rId19"/>
          <w:headerReference w:type="default" r:id="rId20"/>
          <w:footerReference w:type="even" r:id="rId21"/>
          <w:footerReference w:type="default" r:id="rId22"/>
          <w:footnotePr>
            <w:numRestart w:val="eachSect"/>
          </w:footnotePr>
          <w:pgSz w:w="11906" w:h="16838" w:code="9"/>
          <w:pgMar w:top="1418" w:right="1134" w:bottom="1134" w:left="1134" w:header="851" w:footer="567" w:gutter="0"/>
          <w:cols w:space="708"/>
          <w:docGrid w:linePitch="360"/>
        </w:sectPr>
      </w:pPr>
    </w:p>
    <w:p w14:paraId="7B9BAC61" w14:textId="465049F9" w:rsidR="004B0811" w:rsidRPr="00D652D5" w:rsidRDefault="004B0811" w:rsidP="004B0811">
      <w:pPr>
        <w:pStyle w:val="HChG"/>
      </w:pPr>
      <w:r w:rsidRPr="00D652D5">
        <w:lastRenderedPageBreak/>
        <w:tab/>
      </w:r>
      <w:r w:rsidRPr="00D652D5">
        <w:tab/>
      </w:r>
      <w:bookmarkStart w:id="8" w:name="D3"/>
      <w:r w:rsidRPr="00D652D5">
        <w:t>Decision 3/CMP.15</w:t>
      </w:r>
      <w:bookmarkEnd w:id="8"/>
    </w:p>
    <w:p w14:paraId="6295BAA5" w14:textId="5709F00F" w:rsidR="004B0811" w:rsidRPr="00D652D5" w:rsidRDefault="004B0811" w:rsidP="004B0811">
      <w:pPr>
        <w:pStyle w:val="HChG"/>
      </w:pPr>
      <w:r w:rsidRPr="00D652D5">
        <w:tab/>
      </w:r>
      <w:r w:rsidRPr="00D652D5">
        <w:tab/>
        <w:t>Report of the Adaptation Fund Board</w:t>
      </w:r>
    </w:p>
    <w:p w14:paraId="2526257C" w14:textId="77777777" w:rsidR="004B0811" w:rsidRPr="00D652D5" w:rsidRDefault="004B0811" w:rsidP="00D01D7D">
      <w:pPr>
        <w:pStyle w:val="SingleTxtG"/>
        <w:ind w:firstLine="567"/>
        <w:rPr>
          <w:i/>
          <w:spacing w:val="-4"/>
        </w:rPr>
      </w:pPr>
      <w:r w:rsidRPr="00D652D5">
        <w:rPr>
          <w:i/>
          <w:spacing w:val="-4"/>
        </w:rPr>
        <w:t>The Conference of the Parties serving as the meeting of the Parties to the Kyoto Protocol</w:t>
      </w:r>
      <w:r w:rsidRPr="00D652D5">
        <w:rPr>
          <w:spacing w:val="-4"/>
        </w:rPr>
        <w:t>,</w:t>
      </w:r>
    </w:p>
    <w:p w14:paraId="4378BBD8" w14:textId="77777777" w:rsidR="004B0811" w:rsidRPr="00D652D5" w:rsidRDefault="004B0811" w:rsidP="00D01D7D">
      <w:pPr>
        <w:pStyle w:val="SingleTxtG"/>
        <w:ind w:firstLine="567"/>
      </w:pPr>
      <w:r w:rsidRPr="00D652D5">
        <w:rPr>
          <w:i/>
        </w:rPr>
        <w:t>Recalling</w:t>
      </w:r>
      <w:r w:rsidRPr="00D652D5">
        <w:t xml:space="preserve"> decisions 1/CMP.3, 1/CMP.4, 2/CMP.10, 1/CMP.11, 2/CMP.12, 1/CMP.13 and 1/CMP.14,</w:t>
      </w:r>
    </w:p>
    <w:p w14:paraId="09CB3759" w14:textId="77777777" w:rsidR="004B0811" w:rsidRPr="00D652D5" w:rsidRDefault="004B0811" w:rsidP="00D01D7D">
      <w:pPr>
        <w:pStyle w:val="SingleTxtG"/>
        <w:ind w:firstLine="567"/>
      </w:pPr>
      <w:r w:rsidRPr="00D652D5">
        <w:rPr>
          <w:i/>
        </w:rPr>
        <w:t xml:space="preserve">Also recalling </w:t>
      </w:r>
      <w:r w:rsidRPr="00D652D5">
        <w:t>decision</w:t>
      </w:r>
      <w:r w:rsidRPr="00D652D5">
        <w:rPr>
          <w:i/>
        </w:rPr>
        <w:t xml:space="preserve"> </w:t>
      </w:r>
      <w:r w:rsidRPr="00D652D5">
        <w:t>13/CMA.1,</w:t>
      </w:r>
    </w:p>
    <w:p w14:paraId="5416F7B2" w14:textId="1FE4267D" w:rsidR="004B0811" w:rsidRPr="00D652D5" w:rsidRDefault="006C00BB" w:rsidP="006C00BB">
      <w:pPr>
        <w:pStyle w:val="RegSingleTxtG"/>
        <w:numPr>
          <w:ilvl w:val="0"/>
          <w:numId w:val="0"/>
        </w:numPr>
        <w:tabs>
          <w:tab w:val="left" w:pos="568"/>
        </w:tabs>
        <w:ind w:left="1135"/>
        <w:rPr>
          <w:i/>
          <w:szCs w:val="24"/>
        </w:rPr>
      </w:pPr>
      <w:r w:rsidRPr="00D652D5">
        <w:rPr>
          <w:szCs w:val="24"/>
        </w:rPr>
        <w:t>1.</w:t>
      </w:r>
      <w:r w:rsidRPr="00D652D5">
        <w:rPr>
          <w:szCs w:val="24"/>
        </w:rPr>
        <w:tab/>
      </w:r>
      <w:r w:rsidR="004B0811" w:rsidRPr="00D652D5">
        <w:rPr>
          <w:i/>
          <w:szCs w:val="24"/>
        </w:rPr>
        <w:t xml:space="preserve">Takes note </w:t>
      </w:r>
      <w:r w:rsidR="004B0811" w:rsidRPr="00D652D5">
        <w:rPr>
          <w:szCs w:val="24"/>
        </w:rPr>
        <w:t>of</w:t>
      </w:r>
      <w:r w:rsidR="004B0811" w:rsidRPr="00D652D5">
        <w:rPr>
          <w:i/>
          <w:szCs w:val="24"/>
        </w:rPr>
        <w:t xml:space="preserve"> </w:t>
      </w:r>
      <w:r w:rsidR="004B0811" w:rsidRPr="00D652D5">
        <w:rPr>
          <w:szCs w:val="24"/>
        </w:rPr>
        <w:t>the</w:t>
      </w:r>
      <w:r w:rsidR="004B0811" w:rsidRPr="00D652D5">
        <w:rPr>
          <w:i/>
          <w:szCs w:val="24"/>
        </w:rPr>
        <w:t xml:space="preserve"> </w:t>
      </w:r>
      <w:r w:rsidR="004B0811" w:rsidRPr="00A326A1">
        <w:t>annual</w:t>
      </w:r>
      <w:r w:rsidR="004B0811" w:rsidRPr="00D652D5">
        <w:rPr>
          <w:szCs w:val="24"/>
        </w:rPr>
        <w:t xml:space="preserve"> report of the Adaptation Fund Board and the information contained therein;</w:t>
      </w:r>
      <w:r w:rsidR="004B0811" w:rsidRPr="00D652D5">
        <w:rPr>
          <w:sz w:val="18"/>
          <w:szCs w:val="18"/>
          <w:vertAlign w:val="superscript"/>
        </w:rPr>
        <w:footnoteReference w:id="4"/>
      </w:r>
    </w:p>
    <w:p w14:paraId="10294182" w14:textId="22A49B3D" w:rsidR="004B0811" w:rsidRPr="00D652D5" w:rsidRDefault="006C00BB" w:rsidP="006C00BB">
      <w:pPr>
        <w:pStyle w:val="RegSingleTxtG"/>
        <w:numPr>
          <w:ilvl w:val="0"/>
          <w:numId w:val="0"/>
        </w:numPr>
        <w:tabs>
          <w:tab w:val="left" w:pos="568"/>
        </w:tabs>
        <w:ind w:left="1135"/>
        <w:rPr>
          <w:i/>
          <w:szCs w:val="24"/>
        </w:rPr>
      </w:pPr>
      <w:r w:rsidRPr="00D652D5">
        <w:rPr>
          <w:szCs w:val="24"/>
        </w:rPr>
        <w:t>2.</w:t>
      </w:r>
      <w:r w:rsidRPr="00D652D5">
        <w:rPr>
          <w:szCs w:val="24"/>
        </w:rPr>
        <w:tab/>
      </w:r>
      <w:r w:rsidR="004B0811" w:rsidRPr="00D652D5">
        <w:rPr>
          <w:i/>
          <w:szCs w:val="24"/>
        </w:rPr>
        <w:t xml:space="preserve">Notes </w:t>
      </w:r>
      <w:r w:rsidR="004B0811" w:rsidRPr="00D652D5">
        <w:rPr>
          <w:szCs w:val="24"/>
        </w:rPr>
        <w:t xml:space="preserve">the </w:t>
      </w:r>
      <w:r w:rsidR="004B0811" w:rsidRPr="00A326A1">
        <w:t>following</w:t>
      </w:r>
      <w:r w:rsidR="004B0811" w:rsidRPr="00D652D5">
        <w:rPr>
          <w:szCs w:val="24"/>
        </w:rPr>
        <w:t xml:space="preserve"> information, actions and decisions relating to the Adaptation Fund Board presented in the report referred to in paragraph 1 above:</w:t>
      </w:r>
    </w:p>
    <w:p w14:paraId="19C2C38A" w14:textId="317CFA8C" w:rsidR="004B0811" w:rsidRPr="00D652D5" w:rsidRDefault="006C00BB" w:rsidP="006C00BB">
      <w:pPr>
        <w:pStyle w:val="RegSingleTxtG2"/>
        <w:tabs>
          <w:tab w:val="left" w:pos="720"/>
          <w:tab w:val="left" w:pos="1701"/>
        </w:tabs>
        <w:ind w:left="1134" w:firstLine="567"/>
        <w:rPr>
          <w:i/>
          <w:iCs/>
        </w:rPr>
      </w:pPr>
      <w:r w:rsidRPr="00D652D5">
        <w:rPr>
          <w:iCs/>
        </w:rPr>
        <w:t>(a)</w:t>
      </w:r>
      <w:r w:rsidRPr="00D652D5">
        <w:rPr>
          <w:iCs/>
        </w:rPr>
        <w:tab/>
      </w:r>
      <w:r w:rsidR="06729811">
        <w:t>The accreditation of 31 national implementing entities for accessing resources from the Adaptation Fund directly as at 11 October 2019;</w:t>
      </w:r>
    </w:p>
    <w:p w14:paraId="5FD43828" w14:textId="286B2526" w:rsidR="004B0811" w:rsidRPr="00D652D5" w:rsidRDefault="006C00BB" w:rsidP="006C00BB">
      <w:pPr>
        <w:pStyle w:val="RegSingleTxtG2"/>
        <w:tabs>
          <w:tab w:val="left" w:pos="720"/>
          <w:tab w:val="left" w:pos="1701"/>
        </w:tabs>
        <w:ind w:left="1134" w:firstLine="567"/>
        <w:rPr>
          <w:i/>
          <w:szCs w:val="24"/>
        </w:rPr>
      </w:pPr>
      <w:r w:rsidRPr="00D652D5">
        <w:rPr>
          <w:szCs w:val="24"/>
        </w:rPr>
        <w:t>(b)</w:t>
      </w:r>
      <w:r w:rsidRPr="00D652D5">
        <w:rPr>
          <w:szCs w:val="24"/>
        </w:rPr>
        <w:tab/>
      </w:r>
      <w:r w:rsidR="004B0811" w:rsidRPr="00D652D5">
        <w:rPr>
          <w:szCs w:val="24"/>
        </w:rPr>
        <w:t xml:space="preserve">Cumulative project </w:t>
      </w:r>
      <w:r w:rsidR="004B0811" w:rsidRPr="00A326A1">
        <w:t>and</w:t>
      </w:r>
      <w:r w:rsidR="004B0811" w:rsidRPr="00D652D5">
        <w:rPr>
          <w:szCs w:val="24"/>
        </w:rPr>
        <w:t xml:space="preserve"> programme approvals reaching USD 720.0 million as at 11 October 2019; </w:t>
      </w:r>
    </w:p>
    <w:p w14:paraId="6B7B4B1E" w14:textId="7CCB9048" w:rsidR="004B0811" w:rsidRPr="00D652D5" w:rsidRDefault="006C00BB" w:rsidP="006C00BB">
      <w:pPr>
        <w:pStyle w:val="RegSingleTxtG2"/>
        <w:tabs>
          <w:tab w:val="left" w:pos="720"/>
          <w:tab w:val="left" w:pos="1701"/>
        </w:tabs>
        <w:ind w:left="1134" w:firstLine="567"/>
        <w:rPr>
          <w:szCs w:val="24"/>
        </w:rPr>
      </w:pPr>
      <w:r w:rsidRPr="00D652D5">
        <w:rPr>
          <w:szCs w:val="24"/>
        </w:rPr>
        <w:t>(c)</w:t>
      </w:r>
      <w:r w:rsidRPr="00D652D5">
        <w:rPr>
          <w:szCs w:val="24"/>
        </w:rPr>
        <w:tab/>
      </w:r>
      <w:r w:rsidR="004B0811" w:rsidRPr="00D652D5">
        <w:rPr>
          <w:szCs w:val="24"/>
        </w:rPr>
        <w:t xml:space="preserve">Funds available for </w:t>
      </w:r>
      <w:r w:rsidR="004B0811" w:rsidRPr="00A326A1">
        <w:t>new</w:t>
      </w:r>
      <w:r w:rsidR="004B0811" w:rsidRPr="00D652D5">
        <w:rPr>
          <w:szCs w:val="24"/>
        </w:rPr>
        <w:t xml:space="preserve"> funding approvals amounting to USD </w:t>
      </w:r>
      <w:r w:rsidR="004B0811" w:rsidRPr="00D652D5">
        <w:rPr>
          <w:lang w:eastAsia="en-US"/>
        </w:rPr>
        <w:t>112.5</w:t>
      </w:r>
      <w:r w:rsidR="004B0811" w:rsidRPr="00D652D5">
        <w:rPr>
          <w:szCs w:val="24"/>
        </w:rPr>
        <w:t xml:space="preserve"> million as at 11 October 2019; </w:t>
      </w:r>
    </w:p>
    <w:p w14:paraId="73FDB003" w14:textId="79563F69" w:rsidR="004B0811" w:rsidRPr="00D652D5" w:rsidRDefault="006C00BB" w:rsidP="006C00BB">
      <w:pPr>
        <w:pStyle w:val="RegSingleTxtG2"/>
        <w:tabs>
          <w:tab w:val="left" w:pos="720"/>
          <w:tab w:val="left" w:pos="1701"/>
        </w:tabs>
        <w:ind w:left="1134" w:firstLine="567"/>
        <w:rPr>
          <w:szCs w:val="24"/>
        </w:rPr>
      </w:pPr>
      <w:r w:rsidRPr="00D652D5">
        <w:rPr>
          <w:szCs w:val="24"/>
        </w:rPr>
        <w:t>(d)</w:t>
      </w:r>
      <w:r w:rsidRPr="00D652D5">
        <w:rPr>
          <w:szCs w:val="24"/>
        </w:rPr>
        <w:tab/>
      </w:r>
      <w:r w:rsidR="004B0811" w:rsidRPr="00D652D5">
        <w:rPr>
          <w:szCs w:val="24"/>
        </w:rPr>
        <w:t xml:space="preserve">The value of projects </w:t>
      </w:r>
      <w:r w:rsidR="004B0811" w:rsidRPr="00A326A1">
        <w:t>and</w:t>
      </w:r>
      <w:r w:rsidR="004B0811" w:rsidRPr="00D652D5">
        <w:rPr>
          <w:szCs w:val="24"/>
        </w:rPr>
        <w:t xml:space="preserve"> programmes in the active pipeline estimated at over USD 248.8 million as at 30 September 2019; </w:t>
      </w:r>
    </w:p>
    <w:p w14:paraId="66565581" w14:textId="650E86CC" w:rsidR="004B0811" w:rsidRPr="00D652D5" w:rsidRDefault="006C00BB" w:rsidP="006C00BB">
      <w:pPr>
        <w:pStyle w:val="RegSingleTxtG2"/>
        <w:tabs>
          <w:tab w:val="left" w:pos="720"/>
          <w:tab w:val="left" w:pos="1701"/>
        </w:tabs>
        <w:ind w:left="1134" w:firstLine="567"/>
        <w:rPr>
          <w:szCs w:val="24"/>
        </w:rPr>
      </w:pPr>
      <w:r w:rsidRPr="00D652D5">
        <w:rPr>
          <w:szCs w:val="24"/>
        </w:rPr>
        <w:t>(e)</w:t>
      </w:r>
      <w:r w:rsidRPr="00D652D5">
        <w:rPr>
          <w:szCs w:val="24"/>
        </w:rPr>
        <w:tab/>
      </w:r>
      <w:r w:rsidR="004B0811" w:rsidRPr="00D652D5">
        <w:rPr>
          <w:szCs w:val="24"/>
        </w:rPr>
        <w:t>The approval of funding decisions for readiness grants amounting to USD 167,110, consisting of USD 99,910 in South–South cooperation grants and a USD 67,200 technical assistance grant for the environmental and social safeguards policy and the gender policy;</w:t>
      </w:r>
    </w:p>
    <w:p w14:paraId="191B1DCB" w14:textId="5F052FFB" w:rsidR="004B0811" w:rsidRPr="00D652D5" w:rsidRDefault="006C00BB" w:rsidP="006C00BB">
      <w:pPr>
        <w:pStyle w:val="RegSingleTxtG2"/>
        <w:tabs>
          <w:tab w:val="left" w:pos="720"/>
          <w:tab w:val="left" w:pos="1701"/>
        </w:tabs>
        <w:ind w:left="1134" w:firstLine="567"/>
        <w:rPr>
          <w:szCs w:val="24"/>
        </w:rPr>
      </w:pPr>
      <w:r w:rsidRPr="00D652D5">
        <w:rPr>
          <w:szCs w:val="24"/>
        </w:rPr>
        <w:t>(f)</w:t>
      </w:r>
      <w:r w:rsidRPr="00D652D5">
        <w:rPr>
          <w:szCs w:val="24"/>
        </w:rPr>
        <w:tab/>
      </w:r>
      <w:r w:rsidR="004B0811" w:rsidRPr="00D652D5">
        <w:rPr>
          <w:szCs w:val="24"/>
        </w:rPr>
        <w:t>The cumulative receipts of USD 887.1</w:t>
      </w:r>
      <w:r w:rsidR="004B0811" w:rsidRPr="00D652D5">
        <w:t xml:space="preserve"> </w:t>
      </w:r>
      <w:r w:rsidR="004B0811" w:rsidRPr="00D652D5">
        <w:rPr>
          <w:szCs w:val="24"/>
        </w:rPr>
        <w:t>million into the Adaptation Fund Trust Fund, as at 30 June 2019, comprising USD 201.4 million from the monetization of certified emission reductions, USD 657.9 million from additional contributions and USD 27.8 million from investment income earned on the Trust Fund balance;</w:t>
      </w:r>
    </w:p>
    <w:p w14:paraId="4052A5C0" w14:textId="617BA210" w:rsidR="004B0811" w:rsidRPr="00D652D5" w:rsidRDefault="006C00BB" w:rsidP="006C00BB">
      <w:pPr>
        <w:pStyle w:val="RegSingleTxtG2"/>
        <w:tabs>
          <w:tab w:val="left" w:pos="720"/>
          <w:tab w:val="left" w:pos="1701"/>
        </w:tabs>
        <w:ind w:left="1134" w:firstLine="567"/>
        <w:rPr>
          <w:szCs w:val="24"/>
        </w:rPr>
      </w:pPr>
      <w:r w:rsidRPr="00D652D5">
        <w:rPr>
          <w:szCs w:val="24"/>
        </w:rPr>
        <w:t>(g)</w:t>
      </w:r>
      <w:r w:rsidRPr="00D652D5">
        <w:rPr>
          <w:szCs w:val="24"/>
        </w:rPr>
        <w:tab/>
      </w:r>
      <w:r w:rsidR="004B0811" w:rsidRPr="00D652D5">
        <w:rPr>
          <w:szCs w:val="24"/>
        </w:rPr>
        <w:t>Activities implemented under the first medium-term strategy for the Fund for 2018–2022, including the launch of new grant funding windows for innovation, learning and project scale-up; a country exchange in Chile hosted by its national implementing entity, the Chilean Agency of International Cooperation for Development; and the facilitation of the first independent meeting of the Community of Practice for Direct Access Entities in partnership with the Green Climate Fund, the Africa Climate Change Fund of the African Development Bank and the South African National Biodiversity Institute;</w:t>
      </w:r>
    </w:p>
    <w:p w14:paraId="3DAD88A6" w14:textId="67B40EB0" w:rsidR="004B0811" w:rsidRPr="00D652D5" w:rsidRDefault="006C00BB" w:rsidP="006C00BB">
      <w:pPr>
        <w:pStyle w:val="RegSingleTxtG2"/>
        <w:tabs>
          <w:tab w:val="left" w:pos="720"/>
          <w:tab w:val="left" w:pos="1701"/>
        </w:tabs>
        <w:ind w:left="1134" w:firstLine="567"/>
        <w:rPr>
          <w:szCs w:val="24"/>
        </w:rPr>
      </w:pPr>
      <w:bookmarkStart w:id="9" w:name="_Hlk26979502"/>
      <w:r w:rsidRPr="00D652D5">
        <w:rPr>
          <w:szCs w:val="24"/>
        </w:rPr>
        <w:t>(h)</w:t>
      </w:r>
      <w:r w:rsidRPr="00D652D5">
        <w:rPr>
          <w:szCs w:val="24"/>
        </w:rPr>
        <w:tab/>
      </w:r>
      <w:r w:rsidR="004B0811" w:rsidRPr="00D652D5">
        <w:rPr>
          <w:szCs w:val="24"/>
        </w:rPr>
        <w:t>The approval, during fiscal year 2019 (1 July 2018 to 30 June 2019), of six single-country project or programme proposals submitted by implementing entities, totalling USD 30.9 million, including three proposals submitted by national implementing entities amounting to USD 13.9 million, one proposal submitted by a regional implementing entity to the amount of USD 2.5 million, and two proposals submitted by multilateral implementing entities to the amount of USD 14.5 million;</w:t>
      </w:r>
    </w:p>
    <w:p w14:paraId="4560103C" w14:textId="2541C876" w:rsidR="004B0811" w:rsidRPr="00D652D5" w:rsidRDefault="006C00BB" w:rsidP="006C00BB">
      <w:pPr>
        <w:pStyle w:val="RegSingleTxtG2"/>
        <w:tabs>
          <w:tab w:val="left" w:pos="720"/>
          <w:tab w:val="left" w:pos="1701"/>
        </w:tabs>
        <w:ind w:left="1134" w:firstLine="567"/>
        <w:rPr>
          <w:szCs w:val="24"/>
        </w:rPr>
      </w:pPr>
      <w:r w:rsidRPr="00D652D5">
        <w:rPr>
          <w:szCs w:val="24"/>
        </w:rPr>
        <w:t>(</w:t>
      </w:r>
      <w:proofErr w:type="spellStart"/>
      <w:r w:rsidRPr="00D652D5">
        <w:rPr>
          <w:szCs w:val="24"/>
        </w:rPr>
        <w:t>i</w:t>
      </w:r>
      <w:proofErr w:type="spellEnd"/>
      <w:r w:rsidRPr="00D652D5">
        <w:rPr>
          <w:szCs w:val="24"/>
        </w:rPr>
        <w:t>)</w:t>
      </w:r>
      <w:r w:rsidRPr="00D652D5">
        <w:rPr>
          <w:szCs w:val="24"/>
        </w:rPr>
        <w:tab/>
      </w:r>
      <w:r w:rsidR="004B0811" w:rsidRPr="00D652D5">
        <w:rPr>
          <w:szCs w:val="24"/>
        </w:rPr>
        <w:t xml:space="preserve">The approval, during fiscal year 2020 (1 July 2019 to 30 June 2020), of 11 single-country project/programme proposals submitted by implementing entities, totalling USD 85.2 million, including one proposal submitted by a national implementing entity to the amount of USD 0.8 million, one proposal submitted by a regional implementing entity to the amount of USD 9.9 million, and nine proposals submitted by multilateral implementing entities to the amount of USD 74.5 million, and of two innovation small grants submitted by </w:t>
      </w:r>
      <w:r w:rsidR="004B0811" w:rsidRPr="00D652D5">
        <w:rPr>
          <w:szCs w:val="24"/>
        </w:rPr>
        <w:lastRenderedPageBreak/>
        <w:t>national implementing entities to the amount of USD 0.5 million and one project scale-up grant to the amount of USD 0.1 million;</w:t>
      </w:r>
    </w:p>
    <w:p w14:paraId="115BB606" w14:textId="59E0EF1B" w:rsidR="004B0811" w:rsidRPr="00D652D5" w:rsidRDefault="006C00BB" w:rsidP="006C00BB">
      <w:pPr>
        <w:pStyle w:val="RegSingleTxtG2"/>
        <w:tabs>
          <w:tab w:val="left" w:pos="720"/>
          <w:tab w:val="left" w:pos="1701"/>
        </w:tabs>
        <w:ind w:left="1134" w:firstLine="567"/>
        <w:rPr>
          <w:szCs w:val="24"/>
        </w:rPr>
      </w:pPr>
      <w:r w:rsidRPr="00D652D5">
        <w:rPr>
          <w:szCs w:val="24"/>
        </w:rPr>
        <w:t>(j)</w:t>
      </w:r>
      <w:r w:rsidRPr="00D652D5">
        <w:rPr>
          <w:szCs w:val="24"/>
        </w:rPr>
        <w:tab/>
      </w:r>
      <w:r w:rsidR="004B0811" w:rsidRPr="00D652D5">
        <w:rPr>
          <w:szCs w:val="24"/>
        </w:rPr>
        <w:t>The approval, during fiscal year 2019 (1 July 2018 to 30 June 2019), of five regional (multi-country) projects with funding totalling USD 55.8 million;</w:t>
      </w:r>
    </w:p>
    <w:p w14:paraId="0662D10F" w14:textId="688538CD" w:rsidR="004B0811" w:rsidRPr="00D652D5" w:rsidRDefault="006C00BB" w:rsidP="006C00BB">
      <w:pPr>
        <w:pStyle w:val="RegSingleTxtG2"/>
        <w:tabs>
          <w:tab w:val="left" w:pos="720"/>
          <w:tab w:val="left" w:pos="1701"/>
        </w:tabs>
        <w:ind w:left="1134" w:firstLine="567"/>
        <w:rPr>
          <w:szCs w:val="24"/>
        </w:rPr>
      </w:pPr>
      <w:r w:rsidRPr="00D652D5">
        <w:rPr>
          <w:szCs w:val="24"/>
        </w:rPr>
        <w:t>(k)</w:t>
      </w:r>
      <w:r w:rsidRPr="00D652D5">
        <w:rPr>
          <w:szCs w:val="24"/>
        </w:rPr>
        <w:tab/>
      </w:r>
      <w:r w:rsidR="004B0811" w:rsidRPr="00D652D5">
        <w:rPr>
          <w:szCs w:val="24"/>
        </w:rPr>
        <w:t>The approval, during fiscal year 2020 (1 July 2019 to 30 June 2020), of five regional (multi-country) projects, with total funding of USD 60.0 million, and of two global innovation aggregator programmes implemented by multilateral implementing entities to the amount of USD 10.0 million, as well as the decision to provide funding up to the amount of USD 60.0 million for regional project and programme proposals;</w:t>
      </w:r>
    </w:p>
    <w:bookmarkEnd w:id="9"/>
    <w:p w14:paraId="17FAEDDD" w14:textId="5E6F2256" w:rsidR="004B0811" w:rsidRPr="00D652D5" w:rsidRDefault="006C00BB" w:rsidP="006C00BB">
      <w:pPr>
        <w:pStyle w:val="RegSingleTxtG"/>
        <w:numPr>
          <w:ilvl w:val="0"/>
          <w:numId w:val="0"/>
        </w:numPr>
        <w:tabs>
          <w:tab w:val="left" w:pos="568"/>
        </w:tabs>
        <w:ind w:left="1135"/>
        <w:rPr>
          <w:szCs w:val="24"/>
          <w:u w:val="single"/>
        </w:rPr>
      </w:pPr>
      <w:r w:rsidRPr="00D652D5">
        <w:rPr>
          <w:szCs w:val="24"/>
        </w:rPr>
        <w:t>3.</w:t>
      </w:r>
      <w:r w:rsidRPr="00D652D5">
        <w:rPr>
          <w:szCs w:val="24"/>
        </w:rPr>
        <w:tab/>
      </w:r>
      <w:r w:rsidR="004B0811" w:rsidRPr="00D652D5">
        <w:rPr>
          <w:i/>
          <w:szCs w:val="24"/>
        </w:rPr>
        <w:t>Welcomes</w:t>
      </w:r>
      <w:r w:rsidR="004B0811" w:rsidRPr="00D652D5">
        <w:rPr>
          <w:szCs w:val="24"/>
        </w:rPr>
        <w:t xml:space="preserve"> the financial pledges and contributions to the Adaptation Fund made by the Governments of Germany, Ireland, Norway, Poland, Spain and Switzerland, the governments of the Brussels-Capital, Flanders and Walloon Regions of Belgium, and the provincial government of Quebec, equivalent to USD 75.4 million;</w:t>
      </w:r>
    </w:p>
    <w:p w14:paraId="108400B8" w14:textId="02D91E61" w:rsidR="004B0811" w:rsidRPr="00D652D5" w:rsidRDefault="006C00BB" w:rsidP="006C00BB">
      <w:pPr>
        <w:pStyle w:val="RegSingleTxtG"/>
        <w:numPr>
          <w:ilvl w:val="0"/>
          <w:numId w:val="0"/>
        </w:numPr>
        <w:tabs>
          <w:tab w:val="left" w:pos="568"/>
        </w:tabs>
        <w:ind w:left="1135"/>
        <w:rPr>
          <w:szCs w:val="24"/>
          <w:u w:val="single"/>
        </w:rPr>
      </w:pPr>
      <w:r w:rsidRPr="00D652D5">
        <w:rPr>
          <w:szCs w:val="24"/>
        </w:rPr>
        <w:t>4.</w:t>
      </w:r>
      <w:r w:rsidRPr="00D652D5">
        <w:rPr>
          <w:szCs w:val="24"/>
        </w:rPr>
        <w:tab/>
      </w:r>
      <w:r w:rsidR="004B0811" w:rsidRPr="00D652D5">
        <w:rPr>
          <w:i/>
          <w:szCs w:val="24"/>
        </w:rPr>
        <w:t>Also welcomes</w:t>
      </w:r>
      <w:r w:rsidR="004B0811" w:rsidRPr="00D652D5">
        <w:rPr>
          <w:szCs w:val="24"/>
        </w:rPr>
        <w:t xml:space="preserve"> the first multi-annual financial pledge to the Adaptation Fund, made by the Government of Sweden, equivalent to USD 54.2 million, of which the first annual contribution is USD 13 million;</w:t>
      </w:r>
    </w:p>
    <w:p w14:paraId="331C469F" w14:textId="1E1ABD33" w:rsidR="004B0811" w:rsidRPr="00D652D5" w:rsidRDefault="006C00BB" w:rsidP="006C00BB">
      <w:pPr>
        <w:pStyle w:val="RegSingleTxtG"/>
        <w:numPr>
          <w:ilvl w:val="0"/>
          <w:numId w:val="0"/>
        </w:numPr>
        <w:tabs>
          <w:tab w:val="left" w:pos="568"/>
        </w:tabs>
        <w:ind w:left="1135"/>
        <w:rPr>
          <w:szCs w:val="24"/>
          <w:u w:val="single"/>
        </w:rPr>
      </w:pPr>
      <w:r w:rsidRPr="00D652D5">
        <w:rPr>
          <w:szCs w:val="24"/>
        </w:rPr>
        <w:t>5.</w:t>
      </w:r>
      <w:r w:rsidRPr="00D652D5">
        <w:rPr>
          <w:szCs w:val="24"/>
        </w:rPr>
        <w:tab/>
      </w:r>
      <w:r w:rsidR="004B0811" w:rsidRPr="00D652D5">
        <w:rPr>
          <w:i/>
          <w:szCs w:val="24"/>
        </w:rPr>
        <w:t xml:space="preserve">Reiterates </w:t>
      </w:r>
      <w:r w:rsidR="004B0811" w:rsidRPr="00D652D5">
        <w:rPr>
          <w:szCs w:val="24"/>
        </w:rPr>
        <w:t>the</w:t>
      </w:r>
      <w:r w:rsidR="004B0811" w:rsidRPr="00D652D5">
        <w:rPr>
          <w:i/>
          <w:szCs w:val="24"/>
        </w:rPr>
        <w:t xml:space="preserve"> </w:t>
      </w:r>
      <w:r w:rsidR="004B0811" w:rsidRPr="00D652D5">
        <w:rPr>
          <w:szCs w:val="24"/>
        </w:rPr>
        <w:t>encouragement of the scaling up of financial resources, including the provision of voluntary support, that are additional to the share of proceeds levied on certified emission reductions in order to support the resource mobilization efforts of the Adaptation Fund Board with a view to strengthening the Adaptation Fund;</w:t>
      </w:r>
      <w:r w:rsidR="004B0811" w:rsidRPr="00D652D5">
        <w:rPr>
          <w:sz w:val="18"/>
          <w:szCs w:val="24"/>
          <w:vertAlign w:val="superscript"/>
        </w:rPr>
        <w:footnoteReference w:id="5"/>
      </w:r>
      <w:r w:rsidR="004B0811" w:rsidRPr="00D652D5">
        <w:rPr>
          <w:szCs w:val="24"/>
        </w:rPr>
        <w:t xml:space="preserve"> </w:t>
      </w:r>
    </w:p>
    <w:p w14:paraId="5ECE08F1" w14:textId="6B75B7D8" w:rsidR="004B0811" w:rsidRPr="00D652D5" w:rsidRDefault="006C00BB" w:rsidP="006C00BB">
      <w:pPr>
        <w:pStyle w:val="RegSingleTxtG"/>
        <w:numPr>
          <w:ilvl w:val="0"/>
          <w:numId w:val="0"/>
        </w:numPr>
        <w:tabs>
          <w:tab w:val="left" w:pos="568"/>
        </w:tabs>
        <w:ind w:left="1135"/>
        <w:rPr>
          <w:szCs w:val="24"/>
        </w:rPr>
      </w:pPr>
      <w:r w:rsidRPr="00D652D5">
        <w:rPr>
          <w:szCs w:val="24"/>
        </w:rPr>
        <w:t>6.</w:t>
      </w:r>
      <w:r w:rsidRPr="00D652D5">
        <w:rPr>
          <w:szCs w:val="24"/>
        </w:rPr>
        <w:tab/>
      </w:r>
      <w:r w:rsidR="004B0811" w:rsidRPr="00D652D5">
        <w:rPr>
          <w:i/>
          <w:lang w:eastAsia="en-US"/>
        </w:rPr>
        <w:t>Adopts</w:t>
      </w:r>
      <w:r w:rsidR="004B0811" w:rsidRPr="00D652D5">
        <w:rPr>
          <w:lang w:eastAsia="en-US"/>
        </w:rPr>
        <w:t xml:space="preserve"> the amended and restated </w:t>
      </w:r>
      <w:r w:rsidR="004B0811" w:rsidRPr="00A326A1">
        <w:rPr>
          <w:szCs w:val="24"/>
        </w:rPr>
        <w:t>terms</w:t>
      </w:r>
      <w:r w:rsidR="004B0811" w:rsidRPr="00D652D5">
        <w:rPr>
          <w:lang w:eastAsia="en-US"/>
        </w:rPr>
        <w:t xml:space="preserve"> and conditions of services to be provided by the World Bank as an interim trustee of the Adaptation Fund;</w:t>
      </w:r>
      <w:r w:rsidR="004B0811" w:rsidRPr="00D652D5">
        <w:rPr>
          <w:sz w:val="18"/>
          <w:vertAlign w:val="superscript"/>
          <w:lang w:eastAsia="en-US"/>
        </w:rPr>
        <w:footnoteReference w:id="6"/>
      </w:r>
    </w:p>
    <w:p w14:paraId="2139F4D2" w14:textId="086024F0" w:rsidR="004B0811" w:rsidRPr="00D652D5" w:rsidRDefault="006C00BB" w:rsidP="006C00BB">
      <w:pPr>
        <w:pStyle w:val="RegSingleTxtG"/>
        <w:numPr>
          <w:ilvl w:val="0"/>
          <w:numId w:val="0"/>
        </w:numPr>
        <w:tabs>
          <w:tab w:val="left" w:pos="568"/>
        </w:tabs>
        <w:ind w:left="1135"/>
        <w:rPr>
          <w:szCs w:val="24"/>
        </w:rPr>
      </w:pPr>
      <w:r w:rsidRPr="00D652D5">
        <w:rPr>
          <w:szCs w:val="24"/>
        </w:rPr>
        <w:t>7.</w:t>
      </w:r>
      <w:r w:rsidRPr="00D652D5">
        <w:rPr>
          <w:szCs w:val="24"/>
        </w:rPr>
        <w:tab/>
      </w:r>
      <w:r w:rsidR="004B0811" w:rsidRPr="00D652D5">
        <w:rPr>
          <w:i/>
          <w:lang w:eastAsia="en-US"/>
        </w:rPr>
        <w:t>Also adopts</w:t>
      </w:r>
      <w:r w:rsidR="004B0811" w:rsidRPr="00D652D5">
        <w:rPr>
          <w:lang w:eastAsia="en-US"/>
        </w:rPr>
        <w:t xml:space="preserve"> the amended and restated memorandum of understanding between the Conference of the Parties serving as the meeting of the Parties to the Kyoto Protocol and the Council of the Global Environment Facility regarding secretariat services to the Adaptation Fund Board.</w:t>
      </w:r>
      <w:r w:rsidR="004B0811" w:rsidRPr="00D652D5">
        <w:rPr>
          <w:sz w:val="18"/>
          <w:vertAlign w:val="superscript"/>
          <w:lang w:eastAsia="en-US"/>
        </w:rPr>
        <w:footnoteReference w:id="7"/>
      </w:r>
    </w:p>
    <w:p w14:paraId="4771EC03" w14:textId="77777777" w:rsidR="004B0811" w:rsidRPr="00D652D5" w:rsidRDefault="004B0811" w:rsidP="004B0811">
      <w:pPr>
        <w:pStyle w:val="RegSingleTxtG"/>
        <w:numPr>
          <w:ilvl w:val="0"/>
          <w:numId w:val="0"/>
        </w:numPr>
        <w:ind w:left="1134"/>
        <w:jc w:val="right"/>
        <w:rPr>
          <w:i/>
        </w:rPr>
      </w:pPr>
      <w:r w:rsidRPr="00D652D5">
        <w:rPr>
          <w:i/>
        </w:rPr>
        <w:t>8</w:t>
      </w:r>
      <w:r w:rsidRPr="00D652D5">
        <w:rPr>
          <w:i/>
          <w:vertAlign w:val="superscript"/>
        </w:rPr>
        <w:t>th</w:t>
      </w:r>
      <w:r w:rsidRPr="00D652D5">
        <w:rPr>
          <w:i/>
        </w:rPr>
        <w:t xml:space="preserve"> plenary meeting</w:t>
      </w:r>
      <w:r w:rsidRPr="00D652D5">
        <w:rPr>
          <w:i/>
        </w:rPr>
        <w:br/>
        <w:t>15 December 2019</w:t>
      </w:r>
    </w:p>
    <w:p w14:paraId="47F35521" w14:textId="77777777" w:rsidR="003077F3" w:rsidRDefault="003077F3">
      <w:pPr>
        <w:suppressAutoHyphens w:val="0"/>
        <w:spacing w:line="240" w:lineRule="auto"/>
        <w:rPr>
          <w:sz w:val="24"/>
          <w:szCs w:val="24"/>
          <w:u w:val="single"/>
        </w:rPr>
        <w:sectPr w:rsidR="003077F3" w:rsidSect="00EA4A64">
          <w:headerReference w:type="even" r:id="rId23"/>
          <w:headerReference w:type="default" r:id="rId24"/>
          <w:footerReference w:type="even" r:id="rId25"/>
          <w:footerReference w:type="default" r:id="rId26"/>
          <w:footnotePr>
            <w:numRestart w:val="eachSect"/>
          </w:footnotePr>
          <w:pgSz w:w="11906" w:h="16838" w:code="9"/>
          <w:pgMar w:top="1417" w:right="1134" w:bottom="1134" w:left="1134" w:header="850" w:footer="567" w:gutter="0"/>
          <w:cols w:space="708"/>
          <w:docGrid w:linePitch="360"/>
        </w:sectPr>
      </w:pPr>
    </w:p>
    <w:p w14:paraId="7878131E" w14:textId="502A75B0" w:rsidR="003077F3" w:rsidRPr="003077F3" w:rsidRDefault="003077F3" w:rsidP="003077F3">
      <w:pPr>
        <w:pStyle w:val="HChG"/>
      </w:pPr>
      <w:r>
        <w:lastRenderedPageBreak/>
        <w:tab/>
      </w:r>
      <w:r>
        <w:tab/>
      </w:r>
      <w:bookmarkStart w:id="10" w:name="D4"/>
      <w:r w:rsidRPr="003077F3">
        <w:t>Decision 4/CMP.15</w:t>
      </w:r>
      <w:bookmarkEnd w:id="10"/>
    </w:p>
    <w:p w14:paraId="2FD2E88F" w14:textId="5FE1F29A" w:rsidR="003077F3" w:rsidRDefault="003077F3" w:rsidP="003077F3">
      <w:pPr>
        <w:pStyle w:val="HChG"/>
      </w:pPr>
      <w:bookmarkStart w:id="11" w:name="_Hlk27656741"/>
      <w:r>
        <w:tab/>
      </w:r>
      <w:r>
        <w:tab/>
      </w:r>
      <w:r w:rsidRPr="00E26C9B">
        <w:t xml:space="preserve">Workplan of the forum on the impact of the implementation of response measures and its Katowice Committee of Experts on the Impacts of the Implementation of Response Measures </w:t>
      </w:r>
      <w:bookmarkEnd w:id="11"/>
    </w:p>
    <w:p w14:paraId="4930721E" w14:textId="77777777" w:rsidR="003077F3" w:rsidRPr="00E26C9B" w:rsidRDefault="003077F3" w:rsidP="003077F3">
      <w:pPr>
        <w:pStyle w:val="RegSingleTxtG"/>
        <w:numPr>
          <w:ilvl w:val="0"/>
          <w:numId w:val="0"/>
        </w:numPr>
        <w:ind w:left="1134"/>
      </w:pPr>
      <w:r>
        <w:tab/>
      </w:r>
      <w:r w:rsidRPr="00E26C9B">
        <w:rPr>
          <w:b/>
        </w:rPr>
        <w:tab/>
      </w:r>
      <w:r w:rsidRPr="00E26C9B">
        <w:rPr>
          <w:i/>
        </w:rPr>
        <w:t>The Conference of the Parties</w:t>
      </w:r>
      <w:r>
        <w:rPr>
          <w:i/>
        </w:rPr>
        <w:t xml:space="preserve">, </w:t>
      </w:r>
      <w:r w:rsidRPr="00E26C9B">
        <w:rPr>
          <w:i/>
        </w:rPr>
        <w:t>the Conference of the Parties serving as the meeting of the Parties to the Kyoto Protocol</w:t>
      </w:r>
      <w:r>
        <w:rPr>
          <w:i/>
        </w:rPr>
        <w:t>, and</w:t>
      </w:r>
      <w:r w:rsidRPr="00E26C9B">
        <w:rPr>
          <w:i/>
        </w:rPr>
        <w:t xml:space="preserve"> the Conference of the Parties serving as the meeting of the Parties to the Paris Agreement</w:t>
      </w:r>
      <w:r w:rsidRPr="00E26C9B">
        <w:t xml:space="preserve">, </w:t>
      </w:r>
    </w:p>
    <w:p w14:paraId="6296BD44" w14:textId="77777777" w:rsidR="003077F3" w:rsidRPr="00915395" w:rsidRDefault="003077F3" w:rsidP="003077F3">
      <w:pPr>
        <w:pStyle w:val="RegSingleTxtG"/>
        <w:numPr>
          <w:ilvl w:val="0"/>
          <w:numId w:val="0"/>
        </w:numPr>
        <w:ind w:left="1134"/>
      </w:pPr>
      <w:r w:rsidRPr="00FE3211">
        <w:rPr>
          <w:i/>
          <w:sz w:val="22"/>
          <w:szCs w:val="24"/>
        </w:rPr>
        <w:tab/>
      </w:r>
      <w:r w:rsidRPr="003F7FC0">
        <w:rPr>
          <w:i/>
        </w:rPr>
        <w:t>Recalling</w:t>
      </w:r>
      <w:r w:rsidRPr="00FE3211">
        <w:rPr>
          <w:i/>
          <w:sz w:val="22"/>
          <w:szCs w:val="24"/>
        </w:rPr>
        <w:t xml:space="preserve"> </w:t>
      </w:r>
      <w:r w:rsidRPr="00915395">
        <w:t>decisions 7/CP.24</w:t>
      </w:r>
      <w:r>
        <w:t xml:space="preserve">, </w:t>
      </w:r>
      <w:r w:rsidRPr="00915395">
        <w:t xml:space="preserve">3/CMP.14 and 7/CMA.1, </w:t>
      </w:r>
    </w:p>
    <w:p w14:paraId="4BE7C7C6" w14:textId="499586C6" w:rsidR="003077F3" w:rsidRPr="00915395" w:rsidRDefault="006C00BB" w:rsidP="006C00BB">
      <w:pPr>
        <w:pStyle w:val="RegSingleTxtG"/>
        <w:numPr>
          <w:ilvl w:val="0"/>
          <w:numId w:val="0"/>
        </w:numPr>
        <w:ind w:left="1134"/>
      </w:pPr>
      <w:r w:rsidRPr="00915395">
        <w:t>1.</w:t>
      </w:r>
      <w:r w:rsidRPr="00915395">
        <w:tab/>
      </w:r>
      <w:r w:rsidR="003077F3" w:rsidRPr="004B0811">
        <w:rPr>
          <w:i/>
        </w:rPr>
        <w:t>Welcome</w:t>
      </w:r>
      <w:r w:rsidR="003077F3" w:rsidRPr="00915395">
        <w:t xml:space="preserve"> the annual report of the Katowice Committee of Experts on the Impacts of the Implementation of Response Measures</w:t>
      </w:r>
      <w:r w:rsidR="003077F3" w:rsidRPr="003F7FC0">
        <w:rPr>
          <w:rStyle w:val="FootnoteReference"/>
          <w:szCs w:val="18"/>
        </w:rPr>
        <w:footnoteReference w:id="8"/>
      </w:r>
      <w:r w:rsidR="003077F3" w:rsidRPr="00915395">
        <w:t xml:space="preserve"> and its progress in supporting the work of the forum on the impact of the implementation of response measures;</w:t>
      </w:r>
    </w:p>
    <w:p w14:paraId="15E7CA41" w14:textId="479210A6" w:rsidR="003077F3" w:rsidRPr="00915395" w:rsidRDefault="006C00BB" w:rsidP="006C00BB">
      <w:pPr>
        <w:pStyle w:val="RegSingleTxtG"/>
        <w:numPr>
          <w:ilvl w:val="0"/>
          <w:numId w:val="0"/>
        </w:numPr>
        <w:ind w:left="1134"/>
      </w:pPr>
      <w:r w:rsidRPr="00915395">
        <w:t>2.</w:t>
      </w:r>
      <w:r w:rsidRPr="00915395">
        <w:tab/>
      </w:r>
      <w:r w:rsidR="003077F3" w:rsidRPr="00915395">
        <w:rPr>
          <w:i/>
        </w:rPr>
        <w:t>Adopt</w:t>
      </w:r>
      <w:r w:rsidR="003077F3" w:rsidRPr="00915395">
        <w:t xml:space="preserve"> the rules of procedure of the </w:t>
      </w:r>
      <w:r w:rsidR="003077F3">
        <w:t>Katowice Committee on Impacts</w:t>
      </w:r>
      <w:r w:rsidR="003077F3" w:rsidRPr="00915395">
        <w:t xml:space="preserve"> as contained in annex I;</w:t>
      </w:r>
    </w:p>
    <w:p w14:paraId="7846D27D" w14:textId="2F3962DA" w:rsidR="003077F3" w:rsidRPr="00915395" w:rsidRDefault="006C00BB" w:rsidP="006C00BB">
      <w:pPr>
        <w:pStyle w:val="RegSingleTxtG"/>
        <w:numPr>
          <w:ilvl w:val="0"/>
          <w:numId w:val="0"/>
        </w:numPr>
        <w:ind w:left="1134"/>
      </w:pPr>
      <w:r w:rsidRPr="00915395">
        <w:t>3.</w:t>
      </w:r>
      <w:r w:rsidRPr="00915395">
        <w:tab/>
      </w:r>
      <w:r w:rsidR="003077F3" w:rsidRPr="00915395">
        <w:rPr>
          <w:i/>
        </w:rPr>
        <w:t xml:space="preserve">Adopt </w:t>
      </w:r>
      <w:r w:rsidR="003077F3" w:rsidRPr="00915395">
        <w:t xml:space="preserve">the workplan of the forum on the impact of the implementation of response measures and its </w:t>
      </w:r>
      <w:r w:rsidR="003077F3">
        <w:t>Katowice Committee on Impacts</w:t>
      </w:r>
      <w:r w:rsidR="003077F3" w:rsidRPr="00915395">
        <w:t xml:space="preserve"> as contained in annex II;</w:t>
      </w:r>
    </w:p>
    <w:p w14:paraId="5005EC10" w14:textId="3EF09964" w:rsidR="003077F3" w:rsidRPr="00915395" w:rsidRDefault="006C00BB" w:rsidP="006C00BB">
      <w:pPr>
        <w:pStyle w:val="RegSingleTxtG"/>
        <w:numPr>
          <w:ilvl w:val="0"/>
          <w:numId w:val="0"/>
        </w:numPr>
        <w:ind w:left="1134"/>
      </w:pPr>
      <w:r w:rsidRPr="00915395">
        <w:t>4.</w:t>
      </w:r>
      <w:r w:rsidRPr="00915395">
        <w:tab/>
      </w:r>
      <w:r w:rsidR="003077F3" w:rsidRPr="00915395">
        <w:rPr>
          <w:i/>
        </w:rPr>
        <w:t xml:space="preserve">Decide </w:t>
      </w:r>
      <w:r w:rsidR="003077F3" w:rsidRPr="00915395">
        <w:t xml:space="preserve">that the forum on the impact of the implementation of response measures, in the context of the implementation of the workplan, may consider, as needed, additional modalities for the workplan activities, consistent with the modalities identified in </w:t>
      </w:r>
      <w:r w:rsidR="003077F3">
        <w:t xml:space="preserve">decision </w:t>
      </w:r>
      <w:r w:rsidR="003077F3" w:rsidRPr="00915395">
        <w:t xml:space="preserve">7/CMA.1, and recommend such additional modalities for the workplan for consideration and adoption by the </w:t>
      </w:r>
      <w:r w:rsidR="003077F3">
        <w:t>subsidiary bodies</w:t>
      </w:r>
      <w:r w:rsidR="003077F3" w:rsidRPr="00915395">
        <w:t>;</w:t>
      </w:r>
    </w:p>
    <w:p w14:paraId="0E3DF5F6" w14:textId="40EC2913" w:rsidR="003077F3" w:rsidRPr="00915395" w:rsidRDefault="006C00BB" w:rsidP="006C00BB">
      <w:pPr>
        <w:pStyle w:val="RegSingleTxtG"/>
        <w:numPr>
          <w:ilvl w:val="0"/>
          <w:numId w:val="0"/>
        </w:numPr>
        <w:ind w:left="1134"/>
      </w:pPr>
      <w:r w:rsidRPr="00915395">
        <w:t>5.</w:t>
      </w:r>
      <w:r w:rsidRPr="00915395">
        <w:tab/>
      </w:r>
      <w:r w:rsidR="003077F3" w:rsidRPr="00915395">
        <w:rPr>
          <w:i/>
        </w:rPr>
        <w:t>Recall</w:t>
      </w:r>
      <w:r w:rsidR="003077F3" w:rsidRPr="00915395">
        <w:t xml:space="preserve"> paragraph 12 of decision 7/CMA.1, which provides that the forum on the impact of the implementation of response measures shall provide recommendations for consideration by the subsidiary bodies with a view to the subsidiary bodies recommending actions to the Conference of the Parties, </w:t>
      </w:r>
      <w:r w:rsidR="003077F3" w:rsidRPr="00915395" w:rsidDel="00830027">
        <w:t xml:space="preserve">the Conference of the Parties serving as the meeting of the Parties to the Kyoto Protocol and </w:t>
      </w:r>
      <w:r w:rsidR="003077F3" w:rsidRPr="00915395">
        <w:t>the Conference of the Parties serving as the meeting of the Parties to the Paris Agreement</w:t>
      </w:r>
      <w:r w:rsidR="003077F3">
        <w:t xml:space="preserve"> </w:t>
      </w:r>
      <w:r w:rsidR="003077F3" w:rsidRPr="00915395">
        <w:t>for consideration and adoption;</w:t>
      </w:r>
    </w:p>
    <w:p w14:paraId="7A11912A" w14:textId="7925F9C6" w:rsidR="003077F3" w:rsidRPr="00915395" w:rsidRDefault="006C00BB" w:rsidP="006C00BB">
      <w:pPr>
        <w:pStyle w:val="RegSingleTxtG"/>
        <w:numPr>
          <w:ilvl w:val="0"/>
          <w:numId w:val="0"/>
        </w:numPr>
        <w:ind w:left="1134"/>
      </w:pPr>
      <w:r w:rsidRPr="00915395">
        <w:t>6.</w:t>
      </w:r>
      <w:r w:rsidRPr="00915395">
        <w:tab/>
      </w:r>
      <w:r w:rsidR="003077F3" w:rsidRPr="00915395">
        <w:rPr>
          <w:i/>
        </w:rPr>
        <w:t xml:space="preserve">Request </w:t>
      </w:r>
      <w:r w:rsidR="003077F3" w:rsidRPr="00915395">
        <w:t xml:space="preserve">the forum on the impact of the implementation of response measures to continue considering the </w:t>
      </w:r>
      <w:r w:rsidR="003077F3">
        <w:t>f</w:t>
      </w:r>
      <w:r w:rsidR="003077F3" w:rsidRPr="00915395">
        <w:t>irst annual report</w:t>
      </w:r>
      <w:r w:rsidR="003077F3">
        <w:t xml:space="preserve"> of the Katowice Committee on Impacts,</w:t>
      </w:r>
      <w:r w:rsidR="003077F3" w:rsidRPr="00915395">
        <w:t xml:space="preserve"> including the recommendations and considerations contained therein</w:t>
      </w:r>
      <w:r w:rsidR="003077F3">
        <w:t>,</w:t>
      </w:r>
      <w:r w:rsidR="003077F3" w:rsidRPr="00915395">
        <w:t xml:space="preserve"> at the fifty-sixth session</w:t>
      </w:r>
      <w:r w:rsidR="003077F3">
        <w:t>s</w:t>
      </w:r>
      <w:r w:rsidR="003077F3" w:rsidRPr="00915395">
        <w:t xml:space="preserve"> of the subsidiary bodies (June 202</w:t>
      </w:r>
      <w:r w:rsidR="003077F3">
        <w:t>2</w:t>
      </w:r>
      <w:r w:rsidR="003077F3" w:rsidRPr="00915395">
        <w:t>) with a view to providing recommendations for consideration and adoption by the C</w:t>
      </w:r>
      <w:r w:rsidR="003077F3">
        <w:t>onference of the Parties</w:t>
      </w:r>
      <w:r w:rsidR="003077F3" w:rsidRPr="00915395">
        <w:t>,</w:t>
      </w:r>
      <w:r w:rsidR="003077F3">
        <w:t xml:space="preserve"> the Conference of the Parties serving as the meeting of the Parties to the Kyoto Protocol and the</w:t>
      </w:r>
      <w:r w:rsidR="003077F3" w:rsidRPr="00915395">
        <w:t xml:space="preserve"> C</w:t>
      </w:r>
      <w:r w:rsidR="003077F3">
        <w:t>onference of the Parties serving as the meeting of the Parties to the Paris Agreement</w:t>
      </w:r>
      <w:r w:rsidR="003077F3" w:rsidRPr="00915395">
        <w:t xml:space="preserve"> </w:t>
      </w:r>
      <w:r w:rsidR="003077F3">
        <w:t>at</w:t>
      </w:r>
      <w:r w:rsidR="003077F3" w:rsidRPr="00915395">
        <w:t xml:space="preserve"> the</w:t>
      </w:r>
      <w:r w:rsidR="003077F3">
        <w:t>ir</w:t>
      </w:r>
      <w:r w:rsidR="003077F3" w:rsidRPr="00915395">
        <w:t xml:space="preserve"> next session</w:t>
      </w:r>
      <w:r w:rsidR="003077F3">
        <w:t>s</w:t>
      </w:r>
      <w:r w:rsidR="003077F3" w:rsidRPr="00915395">
        <w:t xml:space="preserve">; </w:t>
      </w:r>
    </w:p>
    <w:p w14:paraId="0EFAFE4F" w14:textId="28C71965" w:rsidR="003077F3" w:rsidRPr="00915395" w:rsidRDefault="006C00BB" w:rsidP="006C00BB">
      <w:pPr>
        <w:pStyle w:val="RegSingleTxtG"/>
        <w:numPr>
          <w:ilvl w:val="0"/>
          <w:numId w:val="0"/>
        </w:numPr>
        <w:ind w:left="1134"/>
      </w:pPr>
      <w:r w:rsidRPr="00915395">
        <w:t>7.</w:t>
      </w:r>
      <w:r w:rsidRPr="00915395">
        <w:tab/>
      </w:r>
      <w:r w:rsidR="003077F3">
        <w:rPr>
          <w:i/>
        </w:rPr>
        <w:t>Also r</w:t>
      </w:r>
      <w:r w:rsidR="003077F3" w:rsidRPr="00915395">
        <w:rPr>
          <w:i/>
        </w:rPr>
        <w:t>equest</w:t>
      </w:r>
      <w:r w:rsidR="003077F3" w:rsidRPr="00915395">
        <w:t xml:space="preserve"> the secretariat to support the implementation of the workplan of the forum on the impact of the implementation of response measures and its </w:t>
      </w:r>
      <w:r w:rsidR="003077F3">
        <w:t>Katowice Committee on Impacts</w:t>
      </w:r>
      <w:r w:rsidR="003077F3" w:rsidRPr="00915395">
        <w:t xml:space="preserve"> referred to in paragraph 3 above;</w:t>
      </w:r>
    </w:p>
    <w:p w14:paraId="4DFACE87" w14:textId="3FD6A6BB" w:rsidR="003077F3" w:rsidRPr="00915395" w:rsidRDefault="006C00BB" w:rsidP="006C00BB">
      <w:pPr>
        <w:pStyle w:val="RegSingleTxtG"/>
        <w:numPr>
          <w:ilvl w:val="0"/>
          <w:numId w:val="0"/>
        </w:numPr>
        <w:ind w:left="1134"/>
      </w:pPr>
      <w:r w:rsidRPr="00915395">
        <w:t>8.</w:t>
      </w:r>
      <w:r w:rsidRPr="00915395">
        <w:tab/>
      </w:r>
      <w:r w:rsidR="003077F3" w:rsidRPr="00915395">
        <w:rPr>
          <w:i/>
        </w:rPr>
        <w:t>Take</w:t>
      </w:r>
      <w:r w:rsidR="003077F3" w:rsidRPr="00915395">
        <w:t xml:space="preserve"> </w:t>
      </w:r>
      <w:r w:rsidR="003077F3" w:rsidRPr="00CB4733">
        <w:rPr>
          <w:i/>
        </w:rPr>
        <w:t>note</w:t>
      </w:r>
      <w:r w:rsidR="003077F3" w:rsidRPr="00915395">
        <w:t xml:space="preserve"> of the estimated budgetary implications of the activities to be undertaken by the secretariat referred to in paragraph 3 above;</w:t>
      </w:r>
    </w:p>
    <w:p w14:paraId="29D1E2DE" w14:textId="07B1820B" w:rsidR="003077F3" w:rsidRPr="00915395" w:rsidRDefault="006C00BB" w:rsidP="006C00BB">
      <w:pPr>
        <w:pStyle w:val="RegSingleTxtG"/>
        <w:numPr>
          <w:ilvl w:val="0"/>
          <w:numId w:val="0"/>
        </w:numPr>
        <w:ind w:left="1134"/>
      </w:pPr>
      <w:r w:rsidRPr="00915395">
        <w:t>9.</w:t>
      </w:r>
      <w:r w:rsidRPr="00915395">
        <w:tab/>
      </w:r>
      <w:r w:rsidR="003077F3" w:rsidRPr="00915395">
        <w:rPr>
          <w:i/>
        </w:rPr>
        <w:t>Request</w:t>
      </w:r>
      <w:r w:rsidR="003077F3" w:rsidRPr="00915395">
        <w:t xml:space="preserve"> that the actions of the secretariat called for in th</w:t>
      </w:r>
      <w:r w:rsidR="003077F3">
        <w:t>is</w:t>
      </w:r>
      <w:r w:rsidR="003077F3" w:rsidRPr="00915395">
        <w:t xml:space="preserve"> decision be undertaken subject to the availability of financial resources.</w:t>
      </w:r>
    </w:p>
    <w:p w14:paraId="73F91F9C" w14:textId="77777777" w:rsidR="003077F3" w:rsidRDefault="003077F3" w:rsidP="003077F3">
      <w:pPr>
        <w:keepNext/>
        <w:keepLines/>
        <w:spacing w:before="240" w:after="120" w:line="240" w:lineRule="exact"/>
        <w:ind w:right="1134"/>
        <w:rPr>
          <w:b/>
          <w:sz w:val="28"/>
          <w:szCs w:val="28"/>
        </w:rPr>
        <w:sectPr w:rsidR="003077F3" w:rsidSect="00EA4A64">
          <w:headerReference w:type="even" r:id="rId27"/>
          <w:headerReference w:type="default" r:id="rId28"/>
          <w:footerReference w:type="even" r:id="rId29"/>
          <w:footerReference w:type="default" r:id="rId30"/>
          <w:footnotePr>
            <w:numRestart w:val="eachSect"/>
          </w:footnotePr>
          <w:pgSz w:w="11906" w:h="16838" w:code="9"/>
          <w:pgMar w:top="1417" w:right="1134" w:bottom="1134" w:left="1134" w:header="850" w:footer="567" w:gutter="0"/>
          <w:cols w:space="708"/>
          <w:docGrid w:linePitch="360"/>
        </w:sectPr>
      </w:pPr>
    </w:p>
    <w:p w14:paraId="373E9005" w14:textId="77777777" w:rsidR="003077F3" w:rsidRPr="003318D0" w:rsidRDefault="003077F3" w:rsidP="003077F3">
      <w:pPr>
        <w:keepNext/>
        <w:keepLines/>
        <w:spacing w:before="240" w:after="120" w:line="240" w:lineRule="exact"/>
        <w:ind w:right="1134"/>
        <w:rPr>
          <w:b/>
          <w:sz w:val="28"/>
          <w:szCs w:val="28"/>
        </w:rPr>
      </w:pPr>
      <w:r>
        <w:rPr>
          <w:b/>
          <w:sz w:val="28"/>
          <w:szCs w:val="28"/>
        </w:rPr>
        <w:lastRenderedPageBreak/>
        <w:t>A</w:t>
      </w:r>
      <w:r w:rsidRPr="003318D0">
        <w:rPr>
          <w:b/>
          <w:sz w:val="28"/>
          <w:szCs w:val="28"/>
        </w:rPr>
        <w:t>nnex</w:t>
      </w:r>
      <w:r>
        <w:rPr>
          <w:b/>
          <w:sz w:val="28"/>
          <w:szCs w:val="28"/>
        </w:rPr>
        <w:t xml:space="preserve"> I</w:t>
      </w:r>
    </w:p>
    <w:p w14:paraId="7627DC77" w14:textId="77777777" w:rsidR="003077F3" w:rsidRPr="008B2EFE" w:rsidRDefault="003077F3" w:rsidP="003077F3">
      <w:pPr>
        <w:pStyle w:val="HChG"/>
        <w:rPr>
          <w:b w:val="0"/>
          <w:bCs/>
        </w:rPr>
      </w:pPr>
      <w:r>
        <w:tab/>
      </w:r>
      <w:r>
        <w:tab/>
        <w:t>R</w:t>
      </w:r>
      <w:r w:rsidRPr="00201E3B">
        <w:t xml:space="preserve">ules of procedure of the Katowice Committee </w:t>
      </w:r>
      <w:r w:rsidRPr="00434598">
        <w:t xml:space="preserve">of Experts </w:t>
      </w:r>
      <w:r>
        <w:t xml:space="preserve">on the Impacts </w:t>
      </w:r>
      <w:r w:rsidRPr="00434598">
        <w:t xml:space="preserve">of the </w:t>
      </w:r>
      <w:r>
        <w:t>I</w:t>
      </w:r>
      <w:r w:rsidRPr="00434598">
        <w:t xml:space="preserve">mplementation of </w:t>
      </w:r>
      <w:r>
        <w:t>R</w:t>
      </w:r>
      <w:r w:rsidRPr="00434598">
        <w:t xml:space="preserve">esponse </w:t>
      </w:r>
      <w:r>
        <w:t>M</w:t>
      </w:r>
      <w:r w:rsidRPr="00434598">
        <w:t>easures</w:t>
      </w:r>
    </w:p>
    <w:p w14:paraId="7241BA76" w14:textId="42927579" w:rsidR="003077F3" w:rsidRPr="008B2EFE" w:rsidRDefault="006C00BB" w:rsidP="006C00BB">
      <w:pPr>
        <w:pStyle w:val="RegHChG"/>
        <w:numPr>
          <w:ilvl w:val="0"/>
          <w:numId w:val="0"/>
        </w:numPr>
        <w:tabs>
          <w:tab w:val="left" w:pos="1135"/>
        </w:tabs>
        <w:ind w:left="1135" w:hanging="454"/>
      </w:pPr>
      <w:r w:rsidRPr="008B2EFE">
        <w:t>I.</w:t>
      </w:r>
      <w:r w:rsidRPr="008B2EFE">
        <w:tab/>
      </w:r>
      <w:r w:rsidR="003077F3" w:rsidRPr="008B2EFE">
        <w:t>Scope</w:t>
      </w:r>
    </w:p>
    <w:p w14:paraId="5E9B3D2C" w14:textId="6CC45234" w:rsidR="003077F3" w:rsidRDefault="006C00BB" w:rsidP="006C00BB">
      <w:pPr>
        <w:pStyle w:val="RegSingleTxtG"/>
        <w:numPr>
          <w:ilvl w:val="0"/>
          <w:numId w:val="0"/>
        </w:numPr>
        <w:ind w:left="1134"/>
      </w:pPr>
      <w:r>
        <w:t>1.</w:t>
      </w:r>
      <w:r>
        <w:tab/>
      </w:r>
      <w:r w:rsidR="003077F3" w:rsidRPr="008B2EFE">
        <w:t xml:space="preserve">These rules of procedure shall apply to the </w:t>
      </w:r>
      <w:r w:rsidR="003077F3" w:rsidRPr="00D242B2">
        <w:t>K</w:t>
      </w:r>
      <w:r w:rsidR="003077F3">
        <w:t>atowice Committee of Experts on the Impacts of the Implementation of Response Measures (K</w:t>
      </w:r>
      <w:r w:rsidR="003077F3" w:rsidRPr="00D242B2">
        <w:t>CI</w:t>
      </w:r>
      <w:r w:rsidR="003077F3">
        <w:t xml:space="preserve">) </w:t>
      </w:r>
      <w:r w:rsidR="003077F3" w:rsidRPr="008B2EFE">
        <w:t xml:space="preserve">in accordance with decision </w:t>
      </w:r>
      <w:r w:rsidR="003077F3" w:rsidRPr="005E2489">
        <w:t>7/CMA.1</w:t>
      </w:r>
      <w:r w:rsidR="003077F3">
        <w:t xml:space="preserve"> and its annex.</w:t>
      </w:r>
    </w:p>
    <w:p w14:paraId="0486A804" w14:textId="5DD5C3C5" w:rsidR="003077F3" w:rsidRDefault="006C00BB" w:rsidP="006C00BB">
      <w:pPr>
        <w:pStyle w:val="RegHChG"/>
        <w:numPr>
          <w:ilvl w:val="0"/>
          <w:numId w:val="0"/>
        </w:numPr>
        <w:tabs>
          <w:tab w:val="left" w:pos="1135"/>
        </w:tabs>
        <w:ind w:left="1135" w:hanging="454"/>
      </w:pPr>
      <w:r>
        <w:t>II.</w:t>
      </w:r>
      <w:r>
        <w:tab/>
      </w:r>
      <w:r w:rsidR="003077F3">
        <w:t>Mandate</w:t>
      </w:r>
    </w:p>
    <w:p w14:paraId="3CE84B90" w14:textId="0F0C16DD" w:rsidR="003077F3" w:rsidRDefault="006C00BB" w:rsidP="006C00BB">
      <w:pPr>
        <w:pStyle w:val="RegSingleTxtG"/>
        <w:numPr>
          <w:ilvl w:val="0"/>
          <w:numId w:val="0"/>
        </w:numPr>
        <w:ind w:left="1134"/>
      </w:pPr>
      <w:r>
        <w:t>2.</w:t>
      </w:r>
      <w:r>
        <w:tab/>
      </w:r>
      <w:r w:rsidR="003077F3" w:rsidRPr="008B2EFE">
        <w:t xml:space="preserve">The </w:t>
      </w:r>
      <w:r w:rsidR="003077F3" w:rsidRPr="00915395">
        <w:t>C</w:t>
      </w:r>
      <w:r w:rsidR="003077F3">
        <w:t>onference of the Parties serving as the meeting of the Parties to the Paris Agreement</w:t>
      </w:r>
      <w:r w:rsidR="003077F3" w:rsidRPr="00915395">
        <w:t xml:space="preserve"> </w:t>
      </w:r>
      <w:r w:rsidR="003077F3">
        <w:t>(</w:t>
      </w:r>
      <w:r w:rsidR="003077F3" w:rsidRPr="008B2EFE">
        <w:t>CMA</w:t>
      </w:r>
      <w:r w:rsidR="003077F3">
        <w:t>)</w:t>
      </w:r>
      <w:r w:rsidR="003077F3" w:rsidRPr="008B2EFE">
        <w:t>, by decision 7/CMA.1</w:t>
      </w:r>
      <w:r w:rsidR="003077F3">
        <w:t>,</w:t>
      </w:r>
      <w:r w:rsidR="003077F3" w:rsidRPr="008B2EFE">
        <w:t xml:space="preserve"> decided </w:t>
      </w:r>
      <w:r w:rsidR="003077F3">
        <w:t xml:space="preserve">to establish the </w:t>
      </w:r>
      <w:r w:rsidR="003077F3" w:rsidRPr="008B2EFE">
        <w:t xml:space="preserve">KCI </w:t>
      </w:r>
      <w:r w:rsidR="003077F3">
        <w:t>to support the work of the forum on the impact of the implementation of response measures in implementing its work programme and operating in accordance with the terms of reference</w:t>
      </w:r>
      <w:r w:rsidR="003077F3" w:rsidRPr="008B2EFE">
        <w:t xml:space="preserve"> contained in the </w:t>
      </w:r>
      <w:r w:rsidR="003077F3">
        <w:t>a</w:t>
      </w:r>
      <w:r w:rsidR="003077F3" w:rsidRPr="008B2EFE">
        <w:t>nnex to that decision.</w:t>
      </w:r>
      <w:r w:rsidR="003077F3">
        <w:t xml:space="preserve"> </w:t>
      </w:r>
    </w:p>
    <w:p w14:paraId="36A7B04D" w14:textId="76D2C63D" w:rsidR="003077F3" w:rsidRDefault="006C00BB" w:rsidP="006C00BB">
      <w:pPr>
        <w:pStyle w:val="RegSingleTxtG"/>
        <w:numPr>
          <w:ilvl w:val="0"/>
          <w:numId w:val="0"/>
        </w:numPr>
        <w:ind w:left="1134"/>
      </w:pPr>
      <w:r>
        <w:t>3.</w:t>
      </w:r>
      <w:r>
        <w:tab/>
      </w:r>
      <w:r w:rsidR="003077F3">
        <w:t>The forum and the KCI may use the following modalities, as appropriate and as decided on a case-by-case basis,</w:t>
      </w:r>
      <w:r w:rsidR="003077F3" w:rsidDel="00387512">
        <w:t xml:space="preserve"> </w:t>
      </w:r>
      <w:r w:rsidR="003077F3">
        <w:t>to carry out the work programme of the forum:</w:t>
      </w:r>
    </w:p>
    <w:p w14:paraId="5A233D68" w14:textId="13B73757" w:rsidR="003077F3" w:rsidRDefault="006C00BB" w:rsidP="006C00BB">
      <w:pPr>
        <w:pStyle w:val="RegSingleTxtG2"/>
        <w:tabs>
          <w:tab w:val="left" w:pos="720"/>
        </w:tabs>
        <w:ind w:left="1135" w:firstLine="567"/>
      </w:pPr>
      <w:r>
        <w:t>(a)</w:t>
      </w:r>
      <w:r>
        <w:tab/>
      </w:r>
      <w:r w:rsidR="003077F3">
        <w:t xml:space="preserve">Building awareness and </w:t>
      </w:r>
      <w:r w:rsidR="003077F3" w:rsidRPr="001D3FF5">
        <w:rPr>
          <w:szCs w:val="24"/>
        </w:rPr>
        <w:t>enhancing</w:t>
      </w:r>
      <w:r w:rsidR="003077F3">
        <w:t xml:space="preserve"> information-sharing through the exchange and sharing of experience and best practices;</w:t>
      </w:r>
    </w:p>
    <w:p w14:paraId="14F7AAE8" w14:textId="563393BA" w:rsidR="003077F3" w:rsidRDefault="006C00BB" w:rsidP="006C00BB">
      <w:pPr>
        <w:pStyle w:val="RegSingleTxtG2"/>
        <w:tabs>
          <w:tab w:val="left" w:pos="720"/>
        </w:tabs>
        <w:ind w:left="1135" w:firstLine="567"/>
      </w:pPr>
      <w:r>
        <w:t>(b)</w:t>
      </w:r>
      <w:r>
        <w:tab/>
      </w:r>
      <w:r w:rsidR="003077F3">
        <w:t>Preparing technical papers, case studies, specific examples and guidelines;</w:t>
      </w:r>
    </w:p>
    <w:p w14:paraId="7C643DE0" w14:textId="050970A8" w:rsidR="003077F3" w:rsidRDefault="006C00BB" w:rsidP="006C00BB">
      <w:pPr>
        <w:pStyle w:val="RegSingleTxtG2"/>
        <w:tabs>
          <w:tab w:val="left" w:pos="720"/>
        </w:tabs>
        <w:ind w:left="1135" w:firstLine="567"/>
      </w:pPr>
      <w:r>
        <w:t>(c)</w:t>
      </w:r>
      <w:r>
        <w:tab/>
      </w:r>
      <w:r w:rsidR="003077F3">
        <w:t>Receiving inputs from experts, practitioners and relevant organizations;</w:t>
      </w:r>
    </w:p>
    <w:p w14:paraId="2CA6B209" w14:textId="5AA4F2F4" w:rsidR="003077F3" w:rsidRDefault="006C00BB" w:rsidP="006C00BB">
      <w:pPr>
        <w:pStyle w:val="RegSingleTxtG2"/>
        <w:tabs>
          <w:tab w:val="left" w:pos="720"/>
        </w:tabs>
        <w:ind w:left="1135" w:firstLine="567"/>
      </w:pPr>
      <w:r>
        <w:t>(d)</w:t>
      </w:r>
      <w:r>
        <w:tab/>
      </w:r>
      <w:r w:rsidR="003077F3">
        <w:t>Organizing workshops.</w:t>
      </w:r>
    </w:p>
    <w:p w14:paraId="1208E042" w14:textId="7BDCA4A3" w:rsidR="003077F3" w:rsidRPr="008B2EFE" w:rsidRDefault="006C00BB" w:rsidP="006C00BB">
      <w:pPr>
        <w:pStyle w:val="RegHChG"/>
        <w:numPr>
          <w:ilvl w:val="0"/>
          <w:numId w:val="0"/>
        </w:numPr>
        <w:tabs>
          <w:tab w:val="left" w:pos="1135"/>
        </w:tabs>
        <w:ind w:left="1135" w:hanging="454"/>
      </w:pPr>
      <w:r w:rsidRPr="008B2EFE">
        <w:t>III.</w:t>
      </w:r>
      <w:r w:rsidRPr="008B2EFE">
        <w:tab/>
      </w:r>
      <w:r w:rsidR="003077F3" w:rsidRPr="008B2EFE">
        <w:t>Members</w:t>
      </w:r>
    </w:p>
    <w:p w14:paraId="79900769" w14:textId="345A00C7" w:rsidR="003077F3" w:rsidRDefault="006C00BB" w:rsidP="006C00BB">
      <w:pPr>
        <w:pStyle w:val="RegSingleTxtG"/>
        <w:numPr>
          <w:ilvl w:val="0"/>
          <w:numId w:val="0"/>
        </w:numPr>
        <w:ind w:left="1134"/>
      </w:pPr>
      <w:r>
        <w:t>4.</w:t>
      </w:r>
      <w:r>
        <w:tab/>
      </w:r>
      <w:r w:rsidR="003077F3">
        <w:t>The CMA, by decision 7/CMA.1, decided that the KCI shall be composed of 14 members, of which:</w:t>
      </w:r>
    </w:p>
    <w:p w14:paraId="25793345" w14:textId="16DCEC18" w:rsidR="003077F3" w:rsidRDefault="006C00BB" w:rsidP="006C00BB">
      <w:pPr>
        <w:pStyle w:val="RegSingleTxtG2"/>
        <w:tabs>
          <w:tab w:val="left" w:pos="720"/>
        </w:tabs>
        <w:ind w:left="1135" w:firstLine="567"/>
      </w:pPr>
      <w:r>
        <w:t>(a)</w:t>
      </w:r>
      <w:r>
        <w:tab/>
      </w:r>
      <w:r w:rsidR="003077F3">
        <w:t>Two members from each of the five United Nations regional groups;</w:t>
      </w:r>
    </w:p>
    <w:p w14:paraId="35B095BD" w14:textId="47C62096" w:rsidR="003077F3" w:rsidRDefault="006C00BB" w:rsidP="006C00BB">
      <w:pPr>
        <w:pStyle w:val="RegSingleTxtG2"/>
        <w:tabs>
          <w:tab w:val="left" w:pos="720"/>
        </w:tabs>
        <w:ind w:left="1135" w:firstLine="567"/>
      </w:pPr>
      <w:r>
        <w:t>(b)</w:t>
      </w:r>
      <w:r>
        <w:tab/>
      </w:r>
      <w:r w:rsidR="003077F3">
        <w:t>One member from the least developed countries;</w:t>
      </w:r>
    </w:p>
    <w:p w14:paraId="526D4BED" w14:textId="3718A6DC" w:rsidR="003077F3" w:rsidRDefault="006C00BB" w:rsidP="006C00BB">
      <w:pPr>
        <w:pStyle w:val="RegSingleTxtG2"/>
        <w:tabs>
          <w:tab w:val="left" w:pos="720"/>
        </w:tabs>
        <w:ind w:left="1135" w:firstLine="567"/>
      </w:pPr>
      <w:r>
        <w:t>(c)</w:t>
      </w:r>
      <w:r>
        <w:tab/>
      </w:r>
      <w:r w:rsidR="003077F3">
        <w:t>One member from the small island developing States;</w:t>
      </w:r>
    </w:p>
    <w:p w14:paraId="46069BE3" w14:textId="535676CE" w:rsidR="003077F3" w:rsidRDefault="006C00BB" w:rsidP="006C00BB">
      <w:pPr>
        <w:pStyle w:val="RegSingleTxtG2"/>
        <w:tabs>
          <w:tab w:val="left" w:pos="720"/>
        </w:tabs>
        <w:ind w:left="1135" w:firstLine="567"/>
      </w:pPr>
      <w:r>
        <w:t>(d)</w:t>
      </w:r>
      <w:r>
        <w:tab/>
      </w:r>
      <w:r w:rsidR="003077F3">
        <w:t>Two members from relevant intergovernmental organizations.</w:t>
      </w:r>
      <w:r w:rsidR="003077F3">
        <w:rPr>
          <w:rStyle w:val="FootnoteReference"/>
        </w:rPr>
        <w:footnoteReference w:id="9"/>
      </w:r>
      <w:r w:rsidR="003077F3">
        <w:t xml:space="preserve"> </w:t>
      </w:r>
    </w:p>
    <w:p w14:paraId="069736AC" w14:textId="762061D7" w:rsidR="003077F3" w:rsidRDefault="006C00BB" w:rsidP="006C00BB">
      <w:pPr>
        <w:pStyle w:val="RegSingleTxtG"/>
        <w:numPr>
          <w:ilvl w:val="0"/>
          <w:numId w:val="0"/>
        </w:numPr>
        <w:ind w:left="1134"/>
      </w:pPr>
      <w:r>
        <w:t>5.</w:t>
      </w:r>
      <w:r>
        <w:tab/>
      </w:r>
      <w:r w:rsidR="003077F3">
        <w:t>By the same decision, the CMA also decided that members shall be nominated by their respective groups.</w:t>
      </w:r>
      <w:r w:rsidR="003077F3" w:rsidRPr="00141554">
        <w:t xml:space="preserve"> </w:t>
      </w:r>
      <w:r w:rsidR="003077F3">
        <w:t xml:space="preserve">Groups are encouraged to nominate members </w:t>
      </w:r>
      <w:proofErr w:type="gramStart"/>
      <w:r w:rsidR="003077F3">
        <w:t>taking into account</w:t>
      </w:r>
      <w:proofErr w:type="gramEnd"/>
      <w:r w:rsidR="003077F3">
        <w:t xml:space="preserve"> the goal of achieving gender balance. The Chairs of the Subsidiary Body for Scientific and Technological Advice (SBSTA) and the Subsidiary Body for Implementation</w:t>
      </w:r>
      <w:r w:rsidR="003077F3" w:rsidRPr="00915395">
        <w:t xml:space="preserve"> </w:t>
      </w:r>
      <w:r w:rsidR="003077F3">
        <w:t>(SBI) shall be notified of these appointments.</w:t>
      </w:r>
      <w:r w:rsidR="003077F3">
        <w:rPr>
          <w:rStyle w:val="FootnoteReference"/>
        </w:rPr>
        <w:footnoteReference w:id="10"/>
      </w:r>
      <w:r w:rsidR="003077F3">
        <w:t xml:space="preserve"> </w:t>
      </w:r>
    </w:p>
    <w:p w14:paraId="72192AD7" w14:textId="6ED17FCA" w:rsidR="003077F3" w:rsidRDefault="006C00BB" w:rsidP="006C00BB">
      <w:pPr>
        <w:pStyle w:val="RegSingleTxtG"/>
        <w:numPr>
          <w:ilvl w:val="0"/>
          <w:numId w:val="0"/>
        </w:numPr>
        <w:ind w:left="1134"/>
      </w:pPr>
      <w:r>
        <w:t>6.</w:t>
      </w:r>
      <w:r>
        <w:tab/>
      </w:r>
      <w:r w:rsidR="003077F3" w:rsidDel="00CA0877">
        <w:t xml:space="preserve"> </w:t>
      </w:r>
      <w:r w:rsidR="003077F3">
        <w:t>The CMA also decided that members shall serve in their expert capacity and should have relevant qualifications and expertise in the technical and socioeconomic fields related to the areas of the work programme of the forum.</w:t>
      </w:r>
      <w:r w:rsidR="003077F3">
        <w:rPr>
          <w:rStyle w:val="FootnoteReference"/>
        </w:rPr>
        <w:footnoteReference w:id="11"/>
      </w:r>
    </w:p>
    <w:p w14:paraId="4A8D6973" w14:textId="02075842" w:rsidR="003077F3" w:rsidRDefault="006C00BB" w:rsidP="006C00BB">
      <w:pPr>
        <w:pStyle w:val="RegSingleTxtG"/>
        <w:numPr>
          <w:ilvl w:val="0"/>
          <w:numId w:val="0"/>
        </w:numPr>
        <w:ind w:left="1134"/>
      </w:pPr>
      <w:r>
        <w:t>7.</w:t>
      </w:r>
      <w:r>
        <w:tab/>
      </w:r>
      <w:r w:rsidR="003077F3">
        <w:t>Further, the CMA decided that members shall serve a term of two years and be eligible to serve a maximum of two consecutive terms in office.</w:t>
      </w:r>
      <w:r w:rsidR="003077F3">
        <w:rPr>
          <w:rStyle w:val="FootnoteReference"/>
        </w:rPr>
        <w:footnoteReference w:id="12"/>
      </w:r>
    </w:p>
    <w:p w14:paraId="2E13379F" w14:textId="09A46019" w:rsidR="003077F3" w:rsidRPr="008D0349" w:rsidRDefault="006C00BB" w:rsidP="006C00BB">
      <w:pPr>
        <w:pStyle w:val="RegSingleTxtG"/>
        <w:numPr>
          <w:ilvl w:val="0"/>
          <w:numId w:val="0"/>
        </w:numPr>
        <w:ind w:left="1134"/>
      </w:pPr>
      <w:r w:rsidRPr="008D0349">
        <w:lastRenderedPageBreak/>
        <w:t>8.</w:t>
      </w:r>
      <w:r w:rsidRPr="008D0349">
        <w:tab/>
      </w:r>
      <w:r w:rsidR="003077F3" w:rsidRPr="008D0349">
        <w:t xml:space="preserve">The term of office of a member shall </w:t>
      </w:r>
      <w:r w:rsidR="003077F3">
        <w:t>commence</w:t>
      </w:r>
      <w:r w:rsidR="003077F3" w:rsidRPr="008D0349">
        <w:t xml:space="preserve"> at the first meeting of the KCI in the calendar year</w:t>
      </w:r>
      <w:r w:rsidR="003077F3" w:rsidRPr="00B664BE">
        <w:t xml:space="preserve"> </w:t>
      </w:r>
      <w:r w:rsidR="003077F3" w:rsidRPr="00735C0B">
        <w:t xml:space="preserve">of </w:t>
      </w:r>
      <w:r w:rsidR="003077F3">
        <w:t>their</w:t>
      </w:r>
      <w:r w:rsidR="003077F3" w:rsidRPr="008D0349">
        <w:t xml:space="preserve"> appointment and end immediately before the first meeting of the KCI </w:t>
      </w:r>
      <w:r w:rsidR="003077F3">
        <w:t xml:space="preserve">in the calendar year </w:t>
      </w:r>
      <w:r w:rsidR="003077F3" w:rsidRPr="00682707">
        <w:t xml:space="preserve">after </w:t>
      </w:r>
      <w:r w:rsidR="003077F3">
        <w:t>their</w:t>
      </w:r>
      <w:r w:rsidR="003077F3" w:rsidRPr="00682707">
        <w:t xml:space="preserve"> second </w:t>
      </w:r>
      <w:r w:rsidR="003077F3" w:rsidRPr="008D0349">
        <w:t>calendar year</w:t>
      </w:r>
      <w:r w:rsidR="003077F3" w:rsidRPr="00682707">
        <w:t xml:space="preserve"> in office.</w:t>
      </w:r>
    </w:p>
    <w:p w14:paraId="3249963F" w14:textId="7E2FC4F8" w:rsidR="003077F3" w:rsidRDefault="006C00BB" w:rsidP="006C00BB">
      <w:pPr>
        <w:pStyle w:val="RegSingleTxtG"/>
        <w:numPr>
          <w:ilvl w:val="0"/>
          <w:numId w:val="0"/>
        </w:numPr>
        <w:ind w:left="1134"/>
      </w:pPr>
      <w:r>
        <w:t>9.</w:t>
      </w:r>
      <w:r>
        <w:tab/>
      </w:r>
      <w:r w:rsidR="003077F3">
        <w:t>If a member of the KCI resigns or is otherwise unable to complete the assigned term of office or to perform the functions of that office, the KCI shall request the group that nominated the member to nominate another member for the remainder of the unexpired term, in which case the appointment shall count as one term. In such a case, the KCI shall notify the Chairs of the SBSTA and the SBI.</w:t>
      </w:r>
    </w:p>
    <w:p w14:paraId="4C15AD4D" w14:textId="79138DB1" w:rsidR="003077F3" w:rsidRPr="008B2EFE" w:rsidRDefault="006C00BB" w:rsidP="006C00BB">
      <w:pPr>
        <w:pStyle w:val="RegSingleTxtG"/>
        <w:numPr>
          <w:ilvl w:val="0"/>
          <w:numId w:val="0"/>
        </w:numPr>
        <w:ind w:left="1134"/>
      </w:pPr>
      <w:r w:rsidRPr="008B2EFE">
        <w:t>10.</w:t>
      </w:r>
      <w:r w:rsidRPr="008B2EFE">
        <w:tab/>
      </w:r>
      <w:r w:rsidR="003077F3" w:rsidRPr="008B2EFE">
        <w:t xml:space="preserve">If a member is unable to participate in two consecutive meetings of the KCI </w:t>
      </w:r>
      <w:r w:rsidR="003077F3">
        <w:t>or</w:t>
      </w:r>
      <w:r w:rsidR="003077F3" w:rsidRPr="008B2EFE">
        <w:t xml:space="preserve"> unable to perform the functions and tasks set by the KCI, the </w:t>
      </w:r>
      <w:r w:rsidR="003077F3">
        <w:t>C</w:t>
      </w:r>
      <w:r w:rsidR="003077F3" w:rsidRPr="008B2EFE">
        <w:t>o-</w:t>
      </w:r>
      <w:r w:rsidR="003077F3">
        <w:t>C</w:t>
      </w:r>
      <w:r w:rsidR="003077F3" w:rsidRPr="008B2EFE">
        <w:t xml:space="preserve">hairs </w:t>
      </w:r>
      <w:r w:rsidR="003077F3">
        <w:t xml:space="preserve">of the KCI </w:t>
      </w:r>
      <w:r w:rsidR="003077F3" w:rsidRPr="008B2EFE">
        <w:t xml:space="preserve">will bring this matter to the attention of the KCI and seek clarification from the group that nominated that member on the status of </w:t>
      </w:r>
      <w:r w:rsidR="003077F3">
        <w:t>their</w:t>
      </w:r>
      <w:r w:rsidR="003077F3" w:rsidRPr="008B2EFE">
        <w:t xml:space="preserve"> membership.</w:t>
      </w:r>
    </w:p>
    <w:p w14:paraId="76A64893" w14:textId="59FA797D" w:rsidR="003077F3" w:rsidRPr="008B2EFE" w:rsidRDefault="006C00BB" w:rsidP="006C00BB">
      <w:pPr>
        <w:pStyle w:val="RegHChG"/>
        <w:numPr>
          <w:ilvl w:val="0"/>
          <w:numId w:val="0"/>
        </w:numPr>
        <w:tabs>
          <w:tab w:val="left" w:pos="1135"/>
        </w:tabs>
        <w:ind w:left="1135" w:hanging="454"/>
      </w:pPr>
      <w:r w:rsidRPr="008B2EFE">
        <w:t>IV.</w:t>
      </w:r>
      <w:r w:rsidRPr="008B2EFE">
        <w:tab/>
      </w:r>
      <w:r w:rsidR="003077F3" w:rsidRPr="008B2EFE">
        <w:t>Co-</w:t>
      </w:r>
      <w:r w:rsidR="003077F3">
        <w:t>C</w:t>
      </w:r>
      <w:r w:rsidR="003077F3" w:rsidRPr="008B2EFE">
        <w:t xml:space="preserve">hairs </w:t>
      </w:r>
    </w:p>
    <w:p w14:paraId="643B14EE" w14:textId="4986F890" w:rsidR="003077F3" w:rsidRDefault="006C00BB" w:rsidP="006C00BB">
      <w:pPr>
        <w:pStyle w:val="RegSingleTxtG"/>
        <w:numPr>
          <w:ilvl w:val="0"/>
          <w:numId w:val="0"/>
        </w:numPr>
        <w:ind w:left="1134"/>
      </w:pPr>
      <w:r>
        <w:t>11.</w:t>
      </w:r>
      <w:r>
        <w:tab/>
      </w:r>
      <w:r w:rsidR="003077F3">
        <w:t>The CMA decided that t</w:t>
      </w:r>
      <w:r w:rsidR="003077F3" w:rsidRPr="008B2EFE">
        <w:t>he KCI shall elect, on a consensus basis, two members from amon</w:t>
      </w:r>
      <w:r w:rsidR="003077F3">
        <w:t>g its members to serve as Co-C</w:t>
      </w:r>
      <w:r w:rsidR="003077F3" w:rsidRPr="008B2EFE">
        <w:t xml:space="preserve">hairs for a term of two </w:t>
      </w:r>
      <w:r w:rsidR="003077F3">
        <w:t>years each,</w:t>
      </w:r>
      <w:r w:rsidR="003077F3" w:rsidRPr="00184FEF">
        <w:t xml:space="preserve"> </w:t>
      </w:r>
      <w:proofErr w:type="gramStart"/>
      <w:r w:rsidR="003077F3">
        <w:t>taking into account</w:t>
      </w:r>
      <w:proofErr w:type="gramEnd"/>
      <w:r w:rsidR="003077F3">
        <w:t xml:space="preserve"> the need to ensure equitable geographical representation.</w:t>
      </w:r>
      <w:r w:rsidR="003077F3">
        <w:rPr>
          <w:rStyle w:val="FootnoteReference"/>
        </w:rPr>
        <w:footnoteReference w:id="13"/>
      </w:r>
    </w:p>
    <w:p w14:paraId="499ECD18" w14:textId="2529A40B" w:rsidR="003077F3" w:rsidRDefault="006C00BB" w:rsidP="006C00BB">
      <w:pPr>
        <w:pStyle w:val="RegSingleTxtG"/>
        <w:numPr>
          <w:ilvl w:val="0"/>
          <w:numId w:val="0"/>
        </w:numPr>
        <w:ind w:left="1134"/>
      </w:pPr>
      <w:r>
        <w:t>12.</w:t>
      </w:r>
      <w:r>
        <w:tab/>
      </w:r>
      <w:r w:rsidR="003077F3">
        <w:t>The CMA also decided that if one of the Co-Chairs is temporarily unable to fulfil the obligations of the office, another member designated by the KCI shall serve as Co-Chair.</w:t>
      </w:r>
      <w:r w:rsidR="003077F3">
        <w:rPr>
          <w:rStyle w:val="FootnoteReference"/>
        </w:rPr>
        <w:footnoteReference w:id="14"/>
      </w:r>
    </w:p>
    <w:p w14:paraId="6C2EFB5E" w14:textId="150969B9" w:rsidR="003077F3" w:rsidRDefault="006C00BB" w:rsidP="006C00BB">
      <w:pPr>
        <w:pStyle w:val="RegSingleTxtG"/>
        <w:numPr>
          <w:ilvl w:val="0"/>
          <w:numId w:val="0"/>
        </w:numPr>
        <w:ind w:left="1134"/>
      </w:pPr>
      <w:r>
        <w:t>13.</w:t>
      </w:r>
      <w:r>
        <w:tab/>
      </w:r>
      <w:r w:rsidR="003077F3">
        <w:t>If one of the Co-Chairs is unable to complete the term of office, the KCI shall elect a replacement from among its members of the relevant group of the incumbent Co-Chair, if available, to complete that term of office.</w:t>
      </w:r>
    </w:p>
    <w:p w14:paraId="616E2355" w14:textId="4EAB19CB" w:rsidR="003077F3" w:rsidRDefault="006C00BB" w:rsidP="006C00BB">
      <w:pPr>
        <w:pStyle w:val="RegSingleTxtG"/>
        <w:numPr>
          <w:ilvl w:val="0"/>
          <w:numId w:val="0"/>
        </w:numPr>
        <w:ind w:left="1134"/>
      </w:pPr>
      <w:r>
        <w:t>14.</w:t>
      </w:r>
      <w:r>
        <w:tab/>
      </w:r>
      <w:r w:rsidR="003077F3" w:rsidRPr="008B2EFE">
        <w:t xml:space="preserve">The </w:t>
      </w:r>
      <w:r w:rsidR="003077F3">
        <w:t>C</w:t>
      </w:r>
      <w:r w:rsidR="003077F3" w:rsidRPr="008B2EFE">
        <w:t>o-</w:t>
      </w:r>
      <w:r w:rsidR="003077F3">
        <w:t>C</w:t>
      </w:r>
      <w:r w:rsidR="003077F3" w:rsidRPr="008B2EFE">
        <w:t>hairs shall collaborate in chairing meetings of the KCI and in</w:t>
      </w:r>
      <w:r w:rsidR="003077F3">
        <w:t xml:space="preserve"> facilitating </w:t>
      </w:r>
      <w:r w:rsidR="003077F3" w:rsidRPr="008B2EFE">
        <w:t xml:space="preserve">the work of the </w:t>
      </w:r>
      <w:r w:rsidR="003077F3">
        <w:t xml:space="preserve">KCI </w:t>
      </w:r>
      <w:r w:rsidR="003077F3" w:rsidRPr="008B2EFE">
        <w:t>throughout the year</w:t>
      </w:r>
      <w:r w:rsidR="003077F3">
        <w:t xml:space="preserve">, in accordance with the workplan of the forum and its KCI, </w:t>
      </w:r>
      <w:r w:rsidR="003077F3" w:rsidRPr="008B2EFE">
        <w:t>to ensure coherence between meetings.</w:t>
      </w:r>
    </w:p>
    <w:p w14:paraId="594E5A28" w14:textId="0D108AD7" w:rsidR="003077F3" w:rsidRPr="008B2EFE" w:rsidRDefault="006C00BB" w:rsidP="006C00BB">
      <w:pPr>
        <w:pStyle w:val="RegSingleTxtG"/>
        <w:numPr>
          <w:ilvl w:val="0"/>
          <w:numId w:val="0"/>
        </w:numPr>
        <w:ind w:left="1134"/>
      </w:pPr>
      <w:r w:rsidRPr="008B2EFE">
        <w:t>15.</w:t>
      </w:r>
      <w:r w:rsidRPr="008B2EFE">
        <w:tab/>
      </w:r>
      <w:r w:rsidR="003077F3">
        <w:t>Following the completion of the Co-Chairs’ two-year term of office, the KCI shall nominate two</w:t>
      </w:r>
      <w:r w:rsidR="003077F3" w:rsidRPr="008B2EFE">
        <w:t xml:space="preserve"> members </w:t>
      </w:r>
      <w:r w:rsidR="003077F3">
        <w:t>as</w:t>
      </w:r>
      <w:r w:rsidR="003077F3" w:rsidRPr="008B2EFE">
        <w:t xml:space="preserve"> </w:t>
      </w:r>
      <w:r w:rsidR="003077F3">
        <w:t>C</w:t>
      </w:r>
      <w:r w:rsidR="003077F3" w:rsidRPr="008B2EFE">
        <w:t>o-</w:t>
      </w:r>
      <w:r w:rsidR="003077F3">
        <w:t>C</w:t>
      </w:r>
      <w:r w:rsidR="003077F3" w:rsidRPr="008B2EFE">
        <w:t xml:space="preserve">hairs </w:t>
      </w:r>
      <w:r w:rsidR="003077F3">
        <w:t>to serve the next two-year term of office.</w:t>
      </w:r>
    </w:p>
    <w:p w14:paraId="2DE5880D" w14:textId="670384F5" w:rsidR="003077F3" w:rsidRPr="00A860C9" w:rsidRDefault="006C00BB" w:rsidP="006C00BB">
      <w:pPr>
        <w:pStyle w:val="RegSingleTxtG"/>
        <w:numPr>
          <w:ilvl w:val="0"/>
          <w:numId w:val="0"/>
        </w:numPr>
        <w:ind w:left="1134"/>
      </w:pPr>
      <w:r w:rsidRPr="00A860C9">
        <w:t>16.</w:t>
      </w:r>
      <w:r w:rsidRPr="00A860C9">
        <w:tab/>
      </w:r>
      <w:r w:rsidR="003077F3" w:rsidRPr="00A860C9">
        <w:t>The C</w:t>
      </w:r>
      <w:r w:rsidR="003077F3" w:rsidRPr="00623DF0">
        <w:t>o-C</w:t>
      </w:r>
      <w:r w:rsidR="003077F3">
        <w:t>hairs shall</w:t>
      </w:r>
      <w:r w:rsidR="003077F3" w:rsidRPr="00623DF0">
        <w:t xml:space="preserve"> declare the opening and closing of meeting</w:t>
      </w:r>
      <w:r w:rsidR="003077F3">
        <w:t>s of the KCI</w:t>
      </w:r>
      <w:r w:rsidR="003077F3" w:rsidRPr="00623DF0">
        <w:t xml:space="preserve">, ensure the observance of these rules of procedure </w:t>
      </w:r>
      <w:r w:rsidR="003077F3" w:rsidRPr="00A860C9">
        <w:t>and rule on points of order</w:t>
      </w:r>
      <w:r w:rsidR="003077F3">
        <w:t>.</w:t>
      </w:r>
    </w:p>
    <w:p w14:paraId="59A11431" w14:textId="73CBA846" w:rsidR="003077F3" w:rsidRPr="008B2EFE" w:rsidRDefault="006C00BB" w:rsidP="006C00BB">
      <w:pPr>
        <w:pStyle w:val="RegSingleTxtG"/>
        <w:numPr>
          <w:ilvl w:val="0"/>
          <w:numId w:val="0"/>
        </w:numPr>
        <w:ind w:left="1134"/>
      </w:pPr>
      <w:r w:rsidRPr="008B2EFE">
        <w:t>17.</w:t>
      </w:r>
      <w:r w:rsidRPr="008B2EFE">
        <w:tab/>
      </w:r>
      <w:r w:rsidR="003077F3" w:rsidRPr="008B2EFE">
        <w:t xml:space="preserve">The </w:t>
      </w:r>
      <w:r w:rsidR="003077F3">
        <w:t>C</w:t>
      </w:r>
      <w:r w:rsidR="003077F3" w:rsidRPr="008B2EFE">
        <w:t>o-</w:t>
      </w:r>
      <w:r w:rsidR="003077F3">
        <w:t>C</w:t>
      </w:r>
      <w:r w:rsidR="003077F3" w:rsidRPr="008B2EFE">
        <w:t xml:space="preserve">hairs shall call upon speakers </w:t>
      </w:r>
      <w:r w:rsidR="003077F3">
        <w:t xml:space="preserve">at meetings of the KCI </w:t>
      </w:r>
      <w:r w:rsidR="003077F3" w:rsidRPr="008B2EFE">
        <w:t xml:space="preserve">in the order in which they signify their desire to speak. The secretariat shall maintain a list of speakers. The </w:t>
      </w:r>
      <w:r w:rsidR="003077F3">
        <w:t>C</w:t>
      </w:r>
      <w:r w:rsidR="003077F3" w:rsidRPr="008B2EFE">
        <w:t>o-</w:t>
      </w:r>
      <w:r w:rsidR="003077F3">
        <w:t>C</w:t>
      </w:r>
      <w:r w:rsidR="003077F3" w:rsidRPr="008B2EFE">
        <w:t xml:space="preserve">hairs may call a speaker to order if </w:t>
      </w:r>
      <w:r w:rsidR="003077F3">
        <w:t>their</w:t>
      </w:r>
      <w:r w:rsidR="003077F3" w:rsidRPr="008B2EFE">
        <w:t xml:space="preserve"> remarks are not relevant to the subject under discussion. </w:t>
      </w:r>
    </w:p>
    <w:p w14:paraId="139081DB" w14:textId="23A45E8A" w:rsidR="003077F3" w:rsidRPr="008B2EFE" w:rsidRDefault="006C00BB" w:rsidP="006C00BB">
      <w:pPr>
        <w:pStyle w:val="RegSingleTxtG"/>
        <w:numPr>
          <w:ilvl w:val="0"/>
          <w:numId w:val="0"/>
        </w:numPr>
        <w:ind w:left="1134"/>
      </w:pPr>
      <w:r w:rsidRPr="008B2EFE">
        <w:t>18.</w:t>
      </w:r>
      <w:r w:rsidRPr="008B2EFE">
        <w:tab/>
      </w:r>
      <w:r w:rsidR="003077F3" w:rsidRPr="008B2EFE">
        <w:t xml:space="preserve">The KCI may further define additional roles and responsibilities for the </w:t>
      </w:r>
      <w:r w:rsidR="003077F3">
        <w:t>C</w:t>
      </w:r>
      <w:r w:rsidR="003077F3" w:rsidRPr="008B2EFE">
        <w:t>o-</w:t>
      </w:r>
      <w:r w:rsidR="003077F3">
        <w:t>C</w:t>
      </w:r>
      <w:r w:rsidR="003077F3" w:rsidRPr="008B2EFE">
        <w:t>hairs.</w:t>
      </w:r>
    </w:p>
    <w:p w14:paraId="29D2712C" w14:textId="72F7B33F" w:rsidR="003077F3" w:rsidRPr="008B2EFE" w:rsidRDefault="006C00BB" w:rsidP="006C00BB">
      <w:pPr>
        <w:pStyle w:val="RegSingleTxtG"/>
        <w:numPr>
          <w:ilvl w:val="0"/>
          <w:numId w:val="0"/>
        </w:numPr>
        <w:ind w:left="1134"/>
      </w:pPr>
      <w:r w:rsidRPr="008B2EFE">
        <w:t>19.</w:t>
      </w:r>
      <w:r w:rsidRPr="008B2EFE">
        <w:tab/>
      </w:r>
      <w:r w:rsidR="003077F3">
        <w:t>In exercising their functions, t</w:t>
      </w:r>
      <w:r w:rsidR="003077F3" w:rsidRPr="008B2EFE">
        <w:t xml:space="preserve">he </w:t>
      </w:r>
      <w:r w:rsidR="003077F3">
        <w:t>C</w:t>
      </w:r>
      <w:r w:rsidR="003077F3" w:rsidRPr="008B2EFE">
        <w:t>o-</w:t>
      </w:r>
      <w:r w:rsidR="003077F3">
        <w:t>C</w:t>
      </w:r>
      <w:r w:rsidR="003077F3" w:rsidRPr="008B2EFE">
        <w:t>hairs</w:t>
      </w:r>
      <w:r w:rsidR="003077F3">
        <w:t xml:space="preserve"> shall </w:t>
      </w:r>
      <w:r w:rsidR="003077F3" w:rsidRPr="008B2EFE">
        <w:t>remain under the authority of the KCI.</w:t>
      </w:r>
    </w:p>
    <w:p w14:paraId="094C6AD2" w14:textId="23B85DEB" w:rsidR="003077F3" w:rsidRPr="008B2EFE" w:rsidRDefault="006C00BB" w:rsidP="006C00BB">
      <w:pPr>
        <w:pStyle w:val="RegHChG"/>
        <w:numPr>
          <w:ilvl w:val="0"/>
          <w:numId w:val="0"/>
        </w:numPr>
        <w:tabs>
          <w:tab w:val="left" w:pos="1135"/>
        </w:tabs>
        <w:ind w:left="1135" w:hanging="454"/>
      </w:pPr>
      <w:r w:rsidRPr="008B2EFE">
        <w:t>V.</w:t>
      </w:r>
      <w:r w:rsidRPr="008B2EFE">
        <w:tab/>
      </w:r>
      <w:r w:rsidR="003077F3" w:rsidRPr="008B2EFE">
        <w:t>Secretariat</w:t>
      </w:r>
    </w:p>
    <w:p w14:paraId="53AAB8DA" w14:textId="7A68DB77" w:rsidR="003077F3" w:rsidRPr="00C65904" w:rsidRDefault="006C00BB" w:rsidP="006C00BB">
      <w:pPr>
        <w:pStyle w:val="RegSingleTxtG"/>
        <w:numPr>
          <w:ilvl w:val="0"/>
          <w:numId w:val="0"/>
        </w:numPr>
        <w:ind w:left="1134"/>
      </w:pPr>
      <w:r w:rsidRPr="00C65904">
        <w:t>20.</w:t>
      </w:r>
      <w:r w:rsidRPr="00C65904">
        <w:tab/>
      </w:r>
      <w:r w:rsidR="003077F3" w:rsidRPr="008B2EFE">
        <w:t>The secretariat shall support and facilitate the work of the KCI</w:t>
      </w:r>
      <w:r w:rsidR="003077F3">
        <w:t xml:space="preserve">, by: </w:t>
      </w:r>
    </w:p>
    <w:p w14:paraId="578276BC" w14:textId="5791409E" w:rsidR="003077F3" w:rsidRDefault="006C00BB" w:rsidP="006C00BB">
      <w:pPr>
        <w:pStyle w:val="RegSingleTxtG2"/>
        <w:tabs>
          <w:tab w:val="left" w:pos="720"/>
        </w:tabs>
        <w:ind w:left="1135" w:firstLine="567"/>
      </w:pPr>
      <w:r>
        <w:t>(a)</w:t>
      </w:r>
      <w:r>
        <w:tab/>
      </w:r>
      <w:r w:rsidR="003077F3">
        <w:t>Making the necessary arrangements for the meetings of the KCI, including announcing meetings, issuing invitations, making the necessary travel arrangements for members eligible for funding for their participation in meetings and making available relevant documents for meetings;</w:t>
      </w:r>
    </w:p>
    <w:p w14:paraId="4311E795" w14:textId="206ED940" w:rsidR="003077F3" w:rsidRPr="008B2EFE" w:rsidRDefault="006C00BB" w:rsidP="006C00BB">
      <w:pPr>
        <w:pStyle w:val="RegSingleTxtG2"/>
        <w:tabs>
          <w:tab w:val="left" w:pos="720"/>
        </w:tabs>
        <w:ind w:left="1135" w:firstLine="567"/>
      </w:pPr>
      <w:r w:rsidRPr="008B2EFE">
        <w:t>(b)</w:t>
      </w:r>
      <w:r w:rsidRPr="008B2EFE">
        <w:tab/>
      </w:r>
      <w:r w:rsidR="003077F3" w:rsidRPr="008B2EFE">
        <w:t>Maintain</w:t>
      </w:r>
      <w:r w:rsidR="003077F3">
        <w:t>ing</w:t>
      </w:r>
      <w:r w:rsidR="003077F3" w:rsidRPr="008B2EFE">
        <w:t xml:space="preserve"> meeting records and arrang</w:t>
      </w:r>
      <w:r w:rsidR="003077F3">
        <w:t>ing</w:t>
      </w:r>
      <w:r w:rsidR="003077F3" w:rsidRPr="008B2EFE">
        <w:t xml:space="preserve"> for the storage and preservation of documents of meetings</w:t>
      </w:r>
      <w:r w:rsidR="003077F3">
        <w:t xml:space="preserve"> of the KCI</w:t>
      </w:r>
      <w:r w:rsidR="003077F3" w:rsidRPr="008B2EFE">
        <w:t>;</w:t>
      </w:r>
    </w:p>
    <w:p w14:paraId="20EE1E71" w14:textId="3875F618" w:rsidR="003077F3" w:rsidRPr="008B2EFE" w:rsidRDefault="006C00BB" w:rsidP="006C00BB">
      <w:pPr>
        <w:pStyle w:val="RegSingleTxtG2"/>
        <w:tabs>
          <w:tab w:val="left" w:pos="720"/>
        </w:tabs>
        <w:ind w:left="1135" w:firstLine="567"/>
      </w:pPr>
      <w:r w:rsidRPr="008B2EFE">
        <w:lastRenderedPageBreak/>
        <w:t>(c)</w:t>
      </w:r>
      <w:r w:rsidRPr="008B2EFE">
        <w:tab/>
      </w:r>
      <w:r w:rsidR="003077F3">
        <w:t>Making documents of meetings of the KCI available to the public, unless otherwise decided by the KCI.</w:t>
      </w:r>
    </w:p>
    <w:p w14:paraId="6A128A53" w14:textId="6CA60761" w:rsidR="003077F3" w:rsidRPr="008B2EFE" w:rsidRDefault="006C00BB" w:rsidP="006C00BB">
      <w:pPr>
        <w:pStyle w:val="RegSingleTxtG"/>
        <w:numPr>
          <w:ilvl w:val="0"/>
          <w:numId w:val="0"/>
        </w:numPr>
        <w:ind w:left="1134"/>
      </w:pPr>
      <w:r w:rsidRPr="008B2EFE">
        <w:t>21.</w:t>
      </w:r>
      <w:r w:rsidRPr="008B2EFE">
        <w:tab/>
      </w:r>
      <w:r w:rsidR="003077F3" w:rsidRPr="008B2EFE">
        <w:t>The secretariat shall</w:t>
      </w:r>
      <w:r w:rsidR="003077F3">
        <w:t xml:space="preserve"> assist the KCI in tracking its actions, in accordance with the workplan of the </w:t>
      </w:r>
      <w:r w:rsidR="003077F3" w:rsidRPr="002022D1">
        <w:t xml:space="preserve">forum and its </w:t>
      </w:r>
      <w:r w:rsidR="003077F3" w:rsidRPr="00C10811">
        <w:t>KCI</w:t>
      </w:r>
      <w:r w:rsidR="003077F3">
        <w:t>,</w:t>
      </w:r>
      <w:r w:rsidR="003077F3" w:rsidRPr="00C10811">
        <w:t xml:space="preserve"> in its annual report</w:t>
      </w:r>
      <w:r w:rsidR="003077F3">
        <w:t>.</w:t>
      </w:r>
    </w:p>
    <w:p w14:paraId="6451719C" w14:textId="439600B5" w:rsidR="003077F3" w:rsidRDefault="006C00BB" w:rsidP="006C00BB">
      <w:pPr>
        <w:pStyle w:val="RegSingleTxtG"/>
        <w:numPr>
          <w:ilvl w:val="0"/>
          <w:numId w:val="0"/>
        </w:numPr>
        <w:ind w:left="1134"/>
      </w:pPr>
      <w:r>
        <w:t>22.</w:t>
      </w:r>
      <w:r>
        <w:tab/>
      </w:r>
      <w:r w:rsidR="003077F3" w:rsidRPr="008B2EFE">
        <w:t>In addition, the secretariat shall perform any other functions assigned</w:t>
      </w:r>
      <w:r w:rsidR="003077F3">
        <w:t xml:space="preserve"> by the KCI, in accordance with the workplan of the </w:t>
      </w:r>
      <w:r w:rsidR="003077F3" w:rsidRPr="002022D1">
        <w:t>forum and its KCI.</w:t>
      </w:r>
      <w:r w:rsidR="003077F3">
        <w:t xml:space="preserve"> </w:t>
      </w:r>
    </w:p>
    <w:p w14:paraId="2380573F" w14:textId="70C4A90B" w:rsidR="003077F3" w:rsidRPr="008B2EFE" w:rsidRDefault="006C00BB" w:rsidP="006C00BB">
      <w:pPr>
        <w:pStyle w:val="RegHChG"/>
        <w:numPr>
          <w:ilvl w:val="0"/>
          <w:numId w:val="0"/>
        </w:numPr>
        <w:tabs>
          <w:tab w:val="left" w:pos="1135"/>
        </w:tabs>
        <w:ind w:left="1135" w:hanging="454"/>
      </w:pPr>
      <w:r w:rsidRPr="008B2EFE">
        <w:t>VI.</w:t>
      </w:r>
      <w:r w:rsidRPr="008B2EFE">
        <w:tab/>
      </w:r>
      <w:r w:rsidR="003077F3" w:rsidRPr="008B2EFE">
        <w:t>Meetings</w:t>
      </w:r>
    </w:p>
    <w:p w14:paraId="0D9FE31B" w14:textId="7AF6FFEA" w:rsidR="003077F3" w:rsidRDefault="006C00BB" w:rsidP="006C00BB">
      <w:pPr>
        <w:pStyle w:val="RegSingleTxtG"/>
        <w:numPr>
          <w:ilvl w:val="0"/>
          <w:numId w:val="0"/>
        </w:numPr>
        <w:ind w:left="1134"/>
      </w:pPr>
      <w:r>
        <w:t>23.</w:t>
      </w:r>
      <w:r>
        <w:tab/>
      </w:r>
      <w:r w:rsidR="003077F3">
        <w:t xml:space="preserve">The KCI shall meet twice per year, for two days per meeting, </w:t>
      </w:r>
      <w:r w:rsidR="003077F3" w:rsidRPr="008B2EFE">
        <w:t xml:space="preserve">in conjunction with the </w:t>
      </w:r>
      <w:r w:rsidR="003077F3">
        <w:t xml:space="preserve">sessions of the </w:t>
      </w:r>
      <w:r w:rsidR="003077F3" w:rsidRPr="008B2EFE">
        <w:t>subsidiary bod</w:t>
      </w:r>
      <w:r w:rsidR="003077F3">
        <w:t>ies.</w:t>
      </w:r>
    </w:p>
    <w:p w14:paraId="49D846C5" w14:textId="62FC0FCC" w:rsidR="003077F3" w:rsidRDefault="006C00BB" w:rsidP="006C00BB">
      <w:pPr>
        <w:pStyle w:val="RegSingleTxtG"/>
        <w:numPr>
          <w:ilvl w:val="0"/>
          <w:numId w:val="0"/>
        </w:numPr>
        <w:ind w:left="1134"/>
      </w:pPr>
      <w:r>
        <w:t>24.</w:t>
      </w:r>
      <w:r>
        <w:tab/>
      </w:r>
      <w:r w:rsidR="003077F3">
        <w:t>At least nine members of the KCI must be present to constitute a quorum.</w:t>
      </w:r>
    </w:p>
    <w:p w14:paraId="091FC3BE" w14:textId="7A9FE408" w:rsidR="003077F3" w:rsidRDefault="006C00BB" w:rsidP="006C00BB">
      <w:pPr>
        <w:pStyle w:val="RegSingleTxtG"/>
        <w:numPr>
          <w:ilvl w:val="0"/>
          <w:numId w:val="0"/>
        </w:numPr>
        <w:ind w:left="1134"/>
      </w:pPr>
      <w:r>
        <w:t>25.</w:t>
      </w:r>
      <w:r>
        <w:tab/>
      </w:r>
      <w:r w:rsidR="003077F3" w:rsidRPr="008B2EFE">
        <w:t>Members are requested to confirm their attendance at meetings of the KCI as early</w:t>
      </w:r>
      <w:r w:rsidR="003077F3">
        <w:t xml:space="preserve"> </w:t>
      </w:r>
      <w:r w:rsidR="003077F3" w:rsidRPr="008B2EFE">
        <w:t>as possible</w:t>
      </w:r>
      <w:r w:rsidR="003077F3">
        <w:t>,</w:t>
      </w:r>
      <w:r w:rsidR="003077F3" w:rsidRPr="008B2EFE">
        <w:t xml:space="preserve"> and at least four weeks prior to a meeting for members eligible for funding for</w:t>
      </w:r>
      <w:r w:rsidR="003077F3">
        <w:t xml:space="preserve"> </w:t>
      </w:r>
      <w:r w:rsidR="003077F3" w:rsidRPr="008B2EFE">
        <w:t>their participation</w:t>
      </w:r>
      <w:r w:rsidR="003077F3">
        <w:t>,</w:t>
      </w:r>
      <w:r w:rsidR="003077F3" w:rsidRPr="008B2EFE">
        <w:t xml:space="preserve"> to enable sufficient time for the secretariat to make the necessary travel</w:t>
      </w:r>
      <w:r w:rsidR="003077F3">
        <w:t xml:space="preserve"> </w:t>
      </w:r>
      <w:r w:rsidR="003077F3" w:rsidRPr="008B2EFE">
        <w:t>arrangements.</w:t>
      </w:r>
    </w:p>
    <w:p w14:paraId="22A51123" w14:textId="7B54ADE3" w:rsidR="003077F3" w:rsidRDefault="006C00BB" w:rsidP="006C00BB">
      <w:pPr>
        <w:pStyle w:val="RegSingleTxtG"/>
        <w:numPr>
          <w:ilvl w:val="0"/>
          <w:numId w:val="0"/>
        </w:numPr>
        <w:ind w:left="1134"/>
      </w:pPr>
      <w:r>
        <w:t>26.</w:t>
      </w:r>
      <w:r>
        <w:tab/>
      </w:r>
      <w:r w:rsidR="003077F3">
        <w:t>Should technical and financial resources permit, open meetings of the KCI shall be webcast through the UNFCCC website.</w:t>
      </w:r>
    </w:p>
    <w:p w14:paraId="318F3FA3" w14:textId="6302BE8A" w:rsidR="003077F3" w:rsidRPr="008B2EFE" w:rsidRDefault="006C00BB" w:rsidP="006C00BB">
      <w:pPr>
        <w:pStyle w:val="RegSingleTxtG"/>
        <w:numPr>
          <w:ilvl w:val="0"/>
          <w:numId w:val="0"/>
        </w:numPr>
        <w:ind w:left="1134"/>
      </w:pPr>
      <w:r w:rsidRPr="008B2EFE">
        <w:t>27.</w:t>
      </w:r>
      <w:r w:rsidRPr="008B2EFE">
        <w:tab/>
      </w:r>
      <w:r w:rsidR="003077F3">
        <w:t>At each of its meetings, the KCI shall propose the dates of its next meeting. The Co-Chairs will agree the dates of the next meeting in consultation with the secretariat.</w:t>
      </w:r>
    </w:p>
    <w:p w14:paraId="5F891479" w14:textId="2BBBE9BD" w:rsidR="003077F3" w:rsidRPr="008B2EFE" w:rsidRDefault="006C00BB" w:rsidP="006C00BB">
      <w:pPr>
        <w:pStyle w:val="RegHChG"/>
        <w:numPr>
          <w:ilvl w:val="0"/>
          <w:numId w:val="0"/>
        </w:numPr>
        <w:tabs>
          <w:tab w:val="left" w:pos="1135"/>
        </w:tabs>
        <w:ind w:left="1135" w:hanging="454"/>
      </w:pPr>
      <w:r w:rsidRPr="008B2EFE">
        <w:t>VII.</w:t>
      </w:r>
      <w:r w:rsidRPr="008B2EFE">
        <w:tab/>
      </w:r>
      <w:r w:rsidR="003077F3" w:rsidRPr="008B2EFE">
        <w:t>Agenda and documentation for meetings</w:t>
      </w:r>
    </w:p>
    <w:p w14:paraId="28E35201" w14:textId="5BD23EB1" w:rsidR="003077F3" w:rsidRDefault="006C00BB" w:rsidP="006C00BB">
      <w:pPr>
        <w:pStyle w:val="RegSingleTxtG"/>
        <w:numPr>
          <w:ilvl w:val="0"/>
          <w:numId w:val="0"/>
        </w:numPr>
        <w:ind w:left="1134"/>
      </w:pPr>
      <w:r>
        <w:t>28.</w:t>
      </w:r>
      <w:r>
        <w:tab/>
      </w:r>
      <w:r w:rsidR="003077F3" w:rsidRPr="008B2EFE">
        <w:t xml:space="preserve">The </w:t>
      </w:r>
      <w:r w:rsidR="003077F3">
        <w:t>C</w:t>
      </w:r>
      <w:r w:rsidR="003077F3" w:rsidRPr="008B2EFE">
        <w:t>o-</w:t>
      </w:r>
      <w:r w:rsidR="003077F3">
        <w:t>C</w:t>
      </w:r>
      <w:r w:rsidR="003077F3" w:rsidRPr="008B2EFE">
        <w:t xml:space="preserve">hairs, assisted by the secretariat, </w:t>
      </w:r>
      <w:r w:rsidR="003077F3">
        <w:t xml:space="preserve">shall </w:t>
      </w:r>
      <w:r w:rsidR="003077F3" w:rsidRPr="008B2EFE">
        <w:t>prepare the provisional</w:t>
      </w:r>
      <w:r w:rsidR="003077F3">
        <w:t xml:space="preserve"> agenda and provisional annotated</w:t>
      </w:r>
      <w:r w:rsidR="003077F3" w:rsidRPr="008B2EFE">
        <w:t xml:space="preserve"> agenda for each meeting</w:t>
      </w:r>
      <w:r w:rsidR="003077F3">
        <w:t xml:space="preserve"> of the KCI in accordance with the </w:t>
      </w:r>
      <w:r w:rsidR="003077F3" w:rsidRPr="00B00BC6">
        <w:t xml:space="preserve">workplan of the </w:t>
      </w:r>
      <w:r w:rsidR="003077F3" w:rsidRPr="002022D1">
        <w:t>forum and its KCI</w:t>
      </w:r>
      <w:r w:rsidR="003077F3">
        <w:t xml:space="preserve">. The Co-Chairs will prepare a report on the meeting, to be agreed by members, and this will be made available on the UNFCCC website. The Co-Chairs will report back to the forum on the meeting of the KCI. </w:t>
      </w:r>
    </w:p>
    <w:p w14:paraId="33CDC75B" w14:textId="474C7932" w:rsidR="003077F3" w:rsidRDefault="006C00BB" w:rsidP="006C00BB">
      <w:pPr>
        <w:pStyle w:val="RegSingleTxtG"/>
        <w:numPr>
          <w:ilvl w:val="0"/>
          <w:numId w:val="0"/>
        </w:numPr>
        <w:ind w:left="1134"/>
      </w:pPr>
      <w:r>
        <w:t>29.</w:t>
      </w:r>
      <w:r>
        <w:tab/>
      </w:r>
      <w:r w:rsidR="003077F3">
        <w:t xml:space="preserve">The provisional agenda and provisional annotated agenda for each meeting shall be transmitted to the members of the KCI at least four weeks in advance of the meeting. </w:t>
      </w:r>
    </w:p>
    <w:p w14:paraId="7865C379" w14:textId="1200E48C" w:rsidR="003077F3" w:rsidRDefault="006C00BB" w:rsidP="006C00BB">
      <w:pPr>
        <w:pStyle w:val="RegSingleTxtG"/>
        <w:numPr>
          <w:ilvl w:val="0"/>
          <w:numId w:val="0"/>
        </w:numPr>
        <w:ind w:left="1134"/>
      </w:pPr>
      <w:r>
        <w:t>30.</w:t>
      </w:r>
      <w:r>
        <w:tab/>
      </w:r>
      <w:r w:rsidR="003077F3">
        <w:t xml:space="preserve">Members may propose additions or changes to the provisional agenda and provisional annotated agenda, in writing, to the secretariat within one week of receiving the documents, and these additions or changes shall be considered for a revised provisional agenda and provisional annotated agenda by the secretariat in agreement with the Co-Chairs. </w:t>
      </w:r>
    </w:p>
    <w:p w14:paraId="7308FBDB" w14:textId="2069B2E6" w:rsidR="003077F3" w:rsidRPr="008B2EFE" w:rsidRDefault="006C00BB" w:rsidP="006C00BB">
      <w:pPr>
        <w:pStyle w:val="RegSingleTxtG"/>
        <w:numPr>
          <w:ilvl w:val="0"/>
          <w:numId w:val="0"/>
        </w:numPr>
        <w:ind w:left="1134"/>
      </w:pPr>
      <w:r w:rsidRPr="008B2EFE">
        <w:t>31.</w:t>
      </w:r>
      <w:r w:rsidRPr="008B2EFE">
        <w:tab/>
      </w:r>
      <w:r w:rsidR="003077F3" w:rsidRPr="008B2EFE">
        <w:t xml:space="preserve">The secretariat shall transmit the provisional </w:t>
      </w:r>
      <w:r w:rsidR="003077F3">
        <w:t xml:space="preserve">agenda and provisional </w:t>
      </w:r>
      <w:r w:rsidR="003077F3" w:rsidRPr="008B2EFE">
        <w:t>annotated agenda and</w:t>
      </w:r>
      <w:r w:rsidR="003077F3">
        <w:t xml:space="preserve"> </w:t>
      </w:r>
      <w:r w:rsidR="003077F3" w:rsidRPr="008B2EFE">
        <w:t xml:space="preserve">any supporting documentation to the </w:t>
      </w:r>
      <w:r w:rsidR="003077F3" w:rsidRPr="00483AEE">
        <w:t>members at least two weeks prior to</w:t>
      </w:r>
      <w:r w:rsidR="003077F3" w:rsidRPr="008B2EFE">
        <w:t xml:space="preserve"> </w:t>
      </w:r>
      <w:r w:rsidR="003077F3">
        <w:t>a</w:t>
      </w:r>
      <w:r w:rsidR="003077F3" w:rsidRPr="008B2EFE">
        <w:t xml:space="preserve"> meeting. Documents may be transmitted after that date with the approval of the </w:t>
      </w:r>
      <w:r w:rsidR="003077F3">
        <w:t>C</w:t>
      </w:r>
      <w:r w:rsidR="003077F3" w:rsidRPr="008B2EFE">
        <w:t>o-</w:t>
      </w:r>
      <w:r w:rsidR="003077F3">
        <w:t>C</w:t>
      </w:r>
      <w:r w:rsidR="003077F3" w:rsidRPr="008B2EFE">
        <w:t xml:space="preserve">hairs. </w:t>
      </w:r>
    </w:p>
    <w:p w14:paraId="3AB2E6FC" w14:textId="00503764" w:rsidR="003077F3" w:rsidRDefault="006C00BB" w:rsidP="006C00BB">
      <w:pPr>
        <w:pStyle w:val="RegSingleTxtG"/>
        <w:numPr>
          <w:ilvl w:val="0"/>
          <w:numId w:val="0"/>
        </w:numPr>
        <w:ind w:left="1134"/>
      </w:pPr>
      <w:r>
        <w:t>32.</w:t>
      </w:r>
      <w:r>
        <w:tab/>
      </w:r>
      <w:r w:rsidR="003077F3" w:rsidRPr="008B2EFE">
        <w:t xml:space="preserve">Documents for a meeting shall be published on the UNFCCC </w:t>
      </w:r>
      <w:r w:rsidR="003077F3" w:rsidRPr="00BF4A2E">
        <w:t>website at least two</w:t>
      </w:r>
      <w:r w:rsidR="003077F3" w:rsidRPr="008B2EFE">
        <w:t xml:space="preserve"> weeks prior to that meeting</w:t>
      </w:r>
      <w:r w:rsidR="003077F3">
        <w:t>,</w:t>
      </w:r>
      <w:r w:rsidR="003077F3" w:rsidRPr="004F0EA8">
        <w:t xml:space="preserve"> </w:t>
      </w:r>
      <w:r w:rsidR="003077F3">
        <w:t>to the extent possible.</w:t>
      </w:r>
      <w:r w:rsidR="003077F3" w:rsidRPr="00E11F80">
        <w:t xml:space="preserve"> </w:t>
      </w:r>
    </w:p>
    <w:p w14:paraId="7C543712" w14:textId="7BD39D8D" w:rsidR="003077F3" w:rsidRDefault="006C00BB" w:rsidP="006C00BB">
      <w:pPr>
        <w:pStyle w:val="RegSingleTxtG"/>
        <w:numPr>
          <w:ilvl w:val="0"/>
          <w:numId w:val="0"/>
        </w:numPr>
        <w:ind w:left="1134"/>
      </w:pPr>
      <w:r>
        <w:t>33.</w:t>
      </w:r>
      <w:r>
        <w:tab/>
      </w:r>
      <w:r w:rsidR="003077F3" w:rsidRPr="008B2EFE">
        <w:t>The KCI shall, at the beginning of each meeting, adopt the agenda</w:t>
      </w:r>
      <w:r w:rsidR="003077F3">
        <w:t xml:space="preserve"> for that meeting.</w:t>
      </w:r>
    </w:p>
    <w:p w14:paraId="45D1B276" w14:textId="4A38B063" w:rsidR="003077F3" w:rsidRDefault="006C00BB" w:rsidP="006C00BB">
      <w:pPr>
        <w:pStyle w:val="RegSingleTxtG"/>
        <w:numPr>
          <w:ilvl w:val="0"/>
          <w:numId w:val="0"/>
        </w:numPr>
        <w:ind w:left="1134"/>
      </w:pPr>
      <w:r>
        <w:t>34.</w:t>
      </w:r>
      <w:r>
        <w:tab/>
      </w:r>
      <w:r w:rsidR="003077F3">
        <w:t>The CMA decided that members of the KCI shall prepare an annual report for consideration by the forum with a view to making recommendations for consideration by the SBSTA and the SBI, which, in turn, are to recommend actions to the Conference of the Parties (COP), the Conference of the Parties serving as the meeting of the Parties to the Kyoto Protocol (CMP)</w:t>
      </w:r>
      <w:r w:rsidR="003077F3" w:rsidDel="0089053E">
        <w:t xml:space="preserve"> and the CMA</w:t>
      </w:r>
      <w:r w:rsidR="003077F3">
        <w:t xml:space="preserve"> for their consideration and adoption.</w:t>
      </w:r>
      <w:r w:rsidR="003077F3">
        <w:rPr>
          <w:rStyle w:val="FootnoteReference"/>
        </w:rPr>
        <w:footnoteReference w:id="15"/>
      </w:r>
      <w:r w:rsidR="003077F3" w:rsidRPr="007A41CD">
        <w:rPr>
          <w:rFonts w:asciiTheme="minorHAnsi" w:eastAsiaTheme="minorHAnsi" w:hAnsiTheme="minorHAnsi" w:cstheme="minorBidi"/>
          <w:sz w:val="22"/>
          <w:szCs w:val="22"/>
          <w:lang w:eastAsia="en-US"/>
        </w:rPr>
        <w:t xml:space="preserve"> </w:t>
      </w:r>
    </w:p>
    <w:p w14:paraId="18B83BB3" w14:textId="4C2889BB" w:rsidR="003077F3" w:rsidRDefault="006C00BB" w:rsidP="006C00BB">
      <w:pPr>
        <w:pStyle w:val="RegSingleTxtG"/>
        <w:numPr>
          <w:ilvl w:val="0"/>
          <w:numId w:val="0"/>
        </w:numPr>
        <w:ind w:left="1134"/>
      </w:pPr>
      <w:r>
        <w:t>35.</w:t>
      </w:r>
      <w:r>
        <w:tab/>
      </w:r>
      <w:r w:rsidR="003077F3" w:rsidRPr="00C82070">
        <w:t>This annual report shall be made available on the UNFCCC website</w:t>
      </w:r>
      <w:r w:rsidR="003077F3" w:rsidRPr="00725CE2">
        <w:t xml:space="preserve"> b</w:t>
      </w:r>
      <w:r w:rsidR="003077F3">
        <w:t>efore</w:t>
      </w:r>
      <w:r w:rsidR="003077F3" w:rsidRPr="00725CE2">
        <w:t xml:space="preserve"> the </w:t>
      </w:r>
      <w:r w:rsidR="003077F3" w:rsidRPr="00C82070">
        <w:t xml:space="preserve">relevant </w:t>
      </w:r>
      <w:r w:rsidR="003077F3">
        <w:t>sessions</w:t>
      </w:r>
      <w:r w:rsidR="003077F3" w:rsidRPr="00C82070">
        <w:t xml:space="preserve"> of the</w:t>
      </w:r>
      <w:r w:rsidR="003077F3">
        <w:t xml:space="preserve"> COP, the CMP</w:t>
      </w:r>
      <w:r w:rsidR="003077F3" w:rsidRPr="00C82070" w:rsidDel="00897261">
        <w:t xml:space="preserve"> and the </w:t>
      </w:r>
      <w:r w:rsidR="003077F3" w:rsidDel="00897261">
        <w:t>CMA</w:t>
      </w:r>
      <w:r w:rsidR="003077F3" w:rsidRPr="00C82070">
        <w:t>.</w:t>
      </w:r>
    </w:p>
    <w:p w14:paraId="6ED70BE7" w14:textId="2CFB9FA7" w:rsidR="003077F3" w:rsidRPr="003A58A0" w:rsidRDefault="006C00BB" w:rsidP="006C00BB">
      <w:pPr>
        <w:pStyle w:val="RegHChG"/>
        <w:numPr>
          <w:ilvl w:val="0"/>
          <w:numId w:val="0"/>
        </w:numPr>
        <w:tabs>
          <w:tab w:val="left" w:pos="1135"/>
        </w:tabs>
        <w:ind w:left="1135" w:hanging="454"/>
      </w:pPr>
      <w:r w:rsidRPr="003A58A0">
        <w:lastRenderedPageBreak/>
        <w:t>VIII.</w:t>
      </w:r>
      <w:r w:rsidRPr="003A58A0">
        <w:tab/>
      </w:r>
      <w:r w:rsidR="003077F3" w:rsidRPr="003A58A0">
        <w:t>Decision-making</w:t>
      </w:r>
    </w:p>
    <w:p w14:paraId="4AF0A0DE" w14:textId="4E97B4B0" w:rsidR="003077F3" w:rsidRDefault="006C00BB" w:rsidP="006C00BB">
      <w:pPr>
        <w:pStyle w:val="RegSingleTxtG"/>
        <w:numPr>
          <w:ilvl w:val="0"/>
          <w:numId w:val="0"/>
        </w:numPr>
        <w:ind w:left="1134"/>
      </w:pPr>
      <w:r>
        <w:t>36.</w:t>
      </w:r>
      <w:r>
        <w:tab/>
      </w:r>
      <w:r w:rsidR="003077F3" w:rsidRPr="007D637C">
        <w:t>The CMA decided</w:t>
      </w:r>
      <w:r w:rsidR="003077F3">
        <w:t xml:space="preserve"> that the KCI shall operate on the basis of consensus of its members.</w:t>
      </w:r>
      <w:r w:rsidR="003077F3">
        <w:rPr>
          <w:rStyle w:val="FootnoteReference"/>
        </w:rPr>
        <w:footnoteReference w:id="16"/>
      </w:r>
    </w:p>
    <w:p w14:paraId="0C58398C" w14:textId="4E7DE3C4" w:rsidR="003077F3" w:rsidRDefault="006C00BB" w:rsidP="006C00BB">
      <w:pPr>
        <w:pStyle w:val="RegSingleTxtG"/>
        <w:numPr>
          <w:ilvl w:val="0"/>
          <w:numId w:val="0"/>
        </w:numPr>
        <w:ind w:left="1134"/>
      </w:pPr>
      <w:r>
        <w:t>37.</w:t>
      </w:r>
      <w:r>
        <w:tab/>
      </w:r>
      <w:r w:rsidR="003077F3">
        <w:t xml:space="preserve">The KCI may use electronic means to facilitate its work, as appropriate and in accordance with the workplan of </w:t>
      </w:r>
      <w:r w:rsidR="003077F3" w:rsidRPr="00B00BC6">
        <w:t xml:space="preserve">the </w:t>
      </w:r>
      <w:r w:rsidR="003077F3" w:rsidRPr="00180763">
        <w:t>forum and its KCI.</w:t>
      </w:r>
    </w:p>
    <w:p w14:paraId="2FA45B9E" w14:textId="5E110872" w:rsidR="003077F3" w:rsidRPr="003A58A0" w:rsidRDefault="006C00BB" w:rsidP="006C00BB">
      <w:pPr>
        <w:pStyle w:val="RegHChG"/>
        <w:numPr>
          <w:ilvl w:val="0"/>
          <w:numId w:val="0"/>
        </w:numPr>
        <w:tabs>
          <w:tab w:val="left" w:pos="1135"/>
        </w:tabs>
        <w:ind w:left="1135" w:hanging="454"/>
      </w:pPr>
      <w:r w:rsidRPr="003A58A0">
        <w:t>IX.</w:t>
      </w:r>
      <w:r w:rsidRPr="003A58A0">
        <w:tab/>
      </w:r>
      <w:r w:rsidR="003077F3" w:rsidRPr="003A58A0">
        <w:t>Working language</w:t>
      </w:r>
    </w:p>
    <w:p w14:paraId="4F5B993C" w14:textId="4E1A3285" w:rsidR="003077F3" w:rsidRPr="003A58A0" w:rsidRDefault="006C00BB" w:rsidP="006C00BB">
      <w:pPr>
        <w:pStyle w:val="RegSingleTxtG"/>
        <w:numPr>
          <w:ilvl w:val="0"/>
          <w:numId w:val="0"/>
        </w:numPr>
        <w:ind w:left="1134"/>
        <w:rPr>
          <w:bCs/>
        </w:rPr>
      </w:pPr>
      <w:r w:rsidRPr="003A58A0">
        <w:rPr>
          <w:bCs/>
        </w:rPr>
        <w:t>38.</w:t>
      </w:r>
      <w:r w:rsidRPr="003A58A0">
        <w:rPr>
          <w:bCs/>
        </w:rPr>
        <w:tab/>
      </w:r>
      <w:r w:rsidR="003077F3" w:rsidRPr="003A58A0">
        <w:t>The working language of the KCI shall be English.</w:t>
      </w:r>
    </w:p>
    <w:p w14:paraId="08126EAA" w14:textId="2DF5E9E1" w:rsidR="003077F3" w:rsidRPr="003A58A0" w:rsidRDefault="006C00BB" w:rsidP="006C00BB">
      <w:pPr>
        <w:pStyle w:val="RegHChG"/>
        <w:numPr>
          <w:ilvl w:val="0"/>
          <w:numId w:val="0"/>
        </w:numPr>
        <w:tabs>
          <w:tab w:val="left" w:pos="1135"/>
        </w:tabs>
        <w:ind w:left="1135" w:hanging="454"/>
      </w:pPr>
      <w:r w:rsidRPr="003A58A0">
        <w:t>X.</w:t>
      </w:r>
      <w:r w:rsidRPr="003A58A0">
        <w:tab/>
      </w:r>
      <w:r w:rsidR="003077F3" w:rsidRPr="003A58A0">
        <w:t>Participation of expert advisers in meetings</w:t>
      </w:r>
    </w:p>
    <w:p w14:paraId="462C1765" w14:textId="0565D054" w:rsidR="003077F3" w:rsidRDefault="006C00BB" w:rsidP="006C00BB">
      <w:pPr>
        <w:pStyle w:val="RegSingleTxtG"/>
        <w:numPr>
          <w:ilvl w:val="0"/>
          <w:numId w:val="0"/>
        </w:numPr>
        <w:ind w:left="1134"/>
      </w:pPr>
      <w:r>
        <w:t>39.</w:t>
      </w:r>
      <w:r>
        <w:tab/>
      </w:r>
      <w:r w:rsidR="003077F3">
        <w:t>The KCI, in performing its mandate, should draw upon outside expertise at its meetings.</w:t>
      </w:r>
    </w:p>
    <w:p w14:paraId="248A5AE7" w14:textId="02800C55" w:rsidR="003077F3" w:rsidRPr="00121BC2" w:rsidRDefault="006C00BB" w:rsidP="006C00BB">
      <w:pPr>
        <w:pStyle w:val="RegSingleTxtG"/>
        <w:numPr>
          <w:ilvl w:val="0"/>
          <w:numId w:val="0"/>
        </w:numPr>
        <w:ind w:left="1134"/>
      </w:pPr>
      <w:r w:rsidRPr="00121BC2">
        <w:t>40.</w:t>
      </w:r>
      <w:r w:rsidRPr="00121BC2">
        <w:tab/>
      </w:r>
      <w:r w:rsidR="003077F3" w:rsidRPr="00121BC2">
        <w:t xml:space="preserve">The </w:t>
      </w:r>
      <w:r w:rsidR="003077F3">
        <w:t>C</w:t>
      </w:r>
      <w:r w:rsidR="003077F3" w:rsidRPr="00121BC2">
        <w:t>o-</w:t>
      </w:r>
      <w:r w:rsidR="003077F3">
        <w:t>C</w:t>
      </w:r>
      <w:r w:rsidR="003077F3" w:rsidRPr="00121BC2">
        <w:t>hairs may, in consultation with the KCI, invite representatives of international organizations</w:t>
      </w:r>
      <w:r w:rsidR="003077F3">
        <w:t>,</w:t>
      </w:r>
      <w:r w:rsidR="003077F3" w:rsidRPr="00121BC2">
        <w:t xml:space="preserve"> the private sector</w:t>
      </w:r>
      <w:r w:rsidR="003077F3">
        <w:t>, academia</w:t>
      </w:r>
      <w:r w:rsidR="003077F3" w:rsidRPr="00121BC2">
        <w:t xml:space="preserve"> and</w:t>
      </w:r>
      <w:r w:rsidR="003077F3">
        <w:t>/or</w:t>
      </w:r>
      <w:r w:rsidR="003077F3" w:rsidRPr="00121BC2">
        <w:t xml:space="preserve"> civil society to participate in a meeting of the KCI as expert advisers on specific issues under consideration at </w:t>
      </w:r>
      <w:r w:rsidR="003077F3">
        <w:t>the</w:t>
      </w:r>
      <w:r w:rsidR="003077F3" w:rsidRPr="00121BC2">
        <w:t xml:space="preserve"> meeting.</w:t>
      </w:r>
    </w:p>
    <w:p w14:paraId="6ACE2842" w14:textId="1B3CB1DC" w:rsidR="003077F3" w:rsidRPr="00495E2F" w:rsidRDefault="006C00BB" w:rsidP="006C00BB">
      <w:pPr>
        <w:pStyle w:val="RegHChG"/>
        <w:numPr>
          <w:ilvl w:val="0"/>
          <w:numId w:val="0"/>
        </w:numPr>
        <w:tabs>
          <w:tab w:val="left" w:pos="1135"/>
        </w:tabs>
        <w:autoSpaceDE w:val="0"/>
        <w:autoSpaceDN w:val="0"/>
        <w:adjustRightInd w:val="0"/>
        <w:spacing w:line="240" w:lineRule="auto"/>
        <w:ind w:left="1135" w:hanging="454"/>
        <w:jc w:val="both"/>
        <w:rPr>
          <w:bCs/>
        </w:rPr>
      </w:pPr>
      <w:r w:rsidRPr="00495E2F">
        <w:rPr>
          <w:bCs/>
        </w:rPr>
        <w:t>XI.</w:t>
      </w:r>
      <w:r w:rsidRPr="00495E2F">
        <w:rPr>
          <w:bCs/>
        </w:rPr>
        <w:tab/>
      </w:r>
      <w:r w:rsidR="003077F3" w:rsidRPr="003A58A0">
        <w:t>Participation of observers</w:t>
      </w:r>
    </w:p>
    <w:p w14:paraId="01EB4BBD" w14:textId="25391DE5" w:rsidR="003077F3" w:rsidRDefault="006C00BB" w:rsidP="006C00BB">
      <w:pPr>
        <w:pStyle w:val="RegSingleTxtG"/>
        <w:numPr>
          <w:ilvl w:val="0"/>
          <w:numId w:val="0"/>
        </w:numPr>
        <w:ind w:left="1134"/>
      </w:pPr>
      <w:r>
        <w:t>41.</w:t>
      </w:r>
      <w:r>
        <w:tab/>
      </w:r>
      <w:r w:rsidR="003077F3">
        <w:rPr>
          <w:rFonts w:eastAsia="Times New Roman"/>
        </w:rPr>
        <w:t>The CMA decided</w:t>
      </w:r>
      <w:r w:rsidR="003077F3">
        <w:t xml:space="preserve"> that meetings of the KCI shall be open to attendance as observers by all Parties and accredited observer organizations, unless otherwise decided by the KCI.</w:t>
      </w:r>
      <w:r w:rsidR="003077F3">
        <w:rPr>
          <w:rStyle w:val="FootnoteReference"/>
        </w:rPr>
        <w:footnoteReference w:id="17"/>
      </w:r>
      <w:r w:rsidR="003077F3">
        <w:t xml:space="preserve"> </w:t>
      </w:r>
    </w:p>
    <w:p w14:paraId="3AC54A88" w14:textId="4A868214" w:rsidR="003077F3" w:rsidRPr="003E345D" w:rsidRDefault="006C00BB" w:rsidP="006C00BB">
      <w:pPr>
        <w:pStyle w:val="RegSingleTxtG"/>
        <w:numPr>
          <w:ilvl w:val="0"/>
          <w:numId w:val="0"/>
        </w:numPr>
        <w:ind w:left="1134"/>
      </w:pPr>
      <w:r w:rsidRPr="003E345D">
        <w:t>42.</w:t>
      </w:r>
      <w:r w:rsidRPr="003E345D">
        <w:tab/>
      </w:r>
      <w:r w:rsidR="003077F3" w:rsidRPr="003E345D">
        <w:t xml:space="preserve">The KCI may decide </w:t>
      </w:r>
      <w:r w:rsidR="003077F3">
        <w:t>to close</w:t>
      </w:r>
      <w:r w:rsidR="003077F3" w:rsidRPr="003E345D">
        <w:t xml:space="preserve"> a meeting or part thereof to observers</w:t>
      </w:r>
      <w:r w:rsidR="003077F3">
        <w:t xml:space="preserve"> at any time</w:t>
      </w:r>
      <w:r w:rsidR="003077F3" w:rsidRPr="003E345D">
        <w:t>.</w:t>
      </w:r>
    </w:p>
    <w:p w14:paraId="3DC91814" w14:textId="5ABAC78E" w:rsidR="003077F3" w:rsidRPr="003E345D" w:rsidRDefault="006C00BB" w:rsidP="006C00BB">
      <w:pPr>
        <w:pStyle w:val="RegSingleTxtG"/>
        <w:numPr>
          <w:ilvl w:val="0"/>
          <w:numId w:val="0"/>
        </w:numPr>
        <w:ind w:left="1134"/>
      </w:pPr>
      <w:r w:rsidRPr="003E345D">
        <w:t>43.</w:t>
      </w:r>
      <w:r w:rsidRPr="003E345D">
        <w:tab/>
      </w:r>
      <w:r w:rsidR="003077F3" w:rsidRPr="003E345D">
        <w:t xml:space="preserve">The secretariat shall </w:t>
      </w:r>
      <w:r w:rsidR="003077F3">
        <w:t>make the dates and venues of the meetings available</w:t>
      </w:r>
      <w:r w:rsidR="003077F3" w:rsidRPr="003E345D">
        <w:t xml:space="preserve"> </w:t>
      </w:r>
      <w:r w:rsidR="003077F3">
        <w:t xml:space="preserve">to the public to enable participation by observers. </w:t>
      </w:r>
    </w:p>
    <w:p w14:paraId="66AD8B7C" w14:textId="05B70EAD" w:rsidR="003077F3" w:rsidRPr="008B2EFE" w:rsidRDefault="006C00BB" w:rsidP="006C00BB">
      <w:pPr>
        <w:pStyle w:val="RegSingleTxtG"/>
        <w:numPr>
          <w:ilvl w:val="0"/>
          <w:numId w:val="0"/>
        </w:numPr>
        <w:ind w:left="1134"/>
      </w:pPr>
      <w:r w:rsidRPr="008B2EFE">
        <w:t>44.</w:t>
      </w:r>
      <w:r w:rsidRPr="008B2EFE">
        <w:tab/>
      </w:r>
      <w:r w:rsidR="003077F3" w:rsidRPr="008B2EFE">
        <w:t>Observers</w:t>
      </w:r>
      <w:r w:rsidR="003077F3">
        <w:t xml:space="preserve"> may</w:t>
      </w:r>
      <w:r w:rsidR="003077F3" w:rsidRPr="008B2EFE">
        <w:t xml:space="preserve">, with the agreement of the KCI, be invited to address the KCI on matters under consideration by the KCI. The </w:t>
      </w:r>
      <w:r w:rsidR="003077F3">
        <w:t>C</w:t>
      </w:r>
      <w:r w:rsidR="003077F3" w:rsidRPr="008B2EFE">
        <w:t>o-</w:t>
      </w:r>
      <w:r w:rsidR="003077F3">
        <w:t>C</w:t>
      </w:r>
      <w:r w:rsidR="003077F3" w:rsidRPr="008B2EFE">
        <w:t xml:space="preserve">hairs shall notify the KCI one week in advance of the meeting of </w:t>
      </w:r>
      <w:r w:rsidR="003077F3">
        <w:t>any</w:t>
      </w:r>
      <w:r w:rsidR="003077F3" w:rsidRPr="008B2EFE">
        <w:t xml:space="preserve"> proposed interventions by observers.</w:t>
      </w:r>
    </w:p>
    <w:p w14:paraId="2ACCF42E" w14:textId="133F7D50" w:rsidR="003077F3" w:rsidRDefault="006C00BB" w:rsidP="006C00BB">
      <w:pPr>
        <w:pStyle w:val="RegSingleTxtG"/>
        <w:numPr>
          <w:ilvl w:val="0"/>
          <w:numId w:val="0"/>
        </w:numPr>
        <w:ind w:left="1134"/>
      </w:pPr>
      <w:r>
        <w:t>45.</w:t>
      </w:r>
      <w:r>
        <w:tab/>
      </w:r>
      <w:r w:rsidR="003077F3">
        <w:t xml:space="preserve">The KCI may request </w:t>
      </w:r>
      <w:r w:rsidR="003077F3" w:rsidRPr="008B2EFE">
        <w:t>intervention</w:t>
      </w:r>
      <w:r w:rsidR="003077F3">
        <w:t>s</w:t>
      </w:r>
      <w:r w:rsidR="003077F3" w:rsidRPr="008B2EFE">
        <w:t xml:space="preserve"> </w:t>
      </w:r>
      <w:r w:rsidR="003077F3">
        <w:t xml:space="preserve">from observers throughout the meeting, as appropriate. </w:t>
      </w:r>
    </w:p>
    <w:p w14:paraId="13C06447" w14:textId="6227283C" w:rsidR="003077F3" w:rsidRPr="003A58A0" w:rsidRDefault="006C00BB" w:rsidP="006C00BB">
      <w:pPr>
        <w:pStyle w:val="RegHChG"/>
        <w:numPr>
          <w:ilvl w:val="0"/>
          <w:numId w:val="0"/>
        </w:numPr>
        <w:tabs>
          <w:tab w:val="left" w:pos="1135"/>
        </w:tabs>
        <w:ind w:left="1135" w:hanging="454"/>
      </w:pPr>
      <w:r w:rsidRPr="003A58A0">
        <w:t>XII.</w:t>
      </w:r>
      <w:r w:rsidRPr="003A58A0">
        <w:tab/>
      </w:r>
      <w:r w:rsidR="003077F3" w:rsidRPr="003A58A0">
        <w:t>Use of electronic means of communication</w:t>
      </w:r>
    </w:p>
    <w:p w14:paraId="56D3A9EB" w14:textId="7F079D36" w:rsidR="003077F3" w:rsidRDefault="006C00BB" w:rsidP="006C00BB">
      <w:pPr>
        <w:pStyle w:val="RegSingleTxtG"/>
        <w:numPr>
          <w:ilvl w:val="0"/>
          <w:numId w:val="0"/>
        </w:numPr>
        <w:ind w:left="1134"/>
      </w:pPr>
      <w:r>
        <w:t>46.</w:t>
      </w:r>
      <w:r>
        <w:tab/>
      </w:r>
      <w:r w:rsidR="003077F3" w:rsidRPr="004E115A">
        <w:t>The KCI shall</w:t>
      </w:r>
      <w:r w:rsidR="003077F3">
        <w:t xml:space="preserve"> </w:t>
      </w:r>
      <w:r w:rsidR="003077F3" w:rsidRPr="004E115A">
        <w:t>use electronic means of communication to facilitate intersessional work</w:t>
      </w:r>
      <w:r w:rsidR="003077F3">
        <w:rPr>
          <w:rFonts w:eastAsia="Times New Roman"/>
        </w:rPr>
        <w:t xml:space="preserve">, as appropriate and in accordance with the workplan of the </w:t>
      </w:r>
      <w:r w:rsidR="003077F3" w:rsidRPr="002022D1">
        <w:rPr>
          <w:rFonts w:eastAsia="Times New Roman"/>
        </w:rPr>
        <w:t>forum and its KCI</w:t>
      </w:r>
      <w:r w:rsidR="003077F3" w:rsidRPr="002022D1">
        <w:t>. The secretariat shall ensure that a secure and dedicated web interface is e</w:t>
      </w:r>
      <w:r w:rsidR="003077F3" w:rsidRPr="004E115A">
        <w:t>stablished and maintained to facilitate the work of the KCI.</w:t>
      </w:r>
    </w:p>
    <w:p w14:paraId="112A8A12" w14:textId="131A9D0C" w:rsidR="003077F3" w:rsidRPr="00725CE2" w:rsidRDefault="006C00BB" w:rsidP="006C00BB">
      <w:pPr>
        <w:pStyle w:val="RegHChG"/>
        <w:numPr>
          <w:ilvl w:val="0"/>
          <w:numId w:val="0"/>
        </w:numPr>
        <w:tabs>
          <w:tab w:val="left" w:pos="1135"/>
        </w:tabs>
        <w:ind w:left="1135" w:hanging="454"/>
      </w:pPr>
      <w:r w:rsidRPr="00725CE2">
        <w:t>XIII.</w:t>
      </w:r>
      <w:r w:rsidRPr="00725CE2">
        <w:tab/>
      </w:r>
      <w:r w:rsidR="003077F3" w:rsidRPr="000D4DCA">
        <w:t>Working groups</w:t>
      </w:r>
    </w:p>
    <w:p w14:paraId="27FF8505" w14:textId="08CF4870" w:rsidR="003077F3" w:rsidRPr="001D0924" w:rsidRDefault="006C00BB" w:rsidP="006C00BB">
      <w:pPr>
        <w:pStyle w:val="RegSingleTxtG"/>
        <w:numPr>
          <w:ilvl w:val="0"/>
          <w:numId w:val="0"/>
        </w:numPr>
        <w:ind w:left="1134"/>
      </w:pPr>
      <w:r w:rsidRPr="001D0924">
        <w:t>47.</w:t>
      </w:r>
      <w:r w:rsidRPr="001D0924">
        <w:tab/>
      </w:r>
      <w:r w:rsidR="003077F3" w:rsidRPr="001D0924">
        <w:t xml:space="preserve">The KCI may establish working groups among its members to support the forum in performing its functions. </w:t>
      </w:r>
      <w:r w:rsidR="003077F3">
        <w:t xml:space="preserve">The working groups may receive inputs from experts, practitioners and relevant organizations in accordance with the workplan of </w:t>
      </w:r>
      <w:r w:rsidR="003077F3" w:rsidRPr="002022D1">
        <w:t>the forum and its KCI and</w:t>
      </w:r>
      <w:r w:rsidR="003077F3">
        <w:t xml:space="preserve"> in line with paragraphs 39–40 above.</w:t>
      </w:r>
    </w:p>
    <w:p w14:paraId="109ED84D" w14:textId="4C703C8A" w:rsidR="003077F3" w:rsidRPr="00A95971" w:rsidRDefault="006C00BB" w:rsidP="006C00BB">
      <w:pPr>
        <w:pStyle w:val="RegHChG"/>
        <w:numPr>
          <w:ilvl w:val="0"/>
          <w:numId w:val="0"/>
        </w:numPr>
        <w:tabs>
          <w:tab w:val="left" w:pos="1135"/>
        </w:tabs>
        <w:ind w:left="1135" w:hanging="454"/>
        <w:rPr>
          <w:b w:val="0"/>
        </w:rPr>
      </w:pPr>
      <w:r w:rsidRPr="00A95971">
        <w:lastRenderedPageBreak/>
        <w:t>XIV.</w:t>
      </w:r>
      <w:r w:rsidRPr="00A95971">
        <w:tab/>
      </w:r>
      <w:r w:rsidR="003077F3" w:rsidRPr="00A95971">
        <w:t>Workplan</w:t>
      </w:r>
    </w:p>
    <w:p w14:paraId="38DCC064" w14:textId="2A45A24D" w:rsidR="003077F3" w:rsidRPr="00A95971" w:rsidRDefault="006C00BB" w:rsidP="006C00BB">
      <w:pPr>
        <w:pStyle w:val="RegSingleTxtG"/>
        <w:numPr>
          <w:ilvl w:val="0"/>
          <w:numId w:val="0"/>
        </w:numPr>
        <w:ind w:left="1134"/>
      </w:pPr>
      <w:r w:rsidRPr="00A95971">
        <w:t>48.</w:t>
      </w:r>
      <w:r w:rsidRPr="00A95971">
        <w:tab/>
      </w:r>
      <w:r w:rsidR="003077F3">
        <w:t xml:space="preserve">The KCI will support the work of the forum in line with the workplan of the forum </w:t>
      </w:r>
      <w:r w:rsidR="003077F3" w:rsidRPr="002022D1">
        <w:t>and its KCI.</w:t>
      </w:r>
    </w:p>
    <w:p w14:paraId="07CD7B92" w14:textId="2B2E4CD0" w:rsidR="003077F3" w:rsidRPr="00495E2F" w:rsidRDefault="006C00BB" w:rsidP="006C00BB">
      <w:pPr>
        <w:pStyle w:val="RegHChG"/>
        <w:numPr>
          <w:ilvl w:val="0"/>
          <w:numId w:val="0"/>
        </w:numPr>
        <w:tabs>
          <w:tab w:val="left" w:pos="1135"/>
        </w:tabs>
        <w:ind w:left="1135" w:hanging="454"/>
      </w:pPr>
      <w:r w:rsidRPr="00495E2F">
        <w:t>XV.</w:t>
      </w:r>
      <w:r w:rsidRPr="00495E2F">
        <w:tab/>
      </w:r>
      <w:r w:rsidR="003077F3" w:rsidRPr="00495E2F">
        <w:t>Amendments to the rules of procedure</w:t>
      </w:r>
    </w:p>
    <w:p w14:paraId="710A4F33" w14:textId="36EFDE42" w:rsidR="003077F3" w:rsidRPr="001D0924" w:rsidRDefault="006C00BB" w:rsidP="006C00BB">
      <w:pPr>
        <w:pStyle w:val="RegSingleTxtG"/>
        <w:numPr>
          <w:ilvl w:val="0"/>
          <w:numId w:val="0"/>
        </w:numPr>
        <w:ind w:left="1134"/>
        <w:rPr>
          <w:rFonts w:eastAsiaTheme="minorHAnsi"/>
          <w:lang w:eastAsia="en-US"/>
        </w:rPr>
      </w:pPr>
      <w:r w:rsidRPr="001D0924">
        <w:rPr>
          <w:rFonts w:eastAsiaTheme="minorHAnsi"/>
          <w:lang w:eastAsia="en-US"/>
        </w:rPr>
        <w:t>49.</w:t>
      </w:r>
      <w:r w:rsidRPr="001D0924">
        <w:rPr>
          <w:rFonts w:eastAsiaTheme="minorHAnsi"/>
          <w:lang w:eastAsia="en-US"/>
        </w:rPr>
        <w:tab/>
      </w:r>
      <w:r w:rsidR="003077F3">
        <w:t>The KCI may recommend amendments to these rules of procedure for consideration by the forum and approval by the subsidiary bodies.</w:t>
      </w:r>
    </w:p>
    <w:p w14:paraId="338D5C74" w14:textId="0BAE4092" w:rsidR="003077F3" w:rsidRPr="00495E2F" w:rsidRDefault="006C00BB" w:rsidP="006C00BB">
      <w:pPr>
        <w:pStyle w:val="RegSingleTxtG"/>
        <w:numPr>
          <w:ilvl w:val="0"/>
          <w:numId w:val="0"/>
        </w:numPr>
        <w:ind w:left="1134"/>
      </w:pPr>
      <w:r w:rsidRPr="00495E2F">
        <w:t>50.</w:t>
      </w:r>
      <w:r w:rsidRPr="00495E2F">
        <w:tab/>
      </w:r>
      <w:r w:rsidR="003077F3" w:rsidRPr="00495E2F">
        <w:t>Proposals and amendments to proposals for the rules of procedure may be introduced and submitted to the secretariat in writing by</w:t>
      </w:r>
      <w:r w:rsidR="003077F3">
        <w:t xml:space="preserve"> KCI</w:t>
      </w:r>
      <w:r w:rsidR="003077F3" w:rsidRPr="00495E2F">
        <w:t xml:space="preserve"> members; such proposals and amendments shall be circulated for consideration by all members of the KCI. </w:t>
      </w:r>
    </w:p>
    <w:p w14:paraId="51208A9B" w14:textId="0BC7D11F" w:rsidR="003077F3" w:rsidRDefault="006C00BB" w:rsidP="006C00BB">
      <w:pPr>
        <w:pStyle w:val="RegSingleTxtG"/>
        <w:numPr>
          <w:ilvl w:val="0"/>
          <w:numId w:val="0"/>
        </w:numPr>
        <w:ind w:left="1134"/>
      </w:pPr>
      <w:r>
        <w:t>51.</w:t>
      </w:r>
      <w:r>
        <w:tab/>
      </w:r>
      <w:r w:rsidR="003077F3">
        <w:t>N</w:t>
      </w:r>
      <w:r w:rsidR="003077F3" w:rsidRPr="00495E2F">
        <w:t xml:space="preserve">o proposal for the rules of procedure shall be discussed or put forward for a decision at any meeting unless copies have been circulated to the </w:t>
      </w:r>
      <w:r w:rsidR="003077F3">
        <w:t xml:space="preserve">KCI </w:t>
      </w:r>
      <w:r w:rsidR="003077F3" w:rsidRPr="00495E2F">
        <w:t>members no later than</w:t>
      </w:r>
      <w:r w:rsidR="003077F3">
        <w:t xml:space="preserve"> </w:t>
      </w:r>
      <w:r w:rsidR="003077F3">
        <w:rPr>
          <w:rFonts w:eastAsia="Times New Roman"/>
        </w:rPr>
        <w:t xml:space="preserve">two weeks </w:t>
      </w:r>
      <w:r w:rsidR="003077F3">
        <w:t>before</w:t>
      </w:r>
      <w:r w:rsidR="003077F3" w:rsidRPr="00495E2F">
        <w:t xml:space="preserve"> the meeting.</w:t>
      </w:r>
    </w:p>
    <w:p w14:paraId="68724C8D" w14:textId="235B974B" w:rsidR="003077F3" w:rsidRPr="00725CE2" w:rsidRDefault="006C00BB" w:rsidP="006C00BB">
      <w:pPr>
        <w:pStyle w:val="RegHChG"/>
        <w:numPr>
          <w:ilvl w:val="0"/>
          <w:numId w:val="0"/>
        </w:numPr>
        <w:tabs>
          <w:tab w:val="left" w:pos="1135"/>
        </w:tabs>
        <w:ind w:left="1135" w:hanging="454"/>
        <w:rPr>
          <w:b w:val="0"/>
          <w:lang w:val="en-US" w:eastAsia="en-US"/>
        </w:rPr>
      </w:pPr>
      <w:r w:rsidRPr="00725CE2">
        <w:rPr>
          <w:lang w:val="en-US" w:eastAsia="en-US"/>
        </w:rPr>
        <w:t>XVI.</w:t>
      </w:r>
      <w:r w:rsidRPr="00725CE2">
        <w:rPr>
          <w:lang w:val="en-US" w:eastAsia="en-US"/>
        </w:rPr>
        <w:tab/>
      </w:r>
      <w:r w:rsidR="003077F3">
        <w:rPr>
          <w:lang w:val="en-US" w:eastAsia="en-US"/>
        </w:rPr>
        <w:t>Overriding authority of the Convention, the Kyoto Protocol and the Paris Agreement</w:t>
      </w:r>
    </w:p>
    <w:p w14:paraId="03EF9AD0" w14:textId="14A1EF07" w:rsidR="003077F3" w:rsidRDefault="006C00BB" w:rsidP="006C00BB">
      <w:pPr>
        <w:pStyle w:val="RegSingleTxtG"/>
        <w:numPr>
          <w:ilvl w:val="0"/>
          <w:numId w:val="0"/>
        </w:numPr>
        <w:ind w:left="1134"/>
        <w:rPr>
          <w:lang w:val="en-US" w:eastAsia="en-US"/>
        </w:rPr>
      </w:pPr>
      <w:r>
        <w:rPr>
          <w:lang w:val="en-US" w:eastAsia="en-US"/>
        </w:rPr>
        <w:t>52.</w:t>
      </w:r>
      <w:r>
        <w:rPr>
          <w:lang w:val="en-US" w:eastAsia="en-US"/>
        </w:rPr>
        <w:tab/>
      </w:r>
      <w:r w:rsidR="003077F3" w:rsidRPr="00E20F35">
        <w:rPr>
          <w:lang w:val="en-US" w:eastAsia="en-US"/>
        </w:rPr>
        <w:t>In the event of a conflict between any provision of these rules and any provis</w:t>
      </w:r>
      <w:r w:rsidR="003077F3">
        <w:rPr>
          <w:lang w:val="en-US" w:eastAsia="en-US"/>
        </w:rPr>
        <w:t>i</w:t>
      </w:r>
      <w:r w:rsidR="003077F3" w:rsidRPr="00E20F35">
        <w:rPr>
          <w:lang w:val="en-US" w:eastAsia="en-US"/>
        </w:rPr>
        <w:t>on of the Convention, the Kyoto Protocol</w:t>
      </w:r>
      <w:r w:rsidR="003077F3" w:rsidRPr="00A41693">
        <w:rPr>
          <w:lang w:val="en-US" w:eastAsia="en-US"/>
        </w:rPr>
        <w:t xml:space="preserve"> or the Paris Agreement, </w:t>
      </w:r>
      <w:r w:rsidR="003077F3">
        <w:rPr>
          <w:lang w:val="en-US" w:eastAsia="en-US"/>
        </w:rPr>
        <w:t xml:space="preserve">the provision of </w:t>
      </w:r>
      <w:r w:rsidR="003077F3" w:rsidRPr="00A41693">
        <w:rPr>
          <w:lang w:val="en-US" w:eastAsia="en-US"/>
        </w:rPr>
        <w:t xml:space="preserve">the Convention, the Kyoto Protocol </w:t>
      </w:r>
      <w:r w:rsidR="003077F3">
        <w:rPr>
          <w:lang w:val="en-US" w:eastAsia="en-US"/>
        </w:rPr>
        <w:t>or the Paris Agreement shall take precedence.</w:t>
      </w:r>
    </w:p>
    <w:p w14:paraId="1A12CC05" w14:textId="77777777" w:rsidR="003077F3" w:rsidRDefault="003077F3" w:rsidP="003077F3">
      <w:pPr>
        <w:pStyle w:val="HChG"/>
        <w:rPr>
          <w:b w:val="0"/>
          <w:sz w:val="26"/>
          <w:lang w:val="en-US"/>
        </w:rPr>
        <w:sectPr w:rsidR="003077F3" w:rsidSect="00EA4A64">
          <w:headerReference w:type="even" r:id="rId31"/>
          <w:headerReference w:type="default" r:id="rId32"/>
          <w:footerReference w:type="even" r:id="rId33"/>
          <w:footerReference w:type="default" r:id="rId34"/>
          <w:footnotePr>
            <w:numRestart w:val="eachSect"/>
          </w:footnotePr>
          <w:pgSz w:w="11906" w:h="16838" w:code="9"/>
          <w:pgMar w:top="1417" w:right="1134" w:bottom="1134" w:left="1134" w:header="850" w:footer="567" w:gutter="0"/>
          <w:cols w:space="708"/>
          <w:docGrid w:linePitch="360"/>
        </w:sectPr>
      </w:pPr>
    </w:p>
    <w:p w14:paraId="5E29A6F8" w14:textId="77777777" w:rsidR="003077F3" w:rsidRPr="007857BE" w:rsidRDefault="003077F3" w:rsidP="003077F3">
      <w:pPr>
        <w:pStyle w:val="HChG"/>
        <w:rPr>
          <w:lang w:val="en-US"/>
        </w:rPr>
      </w:pPr>
      <w:r w:rsidRPr="007857BE">
        <w:rPr>
          <w:lang w:val="en-US"/>
        </w:rPr>
        <w:lastRenderedPageBreak/>
        <w:t xml:space="preserve">Annex </w:t>
      </w:r>
      <w:r>
        <w:rPr>
          <w:lang w:val="en-US"/>
        </w:rPr>
        <w:t>II</w:t>
      </w:r>
    </w:p>
    <w:p w14:paraId="7EF7590C" w14:textId="77777777" w:rsidR="003077F3" w:rsidRPr="007857BE" w:rsidRDefault="003077F3" w:rsidP="003077F3">
      <w:pPr>
        <w:pStyle w:val="HChG"/>
        <w:rPr>
          <w:lang w:val="en-US"/>
        </w:rPr>
      </w:pPr>
      <w:r>
        <w:rPr>
          <w:lang w:val="en-US"/>
        </w:rPr>
        <w:tab/>
      </w:r>
      <w:r>
        <w:rPr>
          <w:lang w:val="en-US"/>
        </w:rPr>
        <w:tab/>
      </w:r>
      <w:r w:rsidRPr="007857BE">
        <w:rPr>
          <w:lang w:val="en-US"/>
        </w:rPr>
        <w:t xml:space="preserve">Workplan of the </w:t>
      </w:r>
      <w:r w:rsidRPr="00434598">
        <w:t xml:space="preserve">forum on the impact of the implementation of response measures and its Katowice Committee of Experts on the </w:t>
      </w:r>
      <w:r>
        <w:t>I</w:t>
      </w:r>
      <w:r w:rsidRPr="00434598">
        <w:t xml:space="preserve">mpacts of the </w:t>
      </w:r>
      <w:r>
        <w:t>I</w:t>
      </w:r>
      <w:r w:rsidRPr="00434598">
        <w:t xml:space="preserve">mplementation of </w:t>
      </w:r>
      <w:r>
        <w:t>R</w:t>
      </w:r>
      <w:r w:rsidRPr="00434598">
        <w:t xml:space="preserve">esponse </w:t>
      </w:r>
      <w:r>
        <w:t>M</w:t>
      </w:r>
      <w:r w:rsidRPr="00434598">
        <w:t>easures</w:t>
      </w:r>
      <w:r w:rsidRPr="00D61C4A">
        <w:rPr>
          <w:rStyle w:val="FootnoteReference"/>
          <w:sz w:val="24"/>
        </w:rPr>
        <w:footnoteReference w:id="18"/>
      </w:r>
    </w:p>
    <w:p w14:paraId="72202335" w14:textId="0EBAECFB" w:rsidR="003077F3" w:rsidRPr="00CD3310" w:rsidRDefault="003077F3" w:rsidP="003077F3">
      <w:pPr>
        <w:pStyle w:val="RegSingleTxtG"/>
        <w:numPr>
          <w:ilvl w:val="0"/>
          <w:numId w:val="0"/>
        </w:numPr>
        <w:ind w:left="1134" w:firstLine="567"/>
        <w:rPr>
          <w:lang w:val="en-US"/>
        </w:rPr>
      </w:pPr>
      <w:r w:rsidRPr="00CD3310">
        <w:t>The Conference of the Parties, the Conference of the Parties serving as the meeting of the Parties to the Kyoto Protocol and the Conference of the Parties serving as the meeting of the Parties to the Paris Agreement</w:t>
      </w:r>
      <w:r>
        <w:t xml:space="preserve"> recall:</w:t>
      </w:r>
    </w:p>
    <w:p w14:paraId="55F3A037" w14:textId="377813F2" w:rsidR="003077F3" w:rsidRPr="001C67E4" w:rsidRDefault="006C00BB" w:rsidP="006C00BB">
      <w:pPr>
        <w:pStyle w:val="RegSingleTxtG2"/>
        <w:tabs>
          <w:tab w:val="left" w:pos="720"/>
        </w:tabs>
        <w:ind w:left="1135" w:firstLine="567"/>
        <w:rPr>
          <w:lang w:val="en-US"/>
        </w:rPr>
      </w:pPr>
      <w:r w:rsidRPr="001C67E4">
        <w:rPr>
          <w:lang w:val="en-US"/>
        </w:rPr>
        <w:t>(a)</w:t>
      </w:r>
      <w:r w:rsidRPr="001C67E4">
        <w:rPr>
          <w:lang w:val="en-US"/>
        </w:rPr>
        <w:tab/>
      </w:r>
      <w:r w:rsidR="003077F3" w:rsidRPr="00D00838">
        <w:rPr>
          <w:lang w:val="en-US"/>
        </w:rPr>
        <w:t>D</w:t>
      </w:r>
      <w:r w:rsidR="003077F3" w:rsidRPr="001C67E4">
        <w:rPr>
          <w:lang w:val="en-US"/>
        </w:rPr>
        <w:t xml:space="preserve">ecision 7/CMA.1, paragraph 12, in </w:t>
      </w:r>
      <w:r w:rsidR="003077F3" w:rsidRPr="00B73980">
        <w:t>which</w:t>
      </w:r>
      <w:r w:rsidR="003077F3" w:rsidRPr="001C67E4">
        <w:rPr>
          <w:lang w:val="en-US"/>
        </w:rPr>
        <w:t xml:space="preserve"> it was decided that the forum on the impact of the implementation of response measures shall provide recommendations for consideration by the subsidiary bodies with a view to the subsidiary bodies recommending actions to the Conference of the Parties, the Conference of the Parties serving as the meeting of the Parties to the Kyoto Protocol and the Conference of the Parties serving as the meeting of the Parties to the Paris Agreement for consideration and adoption</w:t>
      </w:r>
      <w:r w:rsidR="00B36131">
        <w:rPr>
          <w:lang w:val="en-US"/>
        </w:rPr>
        <w:t>;</w:t>
      </w:r>
    </w:p>
    <w:p w14:paraId="7E563079" w14:textId="39DB91E0" w:rsidR="003077F3" w:rsidRPr="00B566B4" w:rsidRDefault="006C00BB" w:rsidP="006C00BB">
      <w:pPr>
        <w:pStyle w:val="RegSingleTxtG2"/>
        <w:tabs>
          <w:tab w:val="left" w:pos="720"/>
        </w:tabs>
        <w:ind w:left="1135" w:firstLine="567"/>
        <w:rPr>
          <w:lang w:val="en-US"/>
        </w:rPr>
      </w:pPr>
      <w:r w:rsidRPr="00B566B4">
        <w:rPr>
          <w:lang w:val="en-US"/>
        </w:rPr>
        <w:t>(b)</w:t>
      </w:r>
      <w:r w:rsidRPr="00B566B4">
        <w:rPr>
          <w:lang w:val="en-US"/>
        </w:rPr>
        <w:tab/>
      </w:r>
      <w:r w:rsidR="003077F3" w:rsidRPr="005578DE">
        <w:rPr>
          <w:lang w:val="en-US"/>
        </w:rPr>
        <w:t>D</w:t>
      </w:r>
      <w:r w:rsidR="003077F3" w:rsidRPr="00B566B4">
        <w:rPr>
          <w:lang w:val="en-US"/>
        </w:rPr>
        <w:t>ecision 7/CMA.1</w:t>
      </w:r>
      <w:r w:rsidR="003077F3">
        <w:rPr>
          <w:lang w:val="en-US"/>
        </w:rPr>
        <w:t>,</w:t>
      </w:r>
      <w:r w:rsidR="003077F3" w:rsidRPr="00B566B4">
        <w:rPr>
          <w:lang w:val="en-US"/>
        </w:rPr>
        <w:t xml:space="preserve"> annex</w:t>
      </w:r>
      <w:r w:rsidR="003077F3">
        <w:rPr>
          <w:lang w:val="en-US"/>
        </w:rPr>
        <w:t>,</w:t>
      </w:r>
      <w:r w:rsidR="003077F3" w:rsidRPr="00B566B4">
        <w:rPr>
          <w:lang w:val="en-US"/>
        </w:rPr>
        <w:t xml:space="preserve"> para</w:t>
      </w:r>
      <w:r w:rsidR="003077F3">
        <w:rPr>
          <w:lang w:val="en-US"/>
        </w:rPr>
        <w:t>graph</w:t>
      </w:r>
      <w:r w:rsidR="003077F3" w:rsidRPr="00B566B4">
        <w:rPr>
          <w:lang w:val="en-US"/>
        </w:rPr>
        <w:t xml:space="preserve"> 4(j)</w:t>
      </w:r>
      <w:r w:rsidR="003077F3">
        <w:rPr>
          <w:lang w:val="en-US"/>
        </w:rPr>
        <w:t>,</w:t>
      </w:r>
      <w:r w:rsidR="003077F3" w:rsidRPr="00B566B4">
        <w:rPr>
          <w:lang w:val="en-US"/>
        </w:rPr>
        <w:t xml:space="preserve"> </w:t>
      </w:r>
      <w:r w:rsidR="003077F3">
        <w:rPr>
          <w:lang w:val="en-US"/>
        </w:rPr>
        <w:t xml:space="preserve">in </w:t>
      </w:r>
      <w:r w:rsidR="003077F3" w:rsidRPr="00B566B4">
        <w:rPr>
          <w:lang w:val="en-US"/>
        </w:rPr>
        <w:t>which</w:t>
      </w:r>
      <w:r w:rsidR="003077F3">
        <w:rPr>
          <w:lang w:val="en-US"/>
        </w:rPr>
        <w:t xml:space="preserve"> it was</w:t>
      </w:r>
      <w:r w:rsidR="003077F3" w:rsidRPr="00B566B4">
        <w:rPr>
          <w:lang w:val="en-US"/>
        </w:rPr>
        <w:t xml:space="preserve"> decided that the members of the </w:t>
      </w:r>
      <w:r w:rsidR="003077F3" w:rsidRPr="00D67E7B">
        <w:t xml:space="preserve">Katowice Committee of Experts on the Impacts of the </w:t>
      </w:r>
      <w:r w:rsidR="003077F3" w:rsidRPr="00B73980">
        <w:rPr>
          <w:lang w:val="en-US"/>
        </w:rPr>
        <w:t>Implementation</w:t>
      </w:r>
      <w:r w:rsidR="003077F3" w:rsidRPr="00D67E7B">
        <w:t xml:space="preserve"> of Response Measures</w:t>
      </w:r>
      <w:r w:rsidR="003077F3">
        <w:rPr>
          <w:b/>
        </w:rPr>
        <w:t xml:space="preserve"> </w:t>
      </w:r>
      <w:r w:rsidR="003077F3" w:rsidRPr="005578DE">
        <w:t>(</w:t>
      </w:r>
      <w:r w:rsidR="003077F3" w:rsidRPr="00B566B4">
        <w:rPr>
          <w:lang w:val="en-US"/>
        </w:rPr>
        <w:t>KCI</w:t>
      </w:r>
      <w:r w:rsidR="003077F3">
        <w:rPr>
          <w:lang w:val="en-US"/>
        </w:rPr>
        <w:t>)</w:t>
      </w:r>
      <w:r w:rsidR="003077F3" w:rsidRPr="00B566B4">
        <w:rPr>
          <w:lang w:val="en-US"/>
        </w:rPr>
        <w:t xml:space="preserve"> shall prepare an annual report for </w:t>
      </w:r>
      <w:r w:rsidR="003077F3">
        <w:rPr>
          <w:lang w:val="en-US"/>
        </w:rPr>
        <w:t xml:space="preserve">consideration by </w:t>
      </w:r>
      <w:r w:rsidR="003077F3" w:rsidRPr="00B566B4">
        <w:rPr>
          <w:lang w:val="en-US"/>
        </w:rPr>
        <w:t xml:space="preserve">the forum with </w:t>
      </w:r>
      <w:r w:rsidR="003077F3">
        <w:rPr>
          <w:lang w:val="en-US"/>
        </w:rPr>
        <w:t>a</w:t>
      </w:r>
      <w:r w:rsidR="003077F3" w:rsidRPr="00B566B4">
        <w:rPr>
          <w:lang w:val="en-US"/>
        </w:rPr>
        <w:t xml:space="preserve"> view to making recommendations to the Conference of the Parties, the Conference of the Parties serving as the meeting of the Parties to the Kyoto Protocol and the Conference of the Parties serving as the meeting of the Parties to the Paris Agreement</w:t>
      </w:r>
      <w:r w:rsidR="00B36131">
        <w:rPr>
          <w:lang w:val="en-US"/>
        </w:rPr>
        <w:t>;</w:t>
      </w:r>
    </w:p>
    <w:p w14:paraId="4B8E91A2" w14:textId="4023D628" w:rsidR="003077F3" w:rsidRPr="00B566B4" w:rsidRDefault="006C00BB" w:rsidP="006C00BB">
      <w:pPr>
        <w:pStyle w:val="RegSingleTxtG2"/>
        <w:tabs>
          <w:tab w:val="left" w:pos="720"/>
        </w:tabs>
        <w:ind w:left="1135" w:firstLine="567"/>
        <w:rPr>
          <w:lang w:val="en-US"/>
        </w:rPr>
      </w:pPr>
      <w:r w:rsidRPr="00B566B4">
        <w:rPr>
          <w:lang w:val="en-US"/>
        </w:rPr>
        <w:t>(c)</w:t>
      </w:r>
      <w:r w:rsidRPr="00B566B4">
        <w:rPr>
          <w:lang w:val="en-US"/>
        </w:rPr>
        <w:tab/>
      </w:r>
      <w:r w:rsidR="003077F3" w:rsidRPr="005578DE">
        <w:rPr>
          <w:lang w:val="en-US"/>
        </w:rPr>
        <w:t>D</w:t>
      </w:r>
      <w:r w:rsidR="003077F3" w:rsidRPr="00B566B4">
        <w:rPr>
          <w:lang w:val="en-US"/>
        </w:rPr>
        <w:t>ecision 7/CMA.1</w:t>
      </w:r>
      <w:r w:rsidR="003077F3">
        <w:rPr>
          <w:lang w:val="en-US"/>
        </w:rPr>
        <w:t>,</w:t>
      </w:r>
      <w:r w:rsidR="003077F3" w:rsidRPr="00B566B4">
        <w:rPr>
          <w:lang w:val="en-US"/>
        </w:rPr>
        <w:t xml:space="preserve"> annex</w:t>
      </w:r>
      <w:r w:rsidR="003077F3">
        <w:rPr>
          <w:lang w:val="en-US"/>
        </w:rPr>
        <w:t>,</w:t>
      </w:r>
      <w:r w:rsidR="003077F3" w:rsidRPr="00B566B4">
        <w:rPr>
          <w:lang w:val="en-US"/>
        </w:rPr>
        <w:t xml:space="preserve"> para</w:t>
      </w:r>
      <w:r w:rsidR="003077F3">
        <w:rPr>
          <w:lang w:val="en-US"/>
        </w:rPr>
        <w:t>graph</w:t>
      </w:r>
      <w:r w:rsidR="003077F3" w:rsidRPr="00B566B4">
        <w:rPr>
          <w:lang w:val="en-US"/>
        </w:rPr>
        <w:t xml:space="preserve"> 5</w:t>
      </w:r>
      <w:r w:rsidR="003077F3">
        <w:rPr>
          <w:lang w:val="en-US"/>
        </w:rPr>
        <w:t>,</w:t>
      </w:r>
      <w:r w:rsidR="003077F3" w:rsidRPr="00B566B4">
        <w:rPr>
          <w:lang w:val="en-US"/>
        </w:rPr>
        <w:t xml:space="preserve"> </w:t>
      </w:r>
      <w:r w:rsidR="003077F3">
        <w:rPr>
          <w:lang w:val="en-US"/>
        </w:rPr>
        <w:t>in</w:t>
      </w:r>
      <w:r w:rsidR="003077F3" w:rsidRPr="00B566B4">
        <w:rPr>
          <w:lang w:val="en-US"/>
        </w:rPr>
        <w:t xml:space="preserve"> which </w:t>
      </w:r>
      <w:r w:rsidR="003077F3">
        <w:rPr>
          <w:lang w:val="en-US"/>
        </w:rPr>
        <w:t xml:space="preserve">it was </w:t>
      </w:r>
      <w:r w:rsidR="003077F3" w:rsidRPr="00B566B4">
        <w:rPr>
          <w:lang w:val="en-US"/>
        </w:rPr>
        <w:t xml:space="preserve">decided that the forum and </w:t>
      </w:r>
      <w:r w:rsidR="003077F3">
        <w:rPr>
          <w:lang w:val="en-US"/>
        </w:rPr>
        <w:t xml:space="preserve">its </w:t>
      </w:r>
      <w:r w:rsidR="003077F3" w:rsidRPr="00B566B4">
        <w:rPr>
          <w:lang w:val="en-US"/>
        </w:rPr>
        <w:t xml:space="preserve">KCI may use the following modalities, as appropriate and as decided on a case-by-case basis, in order to carry out the work </w:t>
      </w:r>
      <w:proofErr w:type="spellStart"/>
      <w:r w:rsidR="003077F3" w:rsidRPr="00B566B4">
        <w:rPr>
          <w:lang w:val="en-US"/>
        </w:rPr>
        <w:t>programme</w:t>
      </w:r>
      <w:proofErr w:type="spellEnd"/>
      <w:r w:rsidR="003077F3" w:rsidRPr="00B566B4">
        <w:rPr>
          <w:lang w:val="en-US"/>
        </w:rPr>
        <w:t xml:space="preserve"> of the forum:</w:t>
      </w:r>
    </w:p>
    <w:p w14:paraId="3775E179" w14:textId="74DF9353" w:rsidR="003077F3" w:rsidRPr="005F3400" w:rsidRDefault="006C00BB" w:rsidP="006C00BB">
      <w:pPr>
        <w:pStyle w:val="RegSingleTxtG3"/>
        <w:numPr>
          <w:ilvl w:val="0"/>
          <w:numId w:val="0"/>
        </w:numPr>
        <w:ind w:left="1701"/>
        <w:rPr>
          <w:lang w:val="en-US"/>
        </w:rPr>
      </w:pPr>
      <w:r w:rsidRPr="005F3400">
        <w:rPr>
          <w:lang w:val="en-US"/>
        </w:rPr>
        <w:t>(</w:t>
      </w:r>
      <w:proofErr w:type="spellStart"/>
      <w:r w:rsidRPr="005F3400">
        <w:rPr>
          <w:lang w:val="en-US"/>
        </w:rPr>
        <w:t>i</w:t>
      </w:r>
      <w:proofErr w:type="spellEnd"/>
      <w:r w:rsidRPr="005F3400">
        <w:rPr>
          <w:lang w:val="en-US"/>
        </w:rPr>
        <w:t>)</w:t>
      </w:r>
      <w:r w:rsidRPr="005F3400">
        <w:rPr>
          <w:lang w:val="en-US"/>
        </w:rPr>
        <w:tab/>
      </w:r>
      <w:r w:rsidR="003077F3" w:rsidRPr="005F3400">
        <w:rPr>
          <w:lang w:val="en-US"/>
        </w:rPr>
        <w:t>Building awareness and enhancing information-sharing through the exchange and sharing of experience and best practices;</w:t>
      </w:r>
    </w:p>
    <w:p w14:paraId="4057AED5" w14:textId="34E5F472" w:rsidR="003077F3" w:rsidRPr="005F3400" w:rsidRDefault="006C00BB" w:rsidP="006C00BB">
      <w:pPr>
        <w:pStyle w:val="RegSingleTxtG3"/>
        <w:numPr>
          <w:ilvl w:val="0"/>
          <w:numId w:val="0"/>
        </w:numPr>
        <w:ind w:left="1701"/>
        <w:rPr>
          <w:lang w:val="en-US"/>
        </w:rPr>
      </w:pPr>
      <w:r w:rsidRPr="005F3400">
        <w:rPr>
          <w:lang w:val="en-US"/>
        </w:rPr>
        <w:t>(ii)</w:t>
      </w:r>
      <w:r w:rsidRPr="005F3400">
        <w:rPr>
          <w:lang w:val="en-US"/>
        </w:rPr>
        <w:tab/>
      </w:r>
      <w:r w:rsidR="003077F3" w:rsidRPr="005F3400">
        <w:rPr>
          <w:lang w:val="en-US"/>
        </w:rPr>
        <w:t>Preparing technical papers, case studies, concrete examples and guidelines;</w:t>
      </w:r>
    </w:p>
    <w:p w14:paraId="7EDAECFA" w14:textId="67FECC06" w:rsidR="003077F3" w:rsidRPr="005F3400" w:rsidRDefault="006C00BB" w:rsidP="006C00BB">
      <w:pPr>
        <w:pStyle w:val="RegSingleTxtG3"/>
        <w:numPr>
          <w:ilvl w:val="0"/>
          <w:numId w:val="0"/>
        </w:numPr>
        <w:ind w:left="1701"/>
        <w:rPr>
          <w:lang w:val="en-US"/>
        </w:rPr>
      </w:pPr>
      <w:r w:rsidRPr="005F3400">
        <w:rPr>
          <w:lang w:val="en-US"/>
        </w:rPr>
        <w:t>(iii)</w:t>
      </w:r>
      <w:r w:rsidRPr="005F3400">
        <w:rPr>
          <w:lang w:val="en-US"/>
        </w:rPr>
        <w:tab/>
      </w:r>
      <w:r w:rsidR="003077F3" w:rsidRPr="005F3400">
        <w:rPr>
          <w:lang w:val="en-US"/>
        </w:rPr>
        <w:t>Receiving input from experts, practitioners and relevant organizations;</w:t>
      </w:r>
    </w:p>
    <w:p w14:paraId="2FC23D97" w14:textId="5A32C00E" w:rsidR="003077F3" w:rsidRPr="005F3400" w:rsidRDefault="006C00BB" w:rsidP="006C00BB">
      <w:pPr>
        <w:pStyle w:val="RegSingleTxtG3"/>
        <w:numPr>
          <w:ilvl w:val="0"/>
          <w:numId w:val="0"/>
        </w:numPr>
        <w:ind w:left="1701"/>
        <w:rPr>
          <w:lang w:val="en-US"/>
        </w:rPr>
      </w:pPr>
      <w:r w:rsidRPr="005F3400">
        <w:rPr>
          <w:lang w:val="en-US"/>
        </w:rPr>
        <w:t>(iv)</w:t>
      </w:r>
      <w:r w:rsidRPr="005F3400">
        <w:rPr>
          <w:lang w:val="en-US"/>
        </w:rPr>
        <w:tab/>
      </w:r>
      <w:r w:rsidR="003077F3" w:rsidRPr="005F3400">
        <w:rPr>
          <w:lang w:val="en-US"/>
        </w:rPr>
        <w:t>Organizing workshops</w:t>
      </w:r>
      <w:r w:rsidR="003077F3">
        <w:rPr>
          <w:lang w:val="en-US"/>
        </w:rPr>
        <w:t>;</w:t>
      </w:r>
    </w:p>
    <w:p w14:paraId="49C18C9E" w14:textId="4F17AC1D" w:rsidR="003077F3" w:rsidRPr="00B566B4" w:rsidRDefault="006C00BB" w:rsidP="006C00BB">
      <w:pPr>
        <w:pStyle w:val="RegSingleTxtG2"/>
        <w:tabs>
          <w:tab w:val="left" w:pos="720"/>
        </w:tabs>
        <w:ind w:left="1135" w:firstLine="567"/>
        <w:rPr>
          <w:lang w:val="en-US"/>
        </w:rPr>
      </w:pPr>
      <w:r w:rsidRPr="00B566B4">
        <w:rPr>
          <w:lang w:val="en-US"/>
        </w:rPr>
        <w:t>(d)</w:t>
      </w:r>
      <w:r w:rsidRPr="00B566B4">
        <w:rPr>
          <w:lang w:val="en-US"/>
        </w:rPr>
        <w:tab/>
      </w:r>
      <w:r w:rsidR="003077F3" w:rsidRPr="005578DE">
        <w:rPr>
          <w:lang w:val="en-US"/>
        </w:rPr>
        <w:t>D</w:t>
      </w:r>
      <w:r w:rsidR="003077F3" w:rsidRPr="00B566B4">
        <w:rPr>
          <w:lang w:val="en-US"/>
        </w:rPr>
        <w:t>ecision 7/CMA.1</w:t>
      </w:r>
      <w:r w:rsidR="003077F3">
        <w:rPr>
          <w:lang w:val="en-US"/>
        </w:rPr>
        <w:t>,</w:t>
      </w:r>
      <w:r w:rsidR="003077F3" w:rsidRPr="00B566B4">
        <w:rPr>
          <w:lang w:val="en-US"/>
        </w:rPr>
        <w:t xml:space="preserve"> para</w:t>
      </w:r>
      <w:r w:rsidR="003077F3">
        <w:rPr>
          <w:lang w:val="en-US"/>
        </w:rPr>
        <w:t>graph</w:t>
      </w:r>
      <w:r w:rsidR="003077F3" w:rsidRPr="00B566B4">
        <w:rPr>
          <w:lang w:val="en-US"/>
        </w:rPr>
        <w:t xml:space="preserve"> </w:t>
      </w:r>
      <w:r w:rsidR="003077F3">
        <w:rPr>
          <w:lang w:val="en-US"/>
        </w:rPr>
        <w:t xml:space="preserve">10, in which </w:t>
      </w:r>
      <w:r w:rsidR="003077F3" w:rsidRPr="00B566B4">
        <w:rPr>
          <w:lang w:val="en-US"/>
        </w:rPr>
        <w:t xml:space="preserve">the </w:t>
      </w:r>
      <w:r w:rsidR="003077F3">
        <w:rPr>
          <w:lang w:val="en-US"/>
        </w:rPr>
        <w:t>s</w:t>
      </w:r>
      <w:r w:rsidR="003077F3" w:rsidRPr="00B566B4">
        <w:rPr>
          <w:lang w:val="en-US"/>
        </w:rPr>
        <w:t xml:space="preserve">ubsidiary </w:t>
      </w:r>
      <w:r w:rsidR="003077F3">
        <w:rPr>
          <w:lang w:val="en-US"/>
        </w:rPr>
        <w:t>b</w:t>
      </w:r>
      <w:r w:rsidR="003077F3" w:rsidRPr="00B566B4">
        <w:rPr>
          <w:lang w:val="en-US"/>
        </w:rPr>
        <w:t xml:space="preserve">odies </w:t>
      </w:r>
      <w:r w:rsidR="003077F3">
        <w:rPr>
          <w:lang w:val="en-US"/>
        </w:rPr>
        <w:t>were</w:t>
      </w:r>
      <w:r w:rsidR="003077F3" w:rsidRPr="00B566B4">
        <w:rPr>
          <w:lang w:val="en-US"/>
        </w:rPr>
        <w:t xml:space="preserve"> requested to conduct a </w:t>
      </w:r>
      <w:r w:rsidR="003077F3">
        <w:rPr>
          <w:lang w:val="en-US"/>
        </w:rPr>
        <w:t>mid</w:t>
      </w:r>
      <w:r w:rsidR="003077F3" w:rsidRPr="00B566B4">
        <w:rPr>
          <w:lang w:val="en-US"/>
        </w:rPr>
        <w:t xml:space="preserve">term review of the </w:t>
      </w:r>
      <w:r w:rsidR="003077F3">
        <w:rPr>
          <w:lang w:val="en-US"/>
        </w:rPr>
        <w:t>work</w:t>
      </w:r>
      <w:r w:rsidR="003077F3" w:rsidRPr="00B566B4">
        <w:rPr>
          <w:lang w:val="en-US"/>
        </w:rPr>
        <w:t>plan of the forum</w:t>
      </w:r>
      <w:r w:rsidR="00B36131">
        <w:rPr>
          <w:lang w:val="en-US"/>
        </w:rPr>
        <w:t>;</w:t>
      </w:r>
    </w:p>
    <w:p w14:paraId="213C5D2C" w14:textId="0AED5D0F" w:rsidR="003077F3" w:rsidRPr="00015C9A" w:rsidRDefault="006C00BB" w:rsidP="006C00BB">
      <w:pPr>
        <w:pStyle w:val="RegSingleTxtG2"/>
        <w:tabs>
          <w:tab w:val="left" w:pos="720"/>
        </w:tabs>
        <w:ind w:left="1135" w:firstLine="567"/>
        <w:rPr>
          <w:lang w:val="en-US"/>
        </w:rPr>
        <w:sectPr w:rsidR="003077F3" w:rsidRPr="00015C9A" w:rsidSect="00EA4A64">
          <w:headerReference w:type="even" r:id="rId35"/>
          <w:footerReference w:type="even" r:id="rId36"/>
          <w:footnotePr>
            <w:numRestart w:val="eachSect"/>
          </w:footnotePr>
          <w:pgSz w:w="11906" w:h="16838" w:code="9"/>
          <w:pgMar w:top="1417" w:right="1134" w:bottom="1134" w:left="1134" w:header="850" w:footer="567" w:gutter="0"/>
          <w:cols w:space="708"/>
          <w:docGrid w:linePitch="360"/>
        </w:sectPr>
      </w:pPr>
      <w:r w:rsidRPr="00015C9A">
        <w:rPr>
          <w:lang w:val="en-US"/>
        </w:rPr>
        <w:t>(e)</w:t>
      </w:r>
      <w:r w:rsidRPr="00015C9A">
        <w:rPr>
          <w:lang w:val="en-US"/>
        </w:rPr>
        <w:tab/>
      </w:r>
      <w:r w:rsidR="003077F3" w:rsidRPr="00015C9A">
        <w:rPr>
          <w:lang w:val="en-US"/>
        </w:rPr>
        <w:t xml:space="preserve">Decision 7/CMA.1, paragraph 9, in </w:t>
      </w:r>
      <w:r w:rsidR="003077F3" w:rsidRPr="007269A6">
        <w:t>which</w:t>
      </w:r>
      <w:r w:rsidR="003077F3" w:rsidRPr="00015C9A">
        <w:rPr>
          <w:lang w:val="en-US"/>
        </w:rPr>
        <w:t xml:space="preserve"> it was decided that the forum shall develop and recommend a six-year workplan in line with the forum’s functions, work </w:t>
      </w:r>
      <w:proofErr w:type="spellStart"/>
      <w:r w:rsidR="003077F3" w:rsidRPr="00015C9A">
        <w:rPr>
          <w:lang w:val="en-US"/>
        </w:rPr>
        <w:t>programme</w:t>
      </w:r>
      <w:proofErr w:type="spellEnd"/>
      <w:r w:rsidR="003077F3" w:rsidRPr="00015C9A">
        <w:rPr>
          <w:lang w:val="en-US"/>
        </w:rPr>
        <w:t xml:space="preserve"> and modalities </w:t>
      </w:r>
      <w:proofErr w:type="gramStart"/>
      <w:r w:rsidR="003077F3" w:rsidRPr="00015C9A">
        <w:rPr>
          <w:lang w:val="en-US"/>
        </w:rPr>
        <w:t>taking into account</w:t>
      </w:r>
      <w:proofErr w:type="gramEnd"/>
      <w:r w:rsidR="003077F3" w:rsidRPr="00015C9A">
        <w:rPr>
          <w:lang w:val="en-US"/>
        </w:rPr>
        <w:t xml:space="preserve"> relevant policy issues of concern to Parties.</w:t>
      </w:r>
      <w:r w:rsidR="003077F3" w:rsidRPr="00015C9A">
        <w:rPr>
          <w:i/>
          <w:lang w:val="en-US"/>
        </w:rPr>
        <w:t xml:space="preserve"> </w:t>
      </w:r>
      <w:r w:rsidR="003077F3" w:rsidRPr="00015C9A">
        <w:rPr>
          <w:lang w:val="en-US"/>
        </w:rPr>
        <w:tab/>
      </w:r>
    </w:p>
    <w:p w14:paraId="23CF174F" w14:textId="77777777" w:rsidR="003077F3" w:rsidRPr="00AC7487" w:rsidRDefault="003077F3" w:rsidP="003077F3">
      <w:pPr>
        <w:pStyle w:val="H23G"/>
        <w:tabs>
          <w:tab w:val="left" w:pos="13750"/>
        </w:tabs>
        <w:ind w:left="0" w:right="537" w:firstLine="0"/>
        <w:rPr>
          <w:lang w:val="en-US"/>
        </w:rPr>
      </w:pPr>
      <w:r>
        <w:rPr>
          <w:lang w:val="en-US"/>
        </w:rPr>
        <w:lastRenderedPageBreak/>
        <w:tab/>
      </w:r>
      <w:r w:rsidRPr="00AC7487">
        <w:rPr>
          <w:lang w:val="en-US"/>
        </w:rPr>
        <w:t>Work</w:t>
      </w:r>
      <w:r>
        <w:rPr>
          <w:lang w:val="en-US"/>
        </w:rPr>
        <w:t>plan</w:t>
      </w:r>
      <w:r w:rsidRPr="00AC7487">
        <w:rPr>
          <w:lang w:val="en-US"/>
        </w:rPr>
        <w:t xml:space="preserve"> of the forum </w:t>
      </w:r>
      <w:r>
        <w:rPr>
          <w:lang w:val="en-US"/>
        </w:rPr>
        <w:t xml:space="preserve">on the impact of the implementation of response measures </w:t>
      </w:r>
      <w:r w:rsidRPr="00AC7487">
        <w:rPr>
          <w:lang w:val="en-US"/>
        </w:rPr>
        <w:t xml:space="preserve">and its </w:t>
      </w:r>
      <w:r w:rsidRPr="00102D18">
        <w:t>Katowice Committee of Experts on the Impacts of the Implementation of Response Measures</w:t>
      </w:r>
      <w:r w:rsidRPr="00AC7487">
        <w:rPr>
          <w:lang w:val="en-US"/>
        </w:rPr>
        <w:t xml:space="preserve"> (</w:t>
      </w:r>
      <w:r>
        <w:rPr>
          <w:lang w:val="en-US"/>
        </w:rPr>
        <w:t xml:space="preserve">for the fifty-second </w:t>
      </w:r>
      <w:r w:rsidRPr="00AC7487">
        <w:rPr>
          <w:lang w:val="en-US"/>
        </w:rPr>
        <w:t xml:space="preserve">to </w:t>
      </w:r>
      <w:r>
        <w:rPr>
          <w:lang w:val="en-US"/>
        </w:rPr>
        <w:t>sixty-third sessions of the subsidiary bodies</w:t>
      </w:r>
      <w:r w:rsidRPr="00AC7487">
        <w:rPr>
          <w:lang w:val="en-US"/>
        </w:rPr>
        <w:t>)</w:t>
      </w:r>
    </w:p>
    <w:tbl>
      <w:tblPr>
        <w:tblStyle w:val="TableGrid"/>
        <w:tblW w:w="13892" w:type="dxa"/>
        <w:tblBorders>
          <w:left w:val="none" w:sz="0" w:space="0" w:color="auto"/>
          <w:bottom w:val="none" w:sz="0" w:space="0" w:color="auto"/>
          <w:right w:val="none" w:sz="0" w:space="0" w:color="auto"/>
          <w:insideH w:val="none" w:sz="0" w:space="0" w:color="auto"/>
          <w:insideV w:val="none" w:sz="0" w:space="0" w:color="auto"/>
        </w:tblBorders>
        <w:tblCellMar>
          <w:left w:w="0" w:type="dxa"/>
          <w:right w:w="113" w:type="dxa"/>
        </w:tblCellMar>
        <w:tblLook w:val="04A0" w:firstRow="1" w:lastRow="0" w:firstColumn="1" w:lastColumn="0" w:noHBand="0" w:noVBand="1"/>
      </w:tblPr>
      <w:tblGrid>
        <w:gridCol w:w="851"/>
        <w:gridCol w:w="4678"/>
        <w:gridCol w:w="2409"/>
        <w:gridCol w:w="993"/>
        <w:gridCol w:w="4961"/>
      </w:tblGrid>
      <w:tr w:rsidR="003077F3" w:rsidRPr="00AC7487" w14:paraId="5A0E6DA4" w14:textId="77777777" w:rsidTr="003077F3">
        <w:trPr>
          <w:trHeight w:val="240"/>
          <w:tblHeader/>
        </w:trPr>
        <w:tc>
          <w:tcPr>
            <w:tcW w:w="851" w:type="dxa"/>
            <w:tcBorders>
              <w:top w:val="single" w:sz="4" w:space="0" w:color="auto"/>
              <w:bottom w:val="single" w:sz="12" w:space="0" w:color="auto"/>
            </w:tcBorders>
            <w:shd w:val="clear" w:color="auto" w:fill="auto"/>
            <w:vAlign w:val="bottom"/>
          </w:tcPr>
          <w:p w14:paraId="5ABDFFA0" w14:textId="77777777" w:rsidR="003077F3" w:rsidRPr="00AC7487" w:rsidRDefault="003077F3" w:rsidP="003077F3">
            <w:pPr>
              <w:suppressAutoHyphens w:val="0"/>
              <w:spacing w:before="80" w:after="80" w:line="200" w:lineRule="exact"/>
              <w:rPr>
                <w:i/>
                <w:sz w:val="16"/>
                <w:lang w:val="en-US"/>
              </w:rPr>
            </w:pPr>
            <w:r>
              <w:rPr>
                <w:i/>
                <w:sz w:val="16"/>
                <w:lang w:val="en-US"/>
              </w:rPr>
              <w:t xml:space="preserve">Activity number </w:t>
            </w:r>
            <w:r>
              <w:rPr>
                <w:i/>
                <w:sz w:val="16"/>
                <w:vertAlign w:val="superscript"/>
                <w:lang w:val="en-US"/>
              </w:rPr>
              <w:t>a</w:t>
            </w:r>
          </w:p>
        </w:tc>
        <w:tc>
          <w:tcPr>
            <w:tcW w:w="4678" w:type="dxa"/>
            <w:tcBorders>
              <w:top w:val="single" w:sz="4" w:space="0" w:color="auto"/>
              <w:bottom w:val="single" w:sz="12" w:space="0" w:color="auto"/>
            </w:tcBorders>
            <w:shd w:val="clear" w:color="auto" w:fill="auto"/>
            <w:vAlign w:val="bottom"/>
            <w:hideMark/>
          </w:tcPr>
          <w:p w14:paraId="4604735E" w14:textId="77777777" w:rsidR="003077F3" w:rsidRPr="00AC7487" w:rsidRDefault="003077F3" w:rsidP="003077F3">
            <w:pPr>
              <w:suppressAutoHyphens w:val="0"/>
              <w:spacing w:before="80" w:after="80" w:line="200" w:lineRule="exact"/>
              <w:rPr>
                <w:i/>
                <w:sz w:val="16"/>
                <w:lang w:val="en-US"/>
              </w:rPr>
            </w:pPr>
            <w:r w:rsidRPr="00AC7487">
              <w:rPr>
                <w:i/>
                <w:sz w:val="16"/>
                <w:lang w:val="en-US"/>
              </w:rPr>
              <w:t>Activity</w:t>
            </w:r>
          </w:p>
        </w:tc>
        <w:tc>
          <w:tcPr>
            <w:tcW w:w="2409" w:type="dxa"/>
            <w:tcBorders>
              <w:top w:val="single" w:sz="4" w:space="0" w:color="auto"/>
              <w:bottom w:val="single" w:sz="12" w:space="0" w:color="auto"/>
            </w:tcBorders>
            <w:shd w:val="clear" w:color="auto" w:fill="auto"/>
            <w:vAlign w:val="bottom"/>
            <w:hideMark/>
          </w:tcPr>
          <w:p w14:paraId="33CAB99C" w14:textId="77777777" w:rsidR="003077F3" w:rsidRPr="00AC7487" w:rsidRDefault="003077F3" w:rsidP="003077F3">
            <w:pPr>
              <w:suppressAutoHyphens w:val="0"/>
              <w:spacing w:before="80" w:after="80" w:line="200" w:lineRule="exact"/>
              <w:rPr>
                <w:i/>
                <w:sz w:val="16"/>
                <w:lang w:val="en-US"/>
              </w:rPr>
            </w:pPr>
            <w:r w:rsidRPr="00AC7487">
              <w:rPr>
                <w:i/>
                <w:sz w:val="16"/>
                <w:lang w:val="en-US"/>
              </w:rPr>
              <w:t>Estimated timeline</w:t>
            </w:r>
            <w:r>
              <w:rPr>
                <w:i/>
                <w:sz w:val="16"/>
                <w:lang w:val="en-US"/>
              </w:rPr>
              <w:t xml:space="preserve"> for implementation</w:t>
            </w:r>
          </w:p>
        </w:tc>
        <w:tc>
          <w:tcPr>
            <w:tcW w:w="993" w:type="dxa"/>
            <w:tcBorders>
              <w:top w:val="single" w:sz="4" w:space="0" w:color="auto"/>
              <w:bottom w:val="single" w:sz="12" w:space="0" w:color="auto"/>
            </w:tcBorders>
            <w:shd w:val="clear" w:color="auto" w:fill="auto"/>
            <w:vAlign w:val="bottom"/>
            <w:hideMark/>
          </w:tcPr>
          <w:p w14:paraId="033F750F" w14:textId="77777777" w:rsidR="003077F3" w:rsidRPr="00AC7487" w:rsidRDefault="003077F3" w:rsidP="003077F3">
            <w:pPr>
              <w:suppressAutoHyphens w:val="0"/>
              <w:spacing w:before="80" w:after="80" w:line="200" w:lineRule="exact"/>
              <w:rPr>
                <w:i/>
                <w:sz w:val="16"/>
                <w:lang w:val="en-US"/>
              </w:rPr>
            </w:pPr>
            <w:r w:rsidRPr="00AC7487">
              <w:rPr>
                <w:i/>
                <w:sz w:val="16"/>
                <w:lang w:val="en-US"/>
              </w:rPr>
              <w:t>Responsible actor</w:t>
            </w:r>
          </w:p>
        </w:tc>
        <w:tc>
          <w:tcPr>
            <w:tcW w:w="4961" w:type="dxa"/>
            <w:tcBorders>
              <w:top w:val="single" w:sz="4" w:space="0" w:color="auto"/>
              <w:bottom w:val="single" w:sz="12" w:space="0" w:color="auto"/>
            </w:tcBorders>
            <w:shd w:val="clear" w:color="auto" w:fill="auto"/>
            <w:vAlign w:val="bottom"/>
          </w:tcPr>
          <w:p w14:paraId="347A7CB1" w14:textId="77777777" w:rsidR="003077F3" w:rsidRPr="00AC7487" w:rsidRDefault="003077F3" w:rsidP="003077F3">
            <w:pPr>
              <w:suppressAutoHyphens w:val="0"/>
              <w:spacing w:before="80" w:after="80" w:line="200" w:lineRule="exact"/>
              <w:rPr>
                <w:i/>
                <w:sz w:val="16"/>
                <w:lang w:val="en-US"/>
              </w:rPr>
            </w:pPr>
            <w:r w:rsidRPr="00AC7487">
              <w:rPr>
                <w:i/>
                <w:sz w:val="16"/>
                <w:lang w:val="en-US"/>
              </w:rPr>
              <w:t>Modalities/</w:t>
            </w:r>
            <w:r>
              <w:rPr>
                <w:i/>
                <w:sz w:val="16"/>
                <w:lang w:val="en-US"/>
              </w:rPr>
              <w:t>o</w:t>
            </w:r>
            <w:r w:rsidRPr="00AC7487">
              <w:rPr>
                <w:i/>
                <w:sz w:val="16"/>
                <w:lang w:val="en-US"/>
              </w:rPr>
              <w:t>utputs</w:t>
            </w:r>
          </w:p>
        </w:tc>
      </w:tr>
      <w:tr w:rsidR="003077F3" w:rsidRPr="00AC7487" w14:paraId="7E0E1720" w14:textId="77777777" w:rsidTr="003077F3">
        <w:trPr>
          <w:trHeight w:val="240"/>
        </w:trPr>
        <w:tc>
          <w:tcPr>
            <w:tcW w:w="851" w:type="dxa"/>
            <w:tcBorders>
              <w:top w:val="single" w:sz="12" w:space="0" w:color="auto"/>
              <w:bottom w:val="single" w:sz="4" w:space="0" w:color="auto"/>
            </w:tcBorders>
            <w:shd w:val="clear" w:color="auto" w:fill="auto"/>
          </w:tcPr>
          <w:p w14:paraId="7691072A" w14:textId="77777777" w:rsidR="003077F3" w:rsidRPr="00AC7487" w:rsidRDefault="003077F3" w:rsidP="003077F3">
            <w:pPr>
              <w:suppressAutoHyphens w:val="0"/>
              <w:spacing w:before="40" w:after="120" w:line="220" w:lineRule="exact"/>
              <w:ind w:right="175"/>
              <w:rPr>
                <w:lang w:val="en-US"/>
              </w:rPr>
            </w:pPr>
            <w:r w:rsidRPr="00AC7487">
              <w:rPr>
                <w:lang w:val="en-US"/>
              </w:rPr>
              <w:t>a</w:t>
            </w:r>
          </w:p>
        </w:tc>
        <w:tc>
          <w:tcPr>
            <w:tcW w:w="4678" w:type="dxa"/>
            <w:tcBorders>
              <w:top w:val="single" w:sz="12" w:space="0" w:color="auto"/>
              <w:bottom w:val="single" w:sz="4" w:space="0" w:color="auto"/>
            </w:tcBorders>
            <w:shd w:val="clear" w:color="auto" w:fill="auto"/>
          </w:tcPr>
          <w:p w14:paraId="34CCC740" w14:textId="77777777" w:rsidR="003077F3" w:rsidRPr="00AC7487" w:rsidRDefault="003077F3" w:rsidP="003077F3">
            <w:pPr>
              <w:suppressAutoHyphens w:val="0"/>
              <w:spacing w:before="80" w:after="120" w:line="220" w:lineRule="exact"/>
              <w:ind w:left="-5" w:right="33"/>
              <w:rPr>
                <w:lang w:val="en-US"/>
              </w:rPr>
            </w:pPr>
            <w:r w:rsidRPr="00AC7487">
              <w:rPr>
                <w:lang w:val="en-US"/>
              </w:rPr>
              <w:t>Provide capacity</w:t>
            </w:r>
            <w:r>
              <w:rPr>
                <w:lang w:val="en-US"/>
              </w:rPr>
              <w:t>-</w:t>
            </w:r>
            <w:r w:rsidRPr="00AC7487">
              <w:rPr>
                <w:lang w:val="en-US"/>
              </w:rPr>
              <w:t xml:space="preserve">building to </w:t>
            </w:r>
            <w:r>
              <w:rPr>
                <w:lang w:val="en-US"/>
              </w:rPr>
              <w:t>the C</w:t>
            </w:r>
            <w:r w:rsidRPr="00AC7487">
              <w:rPr>
                <w:lang w:val="en-US"/>
              </w:rPr>
              <w:t>hairs and members of UNFCCC constituted bodies and technical teams of the secretariat on how to integrate gender considerations into their respective areas of work and on meeting the goal of gender balance</w:t>
            </w:r>
            <w:r w:rsidRPr="00AC7487">
              <w:rPr>
                <w:shd w:val="clear" w:color="auto" w:fill="FFFFFF" w:themeFill="background1"/>
                <w:lang w:val="en-US"/>
              </w:rPr>
              <w:t xml:space="preserve"> </w:t>
            </w:r>
            <w:r w:rsidRPr="00AC7487">
              <w:rPr>
                <w:lang w:val="en-US"/>
              </w:rPr>
              <w:t>(</w:t>
            </w:r>
            <w:r>
              <w:rPr>
                <w:lang w:val="en-US"/>
              </w:rPr>
              <w:t>d</w:t>
            </w:r>
            <w:r w:rsidRPr="00AC7487">
              <w:rPr>
                <w:lang w:val="en-US"/>
              </w:rPr>
              <w:t>ecision 3/CP.23)</w:t>
            </w:r>
          </w:p>
        </w:tc>
        <w:tc>
          <w:tcPr>
            <w:tcW w:w="2409" w:type="dxa"/>
            <w:tcBorders>
              <w:top w:val="single" w:sz="12" w:space="0" w:color="auto"/>
              <w:bottom w:val="single" w:sz="4" w:space="0" w:color="auto"/>
            </w:tcBorders>
            <w:shd w:val="clear" w:color="auto" w:fill="auto"/>
          </w:tcPr>
          <w:p w14:paraId="2F04B8CB" w14:textId="77777777" w:rsidR="003077F3" w:rsidRPr="00AC7487" w:rsidRDefault="003077F3" w:rsidP="003077F3">
            <w:pPr>
              <w:suppressAutoHyphens w:val="0"/>
              <w:spacing w:before="80" w:after="120" w:line="220" w:lineRule="exact"/>
              <w:rPr>
                <w:lang w:val="en-US"/>
              </w:rPr>
            </w:pPr>
            <w:r w:rsidRPr="00AC7487">
              <w:rPr>
                <w:lang w:val="en-US"/>
              </w:rPr>
              <w:t>SB 52</w:t>
            </w:r>
            <w:r>
              <w:rPr>
                <w:lang w:val="en-US"/>
              </w:rPr>
              <w:t xml:space="preserve"> (June 2020)</w:t>
            </w:r>
          </w:p>
        </w:tc>
        <w:tc>
          <w:tcPr>
            <w:tcW w:w="993" w:type="dxa"/>
            <w:tcBorders>
              <w:top w:val="single" w:sz="12" w:space="0" w:color="auto"/>
              <w:bottom w:val="single" w:sz="4" w:space="0" w:color="auto"/>
            </w:tcBorders>
            <w:shd w:val="clear" w:color="auto" w:fill="auto"/>
          </w:tcPr>
          <w:p w14:paraId="633215B7" w14:textId="77777777" w:rsidR="003077F3" w:rsidRPr="00AC7487" w:rsidRDefault="003077F3" w:rsidP="003077F3">
            <w:pPr>
              <w:suppressAutoHyphens w:val="0"/>
              <w:spacing w:before="80" w:after="120" w:line="220" w:lineRule="exact"/>
              <w:rPr>
                <w:lang w:val="en-US"/>
              </w:rPr>
            </w:pPr>
            <w:r w:rsidRPr="00AC7487">
              <w:rPr>
                <w:lang w:val="en-US"/>
              </w:rPr>
              <w:t>KCI</w:t>
            </w:r>
          </w:p>
        </w:tc>
        <w:tc>
          <w:tcPr>
            <w:tcW w:w="4961" w:type="dxa"/>
            <w:tcBorders>
              <w:top w:val="single" w:sz="12" w:space="0" w:color="auto"/>
              <w:bottom w:val="single" w:sz="4" w:space="0" w:color="auto"/>
            </w:tcBorders>
            <w:shd w:val="clear" w:color="auto" w:fill="auto"/>
          </w:tcPr>
          <w:p w14:paraId="137802BF" w14:textId="77777777" w:rsidR="003077F3" w:rsidRPr="00AC7487" w:rsidRDefault="003077F3" w:rsidP="003077F3">
            <w:pPr>
              <w:suppressAutoHyphens w:val="0"/>
              <w:spacing w:before="80" w:after="120" w:line="220" w:lineRule="exact"/>
              <w:rPr>
                <w:lang w:val="en-US"/>
              </w:rPr>
            </w:pPr>
            <w:r w:rsidRPr="00AC7487">
              <w:rPr>
                <w:lang w:val="en-US"/>
              </w:rPr>
              <w:t>Workshop</w:t>
            </w:r>
          </w:p>
        </w:tc>
      </w:tr>
      <w:tr w:rsidR="003077F3" w:rsidRPr="00AC7487" w14:paraId="187EE22D" w14:textId="77777777" w:rsidTr="003077F3">
        <w:trPr>
          <w:trHeight w:val="240"/>
        </w:trPr>
        <w:tc>
          <w:tcPr>
            <w:tcW w:w="851" w:type="dxa"/>
            <w:vMerge w:val="restart"/>
            <w:tcBorders>
              <w:top w:val="single" w:sz="4" w:space="0" w:color="auto"/>
              <w:bottom w:val="single" w:sz="4" w:space="0" w:color="auto"/>
            </w:tcBorders>
            <w:shd w:val="clear" w:color="auto" w:fill="auto"/>
          </w:tcPr>
          <w:p w14:paraId="7D9A1A3C" w14:textId="77777777" w:rsidR="003077F3" w:rsidRPr="00AC7487" w:rsidRDefault="003077F3" w:rsidP="003077F3">
            <w:pPr>
              <w:suppressAutoHyphens w:val="0"/>
              <w:spacing w:before="40" w:after="120" w:line="220" w:lineRule="exact"/>
              <w:rPr>
                <w:lang w:val="en-US"/>
              </w:rPr>
            </w:pPr>
            <w:r w:rsidRPr="00AC7487">
              <w:rPr>
                <w:lang w:val="en-US"/>
              </w:rPr>
              <w:t>b</w:t>
            </w:r>
          </w:p>
        </w:tc>
        <w:tc>
          <w:tcPr>
            <w:tcW w:w="4678" w:type="dxa"/>
            <w:vMerge w:val="restart"/>
            <w:tcBorders>
              <w:top w:val="single" w:sz="4" w:space="0" w:color="auto"/>
              <w:bottom w:val="single" w:sz="4" w:space="0" w:color="auto"/>
            </w:tcBorders>
            <w:shd w:val="clear" w:color="auto" w:fill="auto"/>
          </w:tcPr>
          <w:p w14:paraId="1BED7A7E" w14:textId="77777777" w:rsidR="003077F3" w:rsidRPr="00AC7487" w:rsidRDefault="003077F3" w:rsidP="003077F3">
            <w:pPr>
              <w:suppressAutoHyphens w:val="0"/>
              <w:spacing w:before="40" w:after="120" w:line="220" w:lineRule="exact"/>
              <w:ind w:left="-5" w:right="33"/>
              <w:rPr>
                <w:lang w:val="en-US"/>
              </w:rPr>
            </w:pPr>
            <w:r w:rsidRPr="00AC7487">
              <w:rPr>
                <w:lang w:val="en-US"/>
              </w:rPr>
              <w:t xml:space="preserve">Consideration of the KCI annual report by the forum </w:t>
            </w:r>
            <w:r>
              <w:rPr>
                <w:lang w:val="en-US"/>
              </w:rPr>
              <w:t>on the impact of the implementation of response measures</w:t>
            </w:r>
            <w:r w:rsidRPr="00AC7487">
              <w:rPr>
                <w:lang w:val="en-US"/>
              </w:rPr>
              <w:t xml:space="preserve"> (decision 7/CMA.1</w:t>
            </w:r>
            <w:r>
              <w:rPr>
                <w:lang w:val="en-US"/>
              </w:rPr>
              <w:t>, annex, para. 4(j)</w:t>
            </w:r>
            <w:r w:rsidRPr="00AC7487">
              <w:rPr>
                <w:lang w:val="en-US"/>
              </w:rPr>
              <w:t>)</w:t>
            </w:r>
          </w:p>
        </w:tc>
        <w:tc>
          <w:tcPr>
            <w:tcW w:w="2409" w:type="dxa"/>
            <w:vMerge w:val="restart"/>
            <w:tcBorders>
              <w:top w:val="single" w:sz="4" w:space="0" w:color="auto"/>
              <w:bottom w:val="single" w:sz="4" w:space="0" w:color="auto"/>
            </w:tcBorders>
            <w:shd w:val="clear" w:color="auto" w:fill="auto"/>
          </w:tcPr>
          <w:p w14:paraId="0080EFA5" w14:textId="77777777" w:rsidR="003077F3" w:rsidRPr="00AC7487" w:rsidRDefault="003077F3" w:rsidP="003077F3">
            <w:pPr>
              <w:suppressAutoHyphens w:val="0"/>
              <w:spacing w:before="40" w:after="120" w:line="220" w:lineRule="exact"/>
              <w:rPr>
                <w:lang w:val="en-US"/>
              </w:rPr>
            </w:pPr>
            <w:r w:rsidRPr="00AC7487">
              <w:rPr>
                <w:lang w:val="en-US"/>
              </w:rPr>
              <w:t>SB 53</w:t>
            </w:r>
            <w:r>
              <w:rPr>
                <w:lang w:val="en-US"/>
              </w:rPr>
              <w:t xml:space="preserve"> (November 2020)</w:t>
            </w:r>
            <w:r w:rsidRPr="00AC7487">
              <w:rPr>
                <w:lang w:val="en-US"/>
              </w:rPr>
              <w:t xml:space="preserve">, </w:t>
            </w:r>
            <w:r>
              <w:rPr>
                <w:lang w:val="en-US"/>
              </w:rPr>
              <w:t xml:space="preserve">SB </w:t>
            </w:r>
            <w:r w:rsidRPr="00AC7487">
              <w:rPr>
                <w:lang w:val="en-US"/>
              </w:rPr>
              <w:t>55</w:t>
            </w:r>
            <w:r>
              <w:rPr>
                <w:lang w:val="en-US"/>
              </w:rPr>
              <w:t xml:space="preserve"> (November 2021)</w:t>
            </w:r>
            <w:r w:rsidRPr="00AC7487">
              <w:rPr>
                <w:lang w:val="en-US"/>
              </w:rPr>
              <w:t xml:space="preserve">, </w:t>
            </w:r>
            <w:r>
              <w:rPr>
                <w:lang w:val="en-US"/>
              </w:rPr>
              <w:t xml:space="preserve">SB </w:t>
            </w:r>
            <w:r w:rsidRPr="00AC7487">
              <w:rPr>
                <w:lang w:val="en-US"/>
              </w:rPr>
              <w:t>57</w:t>
            </w:r>
            <w:r>
              <w:rPr>
                <w:lang w:val="en-US"/>
              </w:rPr>
              <w:t xml:space="preserve"> (November 2022)</w:t>
            </w:r>
            <w:r w:rsidRPr="00AC7487">
              <w:rPr>
                <w:lang w:val="en-US"/>
              </w:rPr>
              <w:t xml:space="preserve">, </w:t>
            </w:r>
            <w:r>
              <w:rPr>
                <w:lang w:val="en-US"/>
              </w:rPr>
              <w:t xml:space="preserve">SB </w:t>
            </w:r>
            <w:r w:rsidRPr="00AC7487">
              <w:rPr>
                <w:lang w:val="en-US"/>
              </w:rPr>
              <w:t>59</w:t>
            </w:r>
            <w:r>
              <w:rPr>
                <w:lang w:val="en-US"/>
              </w:rPr>
              <w:t xml:space="preserve"> (November 2023)</w:t>
            </w:r>
            <w:r w:rsidRPr="00AC7487">
              <w:rPr>
                <w:lang w:val="en-US"/>
              </w:rPr>
              <w:t xml:space="preserve">, </w:t>
            </w:r>
            <w:r>
              <w:rPr>
                <w:lang w:val="en-US"/>
              </w:rPr>
              <w:t xml:space="preserve">SB </w:t>
            </w:r>
            <w:r w:rsidRPr="00AC7487">
              <w:rPr>
                <w:lang w:val="en-US"/>
              </w:rPr>
              <w:t xml:space="preserve">61 </w:t>
            </w:r>
            <w:r>
              <w:rPr>
                <w:lang w:val="en-US"/>
              </w:rPr>
              <w:t xml:space="preserve">(November 2024) </w:t>
            </w:r>
            <w:r w:rsidRPr="00AC7487">
              <w:rPr>
                <w:lang w:val="en-US"/>
              </w:rPr>
              <w:t xml:space="preserve">and </w:t>
            </w:r>
            <w:r>
              <w:rPr>
                <w:lang w:val="en-US"/>
              </w:rPr>
              <w:t xml:space="preserve">SB </w:t>
            </w:r>
            <w:r w:rsidRPr="00AC7487">
              <w:rPr>
                <w:lang w:val="en-US"/>
              </w:rPr>
              <w:t>63</w:t>
            </w:r>
            <w:r>
              <w:rPr>
                <w:lang w:val="en-US"/>
              </w:rPr>
              <w:t xml:space="preserve"> (2025)</w:t>
            </w:r>
          </w:p>
        </w:tc>
        <w:tc>
          <w:tcPr>
            <w:tcW w:w="993" w:type="dxa"/>
            <w:tcBorders>
              <w:top w:val="single" w:sz="4" w:space="0" w:color="auto"/>
              <w:bottom w:val="single" w:sz="4" w:space="0" w:color="auto"/>
            </w:tcBorders>
            <w:shd w:val="clear" w:color="auto" w:fill="auto"/>
          </w:tcPr>
          <w:p w14:paraId="6D76456F" w14:textId="77777777" w:rsidR="003077F3" w:rsidRPr="00AC7487" w:rsidRDefault="003077F3" w:rsidP="003077F3">
            <w:pPr>
              <w:suppressAutoHyphens w:val="0"/>
              <w:spacing w:before="40" w:after="120" w:line="220" w:lineRule="exact"/>
              <w:rPr>
                <w:lang w:val="en-US"/>
              </w:rPr>
            </w:pPr>
            <w:r w:rsidRPr="00AC7487">
              <w:rPr>
                <w:lang w:val="en-US"/>
              </w:rPr>
              <w:t>KCI</w:t>
            </w:r>
          </w:p>
        </w:tc>
        <w:tc>
          <w:tcPr>
            <w:tcW w:w="4961" w:type="dxa"/>
            <w:tcBorders>
              <w:top w:val="single" w:sz="4" w:space="0" w:color="auto"/>
              <w:bottom w:val="single" w:sz="4" w:space="0" w:color="auto"/>
            </w:tcBorders>
            <w:shd w:val="clear" w:color="auto" w:fill="auto"/>
          </w:tcPr>
          <w:p w14:paraId="6D52B1E0" w14:textId="77777777" w:rsidR="003077F3" w:rsidRPr="00AC7487" w:rsidRDefault="003077F3" w:rsidP="003077F3">
            <w:pPr>
              <w:suppressAutoHyphens w:val="0"/>
              <w:spacing w:before="40" w:after="120" w:line="220" w:lineRule="exact"/>
              <w:rPr>
                <w:lang w:val="en-US"/>
              </w:rPr>
            </w:pPr>
            <w:r w:rsidRPr="00AC7487">
              <w:rPr>
                <w:lang w:val="en-US"/>
              </w:rPr>
              <w:t>Prepar</w:t>
            </w:r>
            <w:r>
              <w:rPr>
                <w:lang w:val="en-US"/>
              </w:rPr>
              <w:t>e</w:t>
            </w:r>
            <w:r w:rsidRPr="00AC7487">
              <w:rPr>
                <w:lang w:val="en-US"/>
              </w:rPr>
              <w:t xml:space="preserve"> annual report</w:t>
            </w:r>
          </w:p>
        </w:tc>
      </w:tr>
      <w:tr w:rsidR="003077F3" w:rsidRPr="00AC7487" w14:paraId="143D4F06" w14:textId="77777777" w:rsidTr="003077F3">
        <w:trPr>
          <w:trHeight w:val="240"/>
        </w:trPr>
        <w:tc>
          <w:tcPr>
            <w:tcW w:w="851" w:type="dxa"/>
            <w:vMerge/>
            <w:tcBorders>
              <w:top w:val="single" w:sz="4" w:space="0" w:color="auto"/>
              <w:bottom w:val="single" w:sz="4" w:space="0" w:color="auto"/>
            </w:tcBorders>
            <w:shd w:val="clear" w:color="auto" w:fill="auto"/>
          </w:tcPr>
          <w:p w14:paraId="56B79F4E" w14:textId="77777777" w:rsidR="003077F3" w:rsidRPr="00AC7487" w:rsidRDefault="003077F3" w:rsidP="003077F3">
            <w:pPr>
              <w:suppressAutoHyphens w:val="0"/>
              <w:spacing w:before="40" w:after="120" w:line="220" w:lineRule="exact"/>
              <w:rPr>
                <w:lang w:val="en-US"/>
              </w:rPr>
            </w:pPr>
          </w:p>
        </w:tc>
        <w:tc>
          <w:tcPr>
            <w:tcW w:w="4678" w:type="dxa"/>
            <w:vMerge/>
            <w:tcBorders>
              <w:top w:val="single" w:sz="4" w:space="0" w:color="auto"/>
              <w:bottom w:val="single" w:sz="4" w:space="0" w:color="auto"/>
            </w:tcBorders>
            <w:shd w:val="clear" w:color="auto" w:fill="auto"/>
          </w:tcPr>
          <w:p w14:paraId="5D674DB3" w14:textId="77777777" w:rsidR="003077F3" w:rsidRPr="00AC7487" w:rsidRDefault="003077F3" w:rsidP="003077F3">
            <w:pPr>
              <w:suppressAutoHyphens w:val="0"/>
              <w:spacing w:before="40" w:after="120" w:line="220" w:lineRule="exact"/>
              <w:ind w:left="-5" w:right="33"/>
              <w:rPr>
                <w:lang w:val="en-US"/>
              </w:rPr>
            </w:pPr>
          </w:p>
        </w:tc>
        <w:tc>
          <w:tcPr>
            <w:tcW w:w="2409" w:type="dxa"/>
            <w:vMerge/>
            <w:tcBorders>
              <w:top w:val="single" w:sz="4" w:space="0" w:color="auto"/>
              <w:bottom w:val="single" w:sz="4" w:space="0" w:color="auto"/>
            </w:tcBorders>
            <w:shd w:val="clear" w:color="auto" w:fill="auto"/>
          </w:tcPr>
          <w:p w14:paraId="5F1CA81D" w14:textId="77777777" w:rsidR="003077F3" w:rsidRPr="00AC7487" w:rsidRDefault="003077F3" w:rsidP="003077F3">
            <w:pPr>
              <w:suppressAutoHyphens w:val="0"/>
              <w:spacing w:before="40" w:after="120" w:line="220" w:lineRule="exact"/>
              <w:rPr>
                <w:lang w:val="en-US"/>
              </w:rPr>
            </w:pPr>
          </w:p>
        </w:tc>
        <w:tc>
          <w:tcPr>
            <w:tcW w:w="993" w:type="dxa"/>
            <w:tcBorders>
              <w:top w:val="single" w:sz="4" w:space="0" w:color="auto"/>
              <w:bottom w:val="single" w:sz="4" w:space="0" w:color="auto"/>
            </w:tcBorders>
            <w:shd w:val="clear" w:color="auto" w:fill="auto"/>
          </w:tcPr>
          <w:p w14:paraId="696A4370" w14:textId="77777777" w:rsidR="003077F3" w:rsidRPr="00AC7487" w:rsidRDefault="003077F3" w:rsidP="003077F3">
            <w:pPr>
              <w:suppressAutoHyphens w:val="0"/>
              <w:spacing w:before="40" w:after="120" w:line="220" w:lineRule="exact"/>
              <w:rPr>
                <w:lang w:val="en-US"/>
              </w:rPr>
            </w:pPr>
            <w:r w:rsidRPr="00AC7487">
              <w:rPr>
                <w:lang w:val="en-US"/>
              </w:rPr>
              <w:t>Forum</w:t>
            </w:r>
          </w:p>
        </w:tc>
        <w:tc>
          <w:tcPr>
            <w:tcW w:w="4961" w:type="dxa"/>
            <w:tcBorders>
              <w:top w:val="single" w:sz="4" w:space="0" w:color="auto"/>
              <w:bottom w:val="single" w:sz="4" w:space="0" w:color="auto"/>
            </w:tcBorders>
            <w:shd w:val="clear" w:color="auto" w:fill="auto"/>
          </w:tcPr>
          <w:p w14:paraId="2CAA16E6" w14:textId="77777777" w:rsidR="003077F3" w:rsidRPr="00AC7487" w:rsidRDefault="003077F3" w:rsidP="003077F3">
            <w:pPr>
              <w:suppressAutoHyphens w:val="0"/>
              <w:spacing w:before="40" w:after="120" w:line="220" w:lineRule="exact"/>
              <w:rPr>
                <w:lang w:val="en-US"/>
              </w:rPr>
            </w:pPr>
            <w:r w:rsidRPr="00AC7487">
              <w:rPr>
                <w:lang w:val="en-US"/>
              </w:rPr>
              <w:t>Consider annual report</w:t>
            </w:r>
          </w:p>
        </w:tc>
      </w:tr>
      <w:tr w:rsidR="003077F3" w:rsidRPr="00AC7487" w14:paraId="4A631856" w14:textId="77777777" w:rsidTr="003077F3">
        <w:trPr>
          <w:trHeight w:val="240"/>
        </w:trPr>
        <w:tc>
          <w:tcPr>
            <w:tcW w:w="851" w:type="dxa"/>
            <w:tcBorders>
              <w:top w:val="single" w:sz="4" w:space="0" w:color="auto"/>
              <w:bottom w:val="single" w:sz="4" w:space="0" w:color="auto"/>
            </w:tcBorders>
            <w:shd w:val="clear" w:color="auto" w:fill="auto"/>
          </w:tcPr>
          <w:p w14:paraId="0F0D4803" w14:textId="77777777" w:rsidR="003077F3" w:rsidRPr="00AC7487" w:rsidRDefault="003077F3" w:rsidP="003077F3">
            <w:pPr>
              <w:suppressAutoHyphens w:val="0"/>
              <w:spacing w:before="40" w:after="120" w:line="220" w:lineRule="exact"/>
              <w:rPr>
                <w:lang w:val="en-US"/>
              </w:rPr>
            </w:pPr>
            <w:r w:rsidRPr="00AC7487">
              <w:rPr>
                <w:lang w:val="en-US"/>
              </w:rPr>
              <w:t>c</w:t>
            </w:r>
          </w:p>
        </w:tc>
        <w:tc>
          <w:tcPr>
            <w:tcW w:w="4678" w:type="dxa"/>
            <w:tcBorders>
              <w:top w:val="single" w:sz="4" w:space="0" w:color="auto"/>
              <w:bottom w:val="single" w:sz="4" w:space="0" w:color="auto"/>
            </w:tcBorders>
            <w:shd w:val="clear" w:color="auto" w:fill="auto"/>
          </w:tcPr>
          <w:p w14:paraId="0B9062BA" w14:textId="77777777" w:rsidR="003077F3" w:rsidRPr="00AC7487" w:rsidRDefault="003077F3" w:rsidP="003077F3">
            <w:pPr>
              <w:suppressAutoHyphens w:val="0"/>
              <w:spacing w:before="40" w:after="120" w:line="220" w:lineRule="exact"/>
              <w:ind w:left="-5" w:right="33"/>
              <w:rPr>
                <w:lang w:val="en-US"/>
              </w:rPr>
            </w:pPr>
            <w:r w:rsidRPr="00AC7487">
              <w:rPr>
                <w:lang w:val="en-US"/>
              </w:rPr>
              <w:t>Mid</w:t>
            </w:r>
            <w:r>
              <w:rPr>
                <w:lang w:val="en-US"/>
              </w:rPr>
              <w:t>term</w:t>
            </w:r>
            <w:r w:rsidRPr="00AC7487">
              <w:rPr>
                <w:lang w:val="en-US"/>
              </w:rPr>
              <w:t xml:space="preserve"> review of th</w:t>
            </w:r>
            <w:r>
              <w:rPr>
                <w:lang w:val="en-US"/>
              </w:rPr>
              <w:t>is</w:t>
            </w:r>
            <w:r w:rsidRPr="00AC7487">
              <w:rPr>
                <w:lang w:val="en-US"/>
              </w:rPr>
              <w:t xml:space="preserve"> workplan</w:t>
            </w:r>
            <w:r>
              <w:rPr>
                <w:lang w:val="en-US"/>
              </w:rPr>
              <w:t>,</w:t>
            </w:r>
            <w:r w:rsidRPr="00AC7487">
              <w:rPr>
                <w:lang w:val="en-US"/>
              </w:rPr>
              <w:t xml:space="preserve"> starting from </w:t>
            </w:r>
            <w:r>
              <w:rPr>
                <w:lang w:val="en-US"/>
              </w:rPr>
              <w:t>SB 56</w:t>
            </w:r>
            <w:r w:rsidRPr="00AC7487">
              <w:rPr>
                <w:lang w:val="en-US"/>
              </w:rPr>
              <w:t xml:space="preserve"> (June 2022) (</w:t>
            </w:r>
            <w:r>
              <w:rPr>
                <w:lang w:val="en-US"/>
              </w:rPr>
              <w:t>d</w:t>
            </w:r>
            <w:r w:rsidRPr="00AC7487">
              <w:rPr>
                <w:lang w:val="en-US"/>
              </w:rPr>
              <w:t>ecision 7/CMA.1, para</w:t>
            </w:r>
            <w:r>
              <w:rPr>
                <w:lang w:val="en-US"/>
              </w:rPr>
              <w:t>.</w:t>
            </w:r>
            <w:r w:rsidRPr="00AC7487">
              <w:rPr>
                <w:lang w:val="en-US"/>
              </w:rPr>
              <w:t xml:space="preserve"> 10)</w:t>
            </w:r>
          </w:p>
        </w:tc>
        <w:tc>
          <w:tcPr>
            <w:tcW w:w="2409" w:type="dxa"/>
            <w:tcBorders>
              <w:top w:val="single" w:sz="4" w:space="0" w:color="auto"/>
              <w:bottom w:val="single" w:sz="4" w:space="0" w:color="auto"/>
            </w:tcBorders>
            <w:shd w:val="clear" w:color="auto" w:fill="auto"/>
          </w:tcPr>
          <w:p w14:paraId="3D281F8F" w14:textId="27CF2CC2" w:rsidR="003077F3" w:rsidRPr="00AC7487" w:rsidRDefault="003077F3" w:rsidP="003077F3">
            <w:pPr>
              <w:suppressAutoHyphens w:val="0"/>
              <w:spacing w:before="40" w:after="120" w:line="220" w:lineRule="exact"/>
              <w:rPr>
                <w:lang w:val="en-US"/>
              </w:rPr>
            </w:pPr>
            <w:r w:rsidRPr="00AC7487">
              <w:rPr>
                <w:lang w:val="en-US"/>
              </w:rPr>
              <w:t>SB 56</w:t>
            </w:r>
          </w:p>
        </w:tc>
        <w:tc>
          <w:tcPr>
            <w:tcW w:w="993" w:type="dxa"/>
            <w:tcBorders>
              <w:top w:val="single" w:sz="4" w:space="0" w:color="auto"/>
              <w:bottom w:val="single" w:sz="4" w:space="0" w:color="auto"/>
            </w:tcBorders>
            <w:shd w:val="clear" w:color="auto" w:fill="auto"/>
          </w:tcPr>
          <w:p w14:paraId="474F8E4F" w14:textId="77777777" w:rsidR="003077F3" w:rsidRPr="00AC7487" w:rsidRDefault="003077F3" w:rsidP="003077F3">
            <w:pPr>
              <w:suppressAutoHyphens w:val="0"/>
              <w:spacing w:before="40" w:after="120" w:line="220" w:lineRule="exact"/>
              <w:rPr>
                <w:lang w:val="en-US"/>
              </w:rPr>
            </w:pPr>
            <w:r w:rsidRPr="00AC7487">
              <w:rPr>
                <w:lang w:val="en-US"/>
              </w:rPr>
              <w:t>Forum</w:t>
            </w:r>
          </w:p>
        </w:tc>
        <w:tc>
          <w:tcPr>
            <w:tcW w:w="4961" w:type="dxa"/>
            <w:tcBorders>
              <w:top w:val="single" w:sz="4" w:space="0" w:color="auto"/>
              <w:bottom w:val="single" w:sz="4" w:space="0" w:color="auto"/>
            </w:tcBorders>
            <w:shd w:val="clear" w:color="auto" w:fill="auto"/>
          </w:tcPr>
          <w:p w14:paraId="521352FA" w14:textId="77777777" w:rsidR="003077F3" w:rsidRPr="00AC7487" w:rsidRDefault="003077F3" w:rsidP="003077F3">
            <w:pPr>
              <w:suppressAutoHyphens w:val="0"/>
              <w:spacing w:before="40" w:after="120" w:line="220" w:lineRule="exact"/>
              <w:rPr>
                <w:lang w:val="en-US"/>
              </w:rPr>
            </w:pPr>
            <w:r w:rsidRPr="00AC7487">
              <w:rPr>
                <w:lang w:val="en-US"/>
              </w:rPr>
              <w:t>Conclusions/draft decisions</w:t>
            </w:r>
          </w:p>
        </w:tc>
      </w:tr>
      <w:tr w:rsidR="003077F3" w:rsidRPr="00AC7487" w14:paraId="1373AE0A" w14:textId="77777777" w:rsidTr="003077F3">
        <w:trPr>
          <w:trHeight w:val="988"/>
        </w:trPr>
        <w:tc>
          <w:tcPr>
            <w:tcW w:w="851" w:type="dxa"/>
            <w:tcBorders>
              <w:top w:val="single" w:sz="4" w:space="0" w:color="auto"/>
              <w:bottom w:val="single" w:sz="4" w:space="0" w:color="auto"/>
            </w:tcBorders>
            <w:shd w:val="clear" w:color="auto" w:fill="auto"/>
          </w:tcPr>
          <w:p w14:paraId="56A97B13" w14:textId="77777777" w:rsidR="003077F3" w:rsidRPr="00AC7487" w:rsidRDefault="003077F3" w:rsidP="003077F3">
            <w:pPr>
              <w:suppressAutoHyphens w:val="0"/>
              <w:spacing w:before="40" w:after="120" w:line="220" w:lineRule="exact"/>
              <w:rPr>
                <w:lang w:val="en-US"/>
              </w:rPr>
            </w:pPr>
            <w:r w:rsidRPr="00AC7487">
              <w:rPr>
                <w:lang w:val="en-US"/>
              </w:rPr>
              <w:t>d</w:t>
            </w:r>
          </w:p>
        </w:tc>
        <w:tc>
          <w:tcPr>
            <w:tcW w:w="4678" w:type="dxa"/>
            <w:tcBorders>
              <w:top w:val="single" w:sz="4" w:space="0" w:color="auto"/>
              <w:bottom w:val="single" w:sz="4" w:space="0" w:color="auto"/>
            </w:tcBorders>
            <w:shd w:val="clear" w:color="auto" w:fill="auto"/>
          </w:tcPr>
          <w:p w14:paraId="3EE36DF4" w14:textId="77777777" w:rsidR="003077F3" w:rsidRPr="00AC7487" w:rsidRDefault="003077F3" w:rsidP="003077F3">
            <w:pPr>
              <w:suppressAutoHyphens w:val="0"/>
              <w:spacing w:before="40" w:after="120" w:line="220" w:lineRule="exact"/>
              <w:ind w:left="-5" w:right="33"/>
              <w:rPr>
                <w:lang w:val="en-US"/>
              </w:rPr>
            </w:pPr>
            <w:r w:rsidRPr="00AC7487">
              <w:rPr>
                <w:lang w:val="en-US"/>
              </w:rPr>
              <w:t xml:space="preserve">Prepare information for the technical assessment component of </w:t>
            </w:r>
            <w:r>
              <w:rPr>
                <w:lang w:val="en-US"/>
              </w:rPr>
              <w:t xml:space="preserve">the </w:t>
            </w:r>
            <w:r w:rsidRPr="00AC7487">
              <w:rPr>
                <w:lang w:val="en-US"/>
              </w:rPr>
              <w:t xml:space="preserve">global </w:t>
            </w:r>
            <w:proofErr w:type="spellStart"/>
            <w:r w:rsidRPr="00AC7487">
              <w:rPr>
                <w:lang w:val="en-US"/>
              </w:rPr>
              <w:t>stocktake</w:t>
            </w:r>
            <w:proofErr w:type="spellEnd"/>
            <w:r w:rsidRPr="00AC7487">
              <w:rPr>
                <w:lang w:val="en-US"/>
              </w:rPr>
              <w:t xml:space="preserve"> related to the impacts of the implementation of response measures (</w:t>
            </w:r>
            <w:r>
              <w:rPr>
                <w:lang w:val="en-US"/>
              </w:rPr>
              <w:t>d</w:t>
            </w:r>
            <w:r w:rsidRPr="00AC7487">
              <w:rPr>
                <w:lang w:val="en-US"/>
              </w:rPr>
              <w:t>ecision 19/CMA.1, paras</w:t>
            </w:r>
            <w:r>
              <w:rPr>
                <w:lang w:val="en-US"/>
              </w:rPr>
              <w:t>.</w:t>
            </w:r>
            <w:r w:rsidRPr="00AC7487">
              <w:rPr>
                <w:lang w:val="en-US"/>
              </w:rPr>
              <w:t xml:space="preserve"> 8 and 24)</w:t>
            </w:r>
          </w:p>
        </w:tc>
        <w:tc>
          <w:tcPr>
            <w:tcW w:w="2409" w:type="dxa"/>
            <w:tcBorders>
              <w:top w:val="single" w:sz="4" w:space="0" w:color="auto"/>
              <w:bottom w:val="single" w:sz="4" w:space="0" w:color="auto"/>
            </w:tcBorders>
            <w:shd w:val="clear" w:color="auto" w:fill="auto"/>
          </w:tcPr>
          <w:p w14:paraId="35FE129E" w14:textId="77777777" w:rsidR="003077F3" w:rsidRPr="00AC7487" w:rsidRDefault="003077F3" w:rsidP="003077F3">
            <w:pPr>
              <w:suppressAutoHyphens w:val="0"/>
              <w:spacing w:before="40" w:after="120" w:line="220" w:lineRule="exact"/>
              <w:rPr>
                <w:lang w:val="en-US"/>
              </w:rPr>
            </w:pPr>
            <w:r w:rsidRPr="00AC7487">
              <w:rPr>
                <w:lang w:val="en-US"/>
              </w:rPr>
              <w:t xml:space="preserve">SB 56 and </w:t>
            </w:r>
            <w:r>
              <w:rPr>
                <w:lang w:val="en-US"/>
              </w:rPr>
              <w:t xml:space="preserve">SB </w:t>
            </w:r>
            <w:r w:rsidRPr="00AC7487">
              <w:rPr>
                <w:lang w:val="en-US"/>
              </w:rPr>
              <w:t>57</w:t>
            </w:r>
          </w:p>
        </w:tc>
        <w:tc>
          <w:tcPr>
            <w:tcW w:w="993" w:type="dxa"/>
            <w:tcBorders>
              <w:top w:val="single" w:sz="4" w:space="0" w:color="auto"/>
              <w:bottom w:val="single" w:sz="4" w:space="0" w:color="auto"/>
            </w:tcBorders>
            <w:shd w:val="clear" w:color="auto" w:fill="auto"/>
          </w:tcPr>
          <w:p w14:paraId="6F1CFD3B" w14:textId="77777777" w:rsidR="003077F3" w:rsidRPr="00AC7487" w:rsidRDefault="003077F3" w:rsidP="003077F3">
            <w:pPr>
              <w:suppressAutoHyphens w:val="0"/>
              <w:spacing w:before="40" w:after="120" w:line="220" w:lineRule="exact"/>
              <w:rPr>
                <w:lang w:val="en-US"/>
              </w:rPr>
            </w:pPr>
            <w:r w:rsidRPr="00AC7487">
              <w:rPr>
                <w:lang w:val="en-US"/>
              </w:rPr>
              <w:t>Forum</w:t>
            </w:r>
          </w:p>
        </w:tc>
        <w:tc>
          <w:tcPr>
            <w:tcW w:w="4961" w:type="dxa"/>
            <w:tcBorders>
              <w:top w:val="single" w:sz="4" w:space="0" w:color="auto"/>
              <w:bottom w:val="single" w:sz="4" w:space="0" w:color="auto"/>
            </w:tcBorders>
            <w:shd w:val="clear" w:color="auto" w:fill="auto"/>
          </w:tcPr>
          <w:p w14:paraId="462BA55D" w14:textId="77777777" w:rsidR="003077F3" w:rsidRPr="00AC7487" w:rsidRDefault="003077F3" w:rsidP="003077F3">
            <w:pPr>
              <w:suppressAutoHyphens w:val="0"/>
              <w:spacing w:before="40" w:after="120" w:line="220" w:lineRule="exact"/>
              <w:rPr>
                <w:lang w:val="en-US"/>
              </w:rPr>
            </w:pPr>
            <w:r w:rsidRPr="00AC7487">
              <w:rPr>
                <w:lang w:val="en-US"/>
              </w:rPr>
              <w:t xml:space="preserve">Forward an outcome document for consideration </w:t>
            </w:r>
            <w:r>
              <w:rPr>
                <w:lang w:val="en-US"/>
              </w:rPr>
              <w:t>in</w:t>
            </w:r>
            <w:r w:rsidRPr="00AC7487">
              <w:rPr>
                <w:lang w:val="en-US"/>
              </w:rPr>
              <w:t xml:space="preserve"> the technical assessment of the </w:t>
            </w:r>
            <w:r>
              <w:rPr>
                <w:lang w:val="en-US"/>
              </w:rPr>
              <w:t>g</w:t>
            </w:r>
            <w:r w:rsidRPr="00AC7487">
              <w:rPr>
                <w:lang w:val="en-US"/>
              </w:rPr>
              <w:t xml:space="preserve">lobal </w:t>
            </w:r>
            <w:proofErr w:type="spellStart"/>
            <w:r>
              <w:rPr>
                <w:lang w:val="en-US"/>
              </w:rPr>
              <w:t>s</w:t>
            </w:r>
            <w:r w:rsidRPr="00AC7487">
              <w:rPr>
                <w:lang w:val="en-US"/>
              </w:rPr>
              <w:t>tocktake</w:t>
            </w:r>
            <w:proofErr w:type="spellEnd"/>
          </w:p>
        </w:tc>
      </w:tr>
      <w:tr w:rsidR="003077F3" w:rsidRPr="00AC7487" w14:paraId="56BC6173" w14:textId="77777777" w:rsidTr="003077F3">
        <w:trPr>
          <w:trHeight w:val="240"/>
        </w:trPr>
        <w:tc>
          <w:tcPr>
            <w:tcW w:w="851" w:type="dxa"/>
            <w:tcBorders>
              <w:top w:val="single" w:sz="4" w:space="0" w:color="auto"/>
              <w:bottom w:val="single" w:sz="4" w:space="0" w:color="auto"/>
            </w:tcBorders>
            <w:shd w:val="clear" w:color="auto" w:fill="auto"/>
          </w:tcPr>
          <w:p w14:paraId="57E87386" w14:textId="77777777" w:rsidR="003077F3" w:rsidRPr="00AC7487" w:rsidRDefault="003077F3" w:rsidP="003077F3">
            <w:pPr>
              <w:suppressAutoHyphens w:val="0"/>
              <w:spacing w:before="40" w:after="120" w:line="220" w:lineRule="exact"/>
              <w:rPr>
                <w:lang w:val="en-US"/>
              </w:rPr>
            </w:pPr>
            <w:r w:rsidRPr="00AC7487">
              <w:rPr>
                <w:lang w:val="en-US"/>
              </w:rPr>
              <w:t>e</w:t>
            </w:r>
          </w:p>
        </w:tc>
        <w:tc>
          <w:tcPr>
            <w:tcW w:w="4678" w:type="dxa"/>
            <w:tcBorders>
              <w:top w:val="single" w:sz="4" w:space="0" w:color="auto"/>
              <w:bottom w:val="single" w:sz="4" w:space="0" w:color="auto"/>
            </w:tcBorders>
            <w:shd w:val="clear" w:color="auto" w:fill="auto"/>
          </w:tcPr>
          <w:p w14:paraId="0BA4B6DF" w14:textId="5C429F6C" w:rsidR="003077F3" w:rsidRPr="00AC7487" w:rsidRDefault="003077F3" w:rsidP="003077F3">
            <w:pPr>
              <w:suppressAutoHyphens w:val="0"/>
              <w:spacing w:before="40" w:after="120" w:line="220" w:lineRule="exact"/>
              <w:ind w:left="-5" w:right="33"/>
              <w:rPr>
                <w:lang w:val="en-US"/>
              </w:rPr>
            </w:pPr>
            <w:r w:rsidRPr="00AC7487">
              <w:rPr>
                <w:lang w:val="en-US"/>
              </w:rPr>
              <w:t xml:space="preserve">Review </w:t>
            </w:r>
            <w:r>
              <w:rPr>
                <w:lang w:val="en-US"/>
              </w:rPr>
              <w:t xml:space="preserve">of the </w:t>
            </w:r>
            <w:r w:rsidRPr="00AC7487">
              <w:rPr>
                <w:lang w:val="en-US"/>
              </w:rPr>
              <w:t xml:space="preserve">functions, work </w:t>
            </w:r>
            <w:proofErr w:type="spellStart"/>
            <w:r w:rsidRPr="00AC7487">
              <w:rPr>
                <w:lang w:val="en-US"/>
              </w:rPr>
              <w:t>programme</w:t>
            </w:r>
            <w:proofErr w:type="spellEnd"/>
            <w:r w:rsidRPr="00AC7487">
              <w:rPr>
                <w:lang w:val="en-US"/>
              </w:rPr>
              <w:t xml:space="preserve"> and modalities of the forum at SB</w:t>
            </w:r>
            <w:r>
              <w:rPr>
                <w:lang w:val="en-US"/>
              </w:rPr>
              <w:t xml:space="preserve"> </w:t>
            </w:r>
            <w:r w:rsidR="00607C95">
              <w:rPr>
                <w:lang w:val="en-US"/>
              </w:rPr>
              <w:t>59</w:t>
            </w:r>
            <w:r w:rsidRPr="00AC7487">
              <w:rPr>
                <w:lang w:val="en-US"/>
              </w:rPr>
              <w:t xml:space="preserve"> (</w:t>
            </w:r>
            <w:r>
              <w:rPr>
                <w:lang w:val="en-US"/>
              </w:rPr>
              <w:t>d</w:t>
            </w:r>
            <w:r w:rsidRPr="00AC7487">
              <w:rPr>
                <w:lang w:val="en-US"/>
              </w:rPr>
              <w:t>ecision 7/CMA.1, para</w:t>
            </w:r>
            <w:r>
              <w:rPr>
                <w:lang w:val="en-US"/>
              </w:rPr>
              <w:t>. </w:t>
            </w:r>
            <w:r w:rsidRPr="00AC7487">
              <w:rPr>
                <w:lang w:val="en-US"/>
              </w:rPr>
              <w:t>6)</w:t>
            </w:r>
          </w:p>
        </w:tc>
        <w:tc>
          <w:tcPr>
            <w:tcW w:w="2409" w:type="dxa"/>
            <w:tcBorders>
              <w:top w:val="single" w:sz="4" w:space="0" w:color="auto"/>
              <w:bottom w:val="single" w:sz="4" w:space="0" w:color="auto"/>
            </w:tcBorders>
            <w:shd w:val="clear" w:color="auto" w:fill="auto"/>
          </w:tcPr>
          <w:p w14:paraId="49083EA9" w14:textId="77777777" w:rsidR="003077F3" w:rsidRPr="00AC7487" w:rsidRDefault="003077F3" w:rsidP="003077F3">
            <w:pPr>
              <w:suppressAutoHyphens w:val="0"/>
              <w:spacing w:before="40" w:after="120" w:line="220" w:lineRule="exact"/>
              <w:rPr>
                <w:lang w:val="en-US"/>
              </w:rPr>
            </w:pPr>
            <w:r w:rsidRPr="00AC7487">
              <w:rPr>
                <w:lang w:val="en-US"/>
              </w:rPr>
              <w:t xml:space="preserve">SB 58 </w:t>
            </w:r>
            <w:r>
              <w:rPr>
                <w:lang w:val="en-US"/>
              </w:rPr>
              <w:t xml:space="preserve">(June 2023) </w:t>
            </w:r>
            <w:r w:rsidRPr="00AC7487">
              <w:rPr>
                <w:lang w:val="en-US"/>
              </w:rPr>
              <w:t xml:space="preserve">and </w:t>
            </w:r>
            <w:r>
              <w:rPr>
                <w:lang w:val="en-US"/>
              </w:rPr>
              <w:t>SB </w:t>
            </w:r>
            <w:r w:rsidRPr="00AC7487">
              <w:rPr>
                <w:lang w:val="en-US"/>
              </w:rPr>
              <w:t>59</w:t>
            </w:r>
          </w:p>
        </w:tc>
        <w:tc>
          <w:tcPr>
            <w:tcW w:w="993" w:type="dxa"/>
            <w:tcBorders>
              <w:top w:val="single" w:sz="4" w:space="0" w:color="auto"/>
              <w:bottom w:val="single" w:sz="4" w:space="0" w:color="auto"/>
            </w:tcBorders>
            <w:shd w:val="clear" w:color="auto" w:fill="auto"/>
          </w:tcPr>
          <w:p w14:paraId="5C58B555" w14:textId="77777777" w:rsidR="003077F3" w:rsidRPr="00AC7487" w:rsidRDefault="003077F3" w:rsidP="003077F3">
            <w:pPr>
              <w:suppressAutoHyphens w:val="0"/>
              <w:spacing w:before="40" w:after="120" w:line="220" w:lineRule="exact"/>
              <w:rPr>
                <w:lang w:val="en-US"/>
              </w:rPr>
            </w:pPr>
            <w:r w:rsidRPr="00AC7487">
              <w:rPr>
                <w:lang w:val="en-US"/>
              </w:rPr>
              <w:t>Forum</w:t>
            </w:r>
          </w:p>
        </w:tc>
        <w:tc>
          <w:tcPr>
            <w:tcW w:w="4961" w:type="dxa"/>
            <w:tcBorders>
              <w:top w:val="single" w:sz="4" w:space="0" w:color="auto"/>
              <w:bottom w:val="single" w:sz="4" w:space="0" w:color="auto"/>
            </w:tcBorders>
            <w:shd w:val="clear" w:color="auto" w:fill="auto"/>
          </w:tcPr>
          <w:p w14:paraId="523152D9" w14:textId="77777777" w:rsidR="003077F3" w:rsidRPr="00AC7487" w:rsidRDefault="003077F3" w:rsidP="003077F3">
            <w:pPr>
              <w:suppressAutoHyphens w:val="0"/>
              <w:spacing w:before="40" w:after="120" w:line="220" w:lineRule="exact"/>
              <w:rPr>
                <w:lang w:val="en-US"/>
              </w:rPr>
            </w:pPr>
            <w:r>
              <w:rPr>
                <w:lang w:val="en-US"/>
              </w:rPr>
              <w:t>Prepare g</w:t>
            </w:r>
            <w:r w:rsidRPr="00AC7487">
              <w:rPr>
                <w:lang w:val="en-US"/>
              </w:rPr>
              <w:t>uiding questions for the review</w:t>
            </w:r>
          </w:p>
          <w:p w14:paraId="494427EC" w14:textId="77777777" w:rsidR="003077F3" w:rsidRPr="00AC7487" w:rsidRDefault="003077F3" w:rsidP="003077F3">
            <w:pPr>
              <w:suppressAutoHyphens w:val="0"/>
              <w:spacing w:before="40" w:after="120" w:line="220" w:lineRule="exact"/>
              <w:rPr>
                <w:lang w:val="en-US"/>
              </w:rPr>
            </w:pPr>
            <w:r w:rsidRPr="00AC7487">
              <w:rPr>
                <w:lang w:val="en-US"/>
              </w:rPr>
              <w:t>Receive and consider the review</w:t>
            </w:r>
          </w:p>
        </w:tc>
      </w:tr>
      <w:tr w:rsidR="003077F3" w:rsidRPr="00AC7487" w14:paraId="46BE402D" w14:textId="77777777" w:rsidTr="003077F3">
        <w:trPr>
          <w:trHeight w:val="240"/>
        </w:trPr>
        <w:tc>
          <w:tcPr>
            <w:tcW w:w="851" w:type="dxa"/>
            <w:vMerge w:val="restart"/>
            <w:tcBorders>
              <w:top w:val="single" w:sz="4" w:space="0" w:color="auto"/>
            </w:tcBorders>
            <w:shd w:val="clear" w:color="auto" w:fill="auto"/>
          </w:tcPr>
          <w:p w14:paraId="13F35504" w14:textId="77777777" w:rsidR="003077F3" w:rsidRPr="00AC7487" w:rsidRDefault="003077F3" w:rsidP="003077F3">
            <w:pPr>
              <w:suppressAutoHyphens w:val="0"/>
              <w:spacing w:before="40" w:after="120" w:line="220" w:lineRule="exact"/>
              <w:rPr>
                <w:lang w:val="en-US"/>
              </w:rPr>
            </w:pPr>
            <w:r w:rsidRPr="00AC7487">
              <w:rPr>
                <w:lang w:val="en-US"/>
              </w:rPr>
              <w:t>1</w:t>
            </w:r>
          </w:p>
        </w:tc>
        <w:tc>
          <w:tcPr>
            <w:tcW w:w="4678" w:type="dxa"/>
            <w:vMerge w:val="restart"/>
            <w:tcBorders>
              <w:top w:val="single" w:sz="4" w:space="0" w:color="auto"/>
            </w:tcBorders>
            <w:shd w:val="clear" w:color="auto" w:fill="auto"/>
          </w:tcPr>
          <w:p w14:paraId="791144EE" w14:textId="77777777" w:rsidR="003077F3" w:rsidRPr="006F2072" w:rsidRDefault="003077F3" w:rsidP="003077F3">
            <w:pPr>
              <w:pStyle w:val="FootnoteTable"/>
              <w:spacing w:before="40" w:after="120" w:line="240" w:lineRule="exact"/>
              <w:ind w:left="-6" w:right="34"/>
              <w:jc w:val="left"/>
              <w:rPr>
                <w:lang w:val="en-US"/>
              </w:rPr>
            </w:pPr>
            <w:r w:rsidRPr="006F2072">
              <w:rPr>
                <w:sz w:val="20"/>
                <w:lang w:val="en-US"/>
              </w:rPr>
              <w:t xml:space="preserve">Explore approaches to informing the development and implementation of </w:t>
            </w:r>
            <w:r w:rsidRPr="006F2072">
              <w:rPr>
                <w:sz w:val="20"/>
                <w:shd w:val="clear" w:color="auto" w:fill="FFFFFF" w:themeFill="background1"/>
                <w:lang w:val="en-US"/>
              </w:rPr>
              <w:t xml:space="preserve">climate change mitigation strategies, plans, policies and </w:t>
            </w:r>
            <w:proofErr w:type="spellStart"/>
            <w:r w:rsidRPr="006F2072">
              <w:rPr>
                <w:sz w:val="20"/>
                <w:shd w:val="clear" w:color="auto" w:fill="FFFFFF" w:themeFill="background1"/>
                <w:lang w:val="en-US"/>
              </w:rPr>
              <w:t>programmes</w:t>
            </w:r>
            <w:proofErr w:type="spellEnd"/>
            <w:r w:rsidRPr="006F2072">
              <w:rPr>
                <w:sz w:val="20"/>
                <w:shd w:val="clear" w:color="auto" w:fill="FFFFFF" w:themeFill="background1"/>
                <w:lang w:val="en-US"/>
              </w:rPr>
              <w:t xml:space="preserve">, including </w:t>
            </w:r>
            <w:r w:rsidRPr="006F2072">
              <w:rPr>
                <w:sz w:val="20"/>
                <w:lang w:val="en-US"/>
              </w:rPr>
              <w:t>nationally determined contributions and/or</w:t>
            </w:r>
            <w:r w:rsidRPr="006F2072">
              <w:rPr>
                <w:sz w:val="20"/>
                <w:shd w:val="clear" w:color="auto" w:fill="FFFFFF" w:themeFill="background1"/>
                <w:lang w:val="en-US"/>
              </w:rPr>
              <w:t xml:space="preserve"> </w:t>
            </w:r>
            <w:r w:rsidRPr="006F2072">
              <w:rPr>
                <w:sz w:val="20"/>
                <w:lang w:val="en-US"/>
              </w:rPr>
              <w:t xml:space="preserve">long-term low greenhouse gas emission development strategies, that maximize the positive and minimize the negative </w:t>
            </w:r>
            <w:proofErr w:type="spellStart"/>
            <w:r w:rsidRPr="006F2072">
              <w:rPr>
                <w:sz w:val="20"/>
                <w:lang w:val="en-US"/>
              </w:rPr>
              <w:t>impacts</w:t>
            </w:r>
            <w:r w:rsidRPr="007F0BCC">
              <w:rPr>
                <w:i/>
                <w:szCs w:val="18"/>
                <w:vertAlign w:val="superscript"/>
                <w:lang w:val="en-US"/>
              </w:rPr>
              <w:t>b</w:t>
            </w:r>
            <w:proofErr w:type="spellEnd"/>
            <w:r w:rsidRPr="006F2072">
              <w:rPr>
                <w:sz w:val="20"/>
                <w:lang w:val="en-US"/>
              </w:rPr>
              <w:t xml:space="preserve"> of response measures</w:t>
            </w:r>
          </w:p>
        </w:tc>
        <w:tc>
          <w:tcPr>
            <w:tcW w:w="2409" w:type="dxa"/>
            <w:vMerge w:val="restart"/>
            <w:tcBorders>
              <w:top w:val="single" w:sz="4" w:space="0" w:color="auto"/>
              <w:bottom w:val="single" w:sz="4" w:space="0" w:color="auto"/>
            </w:tcBorders>
            <w:shd w:val="clear" w:color="auto" w:fill="auto"/>
          </w:tcPr>
          <w:p w14:paraId="268E4D6E" w14:textId="77777777" w:rsidR="003077F3" w:rsidRPr="00AC7487" w:rsidRDefault="003077F3" w:rsidP="003077F3">
            <w:pPr>
              <w:suppressAutoHyphens w:val="0"/>
              <w:spacing w:before="40" w:after="120" w:line="220" w:lineRule="exact"/>
              <w:rPr>
                <w:lang w:val="en-US"/>
              </w:rPr>
            </w:pPr>
            <w:r w:rsidRPr="00AC7487">
              <w:rPr>
                <w:lang w:val="en-US"/>
              </w:rPr>
              <w:t>SB 52</w:t>
            </w:r>
          </w:p>
        </w:tc>
        <w:tc>
          <w:tcPr>
            <w:tcW w:w="993" w:type="dxa"/>
            <w:tcBorders>
              <w:top w:val="single" w:sz="4" w:space="0" w:color="auto"/>
              <w:bottom w:val="single" w:sz="4" w:space="0" w:color="auto"/>
            </w:tcBorders>
            <w:shd w:val="clear" w:color="auto" w:fill="auto"/>
          </w:tcPr>
          <w:p w14:paraId="3C3D4F40" w14:textId="77777777" w:rsidR="003077F3" w:rsidRPr="00AC7487" w:rsidRDefault="003077F3" w:rsidP="003077F3">
            <w:pPr>
              <w:suppressAutoHyphens w:val="0"/>
              <w:spacing w:before="40" w:after="120" w:line="220" w:lineRule="exact"/>
              <w:rPr>
                <w:lang w:val="en-US"/>
              </w:rPr>
            </w:pPr>
            <w:r w:rsidRPr="00AC7487">
              <w:rPr>
                <w:lang w:val="en-US"/>
              </w:rPr>
              <w:t>KCI</w:t>
            </w:r>
          </w:p>
        </w:tc>
        <w:tc>
          <w:tcPr>
            <w:tcW w:w="4961" w:type="dxa"/>
            <w:tcBorders>
              <w:top w:val="single" w:sz="4" w:space="0" w:color="auto"/>
              <w:bottom w:val="single" w:sz="4" w:space="0" w:color="auto"/>
            </w:tcBorders>
            <w:shd w:val="clear" w:color="auto" w:fill="auto"/>
          </w:tcPr>
          <w:p w14:paraId="17161F5F" w14:textId="77777777" w:rsidR="003077F3" w:rsidRPr="00AC7487" w:rsidRDefault="003077F3" w:rsidP="003077F3">
            <w:pPr>
              <w:suppressAutoHyphens w:val="0"/>
              <w:spacing w:before="40" w:after="120" w:line="220" w:lineRule="exact"/>
              <w:rPr>
                <w:lang w:val="en-US"/>
              </w:rPr>
            </w:pPr>
            <w:r w:rsidRPr="00AC7487">
              <w:rPr>
                <w:lang w:val="en-US"/>
              </w:rPr>
              <w:t>Input from experts, practitioners and relevant organizations</w:t>
            </w:r>
          </w:p>
        </w:tc>
      </w:tr>
      <w:tr w:rsidR="003077F3" w:rsidRPr="00AC7487" w14:paraId="65D3BB84" w14:textId="77777777" w:rsidTr="003077F3">
        <w:trPr>
          <w:trHeight w:val="240"/>
        </w:trPr>
        <w:tc>
          <w:tcPr>
            <w:tcW w:w="851" w:type="dxa"/>
            <w:vMerge/>
            <w:tcBorders>
              <w:top w:val="nil"/>
              <w:bottom w:val="single" w:sz="4" w:space="0" w:color="auto"/>
            </w:tcBorders>
            <w:shd w:val="clear" w:color="auto" w:fill="auto"/>
          </w:tcPr>
          <w:p w14:paraId="0BB0CED3" w14:textId="77777777" w:rsidR="003077F3" w:rsidRPr="00AC7487" w:rsidRDefault="003077F3" w:rsidP="003077F3">
            <w:pPr>
              <w:suppressAutoHyphens w:val="0"/>
              <w:spacing w:before="40" w:after="120" w:line="220" w:lineRule="exact"/>
              <w:rPr>
                <w:lang w:val="en-US"/>
              </w:rPr>
            </w:pPr>
          </w:p>
        </w:tc>
        <w:tc>
          <w:tcPr>
            <w:tcW w:w="4678" w:type="dxa"/>
            <w:vMerge/>
            <w:tcBorders>
              <w:top w:val="nil"/>
              <w:bottom w:val="single" w:sz="4" w:space="0" w:color="auto"/>
            </w:tcBorders>
            <w:shd w:val="clear" w:color="auto" w:fill="auto"/>
          </w:tcPr>
          <w:p w14:paraId="18FB2B47" w14:textId="77777777" w:rsidR="003077F3" w:rsidRPr="00AC7487" w:rsidRDefault="003077F3" w:rsidP="003077F3">
            <w:pPr>
              <w:suppressAutoHyphens w:val="0"/>
              <w:spacing w:before="40" w:after="120" w:line="220" w:lineRule="exact"/>
              <w:ind w:left="-5" w:right="33"/>
              <w:rPr>
                <w:lang w:val="en-US"/>
              </w:rPr>
            </w:pPr>
          </w:p>
        </w:tc>
        <w:tc>
          <w:tcPr>
            <w:tcW w:w="2409" w:type="dxa"/>
            <w:vMerge/>
            <w:tcBorders>
              <w:top w:val="single" w:sz="4" w:space="0" w:color="auto"/>
              <w:bottom w:val="single" w:sz="4" w:space="0" w:color="auto"/>
            </w:tcBorders>
            <w:shd w:val="clear" w:color="auto" w:fill="auto"/>
          </w:tcPr>
          <w:p w14:paraId="76B8063A" w14:textId="77777777" w:rsidR="003077F3" w:rsidRPr="00AC7487" w:rsidRDefault="003077F3" w:rsidP="003077F3">
            <w:pPr>
              <w:suppressAutoHyphens w:val="0"/>
              <w:spacing w:before="40" w:after="120" w:line="220" w:lineRule="exact"/>
              <w:rPr>
                <w:lang w:val="en-US"/>
              </w:rPr>
            </w:pPr>
          </w:p>
        </w:tc>
        <w:tc>
          <w:tcPr>
            <w:tcW w:w="993" w:type="dxa"/>
            <w:tcBorders>
              <w:top w:val="single" w:sz="4" w:space="0" w:color="auto"/>
              <w:bottom w:val="single" w:sz="4" w:space="0" w:color="auto"/>
            </w:tcBorders>
            <w:shd w:val="clear" w:color="auto" w:fill="auto"/>
          </w:tcPr>
          <w:p w14:paraId="0CD3CB32" w14:textId="77777777" w:rsidR="003077F3" w:rsidRPr="00AC7487" w:rsidRDefault="003077F3" w:rsidP="003077F3">
            <w:pPr>
              <w:suppressAutoHyphens w:val="0"/>
              <w:spacing w:before="40" w:after="120" w:line="220" w:lineRule="exact"/>
              <w:rPr>
                <w:lang w:val="en-US"/>
              </w:rPr>
            </w:pPr>
            <w:r w:rsidRPr="00AC7487">
              <w:rPr>
                <w:lang w:val="en-US"/>
              </w:rPr>
              <w:t>Forum</w:t>
            </w:r>
          </w:p>
        </w:tc>
        <w:tc>
          <w:tcPr>
            <w:tcW w:w="4961" w:type="dxa"/>
            <w:tcBorders>
              <w:top w:val="single" w:sz="4" w:space="0" w:color="auto"/>
              <w:bottom w:val="single" w:sz="4" w:space="0" w:color="auto"/>
            </w:tcBorders>
            <w:shd w:val="clear" w:color="auto" w:fill="auto"/>
          </w:tcPr>
          <w:p w14:paraId="3426F4D6" w14:textId="77777777" w:rsidR="003077F3" w:rsidRPr="00AC7487" w:rsidRDefault="003077F3" w:rsidP="003077F3">
            <w:pPr>
              <w:suppressAutoHyphens w:val="0"/>
              <w:spacing w:before="40" w:after="120" w:line="220" w:lineRule="exact"/>
              <w:rPr>
                <w:lang w:val="en-US"/>
              </w:rPr>
            </w:pPr>
            <w:r w:rsidRPr="00AC7487">
              <w:rPr>
                <w:lang w:val="en-US"/>
              </w:rPr>
              <w:t>Input from experts, practitioners and relevant organizations</w:t>
            </w:r>
          </w:p>
          <w:p w14:paraId="558B8E02" w14:textId="77777777" w:rsidR="003077F3" w:rsidRPr="00AC7487" w:rsidRDefault="003077F3" w:rsidP="003077F3">
            <w:pPr>
              <w:suppressAutoHyphens w:val="0"/>
              <w:spacing w:before="40" w:after="120" w:line="220" w:lineRule="exact"/>
              <w:rPr>
                <w:lang w:val="en-US"/>
              </w:rPr>
            </w:pPr>
            <w:r w:rsidRPr="00AC7487">
              <w:rPr>
                <w:lang w:val="en-US"/>
              </w:rPr>
              <w:t>Awareness</w:t>
            </w:r>
            <w:r>
              <w:rPr>
                <w:lang w:val="en-US"/>
              </w:rPr>
              <w:t>-building</w:t>
            </w:r>
            <w:r w:rsidRPr="00AC7487">
              <w:rPr>
                <w:lang w:val="en-US"/>
              </w:rPr>
              <w:t xml:space="preserve"> and enhanc</w:t>
            </w:r>
            <w:r>
              <w:rPr>
                <w:lang w:val="en-US"/>
              </w:rPr>
              <w:t>ing</w:t>
            </w:r>
            <w:r w:rsidRPr="00AC7487">
              <w:rPr>
                <w:lang w:val="en-US"/>
              </w:rPr>
              <w:t xml:space="preserve"> information</w:t>
            </w:r>
            <w:r>
              <w:rPr>
                <w:lang w:val="en-US"/>
              </w:rPr>
              <w:t>-</w:t>
            </w:r>
            <w:r w:rsidRPr="00AC7487">
              <w:rPr>
                <w:lang w:val="en-US"/>
              </w:rPr>
              <w:t>sharing through the exchange and sharing of experience and best practices</w:t>
            </w:r>
          </w:p>
        </w:tc>
      </w:tr>
      <w:tr w:rsidR="003077F3" w:rsidRPr="00AC7487" w14:paraId="7223EF60" w14:textId="77777777" w:rsidTr="003077F3">
        <w:trPr>
          <w:trHeight w:val="240"/>
        </w:trPr>
        <w:tc>
          <w:tcPr>
            <w:tcW w:w="851" w:type="dxa"/>
            <w:vMerge w:val="restart"/>
            <w:tcBorders>
              <w:top w:val="single" w:sz="4" w:space="0" w:color="auto"/>
            </w:tcBorders>
            <w:shd w:val="clear" w:color="auto" w:fill="auto"/>
          </w:tcPr>
          <w:p w14:paraId="06CD9A29" w14:textId="77777777" w:rsidR="003077F3" w:rsidRPr="00AC7487" w:rsidRDefault="003077F3" w:rsidP="003077F3">
            <w:pPr>
              <w:suppressAutoHyphens w:val="0"/>
              <w:spacing w:before="40" w:after="120" w:line="220" w:lineRule="exact"/>
              <w:rPr>
                <w:lang w:val="en-US"/>
              </w:rPr>
            </w:pPr>
            <w:r w:rsidRPr="00AC7487">
              <w:rPr>
                <w:lang w:val="en-US"/>
              </w:rPr>
              <w:t>2</w:t>
            </w:r>
          </w:p>
        </w:tc>
        <w:tc>
          <w:tcPr>
            <w:tcW w:w="4678" w:type="dxa"/>
            <w:vMerge w:val="restart"/>
            <w:tcBorders>
              <w:top w:val="single" w:sz="4" w:space="0" w:color="auto"/>
            </w:tcBorders>
            <w:shd w:val="clear" w:color="auto" w:fill="auto"/>
          </w:tcPr>
          <w:p w14:paraId="189FDD41" w14:textId="77777777" w:rsidR="003077F3" w:rsidRPr="00AC7487" w:rsidRDefault="003077F3" w:rsidP="003077F3">
            <w:pPr>
              <w:suppressAutoHyphens w:val="0"/>
              <w:spacing w:before="40" w:after="120" w:line="220" w:lineRule="exact"/>
              <w:ind w:left="-5" w:right="33"/>
              <w:rPr>
                <w:lang w:val="en-US"/>
              </w:rPr>
            </w:pPr>
            <w:r w:rsidRPr="00AC7487">
              <w:rPr>
                <w:lang w:val="en-US"/>
              </w:rPr>
              <w:t>Identify country-driven strategies and best practices on just transition of the work</w:t>
            </w:r>
            <w:r>
              <w:rPr>
                <w:lang w:val="en-US"/>
              </w:rPr>
              <w:t>force</w:t>
            </w:r>
            <w:r w:rsidRPr="00AC7487">
              <w:rPr>
                <w:lang w:val="en-US"/>
              </w:rPr>
              <w:t xml:space="preserve"> and creation of decent work and quality jobs and on economic diversification </w:t>
            </w:r>
            <w:r w:rsidRPr="00AC7487">
              <w:rPr>
                <w:lang w:val="en-US"/>
              </w:rPr>
              <w:lastRenderedPageBreak/>
              <w:t>and transformation focusing on challenges and opportunities from the implementation of low greenhouse gas emission policies and strategies towards the achievement of sustainable development</w:t>
            </w:r>
          </w:p>
        </w:tc>
        <w:tc>
          <w:tcPr>
            <w:tcW w:w="2409" w:type="dxa"/>
            <w:tcBorders>
              <w:top w:val="single" w:sz="4" w:space="0" w:color="auto"/>
            </w:tcBorders>
            <w:shd w:val="clear" w:color="auto" w:fill="auto"/>
          </w:tcPr>
          <w:p w14:paraId="47F7CF98" w14:textId="77777777" w:rsidR="003077F3" w:rsidRPr="00AC7487" w:rsidRDefault="003077F3" w:rsidP="003077F3">
            <w:pPr>
              <w:suppressAutoHyphens w:val="0"/>
              <w:spacing w:before="40" w:after="120" w:line="220" w:lineRule="exact"/>
              <w:rPr>
                <w:lang w:val="en-US"/>
              </w:rPr>
            </w:pPr>
            <w:r w:rsidRPr="00AC7487">
              <w:rPr>
                <w:lang w:val="en-US"/>
              </w:rPr>
              <w:lastRenderedPageBreak/>
              <w:t xml:space="preserve">SB 54 </w:t>
            </w:r>
            <w:r>
              <w:rPr>
                <w:lang w:val="en-US"/>
              </w:rPr>
              <w:t xml:space="preserve">(May–June 2021) </w:t>
            </w:r>
            <w:r w:rsidRPr="00AC7487">
              <w:rPr>
                <w:lang w:val="en-US"/>
              </w:rPr>
              <w:t xml:space="preserve">and </w:t>
            </w:r>
            <w:r>
              <w:rPr>
                <w:lang w:val="en-US"/>
              </w:rPr>
              <w:t xml:space="preserve">SB </w:t>
            </w:r>
            <w:r w:rsidRPr="00AC7487">
              <w:rPr>
                <w:lang w:val="en-US"/>
              </w:rPr>
              <w:t>58</w:t>
            </w:r>
          </w:p>
        </w:tc>
        <w:tc>
          <w:tcPr>
            <w:tcW w:w="993" w:type="dxa"/>
            <w:tcBorders>
              <w:top w:val="single" w:sz="4" w:space="0" w:color="auto"/>
              <w:bottom w:val="single" w:sz="4" w:space="0" w:color="auto"/>
            </w:tcBorders>
            <w:shd w:val="clear" w:color="auto" w:fill="auto"/>
          </w:tcPr>
          <w:p w14:paraId="08E3D0EA" w14:textId="77777777" w:rsidR="003077F3" w:rsidRPr="00AC7487" w:rsidRDefault="003077F3" w:rsidP="003077F3">
            <w:pPr>
              <w:suppressAutoHyphens w:val="0"/>
              <w:spacing w:before="40" w:after="120" w:line="220" w:lineRule="exact"/>
              <w:rPr>
                <w:lang w:val="en-US"/>
              </w:rPr>
            </w:pPr>
            <w:r w:rsidRPr="00AC7487">
              <w:rPr>
                <w:lang w:val="en-US"/>
              </w:rPr>
              <w:t>KCI</w:t>
            </w:r>
          </w:p>
        </w:tc>
        <w:tc>
          <w:tcPr>
            <w:tcW w:w="4961" w:type="dxa"/>
            <w:tcBorders>
              <w:top w:val="single" w:sz="4" w:space="0" w:color="auto"/>
              <w:bottom w:val="single" w:sz="4" w:space="0" w:color="auto"/>
            </w:tcBorders>
            <w:shd w:val="clear" w:color="auto" w:fill="auto"/>
          </w:tcPr>
          <w:p w14:paraId="26D25A8E" w14:textId="77777777" w:rsidR="003077F3" w:rsidRPr="00AC7487" w:rsidRDefault="003077F3" w:rsidP="003077F3">
            <w:pPr>
              <w:suppressAutoHyphens w:val="0"/>
              <w:spacing w:before="40" w:after="120" w:line="220" w:lineRule="exact"/>
              <w:rPr>
                <w:lang w:val="en-US"/>
              </w:rPr>
            </w:pPr>
            <w:r w:rsidRPr="00AC7487">
              <w:rPr>
                <w:lang w:val="en-US"/>
              </w:rPr>
              <w:t>Input from experts, practitioners and relevant organizations</w:t>
            </w:r>
          </w:p>
          <w:p w14:paraId="6EE8C03E" w14:textId="77777777" w:rsidR="003077F3" w:rsidRPr="00AC7487" w:rsidRDefault="003077F3" w:rsidP="003077F3">
            <w:pPr>
              <w:suppressAutoHyphens w:val="0"/>
              <w:spacing w:before="40" w:after="120" w:line="220" w:lineRule="exact"/>
              <w:rPr>
                <w:lang w:val="en-US"/>
              </w:rPr>
            </w:pPr>
            <w:r w:rsidRPr="00AC7487">
              <w:rPr>
                <w:lang w:val="en-US"/>
              </w:rPr>
              <w:t>Concrete examples</w:t>
            </w:r>
          </w:p>
        </w:tc>
      </w:tr>
      <w:tr w:rsidR="003077F3" w:rsidRPr="00AC7487" w14:paraId="2B4C951D" w14:textId="77777777" w:rsidTr="003077F3">
        <w:trPr>
          <w:trHeight w:val="240"/>
        </w:trPr>
        <w:tc>
          <w:tcPr>
            <w:tcW w:w="851" w:type="dxa"/>
            <w:vMerge/>
            <w:tcBorders>
              <w:top w:val="nil"/>
              <w:bottom w:val="single" w:sz="4" w:space="0" w:color="auto"/>
            </w:tcBorders>
            <w:shd w:val="clear" w:color="auto" w:fill="auto"/>
          </w:tcPr>
          <w:p w14:paraId="67A32298" w14:textId="77777777" w:rsidR="003077F3" w:rsidRPr="00AC7487" w:rsidRDefault="003077F3" w:rsidP="003077F3">
            <w:pPr>
              <w:suppressAutoHyphens w:val="0"/>
              <w:spacing w:before="40" w:after="120" w:line="220" w:lineRule="exact"/>
              <w:rPr>
                <w:lang w:val="en-US"/>
              </w:rPr>
            </w:pPr>
          </w:p>
        </w:tc>
        <w:tc>
          <w:tcPr>
            <w:tcW w:w="4678" w:type="dxa"/>
            <w:vMerge/>
            <w:tcBorders>
              <w:top w:val="nil"/>
              <w:bottom w:val="single" w:sz="4" w:space="0" w:color="auto"/>
            </w:tcBorders>
            <w:shd w:val="clear" w:color="auto" w:fill="auto"/>
          </w:tcPr>
          <w:p w14:paraId="787310A2" w14:textId="77777777" w:rsidR="003077F3" w:rsidRPr="00AC7487" w:rsidRDefault="003077F3" w:rsidP="003077F3">
            <w:pPr>
              <w:suppressAutoHyphens w:val="0"/>
              <w:spacing w:before="40" w:after="120" w:line="220" w:lineRule="exact"/>
              <w:ind w:left="-5" w:right="33"/>
              <w:rPr>
                <w:lang w:val="en-US"/>
              </w:rPr>
            </w:pPr>
          </w:p>
        </w:tc>
        <w:tc>
          <w:tcPr>
            <w:tcW w:w="2409" w:type="dxa"/>
            <w:tcBorders>
              <w:top w:val="nil"/>
              <w:bottom w:val="single" w:sz="4" w:space="0" w:color="auto"/>
            </w:tcBorders>
            <w:shd w:val="clear" w:color="auto" w:fill="auto"/>
          </w:tcPr>
          <w:p w14:paraId="71521ADF" w14:textId="77777777" w:rsidR="003077F3" w:rsidRPr="00AC7487" w:rsidRDefault="003077F3" w:rsidP="003077F3">
            <w:pPr>
              <w:suppressAutoHyphens w:val="0"/>
              <w:spacing w:before="40" w:after="120" w:line="220" w:lineRule="exact"/>
              <w:rPr>
                <w:lang w:val="en-US"/>
              </w:rPr>
            </w:pPr>
            <w:r w:rsidRPr="00AC7487">
              <w:rPr>
                <w:lang w:val="en-US"/>
              </w:rPr>
              <w:t>SB 58</w:t>
            </w:r>
          </w:p>
        </w:tc>
        <w:tc>
          <w:tcPr>
            <w:tcW w:w="993" w:type="dxa"/>
            <w:tcBorders>
              <w:top w:val="single" w:sz="4" w:space="0" w:color="auto"/>
              <w:bottom w:val="single" w:sz="4" w:space="0" w:color="auto"/>
            </w:tcBorders>
            <w:shd w:val="clear" w:color="auto" w:fill="auto"/>
          </w:tcPr>
          <w:p w14:paraId="75DDDF4F" w14:textId="77777777" w:rsidR="003077F3" w:rsidRPr="00AC7487" w:rsidRDefault="003077F3" w:rsidP="003077F3">
            <w:pPr>
              <w:suppressAutoHyphens w:val="0"/>
              <w:spacing w:before="40" w:after="120" w:line="220" w:lineRule="exact"/>
              <w:rPr>
                <w:lang w:val="en-US"/>
              </w:rPr>
            </w:pPr>
            <w:r w:rsidRPr="00AC7487">
              <w:rPr>
                <w:lang w:val="en-US"/>
              </w:rPr>
              <w:t>Forum</w:t>
            </w:r>
          </w:p>
        </w:tc>
        <w:tc>
          <w:tcPr>
            <w:tcW w:w="4961" w:type="dxa"/>
            <w:tcBorders>
              <w:top w:val="single" w:sz="4" w:space="0" w:color="auto"/>
              <w:bottom w:val="single" w:sz="4" w:space="0" w:color="auto"/>
            </w:tcBorders>
            <w:shd w:val="clear" w:color="auto" w:fill="auto"/>
          </w:tcPr>
          <w:p w14:paraId="5BCCD51B" w14:textId="77777777" w:rsidR="003077F3" w:rsidRPr="00AC7487" w:rsidRDefault="003077F3" w:rsidP="003077F3">
            <w:pPr>
              <w:suppressAutoHyphens w:val="0"/>
              <w:spacing w:before="40" w:after="120" w:line="220" w:lineRule="exact"/>
              <w:rPr>
                <w:lang w:val="en-US"/>
              </w:rPr>
            </w:pPr>
            <w:r w:rsidRPr="00AC7487">
              <w:rPr>
                <w:lang w:val="en-US"/>
              </w:rPr>
              <w:t>Awareness</w:t>
            </w:r>
            <w:r>
              <w:rPr>
                <w:lang w:val="en-US"/>
              </w:rPr>
              <w:t>-building</w:t>
            </w:r>
            <w:r w:rsidRPr="00AC7487">
              <w:rPr>
                <w:lang w:val="en-US"/>
              </w:rPr>
              <w:t xml:space="preserve"> and enhancing information</w:t>
            </w:r>
            <w:r>
              <w:rPr>
                <w:lang w:val="en-US"/>
              </w:rPr>
              <w:t>-</w:t>
            </w:r>
            <w:r w:rsidRPr="00AC7487">
              <w:rPr>
                <w:lang w:val="en-US"/>
              </w:rPr>
              <w:t>sharing through the exchange and sharing of experience and best practices</w:t>
            </w:r>
          </w:p>
          <w:p w14:paraId="5C184CF1" w14:textId="77777777" w:rsidR="003077F3" w:rsidRPr="00AC7487" w:rsidRDefault="003077F3" w:rsidP="003077F3">
            <w:pPr>
              <w:suppressAutoHyphens w:val="0"/>
              <w:spacing w:before="40" w:after="120" w:line="220" w:lineRule="exact"/>
              <w:rPr>
                <w:lang w:val="en-US"/>
              </w:rPr>
            </w:pPr>
            <w:r w:rsidRPr="00AC7487">
              <w:rPr>
                <w:lang w:val="en-US"/>
              </w:rPr>
              <w:t>In-session workshop</w:t>
            </w:r>
          </w:p>
        </w:tc>
      </w:tr>
      <w:tr w:rsidR="003077F3" w:rsidRPr="00AC7487" w14:paraId="59A97D9F" w14:textId="77777777" w:rsidTr="003077F3">
        <w:trPr>
          <w:trHeight w:val="240"/>
        </w:trPr>
        <w:tc>
          <w:tcPr>
            <w:tcW w:w="851" w:type="dxa"/>
            <w:vMerge w:val="restart"/>
            <w:tcBorders>
              <w:top w:val="single" w:sz="4" w:space="0" w:color="auto"/>
            </w:tcBorders>
            <w:shd w:val="clear" w:color="auto" w:fill="auto"/>
          </w:tcPr>
          <w:p w14:paraId="34015207" w14:textId="77777777" w:rsidR="003077F3" w:rsidRPr="00AC7487" w:rsidRDefault="003077F3" w:rsidP="003077F3">
            <w:pPr>
              <w:suppressAutoHyphens w:val="0"/>
              <w:spacing w:before="40" w:after="120" w:line="220" w:lineRule="exact"/>
              <w:rPr>
                <w:lang w:val="en-US"/>
              </w:rPr>
            </w:pPr>
            <w:r w:rsidRPr="00AC7487">
              <w:rPr>
                <w:lang w:val="en-US"/>
              </w:rPr>
              <w:t>3</w:t>
            </w:r>
          </w:p>
        </w:tc>
        <w:tc>
          <w:tcPr>
            <w:tcW w:w="4678" w:type="dxa"/>
            <w:vMerge w:val="restart"/>
            <w:tcBorders>
              <w:top w:val="single" w:sz="4" w:space="0" w:color="auto"/>
            </w:tcBorders>
            <w:shd w:val="clear" w:color="auto" w:fill="auto"/>
          </w:tcPr>
          <w:p w14:paraId="31B49DE0" w14:textId="77777777" w:rsidR="003077F3" w:rsidRPr="00AC7487" w:rsidRDefault="003077F3" w:rsidP="003077F3">
            <w:pPr>
              <w:suppressAutoHyphens w:val="0"/>
              <w:spacing w:before="40" w:after="120" w:line="220" w:lineRule="exact"/>
              <w:ind w:left="-5" w:right="33"/>
              <w:rPr>
                <w:lang w:val="en-US"/>
              </w:rPr>
            </w:pPr>
            <w:r w:rsidRPr="00AC7487">
              <w:rPr>
                <w:lang w:val="en-US"/>
              </w:rPr>
              <w:t>Facilitate the development, enhancement, customization and use of tools and methodologies for modelling and assessing the impacts of the implementation of response measures</w:t>
            </w:r>
            <w:r>
              <w:rPr>
                <w:lang w:val="en-US"/>
              </w:rPr>
              <w:t>,</w:t>
            </w:r>
            <w:r w:rsidRPr="00AC7487">
              <w:rPr>
                <w:lang w:val="en-US"/>
              </w:rPr>
              <w:t xml:space="preserve"> including identifying and reviewing existing tools and approaches in data</w:t>
            </w:r>
            <w:r>
              <w:rPr>
                <w:lang w:val="en-US"/>
              </w:rPr>
              <w:t>-</w:t>
            </w:r>
            <w:r w:rsidRPr="00AC7487">
              <w:rPr>
                <w:lang w:val="en-US"/>
              </w:rPr>
              <w:t>poor environments, in consultation with technical experts, practitioners and other relevant stakeholders</w:t>
            </w:r>
          </w:p>
        </w:tc>
        <w:tc>
          <w:tcPr>
            <w:tcW w:w="2409" w:type="dxa"/>
            <w:vMerge w:val="restart"/>
            <w:tcBorders>
              <w:top w:val="single" w:sz="4" w:space="0" w:color="auto"/>
            </w:tcBorders>
            <w:shd w:val="clear" w:color="auto" w:fill="auto"/>
          </w:tcPr>
          <w:p w14:paraId="79197137" w14:textId="77777777" w:rsidR="003077F3" w:rsidRPr="00AC7487" w:rsidRDefault="003077F3" w:rsidP="003077F3">
            <w:pPr>
              <w:suppressAutoHyphens w:val="0"/>
              <w:spacing w:before="40" w:after="120" w:line="220" w:lineRule="exact"/>
              <w:rPr>
                <w:lang w:val="en-US"/>
              </w:rPr>
            </w:pPr>
            <w:r w:rsidRPr="00AC7487">
              <w:rPr>
                <w:lang w:val="en-US"/>
              </w:rPr>
              <w:t xml:space="preserve">SB 53 and onward, as decided by the </w:t>
            </w:r>
            <w:r>
              <w:rPr>
                <w:lang w:val="en-US"/>
              </w:rPr>
              <w:t>f</w:t>
            </w:r>
            <w:r w:rsidRPr="00AC7487">
              <w:rPr>
                <w:lang w:val="en-US"/>
              </w:rPr>
              <w:t>orum/KCI</w:t>
            </w:r>
          </w:p>
        </w:tc>
        <w:tc>
          <w:tcPr>
            <w:tcW w:w="993" w:type="dxa"/>
            <w:tcBorders>
              <w:top w:val="single" w:sz="4" w:space="0" w:color="auto"/>
              <w:bottom w:val="single" w:sz="4" w:space="0" w:color="auto"/>
            </w:tcBorders>
            <w:shd w:val="clear" w:color="auto" w:fill="auto"/>
          </w:tcPr>
          <w:p w14:paraId="601938D3" w14:textId="77777777" w:rsidR="003077F3" w:rsidRPr="00AC7487" w:rsidRDefault="003077F3" w:rsidP="003077F3">
            <w:pPr>
              <w:suppressAutoHyphens w:val="0"/>
              <w:spacing w:before="40" w:after="120" w:line="220" w:lineRule="exact"/>
              <w:rPr>
                <w:lang w:val="en-US"/>
              </w:rPr>
            </w:pPr>
            <w:r w:rsidRPr="00AC7487">
              <w:rPr>
                <w:lang w:val="en-US"/>
              </w:rPr>
              <w:t>KCI</w:t>
            </w:r>
          </w:p>
        </w:tc>
        <w:tc>
          <w:tcPr>
            <w:tcW w:w="4961" w:type="dxa"/>
            <w:tcBorders>
              <w:top w:val="single" w:sz="4" w:space="0" w:color="auto"/>
              <w:bottom w:val="single" w:sz="4" w:space="0" w:color="auto"/>
            </w:tcBorders>
            <w:shd w:val="clear" w:color="auto" w:fill="auto"/>
          </w:tcPr>
          <w:p w14:paraId="42A5DB95" w14:textId="77777777" w:rsidR="003077F3" w:rsidRPr="00AC7487" w:rsidRDefault="003077F3" w:rsidP="003077F3">
            <w:pPr>
              <w:suppressAutoHyphens w:val="0"/>
              <w:spacing w:before="40" w:after="120" w:line="220" w:lineRule="exact"/>
              <w:rPr>
                <w:lang w:val="en-US"/>
              </w:rPr>
            </w:pPr>
            <w:r w:rsidRPr="00AC7487">
              <w:rPr>
                <w:lang w:val="en-US"/>
              </w:rPr>
              <w:t>Input from experts, practitioners and relevant organizations</w:t>
            </w:r>
          </w:p>
          <w:p w14:paraId="6FE5B04D" w14:textId="77777777" w:rsidR="003077F3" w:rsidRPr="00AC7487" w:rsidRDefault="003077F3" w:rsidP="003077F3">
            <w:pPr>
              <w:suppressAutoHyphens w:val="0"/>
              <w:spacing w:before="40" w:after="120" w:line="220" w:lineRule="exact"/>
              <w:rPr>
                <w:lang w:val="en-US"/>
              </w:rPr>
            </w:pPr>
            <w:r w:rsidRPr="00AC7487">
              <w:rPr>
                <w:lang w:val="en-US"/>
              </w:rPr>
              <w:t>Technical paper</w:t>
            </w:r>
          </w:p>
        </w:tc>
      </w:tr>
      <w:tr w:rsidR="003077F3" w:rsidRPr="00AC7487" w14:paraId="691C8A59" w14:textId="77777777" w:rsidTr="003077F3">
        <w:trPr>
          <w:trHeight w:val="240"/>
        </w:trPr>
        <w:tc>
          <w:tcPr>
            <w:tcW w:w="851" w:type="dxa"/>
            <w:vMerge/>
            <w:tcBorders>
              <w:bottom w:val="single" w:sz="4" w:space="0" w:color="auto"/>
            </w:tcBorders>
            <w:shd w:val="clear" w:color="auto" w:fill="auto"/>
          </w:tcPr>
          <w:p w14:paraId="56451C25" w14:textId="77777777" w:rsidR="003077F3" w:rsidRPr="00AC7487" w:rsidRDefault="003077F3" w:rsidP="003077F3">
            <w:pPr>
              <w:suppressAutoHyphens w:val="0"/>
              <w:spacing w:before="40" w:after="120" w:line="220" w:lineRule="exact"/>
              <w:rPr>
                <w:lang w:val="en-US"/>
              </w:rPr>
            </w:pPr>
          </w:p>
        </w:tc>
        <w:tc>
          <w:tcPr>
            <w:tcW w:w="4678" w:type="dxa"/>
            <w:vMerge/>
            <w:tcBorders>
              <w:bottom w:val="single" w:sz="4" w:space="0" w:color="auto"/>
            </w:tcBorders>
            <w:shd w:val="clear" w:color="auto" w:fill="auto"/>
          </w:tcPr>
          <w:p w14:paraId="34559A0C" w14:textId="77777777" w:rsidR="003077F3" w:rsidRPr="00AC7487" w:rsidRDefault="003077F3" w:rsidP="003077F3">
            <w:pPr>
              <w:suppressAutoHyphens w:val="0"/>
              <w:spacing w:before="40" w:after="120" w:line="220" w:lineRule="exact"/>
              <w:ind w:left="-5" w:right="33"/>
              <w:rPr>
                <w:lang w:val="en-US"/>
              </w:rPr>
            </w:pPr>
          </w:p>
        </w:tc>
        <w:tc>
          <w:tcPr>
            <w:tcW w:w="2409" w:type="dxa"/>
            <w:vMerge/>
            <w:tcBorders>
              <w:bottom w:val="single" w:sz="4" w:space="0" w:color="auto"/>
            </w:tcBorders>
            <w:shd w:val="clear" w:color="auto" w:fill="auto"/>
          </w:tcPr>
          <w:p w14:paraId="530399B2" w14:textId="77777777" w:rsidR="003077F3" w:rsidRPr="00AC7487" w:rsidRDefault="003077F3" w:rsidP="003077F3">
            <w:pPr>
              <w:suppressAutoHyphens w:val="0"/>
              <w:spacing w:before="40" w:after="120" w:line="220" w:lineRule="exact"/>
              <w:rPr>
                <w:lang w:val="en-US"/>
              </w:rPr>
            </w:pPr>
          </w:p>
        </w:tc>
        <w:tc>
          <w:tcPr>
            <w:tcW w:w="993" w:type="dxa"/>
            <w:tcBorders>
              <w:top w:val="single" w:sz="4" w:space="0" w:color="auto"/>
              <w:bottom w:val="single" w:sz="4" w:space="0" w:color="auto"/>
            </w:tcBorders>
            <w:shd w:val="clear" w:color="auto" w:fill="auto"/>
          </w:tcPr>
          <w:p w14:paraId="4C2C2B9D" w14:textId="77777777" w:rsidR="003077F3" w:rsidRPr="00AC7487" w:rsidRDefault="003077F3" w:rsidP="003077F3">
            <w:pPr>
              <w:suppressAutoHyphens w:val="0"/>
              <w:spacing w:before="40" w:after="120" w:line="220" w:lineRule="exact"/>
              <w:rPr>
                <w:lang w:val="en-US"/>
              </w:rPr>
            </w:pPr>
            <w:r w:rsidRPr="00AC7487">
              <w:rPr>
                <w:lang w:val="en-US"/>
              </w:rPr>
              <w:t>Forum</w:t>
            </w:r>
          </w:p>
        </w:tc>
        <w:tc>
          <w:tcPr>
            <w:tcW w:w="4961" w:type="dxa"/>
            <w:tcBorders>
              <w:top w:val="single" w:sz="4" w:space="0" w:color="auto"/>
              <w:bottom w:val="single" w:sz="4" w:space="0" w:color="auto"/>
            </w:tcBorders>
            <w:shd w:val="clear" w:color="auto" w:fill="auto"/>
          </w:tcPr>
          <w:p w14:paraId="5591F9BB" w14:textId="77777777" w:rsidR="003077F3" w:rsidRPr="00AC7487" w:rsidRDefault="003077F3" w:rsidP="003077F3">
            <w:pPr>
              <w:suppressAutoHyphens w:val="0"/>
              <w:spacing w:before="40" w:after="120" w:line="220" w:lineRule="exact"/>
              <w:rPr>
                <w:lang w:val="en-US"/>
              </w:rPr>
            </w:pPr>
            <w:r w:rsidRPr="00AC7487">
              <w:rPr>
                <w:lang w:val="en-US"/>
              </w:rPr>
              <w:t>Input from experts, practitioners and relevant organizations</w:t>
            </w:r>
          </w:p>
          <w:p w14:paraId="5C2650A6" w14:textId="77777777" w:rsidR="003077F3" w:rsidRPr="00AC7487" w:rsidRDefault="003077F3" w:rsidP="003077F3">
            <w:pPr>
              <w:suppressAutoHyphens w:val="0"/>
              <w:spacing w:before="40" w:after="120" w:line="220" w:lineRule="exact"/>
              <w:rPr>
                <w:lang w:val="en-US"/>
              </w:rPr>
            </w:pPr>
            <w:r w:rsidRPr="00AC7487">
              <w:rPr>
                <w:lang w:val="en-US"/>
              </w:rPr>
              <w:t>Awareness</w:t>
            </w:r>
            <w:r>
              <w:rPr>
                <w:lang w:val="en-US"/>
              </w:rPr>
              <w:t>-building</w:t>
            </w:r>
            <w:r w:rsidRPr="00AC7487">
              <w:rPr>
                <w:lang w:val="en-US"/>
              </w:rPr>
              <w:t xml:space="preserve"> and enhancing information</w:t>
            </w:r>
            <w:r>
              <w:rPr>
                <w:lang w:val="en-US"/>
              </w:rPr>
              <w:t>-</w:t>
            </w:r>
            <w:r w:rsidRPr="00AC7487">
              <w:rPr>
                <w:lang w:val="en-US"/>
              </w:rPr>
              <w:t>sharing through the exchange and sharing of experience and best practices</w:t>
            </w:r>
          </w:p>
          <w:p w14:paraId="44F0E8B7" w14:textId="77777777" w:rsidR="003077F3" w:rsidRPr="00AC7487" w:rsidRDefault="003077F3" w:rsidP="003077F3">
            <w:pPr>
              <w:suppressAutoHyphens w:val="0"/>
              <w:spacing w:before="40" w:after="120" w:line="220" w:lineRule="exact"/>
              <w:rPr>
                <w:lang w:val="en-US"/>
              </w:rPr>
            </w:pPr>
            <w:r w:rsidRPr="00AC7487">
              <w:rPr>
                <w:lang w:val="en-US"/>
              </w:rPr>
              <w:t>Organizing a regional workshop</w:t>
            </w:r>
          </w:p>
        </w:tc>
      </w:tr>
      <w:tr w:rsidR="003077F3" w:rsidRPr="00AC7487" w14:paraId="09F45B36" w14:textId="77777777" w:rsidTr="003077F3">
        <w:trPr>
          <w:trHeight w:val="240"/>
        </w:trPr>
        <w:tc>
          <w:tcPr>
            <w:tcW w:w="851" w:type="dxa"/>
            <w:vMerge w:val="restart"/>
            <w:tcBorders>
              <w:top w:val="single" w:sz="4" w:space="0" w:color="auto"/>
            </w:tcBorders>
            <w:shd w:val="clear" w:color="auto" w:fill="auto"/>
          </w:tcPr>
          <w:p w14:paraId="06F45852" w14:textId="77777777" w:rsidR="003077F3" w:rsidRPr="00AC7487" w:rsidRDefault="003077F3" w:rsidP="003077F3">
            <w:pPr>
              <w:suppressAutoHyphens w:val="0"/>
              <w:spacing w:before="40" w:after="120" w:line="220" w:lineRule="exact"/>
              <w:rPr>
                <w:lang w:val="en-US"/>
              </w:rPr>
            </w:pPr>
            <w:r w:rsidRPr="00AC7487">
              <w:rPr>
                <w:lang w:val="en-US"/>
              </w:rPr>
              <w:t>4</w:t>
            </w:r>
          </w:p>
        </w:tc>
        <w:tc>
          <w:tcPr>
            <w:tcW w:w="4678" w:type="dxa"/>
            <w:vMerge w:val="restart"/>
            <w:tcBorders>
              <w:top w:val="single" w:sz="4" w:space="0" w:color="auto"/>
            </w:tcBorders>
            <w:shd w:val="clear" w:color="auto" w:fill="auto"/>
          </w:tcPr>
          <w:p w14:paraId="66ECE90D" w14:textId="77777777" w:rsidR="003077F3" w:rsidRPr="00AC7487" w:rsidRDefault="003077F3" w:rsidP="003077F3">
            <w:pPr>
              <w:suppressAutoHyphens w:val="0"/>
              <w:spacing w:before="40" w:after="120" w:line="220" w:lineRule="exact"/>
              <w:ind w:left="-5" w:right="33"/>
              <w:rPr>
                <w:lang w:val="en-US"/>
              </w:rPr>
            </w:pPr>
            <w:r w:rsidRPr="00AC7487">
              <w:rPr>
                <w:lang w:val="en-US"/>
              </w:rPr>
              <w:t xml:space="preserve">Enhance </w:t>
            </w:r>
            <w:r>
              <w:rPr>
                <w:lang w:val="en-US"/>
              </w:rPr>
              <w:t xml:space="preserve">the </w:t>
            </w:r>
            <w:r w:rsidRPr="00AC7487">
              <w:rPr>
                <w:lang w:val="en-US"/>
              </w:rPr>
              <w:t xml:space="preserve">capacity and understanding of Parties, through collaboration and input from stakeholders, on the assessment and analysis of the impacts of </w:t>
            </w:r>
            <w:r>
              <w:rPr>
                <w:lang w:val="en-US"/>
              </w:rPr>
              <w:t xml:space="preserve">the </w:t>
            </w:r>
            <w:r w:rsidRPr="00AC7487">
              <w:rPr>
                <w:lang w:val="en-US"/>
              </w:rPr>
              <w:t>implementation of response measures to facilitate the undertaking of economic diversification and transformation and just transition</w:t>
            </w:r>
          </w:p>
        </w:tc>
        <w:tc>
          <w:tcPr>
            <w:tcW w:w="2409" w:type="dxa"/>
            <w:vMerge w:val="restart"/>
            <w:tcBorders>
              <w:top w:val="single" w:sz="4" w:space="0" w:color="auto"/>
            </w:tcBorders>
            <w:shd w:val="clear" w:color="auto" w:fill="auto"/>
          </w:tcPr>
          <w:p w14:paraId="29B57875" w14:textId="77777777" w:rsidR="003077F3" w:rsidRPr="00AC7487" w:rsidRDefault="003077F3" w:rsidP="003077F3">
            <w:pPr>
              <w:suppressAutoHyphens w:val="0"/>
              <w:spacing w:before="40" w:after="120" w:line="220" w:lineRule="exact"/>
              <w:rPr>
                <w:lang w:val="en-US"/>
              </w:rPr>
            </w:pPr>
            <w:r w:rsidRPr="00AC7487">
              <w:rPr>
                <w:lang w:val="en-US"/>
              </w:rPr>
              <w:t xml:space="preserve">SB 52 and </w:t>
            </w:r>
            <w:r>
              <w:rPr>
                <w:lang w:val="en-US"/>
              </w:rPr>
              <w:t xml:space="preserve">SB </w:t>
            </w:r>
            <w:r w:rsidRPr="00AC7487">
              <w:rPr>
                <w:lang w:val="en-US"/>
              </w:rPr>
              <w:t>63</w:t>
            </w:r>
          </w:p>
        </w:tc>
        <w:tc>
          <w:tcPr>
            <w:tcW w:w="993" w:type="dxa"/>
            <w:tcBorders>
              <w:top w:val="single" w:sz="4" w:space="0" w:color="auto"/>
              <w:bottom w:val="single" w:sz="4" w:space="0" w:color="auto"/>
            </w:tcBorders>
            <w:shd w:val="clear" w:color="auto" w:fill="auto"/>
          </w:tcPr>
          <w:p w14:paraId="31DAE716" w14:textId="77777777" w:rsidR="003077F3" w:rsidRPr="00AC7487" w:rsidRDefault="003077F3" w:rsidP="003077F3">
            <w:pPr>
              <w:suppressAutoHyphens w:val="0"/>
              <w:spacing w:before="40" w:after="120" w:line="220" w:lineRule="exact"/>
              <w:rPr>
                <w:lang w:val="en-US"/>
              </w:rPr>
            </w:pPr>
            <w:r w:rsidRPr="00AC7487">
              <w:rPr>
                <w:lang w:val="en-US"/>
              </w:rPr>
              <w:t>KCI</w:t>
            </w:r>
          </w:p>
        </w:tc>
        <w:tc>
          <w:tcPr>
            <w:tcW w:w="4961" w:type="dxa"/>
            <w:tcBorders>
              <w:top w:val="single" w:sz="4" w:space="0" w:color="auto"/>
              <w:bottom w:val="single" w:sz="4" w:space="0" w:color="auto"/>
            </w:tcBorders>
            <w:shd w:val="clear" w:color="auto" w:fill="auto"/>
          </w:tcPr>
          <w:p w14:paraId="35E014E1" w14:textId="77777777" w:rsidR="003077F3" w:rsidRPr="00AC7487" w:rsidRDefault="003077F3" w:rsidP="003077F3">
            <w:pPr>
              <w:suppressAutoHyphens w:val="0"/>
              <w:spacing w:before="40" w:after="120" w:line="220" w:lineRule="exact"/>
              <w:rPr>
                <w:lang w:val="en-US"/>
              </w:rPr>
            </w:pPr>
            <w:r w:rsidRPr="00AC7487">
              <w:rPr>
                <w:lang w:val="en-US"/>
              </w:rPr>
              <w:t>Input from experts, practitioners and relevant organizations</w:t>
            </w:r>
          </w:p>
          <w:p w14:paraId="708DC611" w14:textId="77777777" w:rsidR="003077F3" w:rsidRPr="00AC7487" w:rsidRDefault="003077F3" w:rsidP="003077F3">
            <w:pPr>
              <w:suppressAutoHyphens w:val="0"/>
              <w:spacing w:before="40" w:after="120" w:line="220" w:lineRule="exact"/>
              <w:rPr>
                <w:lang w:val="en-US"/>
              </w:rPr>
            </w:pPr>
            <w:r w:rsidRPr="00AC7487">
              <w:rPr>
                <w:lang w:val="en-US"/>
              </w:rPr>
              <w:t>Technical paper</w:t>
            </w:r>
          </w:p>
        </w:tc>
      </w:tr>
      <w:tr w:rsidR="003077F3" w:rsidRPr="00AC7487" w14:paraId="6522751D" w14:textId="77777777" w:rsidTr="003077F3">
        <w:trPr>
          <w:trHeight w:val="240"/>
        </w:trPr>
        <w:tc>
          <w:tcPr>
            <w:tcW w:w="851" w:type="dxa"/>
            <w:vMerge/>
            <w:tcBorders>
              <w:bottom w:val="single" w:sz="4" w:space="0" w:color="auto"/>
            </w:tcBorders>
            <w:shd w:val="clear" w:color="auto" w:fill="auto"/>
          </w:tcPr>
          <w:p w14:paraId="7E5BE2C8" w14:textId="77777777" w:rsidR="003077F3" w:rsidRPr="00AC7487" w:rsidRDefault="003077F3" w:rsidP="003077F3">
            <w:pPr>
              <w:suppressAutoHyphens w:val="0"/>
              <w:spacing w:before="40" w:after="120" w:line="220" w:lineRule="exact"/>
              <w:rPr>
                <w:lang w:val="en-US"/>
              </w:rPr>
            </w:pPr>
          </w:p>
        </w:tc>
        <w:tc>
          <w:tcPr>
            <w:tcW w:w="4678" w:type="dxa"/>
            <w:vMerge/>
            <w:tcBorders>
              <w:top w:val="nil"/>
              <w:bottom w:val="single" w:sz="4" w:space="0" w:color="auto"/>
            </w:tcBorders>
            <w:shd w:val="clear" w:color="auto" w:fill="auto"/>
          </w:tcPr>
          <w:p w14:paraId="26180D64" w14:textId="77777777" w:rsidR="003077F3" w:rsidRPr="00AC7487" w:rsidRDefault="003077F3" w:rsidP="003077F3">
            <w:pPr>
              <w:suppressAutoHyphens w:val="0"/>
              <w:spacing w:before="40" w:after="120" w:line="220" w:lineRule="exact"/>
              <w:ind w:left="-5" w:right="33"/>
              <w:rPr>
                <w:lang w:val="en-US"/>
              </w:rPr>
            </w:pPr>
          </w:p>
        </w:tc>
        <w:tc>
          <w:tcPr>
            <w:tcW w:w="2409" w:type="dxa"/>
            <w:vMerge/>
            <w:tcBorders>
              <w:top w:val="nil"/>
              <w:bottom w:val="single" w:sz="4" w:space="0" w:color="auto"/>
            </w:tcBorders>
            <w:shd w:val="clear" w:color="auto" w:fill="auto"/>
          </w:tcPr>
          <w:p w14:paraId="03C67D30" w14:textId="77777777" w:rsidR="003077F3" w:rsidRPr="00AC7487" w:rsidRDefault="003077F3" w:rsidP="003077F3">
            <w:pPr>
              <w:suppressAutoHyphens w:val="0"/>
              <w:spacing w:before="40" w:after="120" w:line="220" w:lineRule="exact"/>
              <w:rPr>
                <w:lang w:val="en-US"/>
              </w:rPr>
            </w:pPr>
          </w:p>
        </w:tc>
        <w:tc>
          <w:tcPr>
            <w:tcW w:w="993" w:type="dxa"/>
            <w:tcBorders>
              <w:top w:val="single" w:sz="4" w:space="0" w:color="auto"/>
              <w:bottom w:val="single" w:sz="4" w:space="0" w:color="auto"/>
            </w:tcBorders>
            <w:shd w:val="clear" w:color="auto" w:fill="auto"/>
          </w:tcPr>
          <w:p w14:paraId="70BD5554" w14:textId="77777777" w:rsidR="003077F3" w:rsidRPr="00AC7487" w:rsidRDefault="003077F3" w:rsidP="003077F3">
            <w:pPr>
              <w:suppressAutoHyphens w:val="0"/>
              <w:spacing w:before="40" w:after="120" w:line="220" w:lineRule="exact"/>
              <w:rPr>
                <w:lang w:val="en-US"/>
              </w:rPr>
            </w:pPr>
            <w:r w:rsidRPr="00AC7487">
              <w:rPr>
                <w:lang w:val="en-US"/>
              </w:rPr>
              <w:t>Forum</w:t>
            </w:r>
          </w:p>
        </w:tc>
        <w:tc>
          <w:tcPr>
            <w:tcW w:w="4961" w:type="dxa"/>
            <w:tcBorders>
              <w:top w:val="single" w:sz="4" w:space="0" w:color="auto"/>
              <w:bottom w:val="single" w:sz="4" w:space="0" w:color="auto"/>
            </w:tcBorders>
            <w:shd w:val="clear" w:color="auto" w:fill="auto"/>
          </w:tcPr>
          <w:p w14:paraId="2A7F6EE1" w14:textId="77777777" w:rsidR="003077F3" w:rsidRPr="00AC7487" w:rsidRDefault="003077F3" w:rsidP="003077F3">
            <w:pPr>
              <w:suppressAutoHyphens w:val="0"/>
              <w:spacing w:before="40" w:after="120" w:line="220" w:lineRule="exact"/>
              <w:rPr>
                <w:lang w:val="en-US"/>
              </w:rPr>
            </w:pPr>
            <w:r w:rsidRPr="00AC7487">
              <w:rPr>
                <w:lang w:val="en-US"/>
              </w:rPr>
              <w:t>Input from experts, practitioners and relevant organizations</w:t>
            </w:r>
          </w:p>
          <w:p w14:paraId="75CD6ED9" w14:textId="77777777" w:rsidR="003077F3" w:rsidRPr="00AC7487" w:rsidRDefault="003077F3" w:rsidP="003077F3">
            <w:pPr>
              <w:suppressAutoHyphens w:val="0"/>
              <w:spacing w:before="40" w:after="120" w:line="220" w:lineRule="exact"/>
              <w:rPr>
                <w:lang w:val="en-US"/>
              </w:rPr>
            </w:pPr>
            <w:r w:rsidRPr="00AC7487">
              <w:rPr>
                <w:lang w:val="en-US"/>
              </w:rPr>
              <w:t>Awareness</w:t>
            </w:r>
            <w:r>
              <w:rPr>
                <w:lang w:val="en-US"/>
              </w:rPr>
              <w:t>-building</w:t>
            </w:r>
            <w:r w:rsidRPr="00AC7487">
              <w:rPr>
                <w:lang w:val="en-US"/>
              </w:rPr>
              <w:t xml:space="preserve"> and enhancing information</w:t>
            </w:r>
            <w:r>
              <w:rPr>
                <w:lang w:val="en-US"/>
              </w:rPr>
              <w:t>-</w:t>
            </w:r>
            <w:r w:rsidRPr="00AC7487">
              <w:rPr>
                <w:lang w:val="en-US"/>
              </w:rPr>
              <w:t>sharing through the exchange and sharing of experience and best practices</w:t>
            </w:r>
          </w:p>
        </w:tc>
      </w:tr>
      <w:tr w:rsidR="003077F3" w:rsidRPr="00AC7487" w14:paraId="22A75DF6" w14:textId="77777777" w:rsidTr="003077F3">
        <w:trPr>
          <w:trHeight w:val="240"/>
        </w:trPr>
        <w:tc>
          <w:tcPr>
            <w:tcW w:w="851" w:type="dxa"/>
            <w:vMerge w:val="restart"/>
            <w:tcBorders>
              <w:top w:val="single" w:sz="4" w:space="0" w:color="auto"/>
            </w:tcBorders>
            <w:shd w:val="clear" w:color="auto" w:fill="auto"/>
          </w:tcPr>
          <w:p w14:paraId="75F3C428" w14:textId="77777777" w:rsidR="003077F3" w:rsidRPr="00AC7487" w:rsidRDefault="003077F3" w:rsidP="003077F3">
            <w:pPr>
              <w:suppressAutoHyphens w:val="0"/>
              <w:spacing w:before="40" w:after="120" w:line="220" w:lineRule="exact"/>
              <w:rPr>
                <w:lang w:val="en-US"/>
              </w:rPr>
            </w:pPr>
            <w:r w:rsidRPr="00AC7487">
              <w:rPr>
                <w:lang w:val="en-US"/>
              </w:rPr>
              <w:t>5</w:t>
            </w:r>
          </w:p>
        </w:tc>
        <w:tc>
          <w:tcPr>
            <w:tcW w:w="4678" w:type="dxa"/>
            <w:vMerge w:val="restart"/>
            <w:tcBorders>
              <w:top w:val="single" w:sz="4" w:space="0" w:color="auto"/>
            </w:tcBorders>
            <w:shd w:val="clear" w:color="auto" w:fill="auto"/>
          </w:tcPr>
          <w:p w14:paraId="23B91E94" w14:textId="77777777" w:rsidR="003077F3" w:rsidRPr="00AC7487" w:rsidRDefault="003077F3" w:rsidP="003077F3">
            <w:pPr>
              <w:suppressAutoHyphens w:val="0"/>
              <w:spacing w:before="40" w:after="120" w:line="220" w:lineRule="exact"/>
              <w:ind w:left="-5" w:right="33"/>
              <w:rPr>
                <w:lang w:val="en-US"/>
              </w:rPr>
            </w:pPr>
            <w:r w:rsidRPr="00AC7487">
              <w:rPr>
                <w:lang w:val="en-US"/>
              </w:rPr>
              <w:t xml:space="preserve">Build awareness and understanding of Parties and other stakeholders </w:t>
            </w:r>
            <w:r w:rsidRPr="00AC7487" w:rsidDel="00A57609">
              <w:rPr>
                <w:lang w:val="en-US"/>
              </w:rPr>
              <w:t>to</w:t>
            </w:r>
            <w:r w:rsidRPr="00AC7487">
              <w:rPr>
                <w:lang w:val="en-US"/>
              </w:rPr>
              <w:t xml:space="preserve"> assess the economic impacts of potential new industries and businesses resulting from the implementation of response measures with a view to maximizing the positive and minimizing the negative impacts of the implementation of response measures</w:t>
            </w:r>
          </w:p>
        </w:tc>
        <w:tc>
          <w:tcPr>
            <w:tcW w:w="2409" w:type="dxa"/>
            <w:vMerge w:val="restart"/>
            <w:tcBorders>
              <w:top w:val="single" w:sz="4" w:space="0" w:color="auto"/>
            </w:tcBorders>
            <w:shd w:val="clear" w:color="auto" w:fill="auto"/>
          </w:tcPr>
          <w:p w14:paraId="0FD6EAE9" w14:textId="77777777" w:rsidR="003077F3" w:rsidRPr="00AC7487" w:rsidRDefault="003077F3" w:rsidP="003077F3">
            <w:pPr>
              <w:suppressAutoHyphens w:val="0"/>
              <w:spacing w:before="40" w:after="120" w:line="220" w:lineRule="exact"/>
              <w:rPr>
                <w:lang w:val="en-US"/>
              </w:rPr>
            </w:pPr>
            <w:r w:rsidRPr="00AC7487">
              <w:rPr>
                <w:lang w:val="en-US"/>
              </w:rPr>
              <w:t>SB 57</w:t>
            </w:r>
          </w:p>
        </w:tc>
        <w:tc>
          <w:tcPr>
            <w:tcW w:w="993" w:type="dxa"/>
            <w:tcBorders>
              <w:top w:val="single" w:sz="4" w:space="0" w:color="auto"/>
              <w:bottom w:val="single" w:sz="4" w:space="0" w:color="auto"/>
            </w:tcBorders>
            <w:shd w:val="clear" w:color="auto" w:fill="auto"/>
          </w:tcPr>
          <w:p w14:paraId="42FEA9A3" w14:textId="77777777" w:rsidR="003077F3" w:rsidRPr="00AC7487" w:rsidRDefault="003077F3" w:rsidP="003077F3">
            <w:pPr>
              <w:suppressAutoHyphens w:val="0"/>
              <w:spacing w:before="40" w:after="120" w:line="220" w:lineRule="exact"/>
              <w:rPr>
                <w:lang w:val="en-US"/>
              </w:rPr>
            </w:pPr>
            <w:r w:rsidRPr="00AC7487">
              <w:rPr>
                <w:lang w:val="en-US"/>
              </w:rPr>
              <w:t>KCI</w:t>
            </w:r>
          </w:p>
        </w:tc>
        <w:tc>
          <w:tcPr>
            <w:tcW w:w="4961" w:type="dxa"/>
            <w:tcBorders>
              <w:top w:val="single" w:sz="4" w:space="0" w:color="auto"/>
              <w:bottom w:val="single" w:sz="4" w:space="0" w:color="auto"/>
            </w:tcBorders>
            <w:shd w:val="clear" w:color="auto" w:fill="auto"/>
          </w:tcPr>
          <w:p w14:paraId="3EBEA682" w14:textId="77777777" w:rsidR="003077F3" w:rsidRPr="00AC7487" w:rsidRDefault="003077F3" w:rsidP="003077F3">
            <w:pPr>
              <w:suppressAutoHyphens w:val="0"/>
              <w:spacing w:before="40" w:after="120" w:line="220" w:lineRule="exact"/>
              <w:rPr>
                <w:lang w:val="en-US"/>
              </w:rPr>
            </w:pPr>
            <w:r w:rsidRPr="00AC7487">
              <w:rPr>
                <w:lang w:val="en-US"/>
              </w:rPr>
              <w:t>Input from experts, practitioners and relevant organizations</w:t>
            </w:r>
          </w:p>
          <w:p w14:paraId="3306B054" w14:textId="77777777" w:rsidR="003077F3" w:rsidRPr="00AC7487" w:rsidRDefault="003077F3" w:rsidP="003077F3">
            <w:pPr>
              <w:suppressAutoHyphens w:val="0"/>
              <w:spacing w:before="40" w:after="120" w:line="220" w:lineRule="exact"/>
              <w:rPr>
                <w:lang w:val="en-US"/>
              </w:rPr>
            </w:pPr>
            <w:r w:rsidRPr="00AC7487">
              <w:rPr>
                <w:lang w:val="en-US"/>
              </w:rPr>
              <w:t>Technical paper</w:t>
            </w:r>
          </w:p>
        </w:tc>
      </w:tr>
      <w:tr w:rsidR="003077F3" w:rsidRPr="00AC7487" w14:paraId="36F18C55" w14:textId="77777777" w:rsidTr="003077F3">
        <w:trPr>
          <w:trHeight w:val="240"/>
        </w:trPr>
        <w:tc>
          <w:tcPr>
            <w:tcW w:w="851" w:type="dxa"/>
            <w:vMerge/>
            <w:tcBorders>
              <w:bottom w:val="single" w:sz="4" w:space="0" w:color="auto"/>
            </w:tcBorders>
            <w:shd w:val="clear" w:color="auto" w:fill="auto"/>
          </w:tcPr>
          <w:p w14:paraId="09CC58DF" w14:textId="77777777" w:rsidR="003077F3" w:rsidRPr="00AC7487" w:rsidRDefault="003077F3" w:rsidP="003077F3">
            <w:pPr>
              <w:suppressAutoHyphens w:val="0"/>
              <w:spacing w:before="40" w:after="120" w:line="220" w:lineRule="exact"/>
              <w:rPr>
                <w:lang w:val="en-US"/>
              </w:rPr>
            </w:pPr>
          </w:p>
        </w:tc>
        <w:tc>
          <w:tcPr>
            <w:tcW w:w="4678" w:type="dxa"/>
            <w:vMerge/>
            <w:tcBorders>
              <w:bottom w:val="single" w:sz="4" w:space="0" w:color="auto"/>
            </w:tcBorders>
            <w:shd w:val="clear" w:color="auto" w:fill="auto"/>
          </w:tcPr>
          <w:p w14:paraId="7F7A26D1" w14:textId="77777777" w:rsidR="003077F3" w:rsidRPr="00AC7487" w:rsidRDefault="003077F3" w:rsidP="003077F3">
            <w:pPr>
              <w:suppressAutoHyphens w:val="0"/>
              <w:spacing w:before="40" w:after="120" w:line="220" w:lineRule="exact"/>
              <w:ind w:left="-5" w:right="33"/>
              <w:rPr>
                <w:lang w:val="en-US"/>
              </w:rPr>
            </w:pPr>
          </w:p>
        </w:tc>
        <w:tc>
          <w:tcPr>
            <w:tcW w:w="2409" w:type="dxa"/>
            <w:vMerge/>
            <w:tcBorders>
              <w:bottom w:val="single" w:sz="4" w:space="0" w:color="auto"/>
            </w:tcBorders>
            <w:shd w:val="clear" w:color="auto" w:fill="auto"/>
          </w:tcPr>
          <w:p w14:paraId="0C302EE4" w14:textId="77777777" w:rsidR="003077F3" w:rsidRPr="00AC7487" w:rsidRDefault="003077F3" w:rsidP="003077F3">
            <w:pPr>
              <w:suppressAutoHyphens w:val="0"/>
              <w:spacing w:before="40" w:after="120" w:line="220" w:lineRule="exact"/>
              <w:rPr>
                <w:lang w:val="en-US"/>
              </w:rPr>
            </w:pPr>
          </w:p>
        </w:tc>
        <w:tc>
          <w:tcPr>
            <w:tcW w:w="993" w:type="dxa"/>
            <w:tcBorders>
              <w:top w:val="single" w:sz="4" w:space="0" w:color="auto"/>
              <w:bottom w:val="single" w:sz="4" w:space="0" w:color="auto"/>
            </w:tcBorders>
            <w:shd w:val="clear" w:color="auto" w:fill="auto"/>
          </w:tcPr>
          <w:p w14:paraId="2F83AA2F" w14:textId="77777777" w:rsidR="003077F3" w:rsidRPr="00AC7487" w:rsidRDefault="003077F3" w:rsidP="003077F3">
            <w:pPr>
              <w:suppressAutoHyphens w:val="0"/>
              <w:spacing w:before="40" w:after="120" w:line="220" w:lineRule="exact"/>
              <w:rPr>
                <w:lang w:val="en-US"/>
              </w:rPr>
            </w:pPr>
            <w:r w:rsidRPr="00AC7487">
              <w:rPr>
                <w:lang w:val="en-US"/>
              </w:rPr>
              <w:t>Forum</w:t>
            </w:r>
          </w:p>
        </w:tc>
        <w:tc>
          <w:tcPr>
            <w:tcW w:w="4961" w:type="dxa"/>
            <w:tcBorders>
              <w:top w:val="single" w:sz="4" w:space="0" w:color="auto"/>
              <w:bottom w:val="single" w:sz="4" w:space="0" w:color="auto"/>
            </w:tcBorders>
            <w:shd w:val="clear" w:color="auto" w:fill="auto"/>
          </w:tcPr>
          <w:p w14:paraId="6924A03E" w14:textId="77777777" w:rsidR="003077F3" w:rsidRPr="00AC7487" w:rsidRDefault="003077F3" w:rsidP="003077F3">
            <w:pPr>
              <w:suppressAutoHyphens w:val="0"/>
              <w:spacing w:before="40" w:after="120" w:line="220" w:lineRule="exact"/>
              <w:rPr>
                <w:lang w:val="en-US"/>
              </w:rPr>
            </w:pPr>
            <w:r w:rsidRPr="00AC7487">
              <w:rPr>
                <w:lang w:val="en-US"/>
              </w:rPr>
              <w:t>Input from experts, practitioners and relevant organizations</w:t>
            </w:r>
          </w:p>
          <w:p w14:paraId="3D245C31" w14:textId="77777777" w:rsidR="003077F3" w:rsidRPr="00AC7487" w:rsidRDefault="003077F3" w:rsidP="003077F3">
            <w:pPr>
              <w:suppressAutoHyphens w:val="0"/>
              <w:spacing w:before="40" w:after="120" w:line="220" w:lineRule="exact"/>
              <w:rPr>
                <w:lang w:val="en-US"/>
              </w:rPr>
            </w:pPr>
            <w:r w:rsidRPr="00AC7487">
              <w:rPr>
                <w:lang w:val="en-US"/>
              </w:rPr>
              <w:t>Awareness</w:t>
            </w:r>
            <w:r>
              <w:rPr>
                <w:lang w:val="en-US"/>
              </w:rPr>
              <w:t>-building</w:t>
            </w:r>
            <w:r w:rsidRPr="00AC7487">
              <w:rPr>
                <w:lang w:val="en-US"/>
              </w:rPr>
              <w:t xml:space="preserve"> and enhancing information</w:t>
            </w:r>
            <w:r>
              <w:rPr>
                <w:lang w:val="en-US"/>
              </w:rPr>
              <w:t>-</w:t>
            </w:r>
            <w:r w:rsidRPr="00AC7487">
              <w:rPr>
                <w:lang w:val="en-US"/>
              </w:rPr>
              <w:t>sharing through the exchange and sharing of experience and best practices</w:t>
            </w:r>
          </w:p>
        </w:tc>
      </w:tr>
      <w:tr w:rsidR="003077F3" w:rsidRPr="00AC7487" w14:paraId="6693E9FC" w14:textId="77777777" w:rsidTr="003077F3">
        <w:trPr>
          <w:trHeight w:val="240"/>
        </w:trPr>
        <w:tc>
          <w:tcPr>
            <w:tcW w:w="851" w:type="dxa"/>
            <w:vMerge w:val="restart"/>
            <w:tcBorders>
              <w:top w:val="single" w:sz="4" w:space="0" w:color="auto"/>
            </w:tcBorders>
            <w:shd w:val="clear" w:color="auto" w:fill="auto"/>
          </w:tcPr>
          <w:p w14:paraId="6BA16C1F" w14:textId="77777777" w:rsidR="003077F3" w:rsidRPr="00AC7487" w:rsidRDefault="003077F3" w:rsidP="003077F3">
            <w:pPr>
              <w:suppressAutoHyphens w:val="0"/>
              <w:spacing w:before="40" w:after="120" w:line="220" w:lineRule="exact"/>
              <w:rPr>
                <w:lang w:val="en-US"/>
              </w:rPr>
            </w:pPr>
            <w:r w:rsidRPr="00AC7487">
              <w:rPr>
                <w:lang w:val="en-US"/>
              </w:rPr>
              <w:t>6</w:t>
            </w:r>
          </w:p>
        </w:tc>
        <w:tc>
          <w:tcPr>
            <w:tcW w:w="4678" w:type="dxa"/>
            <w:vMerge w:val="restart"/>
            <w:tcBorders>
              <w:top w:val="single" w:sz="4" w:space="0" w:color="auto"/>
            </w:tcBorders>
            <w:shd w:val="clear" w:color="auto" w:fill="auto"/>
          </w:tcPr>
          <w:p w14:paraId="2ABDD9E6" w14:textId="77777777" w:rsidR="003077F3" w:rsidRPr="00AC7487" w:rsidRDefault="003077F3" w:rsidP="003077F3">
            <w:pPr>
              <w:suppressAutoHyphens w:val="0"/>
              <w:spacing w:before="40" w:after="120" w:line="220" w:lineRule="exact"/>
              <w:ind w:left="-5" w:right="33"/>
              <w:rPr>
                <w:lang w:val="en-US"/>
              </w:rPr>
            </w:pPr>
            <w:r w:rsidRPr="00AC7487">
              <w:rPr>
                <w:lang w:val="en-US"/>
              </w:rPr>
              <w:t>Promote the availability and use of guidelines and policy frameworks to assist Parties in promoting just transition of the workforce and the creation of decent work and quality jobs within and across sectors, including training, retooling, retraining and reskilling systems and stakeholder engagement strategies</w:t>
            </w:r>
          </w:p>
        </w:tc>
        <w:tc>
          <w:tcPr>
            <w:tcW w:w="2409" w:type="dxa"/>
            <w:vMerge w:val="restart"/>
            <w:tcBorders>
              <w:top w:val="single" w:sz="4" w:space="0" w:color="auto"/>
            </w:tcBorders>
            <w:shd w:val="clear" w:color="auto" w:fill="auto"/>
          </w:tcPr>
          <w:p w14:paraId="505D111D" w14:textId="77777777" w:rsidR="003077F3" w:rsidRPr="00AC7487" w:rsidRDefault="003077F3" w:rsidP="003077F3">
            <w:pPr>
              <w:suppressAutoHyphens w:val="0"/>
              <w:spacing w:before="40" w:after="120" w:line="220" w:lineRule="exact"/>
              <w:rPr>
                <w:lang w:val="en-US"/>
              </w:rPr>
            </w:pPr>
            <w:r w:rsidRPr="00AC7487">
              <w:rPr>
                <w:lang w:val="en-US"/>
              </w:rPr>
              <w:t>SB 60</w:t>
            </w:r>
            <w:r>
              <w:rPr>
                <w:lang w:val="en-US"/>
              </w:rPr>
              <w:t xml:space="preserve"> (June 2024)</w:t>
            </w:r>
          </w:p>
        </w:tc>
        <w:tc>
          <w:tcPr>
            <w:tcW w:w="993" w:type="dxa"/>
            <w:tcBorders>
              <w:top w:val="single" w:sz="4" w:space="0" w:color="auto"/>
              <w:bottom w:val="single" w:sz="4" w:space="0" w:color="auto"/>
            </w:tcBorders>
            <w:shd w:val="clear" w:color="auto" w:fill="auto"/>
          </w:tcPr>
          <w:p w14:paraId="1D666718" w14:textId="77777777" w:rsidR="003077F3" w:rsidRPr="00AC7487" w:rsidRDefault="003077F3" w:rsidP="003077F3">
            <w:pPr>
              <w:suppressAutoHyphens w:val="0"/>
              <w:spacing w:before="40" w:after="120" w:line="220" w:lineRule="exact"/>
              <w:rPr>
                <w:lang w:val="en-US"/>
              </w:rPr>
            </w:pPr>
            <w:r w:rsidRPr="00AC7487">
              <w:rPr>
                <w:lang w:val="en-US"/>
              </w:rPr>
              <w:t>KCI</w:t>
            </w:r>
          </w:p>
        </w:tc>
        <w:tc>
          <w:tcPr>
            <w:tcW w:w="4961" w:type="dxa"/>
            <w:tcBorders>
              <w:top w:val="single" w:sz="4" w:space="0" w:color="auto"/>
              <w:bottom w:val="single" w:sz="4" w:space="0" w:color="auto"/>
            </w:tcBorders>
            <w:shd w:val="clear" w:color="auto" w:fill="auto"/>
          </w:tcPr>
          <w:p w14:paraId="7C8DCA39" w14:textId="77777777" w:rsidR="003077F3" w:rsidRPr="00AC7487" w:rsidRDefault="003077F3" w:rsidP="003077F3">
            <w:pPr>
              <w:suppressAutoHyphens w:val="0"/>
              <w:spacing w:before="40" w:after="120" w:line="220" w:lineRule="exact"/>
              <w:rPr>
                <w:lang w:val="en-US"/>
              </w:rPr>
            </w:pPr>
            <w:r w:rsidRPr="00AC7487">
              <w:rPr>
                <w:lang w:val="en-US"/>
              </w:rPr>
              <w:t>Input from experts, practitioners and relevant organizations</w:t>
            </w:r>
          </w:p>
        </w:tc>
      </w:tr>
      <w:tr w:rsidR="003077F3" w:rsidRPr="00AC7487" w14:paraId="404B2B85" w14:textId="77777777" w:rsidTr="003077F3">
        <w:trPr>
          <w:trHeight w:val="240"/>
        </w:trPr>
        <w:tc>
          <w:tcPr>
            <w:tcW w:w="851" w:type="dxa"/>
            <w:vMerge/>
            <w:tcBorders>
              <w:top w:val="nil"/>
              <w:bottom w:val="single" w:sz="4" w:space="0" w:color="auto"/>
            </w:tcBorders>
            <w:shd w:val="clear" w:color="auto" w:fill="auto"/>
          </w:tcPr>
          <w:p w14:paraId="53845D5C" w14:textId="77777777" w:rsidR="003077F3" w:rsidRPr="00AC7487" w:rsidRDefault="003077F3" w:rsidP="003077F3">
            <w:pPr>
              <w:suppressAutoHyphens w:val="0"/>
              <w:spacing w:before="40" w:after="120" w:line="220" w:lineRule="exact"/>
              <w:rPr>
                <w:lang w:val="en-US"/>
              </w:rPr>
            </w:pPr>
          </w:p>
        </w:tc>
        <w:tc>
          <w:tcPr>
            <w:tcW w:w="4678" w:type="dxa"/>
            <w:vMerge/>
            <w:tcBorders>
              <w:top w:val="nil"/>
              <w:bottom w:val="single" w:sz="4" w:space="0" w:color="auto"/>
            </w:tcBorders>
            <w:shd w:val="clear" w:color="auto" w:fill="auto"/>
          </w:tcPr>
          <w:p w14:paraId="17FE7315" w14:textId="77777777" w:rsidR="003077F3" w:rsidRPr="00AC7487" w:rsidRDefault="003077F3" w:rsidP="003077F3">
            <w:pPr>
              <w:suppressAutoHyphens w:val="0"/>
              <w:spacing w:before="40" w:after="120" w:line="220" w:lineRule="exact"/>
              <w:ind w:left="-5" w:right="33"/>
              <w:rPr>
                <w:lang w:val="en-US"/>
              </w:rPr>
            </w:pPr>
          </w:p>
        </w:tc>
        <w:tc>
          <w:tcPr>
            <w:tcW w:w="2409" w:type="dxa"/>
            <w:vMerge/>
            <w:tcBorders>
              <w:top w:val="nil"/>
              <w:bottom w:val="single" w:sz="4" w:space="0" w:color="auto"/>
            </w:tcBorders>
            <w:shd w:val="clear" w:color="auto" w:fill="auto"/>
          </w:tcPr>
          <w:p w14:paraId="1791AC3F" w14:textId="77777777" w:rsidR="003077F3" w:rsidRPr="00AC7487" w:rsidRDefault="003077F3" w:rsidP="003077F3">
            <w:pPr>
              <w:suppressAutoHyphens w:val="0"/>
              <w:spacing w:before="40" w:after="120" w:line="220" w:lineRule="exact"/>
              <w:rPr>
                <w:lang w:val="en-US"/>
              </w:rPr>
            </w:pPr>
          </w:p>
        </w:tc>
        <w:tc>
          <w:tcPr>
            <w:tcW w:w="993" w:type="dxa"/>
            <w:tcBorders>
              <w:top w:val="single" w:sz="4" w:space="0" w:color="auto"/>
              <w:bottom w:val="single" w:sz="4" w:space="0" w:color="auto"/>
            </w:tcBorders>
            <w:shd w:val="clear" w:color="auto" w:fill="auto"/>
          </w:tcPr>
          <w:p w14:paraId="4A89A888" w14:textId="77777777" w:rsidR="003077F3" w:rsidRPr="00AC7487" w:rsidRDefault="003077F3" w:rsidP="003077F3">
            <w:pPr>
              <w:suppressAutoHyphens w:val="0"/>
              <w:spacing w:before="40" w:after="120" w:line="220" w:lineRule="exact"/>
              <w:rPr>
                <w:lang w:val="en-US"/>
              </w:rPr>
            </w:pPr>
            <w:r w:rsidRPr="00AC7487">
              <w:rPr>
                <w:lang w:val="en-US"/>
              </w:rPr>
              <w:t>Forum</w:t>
            </w:r>
          </w:p>
        </w:tc>
        <w:tc>
          <w:tcPr>
            <w:tcW w:w="4961" w:type="dxa"/>
            <w:tcBorders>
              <w:top w:val="single" w:sz="4" w:space="0" w:color="auto"/>
              <w:bottom w:val="single" w:sz="4" w:space="0" w:color="auto"/>
            </w:tcBorders>
            <w:shd w:val="clear" w:color="auto" w:fill="auto"/>
          </w:tcPr>
          <w:p w14:paraId="1E13335D" w14:textId="77777777" w:rsidR="003077F3" w:rsidRPr="00AC7487" w:rsidRDefault="003077F3" w:rsidP="003077F3">
            <w:pPr>
              <w:suppressAutoHyphens w:val="0"/>
              <w:spacing w:before="40" w:after="120" w:line="220" w:lineRule="exact"/>
              <w:rPr>
                <w:lang w:val="en-US"/>
              </w:rPr>
            </w:pPr>
            <w:r w:rsidRPr="00AC7487">
              <w:rPr>
                <w:lang w:val="en-US"/>
              </w:rPr>
              <w:t>Input from experts, practitioners and relevant organizations</w:t>
            </w:r>
          </w:p>
          <w:p w14:paraId="61A634F9" w14:textId="77777777" w:rsidR="003077F3" w:rsidRPr="00AC7487" w:rsidRDefault="003077F3" w:rsidP="003077F3">
            <w:pPr>
              <w:suppressAutoHyphens w:val="0"/>
              <w:spacing w:before="40" w:after="120" w:line="220" w:lineRule="exact"/>
              <w:rPr>
                <w:lang w:val="en-US"/>
              </w:rPr>
            </w:pPr>
            <w:r w:rsidRPr="00AC7487">
              <w:rPr>
                <w:lang w:val="en-US"/>
              </w:rPr>
              <w:t>Exchange and sharing of experience and best practices</w:t>
            </w:r>
          </w:p>
        </w:tc>
      </w:tr>
      <w:tr w:rsidR="003077F3" w:rsidRPr="00AC7487" w14:paraId="75633DA6" w14:textId="77777777" w:rsidTr="003077F3">
        <w:trPr>
          <w:trHeight w:val="240"/>
        </w:trPr>
        <w:tc>
          <w:tcPr>
            <w:tcW w:w="851" w:type="dxa"/>
            <w:vMerge w:val="restart"/>
            <w:tcBorders>
              <w:top w:val="single" w:sz="4" w:space="0" w:color="auto"/>
            </w:tcBorders>
            <w:shd w:val="clear" w:color="auto" w:fill="auto"/>
          </w:tcPr>
          <w:p w14:paraId="1ED158D9" w14:textId="77777777" w:rsidR="003077F3" w:rsidRPr="00AC7487" w:rsidRDefault="003077F3" w:rsidP="003077F3">
            <w:pPr>
              <w:suppressAutoHyphens w:val="0"/>
              <w:spacing w:before="40" w:after="120" w:line="220" w:lineRule="exact"/>
              <w:rPr>
                <w:lang w:val="en-US"/>
              </w:rPr>
            </w:pPr>
            <w:r w:rsidRPr="00AC7487">
              <w:rPr>
                <w:lang w:val="en-US"/>
              </w:rPr>
              <w:lastRenderedPageBreak/>
              <w:t>7</w:t>
            </w:r>
          </w:p>
        </w:tc>
        <w:tc>
          <w:tcPr>
            <w:tcW w:w="4678" w:type="dxa"/>
            <w:vMerge w:val="restart"/>
            <w:tcBorders>
              <w:top w:val="single" w:sz="4" w:space="0" w:color="auto"/>
            </w:tcBorders>
            <w:shd w:val="clear" w:color="auto" w:fill="auto"/>
          </w:tcPr>
          <w:p w14:paraId="604A33E7" w14:textId="77777777" w:rsidR="003077F3" w:rsidRPr="00AC7487" w:rsidRDefault="003077F3" w:rsidP="003077F3">
            <w:pPr>
              <w:suppressAutoHyphens w:val="0"/>
              <w:spacing w:before="40" w:after="120" w:line="220" w:lineRule="exact"/>
              <w:ind w:left="-5" w:right="33"/>
              <w:rPr>
                <w:lang w:val="en-US"/>
              </w:rPr>
            </w:pPr>
            <w:r w:rsidRPr="00AC7487">
              <w:rPr>
                <w:lang w:val="en-US"/>
              </w:rPr>
              <w:t>Facilitate the development and exchange of regional, country</w:t>
            </w:r>
            <w:r>
              <w:rPr>
                <w:lang w:val="en-US"/>
              </w:rPr>
              <w:t>-</w:t>
            </w:r>
            <w:r w:rsidRPr="00AC7487">
              <w:rPr>
                <w:lang w:val="en-US"/>
              </w:rPr>
              <w:t xml:space="preserve"> and/or sector</w:t>
            </w:r>
            <w:r>
              <w:rPr>
                <w:lang w:val="en-US"/>
              </w:rPr>
              <w:t>-</w:t>
            </w:r>
            <w:r w:rsidRPr="00AC7487">
              <w:rPr>
                <w:lang w:val="en-US"/>
              </w:rPr>
              <w:t>specific case studies and approaches on (</w:t>
            </w:r>
            <w:r>
              <w:rPr>
                <w:lang w:val="en-US"/>
              </w:rPr>
              <w:t>1</w:t>
            </w:r>
            <w:r w:rsidRPr="00AC7487">
              <w:rPr>
                <w:lang w:val="en-US"/>
              </w:rPr>
              <w:t>) economic diversification and transformation and just transition of the workforce and creation of decent work and quality jobs, and (</w:t>
            </w:r>
            <w:r>
              <w:rPr>
                <w:lang w:val="en-US"/>
              </w:rPr>
              <w:t>2</w:t>
            </w:r>
            <w:r w:rsidRPr="00AC7487">
              <w:rPr>
                <w:lang w:val="en-US"/>
              </w:rPr>
              <w:t>) assessment and analysis of the impacts of the implementation of response measures with a view to understanding the positive and negative impacts</w:t>
            </w:r>
          </w:p>
        </w:tc>
        <w:tc>
          <w:tcPr>
            <w:tcW w:w="2409" w:type="dxa"/>
            <w:vMerge w:val="restart"/>
            <w:tcBorders>
              <w:top w:val="single" w:sz="4" w:space="0" w:color="auto"/>
            </w:tcBorders>
            <w:shd w:val="clear" w:color="auto" w:fill="auto"/>
          </w:tcPr>
          <w:p w14:paraId="19B6122B" w14:textId="77777777" w:rsidR="003077F3" w:rsidRPr="00AC7487" w:rsidRDefault="003077F3" w:rsidP="003077F3">
            <w:pPr>
              <w:suppressAutoHyphens w:val="0"/>
              <w:spacing w:before="40" w:after="120" w:line="220" w:lineRule="exact"/>
              <w:rPr>
                <w:lang w:val="en-US"/>
              </w:rPr>
            </w:pPr>
            <w:r w:rsidRPr="00AC7487">
              <w:rPr>
                <w:lang w:val="en-US"/>
              </w:rPr>
              <w:t>SB 59</w:t>
            </w:r>
            <w:r>
              <w:rPr>
                <w:lang w:val="en-US"/>
              </w:rPr>
              <w:t xml:space="preserve"> </w:t>
            </w:r>
            <w:r w:rsidRPr="00AC7487">
              <w:rPr>
                <w:lang w:val="en-US"/>
              </w:rPr>
              <w:t xml:space="preserve">and onward, as decided by the </w:t>
            </w:r>
            <w:r>
              <w:rPr>
                <w:lang w:val="en-US"/>
              </w:rPr>
              <w:t>f</w:t>
            </w:r>
            <w:r w:rsidRPr="00AC7487">
              <w:rPr>
                <w:lang w:val="en-US"/>
              </w:rPr>
              <w:t>orum/KCI</w:t>
            </w:r>
          </w:p>
        </w:tc>
        <w:tc>
          <w:tcPr>
            <w:tcW w:w="993" w:type="dxa"/>
            <w:tcBorders>
              <w:top w:val="single" w:sz="4" w:space="0" w:color="auto"/>
              <w:bottom w:val="single" w:sz="4" w:space="0" w:color="auto"/>
            </w:tcBorders>
            <w:shd w:val="clear" w:color="auto" w:fill="auto"/>
          </w:tcPr>
          <w:p w14:paraId="78E3A8A6" w14:textId="77777777" w:rsidR="003077F3" w:rsidRPr="00AC7487" w:rsidRDefault="003077F3" w:rsidP="003077F3">
            <w:pPr>
              <w:suppressAutoHyphens w:val="0"/>
              <w:spacing w:before="40" w:after="120" w:line="220" w:lineRule="exact"/>
              <w:rPr>
                <w:lang w:val="en-US"/>
              </w:rPr>
            </w:pPr>
            <w:r w:rsidRPr="00AC7487">
              <w:rPr>
                <w:lang w:val="en-US"/>
              </w:rPr>
              <w:t>KCI</w:t>
            </w:r>
          </w:p>
        </w:tc>
        <w:tc>
          <w:tcPr>
            <w:tcW w:w="4961" w:type="dxa"/>
            <w:tcBorders>
              <w:top w:val="single" w:sz="4" w:space="0" w:color="auto"/>
              <w:bottom w:val="single" w:sz="4" w:space="0" w:color="auto"/>
            </w:tcBorders>
            <w:shd w:val="clear" w:color="auto" w:fill="auto"/>
          </w:tcPr>
          <w:p w14:paraId="50C9EEE0" w14:textId="77777777" w:rsidR="003077F3" w:rsidRPr="00AC7487" w:rsidRDefault="003077F3" w:rsidP="003077F3">
            <w:pPr>
              <w:suppressAutoHyphens w:val="0"/>
              <w:spacing w:before="40" w:after="120" w:line="220" w:lineRule="exact"/>
              <w:rPr>
                <w:lang w:val="en-US"/>
              </w:rPr>
            </w:pPr>
            <w:r w:rsidRPr="00AC7487">
              <w:rPr>
                <w:lang w:val="en-US"/>
              </w:rPr>
              <w:t>Input from experts, practitioners and relevant organizations</w:t>
            </w:r>
          </w:p>
          <w:p w14:paraId="6DDDE9E7" w14:textId="64B11141" w:rsidR="003077F3" w:rsidRPr="00AC7487" w:rsidRDefault="003077F3" w:rsidP="003077F3">
            <w:pPr>
              <w:suppressAutoHyphens w:val="0"/>
              <w:spacing w:before="40" w:after="120" w:line="220" w:lineRule="exact"/>
              <w:rPr>
                <w:lang w:val="en-US"/>
              </w:rPr>
            </w:pPr>
            <w:r w:rsidRPr="00AC7487">
              <w:rPr>
                <w:lang w:val="en-US"/>
              </w:rPr>
              <w:t>KCI to examine existing case studies and identify an area where it may develop a case study, as appropriate</w:t>
            </w:r>
          </w:p>
        </w:tc>
      </w:tr>
      <w:tr w:rsidR="003077F3" w:rsidRPr="00AC7487" w14:paraId="5DF7A861" w14:textId="77777777" w:rsidTr="003077F3">
        <w:trPr>
          <w:trHeight w:val="240"/>
        </w:trPr>
        <w:tc>
          <w:tcPr>
            <w:tcW w:w="851" w:type="dxa"/>
            <w:vMerge/>
            <w:tcBorders>
              <w:top w:val="nil"/>
              <w:bottom w:val="single" w:sz="4" w:space="0" w:color="auto"/>
            </w:tcBorders>
            <w:shd w:val="clear" w:color="auto" w:fill="auto"/>
          </w:tcPr>
          <w:p w14:paraId="7B40F785" w14:textId="77777777" w:rsidR="003077F3" w:rsidRPr="00AC7487" w:rsidRDefault="003077F3" w:rsidP="003077F3">
            <w:pPr>
              <w:suppressAutoHyphens w:val="0"/>
              <w:spacing w:before="40" w:after="120" w:line="220" w:lineRule="exact"/>
              <w:rPr>
                <w:lang w:val="en-US"/>
              </w:rPr>
            </w:pPr>
          </w:p>
        </w:tc>
        <w:tc>
          <w:tcPr>
            <w:tcW w:w="4678" w:type="dxa"/>
            <w:vMerge/>
            <w:tcBorders>
              <w:top w:val="nil"/>
              <w:bottom w:val="single" w:sz="4" w:space="0" w:color="auto"/>
            </w:tcBorders>
            <w:shd w:val="clear" w:color="auto" w:fill="auto"/>
          </w:tcPr>
          <w:p w14:paraId="0664B104" w14:textId="77777777" w:rsidR="003077F3" w:rsidRPr="00AC7487" w:rsidRDefault="003077F3" w:rsidP="003077F3">
            <w:pPr>
              <w:suppressAutoHyphens w:val="0"/>
              <w:spacing w:before="40" w:after="120" w:line="220" w:lineRule="exact"/>
              <w:ind w:left="-5" w:right="33"/>
              <w:rPr>
                <w:lang w:val="en-US"/>
              </w:rPr>
            </w:pPr>
          </w:p>
        </w:tc>
        <w:tc>
          <w:tcPr>
            <w:tcW w:w="2409" w:type="dxa"/>
            <w:vMerge/>
            <w:tcBorders>
              <w:top w:val="nil"/>
              <w:bottom w:val="single" w:sz="4" w:space="0" w:color="auto"/>
            </w:tcBorders>
            <w:shd w:val="clear" w:color="auto" w:fill="auto"/>
          </w:tcPr>
          <w:p w14:paraId="5FE79821" w14:textId="77777777" w:rsidR="003077F3" w:rsidRPr="00AC7487" w:rsidRDefault="003077F3" w:rsidP="003077F3">
            <w:pPr>
              <w:suppressAutoHyphens w:val="0"/>
              <w:spacing w:before="40" w:after="120" w:line="220" w:lineRule="exact"/>
              <w:rPr>
                <w:lang w:val="en-US"/>
              </w:rPr>
            </w:pPr>
          </w:p>
        </w:tc>
        <w:tc>
          <w:tcPr>
            <w:tcW w:w="993" w:type="dxa"/>
            <w:tcBorders>
              <w:top w:val="single" w:sz="4" w:space="0" w:color="auto"/>
              <w:bottom w:val="single" w:sz="4" w:space="0" w:color="auto"/>
            </w:tcBorders>
            <w:shd w:val="clear" w:color="auto" w:fill="auto"/>
          </w:tcPr>
          <w:p w14:paraId="52C4143C" w14:textId="77777777" w:rsidR="003077F3" w:rsidRPr="00AC7487" w:rsidRDefault="003077F3" w:rsidP="003077F3">
            <w:pPr>
              <w:suppressAutoHyphens w:val="0"/>
              <w:spacing w:before="40" w:after="120" w:line="220" w:lineRule="exact"/>
              <w:rPr>
                <w:lang w:val="en-US"/>
              </w:rPr>
            </w:pPr>
            <w:r w:rsidRPr="00AC7487">
              <w:rPr>
                <w:lang w:val="en-US"/>
              </w:rPr>
              <w:t>Forum</w:t>
            </w:r>
          </w:p>
        </w:tc>
        <w:tc>
          <w:tcPr>
            <w:tcW w:w="4961" w:type="dxa"/>
            <w:tcBorders>
              <w:top w:val="single" w:sz="4" w:space="0" w:color="auto"/>
              <w:bottom w:val="single" w:sz="4" w:space="0" w:color="auto"/>
            </w:tcBorders>
            <w:shd w:val="clear" w:color="auto" w:fill="auto"/>
          </w:tcPr>
          <w:p w14:paraId="4749315D" w14:textId="77777777" w:rsidR="003077F3" w:rsidRPr="00AC7487" w:rsidRDefault="003077F3" w:rsidP="003077F3">
            <w:pPr>
              <w:suppressAutoHyphens w:val="0"/>
              <w:spacing w:before="40" w:after="120" w:line="220" w:lineRule="exact"/>
              <w:rPr>
                <w:lang w:val="en-US"/>
              </w:rPr>
            </w:pPr>
            <w:r w:rsidRPr="00AC7487">
              <w:rPr>
                <w:lang w:val="en-US"/>
              </w:rPr>
              <w:t>Exchange and sharing of experience and best practices</w:t>
            </w:r>
          </w:p>
        </w:tc>
      </w:tr>
      <w:tr w:rsidR="003077F3" w:rsidRPr="00AC7487" w14:paraId="63728EBC" w14:textId="77777777" w:rsidTr="003077F3">
        <w:trPr>
          <w:trHeight w:val="240"/>
        </w:trPr>
        <w:tc>
          <w:tcPr>
            <w:tcW w:w="851" w:type="dxa"/>
            <w:vMerge w:val="restart"/>
            <w:tcBorders>
              <w:top w:val="single" w:sz="4" w:space="0" w:color="auto"/>
            </w:tcBorders>
            <w:shd w:val="clear" w:color="auto" w:fill="auto"/>
          </w:tcPr>
          <w:p w14:paraId="01038B27" w14:textId="77777777" w:rsidR="003077F3" w:rsidRPr="00AC7487" w:rsidRDefault="003077F3" w:rsidP="003077F3">
            <w:pPr>
              <w:suppressAutoHyphens w:val="0"/>
              <w:spacing w:before="40" w:after="120" w:line="220" w:lineRule="exact"/>
              <w:rPr>
                <w:lang w:val="en-US"/>
              </w:rPr>
            </w:pPr>
            <w:r w:rsidRPr="00AC7487">
              <w:rPr>
                <w:lang w:val="en-US"/>
              </w:rPr>
              <w:t>8</w:t>
            </w:r>
          </w:p>
        </w:tc>
        <w:tc>
          <w:tcPr>
            <w:tcW w:w="4678" w:type="dxa"/>
            <w:vMerge w:val="restart"/>
            <w:tcBorders>
              <w:top w:val="single" w:sz="4" w:space="0" w:color="auto"/>
            </w:tcBorders>
            <w:shd w:val="clear" w:color="auto" w:fill="auto"/>
          </w:tcPr>
          <w:p w14:paraId="7FFDF895" w14:textId="77777777" w:rsidR="003077F3" w:rsidRPr="00AC7487" w:rsidRDefault="003077F3" w:rsidP="003077F3">
            <w:pPr>
              <w:suppressAutoHyphens w:val="0"/>
              <w:spacing w:before="40" w:after="120" w:line="220" w:lineRule="exact"/>
              <w:ind w:left="-5" w:right="33"/>
              <w:rPr>
                <w:lang w:val="en-US"/>
              </w:rPr>
            </w:pPr>
            <w:r w:rsidRPr="00AC7487">
              <w:rPr>
                <w:lang w:val="en-US"/>
              </w:rPr>
              <w:t xml:space="preserve">Identify and exchange experiences and best practices </w:t>
            </w:r>
            <w:r>
              <w:rPr>
                <w:lang w:val="en-US"/>
              </w:rPr>
              <w:t>i</w:t>
            </w:r>
            <w:r w:rsidRPr="00AC7487">
              <w:rPr>
                <w:lang w:val="en-US"/>
              </w:rPr>
              <w:t>n engaging the private sector, including small and medium</w:t>
            </w:r>
            <w:r>
              <w:rPr>
                <w:lang w:val="en-US"/>
              </w:rPr>
              <w:t>-</w:t>
            </w:r>
            <w:r w:rsidRPr="00AC7487">
              <w:rPr>
                <w:lang w:val="en-US"/>
              </w:rPr>
              <w:t>sized enterprises and public</w:t>
            </w:r>
            <w:r>
              <w:rPr>
                <w:lang w:val="en-US"/>
              </w:rPr>
              <w:t>–</w:t>
            </w:r>
            <w:r w:rsidRPr="00AC7487">
              <w:rPr>
                <w:lang w:val="en-US"/>
              </w:rPr>
              <w:t>private partnerships</w:t>
            </w:r>
            <w:r>
              <w:rPr>
                <w:lang w:val="en-US"/>
              </w:rPr>
              <w:t>,</w:t>
            </w:r>
            <w:r w:rsidRPr="00AC7487">
              <w:rPr>
                <w:lang w:val="en-US"/>
              </w:rPr>
              <w:t xml:space="preserve"> to facilitate the creation of decent work and quality jobs in low greenhouse gas emission sectors</w:t>
            </w:r>
          </w:p>
        </w:tc>
        <w:tc>
          <w:tcPr>
            <w:tcW w:w="2409" w:type="dxa"/>
            <w:vMerge w:val="restart"/>
            <w:tcBorders>
              <w:top w:val="single" w:sz="4" w:space="0" w:color="auto"/>
            </w:tcBorders>
            <w:shd w:val="clear" w:color="auto" w:fill="auto"/>
          </w:tcPr>
          <w:p w14:paraId="4D366CC8" w14:textId="77777777" w:rsidR="003077F3" w:rsidRPr="00AC7487" w:rsidRDefault="003077F3" w:rsidP="003077F3">
            <w:pPr>
              <w:suppressAutoHyphens w:val="0"/>
              <w:spacing w:before="40" w:after="120" w:line="220" w:lineRule="exact"/>
              <w:rPr>
                <w:lang w:val="en-US"/>
              </w:rPr>
            </w:pPr>
            <w:r w:rsidRPr="00AC7487">
              <w:rPr>
                <w:lang w:val="en-US"/>
              </w:rPr>
              <w:t>SB 59</w:t>
            </w:r>
          </w:p>
        </w:tc>
        <w:tc>
          <w:tcPr>
            <w:tcW w:w="993" w:type="dxa"/>
            <w:tcBorders>
              <w:top w:val="single" w:sz="4" w:space="0" w:color="auto"/>
              <w:bottom w:val="single" w:sz="4" w:space="0" w:color="auto"/>
            </w:tcBorders>
            <w:shd w:val="clear" w:color="auto" w:fill="auto"/>
          </w:tcPr>
          <w:p w14:paraId="3BF81564" w14:textId="77777777" w:rsidR="003077F3" w:rsidRPr="00AC7487" w:rsidRDefault="003077F3" w:rsidP="003077F3">
            <w:pPr>
              <w:suppressAutoHyphens w:val="0"/>
              <w:spacing w:before="40" w:after="120" w:line="220" w:lineRule="exact"/>
              <w:rPr>
                <w:lang w:val="en-US"/>
              </w:rPr>
            </w:pPr>
            <w:r w:rsidRPr="00AC7487">
              <w:rPr>
                <w:lang w:val="en-US"/>
              </w:rPr>
              <w:t>KCI</w:t>
            </w:r>
          </w:p>
        </w:tc>
        <w:tc>
          <w:tcPr>
            <w:tcW w:w="4961" w:type="dxa"/>
            <w:tcBorders>
              <w:top w:val="single" w:sz="4" w:space="0" w:color="auto"/>
              <w:bottom w:val="single" w:sz="4" w:space="0" w:color="auto"/>
            </w:tcBorders>
            <w:shd w:val="clear" w:color="auto" w:fill="auto"/>
          </w:tcPr>
          <w:p w14:paraId="375963E9" w14:textId="77777777" w:rsidR="003077F3" w:rsidRPr="00AC7487" w:rsidRDefault="003077F3" w:rsidP="003077F3">
            <w:pPr>
              <w:suppressAutoHyphens w:val="0"/>
              <w:spacing w:before="40" w:after="120" w:line="220" w:lineRule="exact"/>
              <w:rPr>
                <w:lang w:val="en-US"/>
              </w:rPr>
            </w:pPr>
            <w:r w:rsidRPr="00AC7487">
              <w:rPr>
                <w:lang w:val="en-US"/>
              </w:rPr>
              <w:t>Input from experts, practitioners and relevant organizations</w:t>
            </w:r>
          </w:p>
          <w:p w14:paraId="7B5ABF87" w14:textId="77777777" w:rsidR="003077F3" w:rsidRPr="00AC7487" w:rsidRDefault="003077F3" w:rsidP="003077F3">
            <w:pPr>
              <w:suppressAutoHyphens w:val="0"/>
              <w:spacing w:before="40" w:after="120" w:line="220" w:lineRule="exact"/>
              <w:rPr>
                <w:lang w:val="en-US"/>
              </w:rPr>
            </w:pPr>
            <w:r w:rsidRPr="00AC7487">
              <w:rPr>
                <w:lang w:val="en-US"/>
              </w:rPr>
              <w:t>Technical paper</w:t>
            </w:r>
          </w:p>
        </w:tc>
      </w:tr>
      <w:tr w:rsidR="003077F3" w:rsidRPr="00AC7487" w14:paraId="65FFC67D" w14:textId="77777777" w:rsidTr="003077F3">
        <w:trPr>
          <w:trHeight w:val="240"/>
        </w:trPr>
        <w:tc>
          <w:tcPr>
            <w:tcW w:w="851" w:type="dxa"/>
            <w:vMerge/>
            <w:tcBorders>
              <w:top w:val="nil"/>
              <w:bottom w:val="single" w:sz="4" w:space="0" w:color="auto"/>
            </w:tcBorders>
            <w:shd w:val="clear" w:color="auto" w:fill="auto"/>
          </w:tcPr>
          <w:p w14:paraId="3CDAA354" w14:textId="77777777" w:rsidR="003077F3" w:rsidRPr="00AC7487" w:rsidRDefault="003077F3" w:rsidP="003077F3">
            <w:pPr>
              <w:suppressAutoHyphens w:val="0"/>
              <w:spacing w:before="40" w:after="120" w:line="220" w:lineRule="exact"/>
              <w:rPr>
                <w:lang w:val="en-US"/>
              </w:rPr>
            </w:pPr>
          </w:p>
        </w:tc>
        <w:tc>
          <w:tcPr>
            <w:tcW w:w="4678" w:type="dxa"/>
            <w:vMerge/>
            <w:tcBorders>
              <w:top w:val="nil"/>
              <w:bottom w:val="single" w:sz="4" w:space="0" w:color="auto"/>
            </w:tcBorders>
            <w:shd w:val="clear" w:color="auto" w:fill="auto"/>
          </w:tcPr>
          <w:p w14:paraId="2AB8AFF9" w14:textId="77777777" w:rsidR="003077F3" w:rsidRPr="00AC7487" w:rsidRDefault="003077F3" w:rsidP="003077F3">
            <w:pPr>
              <w:suppressAutoHyphens w:val="0"/>
              <w:spacing w:before="40" w:after="120" w:line="220" w:lineRule="exact"/>
              <w:ind w:left="-5" w:right="33"/>
              <w:rPr>
                <w:lang w:val="en-US"/>
              </w:rPr>
            </w:pPr>
          </w:p>
        </w:tc>
        <w:tc>
          <w:tcPr>
            <w:tcW w:w="2409" w:type="dxa"/>
            <w:vMerge/>
            <w:tcBorders>
              <w:top w:val="nil"/>
              <w:bottom w:val="single" w:sz="4" w:space="0" w:color="auto"/>
            </w:tcBorders>
            <w:shd w:val="clear" w:color="auto" w:fill="auto"/>
          </w:tcPr>
          <w:p w14:paraId="0A43B0DD" w14:textId="77777777" w:rsidR="003077F3" w:rsidRPr="00AC7487" w:rsidRDefault="003077F3" w:rsidP="003077F3">
            <w:pPr>
              <w:suppressAutoHyphens w:val="0"/>
              <w:spacing w:before="40" w:after="120" w:line="220" w:lineRule="exact"/>
              <w:rPr>
                <w:lang w:val="en-US"/>
              </w:rPr>
            </w:pPr>
          </w:p>
        </w:tc>
        <w:tc>
          <w:tcPr>
            <w:tcW w:w="993" w:type="dxa"/>
            <w:tcBorders>
              <w:top w:val="single" w:sz="4" w:space="0" w:color="auto"/>
              <w:bottom w:val="single" w:sz="4" w:space="0" w:color="auto"/>
            </w:tcBorders>
            <w:shd w:val="clear" w:color="auto" w:fill="auto"/>
          </w:tcPr>
          <w:p w14:paraId="61E4B3BF" w14:textId="77777777" w:rsidR="003077F3" w:rsidRPr="00AC7487" w:rsidRDefault="003077F3" w:rsidP="003077F3">
            <w:pPr>
              <w:suppressAutoHyphens w:val="0"/>
              <w:spacing w:before="40" w:after="120" w:line="220" w:lineRule="exact"/>
              <w:rPr>
                <w:lang w:val="en-US"/>
              </w:rPr>
            </w:pPr>
            <w:r w:rsidRPr="00AC7487">
              <w:rPr>
                <w:lang w:val="en-US"/>
              </w:rPr>
              <w:t>Forum</w:t>
            </w:r>
          </w:p>
        </w:tc>
        <w:tc>
          <w:tcPr>
            <w:tcW w:w="4961" w:type="dxa"/>
            <w:tcBorders>
              <w:top w:val="single" w:sz="4" w:space="0" w:color="auto"/>
              <w:bottom w:val="single" w:sz="4" w:space="0" w:color="auto"/>
            </w:tcBorders>
            <w:shd w:val="clear" w:color="auto" w:fill="auto"/>
          </w:tcPr>
          <w:p w14:paraId="1DD09FB3" w14:textId="77777777" w:rsidR="003077F3" w:rsidRPr="00AC7487" w:rsidRDefault="003077F3" w:rsidP="003077F3">
            <w:pPr>
              <w:suppressAutoHyphens w:val="0"/>
              <w:spacing w:before="40" w:after="120" w:line="220" w:lineRule="exact"/>
              <w:rPr>
                <w:lang w:val="en-US"/>
              </w:rPr>
            </w:pPr>
            <w:r w:rsidRPr="00AC7487">
              <w:rPr>
                <w:lang w:val="en-US"/>
              </w:rPr>
              <w:t>Exchange and sharing of experience and best practices</w:t>
            </w:r>
          </w:p>
          <w:p w14:paraId="678B4C6C" w14:textId="77777777" w:rsidR="003077F3" w:rsidRPr="00AC7487" w:rsidRDefault="003077F3" w:rsidP="003077F3">
            <w:pPr>
              <w:suppressAutoHyphens w:val="0"/>
              <w:spacing w:before="40" w:after="120" w:line="220" w:lineRule="exact"/>
              <w:rPr>
                <w:lang w:val="en-US"/>
              </w:rPr>
            </w:pPr>
            <w:r w:rsidRPr="00AC7487">
              <w:rPr>
                <w:lang w:val="en-US"/>
              </w:rPr>
              <w:t>Concrete examples</w:t>
            </w:r>
          </w:p>
        </w:tc>
      </w:tr>
      <w:tr w:rsidR="003077F3" w:rsidRPr="00AC7487" w14:paraId="75A8D8AA" w14:textId="77777777" w:rsidTr="003077F3">
        <w:trPr>
          <w:trHeight w:val="240"/>
        </w:trPr>
        <w:tc>
          <w:tcPr>
            <w:tcW w:w="851" w:type="dxa"/>
            <w:vMerge w:val="restart"/>
            <w:tcBorders>
              <w:top w:val="single" w:sz="4" w:space="0" w:color="auto"/>
            </w:tcBorders>
            <w:shd w:val="clear" w:color="auto" w:fill="auto"/>
          </w:tcPr>
          <w:p w14:paraId="206EA1E6" w14:textId="77777777" w:rsidR="003077F3" w:rsidRPr="00AC7487" w:rsidRDefault="003077F3" w:rsidP="003077F3">
            <w:pPr>
              <w:suppressAutoHyphens w:val="0"/>
              <w:spacing w:before="40" w:after="120" w:line="220" w:lineRule="exact"/>
              <w:rPr>
                <w:lang w:val="en-US"/>
              </w:rPr>
            </w:pPr>
            <w:r w:rsidRPr="00AC7487">
              <w:rPr>
                <w:lang w:val="en-US"/>
              </w:rPr>
              <w:t>9</w:t>
            </w:r>
          </w:p>
        </w:tc>
        <w:tc>
          <w:tcPr>
            <w:tcW w:w="4678" w:type="dxa"/>
            <w:vMerge w:val="restart"/>
            <w:tcBorders>
              <w:top w:val="single" w:sz="4" w:space="0" w:color="auto"/>
            </w:tcBorders>
            <w:shd w:val="clear" w:color="auto" w:fill="auto"/>
          </w:tcPr>
          <w:p w14:paraId="4F45AB07" w14:textId="77777777" w:rsidR="003077F3" w:rsidRPr="00AC7487" w:rsidRDefault="003077F3" w:rsidP="003077F3">
            <w:pPr>
              <w:suppressAutoHyphens w:val="0"/>
              <w:spacing w:before="40" w:after="120" w:line="220" w:lineRule="exact"/>
              <w:ind w:left="-5" w:right="33"/>
              <w:rPr>
                <w:lang w:val="en-US"/>
              </w:rPr>
            </w:pPr>
            <w:r w:rsidRPr="00AC7487">
              <w:rPr>
                <w:lang w:val="en-US"/>
              </w:rPr>
              <w:t xml:space="preserve">Identify and assess the impacts of the implementation of response measures </w:t>
            </w:r>
            <w:proofErr w:type="gramStart"/>
            <w:r w:rsidRPr="00AC7487">
              <w:rPr>
                <w:lang w:val="en-US"/>
              </w:rPr>
              <w:t>taking into account</w:t>
            </w:r>
            <w:proofErr w:type="gramEnd"/>
            <w:r w:rsidRPr="00AC7487">
              <w:rPr>
                <w:lang w:val="en-US"/>
              </w:rPr>
              <w:t xml:space="preserve"> </w:t>
            </w:r>
            <w:r>
              <w:rPr>
                <w:lang w:val="en-US"/>
              </w:rPr>
              <w:t>inter</w:t>
            </w:r>
            <w:r w:rsidRPr="00AC7487">
              <w:rPr>
                <w:lang w:val="en-US"/>
              </w:rPr>
              <w:t>generational equity, gender considerations and the needs of local communities, indigenous peoples, youth and other people in vulnerable situations</w:t>
            </w:r>
          </w:p>
        </w:tc>
        <w:tc>
          <w:tcPr>
            <w:tcW w:w="2409" w:type="dxa"/>
            <w:vMerge w:val="restart"/>
            <w:tcBorders>
              <w:top w:val="single" w:sz="4" w:space="0" w:color="auto"/>
            </w:tcBorders>
            <w:shd w:val="clear" w:color="auto" w:fill="auto"/>
          </w:tcPr>
          <w:p w14:paraId="3EBF0768" w14:textId="77777777" w:rsidR="003077F3" w:rsidRPr="00AC7487" w:rsidRDefault="003077F3" w:rsidP="003077F3">
            <w:pPr>
              <w:suppressAutoHyphens w:val="0"/>
              <w:spacing w:before="40" w:after="120" w:line="220" w:lineRule="exact"/>
              <w:rPr>
                <w:lang w:val="en-US"/>
              </w:rPr>
            </w:pPr>
            <w:r w:rsidRPr="00AC7487">
              <w:rPr>
                <w:lang w:val="en-US"/>
              </w:rPr>
              <w:t>SB 56</w:t>
            </w:r>
            <w:r>
              <w:rPr>
                <w:lang w:val="en-US"/>
              </w:rPr>
              <w:t xml:space="preserve"> </w:t>
            </w:r>
            <w:r w:rsidRPr="00AC7487">
              <w:rPr>
                <w:lang w:val="en-US"/>
              </w:rPr>
              <w:t xml:space="preserve">and </w:t>
            </w:r>
            <w:r>
              <w:rPr>
                <w:lang w:val="en-US"/>
              </w:rPr>
              <w:t xml:space="preserve">SB </w:t>
            </w:r>
            <w:r w:rsidRPr="00AC7487">
              <w:rPr>
                <w:lang w:val="en-US"/>
              </w:rPr>
              <w:t>62</w:t>
            </w:r>
            <w:r>
              <w:rPr>
                <w:lang w:val="en-US"/>
              </w:rPr>
              <w:t xml:space="preserve"> (2025)</w:t>
            </w:r>
          </w:p>
        </w:tc>
        <w:tc>
          <w:tcPr>
            <w:tcW w:w="993" w:type="dxa"/>
            <w:tcBorders>
              <w:top w:val="single" w:sz="4" w:space="0" w:color="auto"/>
              <w:bottom w:val="single" w:sz="4" w:space="0" w:color="auto"/>
            </w:tcBorders>
            <w:shd w:val="clear" w:color="auto" w:fill="auto"/>
          </w:tcPr>
          <w:p w14:paraId="418BEEC8" w14:textId="77777777" w:rsidR="003077F3" w:rsidRPr="00AC7487" w:rsidRDefault="003077F3" w:rsidP="003077F3">
            <w:pPr>
              <w:suppressAutoHyphens w:val="0"/>
              <w:spacing w:before="40" w:after="120" w:line="220" w:lineRule="exact"/>
              <w:rPr>
                <w:lang w:val="en-US"/>
              </w:rPr>
            </w:pPr>
            <w:r w:rsidRPr="00AC7487">
              <w:rPr>
                <w:lang w:val="en-US"/>
              </w:rPr>
              <w:t>KCI</w:t>
            </w:r>
          </w:p>
        </w:tc>
        <w:tc>
          <w:tcPr>
            <w:tcW w:w="4961" w:type="dxa"/>
            <w:tcBorders>
              <w:top w:val="single" w:sz="4" w:space="0" w:color="auto"/>
              <w:bottom w:val="single" w:sz="4" w:space="0" w:color="auto"/>
            </w:tcBorders>
            <w:shd w:val="clear" w:color="auto" w:fill="auto"/>
          </w:tcPr>
          <w:p w14:paraId="30544BDE" w14:textId="77777777" w:rsidR="003077F3" w:rsidRPr="00AC7487" w:rsidRDefault="003077F3" w:rsidP="003077F3">
            <w:pPr>
              <w:suppressAutoHyphens w:val="0"/>
              <w:spacing w:before="40" w:after="120" w:line="220" w:lineRule="exact"/>
              <w:rPr>
                <w:lang w:val="en-US"/>
              </w:rPr>
            </w:pPr>
            <w:r w:rsidRPr="00AC7487">
              <w:rPr>
                <w:lang w:val="en-US"/>
              </w:rPr>
              <w:t>Input from experts, practitioners and relevant organizations</w:t>
            </w:r>
          </w:p>
          <w:p w14:paraId="2CEF5BFE" w14:textId="77777777" w:rsidR="003077F3" w:rsidRPr="00AC7487" w:rsidRDefault="003077F3" w:rsidP="003077F3">
            <w:pPr>
              <w:suppressAutoHyphens w:val="0"/>
              <w:spacing w:before="40" w:after="120" w:line="220" w:lineRule="exact"/>
              <w:rPr>
                <w:lang w:val="en-US"/>
              </w:rPr>
            </w:pPr>
            <w:r w:rsidRPr="00AC7487">
              <w:rPr>
                <w:lang w:val="en-US"/>
              </w:rPr>
              <w:t>Technical paper</w:t>
            </w:r>
          </w:p>
        </w:tc>
      </w:tr>
      <w:tr w:rsidR="003077F3" w:rsidRPr="00AC7487" w14:paraId="6388F95B" w14:textId="77777777" w:rsidTr="003077F3">
        <w:trPr>
          <w:trHeight w:val="240"/>
        </w:trPr>
        <w:tc>
          <w:tcPr>
            <w:tcW w:w="851" w:type="dxa"/>
            <w:vMerge/>
            <w:tcBorders>
              <w:top w:val="nil"/>
              <w:bottom w:val="single" w:sz="4" w:space="0" w:color="auto"/>
            </w:tcBorders>
            <w:shd w:val="clear" w:color="auto" w:fill="auto"/>
          </w:tcPr>
          <w:p w14:paraId="698CF734" w14:textId="77777777" w:rsidR="003077F3" w:rsidRPr="00AC7487" w:rsidRDefault="003077F3" w:rsidP="003077F3">
            <w:pPr>
              <w:suppressAutoHyphens w:val="0"/>
              <w:spacing w:before="40" w:after="120" w:line="220" w:lineRule="exact"/>
              <w:rPr>
                <w:lang w:val="en-US"/>
              </w:rPr>
            </w:pPr>
          </w:p>
        </w:tc>
        <w:tc>
          <w:tcPr>
            <w:tcW w:w="4678" w:type="dxa"/>
            <w:vMerge/>
            <w:tcBorders>
              <w:top w:val="nil"/>
              <w:bottom w:val="single" w:sz="4" w:space="0" w:color="auto"/>
            </w:tcBorders>
            <w:shd w:val="clear" w:color="auto" w:fill="auto"/>
          </w:tcPr>
          <w:p w14:paraId="5FF4730F" w14:textId="77777777" w:rsidR="003077F3" w:rsidRPr="00AC7487" w:rsidRDefault="003077F3" w:rsidP="003077F3">
            <w:pPr>
              <w:suppressAutoHyphens w:val="0"/>
              <w:spacing w:before="40" w:after="120" w:line="220" w:lineRule="exact"/>
              <w:ind w:left="-5" w:right="33"/>
              <w:rPr>
                <w:lang w:val="en-US"/>
              </w:rPr>
            </w:pPr>
          </w:p>
        </w:tc>
        <w:tc>
          <w:tcPr>
            <w:tcW w:w="2409" w:type="dxa"/>
            <w:vMerge/>
            <w:tcBorders>
              <w:top w:val="nil"/>
              <w:bottom w:val="single" w:sz="4" w:space="0" w:color="auto"/>
            </w:tcBorders>
            <w:shd w:val="clear" w:color="auto" w:fill="auto"/>
          </w:tcPr>
          <w:p w14:paraId="3FEEF93D" w14:textId="77777777" w:rsidR="003077F3" w:rsidRPr="00AC7487" w:rsidRDefault="003077F3" w:rsidP="003077F3">
            <w:pPr>
              <w:suppressAutoHyphens w:val="0"/>
              <w:spacing w:before="40" w:after="120" w:line="220" w:lineRule="exact"/>
              <w:rPr>
                <w:lang w:val="en-US"/>
              </w:rPr>
            </w:pPr>
          </w:p>
        </w:tc>
        <w:tc>
          <w:tcPr>
            <w:tcW w:w="993" w:type="dxa"/>
            <w:tcBorders>
              <w:top w:val="single" w:sz="4" w:space="0" w:color="auto"/>
              <w:bottom w:val="single" w:sz="4" w:space="0" w:color="auto"/>
            </w:tcBorders>
            <w:shd w:val="clear" w:color="auto" w:fill="auto"/>
          </w:tcPr>
          <w:p w14:paraId="4DDC7D7D" w14:textId="77777777" w:rsidR="003077F3" w:rsidRPr="00AC7487" w:rsidRDefault="003077F3" w:rsidP="003077F3">
            <w:pPr>
              <w:suppressAutoHyphens w:val="0"/>
              <w:spacing w:before="40" w:after="120" w:line="220" w:lineRule="exact"/>
              <w:rPr>
                <w:lang w:val="en-US"/>
              </w:rPr>
            </w:pPr>
            <w:r w:rsidRPr="00AC7487">
              <w:rPr>
                <w:lang w:val="en-US"/>
              </w:rPr>
              <w:t>Forum</w:t>
            </w:r>
          </w:p>
        </w:tc>
        <w:tc>
          <w:tcPr>
            <w:tcW w:w="4961" w:type="dxa"/>
            <w:tcBorders>
              <w:top w:val="single" w:sz="4" w:space="0" w:color="auto"/>
              <w:bottom w:val="single" w:sz="4" w:space="0" w:color="auto"/>
            </w:tcBorders>
            <w:shd w:val="clear" w:color="auto" w:fill="auto"/>
          </w:tcPr>
          <w:p w14:paraId="1EC70692" w14:textId="77777777" w:rsidR="003077F3" w:rsidRPr="00AC7487" w:rsidRDefault="003077F3" w:rsidP="003077F3">
            <w:pPr>
              <w:suppressAutoHyphens w:val="0"/>
              <w:spacing w:before="40" w:after="120" w:line="220" w:lineRule="exact"/>
              <w:rPr>
                <w:lang w:val="en-US"/>
              </w:rPr>
            </w:pPr>
            <w:r w:rsidRPr="00AC7487">
              <w:rPr>
                <w:lang w:val="en-US"/>
              </w:rPr>
              <w:t>Exchange and sharing of experience and best practices</w:t>
            </w:r>
          </w:p>
          <w:p w14:paraId="5453C091" w14:textId="77777777" w:rsidR="003077F3" w:rsidRPr="00AC7487" w:rsidRDefault="003077F3" w:rsidP="003077F3">
            <w:pPr>
              <w:suppressAutoHyphens w:val="0"/>
              <w:spacing w:before="40" w:after="120" w:line="220" w:lineRule="exact"/>
              <w:rPr>
                <w:lang w:val="en-US"/>
              </w:rPr>
            </w:pPr>
            <w:r w:rsidRPr="00AC7487">
              <w:rPr>
                <w:lang w:val="en-US"/>
              </w:rPr>
              <w:t>Input from experts, practitioners and relevant organizations</w:t>
            </w:r>
          </w:p>
          <w:p w14:paraId="2C0F56FD" w14:textId="77777777" w:rsidR="003077F3" w:rsidRPr="00AC7487" w:rsidRDefault="003077F3" w:rsidP="003077F3">
            <w:pPr>
              <w:suppressAutoHyphens w:val="0"/>
              <w:spacing w:before="40" w:after="120" w:line="220" w:lineRule="exact"/>
              <w:rPr>
                <w:lang w:val="en-US"/>
              </w:rPr>
            </w:pPr>
            <w:r w:rsidRPr="00AC7487">
              <w:rPr>
                <w:lang w:val="en-US"/>
              </w:rPr>
              <w:t>In-session workshop</w:t>
            </w:r>
          </w:p>
        </w:tc>
      </w:tr>
      <w:tr w:rsidR="003077F3" w:rsidRPr="00AC7487" w14:paraId="454C22B2" w14:textId="77777777" w:rsidTr="003077F3">
        <w:trPr>
          <w:trHeight w:val="240"/>
        </w:trPr>
        <w:tc>
          <w:tcPr>
            <w:tcW w:w="851" w:type="dxa"/>
            <w:vMerge w:val="restart"/>
            <w:tcBorders>
              <w:top w:val="single" w:sz="4" w:space="0" w:color="auto"/>
            </w:tcBorders>
            <w:shd w:val="clear" w:color="auto" w:fill="auto"/>
          </w:tcPr>
          <w:p w14:paraId="18D302E9" w14:textId="77777777" w:rsidR="003077F3" w:rsidRPr="00AC7487" w:rsidRDefault="003077F3" w:rsidP="003077F3">
            <w:pPr>
              <w:suppressAutoHyphens w:val="0"/>
              <w:spacing w:before="40" w:after="120" w:line="220" w:lineRule="exact"/>
              <w:rPr>
                <w:lang w:val="en-US"/>
              </w:rPr>
            </w:pPr>
            <w:r w:rsidRPr="00AC7487">
              <w:rPr>
                <w:lang w:val="en-US"/>
              </w:rPr>
              <w:t>10</w:t>
            </w:r>
          </w:p>
        </w:tc>
        <w:tc>
          <w:tcPr>
            <w:tcW w:w="4678" w:type="dxa"/>
            <w:vMerge w:val="restart"/>
            <w:tcBorders>
              <w:top w:val="single" w:sz="4" w:space="0" w:color="auto"/>
            </w:tcBorders>
            <w:shd w:val="clear" w:color="auto" w:fill="auto"/>
          </w:tcPr>
          <w:p w14:paraId="722358DE" w14:textId="77777777" w:rsidR="003077F3" w:rsidRPr="00AC7487" w:rsidRDefault="003077F3" w:rsidP="003077F3">
            <w:pPr>
              <w:suppressAutoHyphens w:val="0"/>
              <w:spacing w:before="40" w:after="120" w:line="220" w:lineRule="exact"/>
              <w:ind w:left="-5" w:right="33"/>
              <w:rPr>
                <w:lang w:val="en-US"/>
              </w:rPr>
            </w:pPr>
            <w:r w:rsidRPr="00AC7487">
              <w:rPr>
                <w:lang w:val="en-US"/>
              </w:rPr>
              <w:t xml:space="preserve">Share experience and best practices </w:t>
            </w:r>
            <w:r>
              <w:rPr>
                <w:shd w:val="clear" w:color="auto" w:fill="FFFFFF" w:themeFill="background1"/>
                <w:lang w:val="en-US"/>
              </w:rPr>
              <w:t>in</w:t>
            </w:r>
            <w:r w:rsidRPr="00AC7487">
              <w:rPr>
                <w:shd w:val="clear" w:color="auto" w:fill="FFFFFF" w:themeFill="background1"/>
                <w:lang w:val="en-US"/>
              </w:rPr>
              <w:t xml:space="preserve"> reporting</w:t>
            </w:r>
            <w:r w:rsidRPr="00AC7487">
              <w:rPr>
                <w:lang w:val="en-US"/>
              </w:rPr>
              <w:t xml:space="preserve"> and informing on efforts to assess and </w:t>
            </w:r>
            <w:proofErr w:type="spellStart"/>
            <w:r w:rsidRPr="00AC7487">
              <w:rPr>
                <w:lang w:val="en-US"/>
              </w:rPr>
              <w:t>analy</w:t>
            </w:r>
            <w:r>
              <w:rPr>
                <w:lang w:val="en-US"/>
              </w:rPr>
              <w:t>s</w:t>
            </w:r>
            <w:r w:rsidRPr="00AC7487">
              <w:rPr>
                <w:lang w:val="en-US"/>
              </w:rPr>
              <w:t>e</w:t>
            </w:r>
            <w:proofErr w:type="spellEnd"/>
            <w:r w:rsidRPr="00AC7487">
              <w:rPr>
                <w:lang w:val="en-US"/>
              </w:rPr>
              <w:t xml:space="preserve"> the impacts of the implementation of response measures</w:t>
            </w:r>
          </w:p>
        </w:tc>
        <w:tc>
          <w:tcPr>
            <w:tcW w:w="2409" w:type="dxa"/>
            <w:vMerge w:val="restart"/>
            <w:tcBorders>
              <w:top w:val="single" w:sz="4" w:space="0" w:color="auto"/>
            </w:tcBorders>
            <w:shd w:val="clear" w:color="auto" w:fill="auto"/>
          </w:tcPr>
          <w:p w14:paraId="51152DA4" w14:textId="77777777" w:rsidR="003077F3" w:rsidRPr="00AC7487" w:rsidRDefault="003077F3" w:rsidP="003077F3">
            <w:pPr>
              <w:suppressAutoHyphens w:val="0"/>
              <w:spacing w:before="40" w:after="120" w:line="220" w:lineRule="exact"/>
              <w:rPr>
                <w:lang w:val="en-US"/>
              </w:rPr>
            </w:pPr>
            <w:r w:rsidRPr="00AC7487">
              <w:rPr>
                <w:lang w:val="en-US"/>
              </w:rPr>
              <w:t>SB 61</w:t>
            </w:r>
          </w:p>
        </w:tc>
        <w:tc>
          <w:tcPr>
            <w:tcW w:w="993" w:type="dxa"/>
            <w:tcBorders>
              <w:top w:val="single" w:sz="4" w:space="0" w:color="auto"/>
              <w:bottom w:val="single" w:sz="4" w:space="0" w:color="auto"/>
            </w:tcBorders>
            <w:shd w:val="clear" w:color="auto" w:fill="auto"/>
          </w:tcPr>
          <w:p w14:paraId="3484C31F" w14:textId="77777777" w:rsidR="003077F3" w:rsidRPr="00AC7487" w:rsidRDefault="003077F3" w:rsidP="003077F3">
            <w:pPr>
              <w:suppressAutoHyphens w:val="0"/>
              <w:spacing w:before="40" w:after="120" w:line="220" w:lineRule="exact"/>
              <w:rPr>
                <w:lang w:val="en-US"/>
              </w:rPr>
            </w:pPr>
            <w:r w:rsidRPr="00AC7487">
              <w:rPr>
                <w:lang w:val="en-US"/>
              </w:rPr>
              <w:t>KCI</w:t>
            </w:r>
          </w:p>
        </w:tc>
        <w:tc>
          <w:tcPr>
            <w:tcW w:w="4961" w:type="dxa"/>
            <w:tcBorders>
              <w:top w:val="single" w:sz="4" w:space="0" w:color="auto"/>
              <w:bottom w:val="single" w:sz="4" w:space="0" w:color="auto"/>
            </w:tcBorders>
            <w:shd w:val="clear" w:color="auto" w:fill="auto"/>
          </w:tcPr>
          <w:p w14:paraId="643E4E3B" w14:textId="77777777" w:rsidR="003077F3" w:rsidRPr="00AC7487" w:rsidRDefault="003077F3" w:rsidP="003077F3">
            <w:pPr>
              <w:suppressAutoHyphens w:val="0"/>
              <w:spacing w:before="40" w:after="120" w:line="220" w:lineRule="exact"/>
              <w:rPr>
                <w:lang w:val="en-US"/>
              </w:rPr>
            </w:pPr>
            <w:r w:rsidRPr="00AC7487">
              <w:rPr>
                <w:lang w:val="en-US"/>
              </w:rPr>
              <w:t>Exchange and sharing of experience and best practices</w:t>
            </w:r>
          </w:p>
        </w:tc>
      </w:tr>
      <w:tr w:rsidR="003077F3" w:rsidRPr="00AC7487" w14:paraId="28D49A01" w14:textId="77777777" w:rsidTr="003077F3">
        <w:trPr>
          <w:trHeight w:val="240"/>
        </w:trPr>
        <w:tc>
          <w:tcPr>
            <w:tcW w:w="851" w:type="dxa"/>
            <w:vMerge/>
            <w:tcBorders>
              <w:top w:val="nil"/>
              <w:bottom w:val="single" w:sz="4" w:space="0" w:color="auto"/>
            </w:tcBorders>
            <w:shd w:val="clear" w:color="auto" w:fill="auto"/>
          </w:tcPr>
          <w:p w14:paraId="14DBEAC5" w14:textId="77777777" w:rsidR="003077F3" w:rsidRPr="00AC7487" w:rsidRDefault="003077F3" w:rsidP="003077F3">
            <w:pPr>
              <w:suppressAutoHyphens w:val="0"/>
              <w:spacing w:before="40" w:after="120" w:line="220" w:lineRule="exact"/>
              <w:rPr>
                <w:lang w:val="en-US"/>
              </w:rPr>
            </w:pPr>
          </w:p>
        </w:tc>
        <w:tc>
          <w:tcPr>
            <w:tcW w:w="4678" w:type="dxa"/>
            <w:vMerge/>
            <w:tcBorders>
              <w:top w:val="nil"/>
              <w:bottom w:val="single" w:sz="4" w:space="0" w:color="auto"/>
            </w:tcBorders>
            <w:shd w:val="clear" w:color="auto" w:fill="auto"/>
          </w:tcPr>
          <w:p w14:paraId="53CA54D1" w14:textId="77777777" w:rsidR="003077F3" w:rsidRPr="00AC7487" w:rsidRDefault="003077F3" w:rsidP="003077F3">
            <w:pPr>
              <w:suppressAutoHyphens w:val="0"/>
              <w:spacing w:before="40" w:after="120" w:line="220" w:lineRule="exact"/>
              <w:ind w:left="-5" w:right="33"/>
              <w:rPr>
                <w:lang w:val="en-US"/>
              </w:rPr>
            </w:pPr>
          </w:p>
        </w:tc>
        <w:tc>
          <w:tcPr>
            <w:tcW w:w="2409" w:type="dxa"/>
            <w:vMerge/>
            <w:tcBorders>
              <w:top w:val="nil"/>
              <w:bottom w:val="single" w:sz="4" w:space="0" w:color="auto"/>
            </w:tcBorders>
            <w:shd w:val="clear" w:color="auto" w:fill="auto"/>
          </w:tcPr>
          <w:p w14:paraId="1424BA2F" w14:textId="77777777" w:rsidR="003077F3" w:rsidRPr="00AC7487" w:rsidRDefault="003077F3" w:rsidP="003077F3">
            <w:pPr>
              <w:suppressAutoHyphens w:val="0"/>
              <w:spacing w:before="40" w:after="120" w:line="220" w:lineRule="exact"/>
              <w:rPr>
                <w:lang w:val="en-US"/>
              </w:rPr>
            </w:pPr>
          </w:p>
        </w:tc>
        <w:tc>
          <w:tcPr>
            <w:tcW w:w="993" w:type="dxa"/>
            <w:tcBorders>
              <w:top w:val="single" w:sz="4" w:space="0" w:color="auto"/>
              <w:bottom w:val="single" w:sz="4" w:space="0" w:color="auto"/>
            </w:tcBorders>
            <w:shd w:val="clear" w:color="auto" w:fill="auto"/>
          </w:tcPr>
          <w:p w14:paraId="600751E6" w14:textId="77777777" w:rsidR="003077F3" w:rsidRPr="00AC7487" w:rsidRDefault="003077F3" w:rsidP="003077F3">
            <w:pPr>
              <w:suppressAutoHyphens w:val="0"/>
              <w:spacing w:before="40" w:after="120" w:line="220" w:lineRule="exact"/>
              <w:rPr>
                <w:lang w:val="en-US"/>
              </w:rPr>
            </w:pPr>
            <w:r w:rsidRPr="00AC7487">
              <w:rPr>
                <w:lang w:val="en-US"/>
              </w:rPr>
              <w:t>Forum</w:t>
            </w:r>
          </w:p>
        </w:tc>
        <w:tc>
          <w:tcPr>
            <w:tcW w:w="4961" w:type="dxa"/>
            <w:tcBorders>
              <w:top w:val="single" w:sz="4" w:space="0" w:color="auto"/>
              <w:bottom w:val="single" w:sz="4" w:space="0" w:color="auto"/>
            </w:tcBorders>
            <w:shd w:val="clear" w:color="auto" w:fill="auto"/>
          </w:tcPr>
          <w:p w14:paraId="13DDC092" w14:textId="77777777" w:rsidR="003077F3" w:rsidRPr="00AC7487" w:rsidRDefault="003077F3" w:rsidP="003077F3">
            <w:pPr>
              <w:suppressAutoHyphens w:val="0"/>
              <w:spacing w:before="40" w:after="120" w:line="220" w:lineRule="exact"/>
              <w:rPr>
                <w:lang w:val="en-US"/>
              </w:rPr>
            </w:pPr>
            <w:r w:rsidRPr="00AC7487">
              <w:rPr>
                <w:lang w:val="en-US"/>
              </w:rPr>
              <w:t>Exchange and sharing of experience and best practices</w:t>
            </w:r>
          </w:p>
          <w:p w14:paraId="3D31569D" w14:textId="77777777" w:rsidR="003077F3" w:rsidRPr="00AC7487" w:rsidRDefault="003077F3" w:rsidP="003077F3">
            <w:pPr>
              <w:suppressAutoHyphens w:val="0"/>
              <w:spacing w:before="40" w:after="120" w:line="220" w:lineRule="exact"/>
              <w:rPr>
                <w:lang w:val="en-US"/>
              </w:rPr>
            </w:pPr>
            <w:r w:rsidRPr="00AC7487">
              <w:rPr>
                <w:lang w:val="en-US"/>
              </w:rPr>
              <w:t>Concrete examples</w:t>
            </w:r>
          </w:p>
        </w:tc>
      </w:tr>
      <w:tr w:rsidR="003077F3" w:rsidRPr="00AC7487" w14:paraId="33C7C215" w14:textId="77777777" w:rsidTr="003077F3">
        <w:trPr>
          <w:trHeight w:val="240"/>
        </w:trPr>
        <w:tc>
          <w:tcPr>
            <w:tcW w:w="851" w:type="dxa"/>
            <w:vMerge w:val="restart"/>
            <w:tcBorders>
              <w:top w:val="single" w:sz="4" w:space="0" w:color="auto"/>
            </w:tcBorders>
            <w:shd w:val="clear" w:color="auto" w:fill="auto"/>
          </w:tcPr>
          <w:p w14:paraId="7F24F173" w14:textId="77777777" w:rsidR="003077F3" w:rsidRPr="00AC7487" w:rsidRDefault="003077F3" w:rsidP="003077F3">
            <w:pPr>
              <w:suppressAutoHyphens w:val="0"/>
              <w:spacing w:before="40" w:after="120" w:line="220" w:lineRule="exact"/>
              <w:rPr>
                <w:lang w:val="en-US"/>
              </w:rPr>
            </w:pPr>
            <w:r w:rsidRPr="00AC7487">
              <w:rPr>
                <w:lang w:val="en-US"/>
              </w:rPr>
              <w:t>11</w:t>
            </w:r>
          </w:p>
        </w:tc>
        <w:tc>
          <w:tcPr>
            <w:tcW w:w="4678" w:type="dxa"/>
            <w:vMerge w:val="restart"/>
            <w:tcBorders>
              <w:top w:val="single" w:sz="4" w:space="0" w:color="auto"/>
            </w:tcBorders>
            <w:shd w:val="clear" w:color="auto" w:fill="auto"/>
          </w:tcPr>
          <w:p w14:paraId="474FC7DB" w14:textId="77777777" w:rsidR="003077F3" w:rsidRPr="00AC7487" w:rsidRDefault="003077F3" w:rsidP="003077F3">
            <w:pPr>
              <w:suppressAutoHyphens w:val="0"/>
              <w:spacing w:before="40" w:after="120" w:line="220" w:lineRule="exact"/>
              <w:ind w:left="-5" w:right="33"/>
              <w:rPr>
                <w:lang w:val="en-US"/>
              </w:rPr>
            </w:pPr>
            <w:r w:rsidRPr="00AC7487">
              <w:rPr>
                <w:lang w:val="en-US"/>
              </w:rPr>
              <w:t xml:space="preserve">Facilitate, exchange and share experiences and best practices </w:t>
            </w:r>
            <w:r>
              <w:rPr>
                <w:lang w:val="en-US"/>
              </w:rPr>
              <w:t>i</w:t>
            </w:r>
            <w:r w:rsidRPr="00AC7487">
              <w:rPr>
                <w:lang w:val="en-US"/>
              </w:rPr>
              <w:t>n the assessment of the environmental, social and economic co-benefits of climate change policies and actions informed by the best available science, including the use of existing tools and methodologies</w:t>
            </w:r>
          </w:p>
        </w:tc>
        <w:tc>
          <w:tcPr>
            <w:tcW w:w="2409" w:type="dxa"/>
            <w:vMerge w:val="restart"/>
            <w:tcBorders>
              <w:top w:val="single" w:sz="4" w:space="0" w:color="auto"/>
            </w:tcBorders>
            <w:shd w:val="clear" w:color="auto" w:fill="auto"/>
          </w:tcPr>
          <w:p w14:paraId="5AB2F8CB" w14:textId="77777777" w:rsidR="003077F3" w:rsidRPr="00AC7487" w:rsidRDefault="003077F3" w:rsidP="003077F3">
            <w:pPr>
              <w:suppressAutoHyphens w:val="0"/>
              <w:spacing w:before="40" w:after="120" w:line="220" w:lineRule="exact"/>
              <w:rPr>
                <w:lang w:val="en-US"/>
              </w:rPr>
            </w:pPr>
            <w:r w:rsidRPr="00AC7487">
              <w:rPr>
                <w:lang w:val="en-US"/>
              </w:rPr>
              <w:t>SB 55</w:t>
            </w:r>
            <w:r>
              <w:rPr>
                <w:lang w:val="en-US"/>
              </w:rPr>
              <w:t xml:space="preserve"> </w:t>
            </w:r>
            <w:r w:rsidRPr="00AC7487">
              <w:rPr>
                <w:lang w:val="en-US"/>
              </w:rPr>
              <w:t>and SB 57</w:t>
            </w:r>
          </w:p>
        </w:tc>
        <w:tc>
          <w:tcPr>
            <w:tcW w:w="993" w:type="dxa"/>
            <w:tcBorders>
              <w:top w:val="single" w:sz="4" w:space="0" w:color="auto"/>
              <w:bottom w:val="single" w:sz="4" w:space="0" w:color="auto"/>
            </w:tcBorders>
            <w:shd w:val="clear" w:color="auto" w:fill="auto"/>
          </w:tcPr>
          <w:p w14:paraId="1EFF7497" w14:textId="77777777" w:rsidR="003077F3" w:rsidRPr="00AC7487" w:rsidRDefault="003077F3" w:rsidP="003077F3">
            <w:pPr>
              <w:suppressAutoHyphens w:val="0"/>
              <w:spacing w:before="40" w:after="120" w:line="220" w:lineRule="exact"/>
              <w:rPr>
                <w:lang w:val="en-US"/>
              </w:rPr>
            </w:pPr>
            <w:r w:rsidRPr="00AC7487">
              <w:rPr>
                <w:lang w:val="en-US"/>
              </w:rPr>
              <w:t>KCI</w:t>
            </w:r>
          </w:p>
        </w:tc>
        <w:tc>
          <w:tcPr>
            <w:tcW w:w="4961" w:type="dxa"/>
            <w:tcBorders>
              <w:top w:val="single" w:sz="4" w:space="0" w:color="auto"/>
              <w:bottom w:val="single" w:sz="4" w:space="0" w:color="auto"/>
            </w:tcBorders>
            <w:shd w:val="clear" w:color="auto" w:fill="auto"/>
          </w:tcPr>
          <w:p w14:paraId="49288D76" w14:textId="77777777" w:rsidR="003077F3" w:rsidRPr="00AC7487" w:rsidRDefault="003077F3" w:rsidP="003077F3">
            <w:pPr>
              <w:suppressAutoHyphens w:val="0"/>
              <w:spacing w:before="40" w:after="120" w:line="220" w:lineRule="exact"/>
              <w:rPr>
                <w:lang w:val="en-US"/>
              </w:rPr>
            </w:pPr>
            <w:r w:rsidRPr="00AC7487">
              <w:rPr>
                <w:lang w:val="en-US"/>
              </w:rPr>
              <w:t>Input from experts, practitioners and relevant organizations</w:t>
            </w:r>
          </w:p>
        </w:tc>
      </w:tr>
      <w:tr w:rsidR="003077F3" w:rsidRPr="00AC7487" w14:paraId="4E28C3C5" w14:textId="77777777" w:rsidTr="003077F3">
        <w:trPr>
          <w:trHeight w:val="240"/>
        </w:trPr>
        <w:tc>
          <w:tcPr>
            <w:tcW w:w="851" w:type="dxa"/>
            <w:vMerge/>
            <w:tcBorders>
              <w:bottom w:val="single" w:sz="12" w:space="0" w:color="auto"/>
            </w:tcBorders>
            <w:shd w:val="clear" w:color="auto" w:fill="auto"/>
          </w:tcPr>
          <w:p w14:paraId="116D6DC8" w14:textId="77777777" w:rsidR="003077F3" w:rsidRPr="00AC7487" w:rsidRDefault="003077F3" w:rsidP="003077F3">
            <w:pPr>
              <w:suppressAutoHyphens w:val="0"/>
              <w:spacing w:before="40" w:after="120" w:line="220" w:lineRule="exact"/>
              <w:rPr>
                <w:lang w:val="en-US"/>
              </w:rPr>
            </w:pPr>
          </w:p>
        </w:tc>
        <w:tc>
          <w:tcPr>
            <w:tcW w:w="4678" w:type="dxa"/>
            <w:vMerge/>
            <w:tcBorders>
              <w:bottom w:val="single" w:sz="12" w:space="0" w:color="auto"/>
            </w:tcBorders>
            <w:shd w:val="clear" w:color="auto" w:fill="auto"/>
          </w:tcPr>
          <w:p w14:paraId="2E195671" w14:textId="77777777" w:rsidR="003077F3" w:rsidRPr="00AC7487" w:rsidRDefault="003077F3" w:rsidP="003077F3">
            <w:pPr>
              <w:suppressAutoHyphens w:val="0"/>
              <w:spacing w:before="40" w:after="120" w:line="220" w:lineRule="exact"/>
              <w:rPr>
                <w:lang w:val="en-US"/>
              </w:rPr>
            </w:pPr>
          </w:p>
        </w:tc>
        <w:tc>
          <w:tcPr>
            <w:tcW w:w="2409" w:type="dxa"/>
            <w:vMerge/>
            <w:tcBorders>
              <w:bottom w:val="single" w:sz="12" w:space="0" w:color="auto"/>
            </w:tcBorders>
            <w:shd w:val="clear" w:color="auto" w:fill="auto"/>
          </w:tcPr>
          <w:p w14:paraId="1D15FD27" w14:textId="77777777" w:rsidR="003077F3" w:rsidRPr="00AC7487" w:rsidRDefault="003077F3" w:rsidP="003077F3">
            <w:pPr>
              <w:suppressAutoHyphens w:val="0"/>
              <w:spacing w:before="40" w:after="120" w:line="220" w:lineRule="exact"/>
              <w:rPr>
                <w:lang w:val="en-US"/>
              </w:rPr>
            </w:pPr>
          </w:p>
        </w:tc>
        <w:tc>
          <w:tcPr>
            <w:tcW w:w="993" w:type="dxa"/>
            <w:tcBorders>
              <w:top w:val="single" w:sz="4" w:space="0" w:color="auto"/>
              <w:bottom w:val="single" w:sz="12" w:space="0" w:color="auto"/>
            </w:tcBorders>
            <w:shd w:val="clear" w:color="auto" w:fill="auto"/>
          </w:tcPr>
          <w:p w14:paraId="6F9D7B4F" w14:textId="77777777" w:rsidR="003077F3" w:rsidRPr="00AC7487" w:rsidRDefault="003077F3" w:rsidP="003077F3">
            <w:pPr>
              <w:suppressAutoHyphens w:val="0"/>
              <w:spacing w:before="40" w:after="120" w:line="220" w:lineRule="exact"/>
              <w:rPr>
                <w:lang w:val="en-US"/>
              </w:rPr>
            </w:pPr>
            <w:r w:rsidRPr="00AC7487">
              <w:rPr>
                <w:lang w:val="en-US"/>
              </w:rPr>
              <w:t>Forum</w:t>
            </w:r>
          </w:p>
        </w:tc>
        <w:tc>
          <w:tcPr>
            <w:tcW w:w="4961" w:type="dxa"/>
            <w:tcBorders>
              <w:top w:val="single" w:sz="4" w:space="0" w:color="auto"/>
              <w:bottom w:val="single" w:sz="12" w:space="0" w:color="auto"/>
            </w:tcBorders>
            <w:shd w:val="clear" w:color="auto" w:fill="auto"/>
          </w:tcPr>
          <w:p w14:paraId="0790841B" w14:textId="77777777" w:rsidR="003077F3" w:rsidRPr="00AC7487" w:rsidRDefault="003077F3" w:rsidP="003077F3">
            <w:pPr>
              <w:suppressAutoHyphens w:val="0"/>
              <w:spacing w:before="40" w:after="120" w:line="220" w:lineRule="exact"/>
              <w:rPr>
                <w:lang w:val="en-US"/>
              </w:rPr>
            </w:pPr>
            <w:r w:rsidRPr="00AC7487">
              <w:rPr>
                <w:lang w:val="en-US"/>
              </w:rPr>
              <w:t>Exchange and sharing of experience and best practices</w:t>
            </w:r>
          </w:p>
        </w:tc>
      </w:tr>
    </w:tbl>
    <w:p w14:paraId="0CEB2CBE" w14:textId="08C50F6C" w:rsidR="003077F3" w:rsidRDefault="006C00BB" w:rsidP="006C00BB">
      <w:pPr>
        <w:pStyle w:val="FootnoteTable"/>
        <w:spacing w:before="60" w:line="200" w:lineRule="exact"/>
        <w:ind w:firstLine="170"/>
        <w:contextualSpacing/>
      </w:pPr>
      <w:r>
        <w:rPr>
          <w:i/>
          <w:vertAlign w:val="superscript"/>
        </w:rPr>
        <w:t xml:space="preserve">a   </w:t>
      </w:r>
      <w:r w:rsidR="003077F3">
        <w:t>Letters represent activities from previous decisions while numbers are new activities from this decision.</w:t>
      </w:r>
    </w:p>
    <w:p w14:paraId="35203623" w14:textId="0989DBE1" w:rsidR="003077F3" w:rsidRDefault="006C00BB" w:rsidP="006C00BB">
      <w:pPr>
        <w:pStyle w:val="FootnoteTable"/>
        <w:spacing w:line="200" w:lineRule="exact"/>
        <w:ind w:firstLine="170"/>
        <w:contextualSpacing/>
      </w:pPr>
      <w:r>
        <w:rPr>
          <w:i/>
          <w:vertAlign w:val="superscript"/>
        </w:rPr>
        <w:t xml:space="preserve">b   </w:t>
      </w:r>
      <w:r w:rsidR="003077F3">
        <w:t>“</w:t>
      </w:r>
      <w:r w:rsidR="003077F3" w:rsidRPr="00D36C69">
        <w:t>Impacts</w:t>
      </w:r>
      <w:r w:rsidR="003077F3">
        <w:t>” in this document refers to social, economic and environmental impacts.</w:t>
      </w:r>
    </w:p>
    <w:p w14:paraId="2FC9B0A3" w14:textId="77777777" w:rsidR="003077F3" w:rsidRPr="0069359C" w:rsidRDefault="003077F3" w:rsidP="007F0BCC">
      <w:pPr>
        <w:pStyle w:val="FootnoteTable"/>
        <w:spacing w:line="200" w:lineRule="exact"/>
        <w:ind w:firstLine="170"/>
        <w:rPr>
          <w:bCs/>
          <w:szCs w:val="18"/>
        </w:rPr>
      </w:pPr>
      <w:r w:rsidRPr="0069359C">
        <w:rPr>
          <w:i/>
          <w:szCs w:val="18"/>
        </w:rPr>
        <w:t>Abbreviations</w:t>
      </w:r>
      <w:r w:rsidRPr="0069359C">
        <w:rPr>
          <w:szCs w:val="18"/>
        </w:rPr>
        <w:t xml:space="preserve">: KCI = </w:t>
      </w:r>
      <w:bookmarkStart w:id="12" w:name="_Hlk14163955"/>
      <w:r w:rsidRPr="0069359C">
        <w:rPr>
          <w:bCs/>
          <w:szCs w:val="18"/>
        </w:rPr>
        <w:t>Katowice Committee of Experts on the Impacts of the Implementation of Response Measures</w:t>
      </w:r>
      <w:bookmarkEnd w:id="12"/>
      <w:r w:rsidRPr="0069359C">
        <w:rPr>
          <w:bCs/>
          <w:szCs w:val="18"/>
        </w:rPr>
        <w:t>, SB = sessions of the subsidiary bodies.</w:t>
      </w:r>
    </w:p>
    <w:p w14:paraId="29E4CA89" w14:textId="495600D0" w:rsidR="00CB63E2" w:rsidRPr="00D652D5" w:rsidRDefault="003E2002" w:rsidP="008811FA">
      <w:pPr>
        <w:pStyle w:val="RegSingleTxtG"/>
        <w:numPr>
          <w:ilvl w:val="0"/>
          <w:numId w:val="0"/>
        </w:numPr>
        <w:ind w:left="1134"/>
        <w:jc w:val="right"/>
        <w:rPr>
          <w:sz w:val="24"/>
          <w:szCs w:val="24"/>
          <w:u w:val="single"/>
        </w:rPr>
      </w:pPr>
      <w:r w:rsidRPr="00D652D5">
        <w:rPr>
          <w:i/>
        </w:rPr>
        <w:t>7</w:t>
      </w:r>
      <w:r w:rsidRPr="00D652D5">
        <w:rPr>
          <w:i/>
          <w:vertAlign w:val="superscript"/>
        </w:rPr>
        <w:t>th</w:t>
      </w:r>
      <w:r w:rsidRPr="00D652D5">
        <w:rPr>
          <w:i/>
        </w:rPr>
        <w:t xml:space="preserve"> plenary meeting</w:t>
      </w:r>
      <w:r w:rsidRPr="00D652D5">
        <w:rPr>
          <w:i/>
        </w:rPr>
        <w:br/>
        <w:t>12 December 2019</w:t>
      </w:r>
    </w:p>
    <w:p w14:paraId="29C3DDCF" w14:textId="4E5EE785" w:rsidR="004B0811" w:rsidRPr="00D652D5" w:rsidRDefault="004B0811" w:rsidP="002E1AA5">
      <w:pPr>
        <w:ind w:left="1135" w:right="1134"/>
        <w:jc w:val="center"/>
        <w:rPr>
          <w:sz w:val="24"/>
          <w:szCs w:val="24"/>
          <w:u w:val="single"/>
        </w:rPr>
        <w:sectPr w:rsidR="004B0811" w:rsidRPr="00D652D5" w:rsidSect="00EA4A64">
          <w:headerReference w:type="even" r:id="rId37"/>
          <w:headerReference w:type="default" r:id="rId38"/>
          <w:footerReference w:type="even" r:id="rId39"/>
          <w:footerReference w:type="default" r:id="rId40"/>
          <w:footnotePr>
            <w:numRestart w:val="eachSect"/>
          </w:footnotePr>
          <w:pgSz w:w="16838" w:h="11906" w:orient="landscape" w:code="9"/>
          <w:pgMar w:top="1134" w:right="1417" w:bottom="1134" w:left="1134" w:header="567" w:footer="567" w:gutter="0"/>
          <w:cols w:space="708"/>
          <w:docGrid w:linePitch="360"/>
        </w:sectPr>
      </w:pPr>
    </w:p>
    <w:p w14:paraId="4B694BC7" w14:textId="44C294A7" w:rsidR="002E1AA5" w:rsidRPr="00D652D5" w:rsidRDefault="007F26E9" w:rsidP="002E1AA5">
      <w:pPr>
        <w:pStyle w:val="HChG"/>
      </w:pPr>
      <w:r w:rsidRPr="00D652D5">
        <w:lastRenderedPageBreak/>
        <w:tab/>
      </w:r>
      <w:r w:rsidRPr="00D652D5">
        <w:tab/>
      </w:r>
      <w:bookmarkStart w:id="13" w:name="D5"/>
      <w:r w:rsidR="002E1AA5" w:rsidRPr="00D652D5">
        <w:t xml:space="preserve">Decision </w:t>
      </w:r>
      <w:r w:rsidR="0027033D" w:rsidRPr="00D652D5">
        <w:t>5</w:t>
      </w:r>
      <w:r w:rsidR="002E1AA5" w:rsidRPr="00D652D5">
        <w:t>/CMP.15</w:t>
      </w:r>
      <w:bookmarkEnd w:id="13"/>
    </w:p>
    <w:p w14:paraId="304AC8AD" w14:textId="45EC287B" w:rsidR="00CF7617" w:rsidRPr="00D652D5" w:rsidRDefault="002E1AA5" w:rsidP="00CF7617">
      <w:pPr>
        <w:pStyle w:val="HChG"/>
        <w:rPr>
          <w:sz w:val="24"/>
        </w:rPr>
      </w:pPr>
      <w:r w:rsidRPr="00D652D5">
        <w:tab/>
      </w:r>
      <w:r w:rsidRPr="00D652D5">
        <w:tab/>
      </w:r>
      <w:r w:rsidR="00CF7617" w:rsidRPr="00D652D5">
        <w:t>Budget for the international transaction log and a methodology for the collection of its fees for the biennium 2020–2021</w:t>
      </w:r>
    </w:p>
    <w:p w14:paraId="40015C8E" w14:textId="77777777" w:rsidR="00CF7617" w:rsidRPr="00D652D5" w:rsidRDefault="00CF7617" w:rsidP="00EA62A1">
      <w:pPr>
        <w:pStyle w:val="RegSingleTxtG"/>
        <w:numPr>
          <w:ilvl w:val="0"/>
          <w:numId w:val="0"/>
        </w:numPr>
        <w:ind w:left="1134"/>
        <w:rPr>
          <w:i/>
        </w:rPr>
      </w:pPr>
      <w:r w:rsidRPr="00D652D5">
        <w:rPr>
          <w:i/>
        </w:rPr>
        <w:tab/>
        <w:t>The Conference of the Parties serving as the meeting of the Parties to the Kyoto Protocol</w:t>
      </w:r>
      <w:r w:rsidRPr="00D652D5">
        <w:t>,</w:t>
      </w:r>
    </w:p>
    <w:p w14:paraId="0F4886E9" w14:textId="77777777" w:rsidR="00CF7617" w:rsidRPr="00D652D5" w:rsidRDefault="00CF7617" w:rsidP="00EA62A1">
      <w:pPr>
        <w:pStyle w:val="RegSingleTxtG"/>
        <w:numPr>
          <w:ilvl w:val="0"/>
          <w:numId w:val="0"/>
        </w:numPr>
        <w:ind w:left="1134"/>
      </w:pPr>
      <w:r w:rsidRPr="00D652D5">
        <w:tab/>
      </w:r>
      <w:r w:rsidRPr="00D652D5">
        <w:rPr>
          <w:i/>
        </w:rPr>
        <w:t>Recalling</w:t>
      </w:r>
      <w:r w:rsidRPr="00D652D5">
        <w:t xml:space="preserve"> Article 13, paragraph 5, of the Kyoto Protocol,</w:t>
      </w:r>
    </w:p>
    <w:p w14:paraId="6C6C4B85" w14:textId="77777777" w:rsidR="00CF7617" w:rsidRPr="00D652D5" w:rsidRDefault="00CF7617" w:rsidP="00EA62A1">
      <w:pPr>
        <w:pStyle w:val="RegSingleTxtG"/>
        <w:numPr>
          <w:ilvl w:val="0"/>
          <w:numId w:val="0"/>
        </w:numPr>
        <w:ind w:left="1134"/>
      </w:pPr>
      <w:r w:rsidRPr="00D652D5">
        <w:tab/>
      </w:r>
      <w:r w:rsidRPr="00D652D5">
        <w:rPr>
          <w:i/>
        </w:rPr>
        <w:t xml:space="preserve">Also recalling </w:t>
      </w:r>
      <w:r w:rsidRPr="00D652D5">
        <w:t>decisions 11/CMP.3, 10/CMP.5, 9/CMP.6, 8/CMP.8, 8/CMP.11 and 7/CMP.13,</w:t>
      </w:r>
    </w:p>
    <w:p w14:paraId="119A13F9" w14:textId="77777777" w:rsidR="00CF7617" w:rsidRPr="00D652D5" w:rsidRDefault="00CF7617" w:rsidP="00EA62A1">
      <w:pPr>
        <w:pStyle w:val="RegSingleTxtG"/>
        <w:numPr>
          <w:ilvl w:val="0"/>
          <w:numId w:val="0"/>
        </w:numPr>
        <w:ind w:left="1134"/>
      </w:pPr>
      <w:r w:rsidRPr="00D652D5">
        <w:tab/>
      </w:r>
      <w:r w:rsidRPr="00D652D5">
        <w:rPr>
          <w:i/>
        </w:rPr>
        <w:t>Recognizing</w:t>
      </w:r>
      <w:r w:rsidRPr="00D652D5">
        <w:t xml:space="preserve"> the importance of sufficient and stable funding for the international transaction log,</w:t>
      </w:r>
    </w:p>
    <w:p w14:paraId="5EFCE53D" w14:textId="77777777" w:rsidR="00CF7617" w:rsidRPr="00D652D5" w:rsidRDefault="00CF7617" w:rsidP="00EA62A1">
      <w:pPr>
        <w:pStyle w:val="RegSingleTxtG"/>
        <w:numPr>
          <w:ilvl w:val="0"/>
          <w:numId w:val="0"/>
        </w:numPr>
        <w:ind w:left="1134"/>
      </w:pPr>
      <w:r w:rsidRPr="00D652D5">
        <w:rPr>
          <w:i/>
        </w:rPr>
        <w:tab/>
        <w:t xml:space="preserve">Also recognizing </w:t>
      </w:r>
      <w:r w:rsidRPr="00D652D5">
        <w:t>the importance of the proper functioning of the international transaction log for the Parties listed in Annex B to the Kyoto Protocol as contained in annex I to decision 1/CMP.8,</w:t>
      </w:r>
    </w:p>
    <w:p w14:paraId="26F32E54" w14:textId="55DA5F4B" w:rsidR="00CF7617" w:rsidRPr="00D652D5" w:rsidRDefault="006C00BB" w:rsidP="006C00BB">
      <w:pPr>
        <w:pStyle w:val="RegSingleTxtG"/>
        <w:numPr>
          <w:ilvl w:val="0"/>
          <w:numId w:val="0"/>
        </w:numPr>
        <w:tabs>
          <w:tab w:val="left" w:pos="568"/>
        </w:tabs>
        <w:ind w:left="1135"/>
        <w:rPr>
          <w:lang w:eastAsia="en-US"/>
        </w:rPr>
      </w:pPr>
      <w:r w:rsidRPr="00D652D5">
        <w:rPr>
          <w:lang w:eastAsia="en-US"/>
        </w:rPr>
        <w:t>1.</w:t>
      </w:r>
      <w:r w:rsidRPr="00D652D5">
        <w:rPr>
          <w:lang w:eastAsia="en-US"/>
        </w:rPr>
        <w:tab/>
      </w:r>
      <w:r w:rsidR="00CF7617" w:rsidRPr="00D652D5">
        <w:rPr>
          <w:i/>
          <w:lang w:eastAsia="en-US"/>
        </w:rPr>
        <w:t>Approves</w:t>
      </w:r>
      <w:r w:rsidR="00CF7617" w:rsidRPr="00D652D5">
        <w:rPr>
          <w:lang w:eastAsia="en-US"/>
        </w:rPr>
        <w:t xml:space="preserve"> the budget for the international transaction log for the biennium 2020–2021, amounting to EUR 4,610,775, for the purposes specified in the proposed budget for the international transaction log;</w:t>
      </w:r>
      <w:r w:rsidR="00CF7617" w:rsidRPr="00D652D5">
        <w:rPr>
          <w:sz w:val="18"/>
          <w:vertAlign w:val="superscript"/>
          <w:lang w:eastAsia="en-US"/>
        </w:rPr>
        <w:footnoteReference w:id="19"/>
      </w:r>
    </w:p>
    <w:p w14:paraId="5A4505D6" w14:textId="16C67099" w:rsidR="00CF7617" w:rsidRPr="00D652D5" w:rsidRDefault="006C00BB" w:rsidP="006C00BB">
      <w:pPr>
        <w:pStyle w:val="RegSingleTxtG"/>
        <w:numPr>
          <w:ilvl w:val="0"/>
          <w:numId w:val="0"/>
        </w:numPr>
        <w:tabs>
          <w:tab w:val="left" w:pos="568"/>
        </w:tabs>
        <w:ind w:left="1135"/>
        <w:rPr>
          <w:lang w:eastAsia="en-US"/>
        </w:rPr>
      </w:pPr>
      <w:r w:rsidRPr="00D652D5">
        <w:rPr>
          <w:lang w:eastAsia="en-US"/>
        </w:rPr>
        <w:t>2.</w:t>
      </w:r>
      <w:r w:rsidRPr="00D652D5">
        <w:rPr>
          <w:lang w:eastAsia="en-US"/>
        </w:rPr>
        <w:tab/>
      </w:r>
      <w:r w:rsidR="00CF7617" w:rsidRPr="00D652D5">
        <w:rPr>
          <w:i/>
          <w:lang w:eastAsia="en-US"/>
        </w:rPr>
        <w:t>Decides</w:t>
      </w:r>
      <w:r w:rsidR="00CF7617" w:rsidRPr="00D652D5">
        <w:rPr>
          <w:lang w:eastAsia="en-US"/>
        </w:rPr>
        <w:t xml:space="preserve"> to maintain the level of the working capital reserve at 8.3 per cent of the estimated expenditure for the Trust Fund for the International Transaction Log;</w:t>
      </w:r>
    </w:p>
    <w:p w14:paraId="24FDBADC" w14:textId="445F4AD4" w:rsidR="00CF7617" w:rsidRPr="00D652D5" w:rsidRDefault="006C00BB" w:rsidP="006C00BB">
      <w:pPr>
        <w:pStyle w:val="RegSingleTxtG"/>
        <w:numPr>
          <w:ilvl w:val="0"/>
          <w:numId w:val="0"/>
        </w:numPr>
        <w:tabs>
          <w:tab w:val="left" w:pos="568"/>
        </w:tabs>
        <w:ind w:left="1135"/>
        <w:rPr>
          <w:lang w:eastAsia="en-US"/>
        </w:rPr>
      </w:pPr>
      <w:r w:rsidRPr="00D652D5">
        <w:rPr>
          <w:lang w:eastAsia="en-US"/>
        </w:rPr>
        <w:t>3.</w:t>
      </w:r>
      <w:r w:rsidRPr="00D652D5">
        <w:rPr>
          <w:lang w:eastAsia="en-US"/>
        </w:rPr>
        <w:tab/>
      </w:r>
      <w:r w:rsidR="00CF7617" w:rsidRPr="00D652D5">
        <w:rPr>
          <w:i/>
          <w:lang w:eastAsia="en-US"/>
        </w:rPr>
        <w:t>Authorizes</w:t>
      </w:r>
      <w:r w:rsidR="00CF7617" w:rsidRPr="00D652D5">
        <w:rPr>
          <w:lang w:eastAsia="en-US"/>
        </w:rPr>
        <w:t xml:space="preserve"> the Executive Secretary to draw EUR 2.5 million from unspent balances of the Trust Fund for the International Transaction Log from previous financial periods to cover part of the budget for the biennium 2020–2021;</w:t>
      </w:r>
    </w:p>
    <w:p w14:paraId="34F654C7" w14:textId="371BE650" w:rsidR="00CF7617" w:rsidRPr="00D652D5" w:rsidRDefault="006C00BB" w:rsidP="006C00BB">
      <w:pPr>
        <w:pStyle w:val="RegSingleTxtG"/>
        <w:numPr>
          <w:ilvl w:val="0"/>
          <w:numId w:val="0"/>
        </w:numPr>
        <w:tabs>
          <w:tab w:val="left" w:pos="568"/>
        </w:tabs>
        <w:ind w:left="1135"/>
        <w:rPr>
          <w:lang w:eastAsia="en-US"/>
        </w:rPr>
      </w:pPr>
      <w:r w:rsidRPr="00D652D5">
        <w:rPr>
          <w:lang w:eastAsia="en-US"/>
        </w:rPr>
        <w:t>4.</w:t>
      </w:r>
      <w:r w:rsidRPr="00D652D5">
        <w:rPr>
          <w:lang w:eastAsia="en-US"/>
        </w:rPr>
        <w:tab/>
      </w:r>
      <w:r w:rsidR="00CF7617" w:rsidRPr="00D652D5">
        <w:rPr>
          <w:i/>
          <w:lang w:eastAsia="en-US"/>
        </w:rPr>
        <w:t>Also authorizes</w:t>
      </w:r>
      <w:r w:rsidR="00CF7617" w:rsidRPr="00D652D5">
        <w:rPr>
          <w:lang w:eastAsia="en-US"/>
        </w:rPr>
        <w:t xml:space="preserve"> the Executive Secretary to draw funds from unspent balances of the Trust Fund for the International Transaction Log from previous financial periods to cover the potential shortfall in fees due to the disconnection of Parties from the international transaction log;</w:t>
      </w:r>
    </w:p>
    <w:p w14:paraId="691F1B60" w14:textId="355C75B1" w:rsidR="00CF7617" w:rsidRPr="00D652D5" w:rsidRDefault="006C00BB" w:rsidP="006C00BB">
      <w:pPr>
        <w:pStyle w:val="RegSingleTxtG"/>
        <w:numPr>
          <w:ilvl w:val="0"/>
          <w:numId w:val="0"/>
        </w:numPr>
        <w:tabs>
          <w:tab w:val="left" w:pos="568"/>
        </w:tabs>
        <w:ind w:left="1135"/>
        <w:rPr>
          <w:lang w:eastAsia="en-US"/>
        </w:rPr>
      </w:pPr>
      <w:r w:rsidRPr="00D652D5">
        <w:rPr>
          <w:lang w:eastAsia="en-US"/>
        </w:rPr>
        <w:t>5.</w:t>
      </w:r>
      <w:r w:rsidRPr="00D652D5">
        <w:rPr>
          <w:lang w:eastAsia="en-US"/>
        </w:rPr>
        <w:tab/>
      </w:r>
      <w:r w:rsidR="00CF7617" w:rsidRPr="00D652D5">
        <w:rPr>
          <w:i/>
          <w:lang w:eastAsia="en-US"/>
        </w:rPr>
        <w:t>Notes</w:t>
      </w:r>
      <w:r w:rsidR="00CF7617" w:rsidRPr="00D652D5">
        <w:rPr>
          <w:lang w:eastAsia="en-US"/>
        </w:rPr>
        <w:t xml:space="preserve"> that the action referred to in paragraph 3 above is exceptional and is needed to disburse the significant unspent funds, and </w:t>
      </w:r>
      <w:r w:rsidR="00CF7617" w:rsidRPr="00D652D5">
        <w:rPr>
          <w:i/>
          <w:lang w:eastAsia="en-US"/>
        </w:rPr>
        <w:t>recognizes</w:t>
      </w:r>
      <w:r w:rsidR="00CF7617" w:rsidRPr="00D652D5">
        <w:rPr>
          <w:lang w:eastAsia="en-US"/>
        </w:rPr>
        <w:t xml:space="preserve"> that fees for the operation of the international transaction log are to be levied as necessary in future </w:t>
      </w:r>
      <w:proofErr w:type="spellStart"/>
      <w:r w:rsidR="00CF7617" w:rsidRPr="00D652D5">
        <w:rPr>
          <w:lang w:eastAsia="en-US"/>
        </w:rPr>
        <w:t>bienniums</w:t>
      </w:r>
      <w:proofErr w:type="spellEnd"/>
      <w:r w:rsidR="00CF7617" w:rsidRPr="00D652D5">
        <w:rPr>
          <w:lang w:eastAsia="en-US"/>
        </w:rPr>
        <w:t>;</w:t>
      </w:r>
    </w:p>
    <w:p w14:paraId="696A1DD8" w14:textId="037EDFCD" w:rsidR="00CF7617" w:rsidRPr="00D652D5" w:rsidRDefault="006C00BB" w:rsidP="006C00BB">
      <w:pPr>
        <w:pStyle w:val="RegSingleTxtG"/>
        <w:numPr>
          <w:ilvl w:val="0"/>
          <w:numId w:val="0"/>
        </w:numPr>
        <w:tabs>
          <w:tab w:val="left" w:pos="568"/>
        </w:tabs>
        <w:ind w:left="1135"/>
      </w:pPr>
      <w:r w:rsidRPr="00D652D5">
        <w:t>6.</w:t>
      </w:r>
      <w:r w:rsidRPr="00D652D5">
        <w:tab/>
      </w:r>
      <w:r w:rsidR="00CF7617" w:rsidRPr="00D652D5">
        <w:rPr>
          <w:i/>
        </w:rPr>
        <w:t>Also notes</w:t>
      </w:r>
      <w:r w:rsidR="00CF7617" w:rsidRPr="00D652D5">
        <w:t xml:space="preserve"> that any unspent balances of the Trust Fund for the International Transaction Log from previous financial periods remaining after the actions referred to in paragraphs 3 and 4 above could be used to cover the budget of the international transaction log for future </w:t>
      </w:r>
      <w:proofErr w:type="spellStart"/>
      <w:r w:rsidR="00CF7617" w:rsidRPr="00D652D5">
        <w:t>bienniums</w:t>
      </w:r>
      <w:proofErr w:type="spellEnd"/>
      <w:r w:rsidR="00CF7617" w:rsidRPr="00D652D5">
        <w:t>;</w:t>
      </w:r>
    </w:p>
    <w:p w14:paraId="2707DDDB" w14:textId="65337E3D" w:rsidR="00CF7617" w:rsidRPr="00D652D5" w:rsidRDefault="006C00BB" w:rsidP="006C00BB">
      <w:pPr>
        <w:pStyle w:val="RegSingleTxtG"/>
        <w:numPr>
          <w:ilvl w:val="0"/>
          <w:numId w:val="0"/>
        </w:numPr>
        <w:tabs>
          <w:tab w:val="left" w:pos="568"/>
        </w:tabs>
        <w:ind w:left="1135"/>
        <w:rPr>
          <w:lang w:eastAsia="en-US"/>
        </w:rPr>
      </w:pPr>
      <w:r w:rsidRPr="00D652D5">
        <w:rPr>
          <w:lang w:eastAsia="en-US"/>
        </w:rPr>
        <w:t>7.</w:t>
      </w:r>
      <w:r w:rsidRPr="00D652D5">
        <w:rPr>
          <w:lang w:eastAsia="en-US"/>
        </w:rPr>
        <w:tab/>
      </w:r>
      <w:r w:rsidR="00CF7617" w:rsidRPr="00D652D5">
        <w:rPr>
          <w:i/>
          <w:lang w:eastAsia="en-US"/>
        </w:rPr>
        <w:t>Requests</w:t>
      </w:r>
      <w:r w:rsidR="00CF7617" w:rsidRPr="00D652D5">
        <w:rPr>
          <w:lang w:eastAsia="en-US"/>
        </w:rPr>
        <w:t xml:space="preserve"> the administrator of the international transaction log to disclose in its annual reports the unspent balance of the Trust Fund for the International Transaction Log from the previous biennium as at the time of publication of the annual report;</w:t>
      </w:r>
    </w:p>
    <w:p w14:paraId="73D6F418" w14:textId="513123B4" w:rsidR="00CF7617" w:rsidRPr="00D652D5" w:rsidRDefault="006C00BB" w:rsidP="006C00BB">
      <w:pPr>
        <w:pStyle w:val="RegSingleTxtG"/>
        <w:numPr>
          <w:ilvl w:val="0"/>
          <w:numId w:val="0"/>
        </w:numPr>
        <w:tabs>
          <w:tab w:val="left" w:pos="568"/>
        </w:tabs>
        <w:ind w:left="1135"/>
        <w:rPr>
          <w:lang w:eastAsia="en-US"/>
        </w:rPr>
      </w:pPr>
      <w:r w:rsidRPr="00D652D5">
        <w:rPr>
          <w:lang w:eastAsia="en-US"/>
        </w:rPr>
        <w:t>8.</w:t>
      </w:r>
      <w:r w:rsidRPr="00D652D5">
        <w:rPr>
          <w:lang w:eastAsia="en-US"/>
        </w:rPr>
        <w:tab/>
      </w:r>
      <w:r w:rsidR="00CF7617" w:rsidRPr="00D652D5">
        <w:rPr>
          <w:i/>
          <w:lang w:eastAsia="en-US"/>
        </w:rPr>
        <w:t>Adopts</w:t>
      </w:r>
      <w:r w:rsidR="00CF7617" w:rsidRPr="00D652D5">
        <w:rPr>
          <w:lang w:eastAsia="en-US"/>
        </w:rPr>
        <w:t xml:space="preserve"> the scale of fees for the international transaction log for the biennium 2020–2021 as contained in the annex;</w:t>
      </w:r>
    </w:p>
    <w:p w14:paraId="185F3F3F" w14:textId="356079E5" w:rsidR="00CF7617" w:rsidRPr="00D652D5" w:rsidRDefault="006C00BB" w:rsidP="006C00BB">
      <w:pPr>
        <w:pStyle w:val="RegSingleTxtG"/>
        <w:numPr>
          <w:ilvl w:val="0"/>
          <w:numId w:val="0"/>
        </w:numPr>
        <w:tabs>
          <w:tab w:val="left" w:pos="568"/>
        </w:tabs>
        <w:ind w:left="1135"/>
        <w:rPr>
          <w:lang w:eastAsia="en-US"/>
        </w:rPr>
      </w:pPr>
      <w:r w:rsidRPr="00D652D5">
        <w:rPr>
          <w:lang w:eastAsia="en-US"/>
        </w:rPr>
        <w:t>9.</w:t>
      </w:r>
      <w:r w:rsidRPr="00D652D5">
        <w:rPr>
          <w:lang w:eastAsia="en-US"/>
        </w:rPr>
        <w:tab/>
      </w:r>
      <w:r w:rsidR="00CF7617" w:rsidRPr="00D652D5">
        <w:rPr>
          <w:i/>
          <w:lang w:eastAsia="en-US"/>
        </w:rPr>
        <w:t>Decides</w:t>
      </w:r>
      <w:r w:rsidR="00CF7617" w:rsidRPr="00D652D5">
        <w:rPr>
          <w:lang w:eastAsia="en-US"/>
        </w:rPr>
        <w:t xml:space="preserve"> that fees for the international transaction log paid by a Party for the biennium 2020–2021 shall be calculated by multiplying the scale of fees for that Party contained in the annex by the budget for the international transaction log for the biennium 2020–2021 and adjusted for Parties currently not connected to the international transaction log, taking into account the amount drawn from unspent balances as set out in paragraph 3 above, with the balance of fees for the first year of the biennium being equal to the balance of fees for the second year of the biennium, as contained in the annex;</w:t>
      </w:r>
    </w:p>
    <w:p w14:paraId="190A178D" w14:textId="4D64F6E4" w:rsidR="00CF7617" w:rsidRPr="00D652D5" w:rsidRDefault="006C00BB" w:rsidP="006C00BB">
      <w:pPr>
        <w:pStyle w:val="RegSingleTxtG"/>
        <w:numPr>
          <w:ilvl w:val="0"/>
          <w:numId w:val="0"/>
        </w:numPr>
        <w:tabs>
          <w:tab w:val="left" w:pos="568"/>
        </w:tabs>
        <w:ind w:left="1135"/>
        <w:rPr>
          <w:lang w:eastAsia="en-US"/>
        </w:rPr>
      </w:pPr>
      <w:r w:rsidRPr="00D652D5">
        <w:rPr>
          <w:lang w:eastAsia="en-US"/>
        </w:rPr>
        <w:lastRenderedPageBreak/>
        <w:t>10.</w:t>
      </w:r>
      <w:r w:rsidRPr="00D652D5">
        <w:rPr>
          <w:lang w:eastAsia="en-US"/>
        </w:rPr>
        <w:tab/>
      </w:r>
      <w:r w:rsidR="00CF7617" w:rsidRPr="00D652D5">
        <w:rPr>
          <w:i/>
          <w:lang w:eastAsia="en-US"/>
        </w:rPr>
        <w:t>Requests</w:t>
      </w:r>
      <w:r w:rsidR="00CF7617" w:rsidRPr="00D652D5">
        <w:rPr>
          <w:lang w:eastAsia="en-US"/>
        </w:rPr>
        <w:t xml:space="preserve"> the Executive Secretary to notify Parties connected to the international transaction log in the biennium 2020–2021 of the annual fees, calculated in accordance with paragraph 9 above, as early as possible and at least four months in advance of the relevant calendar year, where possible;</w:t>
      </w:r>
    </w:p>
    <w:p w14:paraId="33363086" w14:textId="0C7A5D96" w:rsidR="00CF7617" w:rsidRPr="00D652D5" w:rsidRDefault="006C00BB" w:rsidP="006C00BB">
      <w:pPr>
        <w:pStyle w:val="RegSingleTxtG"/>
        <w:numPr>
          <w:ilvl w:val="0"/>
          <w:numId w:val="0"/>
        </w:numPr>
        <w:tabs>
          <w:tab w:val="left" w:pos="568"/>
        </w:tabs>
        <w:ind w:left="1135"/>
        <w:rPr>
          <w:lang w:eastAsia="en-US"/>
        </w:rPr>
      </w:pPr>
      <w:r w:rsidRPr="00D652D5">
        <w:rPr>
          <w:lang w:eastAsia="en-US"/>
        </w:rPr>
        <w:t>11.</w:t>
      </w:r>
      <w:r w:rsidRPr="00D652D5">
        <w:rPr>
          <w:lang w:eastAsia="en-US"/>
        </w:rPr>
        <w:tab/>
      </w:r>
      <w:r w:rsidR="00CF7617" w:rsidRPr="00D652D5">
        <w:rPr>
          <w:i/>
          <w:lang w:eastAsia="en-US"/>
        </w:rPr>
        <w:t>Decides</w:t>
      </w:r>
      <w:r w:rsidR="00CF7617" w:rsidRPr="00D652D5">
        <w:rPr>
          <w:lang w:eastAsia="en-US"/>
        </w:rPr>
        <w:t xml:space="preserve"> that, if a Party connects to the international transaction log for the first time or reconnects to it, the scale of fees for that Party shall be that contained in the annex, or, for Parties not listed in the table contained in the annex, shall be made equal to 130 per cent of their Kyoto Protocol adjusted scale for the relevant biennium;</w:t>
      </w:r>
    </w:p>
    <w:p w14:paraId="40F05647" w14:textId="26EDD112" w:rsidR="00CF7617" w:rsidRPr="00D652D5" w:rsidRDefault="006C00BB" w:rsidP="006C00BB">
      <w:pPr>
        <w:pStyle w:val="RegSingleTxtG"/>
        <w:numPr>
          <w:ilvl w:val="0"/>
          <w:numId w:val="0"/>
        </w:numPr>
        <w:tabs>
          <w:tab w:val="left" w:pos="568"/>
        </w:tabs>
        <w:ind w:left="1135"/>
        <w:rPr>
          <w:lang w:eastAsia="en-US"/>
        </w:rPr>
      </w:pPr>
      <w:r w:rsidRPr="00D652D5">
        <w:rPr>
          <w:lang w:eastAsia="en-US"/>
        </w:rPr>
        <w:t>12.</w:t>
      </w:r>
      <w:r w:rsidRPr="00D652D5">
        <w:rPr>
          <w:lang w:eastAsia="en-US"/>
        </w:rPr>
        <w:tab/>
      </w:r>
      <w:r w:rsidR="00CF7617" w:rsidRPr="00D652D5">
        <w:rPr>
          <w:i/>
          <w:lang w:eastAsia="en-US"/>
        </w:rPr>
        <w:t>Also</w:t>
      </w:r>
      <w:r w:rsidR="00CF7617" w:rsidRPr="00D652D5">
        <w:rPr>
          <w:lang w:eastAsia="en-US"/>
        </w:rPr>
        <w:t xml:space="preserve"> </w:t>
      </w:r>
      <w:r w:rsidR="00CF7617" w:rsidRPr="00D652D5">
        <w:rPr>
          <w:i/>
          <w:lang w:eastAsia="en-US"/>
        </w:rPr>
        <w:t>decides</w:t>
      </w:r>
      <w:r w:rsidR="00CF7617" w:rsidRPr="00D652D5">
        <w:rPr>
          <w:lang w:eastAsia="en-US"/>
        </w:rPr>
        <w:t xml:space="preserve"> that fees paid by a Party that connects to the international transaction log for the first time or reconnects to it shall be deducted from the resource requirement for activities relating to the international transaction log in the next biennium;</w:t>
      </w:r>
    </w:p>
    <w:p w14:paraId="5F2AB436" w14:textId="02A8F5E4" w:rsidR="00CF7617" w:rsidRPr="00D652D5" w:rsidRDefault="006C00BB" w:rsidP="006C00BB">
      <w:pPr>
        <w:pStyle w:val="RegSingleTxtG"/>
        <w:numPr>
          <w:ilvl w:val="0"/>
          <w:numId w:val="0"/>
        </w:numPr>
        <w:tabs>
          <w:tab w:val="left" w:pos="568"/>
        </w:tabs>
        <w:ind w:left="1135"/>
      </w:pPr>
      <w:r w:rsidRPr="00D652D5">
        <w:t>13.</w:t>
      </w:r>
      <w:r w:rsidRPr="00D652D5">
        <w:tab/>
      </w:r>
      <w:r w:rsidR="00CF7617" w:rsidRPr="00D652D5">
        <w:rPr>
          <w:i/>
        </w:rPr>
        <w:t>Further decides</w:t>
      </w:r>
      <w:r w:rsidR="00CF7617" w:rsidRPr="00D652D5">
        <w:t xml:space="preserve"> that fees paid by a Party that connects to the international transaction log for the first time or reconnects to it during the biennium 2020–2021 shall be proportioned for the period between the date of connection or reconnection of its registry and the end of the biennium, except for the period for which the fees were already paid;</w:t>
      </w:r>
    </w:p>
    <w:p w14:paraId="04507455" w14:textId="56E3F7DE" w:rsidR="00CF7617" w:rsidRPr="00D652D5" w:rsidRDefault="006C00BB" w:rsidP="006C00BB">
      <w:pPr>
        <w:pStyle w:val="RegSingleTxtG"/>
        <w:numPr>
          <w:ilvl w:val="0"/>
          <w:numId w:val="0"/>
        </w:numPr>
        <w:tabs>
          <w:tab w:val="left" w:pos="568"/>
        </w:tabs>
        <w:ind w:left="1135"/>
      </w:pPr>
      <w:r w:rsidRPr="00D652D5">
        <w:t>14.</w:t>
      </w:r>
      <w:r w:rsidRPr="00D652D5">
        <w:tab/>
      </w:r>
      <w:r w:rsidR="00CF7617" w:rsidRPr="00D652D5">
        <w:rPr>
          <w:i/>
        </w:rPr>
        <w:t>Decides</w:t>
      </w:r>
      <w:r w:rsidR="00CF7617" w:rsidRPr="00D652D5">
        <w:t xml:space="preserve"> that, where a Party disconnects during the biennium 2020–2021, the Party shall cover the fees for the full year in which the disconnection took place, and that, if the disconnection takes place in the first year of the biennium and the Party does not reconnect in the second year of the biennium, fees for the second year of the biennium shall not apply;</w:t>
      </w:r>
    </w:p>
    <w:p w14:paraId="1D8B85E5" w14:textId="2AE60F41" w:rsidR="00CF7617" w:rsidRPr="00D652D5" w:rsidRDefault="006C00BB" w:rsidP="006C00BB">
      <w:pPr>
        <w:pStyle w:val="RegSingleTxtG"/>
        <w:numPr>
          <w:ilvl w:val="0"/>
          <w:numId w:val="0"/>
        </w:numPr>
        <w:tabs>
          <w:tab w:val="left" w:pos="568"/>
        </w:tabs>
        <w:ind w:left="1135"/>
      </w:pPr>
      <w:r w:rsidRPr="00D652D5">
        <w:t>15.</w:t>
      </w:r>
      <w:r w:rsidRPr="00D652D5">
        <w:tab/>
      </w:r>
      <w:r w:rsidR="00CF7617" w:rsidRPr="00D652D5">
        <w:rPr>
          <w:i/>
        </w:rPr>
        <w:t>Also decides</w:t>
      </w:r>
      <w:r w:rsidR="00CF7617" w:rsidRPr="00D652D5">
        <w:t xml:space="preserve"> that, where a Party disconnected prior to the biennium 2020–2021, the fees shall not apply until the Party reconnects to the international transaction log;</w:t>
      </w:r>
      <w:r w:rsidR="00CF7617" w:rsidRPr="00D652D5" w:rsidDel="00EE644D">
        <w:t xml:space="preserve"> </w:t>
      </w:r>
    </w:p>
    <w:p w14:paraId="0C9C71B2" w14:textId="6660CEAF" w:rsidR="00CF7617" w:rsidRPr="00D652D5" w:rsidRDefault="006C00BB" w:rsidP="006C00BB">
      <w:pPr>
        <w:pStyle w:val="RegSingleTxtG"/>
        <w:numPr>
          <w:ilvl w:val="0"/>
          <w:numId w:val="0"/>
        </w:numPr>
        <w:tabs>
          <w:tab w:val="left" w:pos="568"/>
        </w:tabs>
        <w:ind w:left="1135"/>
        <w:rPr>
          <w:iCs/>
        </w:rPr>
      </w:pPr>
      <w:r w:rsidRPr="00D652D5">
        <w:rPr>
          <w:iCs/>
        </w:rPr>
        <w:t>16.</w:t>
      </w:r>
      <w:r w:rsidRPr="00D652D5">
        <w:rPr>
          <w:iCs/>
        </w:rPr>
        <w:tab/>
      </w:r>
      <w:r w:rsidR="00CF7617" w:rsidRPr="00D652D5">
        <w:rPr>
          <w:i/>
        </w:rPr>
        <w:t xml:space="preserve">Authorizes </w:t>
      </w:r>
      <w:r w:rsidR="00CF7617" w:rsidRPr="00D652D5">
        <w:rPr>
          <w:iCs/>
        </w:rPr>
        <w:t>the international transaction log administrator to disconnect the registry of a Party from the international transaction log in the event of the non-payment of its fees by that Party, provided that such disconnection shall not be effected earlier than four months after the beginning of the relevant calendar year, at least two reminders have already been given to the Party and consultations have taken place with the Party concerned prior to the final reminder;</w:t>
      </w:r>
    </w:p>
    <w:p w14:paraId="68C2626C" w14:textId="2227A7E5" w:rsidR="00CF7617" w:rsidRPr="00D652D5" w:rsidRDefault="006C00BB" w:rsidP="006C00BB">
      <w:pPr>
        <w:pStyle w:val="RegSingleTxtG"/>
        <w:numPr>
          <w:ilvl w:val="0"/>
          <w:numId w:val="0"/>
        </w:numPr>
        <w:tabs>
          <w:tab w:val="left" w:pos="568"/>
        </w:tabs>
        <w:ind w:left="1135"/>
      </w:pPr>
      <w:r w:rsidRPr="00D652D5">
        <w:t>17.</w:t>
      </w:r>
      <w:r w:rsidRPr="00D652D5">
        <w:tab/>
      </w:r>
      <w:r w:rsidR="00CF7617" w:rsidRPr="00D652D5">
        <w:rPr>
          <w:i/>
          <w:lang w:eastAsia="en-US"/>
        </w:rPr>
        <w:t xml:space="preserve">Requests </w:t>
      </w:r>
      <w:r w:rsidR="00CF7617" w:rsidRPr="00D652D5">
        <w:rPr>
          <w:lang w:eastAsia="en-US"/>
        </w:rPr>
        <w:t>the international transaction log administrator to provide, in its annual reports for 2020 and 2021, information on transactions of Kyoto Protocol units;</w:t>
      </w:r>
    </w:p>
    <w:p w14:paraId="0446C23F" w14:textId="747AB2BB" w:rsidR="00CF7617" w:rsidRPr="00D652D5" w:rsidRDefault="006C00BB" w:rsidP="006C00BB">
      <w:pPr>
        <w:pStyle w:val="RegSingleTxtG"/>
        <w:numPr>
          <w:ilvl w:val="0"/>
          <w:numId w:val="0"/>
        </w:numPr>
        <w:tabs>
          <w:tab w:val="left" w:pos="568"/>
        </w:tabs>
        <w:ind w:left="1135"/>
      </w:pPr>
      <w:r w:rsidRPr="00D652D5">
        <w:t>18.</w:t>
      </w:r>
      <w:r w:rsidRPr="00D652D5">
        <w:tab/>
      </w:r>
      <w:r w:rsidR="00CF7617" w:rsidRPr="00D652D5">
        <w:rPr>
          <w:i/>
        </w:rPr>
        <w:t>Also requests</w:t>
      </w:r>
      <w:r w:rsidR="00CF7617" w:rsidRPr="00D652D5">
        <w:t xml:space="preserve"> the international transaction log administrator to publish, in its annual reports, a table listing the scale and the level of fees and the status of payments for all Parties connected to the international transaction log;</w:t>
      </w:r>
    </w:p>
    <w:p w14:paraId="2996ABC7" w14:textId="2779533A" w:rsidR="00CF7617" w:rsidRPr="00D652D5" w:rsidRDefault="006C00BB" w:rsidP="006C00BB">
      <w:pPr>
        <w:pStyle w:val="RegSingleTxtG"/>
        <w:numPr>
          <w:ilvl w:val="0"/>
          <w:numId w:val="0"/>
        </w:numPr>
        <w:tabs>
          <w:tab w:val="left" w:pos="568"/>
        </w:tabs>
        <w:ind w:left="1135"/>
        <w:rPr>
          <w:lang w:eastAsia="en-US"/>
        </w:rPr>
      </w:pPr>
      <w:r w:rsidRPr="00D652D5">
        <w:rPr>
          <w:lang w:eastAsia="en-US"/>
        </w:rPr>
        <w:t>19.</w:t>
      </w:r>
      <w:r w:rsidRPr="00D652D5">
        <w:rPr>
          <w:lang w:eastAsia="en-US"/>
        </w:rPr>
        <w:tab/>
      </w:r>
      <w:r w:rsidR="00CF7617" w:rsidRPr="00D652D5">
        <w:rPr>
          <w:i/>
        </w:rPr>
        <w:t xml:space="preserve">Further requests </w:t>
      </w:r>
      <w:r w:rsidR="00CF7617" w:rsidRPr="00D652D5">
        <w:t>the Subsidiary Body for Implementation, at its fifty-fourth session (May–June 2021), to recommend a methodology for the collection of international transaction log fees in the biennium 2022–2023 for consideration and adoption by the Conference of the Parties serving as the meeting of the Parties to the Kyoto Protocol at its seventeenth session (November 2021).</w:t>
      </w:r>
    </w:p>
    <w:p w14:paraId="1448B050" w14:textId="77777777" w:rsidR="00CF7617" w:rsidRPr="00D652D5" w:rsidRDefault="00CF7617" w:rsidP="00CF7617">
      <w:pPr>
        <w:sectPr w:rsidR="00CF7617" w:rsidRPr="00D652D5" w:rsidSect="00EA4A64">
          <w:headerReference w:type="even" r:id="rId41"/>
          <w:headerReference w:type="default" r:id="rId42"/>
          <w:footerReference w:type="even" r:id="rId43"/>
          <w:footerReference w:type="default" r:id="rId44"/>
          <w:footnotePr>
            <w:numRestart w:val="eachSect"/>
          </w:footnotePr>
          <w:pgSz w:w="11906" w:h="16838" w:code="9"/>
          <w:pgMar w:top="1417" w:right="1134" w:bottom="1134" w:left="1134" w:header="850" w:footer="567" w:gutter="0"/>
          <w:cols w:space="708"/>
          <w:docGrid w:linePitch="360"/>
        </w:sectPr>
      </w:pPr>
    </w:p>
    <w:p w14:paraId="43A09752" w14:textId="77777777" w:rsidR="00CF7617" w:rsidRPr="00D652D5" w:rsidRDefault="00CF7617" w:rsidP="00CF7617">
      <w:pPr>
        <w:pStyle w:val="HChG"/>
        <w:spacing w:before="0"/>
      </w:pPr>
      <w:r w:rsidRPr="00D652D5">
        <w:lastRenderedPageBreak/>
        <w:t>Annex</w:t>
      </w:r>
    </w:p>
    <w:p w14:paraId="02DA0FB7" w14:textId="77777777" w:rsidR="00CF7617" w:rsidRPr="00D652D5" w:rsidRDefault="00CF7617" w:rsidP="00CF7617">
      <w:pPr>
        <w:pStyle w:val="HChG"/>
      </w:pPr>
      <w:r w:rsidRPr="00D652D5">
        <w:tab/>
      </w:r>
      <w:r w:rsidRPr="00D652D5">
        <w:tab/>
        <w:t>Fees for the international transaction log for the biennium 2020–2021</w:t>
      </w:r>
    </w:p>
    <w:p w14:paraId="02999AAE" w14:textId="77777777" w:rsidR="00CF7617" w:rsidRPr="00D652D5" w:rsidRDefault="00CF7617" w:rsidP="00CF7617">
      <w:pPr>
        <w:spacing w:after="120"/>
        <w:jc w:val="right"/>
      </w:pPr>
    </w:p>
    <w:tbl>
      <w:tblPr>
        <w:tblStyle w:val="TableGrid"/>
        <w:tblW w:w="8505"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68"/>
        <w:gridCol w:w="1188"/>
        <w:gridCol w:w="1212"/>
        <w:gridCol w:w="1212"/>
        <w:gridCol w:w="1212"/>
        <w:gridCol w:w="1213"/>
      </w:tblGrid>
      <w:tr w:rsidR="00CF7617" w:rsidRPr="00D652D5" w14:paraId="4C8F194C" w14:textId="77777777" w:rsidTr="002600C7">
        <w:trPr>
          <w:tblHeader/>
        </w:trPr>
        <w:tc>
          <w:tcPr>
            <w:tcW w:w="2468" w:type="dxa"/>
            <w:tcBorders>
              <w:top w:val="single" w:sz="4" w:space="0" w:color="auto"/>
              <w:bottom w:val="single" w:sz="12" w:space="0" w:color="auto"/>
            </w:tcBorders>
            <w:shd w:val="clear" w:color="auto" w:fill="auto"/>
            <w:vAlign w:val="bottom"/>
          </w:tcPr>
          <w:p w14:paraId="59CFA55B" w14:textId="77777777" w:rsidR="00CF7617" w:rsidRPr="00D652D5" w:rsidRDefault="00CF7617" w:rsidP="002600C7">
            <w:pPr>
              <w:spacing w:before="80" w:after="80" w:line="200" w:lineRule="exact"/>
              <w:ind w:right="113"/>
              <w:rPr>
                <w:i/>
                <w:sz w:val="16"/>
              </w:rPr>
            </w:pPr>
            <w:r w:rsidRPr="00D652D5">
              <w:rPr>
                <w:i/>
                <w:sz w:val="16"/>
              </w:rPr>
              <w:t>Party</w:t>
            </w:r>
          </w:p>
        </w:tc>
        <w:tc>
          <w:tcPr>
            <w:tcW w:w="1188" w:type="dxa"/>
            <w:tcBorders>
              <w:top w:val="single" w:sz="4" w:space="0" w:color="auto"/>
              <w:bottom w:val="single" w:sz="12" w:space="0" w:color="auto"/>
            </w:tcBorders>
            <w:shd w:val="clear" w:color="auto" w:fill="auto"/>
            <w:vAlign w:val="bottom"/>
          </w:tcPr>
          <w:p w14:paraId="0E0781FA" w14:textId="77777777" w:rsidR="00CF7617" w:rsidRPr="00D652D5" w:rsidRDefault="00CF7617" w:rsidP="002600C7">
            <w:pPr>
              <w:spacing w:before="80" w:after="80" w:line="200" w:lineRule="exact"/>
              <w:ind w:right="113"/>
              <w:jc w:val="right"/>
              <w:rPr>
                <w:i/>
                <w:sz w:val="16"/>
              </w:rPr>
            </w:pPr>
            <w:r w:rsidRPr="00D652D5">
              <w:rPr>
                <w:i/>
                <w:sz w:val="16"/>
              </w:rPr>
              <w:t>Scale of fees for 2020–2021</w:t>
            </w:r>
            <w:r w:rsidRPr="00D652D5">
              <w:rPr>
                <w:i/>
                <w:sz w:val="16"/>
              </w:rPr>
              <w:br/>
              <w:t>(%)</w:t>
            </w:r>
          </w:p>
        </w:tc>
        <w:tc>
          <w:tcPr>
            <w:tcW w:w="1212" w:type="dxa"/>
            <w:tcBorders>
              <w:top w:val="single" w:sz="4" w:space="0" w:color="auto"/>
              <w:bottom w:val="single" w:sz="12" w:space="0" w:color="auto"/>
            </w:tcBorders>
            <w:shd w:val="clear" w:color="auto" w:fill="auto"/>
            <w:vAlign w:val="bottom"/>
          </w:tcPr>
          <w:p w14:paraId="5112118F" w14:textId="77777777" w:rsidR="00CF7617" w:rsidRPr="00D652D5" w:rsidRDefault="00CF7617" w:rsidP="002600C7">
            <w:pPr>
              <w:spacing w:before="80" w:after="80" w:line="200" w:lineRule="exact"/>
              <w:ind w:right="113"/>
              <w:jc w:val="right"/>
              <w:rPr>
                <w:i/>
                <w:sz w:val="16"/>
              </w:rPr>
            </w:pPr>
            <w:r w:rsidRPr="00D652D5">
              <w:rPr>
                <w:i/>
                <w:sz w:val="16"/>
              </w:rPr>
              <w:t>Calculated fees for 2020 before credit from unspent balances</w:t>
            </w:r>
            <w:r w:rsidRPr="00D652D5">
              <w:rPr>
                <w:i/>
                <w:sz w:val="16"/>
              </w:rPr>
              <w:br/>
              <w:t>(EUR)</w:t>
            </w:r>
          </w:p>
        </w:tc>
        <w:tc>
          <w:tcPr>
            <w:tcW w:w="1212" w:type="dxa"/>
            <w:tcBorders>
              <w:top w:val="single" w:sz="4" w:space="0" w:color="auto"/>
              <w:bottom w:val="single" w:sz="12" w:space="0" w:color="auto"/>
            </w:tcBorders>
            <w:shd w:val="clear" w:color="auto" w:fill="auto"/>
            <w:vAlign w:val="bottom"/>
          </w:tcPr>
          <w:p w14:paraId="3D388E90" w14:textId="77777777" w:rsidR="00CF7617" w:rsidRPr="00D652D5" w:rsidRDefault="00CF7617" w:rsidP="002600C7">
            <w:pPr>
              <w:spacing w:before="80" w:after="80" w:line="200" w:lineRule="exact"/>
              <w:ind w:right="113"/>
              <w:jc w:val="right"/>
              <w:rPr>
                <w:i/>
                <w:sz w:val="16"/>
              </w:rPr>
            </w:pPr>
            <w:r w:rsidRPr="00D652D5">
              <w:rPr>
                <w:i/>
                <w:sz w:val="16"/>
              </w:rPr>
              <w:t>Calculated fees for 2021 before credit from unspent balances</w:t>
            </w:r>
            <w:r w:rsidRPr="00D652D5">
              <w:rPr>
                <w:i/>
                <w:sz w:val="16"/>
              </w:rPr>
              <w:br/>
              <w:t>(EUR)</w:t>
            </w:r>
          </w:p>
        </w:tc>
        <w:tc>
          <w:tcPr>
            <w:tcW w:w="1212" w:type="dxa"/>
            <w:tcBorders>
              <w:top w:val="single" w:sz="4" w:space="0" w:color="auto"/>
              <w:bottom w:val="single" w:sz="12" w:space="0" w:color="auto"/>
            </w:tcBorders>
            <w:shd w:val="clear" w:color="auto" w:fill="auto"/>
            <w:vAlign w:val="bottom"/>
          </w:tcPr>
          <w:p w14:paraId="3DC20E91" w14:textId="77777777" w:rsidR="00CF7617" w:rsidRPr="00D652D5" w:rsidRDefault="00CF7617" w:rsidP="002600C7">
            <w:pPr>
              <w:spacing w:before="80" w:after="80" w:line="200" w:lineRule="exact"/>
              <w:ind w:right="113"/>
              <w:jc w:val="right"/>
              <w:rPr>
                <w:i/>
                <w:sz w:val="16"/>
              </w:rPr>
            </w:pPr>
            <w:r w:rsidRPr="00D652D5">
              <w:rPr>
                <w:i/>
                <w:sz w:val="16"/>
              </w:rPr>
              <w:t>Balance of fees for 2020 after credit from unspent balances</w:t>
            </w:r>
            <w:r w:rsidRPr="00D652D5">
              <w:rPr>
                <w:i/>
                <w:sz w:val="16"/>
              </w:rPr>
              <w:br/>
              <w:t>(EUR)</w:t>
            </w:r>
          </w:p>
        </w:tc>
        <w:tc>
          <w:tcPr>
            <w:tcW w:w="1213" w:type="dxa"/>
            <w:tcBorders>
              <w:top w:val="single" w:sz="4" w:space="0" w:color="auto"/>
              <w:bottom w:val="single" w:sz="12" w:space="0" w:color="auto"/>
            </w:tcBorders>
            <w:shd w:val="clear" w:color="auto" w:fill="auto"/>
            <w:vAlign w:val="bottom"/>
          </w:tcPr>
          <w:p w14:paraId="58B5ABDD" w14:textId="77777777" w:rsidR="00CF7617" w:rsidRPr="00D652D5" w:rsidRDefault="00CF7617" w:rsidP="002600C7">
            <w:pPr>
              <w:spacing w:before="80" w:after="80" w:line="200" w:lineRule="exact"/>
              <w:ind w:right="113"/>
              <w:jc w:val="right"/>
              <w:rPr>
                <w:i/>
                <w:sz w:val="16"/>
              </w:rPr>
            </w:pPr>
            <w:r w:rsidRPr="00D652D5">
              <w:rPr>
                <w:i/>
                <w:sz w:val="16"/>
              </w:rPr>
              <w:t>Balance of fees for 2021 after credit from unspent balances</w:t>
            </w:r>
            <w:r w:rsidRPr="00D652D5">
              <w:rPr>
                <w:i/>
                <w:sz w:val="16"/>
              </w:rPr>
              <w:br/>
              <w:t>(EUR)</w:t>
            </w:r>
          </w:p>
        </w:tc>
      </w:tr>
      <w:tr w:rsidR="00CF7617" w:rsidRPr="00D652D5" w14:paraId="7DE2DA00" w14:textId="77777777" w:rsidTr="002600C7">
        <w:tc>
          <w:tcPr>
            <w:tcW w:w="2468" w:type="dxa"/>
            <w:tcBorders>
              <w:top w:val="single" w:sz="12" w:space="0" w:color="auto"/>
            </w:tcBorders>
            <w:shd w:val="clear" w:color="auto" w:fill="auto"/>
            <w:vAlign w:val="bottom"/>
          </w:tcPr>
          <w:p w14:paraId="28CA548C" w14:textId="77777777" w:rsidR="00CF7617" w:rsidRPr="00D652D5" w:rsidRDefault="00CF7617" w:rsidP="002600C7">
            <w:pPr>
              <w:spacing w:before="40" w:after="40" w:line="200" w:lineRule="exact"/>
              <w:ind w:right="113"/>
            </w:pPr>
            <w:r w:rsidRPr="00D652D5">
              <w:rPr>
                <w:color w:val="000000"/>
                <w:sz w:val="18"/>
                <w:szCs w:val="18"/>
              </w:rPr>
              <w:t>Australia</w:t>
            </w:r>
          </w:p>
        </w:tc>
        <w:tc>
          <w:tcPr>
            <w:tcW w:w="1188" w:type="dxa"/>
            <w:tcBorders>
              <w:top w:val="single" w:sz="12" w:space="0" w:color="auto"/>
            </w:tcBorders>
            <w:shd w:val="clear" w:color="auto" w:fill="auto"/>
            <w:vAlign w:val="bottom"/>
          </w:tcPr>
          <w:p w14:paraId="751A53D3" w14:textId="77777777" w:rsidR="00CF7617" w:rsidRPr="00D652D5" w:rsidRDefault="00CF7617" w:rsidP="002600C7">
            <w:pPr>
              <w:spacing w:before="40" w:after="40" w:line="200" w:lineRule="exact"/>
              <w:ind w:right="113"/>
              <w:jc w:val="right"/>
              <w:rPr>
                <w:sz w:val="18"/>
                <w:szCs w:val="18"/>
              </w:rPr>
            </w:pPr>
            <w:r w:rsidRPr="00D652D5">
              <w:rPr>
                <w:sz w:val="18"/>
                <w:szCs w:val="18"/>
              </w:rPr>
              <w:t>2.841</w:t>
            </w:r>
          </w:p>
        </w:tc>
        <w:tc>
          <w:tcPr>
            <w:tcW w:w="1212" w:type="dxa"/>
            <w:tcBorders>
              <w:top w:val="nil"/>
              <w:left w:val="nil"/>
              <w:bottom w:val="nil"/>
              <w:right w:val="nil"/>
            </w:tcBorders>
            <w:shd w:val="clear" w:color="auto" w:fill="auto"/>
            <w:vAlign w:val="bottom"/>
          </w:tcPr>
          <w:p w14:paraId="0E0EC51C" w14:textId="77777777" w:rsidR="00CF7617" w:rsidRPr="00D652D5" w:rsidRDefault="00CF7617" w:rsidP="002600C7">
            <w:pPr>
              <w:spacing w:before="40" w:after="40" w:line="200" w:lineRule="exact"/>
              <w:ind w:right="113"/>
              <w:jc w:val="right"/>
              <w:rPr>
                <w:sz w:val="18"/>
                <w:szCs w:val="18"/>
              </w:rPr>
            </w:pPr>
            <w:r w:rsidRPr="00D652D5">
              <w:rPr>
                <w:sz w:val="18"/>
                <w:szCs w:val="18"/>
              </w:rPr>
              <w:t>67 287</w:t>
            </w:r>
          </w:p>
        </w:tc>
        <w:tc>
          <w:tcPr>
            <w:tcW w:w="1212" w:type="dxa"/>
            <w:tcBorders>
              <w:top w:val="nil"/>
              <w:left w:val="nil"/>
              <w:bottom w:val="nil"/>
              <w:right w:val="nil"/>
            </w:tcBorders>
            <w:shd w:val="clear" w:color="auto" w:fill="auto"/>
            <w:vAlign w:val="bottom"/>
          </w:tcPr>
          <w:p w14:paraId="67AC7599" w14:textId="77777777" w:rsidR="00CF7617" w:rsidRPr="00D652D5" w:rsidRDefault="00CF7617" w:rsidP="002600C7">
            <w:pPr>
              <w:spacing w:before="40" w:after="40" w:line="200" w:lineRule="exact"/>
              <w:ind w:right="113"/>
              <w:jc w:val="right"/>
              <w:rPr>
                <w:sz w:val="18"/>
                <w:szCs w:val="18"/>
              </w:rPr>
            </w:pPr>
            <w:r w:rsidRPr="00D652D5">
              <w:rPr>
                <w:sz w:val="18"/>
                <w:szCs w:val="18"/>
              </w:rPr>
              <w:t>67 287</w:t>
            </w:r>
          </w:p>
        </w:tc>
        <w:tc>
          <w:tcPr>
            <w:tcW w:w="1212" w:type="dxa"/>
            <w:tcBorders>
              <w:top w:val="nil"/>
              <w:left w:val="nil"/>
              <w:bottom w:val="nil"/>
              <w:right w:val="nil"/>
            </w:tcBorders>
            <w:shd w:val="clear" w:color="auto" w:fill="auto"/>
            <w:vAlign w:val="bottom"/>
          </w:tcPr>
          <w:p w14:paraId="5E2851C9" w14:textId="77777777" w:rsidR="00CF7617" w:rsidRPr="00D652D5" w:rsidRDefault="00CF7617" w:rsidP="002600C7">
            <w:pPr>
              <w:spacing w:before="40" w:after="40" w:line="200" w:lineRule="exact"/>
              <w:ind w:right="113"/>
              <w:jc w:val="right"/>
              <w:rPr>
                <w:sz w:val="18"/>
                <w:szCs w:val="18"/>
              </w:rPr>
            </w:pPr>
            <w:r w:rsidRPr="00D652D5">
              <w:rPr>
                <w:sz w:val="18"/>
                <w:szCs w:val="18"/>
              </w:rPr>
              <w:t>30 803</w:t>
            </w:r>
          </w:p>
        </w:tc>
        <w:tc>
          <w:tcPr>
            <w:tcW w:w="1213" w:type="dxa"/>
            <w:tcBorders>
              <w:top w:val="nil"/>
              <w:left w:val="nil"/>
              <w:bottom w:val="nil"/>
              <w:right w:val="nil"/>
            </w:tcBorders>
            <w:shd w:val="clear" w:color="auto" w:fill="auto"/>
            <w:vAlign w:val="bottom"/>
          </w:tcPr>
          <w:p w14:paraId="4BD678BD" w14:textId="77777777" w:rsidR="00CF7617" w:rsidRPr="00D652D5" w:rsidRDefault="00CF7617" w:rsidP="002600C7">
            <w:pPr>
              <w:spacing w:before="40" w:after="40" w:line="200" w:lineRule="exact"/>
              <w:ind w:right="113"/>
              <w:jc w:val="right"/>
              <w:rPr>
                <w:sz w:val="18"/>
                <w:szCs w:val="18"/>
              </w:rPr>
            </w:pPr>
            <w:r w:rsidRPr="00D652D5">
              <w:rPr>
                <w:sz w:val="18"/>
                <w:szCs w:val="18"/>
              </w:rPr>
              <w:t>30 803</w:t>
            </w:r>
          </w:p>
        </w:tc>
      </w:tr>
      <w:tr w:rsidR="00CF7617" w:rsidRPr="00D652D5" w14:paraId="4BAB19FE" w14:textId="77777777" w:rsidTr="002600C7">
        <w:tc>
          <w:tcPr>
            <w:tcW w:w="2468" w:type="dxa"/>
            <w:shd w:val="clear" w:color="auto" w:fill="auto"/>
            <w:vAlign w:val="bottom"/>
          </w:tcPr>
          <w:p w14:paraId="02D22F0F" w14:textId="77777777" w:rsidR="00CF7617" w:rsidRPr="00D652D5" w:rsidRDefault="00CF7617" w:rsidP="002600C7">
            <w:pPr>
              <w:spacing w:before="40" w:after="40" w:line="200" w:lineRule="exact"/>
              <w:ind w:right="113"/>
            </w:pPr>
            <w:r w:rsidRPr="00D652D5">
              <w:rPr>
                <w:color w:val="000000"/>
                <w:sz w:val="18"/>
                <w:szCs w:val="18"/>
              </w:rPr>
              <w:t>Austria</w:t>
            </w:r>
          </w:p>
        </w:tc>
        <w:tc>
          <w:tcPr>
            <w:tcW w:w="1188" w:type="dxa"/>
            <w:shd w:val="clear" w:color="auto" w:fill="auto"/>
            <w:vAlign w:val="bottom"/>
          </w:tcPr>
          <w:p w14:paraId="54640C11" w14:textId="77777777" w:rsidR="00CF7617" w:rsidRPr="00D652D5" w:rsidRDefault="00CF7617" w:rsidP="002600C7">
            <w:pPr>
              <w:spacing w:before="40" w:after="40" w:line="200" w:lineRule="exact"/>
              <w:ind w:right="113"/>
              <w:jc w:val="right"/>
              <w:rPr>
                <w:sz w:val="18"/>
                <w:szCs w:val="18"/>
              </w:rPr>
            </w:pPr>
            <w:r w:rsidRPr="00D652D5">
              <w:rPr>
                <w:sz w:val="18"/>
                <w:szCs w:val="18"/>
              </w:rPr>
              <w:t>1.588</w:t>
            </w:r>
          </w:p>
        </w:tc>
        <w:tc>
          <w:tcPr>
            <w:tcW w:w="1212" w:type="dxa"/>
            <w:tcBorders>
              <w:top w:val="nil"/>
              <w:left w:val="nil"/>
              <w:bottom w:val="nil"/>
              <w:right w:val="nil"/>
            </w:tcBorders>
            <w:shd w:val="clear" w:color="auto" w:fill="auto"/>
            <w:vAlign w:val="bottom"/>
          </w:tcPr>
          <w:p w14:paraId="1D2FDC2B" w14:textId="77777777" w:rsidR="00CF7617" w:rsidRPr="00D652D5" w:rsidRDefault="00CF7617" w:rsidP="002600C7">
            <w:pPr>
              <w:spacing w:before="40" w:after="40" w:line="200" w:lineRule="exact"/>
              <w:ind w:right="113"/>
              <w:jc w:val="right"/>
              <w:rPr>
                <w:sz w:val="18"/>
                <w:szCs w:val="18"/>
              </w:rPr>
            </w:pPr>
            <w:r w:rsidRPr="00D652D5">
              <w:rPr>
                <w:sz w:val="18"/>
                <w:szCs w:val="18"/>
              </w:rPr>
              <w:t>37 610</w:t>
            </w:r>
          </w:p>
        </w:tc>
        <w:tc>
          <w:tcPr>
            <w:tcW w:w="1212" w:type="dxa"/>
            <w:tcBorders>
              <w:top w:val="nil"/>
              <w:left w:val="nil"/>
              <w:bottom w:val="nil"/>
              <w:right w:val="nil"/>
            </w:tcBorders>
            <w:shd w:val="clear" w:color="auto" w:fill="auto"/>
            <w:vAlign w:val="bottom"/>
          </w:tcPr>
          <w:p w14:paraId="501E2EFE" w14:textId="77777777" w:rsidR="00CF7617" w:rsidRPr="00D652D5" w:rsidRDefault="00CF7617" w:rsidP="002600C7">
            <w:pPr>
              <w:spacing w:before="40" w:after="40" w:line="200" w:lineRule="exact"/>
              <w:ind w:right="113"/>
              <w:jc w:val="right"/>
              <w:rPr>
                <w:sz w:val="18"/>
                <w:szCs w:val="18"/>
              </w:rPr>
            </w:pPr>
            <w:r w:rsidRPr="00D652D5">
              <w:rPr>
                <w:sz w:val="18"/>
                <w:szCs w:val="18"/>
              </w:rPr>
              <w:t>37 610</w:t>
            </w:r>
          </w:p>
        </w:tc>
        <w:tc>
          <w:tcPr>
            <w:tcW w:w="1212" w:type="dxa"/>
            <w:tcBorders>
              <w:top w:val="nil"/>
              <w:left w:val="nil"/>
              <w:bottom w:val="nil"/>
              <w:right w:val="nil"/>
            </w:tcBorders>
            <w:shd w:val="clear" w:color="auto" w:fill="auto"/>
            <w:vAlign w:val="bottom"/>
          </w:tcPr>
          <w:p w14:paraId="30FDAA27" w14:textId="77777777" w:rsidR="00CF7617" w:rsidRPr="00D652D5" w:rsidRDefault="00CF7617" w:rsidP="002600C7">
            <w:pPr>
              <w:spacing w:before="40" w:after="40" w:line="200" w:lineRule="exact"/>
              <w:ind w:right="113"/>
              <w:jc w:val="right"/>
              <w:rPr>
                <w:sz w:val="18"/>
                <w:szCs w:val="18"/>
              </w:rPr>
            </w:pPr>
            <w:r w:rsidRPr="00D652D5">
              <w:rPr>
                <w:sz w:val="18"/>
                <w:szCs w:val="18"/>
              </w:rPr>
              <w:t>17 218</w:t>
            </w:r>
          </w:p>
        </w:tc>
        <w:tc>
          <w:tcPr>
            <w:tcW w:w="1213" w:type="dxa"/>
            <w:tcBorders>
              <w:top w:val="nil"/>
              <w:left w:val="nil"/>
              <w:bottom w:val="nil"/>
              <w:right w:val="nil"/>
            </w:tcBorders>
            <w:shd w:val="clear" w:color="auto" w:fill="auto"/>
            <w:vAlign w:val="bottom"/>
          </w:tcPr>
          <w:p w14:paraId="0E7578E1" w14:textId="77777777" w:rsidR="00CF7617" w:rsidRPr="00D652D5" w:rsidRDefault="00CF7617" w:rsidP="002600C7">
            <w:pPr>
              <w:spacing w:before="40" w:after="40" w:line="200" w:lineRule="exact"/>
              <w:ind w:right="113"/>
              <w:jc w:val="right"/>
              <w:rPr>
                <w:sz w:val="18"/>
                <w:szCs w:val="18"/>
              </w:rPr>
            </w:pPr>
            <w:r w:rsidRPr="00D652D5">
              <w:rPr>
                <w:sz w:val="18"/>
                <w:szCs w:val="18"/>
              </w:rPr>
              <w:t>17 218</w:t>
            </w:r>
          </w:p>
        </w:tc>
      </w:tr>
      <w:tr w:rsidR="00CF7617" w:rsidRPr="00D652D5" w14:paraId="6BFFEA1C" w14:textId="77777777" w:rsidTr="002600C7">
        <w:tc>
          <w:tcPr>
            <w:tcW w:w="2468" w:type="dxa"/>
            <w:shd w:val="clear" w:color="auto" w:fill="auto"/>
            <w:vAlign w:val="bottom"/>
          </w:tcPr>
          <w:p w14:paraId="7E10FF55" w14:textId="77777777" w:rsidR="00CF7617" w:rsidRPr="00D652D5" w:rsidRDefault="00CF7617" w:rsidP="002600C7">
            <w:pPr>
              <w:spacing w:before="40" w:after="40" w:line="200" w:lineRule="exact"/>
              <w:ind w:right="113"/>
            </w:pPr>
            <w:proofErr w:type="spellStart"/>
            <w:r w:rsidRPr="00D652D5">
              <w:rPr>
                <w:color w:val="000000"/>
                <w:sz w:val="18"/>
                <w:szCs w:val="18"/>
              </w:rPr>
              <w:t>Belarus</w:t>
            </w:r>
            <w:r w:rsidRPr="00D652D5">
              <w:rPr>
                <w:bCs/>
                <w:i/>
                <w:sz w:val="18"/>
                <w:szCs w:val="18"/>
                <w:vertAlign w:val="superscript"/>
              </w:rPr>
              <w:t>a</w:t>
            </w:r>
            <w:proofErr w:type="spellEnd"/>
          </w:p>
        </w:tc>
        <w:tc>
          <w:tcPr>
            <w:tcW w:w="1188" w:type="dxa"/>
            <w:shd w:val="clear" w:color="auto" w:fill="auto"/>
            <w:vAlign w:val="bottom"/>
          </w:tcPr>
          <w:p w14:paraId="6D206CD1" w14:textId="77777777" w:rsidR="00CF7617" w:rsidRPr="00D652D5" w:rsidRDefault="00CF7617" w:rsidP="002600C7">
            <w:pPr>
              <w:spacing w:before="40" w:after="40" w:line="200" w:lineRule="exact"/>
              <w:ind w:right="113"/>
              <w:jc w:val="right"/>
              <w:rPr>
                <w:sz w:val="18"/>
                <w:szCs w:val="18"/>
              </w:rPr>
            </w:pPr>
            <w:r w:rsidRPr="00D652D5">
              <w:rPr>
                <w:sz w:val="18"/>
                <w:szCs w:val="18"/>
              </w:rPr>
              <w:t>0.073</w:t>
            </w:r>
          </w:p>
        </w:tc>
        <w:tc>
          <w:tcPr>
            <w:tcW w:w="1212" w:type="dxa"/>
            <w:tcBorders>
              <w:top w:val="nil"/>
              <w:left w:val="nil"/>
              <w:bottom w:val="nil"/>
              <w:right w:val="nil"/>
            </w:tcBorders>
            <w:shd w:val="clear" w:color="auto" w:fill="auto"/>
            <w:vAlign w:val="bottom"/>
          </w:tcPr>
          <w:p w14:paraId="0FFB8165" w14:textId="77777777" w:rsidR="00CF7617" w:rsidRPr="00D652D5" w:rsidRDefault="00CF7617" w:rsidP="002600C7">
            <w:pPr>
              <w:spacing w:before="40" w:after="40" w:line="200" w:lineRule="exact"/>
              <w:ind w:right="113"/>
              <w:jc w:val="right"/>
              <w:rPr>
                <w:sz w:val="18"/>
                <w:szCs w:val="18"/>
              </w:rPr>
            </w:pPr>
            <w:r w:rsidRPr="00D652D5">
              <w:rPr>
                <w:b/>
                <w:sz w:val="18"/>
                <w:szCs w:val="18"/>
              </w:rPr>
              <w:t>-</w:t>
            </w:r>
            <w:r w:rsidRPr="00D652D5">
              <w:rPr>
                <w:sz w:val="18"/>
                <w:szCs w:val="18"/>
              </w:rPr>
              <w:t xml:space="preserve"> </w:t>
            </w:r>
          </w:p>
        </w:tc>
        <w:tc>
          <w:tcPr>
            <w:tcW w:w="1212" w:type="dxa"/>
            <w:tcBorders>
              <w:top w:val="nil"/>
              <w:left w:val="nil"/>
              <w:bottom w:val="nil"/>
              <w:right w:val="nil"/>
            </w:tcBorders>
            <w:shd w:val="clear" w:color="auto" w:fill="auto"/>
            <w:vAlign w:val="bottom"/>
          </w:tcPr>
          <w:p w14:paraId="3E9FAFB9" w14:textId="77777777" w:rsidR="00CF7617" w:rsidRPr="00D652D5" w:rsidRDefault="00CF7617" w:rsidP="002600C7">
            <w:pPr>
              <w:spacing w:before="40" w:after="40" w:line="200" w:lineRule="exact"/>
              <w:ind w:right="113"/>
              <w:jc w:val="right"/>
              <w:rPr>
                <w:sz w:val="18"/>
                <w:szCs w:val="18"/>
              </w:rPr>
            </w:pPr>
            <w:r w:rsidRPr="00D652D5">
              <w:rPr>
                <w:b/>
                <w:sz w:val="18"/>
                <w:szCs w:val="18"/>
              </w:rPr>
              <w:t>-</w:t>
            </w:r>
            <w:r w:rsidRPr="00D652D5">
              <w:rPr>
                <w:sz w:val="18"/>
                <w:szCs w:val="18"/>
              </w:rPr>
              <w:t xml:space="preserve"> </w:t>
            </w:r>
          </w:p>
        </w:tc>
        <w:tc>
          <w:tcPr>
            <w:tcW w:w="1212" w:type="dxa"/>
            <w:tcBorders>
              <w:top w:val="nil"/>
              <w:left w:val="nil"/>
              <w:bottom w:val="nil"/>
              <w:right w:val="nil"/>
            </w:tcBorders>
            <w:shd w:val="clear" w:color="auto" w:fill="auto"/>
            <w:vAlign w:val="bottom"/>
          </w:tcPr>
          <w:p w14:paraId="0F25103F" w14:textId="77777777" w:rsidR="00CF7617" w:rsidRPr="00D652D5" w:rsidRDefault="00CF7617" w:rsidP="002600C7">
            <w:pPr>
              <w:spacing w:before="40" w:after="40" w:line="200" w:lineRule="exact"/>
              <w:ind w:right="113"/>
              <w:jc w:val="right"/>
              <w:rPr>
                <w:sz w:val="18"/>
                <w:szCs w:val="18"/>
              </w:rPr>
            </w:pPr>
            <w:r w:rsidRPr="00D652D5">
              <w:rPr>
                <w:sz w:val="18"/>
                <w:szCs w:val="18"/>
              </w:rPr>
              <w:t xml:space="preserve">- </w:t>
            </w:r>
          </w:p>
        </w:tc>
        <w:tc>
          <w:tcPr>
            <w:tcW w:w="1213" w:type="dxa"/>
            <w:tcBorders>
              <w:top w:val="nil"/>
              <w:left w:val="nil"/>
              <w:bottom w:val="nil"/>
              <w:right w:val="nil"/>
            </w:tcBorders>
            <w:shd w:val="clear" w:color="auto" w:fill="auto"/>
            <w:vAlign w:val="bottom"/>
          </w:tcPr>
          <w:p w14:paraId="1BECF1AB" w14:textId="77777777" w:rsidR="00CF7617" w:rsidRPr="00D652D5" w:rsidRDefault="00CF7617" w:rsidP="002600C7">
            <w:pPr>
              <w:spacing w:before="40" w:after="40" w:line="200" w:lineRule="exact"/>
              <w:ind w:right="113"/>
              <w:jc w:val="right"/>
              <w:rPr>
                <w:sz w:val="18"/>
                <w:szCs w:val="18"/>
              </w:rPr>
            </w:pPr>
            <w:r w:rsidRPr="00D652D5">
              <w:rPr>
                <w:sz w:val="18"/>
                <w:szCs w:val="18"/>
              </w:rPr>
              <w:t>-</w:t>
            </w:r>
          </w:p>
        </w:tc>
      </w:tr>
      <w:tr w:rsidR="00CF7617" w:rsidRPr="00D652D5" w14:paraId="7EE9DD18" w14:textId="77777777" w:rsidTr="002600C7">
        <w:tc>
          <w:tcPr>
            <w:tcW w:w="2468" w:type="dxa"/>
            <w:shd w:val="clear" w:color="auto" w:fill="auto"/>
            <w:vAlign w:val="bottom"/>
          </w:tcPr>
          <w:p w14:paraId="53C52ED4" w14:textId="77777777" w:rsidR="00CF7617" w:rsidRPr="00D652D5" w:rsidRDefault="00CF7617" w:rsidP="002600C7">
            <w:pPr>
              <w:spacing w:before="40" w:after="40" w:line="200" w:lineRule="exact"/>
              <w:ind w:right="113"/>
            </w:pPr>
            <w:r w:rsidRPr="00D652D5">
              <w:rPr>
                <w:color w:val="000000"/>
                <w:sz w:val="18"/>
                <w:szCs w:val="18"/>
              </w:rPr>
              <w:t>Belgium</w:t>
            </w:r>
          </w:p>
        </w:tc>
        <w:tc>
          <w:tcPr>
            <w:tcW w:w="1188" w:type="dxa"/>
            <w:shd w:val="clear" w:color="auto" w:fill="auto"/>
            <w:vAlign w:val="bottom"/>
          </w:tcPr>
          <w:p w14:paraId="4EA26231" w14:textId="77777777" w:rsidR="00CF7617" w:rsidRPr="00D652D5" w:rsidRDefault="00CF7617" w:rsidP="002600C7">
            <w:pPr>
              <w:spacing w:before="40" w:after="40" w:line="200" w:lineRule="exact"/>
              <w:ind w:right="113"/>
              <w:jc w:val="right"/>
              <w:rPr>
                <w:sz w:val="18"/>
                <w:szCs w:val="18"/>
              </w:rPr>
            </w:pPr>
            <w:r w:rsidRPr="00D652D5">
              <w:rPr>
                <w:sz w:val="18"/>
                <w:szCs w:val="18"/>
              </w:rPr>
              <w:t>1.973</w:t>
            </w:r>
          </w:p>
        </w:tc>
        <w:tc>
          <w:tcPr>
            <w:tcW w:w="1212" w:type="dxa"/>
            <w:tcBorders>
              <w:top w:val="nil"/>
              <w:left w:val="nil"/>
              <w:bottom w:val="nil"/>
              <w:right w:val="nil"/>
            </w:tcBorders>
            <w:shd w:val="clear" w:color="auto" w:fill="auto"/>
            <w:vAlign w:val="bottom"/>
          </w:tcPr>
          <w:p w14:paraId="469DD036" w14:textId="77777777" w:rsidR="00CF7617" w:rsidRPr="00D652D5" w:rsidRDefault="00CF7617" w:rsidP="002600C7">
            <w:pPr>
              <w:spacing w:before="40" w:after="40" w:line="200" w:lineRule="exact"/>
              <w:ind w:right="113"/>
              <w:jc w:val="right"/>
              <w:rPr>
                <w:sz w:val="18"/>
                <w:szCs w:val="18"/>
              </w:rPr>
            </w:pPr>
            <w:r w:rsidRPr="00D652D5">
              <w:rPr>
                <w:sz w:val="18"/>
                <w:szCs w:val="18"/>
              </w:rPr>
              <w:t>46 729</w:t>
            </w:r>
          </w:p>
        </w:tc>
        <w:tc>
          <w:tcPr>
            <w:tcW w:w="1212" w:type="dxa"/>
            <w:tcBorders>
              <w:top w:val="nil"/>
              <w:left w:val="nil"/>
              <w:bottom w:val="nil"/>
              <w:right w:val="nil"/>
            </w:tcBorders>
            <w:shd w:val="clear" w:color="auto" w:fill="auto"/>
            <w:vAlign w:val="bottom"/>
          </w:tcPr>
          <w:p w14:paraId="2F497C5D" w14:textId="77777777" w:rsidR="00CF7617" w:rsidRPr="00D652D5" w:rsidRDefault="00CF7617" w:rsidP="002600C7">
            <w:pPr>
              <w:spacing w:before="40" w:after="40" w:line="200" w:lineRule="exact"/>
              <w:ind w:right="113"/>
              <w:jc w:val="right"/>
              <w:rPr>
                <w:sz w:val="18"/>
                <w:szCs w:val="18"/>
              </w:rPr>
            </w:pPr>
            <w:r w:rsidRPr="00D652D5">
              <w:rPr>
                <w:sz w:val="18"/>
                <w:szCs w:val="18"/>
              </w:rPr>
              <w:t>46 729</w:t>
            </w:r>
          </w:p>
        </w:tc>
        <w:tc>
          <w:tcPr>
            <w:tcW w:w="1212" w:type="dxa"/>
            <w:tcBorders>
              <w:top w:val="nil"/>
              <w:left w:val="nil"/>
              <w:bottom w:val="nil"/>
              <w:right w:val="nil"/>
            </w:tcBorders>
            <w:shd w:val="clear" w:color="auto" w:fill="auto"/>
            <w:vAlign w:val="bottom"/>
          </w:tcPr>
          <w:p w14:paraId="3134BFF9" w14:textId="77777777" w:rsidR="00CF7617" w:rsidRPr="00D652D5" w:rsidRDefault="00CF7617" w:rsidP="002600C7">
            <w:pPr>
              <w:spacing w:before="40" w:after="40" w:line="200" w:lineRule="exact"/>
              <w:ind w:right="113"/>
              <w:jc w:val="right"/>
              <w:rPr>
                <w:sz w:val="18"/>
                <w:szCs w:val="18"/>
              </w:rPr>
            </w:pPr>
            <w:r w:rsidRPr="00D652D5">
              <w:rPr>
                <w:sz w:val="18"/>
                <w:szCs w:val="18"/>
              </w:rPr>
              <w:t>21 392</w:t>
            </w:r>
          </w:p>
        </w:tc>
        <w:tc>
          <w:tcPr>
            <w:tcW w:w="1213" w:type="dxa"/>
            <w:tcBorders>
              <w:top w:val="nil"/>
              <w:left w:val="nil"/>
              <w:bottom w:val="nil"/>
              <w:right w:val="nil"/>
            </w:tcBorders>
            <w:shd w:val="clear" w:color="auto" w:fill="auto"/>
            <w:vAlign w:val="bottom"/>
          </w:tcPr>
          <w:p w14:paraId="4FB5722C" w14:textId="77777777" w:rsidR="00CF7617" w:rsidRPr="00D652D5" w:rsidRDefault="00CF7617" w:rsidP="002600C7">
            <w:pPr>
              <w:spacing w:before="40" w:after="40" w:line="200" w:lineRule="exact"/>
              <w:ind w:right="113"/>
              <w:jc w:val="right"/>
              <w:rPr>
                <w:sz w:val="18"/>
                <w:szCs w:val="18"/>
              </w:rPr>
            </w:pPr>
            <w:r w:rsidRPr="00D652D5">
              <w:rPr>
                <w:sz w:val="18"/>
                <w:szCs w:val="18"/>
              </w:rPr>
              <w:t>21 392</w:t>
            </w:r>
          </w:p>
        </w:tc>
      </w:tr>
      <w:tr w:rsidR="00CF7617" w:rsidRPr="00D652D5" w14:paraId="6D86E8AE" w14:textId="77777777" w:rsidTr="002600C7">
        <w:tc>
          <w:tcPr>
            <w:tcW w:w="2468" w:type="dxa"/>
            <w:shd w:val="clear" w:color="auto" w:fill="auto"/>
            <w:vAlign w:val="bottom"/>
          </w:tcPr>
          <w:p w14:paraId="6CD3DD20" w14:textId="77777777" w:rsidR="00CF7617" w:rsidRPr="00D652D5" w:rsidRDefault="00CF7617" w:rsidP="002600C7">
            <w:pPr>
              <w:spacing w:before="40" w:after="40" w:line="200" w:lineRule="exact"/>
              <w:ind w:right="113"/>
            </w:pPr>
            <w:r w:rsidRPr="00D652D5">
              <w:rPr>
                <w:color w:val="000000"/>
                <w:sz w:val="18"/>
                <w:szCs w:val="18"/>
              </w:rPr>
              <w:t>Bulgaria</w:t>
            </w:r>
          </w:p>
        </w:tc>
        <w:tc>
          <w:tcPr>
            <w:tcW w:w="1188" w:type="dxa"/>
            <w:shd w:val="clear" w:color="auto" w:fill="auto"/>
            <w:vAlign w:val="bottom"/>
          </w:tcPr>
          <w:p w14:paraId="16D6F4C3" w14:textId="77777777" w:rsidR="00CF7617" w:rsidRPr="00D652D5" w:rsidRDefault="00CF7617" w:rsidP="002600C7">
            <w:pPr>
              <w:spacing w:before="40" w:after="40" w:line="200" w:lineRule="exact"/>
              <w:ind w:right="113"/>
              <w:jc w:val="right"/>
              <w:rPr>
                <w:sz w:val="18"/>
                <w:szCs w:val="18"/>
              </w:rPr>
            </w:pPr>
            <w:r w:rsidRPr="00D652D5">
              <w:rPr>
                <w:sz w:val="18"/>
                <w:szCs w:val="18"/>
              </w:rPr>
              <w:t>0.036</w:t>
            </w:r>
          </w:p>
        </w:tc>
        <w:tc>
          <w:tcPr>
            <w:tcW w:w="1212" w:type="dxa"/>
            <w:tcBorders>
              <w:top w:val="nil"/>
              <w:left w:val="nil"/>
              <w:bottom w:val="nil"/>
              <w:right w:val="nil"/>
            </w:tcBorders>
            <w:shd w:val="clear" w:color="auto" w:fill="auto"/>
            <w:vAlign w:val="bottom"/>
          </w:tcPr>
          <w:p w14:paraId="4F78921D" w14:textId="77777777" w:rsidR="00CF7617" w:rsidRPr="00D652D5" w:rsidRDefault="00CF7617" w:rsidP="002600C7">
            <w:pPr>
              <w:spacing w:before="40" w:after="40" w:line="200" w:lineRule="exact"/>
              <w:ind w:right="113"/>
              <w:jc w:val="right"/>
              <w:rPr>
                <w:sz w:val="18"/>
                <w:szCs w:val="18"/>
              </w:rPr>
            </w:pPr>
            <w:r w:rsidRPr="00D652D5">
              <w:rPr>
                <w:sz w:val="18"/>
                <w:szCs w:val="18"/>
              </w:rPr>
              <w:t xml:space="preserve"> 853</w:t>
            </w:r>
          </w:p>
        </w:tc>
        <w:tc>
          <w:tcPr>
            <w:tcW w:w="1212" w:type="dxa"/>
            <w:tcBorders>
              <w:top w:val="nil"/>
              <w:left w:val="nil"/>
              <w:bottom w:val="nil"/>
              <w:right w:val="nil"/>
            </w:tcBorders>
            <w:shd w:val="clear" w:color="auto" w:fill="auto"/>
            <w:vAlign w:val="bottom"/>
          </w:tcPr>
          <w:p w14:paraId="5F8A41FE" w14:textId="77777777" w:rsidR="00CF7617" w:rsidRPr="00D652D5" w:rsidRDefault="00CF7617" w:rsidP="002600C7">
            <w:pPr>
              <w:spacing w:before="40" w:after="40" w:line="200" w:lineRule="exact"/>
              <w:ind w:right="113"/>
              <w:jc w:val="right"/>
              <w:rPr>
                <w:sz w:val="18"/>
                <w:szCs w:val="18"/>
              </w:rPr>
            </w:pPr>
            <w:r w:rsidRPr="00D652D5">
              <w:rPr>
                <w:sz w:val="18"/>
                <w:szCs w:val="18"/>
              </w:rPr>
              <w:t xml:space="preserve"> 853</w:t>
            </w:r>
          </w:p>
        </w:tc>
        <w:tc>
          <w:tcPr>
            <w:tcW w:w="1212" w:type="dxa"/>
            <w:tcBorders>
              <w:top w:val="nil"/>
              <w:left w:val="nil"/>
              <w:bottom w:val="nil"/>
              <w:right w:val="nil"/>
            </w:tcBorders>
            <w:shd w:val="clear" w:color="auto" w:fill="auto"/>
            <w:vAlign w:val="bottom"/>
          </w:tcPr>
          <w:p w14:paraId="561296D9" w14:textId="77777777" w:rsidR="00CF7617" w:rsidRPr="00D652D5" w:rsidRDefault="00CF7617" w:rsidP="002600C7">
            <w:pPr>
              <w:spacing w:before="40" w:after="40" w:line="200" w:lineRule="exact"/>
              <w:ind w:right="113"/>
              <w:jc w:val="right"/>
              <w:rPr>
                <w:sz w:val="18"/>
                <w:szCs w:val="18"/>
              </w:rPr>
            </w:pPr>
            <w:r w:rsidRPr="00D652D5">
              <w:rPr>
                <w:sz w:val="18"/>
                <w:szCs w:val="18"/>
              </w:rPr>
              <w:t xml:space="preserve"> 390</w:t>
            </w:r>
          </w:p>
        </w:tc>
        <w:tc>
          <w:tcPr>
            <w:tcW w:w="1213" w:type="dxa"/>
            <w:tcBorders>
              <w:top w:val="nil"/>
              <w:left w:val="nil"/>
              <w:bottom w:val="nil"/>
              <w:right w:val="nil"/>
            </w:tcBorders>
            <w:shd w:val="clear" w:color="auto" w:fill="auto"/>
            <w:vAlign w:val="bottom"/>
          </w:tcPr>
          <w:p w14:paraId="2231DA0D" w14:textId="77777777" w:rsidR="00CF7617" w:rsidRPr="00D652D5" w:rsidRDefault="00CF7617" w:rsidP="002600C7">
            <w:pPr>
              <w:spacing w:before="40" w:after="40" w:line="200" w:lineRule="exact"/>
              <w:ind w:right="113"/>
              <w:jc w:val="right"/>
              <w:rPr>
                <w:sz w:val="18"/>
                <w:szCs w:val="18"/>
              </w:rPr>
            </w:pPr>
            <w:r w:rsidRPr="00D652D5">
              <w:rPr>
                <w:sz w:val="18"/>
                <w:szCs w:val="18"/>
              </w:rPr>
              <w:t xml:space="preserve"> 390</w:t>
            </w:r>
          </w:p>
        </w:tc>
      </w:tr>
      <w:tr w:rsidR="00CF7617" w:rsidRPr="00D652D5" w14:paraId="5369EF0E" w14:textId="77777777" w:rsidTr="002600C7">
        <w:tc>
          <w:tcPr>
            <w:tcW w:w="2468" w:type="dxa"/>
            <w:shd w:val="clear" w:color="auto" w:fill="auto"/>
            <w:vAlign w:val="bottom"/>
          </w:tcPr>
          <w:p w14:paraId="6B9951BF" w14:textId="77777777" w:rsidR="00CF7617" w:rsidRPr="00D652D5" w:rsidRDefault="00CF7617" w:rsidP="002600C7">
            <w:pPr>
              <w:spacing w:before="40" w:after="40" w:line="200" w:lineRule="exact"/>
              <w:ind w:right="113"/>
            </w:pPr>
            <w:r w:rsidRPr="00D652D5">
              <w:rPr>
                <w:color w:val="000000"/>
                <w:sz w:val="18"/>
                <w:szCs w:val="18"/>
              </w:rPr>
              <w:t>Croatia</w:t>
            </w:r>
          </w:p>
        </w:tc>
        <w:tc>
          <w:tcPr>
            <w:tcW w:w="1188" w:type="dxa"/>
            <w:shd w:val="clear" w:color="auto" w:fill="auto"/>
            <w:vAlign w:val="bottom"/>
          </w:tcPr>
          <w:p w14:paraId="73E1F402" w14:textId="77777777" w:rsidR="00CF7617" w:rsidRPr="00D652D5" w:rsidRDefault="00CF7617" w:rsidP="002600C7">
            <w:pPr>
              <w:spacing w:before="40" w:after="40" w:line="200" w:lineRule="exact"/>
              <w:ind w:right="113"/>
              <w:jc w:val="right"/>
              <w:rPr>
                <w:sz w:val="18"/>
                <w:szCs w:val="18"/>
              </w:rPr>
            </w:pPr>
            <w:r w:rsidRPr="00D652D5">
              <w:rPr>
                <w:sz w:val="18"/>
                <w:szCs w:val="18"/>
              </w:rPr>
              <w:t>0.079</w:t>
            </w:r>
          </w:p>
        </w:tc>
        <w:tc>
          <w:tcPr>
            <w:tcW w:w="1212" w:type="dxa"/>
            <w:tcBorders>
              <w:top w:val="nil"/>
              <w:left w:val="nil"/>
              <w:bottom w:val="nil"/>
              <w:right w:val="nil"/>
            </w:tcBorders>
            <w:shd w:val="clear" w:color="auto" w:fill="auto"/>
            <w:vAlign w:val="bottom"/>
          </w:tcPr>
          <w:p w14:paraId="3E5AF906" w14:textId="77777777" w:rsidR="00CF7617" w:rsidRPr="00D652D5" w:rsidRDefault="00CF7617" w:rsidP="002600C7">
            <w:pPr>
              <w:spacing w:before="40" w:after="40" w:line="200" w:lineRule="exact"/>
              <w:ind w:right="113"/>
              <w:jc w:val="right"/>
              <w:rPr>
                <w:sz w:val="18"/>
                <w:szCs w:val="18"/>
              </w:rPr>
            </w:pPr>
            <w:r w:rsidRPr="00D652D5">
              <w:rPr>
                <w:sz w:val="18"/>
                <w:szCs w:val="18"/>
              </w:rPr>
              <w:t>1 871</w:t>
            </w:r>
          </w:p>
        </w:tc>
        <w:tc>
          <w:tcPr>
            <w:tcW w:w="1212" w:type="dxa"/>
            <w:tcBorders>
              <w:top w:val="nil"/>
              <w:left w:val="nil"/>
              <w:bottom w:val="nil"/>
              <w:right w:val="nil"/>
            </w:tcBorders>
            <w:shd w:val="clear" w:color="auto" w:fill="auto"/>
            <w:vAlign w:val="bottom"/>
          </w:tcPr>
          <w:p w14:paraId="43101E3E" w14:textId="77777777" w:rsidR="00CF7617" w:rsidRPr="00D652D5" w:rsidRDefault="00CF7617" w:rsidP="002600C7">
            <w:pPr>
              <w:spacing w:before="40" w:after="40" w:line="200" w:lineRule="exact"/>
              <w:ind w:right="113"/>
              <w:jc w:val="right"/>
              <w:rPr>
                <w:sz w:val="18"/>
                <w:szCs w:val="18"/>
              </w:rPr>
            </w:pPr>
            <w:r w:rsidRPr="00D652D5">
              <w:rPr>
                <w:sz w:val="18"/>
                <w:szCs w:val="18"/>
              </w:rPr>
              <w:t>1 871</w:t>
            </w:r>
          </w:p>
        </w:tc>
        <w:tc>
          <w:tcPr>
            <w:tcW w:w="1212" w:type="dxa"/>
            <w:tcBorders>
              <w:top w:val="nil"/>
              <w:left w:val="nil"/>
              <w:bottom w:val="nil"/>
              <w:right w:val="nil"/>
            </w:tcBorders>
            <w:shd w:val="clear" w:color="auto" w:fill="auto"/>
            <w:vAlign w:val="bottom"/>
          </w:tcPr>
          <w:p w14:paraId="5C64F9CD" w14:textId="77777777" w:rsidR="00CF7617" w:rsidRPr="00D652D5" w:rsidRDefault="00CF7617" w:rsidP="002600C7">
            <w:pPr>
              <w:spacing w:before="40" w:after="40" w:line="200" w:lineRule="exact"/>
              <w:ind w:right="113"/>
              <w:jc w:val="right"/>
              <w:rPr>
                <w:sz w:val="18"/>
                <w:szCs w:val="18"/>
              </w:rPr>
            </w:pPr>
            <w:r w:rsidRPr="00D652D5">
              <w:rPr>
                <w:sz w:val="18"/>
                <w:szCs w:val="18"/>
              </w:rPr>
              <w:t xml:space="preserve"> 857</w:t>
            </w:r>
          </w:p>
        </w:tc>
        <w:tc>
          <w:tcPr>
            <w:tcW w:w="1213" w:type="dxa"/>
            <w:tcBorders>
              <w:top w:val="nil"/>
              <w:left w:val="nil"/>
              <w:bottom w:val="nil"/>
              <w:right w:val="nil"/>
            </w:tcBorders>
            <w:shd w:val="clear" w:color="auto" w:fill="auto"/>
            <w:vAlign w:val="bottom"/>
          </w:tcPr>
          <w:p w14:paraId="28D0200A" w14:textId="77777777" w:rsidR="00CF7617" w:rsidRPr="00D652D5" w:rsidRDefault="00CF7617" w:rsidP="002600C7">
            <w:pPr>
              <w:spacing w:before="40" w:after="40" w:line="200" w:lineRule="exact"/>
              <w:ind w:right="113"/>
              <w:jc w:val="right"/>
              <w:rPr>
                <w:sz w:val="18"/>
                <w:szCs w:val="18"/>
              </w:rPr>
            </w:pPr>
            <w:r w:rsidRPr="00D652D5">
              <w:rPr>
                <w:sz w:val="18"/>
                <w:szCs w:val="18"/>
              </w:rPr>
              <w:t xml:space="preserve"> 857</w:t>
            </w:r>
          </w:p>
        </w:tc>
      </w:tr>
      <w:tr w:rsidR="00CF7617" w:rsidRPr="00D652D5" w14:paraId="419B1705" w14:textId="77777777" w:rsidTr="002600C7">
        <w:tc>
          <w:tcPr>
            <w:tcW w:w="2468" w:type="dxa"/>
            <w:shd w:val="clear" w:color="auto" w:fill="auto"/>
            <w:vAlign w:val="bottom"/>
          </w:tcPr>
          <w:p w14:paraId="2204DA9B" w14:textId="77777777" w:rsidR="00CF7617" w:rsidRPr="00D652D5" w:rsidRDefault="00CF7617" w:rsidP="002600C7">
            <w:pPr>
              <w:spacing w:before="40" w:after="40" w:line="200" w:lineRule="exact"/>
              <w:ind w:right="113"/>
            </w:pPr>
            <w:r w:rsidRPr="00D652D5">
              <w:rPr>
                <w:color w:val="000000"/>
                <w:sz w:val="18"/>
                <w:szCs w:val="18"/>
              </w:rPr>
              <w:t>Cyprus</w:t>
            </w:r>
          </w:p>
        </w:tc>
        <w:tc>
          <w:tcPr>
            <w:tcW w:w="1188" w:type="dxa"/>
            <w:shd w:val="clear" w:color="auto" w:fill="auto"/>
            <w:vAlign w:val="bottom"/>
          </w:tcPr>
          <w:p w14:paraId="2F434314" w14:textId="77777777" w:rsidR="00CF7617" w:rsidRPr="00D652D5" w:rsidRDefault="00CF7617" w:rsidP="002600C7">
            <w:pPr>
              <w:spacing w:before="40" w:after="40" w:line="200" w:lineRule="exact"/>
              <w:ind w:right="113"/>
              <w:jc w:val="right"/>
              <w:rPr>
                <w:sz w:val="18"/>
                <w:szCs w:val="18"/>
              </w:rPr>
            </w:pPr>
            <w:r w:rsidRPr="00D652D5">
              <w:rPr>
                <w:sz w:val="18"/>
                <w:szCs w:val="18"/>
              </w:rPr>
              <w:t>0.061</w:t>
            </w:r>
          </w:p>
        </w:tc>
        <w:tc>
          <w:tcPr>
            <w:tcW w:w="1212" w:type="dxa"/>
            <w:tcBorders>
              <w:top w:val="nil"/>
              <w:left w:val="nil"/>
              <w:bottom w:val="nil"/>
              <w:right w:val="nil"/>
            </w:tcBorders>
            <w:shd w:val="clear" w:color="auto" w:fill="auto"/>
            <w:vAlign w:val="bottom"/>
          </w:tcPr>
          <w:p w14:paraId="427116C7" w14:textId="77777777" w:rsidR="00CF7617" w:rsidRPr="00D652D5" w:rsidRDefault="00CF7617" w:rsidP="002600C7">
            <w:pPr>
              <w:spacing w:before="40" w:after="40" w:line="200" w:lineRule="exact"/>
              <w:ind w:right="113"/>
              <w:jc w:val="right"/>
              <w:rPr>
                <w:sz w:val="18"/>
                <w:szCs w:val="18"/>
              </w:rPr>
            </w:pPr>
            <w:r w:rsidRPr="00D652D5">
              <w:rPr>
                <w:sz w:val="18"/>
                <w:szCs w:val="18"/>
              </w:rPr>
              <w:t>1 445</w:t>
            </w:r>
          </w:p>
        </w:tc>
        <w:tc>
          <w:tcPr>
            <w:tcW w:w="1212" w:type="dxa"/>
            <w:tcBorders>
              <w:top w:val="nil"/>
              <w:left w:val="nil"/>
              <w:bottom w:val="nil"/>
              <w:right w:val="nil"/>
            </w:tcBorders>
            <w:shd w:val="clear" w:color="auto" w:fill="auto"/>
            <w:vAlign w:val="bottom"/>
          </w:tcPr>
          <w:p w14:paraId="0783B932" w14:textId="77777777" w:rsidR="00CF7617" w:rsidRPr="00D652D5" w:rsidRDefault="00CF7617" w:rsidP="002600C7">
            <w:pPr>
              <w:spacing w:before="40" w:after="40" w:line="200" w:lineRule="exact"/>
              <w:ind w:right="113"/>
              <w:jc w:val="right"/>
              <w:rPr>
                <w:sz w:val="18"/>
                <w:szCs w:val="18"/>
              </w:rPr>
            </w:pPr>
            <w:r w:rsidRPr="00D652D5">
              <w:rPr>
                <w:sz w:val="18"/>
                <w:szCs w:val="18"/>
              </w:rPr>
              <w:t>1 445</w:t>
            </w:r>
          </w:p>
        </w:tc>
        <w:tc>
          <w:tcPr>
            <w:tcW w:w="1212" w:type="dxa"/>
            <w:tcBorders>
              <w:top w:val="nil"/>
              <w:left w:val="nil"/>
              <w:bottom w:val="nil"/>
              <w:right w:val="nil"/>
            </w:tcBorders>
            <w:shd w:val="clear" w:color="auto" w:fill="auto"/>
            <w:vAlign w:val="bottom"/>
          </w:tcPr>
          <w:p w14:paraId="63647207" w14:textId="77777777" w:rsidR="00CF7617" w:rsidRPr="00D652D5" w:rsidRDefault="00CF7617" w:rsidP="002600C7">
            <w:pPr>
              <w:spacing w:before="40" w:after="40" w:line="200" w:lineRule="exact"/>
              <w:ind w:right="113"/>
              <w:jc w:val="right"/>
              <w:rPr>
                <w:sz w:val="18"/>
                <w:szCs w:val="18"/>
              </w:rPr>
            </w:pPr>
            <w:r w:rsidRPr="00D652D5">
              <w:rPr>
                <w:sz w:val="18"/>
                <w:szCs w:val="18"/>
              </w:rPr>
              <w:t xml:space="preserve"> 662</w:t>
            </w:r>
          </w:p>
        </w:tc>
        <w:tc>
          <w:tcPr>
            <w:tcW w:w="1213" w:type="dxa"/>
            <w:tcBorders>
              <w:top w:val="nil"/>
              <w:left w:val="nil"/>
              <w:bottom w:val="nil"/>
              <w:right w:val="nil"/>
            </w:tcBorders>
            <w:shd w:val="clear" w:color="auto" w:fill="auto"/>
            <w:vAlign w:val="bottom"/>
          </w:tcPr>
          <w:p w14:paraId="1F775F98" w14:textId="77777777" w:rsidR="00CF7617" w:rsidRPr="00D652D5" w:rsidRDefault="00CF7617" w:rsidP="002600C7">
            <w:pPr>
              <w:spacing w:before="40" w:after="40" w:line="200" w:lineRule="exact"/>
              <w:ind w:right="113"/>
              <w:jc w:val="right"/>
              <w:rPr>
                <w:sz w:val="18"/>
                <w:szCs w:val="18"/>
              </w:rPr>
            </w:pPr>
            <w:r w:rsidRPr="00D652D5">
              <w:rPr>
                <w:sz w:val="18"/>
                <w:szCs w:val="18"/>
              </w:rPr>
              <w:t xml:space="preserve"> 662</w:t>
            </w:r>
          </w:p>
        </w:tc>
      </w:tr>
      <w:tr w:rsidR="00CF7617" w:rsidRPr="00D652D5" w14:paraId="0DFD4E8A" w14:textId="77777777" w:rsidTr="002600C7">
        <w:tc>
          <w:tcPr>
            <w:tcW w:w="2468" w:type="dxa"/>
            <w:shd w:val="clear" w:color="auto" w:fill="auto"/>
            <w:vAlign w:val="bottom"/>
          </w:tcPr>
          <w:p w14:paraId="75CEFB9F" w14:textId="77777777" w:rsidR="00CF7617" w:rsidRPr="00D652D5" w:rsidRDefault="00CF7617" w:rsidP="002600C7">
            <w:pPr>
              <w:spacing w:before="40" w:after="40" w:line="200" w:lineRule="exact"/>
              <w:ind w:right="113"/>
            </w:pPr>
            <w:r w:rsidRPr="00D652D5">
              <w:rPr>
                <w:color w:val="000000"/>
                <w:sz w:val="18"/>
                <w:szCs w:val="18"/>
              </w:rPr>
              <w:t>Czechia</w:t>
            </w:r>
          </w:p>
        </w:tc>
        <w:tc>
          <w:tcPr>
            <w:tcW w:w="1188" w:type="dxa"/>
            <w:shd w:val="clear" w:color="auto" w:fill="auto"/>
            <w:vAlign w:val="bottom"/>
          </w:tcPr>
          <w:p w14:paraId="2097F6AE" w14:textId="77777777" w:rsidR="00CF7617" w:rsidRPr="00D652D5" w:rsidRDefault="00CF7617" w:rsidP="002600C7">
            <w:pPr>
              <w:spacing w:before="40" w:after="40" w:line="200" w:lineRule="exact"/>
              <w:ind w:right="113"/>
              <w:jc w:val="right"/>
              <w:rPr>
                <w:sz w:val="18"/>
                <w:szCs w:val="18"/>
              </w:rPr>
            </w:pPr>
            <w:r w:rsidRPr="00D652D5">
              <w:rPr>
                <w:sz w:val="18"/>
                <w:szCs w:val="18"/>
              </w:rPr>
              <w:t>0.503</w:t>
            </w:r>
          </w:p>
        </w:tc>
        <w:tc>
          <w:tcPr>
            <w:tcW w:w="1212" w:type="dxa"/>
            <w:tcBorders>
              <w:top w:val="nil"/>
              <w:left w:val="nil"/>
              <w:bottom w:val="nil"/>
              <w:right w:val="nil"/>
            </w:tcBorders>
            <w:shd w:val="clear" w:color="auto" w:fill="auto"/>
            <w:vAlign w:val="bottom"/>
          </w:tcPr>
          <w:p w14:paraId="00DF24B1" w14:textId="77777777" w:rsidR="00CF7617" w:rsidRPr="00D652D5" w:rsidRDefault="00CF7617" w:rsidP="002600C7">
            <w:pPr>
              <w:spacing w:before="40" w:after="40" w:line="200" w:lineRule="exact"/>
              <w:ind w:right="113"/>
              <w:jc w:val="right"/>
              <w:rPr>
                <w:sz w:val="18"/>
                <w:szCs w:val="18"/>
              </w:rPr>
            </w:pPr>
            <w:r w:rsidRPr="00D652D5">
              <w:rPr>
                <w:sz w:val="18"/>
                <w:szCs w:val="18"/>
              </w:rPr>
              <w:t>11 913</w:t>
            </w:r>
          </w:p>
        </w:tc>
        <w:tc>
          <w:tcPr>
            <w:tcW w:w="1212" w:type="dxa"/>
            <w:tcBorders>
              <w:top w:val="nil"/>
              <w:left w:val="nil"/>
              <w:bottom w:val="nil"/>
              <w:right w:val="nil"/>
            </w:tcBorders>
            <w:shd w:val="clear" w:color="auto" w:fill="auto"/>
            <w:vAlign w:val="bottom"/>
          </w:tcPr>
          <w:p w14:paraId="0B8F459D" w14:textId="77777777" w:rsidR="00CF7617" w:rsidRPr="00D652D5" w:rsidRDefault="00CF7617" w:rsidP="002600C7">
            <w:pPr>
              <w:spacing w:before="40" w:after="40" w:line="200" w:lineRule="exact"/>
              <w:ind w:right="113"/>
              <w:jc w:val="right"/>
              <w:rPr>
                <w:sz w:val="18"/>
                <w:szCs w:val="18"/>
              </w:rPr>
            </w:pPr>
            <w:r w:rsidRPr="00D652D5">
              <w:rPr>
                <w:sz w:val="18"/>
                <w:szCs w:val="18"/>
              </w:rPr>
              <w:t>11 913</w:t>
            </w:r>
          </w:p>
        </w:tc>
        <w:tc>
          <w:tcPr>
            <w:tcW w:w="1212" w:type="dxa"/>
            <w:tcBorders>
              <w:top w:val="nil"/>
              <w:left w:val="nil"/>
              <w:bottom w:val="nil"/>
              <w:right w:val="nil"/>
            </w:tcBorders>
            <w:shd w:val="clear" w:color="auto" w:fill="auto"/>
            <w:vAlign w:val="bottom"/>
          </w:tcPr>
          <w:p w14:paraId="126E4B11" w14:textId="77777777" w:rsidR="00CF7617" w:rsidRPr="00D652D5" w:rsidRDefault="00CF7617" w:rsidP="002600C7">
            <w:pPr>
              <w:spacing w:before="40" w:after="40" w:line="200" w:lineRule="exact"/>
              <w:ind w:right="113"/>
              <w:jc w:val="right"/>
              <w:rPr>
                <w:sz w:val="18"/>
                <w:szCs w:val="18"/>
              </w:rPr>
            </w:pPr>
            <w:r w:rsidRPr="00D652D5">
              <w:rPr>
                <w:sz w:val="18"/>
                <w:szCs w:val="18"/>
              </w:rPr>
              <w:t>5 454</w:t>
            </w:r>
          </w:p>
        </w:tc>
        <w:tc>
          <w:tcPr>
            <w:tcW w:w="1213" w:type="dxa"/>
            <w:tcBorders>
              <w:top w:val="nil"/>
              <w:left w:val="nil"/>
              <w:bottom w:val="nil"/>
              <w:right w:val="nil"/>
            </w:tcBorders>
            <w:shd w:val="clear" w:color="auto" w:fill="auto"/>
            <w:vAlign w:val="bottom"/>
          </w:tcPr>
          <w:p w14:paraId="2C427E8A" w14:textId="77777777" w:rsidR="00CF7617" w:rsidRPr="00D652D5" w:rsidRDefault="00CF7617" w:rsidP="002600C7">
            <w:pPr>
              <w:spacing w:before="40" w:after="40" w:line="200" w:lineRule="exact"/>
              <w:ind w:right="113"/>
              <w:jc w:val="right"/>
              <w:rPr>
                <w:sz w:val="18"/>
                <w:szCs w:val="18"/>
              </w:rPr>
            </w:pPr>
            <w:r w:rsidRPr="00D652D5">
              <w:rPr>
                <w:sz w:val="18"/>
                <w:szCs w:val="18"/>
              </w:rPr>
              <w:t>5 454</w:t>
            </w:r>
          </w:p>
        </w:tc>
      </w:tr>
      <w:tr w:rsidR="00CF7617" w:rsidRPr="00D652D5" w14:paraId="7E8D6670" w14:textId="77777777" w:rsidTr="002600C7">
        <w:tc>
          <w:tcPr>
            <w:tcW w:w="2468" w:type="dxa"/>
            <w:shd w:val="clear" w:color="auto" w:fill="auto"/>
            <w:vAlign w:val="bottom"/>
          </w:tcPr>
          <w:p w14:paraId="49BAAA29" w14:textId="77777777" w:rsidR="00CF7617" w:rsidRPr="00D652D5" w:rsidRDefault="00CF7617" w:rsidP="002600C7">
            <w:pPr>
              <w:spacing w:before="40" w:after="40" w:line="200" w:lineRule="exact"/>
              <w:ind w:right="113"/>
            </w:pPr>
            <w:r w:rsidRPr="00D652D5">
              <w:rPr>
                <w:color w:val="000000"/>
                <w:sz w:val="18"/>
                <w:szCs w:val="18"/>
              </w:rPr>
              <w:t>Denmark</w:t>
            </w:r>
          </w:p>
        </w:tc>
        <w:tc>
          <w:tcPr>
            <w:tcW w:w="1188" w:type="dxa"/>
            <w:shd w:val="clear" w:color="auto" w:fill="auto"/>
            <w:vAlign w:val="bottom"/>
          </w:tcPr>
          <w:p w14:paraId="191EB48F" w14:textId="77777777" w:rsidR="00CF7617" w:rsidRPr="00D652D5" w:rsidRDefault="00CF7617" w:rsidP="002600C7">
            <w:pPr>
              <w:spacing w:before="40" w:after="40" w:line="200" w:lineRule="exact"/>
              <w:ind w:right="113"/>
              <w:jc w:val="right"/>
              <w:rPr>
                <w:sz w:val="18"/>
                <w:szCs w:val="18"/>
              </w:rPr>
            </w:pPr>
            <w:r w:rsidRPr="00D652D5">
              <w:rPr>
                <w:sz w:val="18"/>
                <w:szCs w:val="18"/>
              </w:rPr>
              <w:t>1.323</w:t>
            </w:r>
          </w:p>
        </w:tc>
        <w:tc>
          <w:tcPr>
            <w:tcW w:w="1212" w:type="dxa"/>
            <w:tcBorders>
              <w:top w:val="nil"/>
              <w:left w:val="nil"/>
              <w:bottom w:val="nil"/>
              <w:right w:val="nil"/>
            </w:tcBorders>
            <w:shd w:val="clear" w:color="auto" w:fill="auto"/>
            <w:vAlign w:val="bottom"/>
          </w:tcPr>
          <w:p w14:paraId="4A01A305" w14:textId="77777777" w:rsidR="00CF7617" w:rsidRPr="00D652D5" w:rsidRDefault="00CF7617" w:rsidP="002600C7">
            <w:pPr>
              <w:spacing w:before="40" w:after="40" w:line="200" w:lineRule="exact"/>
              <w:ind w:right="113"/>
              <w:jc w:val="right"/>
              <w:rPr>
                <w:sz w:val="18"/>
                <w:szCs w:val="18"/>
              </w:rPr>
            </w:pPr>
            <w:r w:rsidRPr="00D652D5">
              <w:rPr>
                <w:sz w:val="18"/>
                <w:szCs w:val="18"/>
              </w:rPr>
              <w:t>31 334</w:t>
            </w:r>
          </w:p>
        </w:tc>
        <w:tc>
          <w:tcPr>
            <w:tcW w:w="1212" w:type="dxa"/>
            <w:tcBorders>
              <w:top w:val="nil"/>
              <w:left w:val="nil"/>
              <w:bottom w:val="nil"/>
              <w:right w:val="nil"/>
            </w:tcBorders>
            <w:shd w:val="clear" w:color="auto" w:fill="auto"/>
            <w:vAlign w:val="bottom"/>
          </w:tcPr>
          <w:p w14:paraId="3BD7E530" w14:textId="77777777" w:rsidR="00CF7617" w:rsidRPr="00D652D5" w:rsidRDefault="00CF7617" w:rsidP="002600C7">
            <w:pPr>
              <w:spacing w:before="40" w:after="40" w:line="200" w:lineRule="exact"/>
              <w:ind w:right="113"/>
              <w:jc w:val="right"/>
              <w:rPr>
                <w:sz w:val="18"/>
                <w:szCs w:val="18"/>
              </w:rPr>
            </w:pPr>
            <w:r w:rsidRPr="00D652D5">
              <w:rPr>
                <w:sz w:val="18"/>
                <w:szCs w:val="18"/>
              </w:rPr>
              <w:t>31 334</w:t>
            </w:r>
          </w:p>
        </w:tc>
        <w:tc>
          <w:tcPr>
            <w:tcW w:w="1212" w:type="dxa"/>
            <w:tcBorders>
              <w:top w:val="nil"/>
              <w:left w:val="nil"/>
              <w:bottom w:val="nil"/>
              <w:right w:val="nil"/>
            </w:tcBorders>
            <w:shd w:val="clear" w:color="auto" w:fill="auto"/>
            <w:vAlign w:val="bottom"/>
          </w:tcPr>
          <w:p w14:paraId="64802B44" w14:textId="77777777" w:rsidR="00CF7617" w:rsidRPr="00D652D5" w:rsidRDefault="00CF7617" w:rsidP="002600C7">
            <w:pPr>
              <w:spacing w:before="40" w:after="40" w:line="200" w:lineRule="exact"/>
              <w:ind w:right="113"/>
              <w:jc w:val="right"/>
              <w:rPr>
                <w:sz w:val="18"/>
                <w:szCs w:val="18"/>
              </w:rPr>
            </w:pPr>
            <w:r w:rsidRPr="00D652D5">
              <w:rPr>
                <w:sz w:val="18"/>
                <w:szCs w:val="18"/>
              </w:rPr>
              <w:t>14 344</w:t>
            </w:r>
          </w:p>
        </w:tc>
        <w:tc>
          <w:tcPr>
            <w:tcW w:w="1213" w:type="dxa"/>
            <w:tcBorders>
              <w:top w:val="nil"/>
              <w:left w:val="nil"/>
              <w:bottom w:val="nil"/>
              <w:right w:val="nil"/>
            </w:tcBorders>
            <w:shd w:val="clear" w:color="auto" w:fill="auto"/>
            <w:vAlign w:val="bottom"/>
          </w:tcPr>
          <w:p w14:paraId="2408BED3" w14:textId="77777777" w:rsidR="00CF7617" w:rsidRPr="00D652D5" w:rsidRDefault="00CF7617" w:rsidP="002600C7">
            <w:pPr>
              <w:spacing w:before="40" w:after="40" w:line="200" w:lineRule="exact"/>
              <w:ind w:right="113"/>
              <w:jc w:val="right"/>
              <w:rPr>
                <w:sz w:val="18"/>
                <w:szCs w:val="18"/>
              </w:rPr>
            </w:pPr>
            <w:r w:rsidRPr="00D652D5">
              <w:rPr>
                <w:sz w:val="18"/>
                <w:szCs w:val="18"/>
              </w:rPr>
              <w:t>14 344</w:t>
            </w:r>
          </w:p>
        </w:tc>
      </w:tr>
      <w:tr w:rsidR="00CF7617" w:rsidRPr="00D652D5" w14:paraId="7C52DE54" w14:textId="77777777" w:rsidTr="002600C7">
        <w:tc>
          <w:tcPr>
            <w:tcW w:w="2468" w:type="dxa"/>
            <w:shd w:val="clear" w:color="auto" w:fill="auto"/>
            <w:vAlign w:val="bottom"/>
          </w:tcPr>
          <w:p w14:paraId="119FC2F6" w14:textId="77777777" w:rsidR="00CF7617" w:rsidRPr="00D652D5" w:rsidRDefault="00CF7617" w:rsidP="002600C7">
            <w:pPr>
              <w:spacing w:before="40" w:after="40" w:line="200" w:lineRule="exact"/>
              <w:ind w:right="113"/>
            </w:pPr>
            <w:r w:rsidRPr="00D652D5">
              <w:rPr>
                <w:color w:val="000000"/>
                <w:sz w:val="18"/>
                <w:szCs w:val="18"/>
              </w:rPr>
              <w:t>Estonia</w:t>
            </w:r>
          </w:p>
        </w:tc>
        <w:tc>
          <w:tcPr>
            <w:tcW w:w="1188" w:type="dxa"/>
            <w:shd w:val="clear" w:color="auto" w:fill="auto"/>
            <w:vAlign w:val="bottom"/>
          </w:tcPr>
          <w:p w14:paraId="39071CFA" w14:textId="77777777" w:rsidR="00CF7617" w:rsidRPr="00D652D5" w:rsidRDefault="00CF7617" w:rsidP="002600C7">
            <w:pPr>
              <w:spacing w:before="40" w:after="40" w:line="200" w:lineRule="exact"/>
              <w:ind w:right="113"/>
              <w:jc w:val="right"/>
              <w:rPr>
                <w:sz w:val="18"/>
                <w:szCs w:val="18"/>
              </w:rPr>
            </w:pPr>
            <w:r w:rsidRPr="00D652D5">
              <w:rPr>
                <w:sz w:val="18"/>
                <w:szCs w:val="18"/>
              </w:rPr>
              <w:t>0.028</w:t>
            </w:r>
          </w:p>
        </w:tc>
        <w:tc>
          <w:tcPr>
            <w:tcW w:w="1212" w:type="dxa"/>
            <w:tcBorders>
              <w:top w:val="nil"/>
              <w:left w:val="nil"/>
              <w:bottom w:val="nil"/>
              <w:right w:val="nil"/>
            </w:tcBorders>
            <w:shd w:val="clear" w:color="auto" w:fill="auto"/>
            <w:vAlign w:val="bottom"/>
          </w:tcPr>
          <w:p w14:paraId="60EF72D8" w14:textId="77777777" w:rsidR="00CF7617" w:rsidRPr="00D652D5" w:rsidRDefault="00CF7617" w:rsidP="002600C7">
            <w:pPr>
              <w:spacing w:before="40" w:after="40" w:line="200" w:lineRule="exact"/>
              <w:ind w:right="113"/>
              <w:jc w:val="right"/>
              <w:rPr>
                <w:sz w:val="18"/>
                <w:szCs w:val="18"/>
              </w:rPr>
            </w:pPr>
            <w:r w:rsidRPr="00D652D5">
              <w:rPr>
                <w:sz w:val="18"/>
                <w:szCs w:val="18"/>
              </w:rPr>
              <w:t xml:space="preserve"> 663</w:t>
            </w:r>
          </w:p>
        </w:tc>
        <w:tc>
          <w:tcPr>
            <w:tcW w:w="1212" w:type="dxa"/>
            <w:tcBorders>
              <w:top w:val="nil"/>
              <w:left w:val="nil"/>
              <w:bottom w:val="nil"/>
              <w:right w:val="nil"/>
            </w:tcBorders>
            <w:shd w:val="clear" w:color="auto" w:fill="auto"/>
            <w:vAlign w:val="bottom"/>
          </w:tcPr>
          <w:p w14:paraId="5D15A202" w14:textId="77777777" w:rsidR="00CF7617" w:rsidRPr="00D652D5" w:rsidRDefault="00CF7617" w:rsidP="002600C7">
            <w:pPr>
              <w:spacing w:before="40" w:after="40" w:line="200" w:lineRule="exact"/>
              <w:ind w:right="113"/>
              <w:jc w:val="right"/>
              <w:rPr>
                <w:sz w:val="18"/>
                <w:szCs w:val="18"/>
              </w:rPr>
            </w:pPr>
            <w:r w:rsidRPr="00D652D5">
              <w:rPr>
                <w:sz w:val="18"/>
                <w:szCs w:val="18"/>
              </w:rPr>
              <w:t xml:space="preserve"> 663</w:t>
            </w:r>
          </w:p>
        </w:tc>
        <w:tc>
          <w:tcPr>
            <w:tcW w:w="1212" w:type="dxa"/>
            <w:tcBorders>
              <w:top w:val="nil"/>
              <w:left w:val="nil"/>
              <w:bottom w:val="nil"/>
              <w:right w:val="nil"/>
            </w:tcBorders>
            <w:shd w:val="clear" w:color="auto" w:fill="auto"/>
            <w:vAlign w:val="bottom"/>
          </w:tcPr>
          <w:p w14:paraId="21F502E4" w14:textId="77777777" w:rsidR="00CF7617" w:rsidRPr="00D652D5" w:rsidRDefault="00CF7617" w:rsidP="002600C7">
            <w:pPr>
              <w:spacing w:before="40" w:after="40" w:line="200" w:lineRule="exact"/>
              <w:ind w:right="113"/>
              <w:jc w:val="right"/>
              <w:rPr>
                <w:sz w:val="18"/>
                <w:szCs w:val="18"/>
              </w:rPr>
            </w:pPr>
            <w:r w:rsidRPr="00D652D5">
              <w:rPr>
                <w:sz w:val="18"/>
                <w:szCs w:val="18"/>
              </w:rPr>
              <w:t xml:space="preserve"> 304</w:t>
            </w:r>
          </w:p>
        </w:tc>
        <w:tc>
          <w:tcPr>
            <w:tcW w:w="1213" w:type="dxa"/>
            <w:tcBorders>
              <w:top w:val="nil"/>
              <w:left w:val="nil"/>
              <w:bottom w:val="nil"/>
              <w:right w:val="nil"/>
            </w:tcBorders>
            <w:shd w:val="clear" w:color="auto" w:fill="auto"/>
            <w:vAlign w:val="bottom"/>
          </w:tcPr>
          <w:p w14:paraId="4F7CA857" w14:textId="77777777" w:rsidR="00CF7617" w:rsidRPr="00D652D5" w:rsidRDefault="00CF7617" w:rsidP="002600C7">
            <w:pPr>
              <w:spacing w:before="40" w:after="40" w:line="200" w:lineRule="exact"/>
              <w:ind w:right="113"/>
              <w:jc w:val="right"/>
              <w:rPr>
                <w:sz w:val="18"/>
                <w:szCs w:val="18"/>
              </w:rPr>
            </w:pPr>
            <w:r w:rsidRPr="00D652D5">
              <w:rPr>
                <w:sz w:val="18"/>
                <w:szCs w:val="18"/>
              </w:rPr>
              <w:t xml:space="preserve"> 304</w:t>
            </w:r>
          </w:p>
        </w:tc>
      </w:tr>
      <w:tr w:rsidR="00CF7617" w:rsidRPr="00D652D5" w14:paraId="1714B920" w14:textId="77777777" w:rsidTr="002600C7">
        <w:tc>
          <w:tcPr>
            <w:tcW w:w="2468" w:type="dxa"/>
            <w:shd w:val="clear" w:color="auto" w:fill="auto"/>
            <w:vAlign w:val="bottom"/>
          </w:tcPr>
          <w:p w14:paraId="12283CB9" w14:textId="77777777" w:rsidR="00CF7617" w:rsidRPr="00D652D5" w:rsidRDefault="00CF7617" w:rsidP="002600C7">
            <w:pPr>
              <w:spacing w:before="40" w:after="40" w:line="200" w:lineRule="exact"/>
              <w:ind w:right="113"/>
            </w:pPr>
            <w:r w:rsidRPr="00D652D5">
              <w:rPr>
                <w:color w:val="000000"/>
                <w:sz w:val="18"/>
                <w:szCs w:val="18"/>
              </w:rPr>
              <w:t>European Union</w:t>
            </w:r>
          </w:p>
        </w:tc>
        <w:tc>
          <w:tcPr>
            <w:tcW w:w="1188" w:type="dxa"/>
            <w:shd w:val="clear" w:color="auto" w:fill="auto"/>
            <w:vAlign w:val="bottom"/>
          </w:tcPr>
          <w:p w14:paraId="2CAE3098" w14:textId="77777777" w:rsidR="00CF7617" w:rsidRPr="00D652D5" w:rsidRDefault="00CF7617" w:rsidP="002600C7">
            <w:pPr>
              <w:spacing w:before="40" w:after="40" w:line="200" w:lineRule="exact"/>
              <w:ind w:right="113"/>
              <w:jc w:val="right"/>
              <w:rPr>
                <w:sz w:val="18"/>
                <w:szCs w:val="18"/>
              </w:rPr>
            </w:pPr>
            <w:r w:rsidRPr="00D652D5">
              <w:rPr>
                <w:sz w:val="18"/>
                <w:szCs w:val="18"/>
              </w:rPr>
              <w:t>2.685</w:t>
            </w:r>
          </w:p>
        </w:tc>
        <w:tc>
          <w:tcPr>
            <w:tcW w:w="1212" w:type="dxa"/>
            <w:tcBorders>
              <w:top w:val="nil"/>
              <w:left w:val="nil"/>
              <w:bottom w:val="nil"/>
              <w:right w:val="nil"/>
            </w:tcBorders>
            <w:shd w:val="clear" w:color="auto" w:fill="auto"/>
            <w:vAlign w:val="bottom"/>
          </w:tcPr>
          <w:p w14:paraId="318AF137" w14:textId="77777777" w:rsidR="00CF7617" w:rsidRPr="00D652D5" w:rsidRDefault="00CF7617" w:rsidP="002600C7">
            <w:pPr>
              <w:spacing w:before="40" w:after="40" w:line="200" w:lineRule="exact"/>
              <w:ind w:right="113"/>
              <w:jc w:val="right"/>
              <w:rPr>
                <w:sz w:val="18"/>
                <w:szCs w:val="18"/>
              </w:rPr>
            </w:pPr>
            <w:r w:rsidRPr="00D652D5">
              <w:rPr>
                <w:sz w:val="18"/>
                <w:szCs w:val="18"/>
              </w:rPr>
              <w:t>63 592</w:t>
            </w:r>
          </w:p>
        </w:tc>
        <w:tc>
          <w:tcPr>
            <w:tcW w:w="1212" w:type="dxa"/>
            <w:tcBorders>
              <w:top w:val="nil"/>
              <w:left w:val="nil"/>
              <w:bottom w:val="nil"/>
              <w:right w:val="nil"/>
            </w:tcBorders>
            <w:shd w:val="clear" w:color="auto" w:fill="auto"/>
            <w:vAlign w:val="bottom"/>
          </w:tcPr>
          <w:p w14:paraId="3A549516" w14:textId="77777777" w:rsidR="00CF7617" w:rsidRPr="00D652D5" w:rsidRDefault="00CF7617" w:rsidP="002600C7">
            <w:pPr>
              <w:spacing w:before="40" w:after="40" w:line="200" w:lineRule="exact"/>
              <w:ind w:right="113"/>
              <w:jc w:val="right"/>
              <w:rPr>
                <w:sz w:val="18"/>
                <w:szCs w:val="18"/>
              </w:rPr>
            </w:pPr>
            <w:r w:rsidRPr="00D652D5">
              <w:rPr>
                <w:sz w:val="18"/>
                <w:szCs w:val="18"/>
              </w:rPr>
              <w:t>63 592</w:t>
            </w:r>
          </w:p>
        </w:tc>
        <w:tc>
          <w:tcPr>
            <w:tcW w:w="1212" w:type="dxa"/>
            <w:tcBorders>
              <w:top w:val="nil"/>
              <w:left w:val="nil"/>
              <w:bottom w:val="nil"/>
              <w:right w:val="nil"/>
            </w:tcBorders>
            <w:shd w:val="clear" w:color="auto" w:fill="auto"/>
            <w:vAlign w:val="bottom"/>
          </w:tcPr>
          <w:p w14:paraId="59E8391E" w14:textId="77777777" w:rsidR="00CF7617" w:rsidRPr="00D652D5" w:rsidRDefault="00CF7617" w:rsidP="002600C7">
            <w:pPr>
              <w:spacing w:before="40" w:after="40" w:line="200" w:lineRule="exact"/>
              <w:ind w:right="113"/>
              <w:jc w:val="right"/>
              <w:rPr>
                <w:sz w:val="18"/>
                <w:szCs w:val="18"/>
              </w:rPr>
            </w:pPr>
            <w:r w:rsidRPr="00D652D5">
              <w:rPr>
                <w:sz w:val="18"/>
                <w:szCs w:val="18"/>
              </w:rPr>
              <w:t>29 112</w:t>
            </w:r>
          </w:p>
        </w:tc>
        <w:tc>
          <w:tcPr>
            <w:tcW w:w="1213" w:type="dxa"/>
            <w:tcBorders>
              <w:top w:val="nil"/>
              <w:left w:val="nil"/>
              <w:bottom w:val="nil"/>
              <w:right w:val="nil"/>
            </w:tcBorders>
            <w:shd w:val="clear" w:color="auto" w:fill="auto"/>
            <w:vAlign w:val="bottom"/>
          </w:tcPr>
          <w:p w14:paraId="3CE422B8" w14:textId="77777777" w:rsidR="00CF7617" w:rsidRPr="00D652D5" w:rsidRDefault="00CF7617" w:rsidP="002600C7">
            <w:pPr>
              <w:spacing w:before="40" w:after="40" w:line="200" w:lineRule="exact"/>
              <w:ind w:right="113"/>
              <w:jc w:val="right"/>
              <w:rPr>
                <w:sz w:val="18"/>
                <w:szCs w:val="18"/>
              </w:rPr>
            </w:pPr>
            <w:r w:rsidRPr="00D652D5">
              <w:rPr>
                <w:sz w:val="18"/>
                <w:szCs w:val="18"/>
              </w:rPr>
              <w:t>29 112</w:t>
            </w:r>
          </w:p>
        </w:tc>
      </w:tr>
      <w:tr w:rsidR="00CF7617" w:rsidRPr="00D652D5" w14:paraId="77AB87E1" w14:textId="77777777" w:rsidTr="002600C7">
        <w:tc>
          <w:tcPr>
            <w:tcW w:w="2468" w:type="dxa"/>
            <w:shd w:val="clear" w:color="auto" w:fill="auto"/>
            <w:vAlign w:val="bottom"/>
          </w:tcPr>
          <w:p w14:paraId="110EB0A8" w14:textId="77777777" w:rsidR="00CF7617" w:rsidRPr="00D652D5" w:rsidRDefault="00CF7617" w:rsidP="002600C7">
            <w:pPr>
              <w:spacing w:before="40" w:after="40" w:line="200" w:lineRule="exact"/>
              <w:ind w:right="113"/>
            </w:pPr>
            <w:r w:rsidRPr="00D652D5">
              <w:rPr>
                <w:color w:val="000000"/>
                <w:sz w:val="18"/>
                <w:szCs w:val="18"/>
              </w:rPr>
              <w:t>Finland</w:t>
            </w:r>
          </w:p>
        </w:tc>
        <w:tc>
          <w:tcPr>
            <w:tcW w:w="1188" w:type="dxa"/>
            <w:shd w:val="clear" w:color="auto" w:fill="auto"/>
            <w:vAlign w:val="bottom"/>
          </w:tcPr>
          <w:p w14:paraId="7B9BE110" w14:textId="77777777" w:rsidR="00CF7617" w:rsidRPr="00D652D5" w:rsidRDefault="00CF7617" w:rsidP="002600C7">
            <w:pPr>
              <w:spacing w:before="40" w:after="40" w:line="200" w:lineRule="exact"/>
              <w:ind w:right="113"/>
              <w:jc w:val="right"/>
              <w:rPr>
                <w:sz w:val="18"/>
                <w:szCs w:val="18"/>
              </w:rPr>
            </w:pPr>
            <w:r w:rsidRPr="00D652D5">
              <w:rPr>
                <w:sz w:val="18"/>
                <w:szCs w:val="18"/>
              </w:rPr>
              <w:t>1.009</w:t>
            </w:r>
          </w:p>
        </w:tc>
        <w:tc>
          <w:tcPr>
            <w:tcW w:w="1212" w:type="dxa"/>
            <w:tcBorders>
              <w:top w:val="nil"/>
              <w:left w:val="nil"/>
              <w:bottom w:val="nil"/>
              <w:right w:val="nil"/>
            </w:tcBorders>
            <w:shd w:val="clear" w:color="auto" w:fill="auto"/>
            <w:vAlign w:val="bottom"/>
          </w:tcPr>
          <w:p w14:paraId="26162052" w14:textId="77777777" w:rsidR="00CF7617" w:rsidRPr="00D652D5" w:rsidRDefault="00CF7617" w:rsidP="002600C7">
            <w:pPr>
              <w:spacing w:before="40" w:after="40" w:line="200" w:lineRule="exact"/>
              <w:ind w:right="113"/>
              <w:jc w:val="right"/>
              <w:rPr>
                <w:sz w:val="18"/>
                <w:szCs w:val="18"/>
              </w:rPr>
            </w:pPr>
            <w:r w:rsidRPr="00D652D5">
              <w:rPr>
                <w:sz w:val="18"/>
                <w:szCs w:val="18"/>
              </w:rPr>
              <w:t>23 897</w:t>
            </w:r>
          </w:p>
        </w:tc>
        <w:tc>
          <w:tcPr>
            <w:tcW w:w="1212" w:type="dxa"/>
            <w:tcBorders>
              <w:top w:val="nil"/>
              <w:left w:val="nil"/>
              <w:bottom w:val="nil"/>
              <w:right w:val="nil"/>
            </w:tcBorders>
            <w:shd w:val="clear" w:color="auto" w:fill="auto"/>
            <w:vAlign w:val="bottom"/>
          </w:tcPr>
          <w:p w14:paraId="39E2A6DB" w14:textId="77777777" w:rsidR="00CF7617" w:rsidRPr="00D652D5" w:rsidRDefault="00CF7617" w:rsidP="002600C7">
            <w:pPr>
              <w:spacing w:before="40" w:after="40" w:line="200" w:lineRule="exact"/>
              <w:ind w:right="113"/>
              <w:jc w:val="right"/>
              <w:rPr>
                <w:sz w:val="18"/>
                <w:szCs w:val="18"/>
              </w:rPr>
            </w:pPr>
            <w:r w:rsidRPr="00D652D5">
              <w:rPr>
                <w:sz w:val="18"/>
                <w:szCs w:val="18"/>
              </w:rPr>
              <w:t>23 897</w:t>
            </w:r>
          </w:p>
        </w:tc>
        <w:tc>
          <w:tcPr>
            <w:tcW w:w="1212" w:type="dxa"/>
            <w:tcBorders>
              <w:top w:val="nil"/>
              <w:left w:val="nil"/>
              <w:bottom w:val="nil"/>
              <w:right w:val="nil"/>
            </w:tcBorders>
            <w:shd w:val="clear" w:color="auto" w:fill="auto"/>
            <w:vAlign w:val="bottom"/>
          </w:tcPr>
          <w:p w14:paraId="4727FAD2" w14:textId="77777777" w:rsidR="00CF7617" w:rsidRPr="00D652D5" w:rsidRDefault="00CF7617" w:rsidP="002600C7">
            <w:pPr>
              <w:spacing w:before="40" w:after="40" w:line="200" w:lineRule="exact"/>
              <w:ind w:right="113"/>
              <w:jc w:val="right"/>
              <w:rPr>
                <w:sz w:val="18"/>
                <w:szCs w:val="18"/>
              </w:rPr>
            </w:pPr>
            <w:r w:rsidRPr="00D652D5">
              <w:rPr>
                <w:sz w:val="18"/>
                <w:szCs w:val="18"/>
              </w:rPr>
              <w:t>10 940</w:t>
            </w:r>
          </w:p>
        </w:tc>
        <w:tc>
          <w:tcPr>
            <w:tcW w:w="1213" w:type="dxa"/>
            <w:tcBorders>
              <w:top w:val="nil"/>
              <w:left w:val="nil"/>
              <w:bottom w:val="nil"/>
              <w:right w:val="nil"/>
            </w:tcBorders>
            <w:shd w:val="clear" w:color="auto" w:fill="auto"/>
            <w:vAlign w:val="bottom"/>
          </w:tcPr>
          <w:p w14:paraId="63CE2D44" w14:textId="77777777" w:rsidR="00CF7617" w:rsidRPr="00D652D5" w:rsidRDefault="00CF7617" w:rsidP="002600C7">
            <w:pPr>
              <w:spacing w:before="40" w:after="40" w:line="200" w:lineRule="exact"/>
              <w:ind w:right="113"/>
              <w:jc w:val="right"/>
              <w:rPr>
                <w:sz w:val="18"/>
                <w:szCs w:val="18"/>
              </w:rPr>
            </w:pPr>
            <w:r w:rsidRPr="00D652D5">
              <w:rPr>
                <w:sz w:val="18"/>
                <w:szCs w:val="18"/>
              </w:rPr>
              <w:t>10 940</w:t>
            </w:r>
          </w:p>
        </w:tc>
      </w:tr>
      <w:tr w:rsidR="00CF7617" w:rsidRPr="00D652D5" w14:paraId="14501B6C" w14:textId="77777777" w:rsidTr="002600C7">
        <w:tc>
          <w:tcPr>
            <w:tcW w:w="2468" w:type="dxa"/>
            <w:shd w:val="clear" w:color="auto" w:fill="auto"/>
            <w:vAlign w:val="bottom"/>
          </w:tcPr>
          <w:p w14:paraId="0A88BE73" w14:textId="77777777" w:rsidR="00CF7617" w:rsidRPr="00D652D5" w:rsidRDefault="00CF7617" w:rsidP="002600C7">
            <w:pPr>
              <w:spacing w:before="40" w:after="40" w:line="200" w:lineRule="exact"/>
              <w:ind w:right="113"/>
            </w:pPr>
            <w:r w:rsidRPr="00D652D5">
              <w:rPr>
                <w:color w:val="000000"/>
                <w:sz w:val="18"/>
                <w:szCs w:val="18"/>
              </w:rPr>
              <w:t>France</w:t>
            </w:r>
          </w:p>
        </w:tc>
        <w:tc>
          <w:tcPr>
            <w:tcW w:w="1188" w:type="dxa"/>
            <w:shd w:val="clear" w:color="auto" w:fill="auto"/>
            <w:vAlign w:val="bottom"/>
          </w:tcPr>
          <w:p w14:paraId="3AFEF10F" w14:textId="77777777" w:rsidR="00CF7617" w:rsidRPr="00D652D5" w:rsidRDefault="00CF7617" w:rsidP="002600C7">
            <w:pPr>
              <w:spacing w:before="40" w:after="40" w:line="200" w:lineRule="exact"/>
              <w:ind w:right="113"/>
              <w:jc w:val="right"/>
              <w:rPr>
                <w:sz w:val="18"/>
                <w:szCs w:val="18"/>
              </w:rPr>
            </w:pPr>
            <w:r w:rsidRPr="00D652D5">
              <w:rPr>
                <w:sz w:val="18"/>
                <w:szCs w:val="18"/>
              </w:rPr>
              <w:t>10.667</w:t>
            </w:r>
          </w:p>
        </w:tc>
        <w:tc>
          <w:tcPr>
            <w:tcW w:w="1212" w:type="dxa"/>
            <w:tcBorders>
              <w:top w:val="nil"/>
              <w:left w:val="nil"/>
              <w:bottom w:val="nil"/>
              <w:right w:val="nil"/>
            </w:tcBorders>
            <w:shd w:val="clear" w:color="auto" w:fill="auto"/>
            <w:vAlign w:val="bottom"/>
          </w:tcPr>
          <w:p w14:paraId="61729787" w14:textId="77777777" w:rsidR="00CF7617" w:rsidRPr="00D652D5" w:rsidRDefault="00CF7617" w:rsidP="002600C7">
            <w:pPr>
              <w:spacing w:before="40" w:after="40" w:line="200" w:lineRule="exact"/>
              <w:ind w:right="113"/>
              <w:jc w:val="right"/>
              <w:rPr>
                <w:sz w:val="18"/>
                <w:szCs w:val="18"/>
              </w:rPr>
            </w:pPr>
            <w:r w:rsidRPr="00D652D5">
              <w:rPr>
                <w:sz w:val="18"/>
                <w:szCs w:val="18"/>
              </w:rPr>
              <w:t>252 638</w:t>
            </w:r>
          </w:p>
        </w:tc>
        <w:tc>
          <w:tcPr>
            <w:tcW w:w="1212" w:type="dxa"/>
            <w:tcBorders>
              <w:top w:val="nil"/>
              <w:left w:val="nil"/>
              <w:bottom w:val="nil"/>
              <w:right w:val="nil"/>
            </w:tcBorders>
            <w:shd w:val="clear" w:color="auto" w:fill="auto"/>
            <w:vAlign w:val="bottom"/>
          </w:tcPr>
          <w:p w14:paraId="042BF009" w14:textId="77777777" w:rsidR="00CF7617" w:rsidRPr="00D652D5" w:rsidRDefault="00CF7617" w:rsidP="002600C7">
            <w:pPr>
              <w:spacing w:before="40" w:after="40" w:line="200" w:lineRule="exact"/>
              <w:ind w:right="113"/>
              <w:jc w:val="right"/>
              <w:rPr>
                <w:sz w:val="18"/>
                <w:szCs w:val="18"/>
              </w:rPr>
            </w:pPr>
            <w:r w:rsidRPr="00D652D5">
              <w:rPr>
                <w:sz w:val="18"/>
                <w:szCs w:val="18"/>
              </w:rPr>
              <w:t>252 638</w:t>
            </w:r>
          </w:p>
        </w:tc>
        <w:tc>
          <w:tcPr>
            <w:tcW w:w="1212" w:type="dxa"/>
            <w:tcBorders>
              <w:top w:val="nil"/>
              <w:left w:val="nil"/>
              <w:bottom w:val="nil"/>
              <w:right w:val="nil"/>
            </w:tcBorders>
            <w:shd w:val="clear" w:color="auto" w:fill="auto"/>
            <w:vAlign w:val="bottom"/>
          </w:tcPr>
          <w:p w14:paraId="24A44284" w14:textId="77777777" w:rsidR="00CF7617" w:rsidRPr="00D652D5" w:rsidRDefault="00CF7617" w:rsidP="002600C7">
            <w:pPr>
              <w:spacing w:before="40" w:after="40" w:line="200" w:lineRule="exact"/>
              <w:ind w:right="113"/>
              <w:jc w:val="right"/>
              <w:rPr>
                <w:sz w:val="18"/>
                <w:szCs w:val="18"/>
              </w:rPr>
            </w:pPr>
            <w:r w:rsidRPr="00D652D5">
              <w:rPr>
                <w:sz w:val="18"/>
                <w:szCs w:val="18"/>
              </w:rPr>
              <w:t>115 656</w:t>
            </w:r>
          </w:p>
        </w:tc>
        <w:tc>
          <w:tcPr>
            <w:tcW w:w="1213" w:type="dxa"/>
            <w:tcBorders>
              <w:top w:val="nil"/>
              <w:left w:val="nil"/>
              <w:bottom w:val="nil"/>
              <w:right w:val="nil"/>
            </w:tcBorders>
            <w:shd w:val="clear" w:color="auto" w:fill="auto"/>
            <w:vAlign w:val="bottom"/>
          </w:tcPr>
          <w:p w14:paraId="4C98931A" w14:textId="77777777" w:rsidR="00CF7617" w:rsidRPr="00D652D5" w:rsidRDefault="00CF7617" w:rsidP="002600C7">
            <w:pPr>
              <w:spacing w:before="40" w:after="40" w:line="200" w:lineRule="exact"/>
              <w:ind w:right="113"/>
              <w:jc w:val="right"/>
              <w:rPr>
                <w:sz w:val="18"/>
                <w:szCs w:val="18"/>
              </w:rPr>
            </w:pPr>
            <w:r w:rsidRPr="00D652D5">
              <w:rPr>
                <w:sz w:val="18"/>
                <w:szCs w:val="18"/>
              </w:rPr>
              <w:t>115 656</w:t>
            </w:r>
          </w:p>
        </w:tc>
      </w:tr>
      <w:tr w:rsidR="00CF7617" w:rsidRPr="00D652D5" w14:paraId="03888083" w14:textId="77777777" w:rsidTr="002600C7">
        <w:tc>
          <w:tcPr>
            <w:tcW w:w="2468" w:type="dxa"/>
            <w:shd w:val="clear" w:color="auto" w:fill="auto"/>
            <w:vAlign w:val="bottom"/>
          </w:tcPr>
          <w:p w14:paraId="6038C2F1" w14:textId="77777777" w:rsidR="00CF7617" w:rsidRPr="00D652D5" w:rsidRDefault="00CF7617" w:rsidP="002600C7">
            <w:pPr>
              <w:spacing w:before="40" w:after="40" w:line="200" w:lineRule="exact"/>
              <w:ind w:right="113"/>
            </w:pPr>
            <w:r w:rsidRPr="00D652D5">
              <w:rPr>
                <w:color w:val="000000"/>
                <w:sz w:val="18"/>
                <w:szCs w:val="18"/>
              </w:rPr>
              <w:t>Germany</w:t>
            </w:r>
          </w:p>
        </w:tc>
        <w:tc>
          <w:tcPr>
            <w:tcW w:w="1188" w:type="dxa"/>
            <w:shd w:val="clear" w:color="auto" w:fill="auto"/>
            <w:vAlign w:val="bottom"/>
          </w:tcPr>
          <w:p w14:paraId="7C9B870A" w14:textId="77777777" w:rsidR="00CF7617" w:rsidRPr="00D652D5" w:rsidRDefault="00CF7617" w:rsidP="002600C7">
            <w:pPr>
              <w:spacing w:before="40" w:after="40" w:line="200" w:lineRule="exact"/>
              <w:ind w:right="113"/>
              <w:jc w:val="right"/>
              <w:rPr>
                <w:sz w:val="18"/>
                <w:szCs w:val="18"/>
              </w:rPr>
            </w:pPr>
            <w:r w:rsidRPr="00D652D5">
              <w:rPr>
                <w:sz w:val="18"/>
                <w:szCs w:val="18"/>
              </w:rPr>
              <w:t>15.35</w:t>
            </w:r>
          </w:p>
        </w:tc>
        <w:tc>
          <w:tcPr>
            <w:tcW w:w="1212" w:type="dxa"/>
            <w:tcBorders>
              <w:top w:val="nil"/>
              <w:left w:val="nil"/>
              <w:bottom w:val="nil"/>
              <w:right w:val="nil"/>
            </w:tcBorders>
            <w:shd w:val="clear" w:color="auto" w:fill="auto"/>
            <w:vAlign w:val="bottom"/>
          </w:tcPr>
          <w:p w14:paraId="7598959F" w14:textId="77777777" w:rsidR="00CF7617" w:rsidRPr="00D652D5" w:rsidRDefault="00CF7617" w:rsidP="002600C7">
            <w:pPr>
              <w:spacing w:before="40" w:after="40" w:line="200" w:lineRule="exact"/>
              <w:ind w:right="113"/>
              <w:jc w:val="right"/>
              <w:rPr>
                <w:sz w:val="18"/>
                <w:szCs w:val="18"/>
              </w:rPr>
            </w:pPr>
            <w:r w:rsidRPr="00D652D5">
              <w:rPr>
                <w:sz w:val="18"/>
                <w:szCs w:val="18"/>
              </w:rPr>
              <w:t>363 551</w:t>
            </w:r>
          </w:p>
        </w:tc>
        <w:tc>
          <w:tcPr>
            <w:tcW w:w="1212" w:type="dxa"/>
            <w:tcBorders>
              <w:top w:val="nil"/>
              <w:left w:val="nil"/>
              <w:bottom w:val="nil"/>
              <w:right w:val="nil"/>
            </w:tcBorders>
            <w:shd w:val="clear" w:color="auto" w:fill="auto"/>
            <w:vAlign w:val="bottom"/>
          </w:tcPr>
          <w:p w14:paraId="79B0F2DD" w14:textId="77777777" w:rsidR="00CF7617" w:rsidRPr="00D652D5" w:rsidRDefault="00CF7617" w:rsidP="002600C7">
            <w:pPr>
              <w:spacing w:before="40" w:after="40" w:line="200" w:lineRule="exact"/>
              <w:ind w:right="113"/>
              <w:jc w:val="right"/>
              <w:rPr>
                <w:sz w:val="18"/>
                <w:szCs w:val="18"/>
              </w:rPr>
            </w:pPr>
            <w:r w:rsidRPr="00D652D5">
              <w:rPr>
                <w:sz w:val="18"/>
                <w:szCs w:val="18"/>
              </w:rPr>
              <w:t>363 551</w:t>
            </w:r>
          </w:p>
        </w:tc>
        <w:tc>
          <w:tcPr>
            <w:tcW w:w="1212" w:type="dxa"/>
            <w:tcBorders>
              <w:top w:val="nil"/>
              <w:left w:val="nil"/>
              <w:bottom w:val="nil"/>
              <w:right w:val="nil"/>
            </w:tcBorders>
            <w:shd w:val="clear" w:color="auto" w:fill="auto"/>
            <w:vAlign w:val="bottom"/>
          </w:tcPr>
          <w:p w14:paraId="1461FD1A" w14:textId="77777777" w:rsidR="00CF7617" w:rsidRPr="00D652D5" w:rsidRDefault="00CF7617" w:rsidP="002600C7">
            <w:pPr>
              <w:spacing w:before="40" w:after="40" w:line="200" w:lineRule="exact"/>
              <w:ind w:right="113"/>
              <w:jc w:val="right"/>
              <w:rPr>
                <w:sz w:val="18"/>
                <w:szCs w:val="18"/>
              </w:rPr>
            </w:pPr>
            <w:r w:rsidRPr="00D652D5">
              <w:rPr>
                <w:sz w:val="18"/>
                <w:szCs w:val="18"/>
              </w:rPr>
              <w:t>166 431</w:t>
            </w:r>
          </w:p>
        </w:tc>
        <w:tc>
          <w:tcPr>
            <w:tcW w:w="1213" w:type="dxa"/>
            <w:tcBorders>
              <w:top w:val="nil"/>
              <w:left w:val="nil"/>
              <w:bottom w:val="nil"/>
              <w:right w:val="nil"/>
            </w:tcBorders>
            <w:shd w:val="clear" w:color="auto" w:fill="auto"/>
            <w:vAlign w:val="bottom"/>
          </w:tcPr>
          <w:p w14:paraId="0E3788D1" w14:textId="77777777" w:rsidR="00CF7617" w:rsidRPr="00D652D5" w:rsidRDefault="00CF7617" w:rsidP="002600C7">
            <w:pPr>
              <w:spacing w:before="40" w:after="40" w:line="200" w:lineRule="exact"/>
              <w:ind w:right="113"/>
              <w:jc w:val="right"/>
              <w:rPr>
                <w:sz w:val="18"/>
                <w:szCs w:val="18"/>
              </w:rPr>
            </w:pPr>
            <w:r w:rsidRPr="00D652D5">
              <w:rPr>
                <w:sz w:val="18"/>
                <w:szCs w:val="18"/>
              </w:rPr>
              <w:t>166 431</w:t>
            </w:r>
          </w:p>
        </w:tc>
      </w:tr>
      <w:tr w:rsidR="00CF7617" w:rsidRPr="00D652D5" w14:paraId="35012F3F" w14:textId="77777777" w:rsidTr="002600C7">
        <w:tc>
          <w:tcPr>
            <w:tcW w:w="2468" w:type="dxa"/>
            <w:shd w:val="clear" w:color="auto" w:fill="auto"/>
            <w:vAlign w:val="bottom"/>
          </w:tcPr>
          <w:p w14:paraId="26B6D91D" w14:textId="77777777" w:rsidR="00CF7617" w:rsidRPr="00D652D5" w:rsidRDefault="00CF7617" w:rsidP="002600C7">
            <w:pPr>
              <w:spacing w:before="40" w:after="40" w:line="200" w:lineRule="exact"/>
              <w:ind w:right="113"/>
            </w:pPr>
            <w:r w:rsidRPr="00D652D5">
              <w:rPr>
                <w:color w:val="000000"/>
                <w:sz w:val="18"/>
                <w:szCs w:val="18"/>
              </w:rPr>
              <w:t>Greece</w:t>
            </w:r>
          </w:p>
        </w:tc>
        <w:tc>
          <w:tcPr>
            <w:tcW w:w="1188" w:type="dxa"/>
            <w:shd w:val="clear" w:color="auto" w:fill="auto"/>
            <w:vAlign w:val="bottom"/>
          </w:tcPr>
          <w:p w14:paraId="4FB3F7DD" w14:textId="77777777" w:rsidR="00CF7617" w:rsidRPr="00D652D5" w:rsidRDefault="00CF7617" w:rsidP="002600C7">
            <w:pPr>
              <w:spacing w:before="40" w:after="40" w:line="200" w:lineRule="exact"/>
              <w:ind w:right="113"/>
              <w:jc w:val="right"/>
              <w:rPr>
                <w:sz w:val="18"/>
                <w:szCs w:val="18"/>
              </w:rPr>
            </w:pPr>
            <w:r w:rsidRPr="00D652D5">
              <w:rPr>
                <w:sz w:val="18"/>
                <w:szCs w:val="18"/>
              </w:rPr>
              <w:t>1.065</w:t>
            </w:r>
          </w:p>
        </w:tc>
        <w:tc>
          <w:tcPr>
            <w:tcW w:w="1212" w:type="dxa"/>
            <w:tcBorders>
              <w:top w:val="nil"/>
              <w:left w:val="nil"/>
              <w:bottom w:val="nil"/>
              <w:right w:val="nil"/>
            </w:tcBorders>
            <w:shd w:val="clear" w:color="auto" w:fill="auto"/>
            <w:vAlign w:val="bottom"/>
          </w:tcPr>
          <w:p w14:paraId="4638BA51" w14:textId="77777777" w:rsidR="00CF7617" w:rsidRPr="00D652D5" w:rsidRDefault="00CF7617" w:rsidP="002600C7">
            <w:pPr>
              <w:spacing w:before="40" w:after="40" w:line="200" w:lineRule="exact"/>
              <w:ind w:right="113"/>
              <w:jc w:val="right"/>
              <w:rPr>
                <w:sz w:val="18"/>
                <w:szCs w:val="18"/>
              </w:rPr>
            </w:pPr>
            <w:r w:rsidRPr="00D652D5">
              <w:rPr>
                <w:sz w:val="18"/>
                <w:szCs w:val="18"/>
              </w:rPr>
              <w:t>25 224</w:t>
            </w:r>
          </w:p>
        </w:tc>
        <w:tc>
          <w:tcPr>
            <w:tcW w:w="1212" w:type="dxa"/>
            <w:tcBorders>
              <w:top w:val="nil"/>
              <w:left w:val="nil"/>
              <w:bottom w:val="nil"/>
              <w:right w:val="nil"/>
            </w:tcBorders>
            <w:shd w:val="clear" w:color="auto" w:fill="auto"/>
            <w:vAlign w:val="bottom"/>
          </w:tcPr>
          <w:p w14:paraId="095097E3" w14:textId="77777777" w:rsidR="00CF7617" w:rsidRPr="00D652D5" w:rsidRDefault="00CF7617" w:rsidP="002600C7">
            <w:pPr>
              <w:spacing w:before="40" w:after="40" w:line="200" w:lineRule="exact"/>
              <w:ind w:right="113"/>
              <w:jc w:val="right"/>
              <w:rPr>
                <w:sz w:val="18"/>
                <w:szCs w:val="18"/>
              </w:rPr>
            </w:pPr>
            <w:r w:rsidRPr="00D652D5">
              <w:rPr>
                <w:sz w:val="18"/>
                <w:szCs w:val="18"/>
              </w:rPr>
              <w:t>25 224</w:t>
            </w:r>
          </w:p>
        </w:tc>
        <w:tc>
          <w:tcPr>
            <w:tcW w:w="1212" w:type="dxa"/>
            <w:tcBorders>
              <w:top w:val="nil"/>
              <w:left w:val="nil"/>
              <w:bottom w:val="nil"/>
              <w:right w:val="nil"/>
            </w:tcBorders>
            <w:shd w:val="clear" w:color="auto" w:fill="auto"/>
            <w:vAlign w:val="bottom"/>
          </w:tcPr>
          <w:p w14:paraId="73DF8680" w14:textId="77777777" w:rsidR="00CF7617" w:rsidRPr="00D652D5" w:rsidRDefault="00CF7617" w:rsidP="002600C7">
            <w:pPr>
              <w:spacing w:before="40" w:after="40" w:line="200" w:lineRule="exact"/>
              <w:ind w:right="113"/>
              <w:jc w:val="right"/>
              <w:rPr>
                <w:sz w:val="18"/>
                <w:szCs w:val="18"/>
              </w:rPr>
            </w:pPr>
            <w:r w:rsidRPr="00D652D5">
              <w:rPr>
                <w:sz w:val="18"/>
                <w:szCs w:val="18"/>
              </w:rPr>
              <w:t>11 547</w:t>
            </w:r>
          </w:p>
        </w:tc>
        <w:tc>
          <w:tcPr>
            <w:tcW w:w="1213" w:type="dxa"/>
            <w:tcBorders>
              <w:top w:val="nil"/>
              <w:left w:val="nil"/>
              <w:bottom w:val="nil"/>
              <w:right w:val="nil"/>
            </w:tcBorders>
            <w:shd w:val="clear" w:color="auto" w:fill="auto"/>
            <w:vAlign w:val="bottom"/>
          </w:tcPr>
          <w:p w14:paraId="6137CEB0" w14:textId="77777777" w:rsidR="00CF7617" w:rsidRPr="00D652D5" w:rsidRDefault="00CF7617" w:rsidP="002600C7">
            <w:pPr>
              <w:spacing w:before="40" w:after="40" w:line="200" w:lineRule="exact"/>
              <w:ind w:right="113"/>
              <w:jc w:val="right"/>
              <w:rPr>
                <w:sz w:val="18"/>
                <w:szCs w:val="18"/>
              </w:rPr>
            </w:pPr>
            <w:r w:rsidRPr="00D652D5">
              <w:rPr>
                <w:sz w:val="18"/>
                <w:szCs w:val="18"/>
              </w:rPr>
              <w:t>11 547</w:t>
            </w:r>
          </w:p>
        </w:tc>
      </w:tr>
      <w:tr w:rsidR="00CF7617" w:rsidRPr="00D652D5" w14:paraId="5D62FF53" w14:textId="77777777" w:rsidTr="002600C7">
        <w:tc>
          <w:tcPr>
            <w:tcW w:w="2468" w:type="dxa"/>
            <w:shd w:val="clear" w:color="auto" w:fill="auto"/>
            <w:vAlign w:val="bottom"/>
          </w:tcPr>
          <w:p w14:paraId="097E60A7" w14:textId="77777777" w:rsidR="00CF7617" w:rsidRPr="00D652D5" w:rsidRDefault="00CF7617" w:rsidP="002600C7">
            <w:pPr>
              <w:spacing w:before="40" w:after="40" w:line="200" w:lineRule="exact"/>
              <w:ind w:right="113"/>
            </w:pPr>
            <w:r w:rsidRPr="00D652D5">
              <w:rPr>
                <w:color w:val="000000"/>
                <w:sz w:val="18"/>
                <w:szCs w:val="18"/>
              </w:rPr>
              <w:t>Hungary</w:t>
            </w:r>
          </w:p>
        </w:tc>
        <w:tc>
          <w:tcPr>
            <w:tcW w:w="1188" w:type="dxa"/>
            <w:shd w:val="clear" w:color="auto" w:fill="auto"/>
            <w:vAlign w:val="bottom"/>
          </w:tcPr>
          <w:p w14:paraId="504E9533" w14:textId="77777777" w:rsidR="00CF7617" w:rsidRPr="00D652D5" w:rsidRDefault="00CF7617" w:rsidP="002600C7">
            <w:pPr>
              <w:spacing w:before="40" w:after="40" w:line="200" w:lineRule="exact"/>
              <w:ind w:right="113"/>
              <w:jc w:val="right"/>
              <w:rPr>
                <w:sz w:val="18"/>
                <w:szCs w:val="18"/>
              </w:rPr>
            </w:pPr>
            <w:r w:rsidRPr="00D652D5">
              <w:rPr>
                <w:sz w:val="18"/>
                <w:szCs w:val="18"/>
              </w:rPr>
              <w:t>0.437</w:t>
            </w:r>
          </w:p>
        </w:tc>
        <w:tc>
          <w:tcPr>
            <w:tcW w:w="1212" w:type="dxa"/>
            <w:tcBorders>
              <w:top w:val="nil"/>
              <w:left w:val="nil"/>
              <w:bottom w:val="nil"/>
              <w:right w:val="nil"/>
            </w:tcBorders>
            <w:shd w:val="clear" w:color="auto" w:fill="auto"/>
            <w:vAlign w:val="bottom"/>
          </w:tcPr>
          <w:p w14:paraId="71BE97A5" w14:textId="77777777" w:rsidR="00CF7617" w:rsidRPr="00D652D5" w:rsidRDefault="00CF7617" w:rsidP="002600C7">
            <w:pPr>
              <w:spacing w:before="40" w:after="40" w:line="200" w:lineRule="exact"/>
              <w:ind w:right="113"/>
              <w:jc w:val="right"/>
              <w:rPr>
                <w:sz w:val="18"/>
                <w:szCs w:val="18"/>
              </w:rPr>
            </w:pPr>
            <w:r w:rsidRPr="00D652D5">
              <w:rPr>
                <w:sz w:val="18"/>
                <w:szCs w:val="18"/>
              </w:rPr>
              <w:t>10 350</w:t>
            </w:r>
          </w:p>
        </w:tc>
        <w:tc>
          <w:tcPr>
            <w:tcW w:w="1212" w:type="dxa"/>
            <w:tcBorders>
              <w:top w:val="nil"/>
              <w:left w:val="nil"/>
              <w:bottom w:val="nil"/>
              <w:right w:val="nil"/>
            </w:tcBorders>
            <w:shd w:val="clear" w:color="auto" w:fill="auto"/>
            <w:vAlign w:val="bottom"/>
          </w:tcPr>
          <w:p w14:paraId="37CC9824" w14:textId="77777777" w:rsidR="00CF7617" w:rsidRPr="00D652D5" w:rsidRDefault="00CF7617" w:rsidP="002600C7">
            <w:pPr>
              <w:spacing w:before="40" w:after="40" w:line="200" w:lineRule="exact"/>
              <w:ind w:right="113"/>
              <w:jc w:val="right"/>
              <w:rPr>
                <w:sz w:val="18"/>
                <w:szCs w:val="18"/>
              </w:rPr>
            </w:pPr>
            <w:r w:rsidRPr="00D652D5">
              <w:rPr>
                <w:sz w:val="18"/>
                <w:szCs w:val="18"/>
              </w:rPr>
              <w:t>10 350</w:t>
            </w:r>
          </w:p>
        </w:tc>
        <w:tc>
          <w:tcPr>
            <w:tcW w:w="1212" w:type="dxa"/>
            <w:tcBorders>
              <w:top w:val="nil"/>
              <w:left w:val="nil"/>
              <w:bottom w:val="nil"/>
              <w:right w:val="nil"/>
            </w:tcBorders>
            <w:shd w:val="clear" w:color="auto" w:fill="auto"/>
            <w:vAlign w:val="bottom"/>
          </w:tcPr>
          <w:p w14:paraId="3EF57904" w14:textId="77777777" w:rsidR="00CF7617" w:rsidRPr="00D652D5" w:rsidRDefault="00CF7617" w:rsidP="002600C7">
            <w:pPr>
              <w:spacing w:before="40" w:after="40" w:line="200" w:lineRule="exact"/>
              <w:ind w:right="113"/>
              <w:jc w:val="right"/>
              <w:rPr>
                <w:sz w:val="18"/>
                <w:szCs w:val="18"/>
              </w:rPr>
            </w:pPr>
            <w:r w:rsidRPr="00D652D5">
              <w:rPr>
                <w:sz w:val="18"/>
                <w:szCs w:val="18"/>
              </w:rPr>
              <w:t>4 738</w:t>
            </w:r>
          </w:p>
        </w:tc>
        <w:tc>
          <w:tcPr>
            <w:tcW w:w="1213" w:type="dxa"/>
            <w:tcBorders>
              <w:top w:val="nil"/>
              <w:left w:val="nil"/>
              <w:bottom w:val="nil"/>
              <w:right w:val="nil"/>
            </w:tcBorders>
            <w:shd w:val="clear" w:color="auto" w:fill="auto"/>
            <w:vAlign w:val="bottom"/>
          </w:tcPr>
          <w:p w14:paraId="6A30636B" w14:textId="77777777" w:rsidR="00CF7617" w:rsidRPr="00D652D5" w:rsidRDefault="00CF7617" w:rsidP="002600C7">
            <w:pPr>
              <w:spacing w:before="40" w:after="40" w:line="200" w:lineRule="exact"/>
              <w:ind w:right="113"/>
              <w:jc w:val="right"/>
              <w:rPr>
                <w:sz w:val="18"/>
                <w:szCs w:val="18"/>
              </w:rPr>
            </w:pPr>
            <w:r w:rsidRPr="00D652D5">
              <w:rPr>
                <w:sz w:val="18"/>
                <w:szCs w:val="18"/>
              </w:rPr>
              <w:t>4 738</w:t>
            </w:r>
          </w:p>
        </w:tc>
      </w:tr>
      <w:tr w:rsidR="00CF7617" w:rsidRPr="00D652D5" w14:paraId="35F84ABC" w14:textId="77777777" w:rsidTr="002600C7">
        <w:tc>
          <w:tcPr>
            <w:tcW w:w="2468" w:type="dxa"/>
            <w:shd w:val="clear" w:color="auto" w:fill="auto"/>
            <w:vAlign w:val="bottom"/>
          </w:tcPr>
          <w:p w14:paraId="39E9EBDE" w14:textId="77777777" w:rsidR="00CF7617" w:rsidRPr="00D652D5" w:rsidRDefault="00CF7617" w:rsidP="002600C7">
            <w:pPr>
              <w:spacing w:before="40" w:after="40" w:line="200" w:lineRule="exact"/>
              <w:ind w:right="113"/>
            </w:pPr>
            <w:r w:rsidRPr="00D652D5">
              <w:rPr>
                <w:color w:val="000000"/>
                <w:sz w:val="18"/>
                <w:szCs w:val="18"/>
              </w:rPr>
              <w:t>Iceland</w:t>
            </w:r>
          </w:p>
        </w:tc>
        <w:tc>
          <w:tcPr>
            <w:tcW w:w="1188" w:type="dxa"/>
            <w:shd w:val="clear" w:color="auto" w:fill="auto"/>
            <w:vAlign w:val="bottom"/>
          </w:tcPr>
          <w:p w14:paraId="5E0A7FE2" w14:textId="77777777" w:rsidR="00CF7617" w:rsidRPr="00D652D5" w:rsidRDefault="00CF7617" w:rsidP="002600C7">
            <w:pPr>
              <w:spacing w:before="40" w:after="40" w:line="200" w:lineRule="exact"/>
              <w:ind w:right="113"/>
              <w:jc w:val="right"/>
              <w:rPr>
                <w:sz w:val="18"/>
                <w:szCs w:val="18"/>
              </w:rPr>
            </w:pPr>
            <w:r w:rsidRPr="00D652D5">
              <w:rPr>
                <w:sz w:val="18"/>
                <w:szCs w:val="18"/>
              </w:rPr>
              <w:t>0.737</w:t>
            </w:r>
          </w:p>
        </w:tc>
        <w:tc>
          <w:tcPr>
            <w:tcW w:w="1212" w:type="dxa"/>
            <w:tcBorders>
              <w:top w:val="nil"/>
              <w:left w:val="nil"/>
              <w:bottom w:val="nil"/>
              <w:right w:val="nil"/>
            </w:tcBorders>
            <w:shd w:val="clear" w:color="auto" w:fill="auto"/>
            <w:vAlign w:val="bottom"/>
          </w:tcPr>
          <w:p w14:paraId="53D8F1F1" w14:textId="77777777" w:rsidR="00CF7617" w:rsidRPr="00D652D5" w:rsidRDefault="00CF7617" w:rsidP="002600C7">
            <w:pPr>
              <w:spacing w:before="40" w:after="40" w:line="200" w:lineRule="exact"/>
              <w:ind w:right="113"/>
              <w:jc w:val="right"/>
              <w:rPr>
                <w:sz w:val="18"/>
                <w:szCs w:val="18"/>
              </w:rPr>
            </w:pPr>
            <w:r w:rsidRPr="00D652D5">
              <w:rPr>
                <w:sz w:val="18"/>
                <w:szCs w:val="18"/>
              </w:rPr>
              <w:t>17 455</w:t>
            </w:r>
          </w:p>
        </w:tc>
        <w:tc>
          <w:tcPr>
            <w:tcW w:w="1212" w:type="dxa"/>
            <w:tcBorders>
              <w:top w:val="nil"/>
              <w:left w:val="nil"/>
              <w:bottom w:val="nil"/>
              <w:right w:val="nil"/>
            </w:tcBorders>
            <w:shd w:val="clear" w:color="auto" w:fill="auto"/>
            <w:vAlign w:val="bottom"/>
          </w:tcPr>
          <w:p w14:paraId="44C69985" w14:textId="77777777" w:rsidR="00CF7617" w:rsidRPr="00D652D5" w:rsidRDefault="00CF7617" w:rsidP="002600C7">
            <w:pPr>
              <w:spacing w:before="40" w:after="40" w:line="200" w:lineRule="exact"/>
              <w:ind w:right="113"/>
              <w:jc w:val="right"/>
              <w:rPr>
                <w:sz w:val="18"/>
                <w:szCs w:val="18"/>
              </w:rPr>
            </w:pPr>
            <w:r w:rsidRPr="00D652D5">
              <w:rPr>
                <w:sz w:val="18"/>
                <w:szCs w:val="18"/>
              </w:rPr>
              <w:t>17 455</w:t>
            </w:r>
          </w:p>
        </w:tc>
        <w:tc>
          <w:tcPr>
            <w:tcW w:w="1212" w:type="dxa"/>
            <w:tcBorders>
              <w:top w:val="nil"/>
              <w:left w:val="nil"/>
              <w:bottom w:val="nil"/>
              <w:right w:val="nil"/>
            </w:tcBorders>
            <w:shd w:val="clear" w:color="auto" w:fill="auto"/>
            <w:vAlign w:val="bottom"/>
          </w:tcPr>
          <w:p w14:paraId="11FC5D89" w14:textId="77777777" w:rsidR="00CF7617" w:rsidRPr="00D652D5" w:rsidRDefault="00CF7617" w:rsidP="002600C7">
            <w:pPr>
              <w:spacing w:before="40" w:after="40" w:line="200" w:lineRule="exact"/>
              <w:ind w:right="113"/>
              <w:jc w:val="right"/>
              <w:rPr>
                <w:sz w:val="18"/>
                <w:szCs w:val="18"/>
              </w:rPr>
            </w:pPr>
            <w:r w:rsidRPr="00D652D5">
              <w:rPr>
                <w:sz w:val="18"/>
                <w:szCs w:val="18"/>
              </w:rPr>
              <w:t>7 991</w:t>
            </w:r>
          </w:p>
        </w:tc>
        <w:tc>
          <w:tcPr>
            <w:tcW w:w="1213" w:type="dxa"/>
            <w:tcBorders>
              <w:top w:val="nil"/>
              <w:left w:val="nil"/>
              <w:bottom w:val="nil"/>
              <w:right w:val="nil"/>
            </w:tcBorders>
            <w:shd w:val="clear" w:color="auto" w:fill="auto"/>
            <w:vAlign w:val="bottom"/>
          </w:tcPr>
          <w:p w14:paraId="199CF88F" w14:textId="77777777" w:rsidR="00CF7617" w:rsidRPr="00D652D5" w:rsidRDefault="00CF7617" w:rsidP="002600C7">
            <w:pPr>
              <w:spacing w:before="40" w:after="40" w:line="200" w:lineRule="exact"/>
              <w:ind w:right="113"/>
              <w:jc w:val="right"/>
              <w:rPr>
                <w:sz w:val="18"/>
                <w:szCs w:val="18"/>
              </w:rPr>
            </w:pPr>
            <w:r w:rsidRPr="00D652D5">
              <w:rPr>
                <w:sz w:val="18"/>
                <w:szCs w:val="18"/>
              </w:rPr>
              <w:t>7 991</w:t>
            </w:r>
          </w:p>
        </w:tc>
      </w:tr>
      <w:tr w:rsidR="00CF7617" w:rsidRPr="00D652D5" w14:paraId="4AF6DFC9" w14:textId="77777777" w:rsidTr="002600C7">
        <w:tc>
          <w:tcPr>
            <w:tcW w:w="2468" w:type="dxa"/>
            <w:shd w:val="clear" w:color="auto" w:fill="auto"/>
            <w:vAlign w:val="bottom"/>
          </w:tcPr>
          <w:p w14:paraId="1157DE66" w14:textId="77777777" w:rsidR="00CF7617" w:rsidRPr="00D652D5" w:rsidRDefault="00CF7617" w:rsidP="002600C7">
            <w:pPr>
              <w:spacing w:before="40" w:after="40" w:line="200" w:lineRule="exact"/>
              <w:ind w:right="113"/>
            </w:pPr>
            <w:r w:rsidRPr="00D652D5">
              <w:rPr>
                <w:color w:val="000000"/>
                <w:sz w:val="18"/>
                <w:szCs w:val="18"/>
              </w:rPr>
              <w:t>Ireland</w:t>
            </w:r>
          </w:p>
        </w:tc>
        <w:tc>
          <w:tcPr>
            <w:tcW w:w="1188" w:type="dxa"/>
            <w:shd w:val="clear" w:color="auto" w:fill="auto"/>
            <w:vAlign w:val="bottom"/>
          </w:tcPr>
          <w:p w14:paraId="72FBA932" w14:textId="77777777" w:rsidR="00CF7617" w:rsidRPr="00D652D5" w:rsidRDefault="00CF7617" w:rsidP="002600C7">
            <w:pPr>
              <w:spacing w:before="40" w:after="40" w:line="200" w:lineRule="exact"/>
              <w:ind w:right="113"/>
              <w:jc w:val="right"/>
              <w:rPr>
                <w:sz w:val="18"/>
                <w:szCs w:val="18"/>
              </w:rPr>
            </w:pPr>
            <w:r w:rsidRPr="00D652D5">
              <w:rPr>
                <w:sz w:val="18"/>
                <w:szCs w:val="18"/>
              </w:rPr>
              <w:t>0.797</w:t>
            </w:r>
          </w:p>
        </w:tc>
        <w:tc>
          <w:tcPr>
            <w:tcW w:w="1212" w:type="dxa"/>
            <w:tcBorders>
              <w:top w:val="nil"/>
              <w:left w:val="nil"/>
              <w:bottom w:val="nil"/>
              <w:right w:val="nil"/>
            </w:tcBorders>
            <w:shd w:val="clear" w:color="auto" w:fill="auto"/>
            <w:vAlign w:val="bottom"/>
          </w:tcPr>
          <w:p w14:paraId="3B96E192" w14:textId="77777777" w:rsidR="00CF7617" w:rsidRPr="00D652D5" w:rsidRDefault="00CF7617" w:rsidP="002600C7">
            <w:pPr>
              <w:spacing w:before="40" w:after="40" w:line="200" w:lineRule="exact"/>
              <w:ind w:right="113"/>
              <w:jc w:val="right"/>
              <w:rPr>
                <w:sz w:val="18"/>
                <w:szCs w:val="18"/>
              </w:rPr>
            </w:pPr>
            <w:r w:rsidRPr="00D652D5">
              <w:rPr>
                <w:sz w:val="18"/>
                <w:szCs w:val="18"/>
              </w:rPr>
              <w:t>18 876</w:t>
            </w:r>
          </w:p>
        </w:tc>
        <w:tc>
          <w:tcPr>
            <w:tcW w:w="1212" w:type="dxa"/>
            <w:tcBorders>
              <w:top w:val="nil"/>
              <w:left w:val="nil"/>
              <w:bottom w:val="nil"/>
              <w:right w:val="nil"/>
            </w:tcBorders>
            <w:shd w:val="clear" w:color="auto" w:fill="auto"/>
            <w:vAlign w:val="bottom"/>
          </w:tcPr>
          <w:p w14:paraId="26586200" w14:textId="77777777" w:rsidR="00CF7617" w:rsidRPr="00D652D5" w:rsidRDefault="00CF7617" w:rsidP="002600C7">
            <w:pPr>
              <w:spacing w:before="40" w:after="40" w:line="200" w:lineRule="exact"/>
              <w:ind w:right="113"/>
              <w:jc w:val="right"/>
              <w:rPr>
                <w:sz w:val="18"/>
                <w:szCs w:val="18"/>
              </w:rPr>
            </w:pPr>
            <w:r w:rsidRPr="00D652D5">
              <w:rPr>
                <w:sz w:val="18"/>
                <w:szCs w:val="18"/>
              </w:rPr>
              <w:t>18 876</w:t>
            </w:r>
          </w:p>
        </w:tc>
        <w:tc>
          <w:tcPr>
            <w:tcW w:w="1212" w:type="dxa"/>
            <w:tcBorders>
              <w:top w:val="nil"/>
              <w:left w:val="nil"/>
              <w:bottom w:val="nil"/>
              <w:right w:val="nil"/>
            </w:tcBorders>
            <w:shd w:val="clear" w:color="auto" w:fill="auto"/>
            <w:vAlign w:val="bottom"/>
          </w:tcPr>
          <w:p w14:paraId="27B46A2D" w14:textId="77777777" w:rsidR="00CF7617" w:rsidRPr="00D652D5" w:rsidRDefault="00CF7617" w:rsidP="002600C7">
            <w:pPr>
              <w:spacing w:before="40" w:after="40" w:line="200" w:lineRule="exact"/>
              <w:ind w:right="113"/>
              <w:jc w:val="right"/>
              <w:rPr>
                <w:sz w:val="18"/>
                <w:szCs w:val="18"/>
              </w:rPr>
            </w:pPr>
            <w:r w:rsidRPr="00D652D5">
              <w:rPr>
                <w:sz w:val="18"/>
                <w:szCs w:val="18"/>
              </w:rPr>
              <w:t>8 641</w:t>
            </w:r>
          </w:p>
        </w:tc>
        <w:tc>
          <w:tcPr>
            <w:tcW w:w="1213" w:type="dxa"/>
            <w:tcBorders>
              <w:top w:val="nil"/>
              <w:left w:val="nil"/>
              <w:bottom w:val="nil"/>
              <w:right w:val="nil"/>
            </w:tcBorders>
            <w:shd w:val="clear" w:color="auto" w:fill="auto"/>
            <w:vAlign w:val="bottom"/>
          </w:tcPr>
          <w:p w14:paraId="4F5A0176" w14:textId="77777777" w:rsidR="00CF7617" w:rsidRPr="00D652D5" w:rsidRDefault="00CF7617" w:rsidP="002600C7">
            <w:pPr>
              <w:spacing w:before="40" w:after="40" w:line="200" w:lineRule="exact"/>
              <w:ind w:right="113"/>
              <w:jc w:val="right"/>
              <w:rPr>
                <w:sz w:val="18"/>
                <w:szCs w:val="18"/>
              </w:rPr>
            </w:pPr>
            <w:r w:rsidRPr="00D652D5">
              <w:rPr>
                <w:sz w:val="18"/>
                <w:szCs w:val="18"/>
              </w:rPr>
              <w:t>8 641</w:t>
            </w:r>
          </w:p>
        </w:tc>
      </w:tr>
      <w:tr w:rsidR="00CF7617" w:rsidRPr="00D652D5" w14:paraId="488C05D9" w14:textId="77777777" w:rsidTr="002600C7">
        <w:tc>
          <w:tcPr>
            <w:tcW w:w="2468" w:type="dxa"/>
            <w:shd w:val="clear" w:color="auto" w:fill="auto"/>
            <w:vAlign w:val="bottom"/>
          </w:tcPr>
          <w:p w14:paraId="7BF40CA4" w14:textId="77777777" w:rsidR="00CF7617" w:rsidRPr="00D652D5" w:rsidRDefault="00CF7617" w:rsidP="002600C7">
            <w:pPr>
              <w:spacing w:before="40" w:after="40" w:line="200" w:lineRule="exact"/>
              <w:ind w:right="113"/>
            </w:pPr>
            <w:r w:rsidRPr="00D652D5">
              <w:rPr>
                <w:color w:val="000000"/>
                <w:sz w:val="18"/>
                <w:szCs w:val="18"/>
              </w:rPr>
              <w:t>Italy</w:t>
            </w:r>
          </w:p>
        </w:tc>
        <w:tc>
          <w:tcPr>
            <w:tcW w:w="1188" w:type="dxa"/>
            <w:shd w:val="clear" w:color="auto" w:fill="auto"/>
            <w:vAlign w:val="bottom"/>
          </w:tcPr>
          <w:p w14:paraId="5C95DBA0" w14:textId="77777777" w:rsidR="00CF7617" w:rsidRPr="00D652D5" w:rsidRDefault="00CF7617" w:rsidP="002600C7">
            <w:pPr>
              <w:spacing w:before="40" w:after="40" w:line="200" w:lineRule="exact"/>
              <w:ind w:right="113"/>
              <w:jc w:val="right"/>
              <w:rPr>
                <w:sz w:val="18"/>
                <w:szCs w:val="18"/>
              </w:rPr>
            </w:pPr>
            <w:r w:rsidRPr="00D652D5">
              <w:rPr>
                <w:sz w:val="18"/>
                <w:szCs w:val="18"/>
              </w:rPr>
              <w:t>9.090</w:t>
            </w:r>
          </w:p>
        </w:tc>
        <w:tc>
          <w:tcPr>
            <w:tcW w:w="1212" w:type="dxa"/>
            <w:tcBorders>
              <w:top w:val="nil"/>
              <w:left w:val="nil"/>
              <w:bottom w:val="nil"/>
              <w:right w:val="nil"/>
            </w:tcBorders>
            <w:shd w:val="clear" w:color="auto" w:fill="auto"/>
            <w:vAlign w:val="bottom"/>
          </w:tcPr>
          <w:p w14:paraId="7C176043" w14:textId="77777777" w:rsidR="00CF7617" w:rsidRPr="00D652D5" w:rsidRDefault="00CF7617" w:rsidP="002600C7">
            <w:pPr>
              <w:spacing w:before="40" w:after="40" w:line="200" w:lineRule="exact"/>
              <w:ind w:right="113"/>
              <w:jc w:val="right"/>
              <w:rPr>
                <w:sz w:val="18"/>
                <w:szCs w:val="18"/>
              </w:rPr>
            </w:pPr>
            <w:r w:rsidRPr="00D652D5">
              <w:rPr>
                <w:sz w:val="18"/>
                <w:szCs w:val="18"/>
              </w:rPr>
              <w:t>215 289</w:t>
            </w:r>
          </w:p>
        </w:tc>
        <w:tc>
          <w:tcPr>
            <w:tcW w:w="1212" w:type="dxa"/>
            <w:tcBorders>
              <w:top w:val="nil"/>
              <w:left w:val="nil"/>
              <w:bottom w:val="nil"/>
              <w:right w:val="nil"/>
            </w:tcBorders>
            <w:shd w:val="clear" w:color="auto" w:fill="auto"/>
            <w:vAlign w:val="bottom"/>
          </w:tcPr>
          <w:p w14:paraId="27D4F40F" w14:textId="77777777" w:rsidR="00CF7617" w:rsidRPr="00D652D5" w:rsidRDefault="00CF7617" w:rsidP="002600C7">
            <w:pPr>
              <w:spacing w:before="40" w:after="40" w:line="200" w:lineRule="exact"/>
              <w:ind w:right="113"/>
              <w:jc w:val="right"/>
              <w:rPr>
                <w:sz w:val="18"/>
                <w:szCs w:val="18"/>
              </w:rPr>
            </w:pPr>
            <w:r w:rsidRPr="00D652D5">
              <w:rPr>
                <w:sz w:val="18"/>
                <w:szCs w:val="18"/>
              </w:rPr>
              <w:t>215 289</w:t>
            </w:r>
          </w:p>
        </w:tc>
        <w:tc>
          <w:tcPr>
            <w:tcW w:w="1212" w:type="dxa"/>
            <w:tcBorders>
              <w:top w:val="nil"/>
              <w:left w:val="nil"/>
              <w:bottom w:val="nil"/>
              <w:right w:val="nil"/>
            </w:tcBorders>
            <w:shd w:val="clear" w:color="auto" w:fill="auto"/>
            <w:vAlign w:val="bottom"/>
          </w:tcPr>
          <w:p w14:paraId="2FA3B7E5" w14:textId="77777777" w:rsidR="00CF7617" w:rsidRPr="00D652D5" w:rsidRDefault="00CF7617" w:rsidP="002600C7">
            <w:pPr>
              <w:spacing w:before="40" w:after="40" w:line="200" w:lineRule="exact"/>
              <w:ind w:right="113"/>
              <w:jc w:val="right"/>
              <w:rPr>
                <w:sz w:val="18"/>
                <w:szCs w:val="18"/>
              </w:rPr>
            </w:pPr>
            <w:r w:rsidRPr="00D652D5">
              <w:rPr>
                <w:sz w:val="18"/>
                <w:szCs w:val="18"/>
              </w:rPr>
              <w:t>98 558</w:t>
            </w:r>
          </w:p>
        </w:tc>
        <w:tc>
          <w:tcPr>
            <w:tcW w:w="1213" w:type="dxa"/>
            <w:tcBorders>
              <w:top w:val="nil"/>
              <w:left w:val="nil"/>
              <w:bottom w:val="nil"/>
              <w:right w:val="nil"/>
            </w:tcBorders>
            <w:shd w:val="clear" w:color="auto" w:fill="auto"/>
            <w:vAlign w:val="bottom"/>
          </w:tcPr>
          <w:p w14:paraId="36D29ADE" w14:textId="77777777" w:rsidR="00CF7617" w:rsidRPr="00D652D5" w:rsidRDefault="00CF7617" w:rsidP="002600C7">
            <w:pPr>
              <w:spacing w:before="40" w:after="40" w:line="200" w:lineRule="exact"/>
              <w:ind w:right="113"/>
              <w:jc w:val="right"/>
              <w:rPr>
                <w:sz w:val="18"/>
                <w:szCs w:val="18"/>
              </w:rPr>
            </w:pPr>
            <w:r w:rsidRPr="00D652D5">
              <w:rPr>
                <w:sz w:val="18"/>
                <w:szCs w:val="18"/>
              </w:rPr>
              <w:t>98 558</w:t>
            </w:r>
          </w:p>
        </w:tc>
      </w:tr>
      <w:tr w:rsidR="00CF7617" w:rsidRPr="00D652D5" w14:paraId="27522F95" w14:textId="77777777" w:rsidTr="002600C7">
        <w:tc>
          <w:tcPr>
            <w:tcW w:w="2468" w:type="dxa"/>
            <w:shd w:val="clear" w:color="auto" w:fill="auto"/>
            <w:vAlign w:val="bottom"/>
          </w:tcPr>
          <w:p w14:paraId="3EC92F72" w14:textId="77777777" w:rsidR="00CF7617" w:rsidRPr="00D652D5" w:rsidRDefault="00CF7617" w:rsidP="002600C7">
            <w:pPr>
              <w:spacing w:before="40" w:after="40" w:line="200" w:lineRule="exact"/>
              <w:ind w:right="113"/>
            </w:pPr>
            <w:r w:rsidRPr="00D652D5">
              <w:rPr>
                <w:color w:val="000000"/>
                <w:sz w:val="18"/>
                <w:szCs w:val="18"/>
              </w:rPr>
              <w:t>Japan</w:t>
            </w:r>
          </w:p>
        </w:tc>
        <w:tc>
          <w:tcPr>
            <w:tcW w:w="1188" w:type="dxa"/>
            <w:shd w:val="clear" w:color="auto" w:fill="auto"/>
            <w:vAlign w:val="bottom"/>
          </w:tcPr>
          <w:p w14:paraId="472E0B8B" w14:textId="77777777" w:rsidR="00CF7617" w:rsidRPr="00D652D5" w:rsidRDefault="00CF7617" w:rsidP="002600C7">
            <w:pPr>
              <w:spacing w:before="40" w:after="40" w:line="200" w:lineRule="exact"/>
              <w:ind w:right="113"/>
              <w:jc w:val="right"/>
              <w:rPr>
                <w:sz w:val="18"/>
                <w:szCs w:val="18"/>
              </w:rPr>
            </w:pPr>
            <w:r w:rsidRPr="00D652D5">
              <w:rPr>
                <w:sz w:val="18"/>
                <w:szCs w:val="18"/>
              </w:rPr>
              <w:t>14.939</w:t>
            </w:r>
          </w:p>
        </w:tc>
        <w:tc>
          <w:tcPr>
            <w:tcW w:w="1212" w:type="dxa"/>
            <w:tcBorders>
              <w:top w:val="nil"/>
              <w:left w:val="nil"/>
              <w:bottom w:val="nil"/>
              <w:right w:val="nil"/>
            </w:tcBorders>
            <w:shd w:val="clear" w:color="auto" w:fill="auto"/>
            <w:vAlign w:val="bottom"/>
          </w:tcPr>
          <w:p w14:paraId="4C7DB940" w14:textId="77777777" w:rsidR="00CF7617" w:rsidRPr="00D652D5" w:rsidRDefault="00CF7617" w:rsidP="002600C7">
            <w:pPr>
              <w:spacing w:before="40" w:after="40" w:line="200" w:lineRule="exact"/>
              <w:ind w:right="113"/>
              <w:jc w:val="right"/>
              <w:rPr>
                <w:sz w:val="18"/>
                <w:szCs w:val="18"/>
              </w:rPr>
            </w:pPr>
            <w:r w:rsidRPr="00D652D5">
              <w:rPr>
                <w:sz w:val="18"/>
                <w:szCs w:val="18"/>
              </w:rPr>
              <w:t>353 817</w:t>
            </w:r>
          </w:p>
        </w:tc>
        <w:tc>
          <w:tcPr>
            <w:tcW w:w="1212" w:type="dxa"/>
            <w:tcBorders>
              <w:top w:val="nil"/>
              <w:left w:val="nil"/>
              <w:bottom w:val="nil"/>
              <w:right w:val="nil"/>
            </w:tcBorders>
            <w:shd w:val="clear" w:color="auto" w:fill="auto"/>
            <w:vAlign w:val="bottom"/>
          </w:tcPr>
          <w:p w14:paraId="0E38995B" w14:textId="77777777" w:rsidR="00CF7617" w:rsidRPr="00D652D5" w:rsidRDefault="00CF7617" w:rsidP="002600C7">
            <w:pPr>
              <w:spacing w:before="40" w:after="40" w:line="200" w:lineRule="exact"/>
              <w:ind w:right="113"/>
              <w:jc w:val="right"/>
              <w:rPr>
                <w:sz w:val="18"/>
                <w:szCs w:val="18"/>
              </w:rPr>
            </w:pPr>
            <w:r w:rsidRPr="00D652D5">
              <w:rPr>
                <w:sz w:val="18"/>
                <w:szCs w:val="18"/>
              </w:rPr>
              <w:t>353 817</w:t>
            </w:r>
          </w:p>
        </w:tc>
        <w:tc>
          <w:tcPr>
            <w:tcW w:w="1212" w:type="dxa"/>
            <w:tcBorders>
              <w:top w:val="nil"/>
              <w:left w:val="nil"/>
              <w:bottom w:val="nil"/>
              <w:right w:val="nil"/>
            </w:tcBorders>
            <w:shd w:val="clear" w:color="auto" w:fill="auto"/>
            <w:vAlign w:val="bottom"/>
          </w:tcPr>
          <w:p w14:paraId="2C5FE804" w14:textId="77777777" w:rsidR="00CF7617" w:rsidRPr="00D652D5" w:rsidRDefault="00CF7617" w:rsidP="002600C7">
            <w:pPr>
              <w:spacing w:before="40" w:after="40" w:line="200" w:lineRule="exact"/>
              <w:ind w:right="113"/>
              <w:jc w:val="right"/>
              <w:rPr>
                <w:sz w:val="18"/>
                <w:szCs w:val="18"/>
              </w:rPr>
            </w:pPr>
            <w:r w:rsidRPr="00D652D5">
              <w:rPr>
                <w:sz w:val="18"/>
                <w:szCs w:val="18"/>
              </w:rPr>
              <w:t>161 971</w:t>
            </w:r>
          </w:p>
        </w:tc>
        <w:tc>
          <w:tcPr>
            <w:tcW w:w="1213" w:type="dxa"/>
            <w:tcBorders>
              <w:top w:val="nil"/>
              <w:left w:val="nil"/>
              <w:bottom w:val="nil"/>
              <w:right w:val="nil"/>
            </w:tcBorders>
            <w:shd w:val="clear" w:color="auto" w:fill="auto"/>
            <w:vAlign w:val="bottom"/>
          </w:tcPr>
          <w:p w14:paraId="76549E84" w14:textId="77777777" w:rsidR="00CF7617" w:rsidRPr="00D652D5" w:rsidRDefault="00CF7617" w:rsidP="002600C7">
            <w:pPr>
              <w:spacing w:before="40" w:after="40" w:line="200" w:lineRule="exact"/>
              <w:ind w:right="113"/>
              <w:jc w:val="right"/>
              <w:rPr>
                <w:sz w:val="18"/>
                <w:szCs w:val="18"/>
              </w:rPr>
            </w:pPr>
            <w:r w:rsidRPr="00D652D5">
              <w:rPr>
                <w:sz w:val="18"/>
                <w:szCs w:val="18"/>
              </w:rPr>
              <w:t>161 971</w:t>
            </w:r>
          </w:p>
        </w:tc>
      </w:tr>
      <w:tr w:rsidR="00CF7617" w:rsidRPr="00D652D5" w14:paraId="743FA488" w14:textId="77777777" w:rsidTr="002600C7">
        <w:tc>
          <w:tcPr>
            <w:tcW w:w="2468" w:type="dxa"/>
            <w:shd w:val="clear" w:color="auto" w:fill="auto"/>
            <w:vAlign w:val="bottom"/>
          </w:tcPr>
          <w:p w14:paraId="16F823E6" w14:textId="77777777" w:rsidR="00CF7617" w:rsidRPr="00D652D5" w:rsidRDefault="00CF7617" w:rsidP="002600C7">
            <w:pPr>
              <w:spacing w:before="40" w:after="40" w:line="200" w:lineRule="exact"/>
              <w:ind w:right="113"/>
            </w:pPr>
            <w:proofErr w:type="spellStart"/>
            <w:r w:rsidRPr="00D652D5">
              <w:rPr>
                <w:color w:val="000000"/>
                <w:sz w:val="18"/>
                <w:szCs w:val="18"/>
              </w:rPr>
              <w:t>Kazakhstan</w:t>
            </w:r>
            <w:r w:rsidRPr="00D652D5">
              <w:rPr>
                <w:bCs/>
                <w:i/>
                <w:sz w:val="18"/>
                <w:szCs w:val="18"/>
                <w:vertAlign w:val="superscript"/>
              </w:rPr>
              <w:t>a</w:t>
            </w:r>
            <w:proofErr w:type="spellEnd"/>
          </w:p>
        </w:tc>
        <w:tc>
          <w:tcPr>
            <w:tcW w:w="1188" w:type="dxa"/>
            <w:shd w:val="clear" w:color="auto" w:fill="auto"/>
            <w:vAlign w:val="bottom"/>
          </w:tcPr>
          <w:p w14:paraId="4885EDF2" w14:textId="77777777" w:rsidR="00CF7617" w:rsidRPr="00D652D5" w:rsidRDefault="00CF7617" w:rsidP="002600C7">
            <w:pPr>
              <w:spacing w:before="40" w:after="40" w:line="200" w:lineRule="exact"/>
              <w:ind w:right="113"/>
              <w:jc w:val="right"/>
              <w:rPr>
                <w:sz w:val="18"/>
                <w:szCs w:val="18"/>
              </w:rPr>
            </w:pPr>
            <w:r w:rsidRPr="00D652D5">
              <w:rPr>
                <w:sz w:val="18"/>
                <w:szCs w:val="18"/>
              </w:rPr>
              <w:t>0.157</w:t>
            </w:r>
          </w:p>
        </w:tc>
        <w:tc>
          <w:tcPr>
            <w:tcW w:w="1212" w:type="dxa"/>
            <w:tcBorders>
              <w:top w:val="nil"/>
              <w:left w:val="nil"/>
              <w:bottom w:val="nil"/>
              <w:right w:val="nil"/>
            </w:tcBorders>
            <w:shd w:val="clear" w:color="auto" w:fill="auto"/>
            <w:vAlign w:val="bottom"/>
          </w:tcPr>
          <w:p w14:paraId="55062A04" w14:textId="77777777" w:rsidR="00CF7617" w:rsidRPr="00D652D5" w:rsidRDefault="00CF7617" w:rsidP="002600C7">
            <w:pPr>
              <w:spacing w:before="40" w:after="40" w:line="200" w:lineRule="exact"/>
              <w:ind w:right="113"/>
              <w:jc w:val="right"/>
              <w:rPr>
                <w:sz w:val="18"/>
                <w:szCs w:val="18"/>
              </w:rPr>
            </w:pPr>
            <w:r w:rsidRPr="00D652D5">
              <w:rPr>
                <w:b/>
                <w:sz w:val="18"/>
                <w:szCs w:val="18"/>
              </w:rPr>
              <w:t>-</w:t>
            </w:r>
            <w:r w:rsidRPr="00D652D5">
              <w:rPr>
                <w:sz w:val="18"/>
                <w:szCs w:val="18"/>
              </w:rPr>
              <w:t xml:space="preserve"> </w:t>
            </w:r>
          </w:p>
        </w:tc>
        <w:tc>
          <w:tcPr>
            <w:tcW w:w="1212" w:type="dxa"/>
            <w:tcBorders>
              <w:top w:val="nil"/>
              <w:left w:val="nil"/>
              <w:bottom w:val="nil"/>
              <w:right w:val="nil"/>
            </w:tcBorders>
            <w:shd w:val="clear" w:color="auto" w:fill="auto"/>
            <w:vAlign w:val="bottom"/>
          </w:tcPr>
          <w:p w14:paraId="6886B1C5" w14:textId="77777777" w:rsidR="00CF7617" w:rsidRPr="00D652D5" w:rsidRDefault="00CF7617" w:rsidP="002600C7">
            <w:pPr>
              <w:spacing w:before="40" w:after="40" w:line="200" w:lineRule="exact"/>
              <w:ind w:right="113"/>
              <w:jc w:val="right"/>
              <w:rPr>
                <w:sz w:val="18"/>
                <w:szCs w:val="18"/>
              </w:rPr>
            </w:pPr>
            <w:r w:rsidRPr="00D652D5">
              <w:rPr>
                <w:b/>
                <w:sz w:val="18"/>
                <w:szCs w:val="18"/>
              </w:rPr>
              <w:t>-</w:t>
            </w:r>
            <w:r w:rsidRPr="00D652D5">
              <w:rPr>
                <w:sz w:val="18"/>
                <w:szCs w:val="18"/>
              </w:rPr>
              <w:t xml:space="preserve"> </w:t>
            </w:r>
          </w:p>
        </w:tc>
        <w:tc>
          <w:tcPr>
            <w:tcW w:w="1212" w:type="dxa"/>
            <w:tcBorders>
              <w:top w:val="nil"/>
              <w:left w:val="nil"/>
              <w:bottom w:val="nil"/>
              <w:right w:val="nil"/>
            </w:tcBorders>
            <w:shd w:val="clear" w:color="auto" w:fill="auto"/>
            <w:vAlign w:val="bottom"/>
          </w:tcPr>
          <w:p w14:paraId="125EB600" w14:textId="77777777" w:rsidR="00CF7617" w:rsidRPr="00D652D5" w:rsidRDefault="00CF7617" w:rsidP="002600C7">
            <w:pPr>
              <w:spacing w:before="40" w:after="40" w:line="200" w:lineRule="exact"/>
              <w:ind w:right="113"/>
              <w:jc w:val="right"/>
              <w:rPr>
                <w:sz w:val="18"/>
                <w:szCs w:val="18"/>
              </w:rPr>
            </w:pPr>
            <w:r w:rsidRPr="00D652D5">
              <w:rPr>
                <w:sz w:val="18"/>
                <w:szCs w:val="18"/>
              </w:rPr>
              <w:t xml:space="preserve">- </w:t>
            </w:r>
          </w:p>
        </w:tc>
        <w:tc>
          <w:tcPr>
            <w:tcW w:w="1213" w:type="dxa"/>
            <w:tcBorders>
              <w:top w:val="nil"/>
              <w:left w:val="nil"/>
              <w:bottom w:val="nil"/>
              <w:right w:val="nil"/>
            </w:tcBorders>
            <w:shd w:val="clear" w:color="auto" w:fill="auto"/>
            <w:vAlign w:val="bottom"/>
          </w:tcPr>
          <w:p w14:paraId="5678D2E6" w14:textId="77777777" w:rsidR="00CF7617" w:rsidRPr="00D652D5" w:rsidRDefault="00CF7617" w:rsidP="002600C7">
            <w:pPr>
              <w:spacing w:before="40" w:after="40" w:line="200" w:lineRule="exact"/>
              <w:ind w:right="113"/>
              <w:jc w:val="right"/>
              <w:rPr>
                <w:sz w:val="18"/>
                <w:szCs w:val="18"/>
              </w:rPr>
            </w:pPr>
            <w:r w:rsidRPr="00D652D5">
              <w:rPr>
                <w:sz w:val="18"/>
                <w:szCs w:val="18"/>
              </w:rPr>
              <w:t>-</w:t>
            </w:r>
          </w:p>
        </w:tc>
      </w:tr>
      <w:tr w:rsidR="00CF7617" w:rsidRPr="00D652D5" w14:paraId="29148063" w14:textId="77777777" w:rsidTr="002600C7">
        <w:tc>
          <w:tcPr>
            <w:tcW w:w="2468" w:type="dxa"/>
            <w:shd w:val="clear" w:color="auto" w:fill="auto"/>
            <w:vAlign w:val="bottom"/>
          </w:tcPr>
          <w:p w14:paraId="4897F396" w14:textId="77777777" w:rsidR="00CF7617" w:rsidRPr="00D652D5" w:rsidRDefault="00CF7617" w:rsidP="002600C7">
            <w:pPr>
              <w:spacing w:before="40" w:after="40" w:line="200" w:lineRule="exact"/>
              <w:ind w:right="113"/>
            </w:pPr>
            <w:r w:rsidRPr="00D652D5">
              <w:rPr>
                <w:color w:val="000000"/>
                <w:sz w:val="18"/>
                <w:szCs w:val="18"/>
              </w:rPr>
              <w:t>Latvia</w:t>
            </w:r>
          </w:p>
        </w:tc>
        <w:tc>
          <w:tcPr>
            <w:tcW w:w="1188" w:type="dxa"/>
            <w:shd w:val="clear" w:color="auto" w:fill="auto"/>
            <w:vAlign w:val="bottom"/>
          </w:tcPr>
          <w:p w14:paraId="086896D7" w14:textId="77777777" w:rsidR="00CF7617" w:rsidRPr="00D652D5" w:rsidRDefault="00CF7617" w:rsidP="002600C7">
            <w:pPr>
              <w:spacing w:before="40" w:after="40" w:line="200" w:lineRule="exact"/>
              <w:ind w:right="113"/>
              <w:jc w:val="right"/>
              <w:rPr>
                <w:sz w:val="18"/>
                <w:szCs w:val="18"/>
              </w:rPr>
            </w:pPr>
            <w:r w:rsidRPr="00D652D5">
              <w:rPr>
                <w:sz w:val="18"/>
                <w:szCs w:val="18"/>
              </w:rPr>
              <w:t>0.032</w:t>
            </w:r>
          </w:p>
        </w:tc>
        <w:tc>
          <w:tcPr>
            <w:tcW w:w="1212" w:type="dxa"/>
            <w:tcBorders>
              <w:top w:val="nil"/>
              <w:left w:val="nil"/>
              <w:bottom w:val="nil"/>
              <w:right w:val="nil"/>
            </w:tcBorders>
            <w:shd w:val="clear" w:color="auto" w:fill="auto"/>
            <w:vAlign w:val="bottom"/>
          </w:tcPr>
          <w:p w14:paraId="2F6F6550" w14:textId="77777777" w:rsidR="00CF7617" w:rsidRPr="00D652D5" w:rsidRDefault="00CF7617" w:rsidP="002600C7">
            <w:pPr>
              <w:spacing w:before="40" w:after="40" w:line="200" w:lineRule="exact"/>
              <w:ind w:right="113"/>
              <w:jc w:val="right"/>
              <w:rPr>
                <w:sz w:val="18"/>
                <w:szCs w:val="18"/>
              </w:rPr>
            </w:pPr>
            <w:r w:rsidRPr="00D652D5">
              <w:rPr>
                <w:sz w:val="18"/>
                <w:szCs w:val="18"/>
              </w:rPr>
              <w:t xml:space="preserve"> 758</w:t>
            </w:r>
          </w:p>
        </w:tc>
        <w:tc>
          <w:tcPr>
            <w:tcW w:w="1212" w:type="dxa"/>
            <w:tcBorders>
              <w:top w:val="nil"/>
              <w:left w:val="nil"/>
              <w:bottom w:val="nil"/>
              <w:right w:val="nil"/>
            </w:tcBorders>
            <w:shd w:val="clear" w:color="auto" w:fill="auto"/>
            <w:vAlign w:val="bottom"/>
          </w:tcPr>
          <w:p w14:paraId="5F8E722C" w14:textId="77777777" w:rsidR="00CF7617" w:rsidRPr="00D652D5" w:rsidRDefault="00CF7617" w:rsidP="002600C7">
            <w:pPr>
              <w:spacing w:before="40" w:after="40" w:line="200" w:lineRule="exact"/>
              <w:ind w:right="113"/>
              <w:jc w:val="right"/>
              <w:rPr>
                <w:sz w:val="18"/>
                <w:szCs w:val="18"/>
              </w:rPr>
            </w:pPr>
            <w:r w:rsidRPr="00D652D5">
              <w:rPr>
                <w:sz w:val="18"/>
                <w:szCs w:val="18"/>
              </w:rPr>
              <w:t xml:space="preserve"> 758</w:t>
            </w:r>
          </w:p>
        </w:tc>
        <w:tc>
          <w:tcPr>
            <w:tcW w:w="1212" w:type="dxa"/>
            <w:tcBorders>
              <w:top w:val="nil"/>
              <w:left w:val="nil"/>
              <w:bottom w:val="nil"/>
              <w:right w:val="nil"/>
            </w:tcBorders>
            <w:shd w:val="clear" w:color="auto" w:fill="auto"/>
            <w:vAlign w:val="bottom"/>
          </w:tcPr>
          <w:p w14:paraId="76BEE017" w14:textId="77777777" w:rsidR="00CF7617" w:rsidRPr="00D652D5" w:rsidRDefault="00CF7617" w:rsidP="002600C7">
            <w:pPr>
              <w:spacing w:before="40" w:after="40" w:line="200" w:lineRule="exact"/>
              <w:ind w:right="113"/>
              <w:jc w:val="right"/>
              <w:rPr>
                <w:sz w:val="18"/>
                <w:szCs w:val="18"/>
              </w:rPr>
            </w:pPr>
            <w:r w:rsidRPr="00D652D5">
              <w:rPr>
                <w:sz w:val="18"/>
                <w:szCs w:val="18"/>
              </w:rPr>
              <w:t xml:space="preserve"> 347</w:t>
            </w:r>
          </w:p>
        </w:tc>
        <w:tc>
          <w:tcPr>
            <w:tcW w:w="1213" w:type="dxa"/>
            <w:tcBorders>
              <w:top w:val="nil"/>
              <w:left w:val="nil"/>
              <w:bottom w:val="nil"/>
              <w:right w:val="nil"/>
            </w:tcBorders>
            <w:shd w:val="clear" w:color="auto" w:fill="auto"/>
            <w:vAlign w:val="bottom"/>
          </w:tcPr>
          <w:p w14:paraId="13A7D7F5" w14:textId="77777777" w:rsidR="00CF7617" w:rsidRPr="00D652D5" w:rsidRDefault="00CF7617" w:rsidP="002600C7">
            <w:pPr>
              <w:spacing w:before="40" w:after="40" w:line="200" w:lineRule="exact"/>
              <w:ind w:right="113"/>
              <w:jc w:val="right"/>
              <w:rPr>
                <w:sz w:val="18"/>
                <w:szCs w:val="18"/>
              </w:rPr>
            </w:pPr>
            <w:r w:rsidRPr="00D652D5">
              <w:rPr>
                <w:sz w:val="18"/>
                <w:szCs w:val="18"/>
              </w:rPr>
              <w:t xml:space="preserve"> 347</w:t>
            </w:r>
          </w:p>
        </w:tc>
      </w:tr>
      <w:tr w:rsidR="00CF7617" w:rsidRPr="00D652D5" w14:paraId="0E2626BA" w14:textId="77777777" w:rsidTr="002600C7">
        <w:tc>
          <w:tcPr>
            <w:tcW w:w="2468" w:type="dxa"/>
            <w:shd w:val="clear" w:color="auto" w:fill="auto"/>
            <w:vAlign w:val="bottom"/>
          </w:tcPr>
          <w:p w14:paraId="128E1A27" w14:textId="77777777" w:rsidR="00CF7617" w:rsidRPr="00D652D5" w:rsidRDefault="00CF7617" w:rsidP="002600C7">
            <w:pPr>
              <w:spacing w:before="40" w:after="40" w:line="200" w:lineRule="exact"/>
              <w:ind w:right="113"/>
            </w:pPr>
            <w:r w:rsidRPr="00D652D5">
              <w:rPr>
                <w:color w:val="000000"/>
                <w:sz w:val="18"/>
                <w:szCs w:val="18"/>
              </w:rPr>
              <w:t>Liechtenstein</w:t>
            </w:r>
          </w:p>
        </w:tc>
        <w:tc>
          <w:tcPr>
            <w:tcW w:w="1188" w:type="dxa"/>
            <w:shd w:val="clear" w:color="auto" w:fill="auto"/>
            <w:vAlign w:val="bottom"/>
          </w:tcPr>
          <w:p w14:paraId="708E08E1" w14:textId="77777777" w:rsidR="00CF7617" w:rsidRPr="00D652D5" w:rsidRDefault="00CF7617" w:rsidP="002600C7">
            <w:pPr>
              <w:spacing w:before="40" w:after="40" w:line="200" w:lineRule="exact"/>
              <w:ind w:right="113"/>
              <w:jc w:val="right"/>
              <w:rPr>
                <w:sz w:val="18"/>
                <w:szCs w:val="18"/>
              </w:rPr>
            </w:pPr>
            <w:r w:rsidRPr="00D652D5">
              <w:rPr>
                <w:sz w:val="18"/>
                <w:szCs w:val="18"/>
              </w:rPr>
              <w:t>0.188</w:t>
            </w:r>
          </w:p>
        </w:tc>
        <w:tc>
          <w:tcPr>
            <w:tcW w:w="1212" w:type="dxa"/>
            <w:tcBorders>
              <w:top w:val="nil"/>
              <w:left w:val="nil"/>
              <w:bottom w:val="nil"/>
              <w:right w:val="nil"/>
            </w:tcBorders>
            <w:shd w:val="clear" w:color="auto" w:fill="auto"/>
            <w:vAlign w:val="bottom"/>
          </w:tcPr>
          <w:p w14:paraId="13F7A138" w14:textId="77777777" w:rsidR="00CF7617" w:rsidRPr="00D652D5" w:rsidRDefault="00CF7617" w:rsidP="002600C7">
            <w:pPr>
              <w:spacing w:before="40" w:after="40" w:line="200" w:lineRule="exact"/>
              <w:ind w:right="113"/>
              <w:jc w:val="right"/>
              <w:rPr>
                <w:sz w:val="18"/>
                <w:szCs w:val="18"/>
              </w:rPr>
            </w:pPr>
            <w:r w:rsidRPr="00D652D5">
              <w:rPr>
                <w:sz w:val="18"/>
                <w:szCs w:val="18"/>
              </w:rPr>
              <w:t>4 453</w:t>
            </w:r>
          </w:p>
        </w:tc>
        <w:tc>
          <w:tcPr>
            <w:tcW w:w="1212" w:type="dxa"/>
            <w:tcBorders>
              <w:top w:val="nil"/>
              <w:left w:val="nil"/>
              <w:bottom w:val="nil"/>
              <w:right w:val="nil"/>
            </w:tcBorders>
            <w:shd w:val="clear" w:color="auto" w:fill="auto"/>
            <w:vAlign w:val="bottom"/>
          </w:tcPr>
          <w:p w14:paraId="1DF09007" w14:textId="77777777" w:rsidR="00CF7617" w:rsidRPr="00D652D5" w:rsidRDefault="00CF7617" w:rsidP="002600C7">
            <w:pPr>
              <w:spacing w:before="40" w:after="40" w:line="200" w:lineRule="exact"/>
              <w:ind w:right="113"/>
              <w:jc w:val="right"/>
              <w:rPr>
                <w:sz w:val="18"/>
                <w:szCs w:val="18"/>
              </w:rPr>
            </w:pPr>
            <w:r w:rsidRPr="00D652D5">
              <w:rPr>
                <w:sz w:val="18"/>
                <w:szCs w:val="18"/>
              </w:rPr>
              <w:t>4 453</w:t>
            </w:r>
          </w:p>
        </w:tc>
        <w:tc>
          <w:tcPr>
            <w:tcW w:w="1212" w:type="dxa"/>
            <w:tcBorders>
              <w:top w:val="nil"/>
              <w:left w:val="nil"/>
              <w:bottom w:val="nil"/>
              <w:right w:val="nil"/>
            </w:tcBorders>
            <w:shd w:val="clear" w:color="auto" w:fill="auto"/>
            <w:vAlign w:val="bottom"/>
          </w:tcPr>
          <w:p w14:paraId="30D2163D" w14:textId="77777777" w:rsidR="00CF7617" w:rsidRPr="00D652D5" w:rsidRDefault="00CF7617" w:rsidP="002600C7">
            <w:pPr>
              <w:spacing w:before="40" w:after="40" w:line="200" w:lineRule="exact"/>
              <w:ind w:right="113"/>
              <w:jc w:val="right"/>
              <w:rPr>
                <w:sz w:val="18"/>
                <w:szCs w:val="18"/>
              </w:rPr>
            </w:pPr>
            <w:r w:rsidRPr="00D652D5">
              <w:rPr>
                <w:sz w:val="18"/>
                <w:szCs w:val="18"/>
              </w:rPr>
              <w:t>2 039</w:t>
            </w:r>
          </w:p>
        </w:tc>
        <w:tc>
          <w:tcPr>
            <w:tcW w:w="1213" w:type="dxa"/>
            <w:tcBorders>
              <w:top w:val="nil"/>
              <w:left w:val="nil"/>
              <w:bottom w:val="nil"/>
              <w:right w:val="nil"/>
            </w:tcBorders>
            <w:shd w:val="clear" w:color="auto" w:fill="auto"/>
            <w:vAlign w:val="bottom"/>
          </w:tcPr>
          <w:p w14:paraId="06ABF6C2" w14:textId="77777777" w:rsidR="00CF7617" w:rsidRPr="00D652D5" w:rsidRDefault="00CF7617" w:rsidP="002600C7">
            <w:pPr>
              <w:spacing w:before="40" w:after="40" w:line="200" w:lineRule="exact"/>
              <w:ind w:right="113"/>
              <w:jc w:val="right"/>
              <w:rPr>
                <w:sz w:val="18"/>
                <w:szCs w:val="18"/>
              </w:rPr>
            </w:pPr>
            <w:r w:rsidRPr="00D652D5">
              <w:rPr>
                <w:sz w:val="18"/>
                <w:szCs w:val="18"/>
              </w:rPr>
              <w:t>2 039</w:t>
            </w:r>
          </w:p>
        </w:tc>
      </w:tr>
      <w:tr w:rsidR="00CF7617" w:rsidRPr="00D652D5" w14:paraId="2F6D6A94" w14:textId="77777777" w:rsidTr="002600C7">
        <w:tc>
          <w:tcPr>
            <w:tcW w:w="2468" w:type="dxa"/>
            <w:shd w:val="clear" w:color="auto" w:fill="auto"/>
            <w:vAlign w:val="bottom"/>
          </w:tcPr>
          <w:p w14:paraId="68A87486" w14:textId="77777777" w:rsidR="00CF7617" w:rsidRPr="00D652D5" w:rsidRDefault="00CF7617" w:rsidP="002600C7">
            <w:pPr>
              <w:spacing w:before="40" w:after="40" w:line="200" w:lineRule="exact"/>
              <w:ind w:right="113"/>
            </w:pPr>
            <w:r w:rsidRPr="00D652D5">
              <w:rPr>
                <w:color w:val="000000"/>
                <w:sz w:val="18"/>
                <w:szCs w:val="18"/>
              </w:rPr>
              <w:t>Lithuania</w:t>
            </w:r>
          </w:p>
        </w:tc>
        <w:tc>
          <w:tcPr>
            <w:tcW w:w="1188" w:type="dxa"/>
            <w:shd w:val="clear" w:color="auto" w:fill="auto"/>
            <w:vAlign w:val="bottom"/>
          </w:tcPr>
          <w:p w14:paraId="218B3969" w14:textId="77777777" w:rsidR="00CF7617" w:rsidRPr="00D652D5" w:rsidRDefault="00CF7617" w:rsidP="002600C7">
            <w:pPr>
              <w:spacing w:before="40" w:after="40" w:line="200" w:lineRule="exact"/>
              <w:ind w:right="113"/>
              <w:jc w:val="right"/>
              <w:rPr>
                <w:sz w:val="18"/>
                <w:szCs w:val="18"/>
              </w:rPr>
            </w:pPr>
            <w:r w:rsidRPr="00D652D5">
              <w:rPr>
                <w:sz w:val="18"/>
                <w:szCs w:val="18"/>
              </w:rPr>
              <w:t>0.055</w:t>
            </w:r>
          </w:p>
        </w:tc>
        <w:tc>
          <w:tcPr>
            <w:tcW w:w="1212" w:type="dxa"/>
            <w:tcBorders>
              <w:top w:val="nil"/>
              <w:left w:val="nil"/>
              <w:bottom w:val="nil"/>
              <w:right w:val="nil"/>
            </w:tcBorders>
            <w:shd w:val="clear" w:color="auto" w:fill="auto"/>
            <w:vAlign w:val="bottom"/>
          </w:tcPr>
          <w:p w14:paraId="752626DD" w14:textId="77777777" w:rsidR="00CF7617" w:rsidRPr="00D652D5" w:rsidRDefault="00CF7617" w:rsidP="002600C7">
            <w:pPr>
              <w:spacing w:before="40" w:after="40" w:line="200" w:lineRule="exact"/>
              <w:ind w:right="113"/>
              <w:jc w:val="right"/>
              <w:rPr>
                <w:sz w:val="18"/>
                <w:szCs w:val="18"/>
              </w:rPr>
            </w:pPr>
            <w:r w:rsidRPr="00D652D5">
              <w:rPr>
                <w:sz w:val="18"/>
                <w:szCs w:val="18"/>
              </w:rPr>
              <w:t>1 303</w:t>
            </w:r>
          </w:p>
        </w:tc>
        <w:tc>
          <w:tcPr>
            <w:tcW w:w="1212" w:type="dxa"/>
            <w:tcBorders>
              <w:top w:val="nil"/>
              <w:left w:val="nil"/>
              <w:bottom w:val="nil"/>
              <w:right w:val="nil"/>
            </w:tcBorders>
            <w:shd w:val="clear" w:color="auto" w:fill="auto"/>
            <w:vAlign w:val="bottom"/>
          </w:tcPr>
          <w:p w14:paraId="53ADF58E" w14:textId="77777777" w:rsidR="00CF7617" w:rsidRPr="00D652D5" w:rsidRDefault="00CF7617" w:rsidP="002600C7">
            <w:pPr>
              <w:spacing w:before="40" w:after="40" w:line="200" w:lineRule="exact"/>
              <w:ind w:right="113"/>
              <w:jc w:val="right"/>
              <w:rPr>
                <w:sz w:val="18"/>
                <w:szCs w:val="18"/>
              </w:rPr>
            </w:pPr>
            <w:r w:rsidRPr="00D652D5">
              <w:rPr>
                <w:sz w:val="18"/>
                <w:szCs w:val="18"/>
              </w:rPr>
              <w:t>1 303</w:t>
            </w:r>
          </w:p>
        </w:tc>
        <w:tc>
          <w:tcPr>
            <w:tcW w:w="1212" w:type="dxa"/>
            <w:tcBorders>
              <w:top w:val="nil"/>
              <w:left w:val="nil"/>
              <w:bottom w:val="nil"/>
              <w:right w:val="nil"/>
            </w:tcBorders>
            <w:shd w:val="clear" w:color="auto" w:fill="auto"/>
            <w:vAlign w:val="bottom"/>
          </w:tcPr>
          <w:p w14:paraId="53B2196F" w14:textId="77777777" w:rsidR="00CF7617" w:rsidRPr="00D652D5" w:rsidRDefault="00CF7617" w:rsidP="002600C7">
            <w:pPr>
              <w:spacing w:before="40" w:after="40" w:line="200" w:lineRule="exact"/>
              <w:ind w:right="113"/>
              <w:jc w:val="right"/>
              <w:rPr>
                <w:sz w:val="18"/>
                <w:szCs w:val="18"/>
              </w:rPr>
            </w:pPr>
            <w:r w:rsidRPr="00D652D5">
              <w:rPr>
                <w:sz w:val="18"/>
                <w:szCs w:val="18"/>
              </w:rPr>
              <w:t xml:space="preserve"> 597</w:t>
            </w:r>
          </w:p>
        </w:tc>
        <w:tc>
          <w:tcPr>
            <w:tcW w:w="1213" w:type="dxa"/>
            <w:tcBorders>
              <w:top w:val="nil"/>
              <w:left w:val="nil"/>
              <w:bottom w:val="nil"/>
              <w:right w:val="nil"/>
            </w:tcBorders>
            <w:shd w:val="clear" w:color="auto" w:fill="auto"/>
            <w:vAlign w:val="bottom"/>
          </w:tcPr>
          <w:p w14:paraId="728690C9" w14:textId="77777777" w:rsidR="00CF7617" w:rsidRPr="00D652D5" w:rsidRDefault="00CF7617" w:rsidP="002600C7">
            <w:pPr>
              <w:spacing w:before="40" w:after="40" w:line="200" w:lineRule="exact"/>
              <w:ind w:right="113"/>
              <w:jc w:val="right"/>
              <w:rPr>
                <w:sz w:val="18"/>
                <w:szCs w:val="18"/>
              </w:rPr>
            </w:pPr>
            <w:r w:rsidRPr="00D652D5">
              <w:rPr>
                <w:sz w:val="18"/>
                <w:szCs w:val="18"/>
              </w:rPr>
              <w:t xml:space="preserve"> 597</w:t>
            </w:r>
          </w:p>
        </w:tc>
      </w:tr>
      <w:tr w:rsidR="00CF7617" w:rsidRPr="00D652D5" w14:paraId="0E05C302" w14:textId="77777777" w:rsidTr="002600C7">
        <w:tc>
          <w:tcPr>
            <w:tcW w:w="2468" w:type="dxa"/>
            <w:shd w:val="clear" w:color="auto" w:fill="auto"/>
            <w:vAlign w:val="bottom"/>
          </w:tcPr>
          <w:p w14:paraId="139E777A" w14:textId="77777777" w:rsidR="00CF7617" w:rsidRPr="00D652D5" w:rsidRDefault="00CF7617" w:rsidP="002600C7">
            <w:pPr>
              <w:spacing w:before="40" w:after="40" w:line="200" w:lineRule="exact"/>
              <w:ind w:right="113"/>
            </w:pPr>
            <w:r w:rsidRPr="00D652D5">
              <w:rPr>
                <w:color w:val="000000"/>
                <w:sz w:val="18"/>
                <w:szCs w:val="18"/>
              </w:rPr>
              <w:t>Luxembourg</w:t>
            </w:r>
          </w:p>
        </w:tc>
        <w:tc>
          <w:tcPr>
            <w:tcW w:w="1188" w:type="dxa"/>
            <w:shd w:val="clear" w:color="auto" w:fill="auto"/>
            <w:vAlign w:val="bottom"/>
          </w:tcPr>
          <w:p w14:paraId="415A3047" w14:textId="77777777" w:rsidR="00CF7617" w:rsidRPr="00D652D5" w:rsidRDefault="00CF7617" w:rsidP="002600C7">
            <w:pPr>
              <w:spacing w:before="40" w:after="40" w:line="200" w:lineRule="exact"/>
              <w:ind w:right="113"/>
              <w:jc w:val="right"/>
              <w:rPr>
                <w:sz w:val="18"/>
                <w:szCs w:val="18"/>
              </w:rPr>
            </w:pPr>
            <w:r w:rsidRPr="00D652D5">
              <w:rPr>
                <w:sz w:val="18"/>
                <w:szCs w:val="18"/>
              </w:rPr>
              <w:t>0.153</w:t>
            </w:r>
          </w:p>
        </w:tc>
        <w:tc>
          <w:tcPr>
            <w:tcW w:w="1212" w:type="dxa"/>
            <w:tcBorders>
              <w:top w:val="nil"/>
              <w:left w:val="nil"/>
              <w:bottom w:val="nil"/>
              <w:right w:val="nil"/>
            </w:tcBorders>
            <w:shd w:val="clear" w:color="auto" w:fill="auto"/>
            <w:vAlign w:val="bottom"/>
          </w:tcPr>
          <w:p w14:paraId="3BFAED08" w14:textId="77777777" w:rsidR="00CF7617" w:rsidRPr="00D652D5" w:rsidRDefault="00CF7617" w:rsidP="002600C7">
            <w:pPr>
              <w:spacing w:before="40" w:after="40" w:line="200" w:lineRule="exact"/>
              <w:ind w:right="113"/>
              <w:jc w:val="right"/>
              <w:rPr>
                <w:sz w:val="18"/>
                <w:szCs w:val="18"/>
              </w:rPr>
            </w:pPr>
            <w:r w:rsidRPr="00D652D5">
              <w:rPr>
                <w:sz w:val="18"/>
                <w:szCs w:val="18"/>
              </w:rPr>
              <w:t>3 624</w:t>
            </w:r>
          </w:p>
        </w:tc>
        <w:tc>
          <w:tcPr>
            <w:tcW w:w="1212" w:type="dxa"/>
            <w:tcBorders>
              <w:top w:val="nil"/>
              <w:left w:val="nil"/>
              <w:bottom w:val="nil"/>
              <w:right w:val="nil"/>
            </w:tcBorders>
            <w:shd w:val="clear" w:color="auto" w:fill="auto"/>
            <w:vAlign w:val="bottom"/>
          </w:tcPr>
          <w:p w14:paraId="2464328F" w14:textId="77777777" w:rsidR="00CF7617" w:rsidRPr="00D652D5" w:rsidRDefault="00CF7617" w:rsidP="002600C7">
            <w:pPr>
              <w:spacing w:before="40" w:after="40" w:line="200" w:lineRule="exact"/>
              <w:ind w:right="113"/>
              <w:jc w:val="right"/>
              <w:rPr>
                <w:sz w:val="18"/>
                <w:szCs w:val="18"/>
              </w:rPr>
            </w:pPr>
            <w:r w:rsidRPr="00D652D5">
              <w:rPr>
                <w:sz w:val="18"/>
                <w:szCs w:val="18"/>
              </w:rPr>
              <w:t>3 624</w:t>
            </w:r>
          </w:p>
        </w:tc>
        <w:tc>
          <w:tcPr>
            <w:tcW w:w="1212" w:type="dxa"/>
            <w:tcBorders>
              <w:top w:val="nil"/>
              <w:left w:val="nil"/>
              <w:bottom w:val="nil"/>
              <w:right w:val="nil"/>
            </w:tcBorders>
            <w:shd w:val="clear" w:color="auto" w:fill="auto"/>
            <w:vAlign w:val="bottom"/>
          </w:tcPr>
          <w:p w14:paraId="32F46BF2" w14:textId="77777777" w:rsidR="00CF7617" w:rsidRPr="00D652D5" w:rsidRDefault="00CF7617" w:rsidP="002600C7">
            <w:pPr>
              <w:spacing w:before="40" w:after="40" w:line="200" w:lineRule="exact"/>
              <w:ind w:right="113"/>
              <w:jc w:val="right"/>
              <w:rPr>
                <w:sz w:val="18"/>
                <w:szCs w:val="18"/>
              </w:rPr>
            </w:pPr>
            <w:r w:rsidRPr="00D652D5">
              <w:rPr>
                <w:sz w:val="18"/>
                <w:szCs w:val="18"/>
              </w:rPr>
              <w:t>1 659</w:t>
            </w:r>
          </w:p>
        </w:tc>
        <w:tc>
          <w:tcPr>
            <w:tcW w:w="1213" w:type="dxa"/>
            <w:tcBorders>
              <w:top w:val="nil"/>
              <w:left w:val="nil"/>
              <w:bottom w:val="nil"/>
              <w:right w:val="nil"/>
            </w:tcBorders>
            <w:shd w:val="clear" w:color="auto" w:fill="auto"/>
            <w:vAlign w:val="bottom"/>
          </w:tcPr>
          <w:p w14:paraId="65DDEE24" w14:textId="77777777" w:rsidR="00CF7617" w:rsidRPr="00D652D5" w:rsidRDefault="00CF7617" w:rsidP="002600C7">
            <w:pPr>
              <w:spacing w:before="40" w:after="40" w:line="200" w:lineRule="exact"/>
              <w:ind w:right="113"/>
              <w:jc w:val="right"/>
              <w:rPr>
                <w:sz w:val="18"/>
                <w:szCs w:val="18"/>
              </w:rPr>
            </w:pPr>
            <w:r w:rsidRPr="00D652D5">
              <w:rPr>
                <w:sz w:val="18"/>
                <w:szCs w:val="18"/>
              </w:rPr>
              <w:t>1 659</w:t>
            </w:r>
          </w:p>
        </w:tc>
      </w:tr>
      <w:tr w:rsidR="00CF7617" w:rsidRPr="00D652D5" w14:paraId="7B3F8739" w14:textId="77777777" w:rsidTr="002600C7">
        <w:tc>
          <w:tcPr>
            <w:tcW w:w="2468" w:type="dxa"/>
            <w:shd w:val="clear" w:color="auto" w:fill="auto"/>
            <w:vAlign w:val="bottom"/>
          </w:tcPr>
          <w:p w14:paraId="0E16D4BC" w14:textId="77777777" w:rsidR="00CF7617" w:rsidRPr="00D652D5" w:rsidRDefault="00CF7617" w:rsidP="002600C7">
            <w:pPr>
              <w:spacing w:before="40" w:after="40" w:line="200" w:lineRule="exact"/>
              <w:ind w:right="113"/>
            </w:pPr>
            <w:r w:rsidRPr="00D652D5">
              <w:rPr>
                <w:color w:val="000000"/>
                <w:sz w:val="18"/>
                <w:szCs w:val="18"/>
              </w:rPr>
              <w:t>Malta</w:t>
            </w:r>
          </w:p>
        </w:tc>
        <w:tc>
          <w:tcPr>
            <w:tcW w:w="1188" w:type="dxa"/>
            <w:shd w:val="clear" w:color="auto" w:fill="auto"/>
            <w:vAlign w:val="bottom"/>
          </w:tcPr>
          <w:p w14:paraId="1CEBDBD5" w14:textId="77777777" w:rsidR="00CF7617" w:rsidRPr="00D652D5" w:rsidRDefault="00CF7617" w:rsidP="002600C7">
            <w:pPr>
              <w:spacing w:before="40" w:after="40" w:line="200" w:lineRule="exact"/>
              <w:ind w:right="113"/>
              <w:jc w:val="right"/>
              <w:rPr>
                <w:sz w:val="18"/>
                <w:szCs w:val="18"/>
              </w:rPr>
            </w:pPr>
            <w:r w:rsidRPr="00D652D5">
              <w:rPr>
                <w:sz w:val="18"/>
                <w:szCs w:val="18"/>
              </w:rPr>
              <w:t>0.021</w:t>
            </w:r>
          </w:p>
        </w:tc>
        <w:tc>
          <w:tcPr>
            <w:tcW w:w="1212" w:type="dxa"/>
            <w:tcBorders>
              <w:top w:val="nil"/>
              <w:left w:val="nil"/>
              <w:bottom w:val="nil"/>
              <w:right w:val="nil"/>
            </w:tcBorders>
            <w:shd w:val="clear" w:color="auto" w:fill="auto"/>
            <w:vAlign w:val="bottom"/>
          </w:tcPr>
          <w:p w14:paraId="1F5D4250" w14:textId="77777777" w:rsidR="00CF7617" w:rsidRPr="00D652D5" w:rsidRDefault="00CF7617" w:rsidP="002600C7">
            <w:pPr>
              <w:spacing w:before="40" w:after="40" w:line="200" w:lineRule="exact"/>
              <w:ind w:right="113"/>
              <w:jc w:val="right"/>
              <w:rPr>
                <w:sz w:val="18"/>
                <w:szCs w:val="18"/>
              </w:rPr>
            </w:pPr>
            <w:r w:rsidRPr="00D652D5">
              <w:rPr>
                <w:sz w:val="18"/>
                <w:szCs w:val="18"/>
              </w:rPr>
              <w:t xml:space="preserve"> 497</w:t>
            </w:r>
          </w:p>
        </w:tc>
        <w:tc>
          <w:tcPr>
            <w:tcW w:w="1212" w:type="dxa"/>
            <w:tcBorders>
              <w:top w:val="nil"/>
              <w:left w:val="nil"/>
              <w:bottom w:val="nil"/>
              <w:right w:val="nil"/>
            </w:tcBorders>
            <w:shd w:val="clear" w:color="auto" w:fill="auto"/>
            <w:vAlign w:val="bottom"/>
          </w:tcPr>
          <w:p w14:paraId="57C5B8EC" w14:textId="77777777" w:rsidR="00CF7617" w:rsidRPr="00D652D5" w:rsidRDefault="00CF7617" w:rsidP="002600C7">
            <w:pPr>
              <w:spacing w:before="40" w:after="40" w:line="200" w:lineRule="exact"/>
              <w:ind w:right="113"/>
              <w:jc w:val="right"/>
              <w:rPr>
                <w:sz w:val="18"/>
                <w:szCs w:val="18"/>
              </w:rPr>
            </w:pPr>
            <w:r w:rsidRPr="00D652D5">
              <w:rPr>
                <w:sz w:val="18"/>
                <w:szCs w:val="18"/>
              </w:rPr>
              <w:t xml:space="preserve"> 497</w:t>
            </w:r>
          </w:p>
        </w:tc>
        <w:tc>
          <w:tcPr>
            <w:tcW w:w="1212" w:type="dxa"/>
            <w:tcBorders>
              <w:top w:val="nil"/>
              <w:left w:val="nil"/>
              <w:bottom w:val="nil"/>
              <w:right w:val="nil"/>
            </w:tcBorders>
            <w:shd w:val="clear" w:color="auto" w:fill="auto"/>
            <w:vAlign w:val="bottom"/>
          </w:tcPr>
          <w:p w14:paraId="575428F9" w14:textId="77777777" w:rsidR="00CF7617" w:rsidRPr="00D652D5" w:rsidRDefault="00CF7617" w:rsidP="002600C7">
            <w:pPr>
              <w:spacing w:before="40" w:after="40" w:line="200" w:lineRule="exact"/>
              <w:ind w:right="113"/>
              <w:jc w:val="right"/>
              <w:rPr>
                <w:sz w:val="18"/>
                <w:szCs w:val="18"/>
              </w:rPr>
            </w:pPr>
            <w:r w:rsidRPr="00D652D5">
              <w:rPr>
                <w:sz w:val="18"/>
                <w:szCs w:val="18"/>
              </w:rPr>
              <w:t xml:space="preserve"> 228</w:t>
            </w:r>
          </w:p>
        </w:tc>
        <w:tc>
          <w:tcPr>
            <w:tcW w:w="1213" w:type="dxa"/>
            <w:tcBorders>
              <w:top w:val="nil"/>
              <w:left w:val="nil"/>
              <w:bottom w:val="nil"/>
              <w:right w:val="nil"/>
            </w:tcBorders>
            <w:shd w:val="clear" w:color="auto" w:fill="auto"/>
            <w:vAlign w:val="bottom"/>
          </w:tcPr>
          <w:p w14:paraId="52B4C03B" w14:textId="77777777" w:rsidR="00CF7617" w:rsidRPr="00D652D5" w:rsidRDefault="00CF7617" w:rsidP="002600C7">
            <w:pPr>
              <w:spacing w:before="40" w:after="40" w:line="200" w:lineRule="exact"/>
              <w:ind w:right="113"/>
              <w:jc w:val="right"/>
              <w:rPr>
                <w:sz w:val="18"/>
                <w:szCs w:val="18"/>
              </w:rPr>
            </w:pPr>
            <w:r w:rsidRPr="00D652D5">
              <w:rPr>
                <w:sz w:val="18"/>
                <w:szCs w:val="18"/>
              </w:rPr>
              <w:t xml:space="preserve"> 228</w:t>
            </w:r>
          </w:p>
        </w:tc>
      </w:tr>
      <w:tr w:rsidR="00CF7617" w:rsidRPr="00D652D5" w14:paraId="14703F87" w14:textId="77777777" w:rsidTr="002600C7">
        <w:tc>
          <w:tcPr>
            <w:tcW w:w="2468" w:type="dxa"/>
            <w:shd w:val="clear" w:color="auto" w:fill="auto"/>
            <w:vAlign w:val="bottom"/>
          </w:tcPr>
          <w:p w14:paraId="4F339635" w14:textId="77777777" w:rsidR="00CF7617" w:rsidRPr="00D652D5" w:rsidRDefault="00CF7617" w:rsidP="002600C7">
            <w:pPr>
              <w:spacing w:before="40" w:after="40" w:line="200" w:lineRule="exact"/>
              <w:ind w:right="113"/>
            </w:pPr>
            <w:r w:rsidRPr="00D652D5">
              <w:rPr>
                <w:color w:val="000000"/>
                <w:sz w:val="18"/>
                <w:szCs w:val="18"/>
              </w:rPr>
              <w:t>Monaco</w:t>
            </w:r>
          </w:p>
        </w:tc>
        <w:tc>
          <w:tcPr>
            <w:tcW w:w="1188" w:type="dxa"/>
            <w:shd w:val="clear" w:color="auto" w:fill="auto"/>
            <w:vAlign w:val="bottom"/>
          </w:tcPr>
          <w:p w14:paraId="09165CE1" w14:textId="77777777" w:rsidR="00CF7617" w:rsidRPr="00D652D5" w:rsidRDefault="00CF7617" w:rsidP="002600C7">
            <w:pPr>
              <w:spacing w:before="40" w:after="40" w:line="200" w:lineRule="exact"/>
              <w:ind w:right="113"/>
              <w:jc w:val="right"/>
              <w:rPr>
                <w:sz w:val="18"/>
                <w:szCs w:val="18"/>
              </w:rPr>
            </w:pPr>
            <w:r w:rsidRPr="00D652D5">
              <w:rPr>
                <w:sz w:val="18"/>
                <w:szCs w:val="18"/>
              </w:rPr>
              <w:t>0.181</w:t>
            </w:r>
          </w:p>
        </w:tc>
        <w:tc>
          <w:tcPr>
            <w:tcW w:w="1212" w:type="dxa"/>
            <w:tcBorders>
              <w:top w:val="nil"/>
              <w:left w:val="nil"/>
              <w:bottom w:val="nil"/>
              <w:right w:val="nil"/>
            </w:tcBorders>
            <w:shd w:val="clear" w:color="auto" w:fill="auto"/>
            <w:vAlign w:val="bottom"/>
          </w:tcPr>
          <w:p w14:paraId="39F5CD40" w14:textId="77777777" w:rsidR="00CF7617" w:rsidRPr="00D652D5" w:rsidRDefault="00CF7617" w:rsidP="002600C7">
            <w:pPr>
              <w:spacing w:before="40" w:after="40" w:line="200" w:lineRule="exact"/>
              <w:ind w:right="113"/>
              <w:jc w:val="right"/>
              <w:rPr>
                <w:sz w:val="18"/>
                <w:szCs w:val="18"/>
              </w:rPr>
            </w:pPr>
            <w:r w:rsidRPr="00D652D5">
              <w:rPr>
                <w:sz w:val="18"/>
                <w:szCs w:val="18"/>
              </w:rPr>
              <w:t>4 287</w:t>
            </w:r>
          </w:p>
        </w:tc>
        <w:tc>
          <w:tcPr>
            <w:tcW w:w="1212" w:type="dxa"/>
            <w:tcBorders>
              <w:top w:val="nil"/>
              <w:left w:val="nil"/>
              <w:bottom w:val="nil"/>
              <w:right w:val="nil"/>
            </w:tcBorders>
            <w:shd w:val="clear" w:color="auto" w:fill="auto"/>
            <w:vAlign w:val="bottom"/>
          </w:tcPr>
          <w:p w14:paraId="25CFDBDB" w14:textId="77777777" w:rsidR="00CF7617" w:rsidRPr="00D652D5" w:rsidRDefault="00CF7617" w:rsidP="002600C7">
            <w:pPr>
              <w:spacing w:before="40" w:after="40" w:line="200" w:lineRule="exact"/>
              <w:ind w:right="113"/>
              <w:jc w:val="right"/>
              <w:rPr>
                <w:sz w:val="18"/>
                <w:szCs w:val="18"/>
              </w:rPr>
            </w:pPr>
            <w:r w:rsidRPr="00D652D5">
              <w:rPr>
                <w:sz w:val="18"/>
                <w:szCs w:val="18"/>
              </w:rPr>
              <w:t>4 287</w:t>
            </w:r>
          </w:p>
        </w:tc>
        <w:tc>
          <w:tcPr>
            <w:tcW w:w="1212" w:type="dxa"/>
            <w:tcBorders>
              <w:top w:val="nil"/>
              <w:left w:val="nil"/>
              <w:bottom w:val="nil"/>
              <w:right w:val="nil"/>
            </w:tcBorders>
            <w:shd w:val="clear" w:color="auto" w:fill="auto"/>
            <w:vAlign w:val="bottom"/>
          </w:tcPr>
          <w:p w14:paraId="32321E9A" w14:textId="77777777" w:rsidR="00CF7617" w:rsidRPr="00D652D5" w:rsidRDefault="00CF7617" w:rsidP="002600C7">
            <w:pPr>
              <w:spacing w:before="40" w:after="40" w:line="200" w:lineRule="exact"/>
              <w:ind w:right="113"/>
              <w:jc w:val="right"/>
              <w:rPr>
                <w:sz w:val="18"/>
                <w:szCs w:val="18"/>
              </w:rPr>
            </w:pPr>
            <w:r w:rsidRPr="00D652D5">
              <w:rPr>
                <w:sz w:val="18"/>
                <w:szCs w:val="18"/>
              </w:rPr>
              <w:t>1 963</w:t>
            </w:r>
          </w:p>
        </w:tc>
        <w:tc>
          <w:tcPr>
            <w:tcW w:w="1213" w:type="dxa"/>
            <w:tcBorders>
              <w:top w:val="nil"/>
              <w:left w:val="nil"/>
              <w:bottom w:val="nil"/>
              <w:right w:val="nil"/>
            </w:tcBorders>
            <w:shd w:val="clear" w:color="auto" w:fill="auto"/>
            <w:vAlign w:val="bottom"/>
          </w:tcPr>
          <w:p w14:paraId="47CCBCB5" w14:textId="77777777" w:rsidR="00CF7617" w:rsidRPr="00D652D5" w:rsidRDefault="00CF7617" w:rsidP="002600C7">
            <w:pPr>
              <w:spacing w:before="40" w:after="40" w:line="200" w:lineRule="exact"/>
              <w:ind w:right="113"/>
              <w:jc w:val="right"/>
              <w:rPr>
                <w:sz w:val="18"/>
                <w:szCs w:val="18"/>
              </w:rPr>
            </w:pPr>
            <w:r w:rsidRPr="00D652D5">
              <w:rPr>
                <w:sz w:val="18"/>
                <w:szCs w:val="18"/>
              </w:rPr>
              <w:t>1 963</w:t>
            </w:r>
          </w:p>
        </w:tc>
      </w:tr>
      <w:tr w:rsidR="00CF7617" w:rsidRPr="00D652D5" w14:paraId="10AA141B" w14:textId="77777777" w:rsidTr="002600C7">
        <w:tc>
          <w:tcPr>
            <w:tcW w:w="2468" w:type="dxa"/>
            <w:shd w:val="clear" w:color="auto" w:fill="auto"/>
            <w:vAlign w:val="bottom"/>
          </w:tcPr>
          <w:p w14:paraId="3141D45E" w14:textId="77777777" w:rsidR="00CF7617" w:rsidRPr="00D652D5" w:rsidRDefault="00CF7617" w:rsidP="002600C7">
            <w:pPr>
              <w:spacing w:before="40" w:after="40" w:line="200" w:lineRule="exact"/>
              <w:ind w:right="113"/>
            </w:pPr>
            <w:r w:rsidRPr="00D652D5">
              <w:rPr>
                <w:color w:val="000000"/>
                <w:sz w:val="18"/>
                <w:szCs w:val="18"/>
              </w:rPr>
              <w:t>Netherlands</w:t>
            </w:r>
          </w:p>
        </w:tc>
        <w:tc>
          <w:tcPr>
            <w:tcW w:w="1188" w:type="dxa"/>
            <w:shd w:val="clear" w:color="auto" w:fill="auto"/>
            <w:vAlign w:val="bottom"/>
          </w:tcPr>
          <w:p w14:paraId="457CE813" w14:textId="77777777" w:rsidR="00CF7617" w:rsidRPr="00D652D5" w:rsidRDefault="00CF7617" w:rsidP="002600C7">
            <w:pPr>
              <w:spacing w:before="40" w:after="40" w:line="200" w:lineRule="exact"/>
              <w:ind w:right="113"/>
              <w:jc w:val="right"/>
              <w:rPr>
                <w:sz w:val="18"/>
                <w:szCs w:val="18"/>
              </w:rPr>
            </w:pPr>
            <w:r w:rsidRPr="00D652D5">
              <w:rPr>
                <w:sz w:val="18"/>
                <w:szCs w:val="18"/>
              </w:rPr>
              <w:t>3.352</w:t>
            </w:r>
          </w:p>
        </w:tc>
        <w:tc>
          <w:tcPr>
            <w:tcW w:w="1212" w:type="dxa"/>
            <w:tcBorders>
              <w:top w:val="nil"/>
              <w:left w:val="nil"/>
              <w:bottom w:val="nil"/>
              <w:right w:val="nil"/>
            </w:tcBorders>
            <w:shd w:val="clear" w:color="auto" w:fill="auto"/>
            <w:vAlign w:val="bottom"/>
          </w:tcPr>
          <w:p w14:paraId="63DFF725" w14:textId="77777777" w:rsidR="00CF7617" w:rsidRPr="00D652D5" w:rsidRDefault="00CF7617" w:rsidP="002600C7">
            <w:pPr>
              <w:spacing w:before="40" w:after="40" w:line="200" w:lineRule="exact"/>
              <w:ind w:right="113"/>
              <w:jc w:val="right"/>
              <w:rPr>
                <w:sz w:val="18"/>
                <w:szCs w:val="18"/>
              </w:rPr>
            </w:pPr>
            <w:r w:rsidRPr="00D652D5">
              <w:rPr>
                <w:sz w:val="18"/>
                <w:szCs w:val="18"/>
              </w:rPr>
              <w:t>79 389</w:t>
            </w:r>
          </w:p>
        </w:tc>
        <w:tc>
          <w:tcPr>
            <w:tcW w:w="1212" w:type="dxa"/>
            <w:tcBorders>
              <w:top w:val="nil"/>
              <w:left w:val="nil"/>
              <w:bottom w:val="nil"/>
              <w:right w:val="nil"/>
            </w:tcBorders>
            <w:shd w:val="clear" w:color="auto" w:fill="auto"/>
            <w:vAlign w:val="bottom"/>
          </w:tcPr>
          <w:p w14:paraId="221922E8" w14:textId="77777777" w:rsidR="00CF7617" w:rsidRPr="00D652D5" w:rsidRDefault="00CF7617" w:rsidP="002600C7">
            <w:pPr>
              <w:spacing w:before="40" w:after="40" w:line="200" w:lineRule="exact"/>
              <w:ind w:right="113"/>
              <w:jc w:val="right"/>
              <w:rPr>
                <w:sz w:val="18"/>
                <w:szCs w:val="18"/>
              </w:rPr>
            </w:pPr>
            <w:r w:rsidRPr="00D652D5">
              <w:rPr>
                <w:sz w:val="18"/>
                <w:szCs w:val="18"/>
              </w:rPr>
              <w:t>79 389</w:t>
            </w:r>
          </w:p>
        </w:tc>
        <w:tc>
          <w:tcPr>
            <w:tcW w:w="1212" w:type="dxa"/>
            <w:tcBorders>
              <w:top w:val="nil"/>
              <w:left w:val="nil"/>
              <w:bottom w:val="nil"/>
              <w:right w:val="nil"/>
            </w:tcBorders>
            <w:shd w:val="clear" w:color="auto" w:fill="auto"/>
            <w:vAlign w:val="bottom"/>
          </w:tcPr>
          <w:p w14:paraId="395CD74D" w14:textId="77777777" w:rsidR="00CF7617" w:rsidRPr="00D652D5" w:rsidRDefault="00CF7617" w:rsidP="002600C7">
            <w:pPr>
              <w:spacing w:before="40" w:after="40" w:line="200" w:lineRule="exact"/>
              <w:ind w:right="113"/>
              <w:jc w:val="right"/>
              <w:rPr>
                <w:sz w:val="18"/>
                <w:szCs w:val="18"/>
              </w:rPr>
            </w:pPr>
            <w:r w:rsidRPr="00D652D5">
              <w:rPr>
                <w:sz w:val="18"/>
                <w:szCs w:val="18"/>
              </w:rPr>
              <w:t>36 344</w:t>
            </w:r>
          </w:p>
        </w:tc>
        <w:tc>
          <w:tcPr>
            <w:tcW w:w="1213" w:type="dxa"/>
            <w:tcBorders>
              <w:top w:val="nil"/>
              <w:left w:val="nil"/>
              <w:bottom w:val="nil"/>
              <w:right w:val="nil"/>
            </w:tcBorders>
            <w:shd w:val="clear" w:color="auto" w:fill="auto"/>
            <w:vAlign w:val="bottom"/>
          </w:tcPr>
          <w:p w14:paraId="39BC8794" w14:textId="77777777" w:rsidR="00CF7617" w:rsidRPr="00D652D5" w:rsidRDefault="00CF7617" w:rsidP="002600C7">
            <w:pPr>
              <w:spacing w:before="40" w:after="40" w:line="200" w:lineRule="exact"/>
              <w:ind w:right="113"/>
              <w:jc w:val="right"/>
              <w:rPr>
                <w:sz w:val="18"/>
                <w:szCs w:val="18"/>
              </w:rPr>
            </w:pPr>
            <w:r w:rsidRPr="00D652D5">
              <w:rPr>
                <w:sz w:val="18"/>
                <w:szCs w:val="18"/>
              </w:rPr>
              <w:t>36 344</w:t>
            </w:r>
          </w:p>
        </w:tc>
      </w:tr>
      <w:tr w:rsidR="00CF7617" w:rsidRPr="00D652D5" w14:paraId="197054DB" w14:textId="77777777" w:rsidTr="002600C7">
        <w:tc>
          <w:tcPr>
            <w:tcW w:w="2468" w:type="dxa"/>
            <w:shd w:val="clear" w:color="auto" w:fill="auto"/>
            <w:vAlign w:val="bottom"/>
          </w:tcPr>
          <w:p w14:paraId="67D21364" w14:textId="77777777" w:rsidR="00CF7617" w:rsidRPr="00D652D5" w:rsidRDefault="00CF7617" w:rsidP="002600C7">
            <w:pPr>
              <w:spacing w:before="40" w:after="40" w:line="200" w:lineRule="exact"/>
              <w:ind w:right="113"/>
            </w:pPr>
            <w:r w:rsidRPr="00D652D5">
              <w:rPr>
                <w:color w:val="000000"/>
                <w:sz w:val="18"/>
                <w:szCs w:val="18"/>
              </w:rPr>
              <w:t>New Zealand</w:t>
            </w:r>
          </w:p>
        </w:tc>
        <w:tc>
          <w:tcPr>
            <w:tcW w:w="1188" w:type="dxa"/>
            <w:shd w:val="clear" w:color="auto" w:fill="auto"/>
            <w:vAlign w:val="bottom"/>
          </w:tcPr>
          <w:p w14:paraId="013EDD64" w14:textId="77777777" w:rsidR="00CF7617" w:rsidRPr="00D652D5" w:rsidRDefault="00CF7617" w:rsidP="002600C7">
            <w:pPr>
              <w:spacing w:before="40" w:after="40" w:line="200" w:lineRule="exact"/>
              <w:ind w:right="113"/>
              <w:jc w:val="right"/>
              <w:rPr>
                <w:sz w:val="18"/>
                <w:szCs w:val="18"/>
              </w:rPr>
            </w:pPr>
            <w:r w:rsidRPr="00D652D5">
              <w:rPr>
                <w:sz w:val="18"/>
                <w:szCs w:val="18"/>
              </w:rPr>
              <w:t>0.961</w:t>
            </w:r>
          </w:p>
        </w:tc>
        <w:tc>
          <w:tcPr>
            <w:tcW w:w="1212" w:type="dxa"/>
            <w:tcBorders>
              <w:top w:val="nil"/>
              <w:left w:val="nil"/>
              <w:bottom w:val="nil"/>
              <w:right w:val="nil"/>
            </w:tcBorders>
            <w:shd w:val="clear" w:color="auto" w:fill="auto"/>
            <w:vAlign w:val="bottom"/>
          </w:tcPr>
          <w:p w14:paraId="63BFF4AE" w14:textId="77777777" w:rsidR="00CF7617" w:rsidRPr="00D652D5" w:rsidRDefault="00CF7617" w:rsidP="002600C7">
            <w:pPr>
              <w:spacing w:before="40" w:after="40" w:line="200" w:lineRule="exact"/>
              <w:ind w:right="113"/>
              <w:jc w:val="right"/>
              <w:rPr>
                <w:sz w:val="18"/>
                <w:szCs w:val="18"/>
              </w:rPr>
            </w:pPr>
            <w:r w:rsidRPr="00D652D5">
              <w:rPr>
                <w:sz w:val="18"/>
                <w:szCs w:val="18"/>
              </w:rPr>
              <w:t>22 760</w:t>
            </w:r>
          </w:p>
        </w:tc>
        <w:tc>
          <w:tcPr>
            <w:tcW w:w="1212" w:type="dxa"/>
            <w:tcBorders>
              <w:top w:val="nil"/>
              <w:left w:val="nil"/>
              <w:bottom w:val="nil"/>
              <w:right w:val="nil"/>
            </w:tcBorders>
            <w:shd w:val="clear" w:color="auto" w:fill="auto"/>
            <w:vAlign w:val="bottom"/>
          </w:tcPr>
          <w:p w14:paraId="561AAF9F" w14:textId="77777777" w:rsidR="00CF7617" w:rsidRPr="00D652D5" w:rsidRDefault="00CF7617" w:rsidP="002600C7">
            <w:pPr>
              <w:spacing w:before="40" w:after="40" w:line="200" w:lineRule="exact"/>
              <w:ind w:right="113"/>
              <w:jc w:val="right"/>
              <w:rPr>
                <w:sz w:val="18"/>
                <w:szCs w:val="18"/>
              </w:rPr>
            </w:pPr>
            <w:r w:rsidRPr="00D652D5">
              <w:rPr>
                <w:sz w:val="18"/>
                <w:szCs w:val="18"/>
              </w:rPr>
              <w:t>22 760</w:t>
            </w:r>
          </w:p>
        </w:tc>
        <w:tc>
          <w:tcPr>
            <w:tcW w:w="1212" w:type="dxa"/>
            <w:tcBorders>
              <w:top w:val="nil"/>
              <w:left w:val="nil"/>
              <w:bottom w:val="nil"/>
              <w:right w:val="nil"/>
            </w:tcBorders>
            <w:shd w:val="clear" w:color="auto" w:fill="auto"/>
            <w:vAlign w:val="bottom"/>
          </w:tcPr>
          <w:p w14:paraId="58D04818" w14:textId="77777777" w:rsidR="00CF7617" w:rsidRPr="00D652D5" w:rsidRDefault="00CF7617" w:rsidP="002600C7">
            <w:pPr>
              <w:spacing w:before="40" w:after="40" w:line="200" w:lineRule="exact"/>
              <w:ind w:right="113"/>
              <w:jc w:val="right"/>
              <w:rPr>
                <w:sz w:val="18"/>
                <w:szCs w:val="18"/>
              </w:rPr>
            </w:pPr>
            <w:r w:rsidRPr="00D652D5">
              <w:rPr>
                <w:sz w:val="18"/>
                <w:szCs w:val="18"/>
              </w:rPr>
              <w:t>10 419</w:t>
            </w:r>
          </w:p>
        </w:tc>
        <w:tc>
          <w:tcPr>
            <w:tcW w:w="1213" w:type="dxa"/>
            <w:tcBorders>
              <w:top w:val="nil"/>
              <w:left w:val="nil"/>
              <w:bottom w:val="nil"/>
              <w:right w:val="nil"/>
            </w:tcBorders>
            <w:shd w:val="clear" w:color="auto" w:fill="auto"/>
            <w:vAlign w:val="bottom"/>
          </w:tcPr>
          <w:p w14:paraId="496A98AF" w14:textId="77777777" w:rsidR="00CF7617" w:rsidRPr="00D652D5" w:rsidRDefault="00CF7617" w:rsidP="002600C7">
            <w:pPr>
              <w:spacing w:before="40" w:after="40" w:line="200" w:lineRule="exact"/>
              <w:ind w:right="113"/>
              <w:jc w:val="right"/>
              <w:rPr>
                <w:sz w:val="18"/>
                <w:szCs w:val="18"/>
              </w:rPr>
            </w:pPr>
            <w:r w:rsidRPr="00D652D5">
              <w:rPr>
                <w:sz w:val="18"/>
                <w:szCs w:val="18"/>
              </w:rPr>
              <w:t>10 419</w:t>
            </w:r>
          </w:p>
        </w:tc>
      </w:tr>
      <w:tr w:rsidR="00CF7617" w:rsidRPr="00D652D5" w14:paraId="38232F6A" w14:textId="77777777" w:rsidTr="002600C7">
        <w:tc>
          <w:tcPr>
            <w:tcW w:w="2468" w:type="dxa"/>
            <w:shd w:val="clear" w:color="auto" w:fill="auto"/>
            <w:vAlign w:val="bottom"/>
          </w:tcPr>
          <w:p w14:paraId="057422E3" w14:textId="77777777" w:rsidR="00CF7617" w:rsidRPr="00D652D5" w:rsidRDefault="00CF7617" w:rsidP="002600C7">
            <w:pPr>
              <w:spacing w:before="40" w:after="40" w:line="200" w:lineRule="exact"/>
              <w:ind w:right="113"/>
            </w:pPr>
            <w:r w:rsidRPr="00D652D5">
              <w:rPr>
                <w:color w:val="000000"/>
                <w:sz w:val="18"/>
                <w:szCs w:val="18"/>
              </w:rPr>
              <w:t>Norway</w:t>
            </w:r>
          </w:p>
        </w:tc>
        <w:tc>
          <w:tcPr>
            <w:tcW w:w="1188" w:type="dxa"/>
            <w:shd w:val="clear" w:color="auto" w:fill="auto"/>
            <w:vAlign w:val="bottom"/>
          </w:tcPr>
          <w:p w14:paraId="536B2353" w14:textId="77777777" w:rsidR="00CF7617" w:rsidRPr="00D652D5" w:rsidRDefault="00CF7617" w:rsidP="002600C7">
            <w:pPr>
              <w:spacing w:before="40" w:after="40" w:line="200" w:lineRule="exact"/>
              <w:ind w:right="113"/>
              <w:jc w:val="right"/>
              <w:rPr>
                <w:sz w:val="18"/>
                <w:szCs w:val="18"/>
              </w:rPr>
            </w:pPr>
            <w:r w:rsidRPr="00D652D5">
              <w:rPr>
                <w:sz w:val="18"/>
                <w:szCs w:val="18"/>
              </w:rPr>
              <w:t>2.319</w:t>
            </w:r>
          </w:p>
        </w:tc>
        <w:tc>
          <w:tcPr>
            <w:tcW w:w="1212" w:type="dxa"/>
            <w:tcBorders>
              <w:top w:val="nil"/>
              <w:left w:val="nil"/>
              <w:bottom w:val="nil"/>
              <w:right w:val="nil"/>
            </w:tcBorders>
            <w:shd w:val="clear" w:color="auto" w:fill="auto"/>
            <w:vAlign w:val="bottom"/>
          </w:tcPr>
          <w:p w14:paraId="5036FE38" w14:textId="77777777" w:rsidR="00CF7617" w:rsidRPr="00D652D5" w:rsidRDefault="00CF7617" w:rsidP="002600C7">
            <w:pPr>
              <w:spacing w:before="40" w:after="40" w:line="200" w:lineRule="exact"/>
              <w:ind w:right="113"/>
              <w:jc w:val="right"/>
              <w:rPr>
                <w:sz w:val="18"/>
                <w:szCs w:val="18"/>
              </w:rPr>
            </w:pPr>
            <w:r w:rsidRPr="00D652D5">
              <w:rPr>
                <w:sz w:val="18"/>
                <w:szCs w:val="18"/>
              </w:rPr>
              <w:t>54 923</w:t>
            </w:r>
          </w:p>
        </w:tc>
        <w:tc>
          <w:tcPr>
            <w:tcW w:w="1212" w:type="dxa"/>
            <w:tcBorders>
              <w:top w:val="nil"/>
              <w:left w:val="nil"/>
              <w:bottom w:val="nil"/>
              <w:right w:val="nil"/>
            </w:tcBorders>
            <w:shd w:val="clear" w:color="auto" w:fill="auto"/>
            <w:vAlign w:val="bottom"/>
          </w:tcPr>
          <w:p w14:paraId="68C386BA" w14:textId="77777777" w:rsidR="00CF7617" w:rsidRPr="00D652D5" w:rsidRDefault="00CF7617" w:rsidP="002600C7">
            <w:pPr>
              <w:spacing w:before="40" w:after="40" w:line="200" w:lineRule="exact"/>
              <w:ind w:right="113"/>
              <w:jc w:val="right"/>
              <w:rPr>
                <w:sz w:val="18"/>
                <w:szCs w:val="18"/>
              </w:rPr>
            </w:pPr>
            <w:r w:rsidRPr="00D652D5">
              <w:rPr>
                <w:sz w:val="18"/>
                <w:szCs w:val="18"/>
              </w:rPr>
              <w:t>54 923</w:t>
            </w:r>
          </w:p>
        </w:tc>
        <w:tc>
          <w:tcPr>
            <w:tcW w:w="1212" w:type="dxa"/>
            <w:tcBorders>
              <w:top w:val="nil"/>
              <w:left w:val="nil"/>
              <w:bottom w:val="nil"/>
              <w:right w:val="nil"/>
            </w:tcBorders>
            <w:shd w:val="clear" w:color="auto" w:fill="auto"/>
            <w:vAlign w:val="bottom"/>
          </w:tcPr>
          <w:p w14:paraId="30148C5A" w14:textId="77777777" w:rsidR="00CF7617" w:rsidRPr="00D652D5" w:rsidRDefault="00CF7617" w:rsidP="002600C7">
            <w:pPr>
              <w:spacing w:before="40" w:after="40" w:line="200" w:lineRule="exact"/>
              <w:ind w:right="113"/>
              <w:jc w:val="right"/>
              <w:rPr>
                <w:sz w:val="18"/>
                <w:szCs w:val="18"/>
              </w:rPr>
            </w:pPr>
            <w:r w:rsidRPr="00D652D5">
              <w:rPr>
                <w:sz w:val="18"/>
                <w:szCs w:val="18"/>
              </w:rPr>
              <w:t>25 143</w:t>
            </w:r>
          </w:p>
        </w:tc>
        <w:tc>
          <w:tcPr>
            <w:tcW w:w="1213" w:type="dxa"/>
            <w:tcBorders>
              <w:top w:val="nil"/>
              <w:left w:val="nil"/>
              <w:bottom w:val="nil"/>
              <w:right w:val="nil"/>
            </w:tcBorders>
            <w:shd w:val="clear" w:color="auto" w:fill="auto"/>
            <w:vAlign w:val="bottom"/>
          </w:tcPr>
          <w:p w14:paraId="1F591910" w14:textId="77777777" w:rsidR="00CF7617" w:rsidRPr="00D652D5" w:rsidRDefault="00CF7617" w:rsidP="002600C7">
            <w:pPr>
              <w:spacing w:before="40" w:after="40" w:line="200" w:lineRule="exact"/>
              <w:ind w:right="113"/>
              <w:jc w:val="right"/>
              <w:rPr>
                <w:sz w:val="18"/>
                <w:szCs w:val="18"/>
              </w:rPr>
            </w:pPr>
            <w:r w:rsidRPr="00D652D5">
              <w:rPr>
                <w:sz w:val="18"/>
                <w:szCs w:val="18"/>
              </w:rPr>
              <w:t>25 143</w:t>
            </w:r>
          </w:p>
        </w:tc>
      </w:tr>
      <w:tr w:rsidR="00CF7617" w:rsidRPr="00D652D5" w14:paraId="3506F153" w14:textId="77777777" w:rsidTr="002600C7">
        <w:tc>
          <w:tcPr>
            <w:tcW w:w="2468" w:type="dxa"/>
            <w:shd w:val="clear" w:color="auto" w:fill="auto"/>
            <w:vAlign w:val="bottom"/>
          </w:tcPr>
          <w:p w14:paraId="38DEBC9E" w14:textId="77777777" w:rsidR="00CF7617" w:rsidRPr="00D652D5" w:rsidRDefault="00CF7617" w:rsidP="002600C7">
            <w:pPr>
              <w:spacing w:before="40" w:after="40" w:line="200" w:lineRule="exact"/>
              <w:ind w:right="113"/>
            </w:pPr>
            <w:r w:rsidRPr="00D652D5">
              <w:rPr>
                <w:color w:val="000000"/>
                <w:sz w:val="18"/>
                <w:szCs w:val="18"/>
              </w:rPr>
              <w:t>Poland</w:t>
            </w:r>
          </w:p>
        </w:tc>
        <w:tc>
          <w:tcPr>
            <w:tcW w:w="1188" w:type="dxa"/>
            <w:shd w:val="clear" w:color="auto" w:fill="auto"/>
            <w:vAlign w:val="bottom"/>
          </w:tcPr>
          <w:p w14:paraId="53F6BB56" w14:textId="77777777" w:rsidR="00CF7617" w:rsidRPr="00D652D5" w:rsidRDefault="00CF7617" w:rsidP="002600C7">
            <w:pPr>
              <w:spacing w:before="40" w:after="40" w:line="200" w:lineRule="exact"/>
              <w:ind w:right="113"/>
              <w:jc w:val="right"/>
              <w:rPr>
                <w:sz w:val="18"/>
                <w:szCs w:val="18"/>
              </w:rPr>
            </w:pPr>
            <w:r w:rsidRPr="00D652D5">
              <w:rPr>
                <w:sz w:val="18"/>
                <w:szCs w:val="18"/>
              </w:rPr>
              <w:t>0.896</w:t>
            </w:r>
          </w:p>
        </w:tc>
        <w:tc>
          <w:tcPr>
            <w:tcW w:w="1212" w:type="dxa"/>
            <w:tcBorders>
              <w:top w:val="nil"/>
              <w:left w:val="nil"/>
              <w:bottom w:val="nil"/>
              <w:right w:val="nil"/>
            </w:tcBorders>
            <w:shd w:val="clear" w:color="auto" w:fill="auto"/>
            <w:vAlign w:val="bottom"/>
          </w:tcPr>
          <w:p w14:paraId="3B7DA616" w14:textId="77777777" w:rsidR="00CF7617" w:rsidRPr="00D652D5" w:rsidRDefault="00CF7617" w:rsidP="002600C7">
            <w:pPr>
              <w:spacing w:before="40" w:after="40" w:line="200" w:lineRule="exact"/>
              <w:ind w:right="113"/>
              <w:jc w:val="right"/>
              <w:rPr>
                <w:sz w:val="18"/>
                <w:szCs w:val="18"/>
              </w:rPr>
            </w:pPr>
            <w:r w:rsidRPr="00D652D5">
              <w:rPr>
                <w:sz w:val="18"/>
                <w:szCs w:val="18"/>
              </w:rPr>
              <w:t>21 221</w:t>
            </w:r>
          </w:p>
        </w:tc>
        <w:tc>
          <w:tcPr>
            <w:tcW w:w="1212" w:type="dxa"/>
            <w:tcBorders>
              <w:top w:val="nil"/>
              <w:left w:val="nil"/>
              <w:bottom w:val="nil"/>
              <w:right w:val="nil"/>
            </w:tcBorders>
            <w:shd w:val="clear" w:color="auto" w:fill="auto"/>
            <w:vAlign w:val="bottom"/>
          </w:tcPr>
          <w:p w14:paraId="5E597DA5" w14:textId="77777777" w:rsidR="00CF7617" w:rsidRPr="00D652D5" w:rsidRDefault="00CF7617" w:rsidP="002600C7">
            <w:pPr>
              <w:spacing w:before="40" w:after="40" w:line="200" w:lineRule="exact"/>
              <w:ind w:right="113"/>
              <w:jc w:val="right"/>
              <w:rPr>
                <w:sz w:val="18"/>
                <w:szCs w:val="18"/>
              </w:rPr>
            </w:pPr>
            <w:r w:rsidRPr="00D652D5">
              <w:rPr>
                <w:sz w:val="18"/>
                <w:szCs w:val="18"/>
              </w:rPr>
              <w:t>21 221</w:t>
            </w:r>
          </w:p>
        </w:tc>
        <w:tc>
          <w:tcPr>
            <w:tcW w:w="1212" w:type="dxa"/>
            <w:tcBorders>
              <w:top w:val="nil"/>
              <w:left w:val="nil"/>
              <w:bottom w:val="nil"/>
              <w:right w:val="nil"/>
            </w:tcBorders>
            <w:shd w:val="clear" w:color="auto" w:fill="auto"/>
            <w:vAlign w:val="bottom"/>
          </w:tcPr>
          <w:p w14:paraId="2A36131C" w14:textId="77777777" w:rsidR="00CF7617" w:rsidRPr="00D652D5" w:rsidRDefault="00CF7617" w:rsidP="002600C7">
            <w:pPr>
              <w:spacing w:before="40" w:after="40" w:line="200" w:lineRule="exact"/>
              <w:ind w:right="113"/>
              <w:jc w:val="right"/>
              <w:rPr>
                <w:sz w:val="18"/>
                <w:szCs w:val="18"/>
              </w:rPr>
            </w:pPr>
            <w:r w:rsidRPr="00D652D5">
              <w:rPr>
                <w:sz w:val="18"/>
                <w:szCs w:val="18"/>
              </w:rPr>
              <w:t>9 715</w:t>
            </w:r>
          </w:p>
        </w:tc>
        <w:tc>
          <w:tcPr>
            <w:tcW w:w="1213" w:type="dxa"/>
            <w:tcBorders>
              <w:top w:val="nil"/>
              <w:left w:val="nil"/>
              <w:bottom w:val="nil"/>
              <w:right w:val="nil"/>
            </w:tcBorders>
            <w:shd w:val="clear" w:color="auto" w:fill="auto"/>
            <w:vAlign w:val="bottom"/>
          </w:tcPr>
          <w:p w14:paraId="7787EFC9" w14:textId="77777777" w:rsidR="00CF7617" w:rsidRPr="00D652D5" w:rsidRDefault="00CF7617" w:rsidP="002600C7">
            <w:pPr>
              <w:spacing w:before="40" w:after="40" w:line="200" w:lineRule="exact"/>
              <w:ind w:right="113"/>
              <w:jc w:val="right"/>
              <w:rPr>
                <w:sz w:val="18"/>
                <w:szCs w:val="18"/>
              </w:rPr>
            </w:pPr>
            <w:r w:rsidRPr="00D652D5">
              <w:rPr>
                <w:sz w:val="18"/>
                <w:szCs w:val="18"/>
              </w:rPr>
              <w:t>9 715</w:t>
            </w:r>
          </w:p>
        </w:tc>
      </w:tr>
      <w:tr w:rsidR="00CF7617" w:rsidRPr="00D652D5" w14:paraId="0C1A482A" w14:textId="77777777" w:rsidTr="002600C7">
        <w:tc>
          <w:tcPr>
            <w:tcW w:w="2468" w:type="dxa"/>
            <w:shd w:val="clear" w:color="auto" w:fill="auto"/>
            <w:vAlign w:val="bottom"/>
          </w:tcPr>
          <w:p w14:paraId="6664C801" w14:textId="77777777" w:rsidR="00CF7617" w:rsidRPr="00D652D5" w:rsidRDefault="00CF7617" w:rsidP="002600C7">
            <w:pPr>
              <w:spacing w:before="40" w:after="40" w:line="200" w:lineRule="exact"/>
              <w:ind w:right="113"/>
            </w:pPr>
            <w:r w:rsidRPr="00D652D5">
              <w:rPr>
                <w:color w:val="000000"/>
                <w:sz w:val="18"/>
                <w:szCs w:val="18"/>
              </w:rPr>
              <w:t>Portugal</w:t>
            </w:r>
          </w:p>
        </w:tc>
        <w:tc>
          <w:tcPr>
            <w:tcW w:w="1188" w:type="dxa"/>
            <w:shd w:val="clear" w:color="auto" w:fill="auto"/>
            <w:vAlign w:val="bottom"/>
          </w:tcPr>
          <w:p w14:paraId="4359B9D0" w14:textId="77777777" w:rsidR="00CF7617" w:rsidRPr="00D652D5" w:rsidRDefault="00CF7617" w:rsidP="002600C7">
            <w:pPr>
              <w:spacing w:before="40" w:after="40" w:line="200" w:lineRule="exact"/>
              <w:ind w:right="113"/>
              <w:jc w:val="right"/>
              <w:rPr>
                <w:sz w:val="18"/>
                <w:szCs w:val="18"/>
              </w:rPr>
            </w:pPr>
            <w:r w:rsidRPr="00D652D5">
              <w:rPr>
                <w:sz w:val="18"/>
                <w:szCs w:val="18"/>
              </w:rPr>
              <w:t>0.943</w:t>
            </w:r>
          </w:p>
        </w:tc>
        <w:tc>
          <w:tcPr>
            <w:tcW w:w="1212" w:type="dxa"/>
            <w:tcBorders>
              <w:top w:val="nil"/>
              <w:left w:val="nil"/>
              <w:bottom w:val="nil"/>
              <w:right w:val="nil"/>
            </w:tcBorders>
            <w:shd w:val="clear" w:color="auto" w:fill="auto"/>
            <w:vAlign w:val="bottom"/>
          </w:tcPr>
          <w:p w14:paraId="643A262B" w14:textId="77777777" w:rsidR="00CF7617" w:rsidRPr="00D652D5" w:rsidRDefault="00CF7617" w:rsidP="002600C7">
            <w:pPr>
              <w:spacing w:before="40" w:after="40" w:line="200" w:lineRule="exact"/>
              <w:ind w:right="113"/>
              <w:jc w:val="right"/>
              <w:rPr>
                <w:sz w:val="18"/>
                <w:szCs w:val="18"/>
              </w:rPr>
            </w:pPr>
            <w:r w:rsidRPr="00D652D5">
              <w:rPr>
                <w:sz w:val="18"/>
                <w:szCs w:val="18"/>
              </w:rPr>
              <w:t>22 334</w:t>
            </w:r>
          </w:p>
        </w:tc>
        <w:tc>
          <w:tcPr>
            <w:tcW w:w="1212" w:type="dxa"/>
            <w:tcBorders>
              <w:top w:val="nil"/>
              <w:left w:val="nil"/>
              <w:bottom w:val="nil"/>
              <w:right w:val="nil"/>
            </w:tcBorders>
            <w:shd w:val="clear" w:color="auto" w:fill="auto"/>
            <w:vAlign w:val="bottom"/>
          </w:tcPr>
          <w:p w14:paraId="25D73602" w14:textId="77777777" w:rsidR="00CF7617" w:rsidRPr="00D652D5" w:rsidRDefault="00CF7617" w:rsidP="002600C7">
            <w:pPr>
              <w:spacing w:before="40" w:after="40" w:line="200" w:lineRule="exact"/>
              <w:ind w:right="113"/>
              <w:jc w:val="right"/>
              <w:rPr>
                <w:sz w:val="18"/>
                <w:szCs w:val="18"/>
              </w:rPr>
            </w:pPr>
            <w:r w:rsidRPr="00D652D5">
              <w:rPr>
                <w:sz w:val="18"/>
                <w:szCs w:val="18"/>
              </w:rPr>
              <w:t>22 334</w:t>
            </w:r>
          </w:p>
        </w:tc>
        <w:tc>
          <w:tcPr>
            <w:tcW w:w="1212" w:type="dxa"/>
            <w:tcBorders>
              <w:top w:val="nil"/>
              <w:left w:val="nil"/>
              <w:bottom w:val="nil"/>
              <w:right w:val="nil"/>
            </w:tcBorders>
            <w:shd w:val="clear" w:color="auto" w:fill="auto"/>
            <w:vAlign w:val="bottom"/>
          </w:tcPr>
          <w:p w14:paraId="4C3FC444" w14:textId="77777777" w:rsidR="00CF7617" w:rsidRPr="00D652D5" w:rsidRDefault="00CF7617" w:rsidP="002600C7">
            <w:pPr>
              <w:spacing w:before="40" w:after="40" w:line="200" w:lineRule="exact"/>
              <w:ind w:right="113"/>
              <w:jc w:val="right"/>
              <w:rPr>
                <w:sz w:val="18"/>
                <w:szCs w:val="18"/>
              </w:rPr>
            </w:pPr>
            <w:r w:rsidRPr="00D652D5">
              <w:rPr>
                <w:sz w:val="18"/>
                <w:szCs w:val="18"/>
              </w:rPr>
              <w:t>10 224</w:t>
            </w:r>
          </w:p>
        </w:tc>
        <w:tc>
          <w:tcPr>
            <w:tcW w:w="1213" w:type="dxa"/>
            <w:tcBorders>
              <w:top w:val="nil"/>
              <w:left w:val="nil"/>
              <w:bottom w:val="nil"/>
              <w:right w:val="nil"/>
            </w:tcBorders>
            <w:shd w:val="clear" w:color="auto" w:fill="auto"/>
            <w:vAlign w:val="bottom"/>
          </w:tcPr>
          <w:p w14:paraId="455940DD" w14:textId="77777777" w:rsidR="00CF7617" w:rsidRPr="00D652D5" w:rsidRDefault="00CF7617" w:rsidP="002600C7">
            <w:pPr>
              <w:spacing w:before="40" w:after="40" w:line="200" w:lineRule="exact"/>
              <w:ind w:right="113"/>
              <w:jc w:val="right"/>
              <w:rPr>
                <w:sz w:val="18"/>
                <w:szCs w:val="18"/>
              </w:rPr>
            </w:pPr>
            <w:r w:rsidRPr="00D652D5">
              <w:rPr>
                <w:sz w:val="18"/>
                <w:szCs w:val="18"/>
              </w:rPr>
              <w:t>10 224</w:t>
            </w:r>
          </w:p>
        </w:tc>
      </w:tr>
      <w:tr w:rsidR="00CF7617" w:rsidRPr="00D652D5" w14:paraId="5E833593" w14:textId="77777777" w:rsidTr="002600C7">
        <w:tc>
          <w:tcPr>
            <w:tcW w:w="2468" w:type="dxa"/>
            <w:shd w:val="clear" w:color="auto" w:fill="auto"/>
            <w:vAlign w:val="bottom"/>
          </w:tcPr>
          <w:p w14:paraId="674F199E" w14:textId="77777777" w:rsidR="00CF7617" w:rsidRPr="00D652D5" w:rsidRDefault="00CF7617" w:rsidP="002600C7">
            <w:pPr>
              <w:spacing w:before="40" w:after="40" w:line="200" w:lineRule="exact"/>
              <w:ind w:right="113"/>
            </w:pPr>
            <w:r w:rsidRPr="00D652D5">
              <w:rPr>
                <w:color w:val="000000"/>
                <w:sz w:val="18"/>
                <w:szCs w:val="18"/>
              </w:rPr>
              <w:t>Romania</w:t>
            </w:r>
          </w:p>
        </w:tc>
        <w:tc>
          <w:tcPr>
            <w:tcW w:w="1188" w:type="dxa"/>
            <w:shd w:val="clear" w:color="auto" w:fill="auto"/>
            <w:vAlign w:val="bottom"/>
          </w:tcPr>
          <w:p w14:paraId="6096C299" w14:textId="77777777" w:rsidR="00CF7617" w:rsidRPr="00D652D5" w:rsidRDefault="00CF7617" w:rsidP="002600C7">
            <w:pPr>
              <w:spacing w:before="40" w:after="40" w:line="200" w:lineRule="exact"/>
              <w:ind w:right="113"/>
              <w:jc w:val="right"/>
              <w:rPr>
                <w:sz w:val="18"/>
                <w:szCs w:val="18"/>
              </w:rPr>
            </w:pPr>
            <w:r w:rsidRPr="00D652D5">
              <w:rPr>
                <w:sz w:val="18"/>
                <w:szCs w:val="18"/>
              </w:rPr>
              <w:t>0.125</w:t>
            </w:r>
          </w:p>
        </w:tc>
        <w:tc>
          <w:tcPr>
            <w:tcW w:w="1212" w:type="dxa"/>
            <w:tcBorders>
              <w:top w:val="nil"/>
              <w:left w:val="nil"/>
              <w:bottom w:val="nil"/>
              <w:right w:val="nil"/>
            </w:tcBorders>
            <w:shd w:val="clear" w:color="auto" w:fill="auto"/>
            <w:vAlign w:val="bottom"/>
          </w:tcPr>
          <w:p w14:paraId="12B45F9F" w14:textId="77777777" w:rsidR="00CF7617" w:rsidRPr="00D652D5" w:rsidRDefault="00CF7617" w:rsidP="002600C7">
            <w:pPr>
              <w:spacing w:before="40" w:after="40" w:line="200" w:lineRule="exact"/>
              <w:ind w:right="113"/>
              <w:jc w:val="right"/>
              <w:rPr>
                <w:sz w:val="18"/>
                <w:szCs w:val="18"/>
              </w:rPr>
            </w:pPr>
            <w:r w:rsidRPr="00D652D5">
              <w:rPr>
                <w:sz w:val="18"/>
                <w:szCs w:val="18"/>
              </w:rPr>
              <w:t>2 961</w:t>
            </w:r>
          </w:p>
        </w:tc>
        <w:tc>
          <w:tcPr>
            <w:tcW w:w="1212" w:type="dxa"/>
            <w:tcBorders>
              <w:top w:val="nil"/>
              <w:left w:val="nil"/>
              <w:bottom w:val="nil"/>
              <w:right w:val="nil"/>
            </w:tcBorders>
            <w:shd w:val="clear" w:color="auto" w:fill="auto"/>
            <w:vAlign w:val="bottom"/>
          </w:tcPr>
          <w:p w14:paraId="2CC509CA" w14:textId="77777777" w:rsidR="00CF7617" w:rsidRPr="00D652D5" w:rsidRDefault="00CF7617" w:rsidP="002600C7">
            <w:pPr>
              <w:spacing w:before="40" w:after="40" w:line="200" w:lineRule="exact"/>
              <w:ind w:right="113"/>
              <w:jc w:val="right"/>
              <w:rPr>
                <w:sz w:val="18"/>
                <w:szCs w:val="18"/>
              </w:rPr>
            </w:pPr>
            <w:r w:rsidRPr="00D652D5">
              <w:rPr>
                <w:sz w:val="18"/>
                <w:szCs w:val="18"/>
              </w:rPr>
              <w:t>2 961</w:t>
            </w:r>
          </w:p>
        </w:tc>
        <w:tc>
          <w:tcPr>
            <w:tcW w:w="1212" w:type="dxa"/>
            <w:tcBorders>
              <w:top w:val="nil"/>
              <w:left w:val="nil"/>
              <w:bottom w:val="nil"/>
              <w:right w:val="nil"/>
            </w:tcBorders>
            <w:shd w:val="clear" w:color="auto" w:fill="auto"/>
            <w:vAlign w:val="bottom"/>
          </w:tcPr>
          <w:p w14:paraId="1E15589C" w14:textId="77777777" w:rsidR="00CF7617" w:rsidRPr="00D652D5" w:rsidRDefault="00CF7617" w:rsidP="002600C7">
            <w:pPr>
              <w:spacing w:before="40" w:after="40" w:line="200" w:lineRule="exact"/>
              <w:ind w:right="113"/>
              <w:jc w:val="right"/>
              <w:rPr>
                <w:sz w:val="18"/>
                <w:szCs w:val="18"/>
              </w:rPr>
            </w:pPr>
            <w:r w:rsidRPr="00D652D5">
              <w:rPr>
                <w:sz w:val="18"/>
                <w:szCs w:val="18"/>
              </w:rPr>
              <w:t>1 356</w:t>
            </w:r>
          </w:p>
        </w:tc>
        <w:tc>
          <w:tcPr>
            <w:tcW w:w="1213" w:type="dxa"/>
            <w:tcBorders>
              <w:top w:val="nil"/>
              <w:left w:val="nil"/>
              <w:bottom w:val="nil"/>
              <w:right w:val="nil"/>
            </w:tcBorders>
            <w:shd w:val="clear" w:color="auto" w:fill="auto"/>
            <w:vAlign w:val="bottom"/>
          </w:tcPr>
          <w:p w14:paraId="33F5246D" w14:textId="77777777" w:rsidR="00CF7617" w:rsidRPr="00D652D5" w:rsidRDefault="00CF7617" w:rsidP="002600C7">
            <w:pPr>
              <w:spacing w:before="40" w:after="40" w:line="200" w:lineRule="exact"/>
              <w:ind w:right="113"/>
              <w:jc w:val="right"/>
              <w:rPr>
                <w:sz w:val="18"/>
                <w:szCs w:val="18"/>
              </w:rPr>
            </w:pPr>
            <w:r w:rsidRPr="00D652D5">
              <w:rPr>
                <w:sz w:val="18"/>
                <w:szCs w:val="18"/>
              </w:rPr>
              <w:t>1 356</w:t>
            </w:r>
          </w:p>
        </w:tc>
      </w:tr>
      <w:tr w:rsidR="00CF7617" w:rsidRPr="00D652D5" w14:paraId="06332EB2" w14:textId="77777777" w:rsidTr="002600C7">
        <w:tc>
          <w:tcPr>
            <w:tcW w:w="2468" w:type="dxa"/>
            <w:shd w:val="clear" w:color="auto" w:fill="auto"/>
            <w:vAlign w:val="bottom"/>
          </w:tcPr>
          <w:p w14:paraId="6AAB2948" w14:textId="77777777" w:rsidR="00CF7617" w:rsidRPr="00D652D5" w:rsidRDefault="00CF7617" w:rsidP="002600C7">
            <w:pPr>
              <w:spacing w:before="40" w:after="40" w:line="200" w:lineRule="exact"/>
              <w:ind w:right="113"/>
            </w:pPr>
            <w:r w:rsidRPr="00D652D5">
              <w:rPr>
                <w:color w:val="000000"/>
                <w:sz w:val="18"/>
                <w:szCs w:val="18"/>
              </w:rPr>
              <w:t xml:space="preserve">Russian </w:t>
            </w:r>
            <w:proofErr w:type="spellStart"/>
            <w:r w:rsidRPr="00D652D5">
              <w:rPr>
                <w:color w:val="000000"/>
                <w:sz w:val="18"/>
                <w:szCs w:val="18"/>
              </w:rPr>
              <w:t>Federation</w:t>
            </w:r>
            <w:r w:rsidRPr="00D652D5">
              <w:rPr>
                <w:bCs/>
                <w:i/>
                <w:sz w:val="18"/>
                <w:szCs w:val="18"/>
                <w:vertAlign w:val="superscript"/>
              </w:rPr>
              <w:t>a</w:t>
            </w:r>
            <w:proofErr w:type="spellEnd"/>
          </w:p>
        </w:tc>
        <w:tc>
          <w:tcPr>
            <w:tcW w:w="1188" w:type="dxa"/>
            <w:shd w:val="clear" w:color="auto" w:fill="auto"/>
            <w:vAlign w:val="bottom"/>
          </w:tcPr>
          <w:p w14:paraId="435BAA0A" w14:textId="77777777" w:rsidR="00CF7617" w:rsidRPr="00D652D5" w:rsidRDefault="00CF7617" w:rsidP="002600C7">
            <w:pPr>
              <w:spacing w:before="40" w:after="40" w:line="200" w:lineRule="exact"/>
              <w:ind w:right="113"/>
              <w:jc w:val="right"/>
              <w:rPr>
                <w:sz w:val="18"/>
                <w:szCs w:val="18"/>
              </w:rPr>
            </w:pPr>
            <w:r w:rsidRPr="00D652D5">
              <w:rPr>
                <w:sz w:val="18"/>
                <w:szCs w:val="18"/>
              </w:rPr>
              <w:t>2.743</w:t>
            </w:r>
          </w:p>
        </w:tc>
        <w:tc>
          <w:tcPr>
            <w:tcW w:w="1212" w:type="dxa"/>
            <w:tcBorders>
              <w:top w:val="nil"/>
              <w:left w:val="nil"/>
              <w:bottom w:val="nil"/>
              <w:right w:val="nil"/>
            </w:tcBorders>
            <w:shd w:val="clear" w:color="auto" w:fill="auto"/>
            <w:vAlign w:val="bottom"/>
          </w:tcPr>
          <w:p w14:paraId="2E971747" w14:textId="77777777" w:rsidR="00CF7617" w:rsidRPr="00D652D5" w:rsidRDefault="00CF7617" w:rsidP="002600C7">
            <w:pPr>
              <w:spacing w:before="40" w:after="40" w:line="200" w:lineRule="exact"/>
              <w:ind w:right="113"/>
              <w:jc w:val="right"/>
              <w:rPr>
                <w:sz w:val="18"/>
                <w:szCs w:val="18"/>
              </w:rPr>
            </w:pPr>
            <w:r w:rsidRPr="00D652D5">
              <w:rPr>
                <w:b/>
                <w:sz w:val="18"/>
                <w:szCs w:val="18"/>
              </w:rPr>
              <w:t>-</w:t>
            </w:r>
            <w:r w:rsidRPr="00D652D5">
              <w:rPr>
                <w:sz w:val="18"/>
                <w:szCs w:val="18"/>
              </w:rPr>
              <w:t xml:space="preserve"> </w:t>
            </w:r>
          </w:p>
        </w:tc>
        <w:tc>
          <w:tcPr>
            <w:tcW w:w="1212" w:type="dxa"/>
            <w:tcBorders>
              <w:top w:val="nil"/>
              <w:left w:val="nil"/>
              <w:bottom w:val="nil"/>
              <w:right w:val="nil"/>
            </w:tcBorders>
            <w:shd w:val="clear" w:color="auto" w:fill="auto"/>
            <w:vAlign w:val="bottom"/>
          </w:tcPr>
          <w:p w14:paraId="7564C9DE" w14:textId="77777777" w:rsidR="00CF7617" w:rsidRPr="00D652D5" w:rsidRDefault="00CF7617" w:rsidP="002600C7">
            <w:pPr>
              <w:spacing w:before="40" w:after="40" w:line="200" w:lineRule="exact"/>
              <w:ind w:right="113"/>
              <w:jc w:val="right"/>
              <w:rPr>
                <w:sz w:val="18"/>
                <w:szCs w:val="18"/>
              </w:rPr>
            </w:pPr>
            <w:r w:rsidRPr="00D652D5">
              <w:rPr>
                <w:b/>
                <w:sz w:val="18"/>
                <w:szCs w:val="18"/>
              </w:rPr>
              <w:t>-</w:t>
            </w:r>
            <w:r w:rsidRPr="00D652D5">
              <w:rPr>
                <w:sz w:val="18"/>
                <w:szCs w:val="18"/>
              </w:rPr>
              <w:t xml:space="preserve"> </w:t>
            </w:r>
          </w:p>
        </w:tc>
        <w:tc>
          <w:tcPr>
            <w:tcW w:w="1212" w:type="dxa"/>
            <w:tcBorders>
              <w:top w:val="nil"/>
              <w:left w:val="nil"/>
              <w:bottom w:val="nil"/>
              <w:right w:val="nil"/>
            </w:tcBorders>
            <w:shd w:val="clear" w:color="auto" w:fill="auto"/>
            <w:vAlign w:val="bottom"/>
          </w:tcPr>
          <w:p w14:paraId="36A14A00" w14:textId="77777777" w:rsidR="00CF7617" w:rsidRPr="00D652D5" w:rsidRDefault="00CF7617" w:rsidP="002600C7">
            <w:pPr>
              <w:spacing w:before="40" w:after="40" w:line="200" w:lineRule="exact"/>
              <w:ind w:right="113"/>
              <w:jc w:val="right"/>
              <w:rPr>
                <w:sz w:val="18"/>
                <w:szCs w:val="18"/>
              </w:rPr>
            </w:pPr>
            <w:r w:rsidRPr="00D652D5">
              <w:rPr>
                <w:sz w:val="18"/>
                <w:szCs w:val="18"/>
              </w:rPr>
              <w:t xml:space="preserve">- </w:t>
            </w:r>
          </w:p>
        </w:tc>
        <w:tc>
          <w:tcPr>
            <w:tcW w:w="1213" w:type="dxa"/>
            <w:tcBorders>
              <w:top w:val="nil"/>
              <w:left w:val="nil"/>
              <w:bottom w:val="nil"/>
              <w:right w:val="nil"/>
            </w:tcBorders>
            <w:shd w:val="clear" w:color="auto" w:fill="auto"/>
            <w:vAlign w:val="bottom"/>
          </w:tcPr>
          <w:p w14:paraId="64A0C1AE" w14:textId="77777777" w:rsidR="00CF7617" w:rsidRPr="00D652D5" w:rsidRDefault="00CF7617" w:rsidP="002600C7">
            <w:pPr>
              <w:spacing w:before="40" w:after="40" w:line="200" w:lineRule="exact"/>
              <w:ind w:right="113"/>
              <w:jc w:val="right"/>
              <w:rPr>
                <w:sz w:val="18"/>
                <w:szCs w:val="18"/>
              </w:rPr>
            </w:pPr>
            <w:r w:rsidRPr="00D652D5">
              <w:rPr>
                <w:sz w:val="18"/>
                <w:szCs w:val="18"/>
              </w:rPr>
              <w:t>-</w:t>
            </w:r>
          </w:p>
        </w:tc>
      </w:tr>
      <w:tr w:rsidR="00CF7617" w:rsidRPr="00D652D5" w14:paraId="25ED019C" w14:textId="77777777" w:rsidTr="002600C7">
        <w:tc>
          <w:tcPr>
            <w:tcW w:w="2468" w:type="dxa"/>
            <w:shd w:val="clear" w:color="auto" w:fill="auto"/>
            <w:vAlign w:val="bottom"/>
          </w:tcPr>
          <w:p w14:paraId="74930727" w14:textId="77777777" w:rsidR="00CF7617" w:rsidRPr="00D652D5" w:rsidRDefault="00CF7617" w:rsidP="002600C7">
            <w:pPr>
              <w:spacing w:before="40" w:after="40" w:line="200" w:lineRule="exact"/>
              <w:ind w:right="113"/>
            </w:pPr>
            <w:r w:rsidRPr="00D652D5">
              <w:rPr>
                <w:color w:val="000000"/>
                <w:sz w:val="18"/>
                <w:szCs w:val="18"/>
              </w:rPr>
              <w:t>Slovakia</w:t>
            </w:r>
          </w:p>
        </w:tc>
        <w:tc>
          <w:tcPr>
            <w:tcW w:w="1188" w:type="dxa"/>
            <w:shd w:val="clear" w:color="auto" w:fill="auto"/>
            <w:vAlign w:val="bottom"/>
          </w:tcPr>
          <w:p w14:paraId="47864E9D" w14:textId="77777777" w:rsidR="00CF7617" w:rsidRPr="00D652D5" w:rsidRDefault="00CF7617" w:rsidP="002600C7">
            <w:pPr>
              <w:spacing w:before="40" w:after="40" w:line="200" w:lineRule="exact"/>
              <w:ind w:right="113"/>
              <w:jc w:val="right"/>
              <w:rPr>
                <w:sz w:val="18"/>
                <w:szCs w:val="18"/>
              </w:rPr>
            </w:pPr>
            <w:r w:rsidRPr="00D652D5">
              <w:rPr>
                <w:sz w:val="18"/>
                <w:szCs w:val="18"/>
              </w:rPr>
              <w:t>0.113</w:t>
            </w:r>
          </w:p>
        </w:tc>
        <w:tc>
          <w:tcPr>
            <w:tcW w:w="1212" w:type="dxa"/>
            <w:tcBorders>
              <w:top w:val="nil"/>
              <w:left w:val="nil"/>
              <w:bottom w:val="nil"/>
              <w:right w:val="nil"/>
            </w:tcBorders>
            <w:shd w:val="clear" w:color="auto" w:fill="auto"/>
            <w:vAlign w:val="bottom"/>
          </w:tcPr>
          <w:p w14:paraId="0682C929" w14:textId="77777777" w:rsidR="00CF7617" w:rsidRPr="00D652D5" w:rsidRDefault="00CF7617" w:rsidP="002600C7">
            <w:pPr>
              <w:spacing w:before="40" w:after="40" w:line="200" w:lineRule="exact"/>
              <w:ind w:right="113"/>
              <w:jc w:val="right"/>
              <w:rPr>
                <w:sz w:val="18"/>
                <w:szCs w:val="18"/>
              </w:rPr>
            </w:pPr>
            <w:r w:rsidRPr="00D652D5">
              <w:rPr>
                <w:sz w:val="18"/>
                <w:szCs w:val="18"/>
              </w:rPr>
              <w:t>2 676</w:t>
            </w:r>
          </w:p>
        </w:tc>
        <w:tc>
          <w:tcPr>
            <w:tcW w:w="1212" w:type="dxa"/>
            <w:tcBorders>
              <w:top w:val="nil"/>
              <w:left w:val="nil"/>
              <w:bottom w:val="nil"/>
              <w:right w:val="nil"/>
            </w:tcBorders>
            <w:shd w:val="clear" w:color="auto" w:fill="auto"/>
            <w:vAlign w:val="bottom"/>
          </w:tcPr>
          <w:p w14:paraId="626BE17D" w14:textId="77777777" w:rsidR="00CF7617" w:rsidRPr="00D652D5" w:rsidRDefault="00CF7617" w:rsidP="002600C7">
            <w:pPr>
              <w:spacing w:before="40" w:after="40" w:line="200" w:lineRule="exact"/>
              <w:ind w:right="113"/>
              <w:jc w:val="right"/>
              <w:rPr>
                <w:sz w:val="18"/>
                <w:szCs w:val="18"/>
              </w:rPr>
            </w:pPr>
            <w:r w:rsidRPr="00D652D5">
              <w:rPr>
                <w:sz w:val="18"/>
                <w:szCs w:val="18"/>
              </w:rPr>
              <w:t>2 676</w:t>
            </w:r>
          </w:p>
        </w:tc>
        <w:tc>
          <w:tcPr>
            <w:tcW w:w="1212" w:type="dxa"/>
            <w:tcBorders>
              <w:top w:val="nil"/>
              <w:left w:val="nil"/>
              <w:bottom w:val="nil"/>
              <w:right w:val="nil"/>
            </w:tcBorders>
            <w:shd w:val="clear" w:color="auto" w:fill="auto"/>
            <w:vAlign w:val="bottom"/>
          </w:tcPr>
          <w:p w14:paraId="5FB67012" w14:textId="77777777" w:rsidR="00CF7617" w:rsidRPr="00D652D5" w:rsidRDefault="00CF7617" w:rsidP="002600C7">
            <w:pPr>
              <w:spacing w:before="40" w:after="40" w:line="200" w:lineRule="exact"/>
              <w:ind w:right="113"/>
              <w:jc w:val="right"/>
              <w:rPr>
                <w:sz w:val="18"/>
                <w:szCs w:val="18"/>
              </w:rPr>
            </w:pPr>
            <w:r w:rsidRPr="00D652D5">
              <w:rPr>
                <w:sz w:val="18"/>
                <w:szCs w:val="18"/>
              </w:rPr>
              <w:t>1 225</w:t>
            </w:r>
          </w:p>
        </w:tc>
        <w:tc>
          <w:tcPr>
            <w:tcW w:w="1213" w:type="dxa"/>
            <w:tcBorders>
              <w:top w:val="nil"/>
              <w:left w:val="nil"/>
              <w:bottom w:val="nil"/>
              <w:right w:val="nil"/>
            </w:tcBorders>
            <w:shd w:val="clear" w:color="auto" w:fill="auto"/>
            <w:vAlign w:val="bottom"/>
          </w:tcPr>
          <w:p w14:paraId="74F63F72" w14:textId="77777777" w:rsidR="00CF7617" w:rsidRPr="00D652D5" w:rsidRDefault="00CF7617" w:rsidP="002600C7">
            <w:pPr>
              <w:spacing w:before="40" w:after="40" w:line="200" w:lineRule="exact"/>
              <w:ind w:right="113"/>
              <w:jc w:val="right"/>
              <w:rPr>
                <w:sz w:val="18"/>
                <w:szCs w:val="18"/>
              </w:rPr>
            </w:pPr>
            <w:r w:rsidRPr="00D652D5">
              <w:rPr>
                <w:sz w:val="18"/>
                <w:szCs w:val="18"/>
              </w:rPr>
              <w:t>1 225</w:t>
            </w:r>
          </w:p>
        </w:tc>
      </w:tr>
      <w:tr w:rsidR="00CF7617" w:rsidRPr="00D652D5" w14:paraId="61F99B97" w14:textId="77777777" w:rsidTr="002600C7">
        <w:tc>
          <w:tcPr>
            <w:tcW w:w="2468" w:type="dxa"/>
            <w:shd w:val="clear" w:color="auto" w:fill="auto"/>
            <w:vAlign w:val="bottom"/>
          </w:tcPr>
          <w:p w14:paraId="106387A1" w14:textId="77777777" w:rsidR="00CF7617" w:rsidRPr="00D652D5" w:rsidRDefault="00CF7617" w:rsidP="002600C7">
            <w:pPr>
              <w:spacing w:before="40" w:after="40" w:line="200" w:lineRule="exact"/>
              <w:ind w:right="113"/>
            </w:pPr>
            <w:r w:rsidRPr="00D652D5">
              <w:rPr>
                <w:color w:val="000000"/>
                <w:sz w:val="18"/>
                <w:szCs w:val="18"/>
              </w:rPr>
              <w:t>Slovenia</w:t>
            </w:r>
          </w:p>
        </w:tc>
        <w:tc>
          <w:tcPr>
            <w:tcW w:w="1188" w:type="dxa"/>
            <w:shd w:val="clear" w:color="auto" w:fill="auto"/>
            <w:vAlign w:val="bottom"/>
          </w:tcPr>
          <w:p w14:paraId="5556E9AE" w14:textId="77777777" w:rsidR="00CF7617" w:rsidRPr="00D652D5" w:rsidRDefault="00CF7617" w:rsidP="002600C7">
            <w:pPr>
              <w:spacing w:before="40" w:after="40" w:line="200" w:lineRule="exact"/>
              <w:ind w:right="113"/>
              <w:jc w:val="right"/>
              <w:rPr>
                <w:sz w:val="18"/>
                <w:szCs w:val="18"/>
              </w:rPr>
            </w:pPr>
            <w:r w:rsidRPr="00D652D5">
              <w:rPr>
                <w:sz w:val="18"/>
                <w:szCs w:val="18"/>
              </w:rPr>
              <w:t>0.171</w:t>
            </w:r>
          </w:p>
        </w:tc>
        <w:tc>
          <w:tcPr>
            <w:tcW w:w="1212" w:type="dxa"/>
            <w:tcBorders>
              <w:top w:val="nil"/>
              <w:left w:val="nil"/>
              <w:bottom w:val="nil"/>
              <w:right w:val="nil"/>
            </w:tcBorders>
            <w:shd w:val="clear" w:color="auto" w:fill="auto"/>
            <w:vAlign w:val="bottom"/>
          </w:tcPr>
          <w:p w14:paraId="024F88EA" w14:textId="77777777" w:rsidR="00CF7617" w:rsidRPr="00D652D5" w:rsidRDefault="00CF7617" w:rsidP="002600C7">
            <w:pPr>
              <w:spacing w:before="40" w:after="40" w:line="200" w:lineRule="exact"/>
              <w:ind w:right="113"/>
              <w:jc w:val="right"/>
              <w:rPr>
                <w:sz w:val="18"/>
                <w:szCs w:val="18"/>
              </w:rPr>
            </w:pPr>
            <w:r w:rsidRPr="00D652D5">
              <w:rPr>
                <w:sz w:val="18"/>
                <w:szCs w:val="18"/>
              </w:rPr>
              <w:t>4 050</w:t>
            </w:r>
          </w:p>
        </w:tc>
        <w:tc>
          <w:tcPr>
            <w:tcW w:w="1212" w:type="dxa"/>
            <w:tcBorders>
              <w:top w:val="nil"/>
              <w:left w:val="nil"/>
              <w:bottom w:val="nil"/>
              <w:right w:val="nil"/>
            </w:tcBorders>
            <w:shd w:val="clear" w:color="auto" w:fill="auto"/>
            <w:vAlign w:val="bottom"/>
          </w:tcPr>
          <w:p w14:paraId="40441E2C" w14:textId="77777777" w:rsidR="00CF7617" w:rsidRPr="00D652D5" w:rsidRDefault="00CF7617" w:rsidP="002600C7">
            <w:pPr>
              <w:spacing w:before="40" w:after="40" w:line="200" w:lineRule="exact"/>
              <w:ind w:right="113"/>
              <w:jc w:val="right"/>
              <w:rPr>
                <w:sz w:val="18"/>
                <w:szCs w:val="18"/>
              </w:rPr>
            </w:pPr>
            <w:r w:rsidRPr="00D652D5">
              <w:rPr>
                <w:sz w:val="18"/>
                <w:szCs w:val="18"/>
              </w:rPr>
              <w:t>4 050</w:t>
            </w:r>
          </w:p>
        </w:tc>
        <w:tc>
          <w:tcPr>
            <w:tcW w:w="1212" w:type="dxa"/>
            <w:tcBorders>
              <w:top w:val="nil"/>
              <w:left w:val="nil"/>
              <w:bottom w:val="nil"/>
              <w:right w:val="nil"/>
            </w:tcBorders>
            <w:shd w:val="clear" w:color="auto" w:fill="auto"/>
            <w:vAlign w:val="bottom"/>
          </w:tcPr>
          <w:p w14:paraId="10465B6D" w14:textId="77777777" w:rsidR="00CF7617" w:rsidRPr="00D652D5" w:rsidRDefault="00CF7617" w:rsidP="002600C7">
            <w:pPr>
              <w:spacing w:before="40" w:after="40" w:line="200" w:lineRule="exact"/>
              <w:ind w:right="113"/>
              <w:jc w:val="right"/>
              <w:rPr>
                <w:sz w:val="18"/>
                <w:szCs w:val="18"/>
              </w:rPr>
            </w:pPr>
            <w:r w:rsidRPr="00D652D5">
              <w:rPr>
                <w:sz w:val="18"/>
                <w:szCs w:val="18"/>
              </w:rPr>
              <w:t>1 854</w:t>
            </w:r>
          </w:p>
        </w:tc>
        <w:tc>
          <w:tcPr>
            <w:tcW w:w="1213" w:type="dxa"/>
            <w:tcBorders>
              <w:top w:val="nil"/>
              <w:left w:val="nil"/>
              <w:bottom w:val="nil"/>
              <w:right w:val="nil"/>
            </w:tcBorders>
            <w:shd w:val="clear" w:color="auto" w:fill="auto"/>
            <w:vAlign w:val="bottom"/>
          </w:tcPr>
          <w:p w14:paraId="762E1C1E" w14:textId="77777777" w:rsidR="00CF7617" w:rsidRPr="00D652D5" w:rsidRDefault="00CF7617" w:rsidP="002600C7">
            <w:pPr>
              <w:spacing w:before="40" w:after="40" w:line="200" w:lineRule="exact"/>
              <w:ind w:right="113"/>
              <w:jc w:val="right"/>
              <w:rPr>
                <w:sz w:val="18"/>
                <w:szCs w:val="18"/>
              </w:rPr>
            </w:pPr>
            <w:r w:rsidRPr="00D652D5">
              <w:rPr>
                <w:sz w:val="18"/>
                <w:szCs w:val="18"/>
              </w:rPr>
              <w:t>1 854</w:t>
            </w:r>
          </w:p>
        </w:tc>
      </w:tr>
      <w:tr w:rsidR="00CF7617" w:rsidRPr="00D652D5" w14:paraId="748B6974" w14:textId="77777777" w:rsidTr="002600C7">
        <w:tc>
          <w:tcPr>
            <w:tcW w:w="2468" w:type="dxa"/>
            <w:shd w:val="clear" w:color="auto" w:fill="auto"/>
            <w:vAlign w:val="bottom"/>
          </w:tcPr>
          <w:p w14:paraId="3FD2D0E3" w14:textId="77777777" w:rsidR="00CF7617" w:rsidRPr="00D652D5" w:rsidRDefault="00CF7617" w:rsidP="002600C7">
            <w:pPr>
              <w:spacing w:before="40" w:after="40" w:line="200" w:lineRule="exact"/>
              <w:ind w:right="113"/>
            </w:pPr>
            <w:r w:rsidRPr="00D652D5">
              <w:rPr>
                <w:color w:val="000000"/>
                <w:sz w:val="18"/>
                <w:szCs w:val="18"/>
              </w:rPr>
              <w:t>Spain</w:t>
            </w:r>
          </w:p>
        </w:tc>
        <w:tc>
          <w:tcPr>
            <w:tcW w:w="1188" w:type="dxa"/>
            <w:shd w:val="clear" w:color="auto" w:fill="auto"/>
            <w:vAlign w:val="bottom"/>
          </w:tcPr>
          <w:p w14:paraId="15A476EC" w14:textId="77777777" w:rsidR="00CF7617" w:rsidRPr="00D652D5" w:rsidRDefault="00CF7617" w:rsidP="002600C7">
            <w:pPr>
              <w:spacing w:before="40" w:after="40" w:line="200" w:lineRule="exact"/>
              <w:ind w:right="113"/>
              <w:jc w:val="right"/>
              <w:rPr>
                <w:sz w:val="18"/>
                <w:szCs w:val="18"/>
              </w:rPr>
            </w:pPr>
            <w:r w:rsidRPr="00D652D5">
              <w:rPr>
                <w:sz w:val="18"/>
                <w:szCs w:val="18"/>
              </w:rPr>
              <w:t>5.311</w:t>
            </w:r>
          </w:p>
        </w:tc>
        <w:tc>
          <w:tcPr>
            <w:tcW w:w="1212" w:type="dxa"/>
            <w:tcBorders>
              <w:top w:val="nil"/>
              <w:left w:val="nil"/>
              <w:bottom w:val="nil"/>
              <w:right w:val="nil"/>
            </w:tcBorders>
            <w:shd w:val="clear" w:color="auto" w:fill="auto"/>
            <w:vAlign w:val="bottom"/>
          </w:tcPr>
          <w:p w14:paraId="61730922" w14:textId="77777777" w:rsidR="00CF7617" w:rsidRPr="00D652D5" w:rsidRDefault="00CF7617" w:rsidP="002600C7">
            <w:pPr>
              <w:spacing w:before="40" w:after="40" w:line="200" w:lineRule="exact"/>
              <w:ind w:right="113"/>
              <w:jc w:val="right"/>
              <w:rPr>
                <w:sz w:val="18"/>
                <w:szCs w:val="18"/>
              </w:rPr>
            </w:pPr>
            <w:r w:rsidRPr="00D652D5">
              <w:rPr>
                <w:sz w:val="18"/>
                <w:szCs w:val="18"/>
              </w:rPr>
              <w:t>125 786</w:t>
            </w:r>
          </w:p>
        </w:tc>
        <w:tc>
          <w:tcPr>
            <w:tcW w:w="1212" w:type="dxa"/>
            <w:tcBorders>
              <w:top w:val="nil"/>
              <w:left w:val="nil"/>
              <w:bottom w:val="nil"/>
              <w:right w:val="nil"/>
            </w:tcBorders>
            <w:shd w:val="clear" w:color="auto" w:fill="auto"/>
            <w:vAlign w:val="bottom"/>
          </w:tcPr>
          <w:p w14:paraId="15324F8C" w14:textId="77777777" w:rsidR="00CF7617" w:rsidRPr="00D652D5" w:rsidRDefault="00CF7617" w:rsidP="002600C7">
            <w:pPr>
              <w:spacing w:before="40" w:after="40" w:line="200" w:lineRule="exact"/>
              <w:ind w:right="113"/>
              <w:jc w:val="right"/>
              <w:rPr>
                <w:sz w:val="18"/>
                <w:szCs w:val="18"/>
              </w:rPr>
            </w:pPr>
            <w:r w:rsidRPr="00D652D5">
              <w:rPr>
                <w:sz w:val="18"/>
                <w:szCs w:val="18"/>
              </w:rPr>
              <w:t>125 786</w:t>
            </w:r>
          </w:p>
        </w:tc>
        <w:tc>
          <w:tcPr>
            <w:tcW w:w="1212" w:type="dxa"/>
            <w:tcBorders>
              <w:top w:val="nil"/>
              <w:left w:val="nil"/>
              <w:bottom w:val="nil"/>
              <w:right w:val="nil"/>
            </w:tcBorders>
            <w:shd w:val="clear" w:color="auto" w:fill="auto"/>
            <w:vAlign w:val="bottom"/>
          </w:tcPr>
          <w:p w14:paraId="46225A71" w14:textId="77777777" w:rsidR="00CF7617" w:rsidRPr="00D652D5" w:rsidRDefault="00CF7617" w:rsidP="002600C7">
            <w:pPr>
              <w:spacing w:before="40" w:after="40" w:line="200" w:lineRule="exact"/>
              <w:ind w:right="113"/>
              <w:jc w:val="right"/>
              <w:rPr>
                <w:sz w:val="18"/>
                <w:szCs w:val="18"/>
              </w:rPr>
            </w:pPr>
            <w:r w:rsidRPr="00D652D5">
              <w:rPr>
                <w:sz w:val="18"/>
                <w:szCs w:val="18"/>
              </w:rPr>
              <w:t>57 584</w:t>
            </w:r>
          </w:p>
        </w:tc>
        <w:tc>
          <w:tcPr>
            <w:tcW w:w="1213" w:type="dxa"/>
            <w:tcBorders>
              <w:top w:val="nil"/>
              <w:left w:val="nil"/>
              <w:bottom w:val="nil"/>
              <w:right w:val="nil"/>
            </w:tcBorders>
            <w:shd w:val="clear" w:color="auto" w:fill="auto"/>
            <w:vAlign w:val="bottom"/>
          </w:tcPr>
          <w:p w14:paraId="2EF47DD0" w14:textId="77777777" w:rsidR="00CF7617" w:rsidRPr="00D652D5" w:rsidRDefault="00CF7617" w:rsidP="002600C7">
            <w:pPr>
              <w:spacing w:before="40" w:after="40" w:line="200" w:lineRule="exact"/>
              <w:ind w:right="113"/>
              <w:jc w:val="right"/>
              <w:rPr>
                <w:sz w:val="18"/>
                <w:szCs w:val="18"/>
              </w:rPr>
            </w:pPr>
            <w:r w:rsidRPr="00D652D5">
              <w:rPr>
                <w:sz w:val="18"/>
                <w:szCs w:val="18"/>
              </w:rPr>
              <w:t>57 584</w:t>
            </w:r>
          </w:p>
        </w:tc>
      </w:tr>
      <w:tr w:rsidR="00CF7617" w:rsidRPr="00D652D5" w14:paraId="48E76FEE" w14:textId="77777777" w:rsidTr="002600C7">
        <w:tc>
          <w:tcPr>
            <w:tcW w:w="2468" w:type="dxa"/>
            <w:shd w:val="clear" w:color="auto" w:fill="auto"/>
            <w:vAlign w:val="bottom"/>
          </w:tcPr>
          <w:p w14:paraId="23597FA1" w14:textId="77777777" w:rsidR="00CF7617" w:rsidRPr="00D652D5" w:rsidRDefault="00CF7617" w:rsidP="002600C7">
            <w:pPr>
              <w:spacing w:before="40" w:after="40" w:line="200" w:lineRule="exact"/>
              <w:ind w:right="113"/>
            </w:pPr>
            <w:r w:rsidRPr="00D652D5">
              <w:rPr>
                <w:color w:val="000000"/>
                <w:sz w:val="18"/>
                <w:szCs w:val="18"/>
              </w:rPr>
              <w:t>Sweden</w:t>
            </w:r>
          </w:p>
        </w:tc>
        <w:tc>
          <w:tcPr>
            <w:tcW w:w="1188" w:type="dxa"/>
            <w:shd w:val="clear" w:color="auto" w:fill="auto"/>
            <w:vAlign w:val="bottom"/>
          </w:tcPr>
          <w:p w14:paraId="3B81F9F6" w14:textId="77777777" w:rsidR="00CF7617" w:rsidRPr="00D652D5" w:rsidRDefault="00CF7617" w:rsidP="002600C7">
            <w:pPr>
              <w:spacing w:before="40" w:after="40" w:line="200" w:lineRule="exact"/>
              <w:ind w:right="113"/>
              <w:jc w:val="right"/>
              <w:rPr>
                <w:sz w:val="18"/>
                <w:szCs w:val="18"/>
              </w:rPr>
            </w:pPr>
            <w:r w:rsidRPr="00D652D5">
              <w:rPr>
                <w:sz w:val="18"/>
                <w:szCs w:val="18"/>
              </w:rPr>
              <w:t>1.917</w:t>
            </w:r>
          </w:p>
        </w:tc>
        <w:tc>
          <w:tcPr>
            <w:tcW w:w="1212" w:type="dxa"/>
            <w:tcBorders>
              <w:top w:val="nil"/>
              <w:left w:val="nil"/>
              <w:bottom w:val="nil"/>
              <w:right w:val="nil"/>
            </w:tcBorders>
            <w:shd w:val="clear" w:color="auto" w:fill="auto"/>
            <w:vAlign w:val="bottom"/>
          </w:tcPr>
          <w:p w14:paraId="045F2E3C" w14:textId="77777777" w:rsidR="00CF7617" w:rsidRPr="00D652D5" w:rsidRDefault="00CF7617" w:rsidP="002600C7">
            <w:pPr>
              <w:spacing w:before="40" w:after="40" w:line="200" w:lineRule="exact"/>
              <w:ind w:right="113"/>
              <w:jc w:val="right"/>
              <w:rPr>
                <w:sz w:val="18"/>
                <w:szCs w:val="18"/>
              </w:rPr>
            </w:pPr>
            <w:r w:rsidRPr="00D652D5">
              <w:rPr>
                <w:sz w:val="18"/>
                <w:szCs w:val="18"/>
              </w:rPr>
              <w:t>45 402</w:t>
            </w:r>
          </w:p>
        </w:tc>
        <w:tc>
          <w:tcPr>
            <w:tcW w:w="1212" w:type="dxa"/>
            <w:tcBorders>
              <w:top w:val="nil"/>
              <w:left w:val="nil"/>
              <w:bottom w:val="nil"/>
              <w:right w:val="nil"/>
            </w:tcBorders>
            <w:shd w:val="clear" w:color="auto" w:fill="auto"/>
            <w:vAlign w:val="bottom"/>
          </w:tcPr>
          <w:p w14:paraId="527D5B6F" w14:textId="77777777" w:rsidR="00CF7617" w:rsidRPr="00D652D5" w:rsidRDefault="00CF7617" w:rsidP="002600C7">
            <w:pPr>
              <w:spacing w:before="40" w:after="40" w:line="200" w:lineRule="exact"/>
              <w:ind w:right="113"/>
              <w:jc w:val="right"/>
              <w:rPr>
                <w:sz w:val="18"/>
                <w:szCs w:val="18"/>
              </w:rPr>
            </w:pPr>
            <w:r w:rsidRPr="00D652D5">
              <w:rPr>
                <w:sz w:val="18"/>
                <w:szCs w:val="18"/>
              </w:rPr>
              <w:t>45 402</w:t>
            </w:r>
          </w:p>
        </w:tc>
        <w:tc>
          <w:tcPr>
            <w:tcW w:w="1212" w:type="dxa"/>
            <w:tcBorders>
              <w:top w:val="nil"/>
              <w:left w:val="nil"/>
              <w:bottom w:val="nil"/>
              <w:right w:val="nil"/>
            </w:tcBorders>
            <w:shd w:val="clear" w:color="auto" w:fill="auto"/>
            <w:vAlign w:val="bottom"/>
          </w:tcPr>
          <w:p w14:paraId="2E298E89" w14:textId="77777777" w:rsidR="00CF7617" w:rsidRPr="00D652D5" w:rsidRDefault="00CF7617" w:rsidP="002600C7">
            <w:pPr>
              <w:spacing w:before="40" w:after="40" w:line="200" w:lineRule="exact"/>
              <w:ind w:right="113"/>
              <w:jc w:val="right"/>
              <w:rPr>
                <w:sz w:val="18"/>
                <w:szCs w:val="18"/>
              </w:rPr>
            </w:pPr>
            <w:r w:rsidRPr="00D652D5">
              <w:rPr>
                <w:sz w:val="18"/>
                <w:szCs w:val="18"/>
              </w:rPr>
              <w:t>20 785</w:t>
            </w:r>
          </w:p>
        </w:tc>
        <w:tc>
          <w:tcPr>
            <w:tcW w:w="1213" w:type="dxa"/>
            <w:tcBorders>
              <w:top w:val="nil"/>
              <w:left w:val="nil"/>
              <w:bottom w:val="nil"/>
              <w:right w:val="nil"/>
            </w:tcBorders>
            <w:shd w:val="clear" w:color="auto" w:fill="auto"/>
            <w:vAlign w:val="bottom"/>
          </w:tcPr>
          <w:p w14:paraId="0B4DF61D" w14:textId="77777777" w:rsidR="00CF7617" w:rsidRPr="00D652D5" w:rsidRDefault="00CF7617" w:rsidP="002600C7">
            <w:pPr>
              <w:spacing w:before="40" w:after="40" w:line="200" w:lineRule="exact"/>
              <w:ind w:right="113"/>
              <w:jc w:val="right"/>
              <w:rPr>
                <w:sz w:val="18"/>
                <w:szCs w:val="18"/>
              </w:rPr>
            </w:pPr>
            <w:r w:rsidRPr="00D652D5">
              <w:rPr>
                <w:sz w:val="18"/>
                <w:szCs w:val="18"/>
              </w:rPr>
              <w:t>20 785</w:t>
            </w:r>
          </w:p>
        </w:tc>
      </w:tr>
      <w:tr w:rsidR="00CF7617" w:rsidRPr="00D652D5" w14:paraId="64F92993" w14:textId="77777777" w:rsidTr="002600C7">
        <w:tc>
          <w:tcPr>
            <w:tcW w:w="2468" w:type="dxa"/>
            <w:shd w:val="clear" w:color="auto" w:fill="auto"/>
            <w:vAlign w:val="bottom"/>
          </w:tcPr>
          <w:p w14:paraId="71BDDC8B" w14:textId="77777777" w:rsidR="00CF7617" w:rsidRPr="00D652D5" w:rsidRDefault="00CF7617" w:rsidP="002600C7">
            <w:pPr>
              <w:spacing w:before="40" w:after="40" w:line="200" w:lineRule="exact"/>
              <w:ind w:right="113"/>
            </w:pPr>
            <w:r w:rsidRPr="00D652D5">
              <w:rPr>
                <w:color w:val="000000"/>
                <w:sz w:val="18"/>
                <w:szCs w:val="18"/>
              </w:rPr>
              <w:t>Switzerland</w:t>
            </w:r>
          </w:p>
        </w:tc>
        <w:tc>
          <w:tcPr>
            <w:tcW w:w="1188" w:type="dxa"/>
            <w:shd w:val="clear" w:color="auto" w:fill="auto"/>
            <w:vAlign w:val="bottom"/>
          </w:tcPr>
          <w:p w14:paraId="1BC2AD98" w14:textId="77777777" w:rsidR="00CF7617" w:rsidRPr="00D652D5" w:rsidRDefault="00CF7617" w:rsidP="002600C7">
            <w:pPr>
              <w:spacing w:before="40" w:after="40" w:line="200" w:lineRule="exact"/>
              <w:ind w:right="113"/>
              <w:jc w:val="right"/>
              <w:rPr>
                <w:sz w:val="18"/>
                <w:szCs w:val="18"/>
              </w:rPr>
            </w:pPr>
            <w:r w:rsidRPr="00D652D5">
              <w:rPr>
                <w:sz w:val="18"/>
                <w:szCs w:val="18"/>
              </w:rPr>
              <w:t>2.760</w:t>
            </w:r>
          </w:p>
        </w:tc>
        <w:tc>
          <w:tcPr>
            <w:tcW w:w="1212" w:type="dxa"/>
            <w:tcBorders>
              <w:top w:val="nil"/>
              <w:left w:val="nil"/>
              <w:bottom w:val="nil"/>
              <w:right w:val="nil"/>
            </w:tcBorders>
            <w:shd w:val="clear" w:color="auto" w:fill="auto"/>
            <w:vAlign w:val="bottom"/>
          </w:tcPr>
          <w:p w14:paraId="168A65AE" w14:textId="77777777" w:rsidR="00CF7617" w:rsidRPr="00D652D5" w:rsidRDefault="00CF7617" w:rsidP="002600C7">
            <w:pPr>
              <w:spacing w:before="40" w:after="40" w:line="200" w:lineRule="exact"/>
              <w:ind w:right="113"/>
              <w:jc w:val="right"/>
              <w:rPr>
                <w:sz w:val="18"/>
                <w:szCs w:val="18"/>
              </w:rPr>
            </w:pPr>
            <w:r w:rsidRPr="00D652D5">
              <w:rPr>
                <w:sz w:val="18"/>
                <w:szCs w:val="18"/>
              </w:rPr>
              <w:t>65 368</w:t>
            </w:r>
          </w:p>
        </w:tc>
        <w:tc>
          <w:tcPr>
            <w:tcW w:w="1212" w:type="dxa"/>
            <w:tcBorders>
              <w:top w:val="nil"/>
              <w:left w:val="nil"/>
              <w:bottom w:val="nil"/>
              <w:right w:val="nil"/>
            </w:tcBorders>
            <w:shd w:val="clear" w:color="auto" w:fill="auto"/>
            <w:vAlign w:val="bottom"/>
          </w:tcPr>
          <w:p w14:paraId="566B864C" w14:textId="77777777" w:rsidR="00CF7617" w:rsidRPr="00D652D5" w:rsidRDefault="00CF7617" w:rsidP="002600C7">
            <w:pPr>
              <w:spacing w:before="40" w:after="40" w:line="200" w:lineRule="exact"/>
              <w:ind w:right="113"/>
              <w:jc w:val="right"/>
              <w:rPr>
                <w:sz w:val="18"/>
                <w:szCs w:val="18"/>
              </w:rPr>
            </w:pPr>
            <w:r w:rsidRPr="00D652D5">
              <w:rPr>
                <w:sz w:val="18"/>
                <w:szCs w:val="18"/>
              </w:rPr>
              <w:t>65 368</w:t>
            </w:r>
          </w:p>
        </w:tc>
        <w:tc>
          <w:tcPr>
            <w:tcW w:w="1212" w:type="dxa"/>
            <w:tcBorders>
              <w:top w:val="nil"/>
              <w:left w:val="nil"/>
              <w:bottom w:val="nil"/>
              <w:right w:val="nil"/>
            </w:tcBorders>
            <w:shd w:val="clear" w:color="auto" w:fill="auto"/>
            <w:vAlign w:val="bottom"/>
          </w:tcPr>
          <w:p w14:paraId="760BF363" w14:textId="77777777" w:rsidR="00CF7617" w:rsidRPr="00D652D5" w:rsidRDefault="00CF7617" w:rsidP="002600C7">
            <w:pPr>
              <w:spacing w:before="40" w:after="40" w:line="200" w:lineRule="exact"/>
              <w:ind w:right="113"/>
              <w:jc w:val="right"/>
              <w:rPr>
                <w:sz w:val="18"/>
                <w:szCs w:val="18"/>
              </w:rPr>
            </w:pPr>
            <w:r w:rsidRPr="00D652D5">
              <w:rPr>
                <w:sz w:val="18"/>
                <w:szCs w:val="18"/>
              </w:rPr>
              <w:t>29 925</w:t>
            </w:r>
          </w:p>
        </w:tc>
        <w:tc>
          <w:tcPr>
            <w:tcW w:w="1213" w:type="dxa"/>
            <w:tcBorders>
              <w:top w:val="nil"/>
              <w:left w:val="nil"/>
              <w:bottom w:val="nil"/>
              <w:right w:val="nil"/>
            </w:tcBorders>
            <w:shd w:val="clear" w:color="auto" w:fill="auto"/>
            <w:vAlign w:val="bottom"/>
          </w:tcPr>
          <w:p w14:paraId="43851EBE" w14:textId="77777777" w:rsidR="00CF7617" w:rsidRPr="00D652D5" w:rsidRDefault="00CF7617" w:rsidP="002600C7">
            <w:pPr>
              <w:spacing w:before="40" w:after="40" w:line="200" w:lineRule="exact"/>
              <w:ind w:right="113"/>
              <w:jc w:val="right"/>
              <w:rPr>
                <w:sz w:val="18"/>
                <w:szCs w:val="18"/>
              </w:rPr>
            </w:pPr>
            <w:r w:rsidRPr="00D652D5">
              <w:rPr>
                <w:sz w:val="18"/>
                <w:szCs w:val="18"/>
              </w:rPr>
              <w:t>29 925</w:t>
            </w:r>
          </w:p>
        </w:tc>
      </w:tr>
      <w:tr w:rsidR="00CF7617" w:rsidRPr="00D652D5" w14:paraId="0DF03E4D" w14:textId="77777777" w:rsidTr="002600C7">
        <w:tc>
          <w:tcPr>
            <w:tcW w:w="2468" w:type="dxa"/>
            <w:shd w:val="clear" w:color="auto" w:fill="auto"/>
            <w:vAlign w:val="bottom"/>
          </w:tcPr>
          <w:p w14:paraId="45BCE257" w14:textId="77777777" w:rsidR="00CF7617" w:rsidRPr="00D652D5" w:rsidRDefault="00CF7617" w:rsidP="002600C7">
            <w:pPr>
              <w:spacing w:before="40" w:after="40" w:line="200" w:lineRule="exact"/>
              <w:ind w:right="113"/>
              <w:rPr>
                <w:b/>
              </w:rPr>
            </w:pPr>
            <w:r w:rsidRPr="00D652D5">
              <w:rPr>
                <w:color w:val="000000"/>
                <w:sz w:val="18"/>
                <w:szCs w:val="18"/>
              </w:rPr>
              <w:lastRenderedPageBreak/>
              <w:t>Ukraine</w:t>
            </w:r>
          </w:p>
        </w:tc>
        <w:tc>
          <w:tcPr>
            <w:tcW w:w="1188" w:type="dxa"/>
            <w:shd w:val="clear" w:color="auto" w:fill="auto"/>
            <w:vAlign w:val="bottom"/>
          </w:tcPr>
          <w:p w14:paraId="7A43F9B2" w14:textId="77777777" w:rsidR="00CF7617" w:rsidRPr="00D652D5" w:rsidRDefault="00CF7617" w:rsidP="002600C7">
            <w:pPr>
              <w:spacing w:before="40" w:after="40" w:line="200" w:lineRule="exact"/>
              <w:ind w:right="113"/>
              <w:jc w:val="right"/>
              <w:rPr>
                <w:sz w:val="18"/>
                <w:szCs w:val="18"/>
              </w:rPr>
            </w:pPr>
            <w:r w:rsidRPr="00D652D5">
              <w:rPr>
                <w:sz w:val="18"/>
                <w:szCs w:val="18"/>
              </w:rPr>
              <w:t>0.745</w:t>
            </w:r>
          </w:p>
        </w:tc>
        <w:tc>
          <w:tcPr>
            <w:tcW w:w="1212" w:type="dxa"/>
            <w:tcBorders>
              <w:top w:val="nil"/>
              <w:left w:val="nil"/>
              <w:bottom w:val="nil"/>
              <w:right w:val="nil"/>
            </w:tcBorders>
            <w:shd w:val="clear" w:color="auto" w:fill="auto"/>
            <w:vAlign w:val="bottom"/>
          </w:tcPr>
          <w:p w14:paraId="1CCF168E" w14:textId="77777777" w:rsidR="00CF7617" w:rsidRPr="00D652D5" w:rsidRDefault="00CF7617" w:rsidP="002600C7">
            <w:pPr>
              <w:spacing w:before="40" w:after="40" w:line="200" w:lineRule="exact"/>
              <w:ind w:right="113"/>
              <w:jc w:val="right"/>
              <w:rPr>
                <w:sz w:val="18"/>
                <w:szCs w:val="18"/>
              </w:rPr>
            </w:pPr>
            <w:r w:rsidRPr="00D652D5">
              <w:rPr>
                <w:sz w:val="18"/>
                <w:szCs w:val="18"/>
              </w:rPr>
              <w:t>17 645</w:t>
            </w:r>
          </w:p>
        </w:tc>
        <w:tc>
          <w:tcPr>
            <w:tcW w:w="1212" w:type="dxa"/>
            <w:tcBorders>
              <w:top w:val="nil"/>
              <w:left w:val="nil"/>
              <w:bottom w:val="nil"/>
              <w:right w:val="nil"/>
            </w:tcBorders>
            <w:shd w:val="clear" w:color="auto" w:fill="auto"/>
            <w:vAlign w:val="bottom"/>
          </w:tcPr>
          <w:p w14:paraId="4FA106D9" w14:textId="77777777" w:rsidR="00CF7617" w:rsidRPr="00D652D5" w:rsidRDefault="00CF7617" w:rsidP="002600C7">
            <w:pPr>
              <w:spacing w:before="40" w:after="40" w:line="200" w:lineRule="exact"/>
              <w:ind w:right="113"/>
              <w:jc w:val="right"/>
              <w:rPr>
                <w:sz w:val="18"/>
                <w:szCs w:val="18"/>
              </w:rPr>
            </w:pPr>
            <w:r w:rsidRPr="00D652D5">
              <w:rPr>
                <w:sz w:val="18"/>
                <w:szCs w:val="18"/>
              </w:rPr>
              <w:t>17 645</w:t>
            </w:r>
          </w:p>
        </w:tc>
        <w:tc>
          <w:tcPr>
            <w:tcW w:w="1212" w:type="dxa"/>
            <w:tcBorders>
              <w:top w:val="nil"/>
              <w:left w:val="nil"/>
              <w:bottom w:val="nil"/>
              <w:right w:val="nil"/>
            </w:tcBorders>
            <w:shd w:val="clear" w:color="auto" w:fill="auto"/>
            <w:vAlign w:val="bottom"/>
          </w:tcPr>
          <w:p w14:paraId="6F9094B0" w14:textId="77777777" w:rsidR="00CF7617" w:rsidRPr="00D652D5" w:rsidRDefault="00CF7617" w:rsidP="002600C7">
            <w:pPr>
              <w:spacing w:before="40" w:after="40" w:line="200" w:lineRule="exact"/>
              <w:ind w:right="113"/>
              <w:jc w:val="right"/>
              <w:rPr>
                <w:sz w:val="18"/>
                <w:szCs w:val="18"/>
              </w:rPr>
            </w:pPr>
            <w:r w:rsidRPr="00D652D5">
              <w:rPr>
                <w:sz w:val="18"/>
                <w:szCs w:val="18"/>
              </w:rPr>
              <w:t>8 078</w:t>
            </w:r>
          </w:p>
        </w:tc>
        <w:tc>
          <w:tcPr>
            <w:tcW w:w="1213" w:type="dxa"/>
            <w:tcBorders>
              <w:top w:val="nil"/>
              <w:left w:val="nil"/>
              <w:bottom w:val="nil"/>
              <w:right w:val="nil"/>
            </w:tcBorders>
            <w:shd w:val="clear" w:color="auto" w:fill="auto"/>
            <w:vAlign w:val="bottom"/>
          </w:tcPr>
          <w:p w14:paraId="18A50652" w14:textId="77777777" w:rsidR="00CF7617" w:rsidRPr="00D652D5" w:rsidRDefault="00CF7617" w:rsidP="002600C7">
            <w:pPr>
              <w:spacing w:before="40" w:after="40" w:line="200" w:lineRule="exact"/>
              <w:ind w:right="113"/>
              <w:jc w:val="right"/>
              <w:rPr>
                <w:sz w:val="18"/>
                <w:szCs w:val="18"/>
              </w:rPr>
            </w:pPr>
            <w:r w:rsidRPr="00D652D5">
              <w:rPr>
                <w:sz w:val="18"/>
                <w:szCs w:val="18"/>
              </w:rPr>
              <w:t>8 078</w:t>
            </w:r>
          </w:p>
        </w:tc>
      </w:tr>
      <w:tr w:rsidR="00CF7617" w:rsidRPr="00D652D5" w14:paraId="1B8B4874" w14:textId="77777777" w:rsidTr="002600C7">
        <w:tc>
          <w:tcPr>
            <w:tcW w:w="2468" w:type="dxa"/>
            <w:shd w:val="clear" w:color="auto" w:fill="auto"/>
            <w:vAlign w:val="bottom"/>
          </w:tcPr>
          <w:p w14:paraId="5492C086" w14:textId="77777777" w:rsidR="00CF7617" w:rsidRPr="00D652D5" w:rsidRDefault="00CF7617" w:rsidP="002600C7">
            <w:pPr>
              <w:spacing w:before="40" w:after="40" w:line="200" w:lineRule="exact"/>
              <w:ind w:left="278" w:right="113" w:hanging="278"/>
              <w:rPr>
                <w:color w:val="000000"/>
                <w:sz w:val="18"/>
                <w:szCs w:val="18"/>
              </w:rPr>
            </w:pPr>
            <w:r w:rsidRPr="00D652D5">
              <w:rPr>
                <w:color w:val="000000"/>
                <w:sz w:val="18"/>
                <w:szCs w:val="18"/>
              </w:rPr>
              <w:t>United Kingdom of Great Britain and Northern Ireland</w:t>
            </w:r>
          </w:p>
        </w:tc>
        <w:tc>
          <w:tcPr>
            <w:tcW w:w="1188" w:type="dxa"/>
            <w:shd w:val="clear" w:color="auto" w:fill="auto"/>
            <w:vAlign w:val="bottom"/>
          </w:tcPr>
          <w:p w14:paraId="1CF0C97F" w14:textId="77777777" w:rsidR="00CF7617" w:rsidRPr="00D652D5" w:rsidRDefault="00CF7617" w:rsidP="002600C7">
            <w:pPr>
              <w:spacing w:before="40" w:after="40" w:line="200" w:lineRule="exact"/>
              <w:ind w:right="113"/>
              <w:jc w:val="right"/>
              <w:rPr>
                <w:color w:val="000000"/>
                <w:sz w:val="18"/>
                <w:szCs w:val="18"/>
              </w:rPr>
            </w:pPr>
            <w:r w:rsidRPr="00D652D5">
              <w:rPr>
                <w:sz w:val="18"/>
                <w:szCs w:val="18"/>
              </w:rPr>
              <w:t>11.888</w:t>
            </w:r>
          </w:p>
        </w:tc>
        <w:tc>
          <w:tcPr>
            <w:tcW w:w="1212" w:type="dxa"/>
            <w:tcBorders>
              <w:top w:val="nil"/>
              <w:left w:val="nil"/>
              <w:bottom w:val="nil"/>
              <w:right w:val="nil"/>
            </w:tcBorders>
            <w:shd w:val="clear" w:color="auto" w:fill="auto"/>
            <w:vAlign w:val="bottom"/>
          </w:tcPr>
          <w:p w14:paraId="5C6EC76E" w14:textId="77777777" w:rsidR="00CF7617" w:rsidRPr="00D652D5" w:rsidRDefault="00CF7617" w:rsidP="002600C7">
            <w:pPr>
              <w:spacing w:before="40" w:after="40" w:line="200" w:lineRule="exact"/>
              <w:ind w:right="113"/>
              <w:jc w:val="right"/>
              <w:rPr>
                <w:sz w:val="18"/>
                <w:szCs w:val="18"/>
              </w:rPr>
            </w:pPr>
            <w:r w:rsidRPr="00D652D5">
              <w:rPr>
                <w:sz w:val="18"/>
                <w:szCs w:val="18"/>
              </w:rPr>
              <w:t>281 557</w:t>
            </w:r>
          </w:p>
        </w:tc>
        <w:tc>
          <w:tcPr>
            <w:tcW w:w="1212" w:type="dxa"/>
            <w:tcBorders>
              <w:top w:val="nil"/>
              <w:left w:val="nil"/>
              <w:bottom w:val="nil"/>
              <w:right w:val="nil"/>
            </w:tcBorders>
            <w:shd w:val="clear" w:color="auto" w:fill="auto"/>
            <w:vAlign w:val="bottom"/>
          </w:tcPr>
          <w:p w14:paraId="20E5ACF1" w14:textId="77777777" w:rsidR="00CF7617" w:rsidRPr="00D652D5" w:rsidRDefault="00CF7617" w:rsidP="002600C7">
            <w:pPr>
              <w:spacing w:before="40" w:after="40" w:line="200" w:lineRule="exact"/>
              <w:ind w:right="113"/>
              <w:jc w:val="right"/>
              <w:rPr>
                <w:sz w:val="18"/>
                <w:szCs w:val="18"/>
              </w:rPr>
            </w:pPr>
            <w:r w:rsidRPr="00D652D5">
              <w:rPr>
                <w:sz w:val="18"/>
                <w:szCs w:val="18"/>
              </w:rPr>
              <w:t>281 557</w:t>
            </w:r>
          </w:p>
        </w:tc>
        <w:tc>
          <w:tcPr>
            <w:tcW w:w="1212" w:type="dxa"/>
            <w:tcBorders>
              <w:top w:val="nil"/>
              <w:left w:val="nil"/>
              <w:bottom w:val="nil"/>
              <w:right w:val="nil"/>
            </w:tcBorders>
            <w:shd w:val="clear" w:color="auto" w:fill="auto"/>
            <w:vAlign w:val="bottom"/>
          </w:tcPr>
          <w:p w14:paraId="26285532" w14:textId="77777777" w:rsidR="00CF7617" w:rsidRPr="00D652D5" w:rsidRDefault="00CF7617" w:rsidP="002600C7">
            <w:pPr>
              <w:spacing w:before="40" w:after="40" w:line="200" w:lineRule="exact"/>
              <w:ind w:right="113"/>
              <w:jc w:val="right"/>
              <w:rPr>
                <w:color w:val="000000"/>
                <w:sz w:val="18"/>
                <w:szCs w:val="18"/>
              </w:rPr>
            </w:pPr>
            <w:r w:rsidRPr="00D652D5">
              <w:rPr>
                <w:sz w:val="18"/>
                <w:szCs w:val="18"/>
              </w:rPr>
              <w:t>128 894</w:t>
            </w:r>
          </w:p>
        </w:tc>
        <w:tc>
          <w:tcPr>
            <w:tcW w:w="1213" w:type="dxa"/>
            <w:tcBorders>
              <w:top w:val="nil"/>
              <w:left w:val="nil"/>
              <w:bottom w:val="nil"/>
              <w:right w:val="nil"/>
            </w:tcBorders>
            <w:shd w:val="clear" w:color="auto" w:fill="auto"/>
            <w:vAlign w:val="bottom"/>
          </w:tcPr>
          <w:p w14:paraId="7459291E" w14:textId="77777777" w:rsidR="00CF7617" w:rsidRPr="00D652D5" w:rsidRDefault="00CF7617" w:rsidP="002600C7">
            <w:pPr>
              <w:spacing w:before="40" w:after="40" w:line="200" w:lineRule="exact"/>
              <w:ind w:right="113"/>
              <w:jc w:val="right"/>
              <w:rPr>
                <w:color w:val="000000"/>
                <w:sz w:val="18"/>
                <w:szCs w:val="18"/>
              </w:rPr>
            </w:pPr>
            <w:r w:rsidRPr="00D652D5">
              <w:rPr>
                <w:sz w:val="18"/>
                <w:szCs w:val="18"/>
              </w:rPr>
              <w:t>128 894</w:t>
            </w:r>
          </w:p>
        </w:tc>
      </w:tr>
      <w:tr w:rsidR="00CF7617" w:rsidRPr="00D652D5" w14:paraId="1BD4A93A" w14:textId="77777777" w:rsidTr="002600C7">
        <w:tc>
          <w:tcPr>
            <w:tcW w:w="2468" w:type="dxa"/>
            <w:tcBorders>
              <w:bottom w:val="single" w:sz="4" w:space="0" w:color="auto"/>
            </w:tcBorders>
            <w:shd w:val="clear" w:color="auto" w:fill="auto"/>
            <w:vAlign w:val="bottom"/>
          </w:tcPr>
          <w:p w14:paraId="49675AFD" w14:textId="77777777" w:rsidR="00CF7617" w:rsidRPr="00D652D5" w:rsidRDefault="00CF7617" w:rsidP="002600C7">
            <w:pPr>
              <w:keepNext/>
              <w:keepLines/>
              <w:widowControl w:val="0"/>
              <w:tabs>
                <w:tab w:val="left" w:pos="265"/>
              </w:tabs>
              <w:spacing w:before="40" w:after="40" w:line="200" w:lineRule="exact"/>
              <w:ind w:left="265"/>
              <w:rPr>
                <w:color w:val="000000"/>
                <w:sz w:val="18"/>
                <w:szCs w:val="18"/>
              </w:rPr>
            </w:pPr>
            <w:proofErr w:type="spellStart"/>
            <w:r w:rsidRPr="00D652D5">
              <w:rPr>
                <w:b/>
                <w:color w:val="000000"/>
                <w:sz w:val="18"/>
                <w:szCs w:val="18"/>
              </w:rPr>
              <w:t>Fees</w:t>
            </w:r>
            <w:r w:rsidRPr="00D652D5">
              <w:rPr>
                <w:i/>
                <w:color w:val="000000"/>
                <w:sz w:val="18"/>
                <w:szCs w:val="18"/>
                <w:vertAlign w:val="superscript"/>
              </w:rPr>
              <w:t>b</w:t>
            </w:r>
            <w:proofErr w:type="spellEnd"/>
          </w:p>
        </w:tc>
        <w:tc>
          <w:tcPr>
            <w:tcW w:w="1188" w:type="dxa"/>
            <w:tcBorders>
              <w:bottom w:val="single" w:sz="4" w:space="0" w:color="auto"/>
            </w:tcBorders>
            <w:shd w:val="clear" w:color="auto" w:fill="auto"/>
            <w:vAlign w:val="bottom"/>
          </w:tcPr>
          <w:p w14:paraId="1D1A7561" w14:textId="77777777" w:rsidR="00CF7617" w:rsidRPr="00D652D5" w:rsidRDefault="00CF7617" w:rsidP="002600C7">
            <w:pPr>
              <w:spacing w:before="40" w:after="40" w:line="200" w:lineRule="exact"/>
              <w:ind w:right="113"/>
              <w:jc w:val="right"/>
              <w:rPr>
                <w:sz w:val="18"/>
                <w:szCs w:val="18"/>
              </w:rPr>
            </w:pPr>
          </w:p>
        </w:tc>
        <w:tc>
          <w:tcPr>
            <w:tcW w:w="1212" w:type="dxa"/>
            <w:tcBorders>
              <w:bottom w:val="single" w:sz="4" w:space="0" w:color="auto"/>
            </w:tcBorders>
            <w:shd w:val="clear" w:color="auto" w:fill="auto"/>
            <w:vAlign w:val="bottom"/>
          </w:tcPr>
          <w:p w14:paraId="1B15B912" w14:textId="77777777" w:rsidR="00CF7617" w:rsidRPr="00D652D5" w:rsidRDefault="00CF7617" w:rsidP="002600C7">
            <w:pPr>
              <w:spacing w:before="40" w:after="40" w:line="200" w:lineRule="exact"/>
              <w:ind w:right="113"/>
              <w:jc w:val="right"/>
              <w:rPr>
                <w:b/>
                <w:color w:val="000000"/>
                <w:sz w:val="18"/>
                <w:szCs w:val="18"/>
              </w:rPr>
            </w:pPr>
            <w:r w:rsidRPr="00D652D5">
              <w:rPr>
                <w:b/>
                <w:sz w:val="18"/>
                <w:szCs w:val="18"/>
              </w:rPr>
              <w:t>2 305 388</w:t>
            </w:r>
          </w:p>
        </w:tc>
        <w:tc>
          <w:tcPr>
            <w:tcW w:w="1212" w:type="dxa"/>
            <w:tcBorders>
              <w:bottom w:val="single" w:sz="4" w:space="0" w:color="auto"/>
            </w:tcBorders>
            <w:shd w:val="clear" w:color="auto" w:fill="auto"/>
            <w:vAlign w:val="bottom"/>
          </w:tcPr>
          <w:p w14:paraId="2B69AF2C" w14:textId="77777777" w:rsidR="00CF7617" w:rsidRPr="00D652D5" w:rsidRDefault="00CF7617" w:rsidP="002600C7">
            <w:pPr>
              <w:spacing w:before="40" w:after="40" w:line="200" w:lineRule="exact"/>
              <w:ind w:right="113"/>
              <w:jc w:val="right"/>
              <w:rPr>
                <w:b/>
                <w:color w:val="000000"/>
                <w:sz w:val="18"/>
                <w:szCs w:val="18"/>
              </w:rPr>
            </w:pPr>
            <w:r w:rsidRPr="00D652D5">
              <w:rPr>
                <w:b/>
                <w:sz w:val="18"/>
                <w:szCs w:val="18"/>
              </w:rPr>
              <w:t>2 305 388</w:t>
            </w:r>
          </w:p>
        </w:tc>
        <w:tc>
          <w:tcPr>
            <w:tcW w:w="1212" w:type="dxa"/>
            <w:tcBorders>
              <w:bottom w:val="single" w:sz="4" w:space="0" w:color="auto"/>
            </w:tcBorders>
            <w:shd w:val="clear" w:color="auto" w:fill="auto"/>
            <w:vAlign w:val="bottom"/>
          </w:tcPr>
          <w:p w14:paraId="1071F757" w14:textId="77777777" w:rsidR="00CF7617" w:rsidRPr="00D652D5" w:rsidRDefault="00CF7617" w:rsidP="002600C7">
            <w:pPr>
              <w:spacing w:before="40" w:after="40" w:line="200" w:lineRule="exact"/>
              <w:ind w:right="113"/>
              <w:jc w:val="right"/>
              <w:rPr>
                <w:b/>
                <w:sz w:val="18"/>
                <w:szCs w:val="18"/>
              </w:rPr>
            </w:pPr>
            <w:r w:rsidRPr="00D652D5">
              <w:rPr>
                <w:b/>
                <w:sz w:val="18"/>
                <w:szCs w:val="18"/>
              </w:rPr>
              <w:t>1 055 388</w:t>
            </w:r>
          </w:p>
        </w:tc>
        <w:tc>
          <w:tcPr>
            <w:tcW w:w="1213" w:type="dxa"/>
            <w:tcBorders>
              <w:bottom w:val="single" w:sz="4" w:space="0" w:color="auto"/>
            </w:tcBorders>
            <w:shd w:val="clear" w:color="auto" w:fill="auto"/>
            <w:vAlign w:val="bottom"/>
          </w:tcPr>
          <w:p w14:paraId="7F2A7B99" w14:textId="77777777" w:rsidR="00CF7617" w:rsidRPr="00D652D5" w:rsidRDefault="00CF7617" w:rsidP="002600C7">
            <w:pPr>
              <w:spacing w:before="40" w:after="40" w:line="200" w:lineRule="exact"/>
              <w:ind w:right="113"/>
              <w:jc w:val="right"/>
              <w:rPr>
                <w:b/>
                <w:sz w:val="18"/>
                <w:szCs w:val="18"/>
              </w:rPr>
            </w:pPr>
            <w:r w:rsidRPr="00D652D5">
              <w:rPr>
                <w:b/>
                <w:sz w:val="18"/>
                <w:szCs w:val="18"/>
              </w:rPr>
              <w:t>1 055 388</w:t>
            </w:r>
          </w:p>
        </w:tc>
      </w:tr>
      <w:tr w:rsidR="00CF7617" w:rsidRPr="00D652D5" w14:paraId="7B81F248" w14:textId="77777777" w:rsidTr="002600C7">
        <w:tc>
          <w:tcPr>
            <w:tcW w:w="2468" w:type="dxa"/>
            <w:tcBorders>
              <w:top w:val="single" w:sz="4" w:space="0" w:color="auto"/>
              <w:bottom w:val="single" w:sz="4" w:space="0" w:color="auto"/>
            </w:tcBorders>
            <w:shd w:val="clear" w:color="auto" w:fill="auto"/>
            <w:vAlign w:val="bottom"/>
          </w:tcPr>
          <w:p w14:paraId="486CC74C" w14:textId="77777777" w:rsidR="00CF7617" w:rsidRPr="00D652D5" w:rsidRDefault="00CF7617" w:rsidP="002600C7">
            <w:pPr>
              <w:keepNext/>
              <w:keepLines/>
              <w:widowControl w:val="0"/>
              <w:tabs>
                <w:tab w:val="left" w:pos="265"/>
              </w:tabs>
              <w:spacing w:before="40" w:after="40" w:line="200" w:lineRule="exact"/>
              <w:ind w:left="265"/>
              <w:rPr>
                <w:b/>
                <w:color w:val="000000"/>
                <w:sz w:val="18"/>
                <w:szCs w:val="18"/>
              </w:rPr>
            </w:pPr>
            <w:r w:rsidRPr="00D652D5">
              <w:rPr>
                <w:b/>
                <w:bCs/>
                <w:sz w:val="18"/>
                <w:szCs w:val="18"/>
                <w:lang w:eastAsia="en-US"/>
              </w:rPr>
              <w:t>Credit from unspent balances from previous financial periods</w:t>
            </w:r>
          </w:p>
        </w:tc>
        <w:tc>
          <w:tcPr>
            <w:tcW w:w="1188" w:type="dxa"/>
            <w:tcBorders>
              <w:top w:val="single" w:sz="4" w:space="0" w:color="auto"/>
              <w:bottom w:val="single" w:sz="4" w:space="0" w:color="auto"/>
            </w:tcBorders>
            <w:shd w:val="clear" w:color="auto" w:fill="auto"/>
            <w:vAlign w:val="bottom"/>
          </w:tcPr>
          <w:p w14:paraId="1026956A" w14:textId="77777777" w:rsidR="00CF7617" w:rsidRPr="00D652D5" w:rsidRDefault="00CF7617" w:rsidP="002600C7">
            <w:pPr>
              <w:spacing w:before="40" w:after="40" w:line="200" w:lineRule="exact"/>
              <w:ind w:right="113"/>
              <w:jc w:val="right"/>
              <w:rPr>
                <w:sz w:val="18"/>
                <w:szCs w:val="18"/>
              </w:rPr>
            </w:pPr>
          </w:p>
        </w:tc>
        <w:tc>
          <w:tcPr>
            <w:tcW w:w="1212" w:type="dxa"/>
            <w:tcBorders>
              <w:top w:val="single" w:sz="4" w:space="0" w:color="auto"/>
              <w:bottom w:val="single" w:sz="4" w:space="0" w:color="auto"/>
            </w:tcBorders>
            <w:shd w:val="clear" w:color="auto" w:fill="auto"/>
            <w:vAlign w:val="bottom"/>
          </w:tcPr>
          <w:p w14:paraId="333EBF14" w14:textId="77777777" w:rsidR="00CF7617" w:rsidRPr="00D652D5" w:rsidRDefault="00CF7617" w:rsidP="002600C7">
            <w:pPr>
              <w:spacing w:before="40" w:after="40" w:line="200" w:lineRule="exact"/>
              <w:ind w:right="113"/>
              <w:jc w:val="right"/>
              <w:rPr>
                <w:b/>
                <w:sz w:val="18"/>
                <w:szCs w:val="18"/>
              </w:rPr>
            </w:pPr>
            <w:r w:rsidRPr="00D652D5">
              <w:rPr>
                <w:b/>
                <w:sz w:val="18"/>
                <w:szCs w:val="18"/>
              </w:rPr>
              <w:t>-</w:t>
            </w:r>
          </w:p>
        </w:tc>
        <w:tc>
          <w:tcPr>
            <w:tcW w:w="1212" w:type="dxa"/>
            <w:tcBorders>
              <w:top w:val="single" w:sz="4" w:space="0" w:color="auto"/>
              <w:bottom w:val="single" w:sz="4" w:space="0" w:color="auto"/>
            </w:tcBorders>
            <w:shd w:val="clear" w:color="auto" w:fill="auto"/>
            <w:vAlign w:val="bottom"/>
          </w:tcPr>
          <w:p w14:paraId="09352541" w14:textId="77777777" w:rsidR="00CF7617" w:rsidRPr="00D652D5" w:rsidRDefault="00CF7617" w:rsidP="002600C7">
            <w:pPr>
              <w:spacing w:before="40" w:after="40" w:line="200" w:lineRule="exact"/>
              <w:ind w:right="113"/>
              <w:jc w:val="right"/>
              <w:rPr>
                <w:b/>
                <w:sz w:val="18"/>
                <w:szCs w:val="18"/>
              </w:rPr>
            </w:pPr>
            <w:r w:rsidRPr="00D652D5">
              <w:rPr>
                <w:b/>
                <w:sz w:val="18"/>
                <w:szCs w:val="18"/>
              </w:rPr>
              <w:t>-</w:t>
            </w:r>
          </w:p>
        </w:tc>
        <w:tc>
          <w:tcPr>
            <w:tcW w:w="1212" w:type="dxa"/>
            <w:tcBorders>
              <w:top w:val="single" w:sz="4" w:space="0" w:color="auto"/>
              <w:bottom w:val="single" w:sz="4" w:space="0" w:color="auto"/>
            </w:tcBorders>
            <w:shd w:val="clear" w:color="auto" w:fill="auto"/>
            <w:vAlign w:val="bottom"/>
          </w:tcPr>
          <w:p w14:paraId="56E2F0EC" w14:textId="77777777" w:rsidR="00CF7617" w:rsidRPr="00D652D5" w:rsidRDefault="00CF7617" w:rsidP="002600C7">
            <w:pPr>
              <w:spacing w:before="40" w:after="40" w:line="200" w:lineRule="exact"/>
              <w:ind w:right="113"/>
              <w:jc w:val="right"/>
              <w:rPr>
                <w:b/>
                <w:sz w:val="18"/>
                <w:szCs w:val="18"/>
              </w:rPr>
            </w:pPr>
            <w:r w:rsidRPr="00D652D5">
              <w:rPr>
                <w:b/>
                <w:sz w:val="18"/>
                <w:szCs w:val="18"/>
              </w:rPr>
              <w:t>1 250 000</w:t>
            </w:r>
          </w:p>
        </w:tc>
        <w:tc>
          <w:tcPr>
            <w:tcW w:w="1213" w:type="dxa"/>
            <w:tcBorders>
              <w:top w:val="single" w:sz="4" w:space="0" w:color="auto"/>
              <w:bottom w:val="single" w:sz="4" w:space="0" w:color="auto"/>
            </w:tcBorders>
            <w:shd w:val="clear" w:color="auto" w:fill="auto"/>
            <w:vAlign w:val="bottom"/>
          </w:tcPr>
          <w:p w14:paraId="5B41846B" w14:textId="77777777" w:rsidR="00CF7617" w:rsidRPr="00D652D5" w:rsidRDefault="00CF7617" w:rsidP="002600C7">
            <w:pPr>
              <w:spacing w:before="40" w:after="40" w:line="200" w:lineRule="exact"/>
              <w:ind w:right="113"/>
              <w:jc w:val="right"/>
              <w:rPr>
                <w:b/>
                <w:sz w:val="18"/>
                <w:szCs w:val="18"/>
              </w:rPr>
            </w:pPr>
            <w:r w:rsidRPr="00D652D5">
              <w:rPr>
                <w:b/>
                <w:sz w:val="18"/>
                <w:szCs w:val="18"/>
              </w:rPr>
              <w:t>1 250 000</w:t>
            </w:r>
          </w:p>
        </w:tc>
      </w:tr>
      <w:tr w:rsidR="00CF7617" w:rsidRPr="00D652D5" w14:paraId="7A0D1825" w14:textId="77777777" w:rsidTr="002600C7">
        <w:tc>
          <w:tcPr>
            <w:tcW w:w="2468" w:type="dxa"/>
            <w:tcBorders>
              <w:top w:val="single" w:sz="4" w:space="0" w:color="auto"/>
              <w:bottom w:val="single" w:sz="12" w:space="0" w:color="auto"/>
            </w:tcBorders>
            <w:shd w:val="clear" w:color="auto" w:fill="auto"/>
            <w:vAlign w:val="bottom"/>
          </w:tcPr>
          <w:p w14:paraId="4338A632" w14:textId="77777777" w:rsidR="00CF7617" w:rsidRPr="00D652D5" w:rsidRDefault="00CF7617" w:rsidP="002600C7">
            <w:pPr>
              <w:keepNext/>
              <w:keepLines/>
              <w:widowControl w:val="0"/>
              <w:tabs>
                <w:tab w:val="left" w:pos="265"/>
              </w:tabs>
              <w:spacing w:before="40" w:after="40" w:line="200" w:lineRule="exact"/>
              <w:ind w:left="265"/>
              <w:rPr>
                <w:b/>
                <w:bCs/>
                <w:sz w:val="18"/>
                <w:szCs w:val="18"/>
                <w:lang w:eastAsia="en-US"/>
              </w:rPr>
            </w:pPr>
            <w:proofErr w:type="spellStart"/>
            <w:r w:rsidRPr="00D652D5">
              <w:rPr>
                <w:b/>
                <w:bCs/>
                <w:sz w:val="18"/>
                <w:szCs w:val="18"/>
                <w:lang w:eastAsia="en-US"/>
              </w:rPr>
              <w:t>Total</w:t>
            </w:r>
            <w:r w:rsidRPr="00D652D5">
              <w:rPr>
                <w:bCs/>
                <w:i/>
                <w:sz w:val="18"/>
                <w:szCs w:val="18"/>
                <w:vertAlign w:val="superscript"/>
                <w:lang w:eastAsia="en-US"/>
              </w:rPr>
              <w:t>b</w:t>
            </w:r>
            <w:proofErr w:type="spellEnd"/>
          </w:p>
        </w:tc>
        <w:tc>
          <w:tcPr>
            <w:tcW w:w="1188" w:type="dxa"/>
            <w:tcBorders>
              <w:top w:val="single" w:sz="4" w:space="0" w:color="auto"/>
              <w:bottom w:val="single" w:sz="12" w:space="0" w:color="auto"/>
            </w:tcBorders>
            <w:shd w:val="clear" w:color="auto" w:fill="auto"/>
            <w:vAlign w:val="bottom"/>
          </w:tcPr>
          <w:p w14:paraId="6F4CB7AF" w14:textId="77777777" w:rsidR="00CF7617" w:rsidRPr="00D652D5" w:rsidRDefault="00CF7617" w:rsidP="002600C7">
            <w:pPr>
              <w:spacing w:before="40" w:after="40" w:line="200" w:lineRule="exact"/>
              <w:ind w:right="113"/>
              <w:jc w:val="right"/>
              <w:rPr>
                <w:sz w:val="18"/>
                <w:szCs w:val="18"/>
              </w:rPr>
            </w:pPr>
          </w:p>
        </w:tc>
        <w:tc>
          <w:tcPr>
            <w:tcW w:w="1212" w:type="dxa"/>
            <w:tcBorders>
              <w:top w:val="single" w:sz="4" w:space="0" w:color="auto"/>
              <w:bottom w:val="single" w:sz="12" w:space="0" w:color="auto"/>
            </w:tcBorders>
            <w:shd w:val="clear" w:color="auto" w:fill="auto"/>
            <w:vAlign w:val="bottom"/>
          </w:tcPr>
          <w:p w14:paraId="6D2FA783" w14:textId="77777777" w:rsidR="00CF7617" w:rsidRPr="00D652D5" w:rsidRDefault="00CF7617" w:rsidP="002600C7">
            <w:pPr>
              <w:spacing w:before="40" w:after="40" w:line="200" w:lineRule="exact"/>
              <w:ind w:right="113"/>
              <w:jc w:val="right"/>
              <w:rPr>
                <w:b/>
                <w:sz w:val="18"/>
                <w:szCs w:val="18"/>
              </w:rPr>
            </w:pPr>
            <w:r w:rsidRPr="00D652D5">
              <w:rPr>
                <w:b/>
                <w:sz w:val="18"/>
                <w:szCs w:val="18"/>
              </w:rPr>
              <w:t>2 305 388</w:t>
            </w:r>
          </w:p>
        </w:tc>
        <w:tc>
          <w:tcPr>
            <w:tcW w:w="1212" w:type="dxa"/>
            <w:tcBorders>
              <w:top w:val="single" w:sz="4" w:space="0" w:color="auto"/>
              <w:bottom w:val="single" w:sz="12" w:space="0" w:color="auto"/>
            </w:tcBorders>
            <w:shd w:val="clear" w:color="auto" w:fill="auto"/>
            <w:vAlign w:val="bottom"/>
          </w:tcPr>
          <w:p w14:paraId="583A3F01" w14:textId="77777777" w:rsidR="00CF7617" w:rsidRPr="00D652D5" w:rsidRDefault="00CF7617" w:rsidP="002600C7">
            <w:pPr>
              <w:spacing w:before="40" w:after="40" w:line="200" w:lineRule="exact"/>
              <w:ind w:right="113"/>
              <w:jc w:val="right"/>
              <w:rPr>
                <w:b/>
                <w:sz w:val="18"/>
                <w:szCs w:val="18"/>
              </w:rPr>
            </w:pPr>
            <w:r w:rsidRPr="00D652D5">
              <w:rPr>
                <w:b/>
                <w:sz w:val="18"/>
                <w:szCs w:val="18"/>
              </w:rPr>
              <w:t>2 305 388</w:t>
            </w:r>
          </w:p>
        </w:tc>
        <w:tc>
          <w:tcPr>
            <w:tcW w:w="1212" w:type="dxa"/>
            <w:tcBorders>
              <w:top w:val="single" w:sz="4" w:space="0" w:color="auto"/>
              <w:bottom w:val="single" w:sz="12" w:space="0" w:color="auto"/>
            </w:tcBorders>
            <w:shd w:val="clear" w:color="auto" w:fill="auto"/>
            <w:vAlign w:val="bottom"/>
          </w:tcPr>
          <w:p w14:paraId="4D8FF14A" w14:textId="77777777" w:rsidR="00CF7617" w:rsidRPr="00D652D5" w:rsidRDefault="00CF7617" w:rsidP="002600C7">
            <w:pPr>
              <w:spacing w:before="40" w:after="40" w:line="200" w:lineRule="exact"/>
              <w:ind w:right="113"/>
              <w:jc w:val="right"/>
              <w:rPr>
                <w:b/>
                <w:sz w:val="18"/>
                <w:szCs w:val="18"/>
              </w:rPr>
            </w:pPr>
            <w:r w:rsidRPr="00D652D5">
              <w:rPr>
                <w:b/>
                <w:sz w:val="18"/>
                <w:szCs w:val="18"/>
              </w:rPr>
              <w:t>2 305 388</w:t>
            </w:r>
          </w:p>
        </w:tc>
        <w:tc>
          <w:tcPr>
            <w:tcW w:w="1213" w:type="dxa"/>
            <w:tcBorders>
              <w:top w:val="single" w:sz="4" w:space="0" w:color="auto"/>
              <w:bottom w:val="single" w:sz="12" w:space="0" w:color="auto"/>
            </w:tcBorders>
            <w:shd w:val="clear" w:color="auto" w:fill="auto"/>
            <w:vAlign w:val="bottom"/>
          </w:tcPr>
          <w:p w14:paraId="26287B40" w14:textId="77777777" w:rsidR="00CF7617" w:rsidRPr="00D652D5" w:rsidRDefault="00CF7617" w:rsidP="002600C7">
            <w:pPr>
              <w:spacing w:before="40" w:after="40" w:line="200" w:lineRule="exact"/>
              <w:ind w:right="113"/>
              <w:jc w:val="right"/>
              <w:rPr>
                <w:b/>
                <w:sz w:val="18"/>
                <w:szCs w:val="18"/>
              </w:rPr>
            </w:pPr>
            <w:r w:rsidRPr="00D652D5">
              <w:rPr>
                <w:b/>
                <w:sz w:val="18"/>
                <w:szCs w:val="18"/>
              </w:rPr>
              <w:t>2 305 388</w:t>
            </w:r>
          </w:p>
        </w:tc>
      </w:tr>
    </w:tbl>
    <w:p w14:paraId="636431BC" w14:textId="4D4692C4" w:rsidR="00CF7617" w:rsidRPr="00D652D5" w:rsidRDefault="006C00BB" w:rsidP="006C00BB">
      <w:pPr>
        <w:pStyle w:val="FootnoteTable"/>
        <w:spacing w:before="60" w:line="200" w:lineRule="exact"/>
        <w:ind w:left="1134" w:firstLine="170"/>
        <w:jc w:val="left"/>
      </w:pPr>
      <w:r w:rsidRPr="00D652D5">
        <w:rPr>
          <w:i/>
          <w:vertAlign w:val="superscript"/>
        </w:rPr>
        <w:t xml:space="preserve">a   </w:t>
      </w:r>
      <w:r w:rsidR="00CF7617" w:rsidRPr="00D652D5">
        <w:t>Parties currently not connected to the international transaction log. These Parties will be subject to the international transaction log fees in the case of connection or reconnection to the international transaction log, in accordance with paragraphs 11–13 of this decision.</w:t>
      </w:r>
    </w:p>
    <w:p w14:paraId="15D4E186" w14:textId="696E7334" w:rsidR="00CF7617" w:rsidRPr="00D652D5" w:rsidRDefault="006C00BB" w:rsidP="006C00BB">
      <w:pPr>
        <w:pStyle w:val="FootnoteTable"/>
        <w:spacing w:line="200" w:lineRule="exact"/>
        <w:ind w:left="1134" w:firstLine="170"/>
        <w:jc w:val="left"/>
      </w:pPr>
      <w:r w:rsidRPr="00D652D5">
        <w:rPr>
          <w:i/>
          <w:vertAlign w:val="superscript"/>
        </w:rPr>
        <w:t xml:space="preserve">b   </w:t>
      </w:r>
      <w:r w:rsidR="00CF7617" w:rsidRPr="00D652D5">
        <w:t>Totals may not add up exactly owing to rounding and the need to have an equal balance of fees in accordance with paragraph 9 of this decision.</w:t>
      </w:r>
    </w:p>
    <w:p w14:paraId="22DC9E8F" w14:textId="77777777" w:rsidR="00CF7617" w:rsidRPr="00D652D5" w:rsidRDefault="00CF7617" w:rsidP="00CF7617">
      <w:pPr>
        <w:pStyle w:val="RegSingleTxtG"/>
        <w:numPr>
          <w:ilvl w:val="0"/>
          <w:numId w:val="0"/>
        </w:numPr>
        <w:spacing w:before="120"/>
        <w:ind w:left="1134" w:right="-1"/>
        <w:jc w:val="right"/>
        <w:rPr>
          <w:i/>
        </w:rPr>
      </w:pPr>
      <w:r w:rsidRPr="00D652D5">
        <w:rPr>
          <w:i/>
        </w:rPr>
        <w:t>7</w:t>
      </w:r>
      <w:r w:rsidRPr="00D652D5">
        <w:rPr>
          <w:i/>
          <w:vertAlign w:val="superscript"/>
        </w:rPr>
        <w:t>th</w:t>
      </w:r>
      <w:r w:rsidRPr="00D652D5">
        <w:rPr>
          <w:i/>
        </w:rPr>
        <w:t xml:space="preserve"> plenary meeting</w:t>
      </w:r>
      <w:r w:rsidRPr="00D652D5">
        <w:rPr>
          <w:i/>
        </w:rPr>
        <w:br/>
        <w:t>12 December 2019</w:t>
      </w:r>
    </w:p>
    <w:p w14:paraId="04BB955E" w14:textId="77777777" w:rsidR="00CF7617" w:rsidRDefault="00CF7617" w:rsidP="00CF7617">
      <w:pPr>
        <w:pStyle w:val="FootnoteTable"/>
        <w:spacing w:line="220" w:lineRule="exact"/>
        <w:ind w:left="1304"/>
        <w:jc w:val="left"/>
        <w:sectPr w:rsidR="00CF7617" w:rsidSect="00EA4A64">
          <w:headerReference w:type="even" r:id="rId45"/>
          <w:headerReference w:type="default" r:id="rId46"/>
          <w:footerReference w:type="even" r:id="rId47"/>
          <w:footerReference w:type="default" r:id="rId48"/>
          <w:footnotePr>
            <w:numRestart w:val="eachSect"/>
          </w:footnotePr>
          <w:pgSz w:w="11906" w:h="16838" w:code="9"/>
          <w:pgMar w:top="1417" w:right="1134" w:bottom="1134" w:left="1134" w:header="850" w:footer="567" w:gutter="0"/>
          <w:cols w:space="708"/>
          <w:docGrid w:linePitch="360"/>
        </w:sectPr>
      </w:pPr>
    </w:p>
    <w:p w14:paraId="371C0B19" w14:textId="7618F1E1" w:rsidR="00E42813" w:rsidRPr="00D652D5" w:rsidRDefault="002E1AA5" w:rsidP="002E1AA5">
      <w:pPr>
        <w:pStyle w:val="HChG"/>
      </w:pPr>
      <w:r w:rsidRPr="00D652D5">
        <w:lastRenderedPageBreak/>
        <w:tab/>
      </w:r>
      <w:r w:rsidRPr="00D652D5">
        <w:tab/>
      </w:r>
      <w:bookmarkStart w:id="14" w:name="D6"/>
      <w:r w:rsidR="00E42813" w:rsidRPr="00D652D5">
        <w:t xml:space="preserve">Decision </w:t>
      </w:r>
      <w:r w:rsidR="0027033D" w:rsidRPr="00D652D5">
        <w:t>6</w:t>
      </w:r>
      <w:r w:rsidR="00E42813" w:rsidRPr="00D652D5">
        <w:t>/CMP.15</w:t>
      </w:r>
      <w:bookmarkEnd w:id="14"/>
    </w:p>
    <w:p w14:paraId="49E29CB7" w14:textId="77777777" w:rsidR="00E42813" w:rsidRPr="00D652D5" w:rsidRDefault="00E42813" w:rsidP="00E42813">
      <w:pPr>
        <w:pStyle w:val="HChG"/>
      </w:pPr>
      <w:r w:rsidRPr="00D652D5">
        <w:tab/>
      </w:r>
      <w:r w:rsidRPr="00D652D5">
        <w:tab/>
        <w:t>Programme budget for the biennium 2020–2021</w:t>
      </w:r>
    </w:p>
    <w:p w14:paraId="15A30222" w14:textId="04B5F492" w:rsidR="00E42813" w:rsidRPr="00D652D5" w:rsidRDefault="00EA62A1" w:rsidP="00EA62A1">
      <w:pPr>
        <w:pStyle w:val="RegSingleTxtG"/>
        <w:numPr>
          <w:ilvl w:val="0"/>
          <w:numId w:val="0"/>
        </w:numPr>
        <w:ind w:left="1134"/>
        <w:rPr>
          <w:rFonts w:eastAsia="Times New Roman"/>
          <w:i/>
          <w:lang w:eastAsia="en-US"/>
        </w:rPr>
      </w:pPr>
      <w:r>
        <w:rPr>
          <w:rFonts w:eastAsia="Times New Roman"/>
          <w:i/>
          <w:lang w:eastAsia="en-US"/>
        </w:rPr>
        <w:tab/>
      </w:r>
      <w:r w:rsidR="00E42813" w:rsidRPr="00D652D5">
        <w:rPr>
          <w:rFonts w:eastAsia="Times New Roman"/>
          <w:i/>
          <w:lang w:eastAsia="en-US"/>
        </w:rPr>
        <w:t xml:space="preserve">The Conference of the </w:t>
      </w:r>
      <w:r w:rsidR="00E42813" w:rsidRPr="00EA62A1">
        <w:rPr>
          <w:i/>
        </w:rPr>
        <w:t>Parties</w:t>
      </w:r>
      <w:r w:rsidR="00E42813" w:rsidRPr="00D652D5">
        <w:rPr>
          <w:rFonts w:eastAsia="Times New Roman"/>
          <w:i/>
          <w:lang w:eastAsia="en-US"/>
        </w:rPr>
        <w:t xml:space="preserve"> </w:t>
      </w:r>
      <w:r w:rsidR="00E42813" w:rsidRPr="00D652D5">
        <w:rPr>
          <w:rFonts w:eastAsia="Times New Roman"/>
          <w:i/>
          <w:iCs/>
          <w:lang w:eastAsia="en-US"/>
        </w:rPr>
        <w:t>serving as the meeting of the Parties to the Kyoto Protocol</w:t>
      </w:r>
      <w:r w:rsidR="00E42813" w:rsidRPr="00D652D5">
        <w:rPr>
          <w:rFonts w:eastAsia="Times New Roman"/>
          <w:lang w:eastAsia="en-US"/>
        </w:rPr>
        <w:t>,</w:t>
      </w:r>
    </w:p>
    <w:p w14:paraId="29958A2D" w14:textId="4B5EE0FF" w:rsidR="00E42813" w:rsidRPr="00D652D5" w:rsidRDefault="00EA62A1" w:rsidP="00EA62A1">
      <w:pPr>
        <w:pStyle w:val="RegSingleTxtG"/>
        <w:numPr>
          <w:ilvl w:val="0"/>
          <w:numId w:val="0"/>
        </w:numPr>
        <w:ind w:left="1134"/>
        <w:rPr>
          <w:rFonts w:eastAsia="Times New Roman"/>
          <w:i/>
          <w:iCs/>
          <w:lang w:eastAsia="en-US"/>
        </w:rPr>
      </w:pPr>
      <w:r>
        <w:rPr>
          <w:rFonts w:eastAsia="Times New Roman"/>
          <w:i/>
          <w:iCs/>
          <w:lang w:eastAsia="en-US"/>
        </w:rPr>
        <w:tab/>
      </w:r>
      <w:r w:rsidR="00E42813" w:rsidRPr="00D652D5">
        <w:rPr>
          <w:rFonts w:eastAsia="Times New Roman"/>
          <w:i/>
          <w:iCs/>
          <w:lang w:eastAsia="en-US"/>
        </w:rPr>
        <w:t xml:space="preserve">Recalling </w:t>
      </w:r>
      <w:r w:rsidR="00E42813" w:rsidRPr="00D652D5">
        <w:rPr>
          <w:rFonts w:eastAsia="Times New Roman"/>
          <w:iCs/>
          <w:lang w:eastAsia="en-US"/>
        </w:rPr>
        <w:t>Article 13, paragraph 5, of the Kyoto Protocol,</w:t>
      </w:r>
      <w:r w:rsidR="00E42813" w:rsidRPr="00D652D5">
        <w:rPr>
          <w:rFonts w:eastAsia="Times New Roman"/>
          <w:i/>
          <w:iCs/>
          <w:lang w:eastAsia="en-US"/>
        </w:rPr>
        <w:t xml:space="preserve"> </w:t>
      </w:r>
    </w:p>
    <w:p w14:paraId="68E2A02F" w14:textId="3BE9FEFF" w:rsidR="00E42813" w:rsidRPr="00D652D5" w:rsidRDefault="00EA62A1" w:rsidP="00EA62A1">
      <w:pPr>
        <w:pStyle w:val="RegSingleTxtG"/>
        <w:numPr>
          <w:ilvl w:val="0"/>
          <w:numId w:val="0"/>
        </w:numPr>
        <w:ind w:left="1134"/>
        <w:rPr>
          <w:rFonts w:eastAsia="Times New Roman"/>
          <w:lang w:eastAsia="en-US"/>
        </w:rPr>
      </w:pPr>
      <w:r>
        <w:rPr>
          <w:rFonts w:eastAsia="Times New Roman"/>
          <w:i/>
          <w:iCs/>
          <w:lang w:eastAsia="en-US"/>
        </w:rPr>
        <w:tab/>
      </w:r>
      <w:r w:rsidR="00E42813" w:rsidRPr="00D652D5">
        <w:rPr>
          <w:rFonts w:eastAsia="Times New Roman"/>
          <w:i/>
          <w:iCs/>
          <w:lang w:eastAsia="en-US"/>
        </w:rPr>
        <w:t xml:space="preserve">Taking note </w:t>
      </w:r>
      <w:r w:rsidR="00E42813" w:rsidRPr="00D652D5">
        <w:rPr>
          <w:rFonts w:eastAsia="Times New Roman"/>
          <w:iCs/>
          <w:lang w:eastAsia="en-US"/>
        </w:rPr>
        <w:t xml:space="preserve">of decision </w:t>
      </w:r>
      <w:r w:rsidR="00EA26DB" w:rsidRPr="00D652D5">
        <w:rPr>
          <w:rFonts w:eastAsia="Times New Roman"/>
          <w:iCs/>
          <w:lang w:eastAsia="en-US"/>
        </w:rPr>
        <w:t>17</w:t>
      </w:r>
      <w:r w:rsidR="00E42813" w:rsidRPr="00D652D5">
        <w:rPr>
          <w:rFonts w:eastAsia="Times New Roman"/>
          <w:iCs/>
          <w:lang w:eastAsia="en-US"/>
        </w:rPr>
        <w:t>/CP.25, in particular paragraph 1,</w:t>
      </w:r>
    </w:p>
    <w:p w14:paraId="592821FC" w14:textId="5F916705" w:rsidR="00E42813" w:rsidRPr="00D652D5" w:rsidRDefault="00EA62A1" w:rsidP="00EA62A1">
      <w:pPr>
        <w:pStyle w:val="RegSingleTxtG"/>
        <w:numPr>
          <w:ilvl w:val="0"/>
          <w:numId w:val="0"/>
        </w:numPr>
        <w:ind w:left="1134"/>
        <w:rPr>
          <w:rFonts w:eastAsia="Times New Roman"/>
          <w:lang w:eastAsia="en-US"/>
        </w:rPr>
      </w:pPr>
      <w:r>
        <w:rPr>
          <w:rFonts w:eastAsia="Times New Roman"/>
          <w:i/>
          <w:iCs/>
          <w:lang w:eastAsia="en-US"/>
        </w:rPr>
        <w:tab/>
      </w:r>
      <w:r w:rsidR="00E42813" w:rsidRPr="00D652D5">
        <w:rPr>
          <w:rFonts w:eastAsia="Times New Roman"/>
          <w:i/>
          <w:iCs/>
          <w:lang w:eastAsia="en-US"/>
        </w:rPr>
        <w:t xml:space="preserve">Having considered </w:t>
      </w:r>
      <w:r w:rsidR="00E42813" w:rsidRPr="00D652D5">
        <w:rPr>
          <w:rFonts w:eastAsia="Times New Roman"/>
          <w:lang w:eastAsia="en-US"/>
        </w:rPr>
        <w:t xml:space="preserve">the </w:t>
      </w:r>
      <w:r w:rsidR="00E42813" w:rsidRPr="00EA62A1">
        <w:rPr>
          <w:rFonts w:eastAsia="Times New Roman"/>
          <w:iCs/>
          <w:lang w:eastAsia="en-US"/>
        </w:rPr>
        <w:t>proposed</w:t>
      </w:r>
      <w:r w:rsidR="00E42813" w:rsidRPr="00D652D5">
        <w:rPr>
          <w:rFonts w:eastAsia="Times New Roman"/>
          <w:lang w:eastAsia="en-US"/>
        </w:rPr>
        <w:t xml:space="preserve"> programme budget for the biennium 2020–2021 submitted by the Executive Secretary,</w:t>
      </w:r>
      <w:r w:rsidR="00E42813" w:rsidRPr="00D652D5">
        <w:rPr>
          <w:rFonts w:eastAsia="Times New Roman"/>
          <w:sz w:val="18"/>
          <w:szCs w:val="18"/>
          <w:vertAlign w:val="superscript"/>
          <w:lang w:eastAsia="en-US"/>
        </w:rPr>
        <w:footnoteReference w:id="20"/>
      </w:r>
      <w:r w:rsidR="00E42813" w:rsidRPr="00D652D5">
        <w:rPr>
          <w:rFonts w:eastAsia="Times New Roman"/>
          <w:lang w:eastAsia="en-US"/>
        </w:rPr>
        <w:t xml:space="preserve"> </w:t>
      </w:r>
    </w:p>
    <w:p w14:paraId="73ACA480" w14:textId="3FC0FB1E" w:rsidR="00E42813" w:rsidRPr="00D652D5" w:rsidRDefault="006C00BB" w:rsidP="006C00BB">
      <w:pPr>
        <w:pStyle w:val="RegSingleTxtG"/>
        <w:numPr>
          <w:ilvl w:val="0"/>
          <w:numId w:val="0"/>
        </w:numPr>
        <w:tabs>
          <w:tab w:val="left" w:pos="568"/>
        </w:tabs>
        <w:suppressAutoHyphens w:val="0"/>
        <w:spacing w:line="240" w:lineRule="auto"/>
        <w:ind w:left="1135"/>
        <w:rPr>
          <w:lang w:eastAsia="en-US"/>
        </w:rPr>
      </w:pPr>
      <w:r w:rsidRPr="00D652D5">
        <w:rPr>
          <w:lang w:eastAsia="en-US"/>
        </w:rPr>
        <w:t>1.</w:t>
      </w:r>
      <w:r w:rsidRPr="00D652D5">
        <w:rPr>
          <w:lang w:eastAsia="en-US"/>
        </w:rPr>
        <w:tab/>
      </w:r>
      <w:r w:rsidR="00E42813" w:rsidRPr="00D652D5">
        <w:rPr>
          <w:i/>
          <w:lang w:eastAsia="en-US"/>
        </w:rPr>
        <w:t>Endorses</w:t>
      </w:r>
      <w:r w:rsidR="00E42813" w:rsidRPr="00D652D5">
        <w:rPr>
          <w:lang w:eastAsia="en-US"/>
        </w:rPr>
        <w:t xml:space="preserve"> decision </w:t>
      </w:r>
      <w:r w:rsidR="00B733A8" w:rsidRPr="00D652D5">
        <w:rPr>
          <w:lang w:eastAsia="en-US"/>
        </w:rPr>
        <w:t>17</w:t>
      </w:r>
      <w:r w:rsidR="00E42813" w:rsidRPr="00D652D5">
        <w:rPr>
          <w:lang w:eastAsia="en-US"/>
        </w:rPr>
        <w:t xml:space="preserve">/CP.25 on the programme budget for the biennium </w:t>
      </w:r>
      <w:r w:rsidR="00E42813" w:rsidRPr="00D652D5">
        <w:rPr>
          <w:rFonts w:eastAsia="Times New Roman"/>
          <w:lang w:eastAsia="en-US"/>
        </w:rPr>
        <w:t>2020–2021</w:t>
      </w:r>
      <w:r w:rsidR="00E42813" w:rsidRPr="00D652D5">
        <w:rPr>
          <w:lang w:eastAsia="en-US"/>
        </w:rPr>
        <w:t xml:space="preserve"> as it applies to the Kyoto Protocol;</w:t>
      </w:r>
    </w:p>
    <w:p w14:paraId="412FA82E" w14:textId="3B7CD9EC" w:rsidR="00E42813" w:rsidRPr="00D652D5" w:rsidRDefault="006C00BB" w:rsidP="006C00BB">
      <w:pPr>
        <w:pStyle w:val="RegSingleTxtG"/>
        <w:numPr>
          <w:ilvl w:val="0"/>
          <w:numId w:val="0"/>
        </w:numPr>
        <w:tabs>
          <w:tab w:val="left" w:pos="568"/>
        </w:tabs>
        <w:suppressAutoHyphens w:val="0"/>
        <w:spacing w:line="240" w:lineRule="auto"/>
        <w:ind w:left="1135"/>
        <w:rPr>
          <w:lang w:eastAsia="en-US"/>
        </w:rPr>
      </w:pPr>
      <w:r w:rsidRPr="00D652D5">
        <w:rPr>
          <w:lang w:eastAsia="en-US"/>
        </w:rPr>
        <w:t>2.</w:t>
      </w:r>
      <w:r w:rsidRPr="00D652D5">
        <w:rPr>
          <w:lang w:eastAsia="en-US"/>
        </w:rPr>
        <w:tab/>
      </w:r>
      <w:r w:rsidR="00E42813" w:rsidRPr="00D652D5">
        <w:rPr>
          <w:i/>
          <w:iCs/>
          <w:lang w:eastAsia="en-US"/>
        </w:rPr>
        <w:t xml:space="preserve">Adopts </w:t>
      </w:r>
      <w:r w:rsidR="00E42813" w:rsidRPr="00D652D5">
        <w:rPr>
          <w:lang w:eastAsia="en-US"/>
        </w:rPr>
        <w:t>the indicative scale of contributions contained in the annex;</w:t>
      </w:r>
    </w:p>
    <w:p w14:paraId="5C53B2EB" w14:textId="14668158" w:rsidR="00E42813" w:rsidRPr="00D652D5" w:rsidRDefault="006C00BB" w:rsidP="006C00BB">
      <w:pPr>
        <w:pStyle w:val="RegSingleTxtG"/>
        <w:numPr>
          <w:ilvl w:val="0"/>
          <w:numId w:val="0"/>
        </w:numPr>
        <w:tabs>
          <w:tab w:val="left" w:pos="568"/>
        </w:tabs>
        <w:suppressAutoHyphens w:val="0"/>
        <w:spacing w:line="240" w:lineRule="auto"/>
        <w:ind w:left="1135"/>
        <w:rPr>
          <w:lang w:eastAsia="en-US"/>
        </w:rPr>
      </w:pPr>
      <w:r w:rsidRPr="00D652D5">
        <w:rPr>
          <w:lang w:eastAsia="en-US"/>
        </w:rPr>
        <w:t>3.</w:t>
      </w:r>
      <w:r w:rsidRPr="00D652D5">
        <w:rPr>
          <w:lang w:eastAsia="en-US"/>
        </w:rPr>
        <w:tab/>
      </w:r>
      <w:r w:rsidR="00E42813" w:rsidRPr="00D652D5">
        <w:rPr>
          <w:i/>
          <w:lang w:eastAsia="en-US"/>
        </w:rPr>
        <w:t xml:space="preserve">Notes </w:t>
      </w:r>
      <w:r w:rsidR="00E42813" w:rsidRPr="00D652D5">
        <w:rPr>
          <w:lang w:eastAsia="en-US"/>
        </w:rPr>
        <w:t>that the indicative scale of contributions</w:t>
      </w:r>
      <w:r w:rsidR="00E42813" w:rsidRPr="00D652D5">
        <w:rPr>
          <w:i/>
          <w:lang w:eastAsia="en-US"/>
        </w:rPr>
        <w:t xml:space="preserve"> </w:t>
      </w:r>
      <w:r w:rsidR="00E42813" w:rsidRPr="00D652D5">
        <w:rPr>
          <w:lang w:eastAsia="en-US"/>
        </w:rPr>
        <w:t xml:space="preserve">covers 10.0 per cent of the </w:t>
      </w:r>
      <w:bookmarkStart w:id="15" w:name="_Hlk11317439"/>
      <w:r w:rsidR="00E42813" w:rsidRPr="00D652D5">
        <w:rPr>
          <w:lang w:eastAsia="en-US"/>
        </w:rPr>
        <w:t>indicative</w:t>
      </w:r>
      <w:bookmarkEnd w:id="15"/>
      <w:r w:rsidR="00E42813" w:rsidRPr="00D652D5">
        <w:rPr>
          <w:lang w:eastAsia="en-US"/>
        </w:rPr>
        <w:t xml:space="preserve"> contributions specified in table 1 of the decision referred to in paragraph 1 above;</w:t>
      </w:r>
    </w:p>
    <w:p w14:paraId="1203C2C8" w14:textId="6C7660A5" w:rsidR="00E42813" w:rsidRPr="00D652D5" w:rsidRDefault="006C00BB" w:rsidP="006C00BB">
      <w:pPr>
        <w:pStyle w:val="RegSingleTxtG"/>
        <w:numPr>
          <w:ilvl w:val="0"/>
          <w:numId w:val="0"/>
        </w:numPr>
        <w:tabs>
          <w:tab w:val="left" w:pos="568"/>
        </w:tabs>
        <w:suppressAutoHyphens w:val="0"/>
        <w:spacing w:line="240" w:lineRule="auto"/>
        <w:ind w:left="1135"/>
        <w:rPr>
          <w:lang w:eastAsia="en-US"/>
        </w:rPr>
      </w:pPr>
      <w:r w:rsidRPr="00D652D5">
        <w:rPr>
          <w:lang w:eastAsia="en-US"/>
        </w:rPr>
        <w:t>4.</w:t>
      </w:r>
      <w:r w:rsidRPr="00D652D5">
        <w:rPr>
          <w:lang w:eastAsia="en-US"/>
        </w:rPr>
        <w:tab/>
      </w:r>
      <w:r w:rsidR="00E42813" w:rsidRPr="00D652D5">
        <w:rPr>
          <w:i/>
          <w:iCs/>
          <w:lang w:eastAsia="en-US"/>
        </w:rPr>
        <w:t>Invites</w:t>
      </w:r>
      <w:r w:rsidR="00E42813" w:rsidRPr="00D652D5">
        <w:rPr>
          <w:lang w:eastAsia="en-US"/>
        </w:rPr>
        <w:t xml:space="preserve"> all Parties to the Kyoto Protocol to </w:t>
      </w:r>
      <w:r w:rsidR="00E42813" w:rsidRPr="00D652D5">
        <w:rPr>
          <w:iCs/>
          <w:lang w:eastAsia="en-US"/>
        </w:rPr>
        <w:t>note</w:t>
      </w:r>
      <w:r w:rsidR="00E42813" w:rsidRPr="00D652D5">
        <w:rPr>
          <w:lang w:eastAsia="en-US"/>
        </w:rPr>
        <w:t xml:space="preserve"> that each Party shall, prior to 1 January of each year, inform the secretariat of the contribution it intends to make that year and of the projected timing of that contribution in accordance with paragraph 8(a) of the financial procedures for the Conference of the Parties, its subsidiary bodies and the secretariat,</w:t>
      </w:r>
      <w:r w:rsidR="00E42813" w:rsidRPr="00D652D5">
        <w:rPr>
          <w:sz w:val="18"/>
          <w:szCs w:val="18"/>
          <w:vertAlign w:val="superscript"/>
          <w:lang w:eastAsia="en-US"/>
        </w:rPr>
        <w:footnoteReference w:id="21"/>
      </w:r>
      <w:r w:rsidR="00E42813" w:rsidRPr="00D652D5">
        <w:rPr>
          <w:lang w:eastAsia="en-US"/>
        </w:rPr>
        <w:t xml:space="preserve"> and that contributions to the core budget are due on 1 January of each year in accordance with paragraph 8(b) of the financial procedures, and to pay promptly and in full, for each of 2020 and 2021, the contributions required to finance the expenditures approved in paragraph 1 above;</w:t>
      </w:r>
    </w:p>
    <w:p w14:paraId="35542B3A" w14:textId="1DEEC7DE" w:rsidR="00E42813" w:rsidRPr="00D652D5" w:rsidRDefault="006C00BB" w:rsidP="006C00BB">
      <w:pPr>
        <w:pStyle w:val="RegSingleTxtG"/>
        <w:numPr>
          <w:ilvl w:val="0"/>
          <w:numId w:val="0"/>
        </w:numPr>
        <w:tabs>
          <w:tab w:val="left" w:pos="568"/>
        </w:tabs>
        <w:suppressAutoHyphens w:val="0"/>
        <w:spacing w:line="240" w:lineRule="auto"/>
        <w:ind w:left="1135"/>
        <w:rPr>
          <w:lang w:eastAsia="en-US"/>
        </w:rPr>
      </w:pPr>
      <w:r w:rsidRPr="00D652D5">
        <w:rPr>
          <w:lang w:eastAsia="en-US"/>
        </w:rPr>
        <w:t>5.</w:t>
      </w:r>
      <w:r w:rsidRPr="00D652D5">
        <w:rPr>
          <w:lang w:eastAsia="en-US"/>
        </w:rPr>
        <w:tab/>
      </w:r>
      <w:r w:rsidR="00E42813" w:rsidRPr="00D652D5">
        <w:rPr>
          <w:i/>
          <w:iCs/>
          <w:lang w:eastAsia="en-US"/>
        </w:rPr>
        <w:t>Takes note</w:t>
      </w:r>
      <w:r w:rsidR="00E42813" w:rsidRPr="00D652D5">
        <w:rPr>
          <w:lang w:eastAsia="en-US"/>
        </w:rPr>
        <w:t xml:space="preserve"> of the funding arrangements for the clean development mechanism and joint implementation;</w:t>
      </w:r>
    </w:p>
    <w:p w14:paraId="790B2F3A" w14:textId="77777777" w:rsidR="00E42813" w:rsidRPr="00D652D5" w:rsidRDefault="00E42813" w:rsidP="006C00BB">
      <w:pPr>
        <w:pStyle w:val="RegHChG"/>
        <w:numPr>
          <w:ilvl w:val="0"/>
          <w:numId w:val="0"/>
        </w:numPr>
        <w:ind w:left="1135" w:hanging="454"/>
      </w:pPr>
      <w:r w:rsidRPr="00D652D5">
        <w:t>Other financial and budgetary matters</w:t>
      </w:r>
    </w:p>
    <w:p w14:paraId="3D1FB822" w14:textId="09625F4D" w:rsidR="00E42813" w:rsidRPr="00D652D5" w:rsidRDefault="006C00BB" w:rsidP="006C00BB">
      <w:pPr>
        <w:pStyle w:val="RegSingleTxtG"/>
        <w:numPr>
          <w:ilvl w:val="0"/>
          <w:numId w:val="0"/>
        </w:numPr>
        <w:tabs>
          <w:tab w:val="left" w:pos="568"/>
        </w:tabs>
        <w:suppressAutoHyphens w:val="0"/>
        <w:spacing w:line="240" w:lineRule="auto"/>
        <w:ind w:left="1135"/>
      </w:pPr>
      <w:r w:rsidRPr="00D652D5">
        <w:t>6.</w:t>
      </w:r>
      <w:r w:rsidRPr="00D652D5">
        <w:tab/>
      </w:r>
      <w:r w:rsidR="00E42813" w:rsidRPr="00D652D5">
        <w:rPr>
          <w:i/>
        </w:rPr>
        <w:t>Also takes note</w:t>
      </w:r>
      <w:r w:rsidR="00E42813" w:rsidRPr="00D652D5">
        <w:t xml:space="preserve"> of the information contained in the note by the secretariat on the revised indicative contributions for 2019;</w:t>
      </w:r>
      <w:r w:rsidR="00E42813" w:rsidRPr="00D652D5">
        <w:rPr>
          <w:rStyle w:val="FootnoteReference"/>
        </w:rPr>
        <w:footnoteReference w:id="22"/>
      </w:r>
    </w:p>
    <w:p w14:paraId="04E7D822" w14:textId="38F77C25" w:rsidR="00E42813" w:rsidRPr="00D652D5" w:rsidRDefault="006C00BB" w:rsidP="006C00BB">
      <w:pPr>
        <w:pStyle w:val="RegSingleTxtG"/>
        <w:numPr>
          <w:ilvl w:val="0"/>
          <w:numId w:val="0"/>
        </w:numPr>
        <w:tabs>
          <w:tab w:val="left" w:pos="568"/>
        </w:tabs>
        <w:suppressAutoHyphens w:val="0"/>
        <w:spacing w:line="240" w:lineRule="auto"/>
        <w:ind w:left="1135"/>
      </w:pPr>
      <w:r w:rsidRPr="00D652D5">
        <w:t>7.</w:t>
      </w:r>
      <w:r w:rsidRPr="00D652D5">
        <w:tab/>
      </w:r>
      <w:r w:rsidR="00E42813" w:rsidRPr="00D652D5">
        <w:rPr>
          <w:i/>
        </w:rPr>
        <w:t xml:space="preserve">Decides </w:t>
      </w:r>
      <w:r w:rsidR="00E42813" w:rsidRPr="00D652D5">
        <w:t>that the indicative scale of contributions contained in the annex shall also be applicable for 2019, covering 15 per cent of the contributions specified in table 1 of decision 21/CP.23.</w:t>
      </w:r>
    </w:p>
    <w:p w14:paraId="4D5B336B" w14:textId="77777777" w:rsidR="00E42813" w:rsidRPr="00D652D5" w:rsidRDefault="00E42813" w:rsidP="00052BFE">
      <w:pPr>
        <w:pStyle w:val="HChG"/>
        <w:spacing w:before="0"/>
        <w:rPr>
          <w:b w:val="0"/>
          <w:szCs w:val="28"/>
          <w:lang w:eastAsia="en-US"/>
        </w:rPr>
      </w:pPr>
      <w:r w:rsidRPr="00D652D5">
        <w:rPr>
          <w:lang w:eastAsia="en-US"/>
        </w:rPr>
        <w:br w:type="page"/>
      </w:r>
      <w:r w:rsidRPr="00D652D5">
        <w:lastRenderedPageBreak/>
        <w:t>Annex</w:t>
      </w:r>
    </w:p>
    <w:p w14:paraId="3ED06A03" w14:textId="77777777" w:rsidR="00E42813" w:rsidRPr="00D652D5" w:rsidRDefault="00E42813" w:rsidP="00E42813">
      <w:pPr>
        <w:keepNext/>
        <w:keepLines/>
        <w:spacing w:after="60" w:line="240" w:lineRule="auto"/>
        <w:ind w:left="1134" w:right="1134"/>
        <w:rPr>
          <w:b/>
          <w:bCs/>
          <w:sz w:val="28"/>
          <w:szCs w:val="28"/>
        </w:rPr>
      </w:pPr>
      <w:r w:rsidRPr="00D652D5">
        <w:rPr>
          <w:b/>
          <w:bCs/>
          <w:sz w:val="28"/>
          <w:szCs w:val="28"/>
        </w:rPr>
        <w:t>Indicative scale of contributions from Parties to the Kyoto Protocol for 2019–2021</w:t>
      </w:r>
    </w:p>
    <w:p w14:paraId="5C7FBC45" w14:textId="77777777" w:rsidR="00E42813" w:rsidRPr="00D652D5" w:rsidRDefault="00E42813" w:rsidP="00E42813">
      <w:pPr>
        <w:pStyle w:val="RegSingleTxtG"/>
        <w:numPr>
          <w:ilvl w:val="0"/>
          <w:numId w:val="0"/>
        </w:numPr>
        <w:suppressAutoHyphens w:val="0"/>
        <w:spacing w:line="240" w:lineRule="auto"/>
        <w:rPr>
          <w:lang w:eastAsia="en-US"/>
        </w:rPr>
      </w:pPr>
    </w:p>
    <w:tbl>
      <w:tblPr>
        <w:tblW w:w="7372" w:type="dxa"/>
        <w:tblInd w:w="1134" w:type="dxa"/>
        <w:tblBorders>
          <w:top w:val="single" w:sz="2" w:space="0" w:color="auto"/>
          <w:bottom w:val="single" w:sz="12" w:space="0" w:color="auto"/>
        </w:tblBorders>
        <w:tblLayout w:type="fixed"/>
        <w:tblCellMar>
          <w:left w:w="0" w:type="dxa"/>
          <w:right w:w="113" w:type="dxa"/>
        </w:tblCellMar>
        <w:tblLook w:val="0000" w:firstRow="0" w:lastRow="0" w:firstColumn="0" w:lastColumn="0" w:noHBand="0" w:noVBand="0"/>
      </w:tblPr>
      <w:tblGrid>
        <w:gridCol w:w="2977"/>
        <w:gridCol w:w="2325"/>
        <w:gridCol w:w="2070"/>
      </w:tblGrid>
      <w:tr w:rsidR="00E42813" w:rsidRPr="00D652D5" w14:paraId="433C861F" w14:textId="77777777" w:rsidTr="00E83CEA">
        <w:trPr>
          <w:trHeight w:val="240"/>
          <w:tblHeader/>
        </w:trPr>
        <w:tc>
          <w:tcPr>
            <w:tcW w:w="2977" w:type="dxa"/>
            <w:tcBorders>
              <w:top w:val="single" w:sz="4" w:space="0" w:color="auto"/>
              <w:bottom w:val="single" w:sz="12" w:space="0" w:color="auto"/>
            </w:tcBorders>
            <w:shd w:val="clear" w:color="auto" w:fill="auto"/>
            <w:noWrap/>
            <w:vAlign w:val="bottom"/>
          </w:tcPr>
          <w:p w14:paraId="2B669256" w14:textId="77777777" w:rsidR="00E42813" w:rsidRPr="00D652D5" w:rsidRDefault="00E42813" w:rsidP="00E42813">
            <w:pPr>
              <w:suppressAutoHyphens w:val="0"/>
              <w:spacing w:before="80" w:after="80" w:line="200" w:lineRule="exact"/>
              <w:rPr>
                <w:rFonts w:eastAsia="Arial Unicode MS"/>
                <w:i/>
                <w:sz w:val="16"/>
                <w:szCs w:val="16"/>
                <w:lang w:eastAsia="de-DE"/>
              </w:rPr>
            </w:pPr>
            <w:r w:rsidRPr="00D652D5">
              <w:rPr>
                <w:rFonts w:eastAsia="MS Mincho"/>
                <w:i/>
                <w:sz w:val="16"/>
                <w:szCs w:val="16"/>
                <w:lang w:eastAsia="de-DE"/>
              </w:rPr>
              <w:t xml:space="preserve">Party </w:t>
            </w:r>
          </w:p>
        </w:tc>
        <w:tc>
          <w:tcPr>
            <w:tcW w:w="2325" w:type="dxa"/>
            <w:tcBorders>
              <w:top w:val="single" w:sz="4" w:space="0" w:color="auto"/>
              <w:bottom w:val="single" w:sz="12" w:space="0" w:color="auto"/>
            </w:tcBorders>
            <w:shd w:val="clear" w:color="auto" w:fill="auto"/>
            <w:vAlign w:val="bottom"/>
          </w:tcPr>
          <w:p w14:paraId="1908BCF8" w14:textId="77777777" w:rsidR="00E42813" w:rsidRPr="00D652D5" w:rsidRDefault="00E42813" w:rsidP="00E42813">
            <w:pPr>
              <w:suppressAutoHyphens w:val="0"/>
              <w:spacing w:before="80" w:after="80" w:line="200" w:lineRule="exact"/>
              <w:ind w:left="113" w:right="36"/>
              <w:jc w:val="right"/>
              <w:rPr>
                <w:rFonts w:eastAsia="Arial Unicode MS"/>
                <w:i/>
                <w:sz w:val="16"/>
                <w:szCs w:val="16"/>
                <w:lang w:eastAsia="de-DE"/>
              </w:rPr>
            </w:pPr>
            <w:r w:rsidRPr="00D652D5">
              <w:rPr>
                <w:rFonts w:eastAsia="MS Mincho"/>
                <w:i/>
                <w:sz w:val="16"/>
                <w:szCs w:val="16"/>
                <w:lang w:eastAsia="de-DE"/>
              </w:rPr>
              <w:t>United Nations scale of assessments for 2019–2021</w:t>
            </w:r>
          </w:p>
        </w:tc>
        <w:tc>
          <w:tcPr>
            <w:tcW w:w="2070" w:type="dxa"/>
            <w:tcBorders>
              <w:top w:val="single" w:sz="4" w:space="0" w:color="auto"/>
              <w:bottom w:val="single" w:sz="12" w:space="0" w:color="auto"/>
            </w:tcBorders>
            <w:shd w:val="clear" w:color="auto" w:fill="auto"/>
            <w:vAlign w:val="bottom"/>
          </w:tcPr>
          <w:p w14:paraId="7F4633C2" w14:textId="77777777" w:rsidR="00E42813" w:rsidRPr="00D652D5" w:rsidRDefault="00E42813" w:rsidP="00E42813">
            <w:pPr>
              <w:suppressAutoHyphens w:val="0"/>
              <w:spacing w:before="80" w:after="80" w:line="200" w:lineRule="exact"/>
              <w:ind w:left="113"/>
              <w:jc w:val="right"/>
              <w:rPr>
                <w:rFonts w:eastAsia="Arial Unicode MS"/>
                <w:i/>
                <w:sz w:val="16"/>
                <w:szCs w:val="16"/>
                <w:lang w:eastAsia="de-DE"/>
              </w:rPr>
            </w:pPr>
            <w:r w:rsidRPr="00D652D5">
              <w:rPr>
                <w:rFonts w:eastAsia="MS Mincho"/>
                <w:i/>
                <w:sz w:val="16"/>
                <w:szCs w:val="16"/>
                <w:lang w:eastAsia="de-DE"/>
              </w:rPr>
              <w:t>Kyoto Protocol scale for 2019–2021</w:t>
            </w:r>
          </w:p>
        </w:tc>
      </w:tr>
      <w:tr w:rsidR="00E42813" w:rsidRPr="00D652D5" w14:paraId="07FFD4EE" w14:textId="77777777" w:rsidTr="003F5394">
        <w:trPr>
          <w:trHeight w:val="240"/>
        </w:trPr>
        <w:tc>
          <w:tcPr>
            <w:tcW w:w="2977" w:type="dxa"/>
            <w:tcBorders>
              <w:top w:val="single" w:sz="12" w:space="0" w:color="auto"/>
            </w:tcBorders>
            <w:shd w:val="clear" w:color="auto" w:fill="auto"/>
            <w:noWrap/>
            <w:vAlign w:val="bottom"/>
          </w:tcPr>
          <w:p w14:paraId="03F23BCA"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Afghanistan</w:t>
            </w:r>
          </w:p>
        </w:tc>
        <w:tc>
          <w:tcPr>
            <w:tcW w:w="2325" w:type="dxa"/>
            <w:tcBorders>
              <w:top w:val="single" w:sz="12" w:space="0" w:color="auto"/>
            </w:tcBorders>
            <w:shd w:val="clear" w:color="auto" w:fill="auto"/>
            <w:noWrap/>
            <w:vAlign w:val="bottom"/>
          </w:tcPr>
          <w:p w14:paraId="7EEC76C4" w14:textId="77777777" w:rsidR="00E42813" w:rsidRPr="00D652D5" w:rsidRDefault="00E42813" w:rsidP="003F5394">
            <w:pPr>
              <w:suppressAutoHyphens w:val="0"/>
              <w:spacing w:line="240" w:lineRule="auto"/>
              <w:jc w:val="right"/>
              <w:rPr>
                <w:sz w:val="18"/>
                <w:szCs w:val="18"/>
              </w:rPr>
            </w:pPr>
            <w:r w:rsidRPr="00D652D5">
              <w:rPr>
                <w:sz w:val="18"/>
                <w:szCs w:val="18"/>
              </w:rPr>
              <w:t>0.007</w:t>
            </w:r>
          </w:p>
        </w:tc>
        <w:tc>
          <w:tcPr>
            <w:tcW w:w="2070" w:type="dxa"/>
            <w:tcBorders>
              <w:top w:val="single" w:sz="12" w:space="0" w:color="auto"/>
            </w:tcBorders>
            <w:shd w:val="clear" w:color="auto" w:fill="auto"/>
            <w:noWrap/>
            <w:vAlign w:val="bottom"/>
          </w:tcPr>
          <w:p w14:paraId="50953ADB"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0.009</w:t>
            </w:r>
          </w:p>
        </w:tc>
      </w:tr>
      <w:tr w:rsidR="00E42813" w:rsidRPr="00D652D5" w14:paraId="1E5D02C9" w14:textId="77777777" w:rsidTr="003F5394">
        <w:trPr>
          <w:trHeight w:val="240"/>
        </w:trPr>
        <w:tc>
          <w:tcPr>
            <w:tcW w:w="2977" w:type="dxa"/>
            <w:shd w:val="clear" w:color="auto" w:fill="auto"/>
            <w:noWrap/>
            <w:vAlign w:val="bottom"/>
          </w:tcPr>
          <w:p w14:paraId="7C985B1D"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Albania</w:t>
            </w:r>
          </w:p>
        </w:tc>
        <w:tc>
          <w:tcPr>
            <w:tcW w:w="2325" w:type="dxa"/>
            <w:shd w:val="clear" w:color="auto" w:fill="auto"/>
            <w:noWrap/>
            <w:vAlign w:val="bottom"/>
          </w:tcPr>
          <w:p w14:paraId="7BEC71A0" w14:textId="77777777" w:rsidR="00E42813" w:rsidRPr="00D652D5" w:rsidRDefault="00E42813" w:rsidP="003F5394">
            <w:pPr>
              <w:suppressAutoHyphens w:val="0"/>
              <w:spacing w:line="240" w:lineRule="auto"/>
              <w:jc w:val="right"/>
              <w:rPr>
                <w:sz w:val="18"/>
                <w:szCs w:val="18"/>
              </w:rPr>
            </w:pPr>
            <w:r w:rsidRPr="00D652D5">
              <w:rPr>
                <w:sz w:val="18"/>
                <w:szCs w:val="18"/>
              </w:rPr>
              <w:t>0.008</w:t>
            </w:r>
          </w:p>
        </w:tc>
        <w:tc>
          <w:tcPr>
            <w:tcW w:w="2070" w:type="dxa"/>
            <w:shd w:val="clear" w:color="auto" w:fill="auto"/>
            <w:noWrap/>
            <w:vAlign w:val="bottom"/>
          </w:tcPr>
          <w:p w14:paraId="38CFFE56"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0.010</w:t>
            </w:r>
          </w:p>
        </w:tc>
      </w:tr>
      <w:tr w:rsidR="00E42813" w:rsidRPr="00D652D5" w14:paraId="2120C83D" w14:textId="77777777" w:rsidTr="003F5394">
        <w:trPr>
          <w:trHeight w:val="240"/>
        </w:trPr>
        <w:tc>
          <w:tcPr>
            <w:tcW w:w="2977" w:type="dxa"/>
            <w:shd w:val="clear" w:color="auto" w:fill="auto"/>
            <w:noWrap/>
            <w:vAlign w:val="bottom"/>
          </w:tcPr>
          <w:p w14:paraId="71408ED1"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Algeria</w:t>
            </w:r>
          </w:p>
        </w:tc>
        <w:tc>
          <w:tcPr>
            <w:tcW w:w="2325" w:type="dxa"/>
            <w:shd w:val="clear" w:color="auto" w:fill="auto"/>
            <w:noWrap/>
            <w:vAlign w:val="bottom"/>
          </w:tcPr>
          <w:p w14:paraId="54B3D1CC" w14:textId="77777777" w:rsidR="00E42813" w:rsidRPr="00D652D5" w:rsidRDefault="00E42813" w:rsidP="003F5394">
            <w:pPr>
              <w:suppressAutoHyphens w:val="0"/>
              <w:spacing w:line="240" w:lineRule="auto"/>
              <w:jc w:val="right"/>
              <w:rPr>
                <w:sz w:val="18"/>
                <w:szCs w:val="18"/>
              </w:rPr>
            </w:pPr>
            <w:r w:rsidRPr="00D652D5">
              <w:rPr>
                <w:sz w:val="18"/>
                <w:szCs w:val="18"/>
              </w:rPr>
              <w:t>0.138</w:t>
            </w:r>
          </w:p>
        </w:tc>
        <w:tc>
          <w:tcPr>
            <w:tcW w:w="2070" w:type="dxa"/>
            <w:shd w:val="clear" w:color="auto" w:fill="auto"/>
            <w:noWrap/>
            <w:vAlign w:val="bottom"/>
          </w:tcPr>
          <w:p w14:paraId="11847247"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0.179</w:t>
            </w:r>
          </w:p>
        </w:tc>
      </w:tr>
      <w:tr w:rsidR="00E42813" w:rsidRPr="00D652D5" w14:paraId="05632F5A" w14:textId="77777777" w:rsidTr="003F5394">
        <w:trPr>
          <w:trHeight w:val="240"/>
        </w:trPr>
        <w:tc>
          <w:tcPr>
            <w:tcW w:w="2977" w:type="dxa"/>
            <w:shd w:val="clear" w:color="auto" w:fill="auto"/>
            <w:noWrap/>
            <w:vAlign w:val="bottom"/>
          </w:tcPr>
          <w:p w14:paraId="01AE99B7"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Angola</w:t>
            </w:r>
          </w:p>
        </w:tc>
        <w:tc>
          <w:tcPr>
            <w:tcW w:w="2325" w:type="dxa"/>
            <w:shd w:val="clear" w:color="auto" w:fill="auto"/>
            <w:noWrap/>
            <w:vAlign w:val="bottom"/>
          </w:tcPr>
          <w:p w14:paraId="224BB4E2" w14:textId="77777777" w:rsidR="00E42813" w:rsidRPr="00D652D5" w:rsidRDefault="00E42813" w:rsidP="003F5394">
            <w:pPr>
              <w:suppressAutoHyphens w:val="0"/>
              <w:spacing w:line="240" w:lineRule="auto"/>
              <w:jc w:val="right"/>
              <w:rPr>
                <w:sz w:val="18"/>
                <w:szCs w:val="18"/>
              </w:rPr>
            </w:pPr>
            <w:r w:rsidRPr="00D652D5">
              <w:rPr>
                <w:sz w:val="18"/>
                <w:szCs w:val="18"/>
              </w:rPr>
              <w:t>0.010</w:t>
            </w:r>
          </w:p>
        </w:tc>
        <w:tc>
          <w:tcPr>
            <w:tcW w:w="2070" w:type="dxa"/>
            <w:shd w:val="clear" w:color="auto" w:fill="auto"/>
            <w:noWrap/>
            <w:vAlign w:val="bottom"/>
          </w:tcPr>
          <w:p w14:paraId="4D670CCF"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0.013</w:t>
            </w:r>
          </w:p>
        </w:tc>
      </w:tr>
      <w:tr w:rsidR="00E42813" w:rsidRPr="00D652D5" w14:paraId="3F554A4D" w14:textId="77777777" w:rsidTr="003F5394">
        <w:trPr>
          <w:trHeight w:val="240"/>
        </w:trPr>
        <w:tc>
          <w:tcPr>
            <w:tcW w:w="2977" w:type="dxa"/>
            <w:shd w:val="clear" w:color="auto" w:fill="auto"/>
            <w:noWrap/>
            <w:vAlign w:val="bottom"/>
          </w:tcPr>
          <w:p w14:paraId="491C547B"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Antigua and Barbuda</w:t>
            </w:r>
          </w:p>
        </w:tc>
        <w:tc>
          <w:tcPr>
            <w:tcW w:w="2325" w:type="dxa"/>
            <w:shd w:val="clear" w:color="auto" w:fill="auto"/>
            <w:noWrap/>
            <w:vAlign w:val="bottom"/>
          </w:tcPr>
          <w:p w14:paraId="5EE1C2C8" w14:textId="77777777" w:rsidR="00E42813" w:rsidRPr="00D652D5" w:rsidRDefault="00E42813" w:rsidP="003F5394">
            <w:pPr>
              <w:suppressAutoHyphens w:val="0"/>
              <w:spacing w:line="240" w:lineRule="auto"/>
              <w:jc w:val="right"/>
              <w:rPr>
                <w:sz w:val="18"/>
                <w:szCs w:val="18"/>
              </w:rPr>
            </w:pPr>
            <w:r w:rsidRPr="00D652D5">
              <w:rPr>
                <w:sz w:val="18"/>
                <w:szCs w:val="18"/>
              </w:rPr>
              <w:t>0.002</w:t>
            </w:r>
          </w:p>
        </w:tc>
        <w:tc>
          <w:tcPr>
            <w:tcW w:w="2070" w:type="dxa"/>
            <w:shd w:val="clear" w:color="auto" w:fill="auto"/>
            <w:noWrap/>
            <w:vAlign w:val="bottom"/>
          </w:tcPr>
          <w:p w14:paraId="15FA532B"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0.003</w:t>
            </w:r>
          </w:p>
        </w:tc>
      </w:tr>
      <w:tr w:rsidR="00E42813" w:rsidRPr="00D652D5" w14:paraId="6F214D40" w14:textId="77777777" w:rsidTr="003F5394">
        <w:trPr>
          <w:trHeight w:val="240"/>
        </w:trPr>
        <w:tc>
          <w:tcPr>
            <w:tcW w:w="2977" w:type="dxa"/>
            <w:shd w:val="clear" w:color="auto" w:fill="auto"/>
            <w:noWrap/>
            <w:vAlign w:val="bottom"/>
          </w:tcPr>
          <w:p w14:paraId="46102FDC"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Argentina</w:t>
            </w:r>
          </w:p>
        </w:tc>
        <w:tc>
          <w:tcPr>
            <w:tcW w:w="2325" w:type="dxa"/>
            <w:shd w:val="clear" w:color="auto" w:fill="auto"/>
            <w:noWrap/>
            <w:vAlign w:val="bottom"/>
          </w:tcPr>
          <w:p w14:paraId="7608D420" w14:textId="77777777" w:rsidR="00E42813" w:rsidRPr="00D652D5" w:rsidRDefault="00E42813" w:rsidP="003F5394">
            <w:pPr>
              <w:suppressAutoHyphens w:val="0"/>
              <w:spacing w:line="240" w:lineRule="auto"/>
              <w:jc w:val="right"/>
              <w:rPr>
                <w:sz w:val="18"/>
                <w:szCs w:val="18"/>
              </w:rPr>
            </w:pPr>
            <w:r w:rsidRPr="00D652D5">
              <w:rPr>
                <w:sz w:val="18"/>
                <w:szCs w:val="18"/>
              </w:rPr>
              <w:t>0.915</w:t>
            </w:r>
          </w:p>
        </w:tc>
        <w:tc>
          <w:tcPr>
            <w:tcW w:w="2070" w:type="dxa"/>
            <w:shd w:val="clear" w:color="auto" w:fill="auto"/>
            <w:noWrap/>
            <w:vAlign w:val="bottom"/>
          </w:tcPr>
          <w:p w14:paraId="4BBEBB39" w14:textId="77777777" w:rsidR="00E42813" w:rsidRPr="00D652D5" w:rsidRDefault="00E42813" w:rsidP="003F5394">
            <w:pPr>
              <w:suppressAutoHyphens w:val="0"/>
              <w:spacing w:line="240" w:lineRule="auto"/>
              <w:jc w:val="right"/>
              <w:rPr>
                <w:sz w:val="18"/>
                <w:szCs w:val="18"/>
              </w:rPr>
            </w:pPr>
            <w:r w:rsidRPr="00D652D5">
              <w:rPr>
                <w:color w:val="000000"/>
                <w:sz w:val="18"/>
                <w:szCs w:val="18"/>
              </w:rPr>
              <w:t>1.186</w:t>
            </w:r>
          </w:p>
        </w:tc>
      </w:tr>
      <w:tr w:rsidR="00E42813" w:rsidRPr="00D652D5" w14:paraId="4A6FE0A7" w14:textId="77777777" w:rsidTr="003F5394">
        <w:trPr>
          <w:trHeight w:val="240"/>
        </w:trPr>
        <w:tc>
          <w:tcPr>
            <w:tcW w:w="2977" w:type="dxa"/>
            <w:shd w:val="clear" w:color="auto" w:fill="auto"/>
            <w:noWrap/>
            <w:vAlign w:val="bottom"/>
          </w:tcPr>
          <w:p w14:paraId="6B9D7E64"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Armenia</w:t>
            </w:r>
          </w:p>
        </w:tc>
        <w:tc>
          <w:tcPr>
            <w:tcW w:w="2325" w:type="dxa"/>
            <w:shd w:val="clear" w:color="auto" w:fill="auto"/>
            <w:noWrap/>
            <w:vAlign w:val="bottom"/>
          </w:tcPr>
          <w:p w14:paraId="1406C322" w14:textId="77777777" w:rsidR="00E42813" w:rsidRPr="00D652D5" w:rsidRDefault="00E42813" w:rsidP="003F5394">
            <w:pPr>
              <w:suppressAutoHyphens w:val="0"/>
              <w:spacing w:line="240" w:lineRule="auto"/>
              <w:jc w:val="right"/>
              <w:rPr>
                <w:sz w:val="18"/>
                <w:szCs w:val="18"/>
              </w:rPr>
            </w:pPr>
            <w:r w:rsidRPr="00D652D5">
              <w:rPr>
                <w:sz w:val="18"/>
                <w:szCs w:val="18"/>
              </w:rPr>
              <w:t>0.007</w:t>
            </w:r>
          </w:p>
        </w:tc>
        <w:tc>
          <w:tcPr>
            <w:tcW w:w="2070" w:type="dxa"/>
            <w:shd w:val="clear" w:color="auto" w:fill="auto"/>
            <w:noWrap/>
            <w:vAlign w:val="bottom"/>
          </w:tcPr>
          <w:p w14:paraId="6278AC1E"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0.009</w:t>
            </w:r>
          </w:p>
        </w:tc>
      </w:tr>
      <w:tr w:rsidR="00E42813" w:rsidRPr="00D652D5" w14:paraId="303ECBAC" w14:textId="77777777" w:rsidTr="003F5394">
        <w:trPr>
          <w:trHeight w:val="240"/>
        </w:trPr>
        <w:tc>
          <w:tcPr>
            <w:tcW w:w="2977" w:type="dxa"/>
            <w:shd w:val="clear" w:color="auto" w:fill="auto"/>
            <w:noWrap/>
            <w:vAlign w:val="bottom"/>
          </w:tcPr>
          <w:p w14:paraId="410A33C5"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Australia</w:t>
            </w:r>
          </w:p>
        </w:tc>
        <w:tc>
          <w:tcPr>
            <w:tcW w:w="2325" w:type="dxa"/>
            <w:shd w:val="clear" w:color="auto" w:fill="auto"/>
            <w:noWrap/>
            <w:vAlign w:val="bottom"/>
          </w:tcPr>
          <w:p w14:paraId="3F70E2E2" w14:textId="77777777" w:rsidR="00E42813" w:rsidRPr="00D652D5" w:rsidRDefault="00E42813" w:rsidP="003F5394">
            <w:pPr>
              <w:suppressAutoHyphens w:val="0"/>
              <w:spacing w:line="240" w:lineRule="auto"/>
              <w:jc w:val="right"/>
              <w:rPr>
                <w:sz w:val="18"/>
                <w:szCs w:val="18"/>
              </w:rPr>
            </w:pPr>
            <w:r w:rsidRPr="00D652D5">
              <w:rPr>
                <w:sz w:val="18"/>
                <w:szCs w:val="18"/>
              </w:rPr>
              <w:t>2.210</w:t>
            </w:r>
          </w:p>
        </w:tc>
        <w:tc>
          <w:tcPr>
            <w:tcW w:w="2070" w:type="dxa"/>
            <w:shd w:val="clear" w:color="auto" w:fill="auto"/>
            <w:noWrap/>
            <w:vAlign w:val="bottom"/>
          </w:tcPr>
          <w:p w14:paraId="68BCDB87" w14:textId="77777777" w:rsidR="00E42813" w:rsidRPr="00D652D5" w:rsidRDefault="00E42813" w:rsidP="003F5394">
            <w:pPr>
              <w:suppressAutoHyphens w:val="0"/>
              <w:spacing w:line="240" w:lineRule="auto"/>
              <w:jc w:val="right"/>
              <w:rPr>
                <w:sz w:val="18"/>
                <w:szCs w:val="18"/>
              </w:rPr>
            </w:pPr>
            <w:r w:rsidRPr="00D652D5">
              <w:rPr>
                <w:color w:val="000000"/>
                <w:sz w:val="18"/>
                <w:szCs w:val="18"/>
              </w:rPr>
              <w:t>2.863</w:t>
            </w:r>
          </w:p>
        </w:tc>
      </w:tr>
      <w:tr w:rsidR="00E42813" w:rsidRPr="00D652D5" w14:paraId="1446C125" w14:textId="77777777" w:rsidTr="003F5394">
        <w:trPr>
          <w:trHeight w:val="240"/>
        </w:trPr>
        <w:tc>
          <w:tcPr>
            <w:tcW w:w="2977" w:type="dxa"/>
            <w:shd w:val="clear" w:color="auto" w:fill="auto"/>
            <w:noWrap/>
            <w:vAlign w:val="bottom"/>
          </w:tcPr>
          <w:p w14:paraId="74184219"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Austria</w:t>
            </w:r>
          </w:p>
        </w:tc>
        <w:tc>
          <w:tcPr>
            <w:tcW w:w="2325" w:type="dxa"/>
            <w:shd w:val="clear" w:color="auto" w:fill="auto"/>
            <w:noWrap/>
            <w:vAlign w:val="bottom"/>
          </w:tcPr>
          <w:p w14:paraId="61ACB742" w14:textId="77777777" w:rsidR="00E42813" w:rsidRPr="00D652D5" w:rsidRDefault="00E42813" w:rsidP="003F5394">
            <w:pPr>
              <w:suppressAutoHyphens w:val="0"/>
              <w:spacing w:line="240" w:lineRule="auto"/>
              <w:jc w:val="right"/>
              <w:rPr>
                <w:sz w:val="18"/>
                <w:szCs w:val="18"/>
              </w:rPr>
            </w:pPr>
            <w:r w:rsidRPr="00D652D5">
              <w:rPr>
                <w:sz w:val="18"/>
                <w:szCs w:val="18"/>
              </w:rPr>
              <w:t>0.677</w:t>
            </w:r>
          </w:p>
        </w:tc>
        <w:tc>
          <w:tcPr>
            <w:tcW w:w="2070" w:type="dxa"/>
            <w:shd w:val="clear" w:color="auto" w:fill="auto"/>
            <w:noWrap/>
            <w:vAlign w:val="bottom"/>
          </w:tcPr>
          <w:p w14:paraId="39FF5AAF"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0.877</w:t>
            </w:r>
          </w:p>
        </w:tc>
      </w:tr>
      <w:tr w:rsidR="00E42813" w:rsidRPr="00D652D5" w14:paraId="7FF92C33" w14:textId="77777777" w:rsidTr="003F5394">
        <w:trPr>
          <w:trHeight w:val="240"/>
        </w:trPr>
        <w:tc>
          <w:tcPr>
            <w:tcW w:w="2977" w:type="dxa"/>
            <w:shd w:val="clear" w:color="auto" w:fill="auto"/>
            <w:noWrap/>
            <w:vAlign w:val="bottom"/>
          </w:tcPr>
          <w:p w14:paraId="796C6C8C"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Azerbaijan</w:t>
            </w:r>
          </w:p>
        </w:tc>
        <w:tc>
          <w:tcPr>
            <w:tcW w:w="2325" w:type="dxa"/>
            <w:shd w:val="clear" w:color="auto" w:fill="auto"/>
            <w:noWrap/>
            <w:vAlign w:val="bottom"/>
          </w:tcPr>
          <w:p w14:paraId="4F8D3B55" w14:textId="77777777" w:rsidR="00E42813" w:rsidRPr="00D652D5" w:rsidRDefault="00E42813" w:rsidP="003F5394">
            <w:pPr>
              <w:suppressAutoHyphens w:val="0"/>
              <w:spacing w:line="240" w:lineRule="auto"/>
              <w:jc w:val="right"/>
              <w:rPr>
                <w:sz w:val="18"/>
                <w:szCs w:val="18"/>
              </w:rPr>
            </w:pPr>
            <w:r w:rsidRPr="00D652D5">
              <w:rPr>
                <w:sz w:val="18"/>
                <w:szCs w:val="18"/>
              </w:rPr>
              <w:t>0.049</w:t>
            </w:r>
          </w:p>
        </w:tc>
        <w:tc>
          <w:tcPr>
            <w:tcW w:w="2070" w:type="dxa"/>
            <w:shd w:val="clear" w:color="auto" w:fill="auto"/>
            <w:noWrap/>
            <w:vAlign w:val="bottom"/>
          </w:tcPr>
          <w:p w14:paraId="782A0B1C"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0.063</w:t>
            </w:r>
          </w:p>
        </w:tc>
      </w:tr>
      <w:tr w:rsidR="00E42813" w:rsidRPr="00D652D5" w14:paraId="65283BE8" w14:textId="77777777" w:rsidTr="003F5394">
        <w:trPr>
          <w:trHeight w:val="240"/>
        </w:trPr>
        <w:tc>
          <w:tcPr>
            <w:tcW w:w="2977" w:type="dxa"/>
            <w:shd w:val="clear" w:color="auto" w:fill="auto"/>
            <w:noWrap/>
            <w:vAlign w:val="bottom"/>
          </w:tcPr>
          <w:p w14:paraId="1521AAA0"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Bahamas</w:t>
            </w:r>
          </w:p>
        </w:tc>
        <w:tc>
          <w:tcPr>
            <w:tcW w:w="2325" w:type="dxa"/>
            <w:shd w:val="clear" w:color="auto" w:fill="auto"/>
            <w:noWrap/>
            <w:vAlign w:val="bottom"/>
          </w:tcPr>
          <w:p w14:paraId="479B669C" w14:textId="77777777" w:rsidR="00E42813" w:rsidRPr="00D652D5" w:rsidRDefault="00E42813" w:rsidP="003F5394">
            <w:pPr>
              <w:suppressAutoHyphens w:val="0"/>
              <w:spacing w:line="240" w:lineRule="auto"/>
              <w:jc w:val="right"/>
              <w:rPr>
                <w:sz w:val="18"/>
                <w:szCs w:val="18"/>
              </w:rPr>
            </w:pPr>
            <w:r w:rsidRPr="00D652D5">
              <w:rPr>
                <w:sz w:val="18"/>
                <w:szCs w:val="18"/>
              </w:rPr>
              <w:t>0.018</w:t>
            </w:r>
          </w:p>
        </w:tc>
        <w:tc>
          <w:tcPr>
            <w:tcW w:w="2070" w:type="dxa"/>
            <w:shd w:val="clear" w:color="auto" w:fill="auto"/>
            <w:noWrap/>
            <w:vAlign w:val="bottom"/>
          </w:tcPr>
          <w:p w14:paraId="2FBC4823"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0.023</w:t>
            </w:r>
          </w:p>
        </w:tc>
      </w:tr>
      <w:tr w:rsidR="00E42813" w:rsidRPr="00D652D5" w14:paraId="75F5FBBF" w14:textId="77777777" w:rsidTr="003F5394">
        <w:trPr>
          <w:trHeight w:val="240"/>
        </w:trPr>
        <w:tc>
          <w:tcPr>
            <w:tcW w:w="2977" w:type="dxa"/>
            <w:shd w:val="clear" w:color="auto" w:fill="auto"/>
            <w:noWrap/>
            <w:vAlign w:val="bottom"/>
          </w:tcPr>
          <w:p w14:paraId="538F2146"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Bahrain</w:t>
            </w:r>
          </w:p>
        </w:tc>
        <w:tc>
          <w:tcPr>
            <w:tcW w:w="2325" w:type="dxa"/>
            <w:shd w:val="clear" w:color="auto" w:fill="auto"/>
            <w:noWrap/>
            <w:vAlign w:val="bottom"/>
          </w:tcPr>
          <w:p w14:paraId="34FC6D25" w14:textId="77777777" w:rsidR="00E42813" w:rsidRPr="00D652D5" w:rsidRDefault="00E42813" w:rsidP="003F5394">
            <w:pPr>
              <w:suppressAutoHyphens w:val="0"/>
              <w:spacing w:line="240" w:lineRule="auto"/>
              <w:jc w:val="right"/>
              <w:rPr>
                <w:sz w:val="18"/>
                <w:szCs w:val="18"/>
              </w:rPr>
            </w:pPr>
            <w:r w:rsidRPr="00D652D5">
              <w:rPr>
                <w:sz w:val="18"/>
                <w:szCs w:val="18"/>
              </w:rPr>
              <w:t>0.050</w:t>
            </w:r>
          </w:p>
        </w:tc>
        <w:tc>
          <w:tcPr>
            <w:tcW w:w="2070" w:type="dxa"/>
            <w:shd w:val="clear" w:color="auto" w:fill="auto"/>
            <w:noWrap/>
            <w:vAlign w:val="bottom"/>
          </w:tcPr>
          <w:p w14:paraId="52F401CD"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0.065</w:t>
            </w:r>
          </w:p>
        </w:tc>
      </w:tr>
      <w:tr w:rsidR="00E42813" w:rsidRPr="00D652D5" w14:paraId="3FB46622" w14:textId="77777777" w:rsidTr="003F5394">
        <w:trPr>
          <w:trHeight w:val="240"/>
        </w:trPr>
        <w:tc>
          <w:tcPr>
            <w:tcW w:w="2977" w:type="dxa"/>
            <w:shd w:val="clear" w:color="auto" w:fill="auto"/>
            <w:noWrap/>
            <w:vAlign w:val="bottom"/>
          </w:tcPr>
          <w:p w14:paraId="78C7CC43"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Bangladesh</w:t>
            </w:r>
          </w:p>
        </w:tc>
        <w:tc>
          <w:tcPr>
            <w:tcW w:w="2325" w:type="dxa"/>
            <w:shd w:val="clear" w:color="auto" w:fill="auto"/>
            <w:noWrap/>
            <w:vAlign w:val="bottom"/>
          </w:tcPr>
          <w:p w14:paraId="23F42C8A" w14:textId="77777777" w:rsidR="00E42813" w:rsidRPr="00D652D5" w:rsidRDefault="00E42813" w:rsidP="003F5394">
            <w:pPr>
              <w:suppressAutoHyphens w:val="0"/>
              <w:spacing w:line="240" w:lineRule="auto"/>
              <w:jc w:val="right"/>
              <w:rPr>
                <w:sz w:val="18"/>
                <w:szCs w:val="18"/>
              </w:rPr>
            </w:pPr>
            <w:r w:rsidRPr="00D652D5">
              <w:rPr>
                <w:sz w:val="18"/>
                <w:szCs w:val="18"/>
              </w:rPr>
              <w:t>0.010</w:t>
            </w:r>
          </w:p>
        </w:tc>
        <w:tc>
          <w:tcPr>
            <w:tcW w:w="2070" w:type="dxa"/>
            <w:shd w:val="clear" w:color="auto" w:fill="auto"/>
            <w:noWrap/>
            <w:vAlign w:val="bottom"/>
          </w:tcPr>
          <w:p w14:paraId="695D69E5"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0.013</w:t>
            </w:r>
          </w:p>
        </w:tc>
      </w:tr>
      <w:tr w:rsidR="00E42813" w:rsidRPr="00D652D5" w14:paraId="17150B16" w14:textId="77777777" w:rsidTr="003F5394">
        <w:trPr>
          <w:trHeight w:val="240"/>
        </w:trPr>
        <w:tc>
          <w:tcPr>
            <w:tcW w:w="2977" w:type="dxa"/>
            <w:shd w:val="clear" w:color="auto" w:fill="auto"/>
            <w:noWrap/>
            <w:vAlign w:val="bottom"/>
          </w:tcPr>
          <w:p w14:paraId="06BF0E6E"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Barbados</w:t>
            </w:r>
          </w:p>
        </w:tc>
        <w:tc>
          <w:tcPr>
            <w:tcW w:w="2325" w:type="dxa"/>
            <w:shd w:val="clear" w:color="auto" w:fill="auto"/>
            <w:noWrap/>
            <w:vAlign w:val="bottom"/>
          </w:tcPr>
          <w:p w14:paraId="6A9950E6" w14:textId="77777777" w:rsidR="00E42813" w:rsidRPr="00D652D5" w:rsidRDefault="00E42813" w:rsidP="003F5394">
            <w:pPr>
              <w:suppressAutoHyphens w:val="0"/>
              <w:spacing w:line="240" w:lineRule="auto"/>
              <w:jc w:val="right"/>
              <w:rPr>
                <w:sz w:val="18"/>
                <w:szCs w:val="18"/>
              </w:rPr>
            </w:pPr>
            <w:r w:rsidRPr="00D652D5">
              <w:rPr>
                <w:sz w:val="18"/>
                <w:szCs w:val="18"/>
              </w:rPr>
              <w:t>0.007</w:t>
            </w:r>
          </w:p>
        </w:tc>
        <w:tc>
          <w:tcPr>
            <w:tcW w:w="2070" w:type="dxa"/>
            <w:shd w:val="clear" w:color="auto" w:fill="auto"/>
            <w:noWrap/>
            <w:vAlign w:val="bottom"/>
          </w:tcPr>
          <w:p w14:paraId="16C17793"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0.009</w:t>
            </w:r>
          </w:p>
        </w:tc>
      </w:tr>
      <w:tr w:rsidR="00E42813" w:rsidRPr="00D652D5" w14:paraId="7FCCA7D0" w14:textId="77777777" w:rsidTr="003F5394">
        <w:trPr>
          <w:trHeight w:val="240"/>
        </w:trPr>
        <w:tc>
          <w:tcPr>
            <w:tcW w:w="2977" w:type="dxa"/>
            <w:shd w:val="clear" w:color="auto" w:fill="auto"/>
            <w:noWrap/>
            <w:vAlign w:val="bottom"/>
          </w:tcPr>
          <w:p w14:paraId="1D5705D0"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Belarus</w:t>
            </w:r>
          </w:p>
        </w:tc>
        <w:tc>
          <w:tcPr>
            <w:tcW w:w="2325" w:type="dxa"/>
            <w:shd w:val="clear" w:color="auto" w:fill="auto"/>
            <w:noWrap/>
            <w:vAlign w:val="bottom"/>
          </w:tcPr>
          <w:p w14:paraId="2E86C698" w14:textId="77777777" w:rsidR="00E42813" w:rsidRPr="00D652D5" w:rsidRDefault="00E42813" w:rsidP="003F5394">
            <w:pPr>
              <w:suppressAutoHyphens w:val="0"/>
              <w:spacing w:line="240" w:lineRule="auto"/>
              <w:jc w:val="right"/>
              <w:rPr>
                <w:sz w:val="18"/>
                <w:szCs w:val="18"/>
              </w:rPr>
            </w:pPr>
            <w:r w:rsidRPr="00D652D5">
              <w:rPr>
                <w:sz w:val="18"/>
                <w:szCs w:val="18"/>
              </w:rPr>
              <w:t>0.049</w:t>
            </w:r>
          </w:p>
        </w:tc>
        <w:tc>
          <w:tcPr>
            <w:tcW w:w="2070" w:type="dxa"/>
            <w:shd w:val="clear" w:color="auto" w:fill="auto"/>
            <w:noWrap/>
            <w:vAlign w:val="bottom"/>
          </w:tcPr>
          <w:p w14:paraId="037D7A62"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0.063</w:t>
            </w:r>
          </w:p>
        </w:tc>
      </w:tr>
      <w:tr w:rsidR="00E42813" w:rsidRPr="00D652D5" w14:paraId="38E0B19B" w14:textId="77777777" w:rsidTr="003F5394">
        <w:trPr>
          <w:trHeight w:val="240"/>
        </w:trPr>
        <w:tc>
          <w:tcPr>
            <w:tcW w:w="2977" w:type="dxa"/>
            <w:shd w:val="clear" w:color="auto" w:fill="auto"/>
            <w:noWrap/>
            <w:vAlign w:val="bottom"/>
          </w:tcPr>
          <w:p w14:paraId="694EC8D3"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Belgium</w:t>
            </w:r>
          </w:p>
        </w:tc>
        <w:tc>
          <w:tcPr>
            <w:tcW w:w="2325" w:type="dxa"/>
            <w:shd w:val="clear" w:color="auto" w:fill="auto"/>
            <w:noWrap/>
            <w:vAlign w:val="bottom"/>
          </w:tcPr>
          <w:p w14:paraId="0E7B4702" w14:textId="77777777" w:rsidR="00E42813" w:rsidRPr="00D652D5" w:rsidRDefault="00E42813" w:rsidP="003F5394">
            <w:pPr>
              <w:suppressAutoHyphens w:val="0"/>
              <w:spacing w:line="240" w:lineRule="auto"/>
              <w:jc w:val="right"/>
              <w:rPr>
                <w:sz w:val="18"/>
                <w:szCs w:val="18"/>
              </w:rPr>
            </w:pPr>
            <w:r w:rsidRPr="00D652D5">
              <w:rPr>
                <w:sz w:val="18"/>
                <w:szCs w:val="18"/>
              </w:rPr>
              <w:t>0.821</w:t>
            </w:r>
          </w:p>
        </w:tc>
        <w:tc>
          <w:tcPr>
            <w:tcW w:w="2070" w:type="dxa"/>
            <w:shd w:val="clear" w:color="auto" w:fill="auto"/>
            <w:noWrap/>
            <w:vAlign w:val="bottom"/>
          </w:tcPr>
          <w:p w14:paraId="2A5FD0F9" w14:textId="77777777" w:rsidR="00E42813" w:rsidRPr="00D652D5" w:rsidRDefault="00E42813" w:rsidP="003F5394">
            <w:pPr>
              <w:suppressAutoHyphens w:val="0"/>
              <w:spacing w:line="240" w:lineRule="auto"/>
              <w:jc w:val="right"/>
              <w:rPr>
                <w:sz w:val="18"/>
                <w:szCs w:val="18"/>
              </w:rPr>
            </w:pPr>
            <w:r w:rsidRPr="00D652D5">
              <w:rPr>
                <w:color w:val="000000"/>
                <w:sz w:val="18"/>
                <w:szCs w:val="18"/>
              </w:rPr>
              <w:t>1.064</w:t>
            </w:r>
          </w:p>
        </w:tc>
      </w:tr>
      <w:tr w:rsidR="00E42813" w:rsidRPr="00D652D5" w14:paraId="095F63F2" w14:textId="77777777" w:rsidTr="003F5394">
        <w:trPr>
          <w:trHeight w:val="240"/>
        </w:trPr>
        <w:tc>
          <w:tcPr>
            <w:tcW w:w="2977" w:type="dxa"/>
            <w:shd w:val="clear" w:color="auto" w:fill="auto"/>
            <w:noWrap/>
            <w:vAlign w:val="bottom"/>
          </w:tcPr>
          <w:p w14:paraId="1F0A5649"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Belize</w:t>
            </w:r>
          </w:p>
        </w:tc>
        <w:tc>
          <w:tcPr>
            <w:tcW w:w="2325" w:type="dxa"/>
            <w:shd w:val="clear" w:color="auto" w:fill="auto"/>
            <w:noWrap/>
            <w:vAlign w:val="bottom"/>
          </w:tcPr>
          <w:p w14:paraId="6A9CF33A" w14:textId="77777777" w:rsidR="00E42813" w:rsidRPr="00D652D5" w:rsidRDefault="00E42813" w:rsidP="003F5394">
            <w:pPr>
              <w:suppressAutoHyphens w:val="0"/>
              <w:spacing w:line="240" w:lineRule="auto"/>
              <w:jc w:val="right"/>
              <w:rPr>
                <w:sz w:val="18"/>
                <w:szCs w:val="18"/>
              </w:rPr>
            </w:pPr>
            <w:r w:rsidRPr="00D652D5">
              <w:rPr>
                <w:sz w:val="18"/>
                <w:szCs w:val="18"/>
              </w:rPr>
              <w:t>0.001</w:t>
            </w:r>
          </w:p>
        </w:tc>
        <w:tc>
          <w:tcPr>
            <w:tcW w:w="2070" w:type="dxa"/>
            <w:shd w:val="clear" w:color="auto" w:fill="auto"/>
            <w:noWrap/>
            <w:vAlign w:val="bottom"/>
          </w:tcPr>
          <w:p w14:paraId="222BE791"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0.001</w:t>
            </w:r>
          </w:p>
        </w:tc>
      </w:tr>
      <w:tr w:rsidR="00E42813" w:rsidRPr="00D652D5" w14:paraId="3EE3EDAC" w14:textId="77777777" w:rsidTr="003F5394">
        <w:trPr>
          <w:trHeight w:val="240"/>
        </w:trPr>
        <w:tc>
          <w:tcPr>
            <w:tcW w:w="2977" w:type="dxa"/>
            <w:shd w:val="clear" w:color="auto" w:fill="auto"/>
            <w:noWrap/>
            <w:vAlign w:val="bottom"/>
          </w:tcPr>
          <w:p w14:paraId="2B89EC38"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Benin</w:t>
            </w:r>
          </w:p>
        </w:tc>
        <w:tc>
          <w:tcPr>
            <w:tcW w:w="2325" w:type="dxa"/>
            <w:shd w:val="clear" w:color="auto" w:fill="auto"/>
            <w:noWrap/>
            <w:vAlign w:val="bottom"/>
          </w:tcPr>
          <w:p w14:paraId="6537E7C0" w14:textId="77777777" w:rsidR="00E42813" w:rsidRPr="00D652D5" w:rsidRDefault="00E42813" w:rsidP="003F5394">
            <w:pPr>
              <w:suppressAutoHyphens w:val="0"/>
              <w:spacing w:line="240" w:lineRule="auto"/>
              <w:jc w:val="right"/>
              <w:rPr>
                <w:sz w:val="18"/>
                <w:szCs w:val="18"/>
              </w:rPr>
            </w:pPr>
            <w:r w:rsidRPr="00D652D5">
              <w:rPr>
                <w:sz w:val="18"/>
                <w:szCs w:val="18"/>
              </w:rPr>
              <w:t>0.003</w:t>
            </w:r>
          </w:p>
        </w:tc>
        <w:tc>
          <w:tcPr>
            <w:tcW w:w="2070" w:type="dxa"/>
            <w:shd w:val="clear" w:color="auto" w:fill="auto"/>
            <w:noWrap/>
            <w:vAlign w:val="bottom"/>
          </w:tcPr>
          <w:p w14:paraId="2CC28E90"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0.004</w:t>
            </w:r>
          </w:p>
        </w:tc>
      </w:tr>
      <w:tr w:rsidR="00E42813" w:rsidRPr="00D652D5" w14:paraId="320B00D7" w14:textId="77777777" w:rsidTr="003F5394">
        <w:trPr>
          <w:trHeight w:val="240"/>
        </w:trPr>
        <w:tc>
          <w:tcPr>
            <w:tcW w:w="2977" w:type="dxa"/>
            <w:shd w:val="clear" w:color="auto" w:fill="auto"/>
            <w:noWrap/>
            <w:vAlign w:val="bottom"/>
          </w:tcPr>
          <w:p w14:paraId="4921C4A3"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Bhutan</w:t>
            </w:r>
          </w:p>
        </w:tc>
        <w:tc>
          <w:tcPr>
            <w:tcW w:w="2325" w:type="dxa"/>
            <w:shd w:val="clear" w:color="auto" w:fill="auto"/>
            <w:noWrap/>
            <w:vAlign w:val="bottom"/>
          </w:tcPr>
          <w:p w14:paraId="2F81834C" w14:textId="77777777" w:rsidR="00E42813" w:rsidRPr="00D652D5" w:rsidRDefault="00E42813" w:rsidP="003F5394">
            <w:pPr>
              <w:suppressAutoHyphens w:val="0"/>
              <w:spacing w:line="240" w:lineRule="auto"/>
              <w:jc w:val="right"/>
              <w:rPr>
                <w:sz w:val="18"/>
                <w:szCs w:val="18"/>
              </w:rPr>
            </w:pPr>
            <w:r w:rsidRPr="00D652D5">
              <w:rPr>
                <w:sz w:val="18"/>
                <w:szCs w:val="18"/>
              </w:rPr>
              <w:t>0.001</w:t>
            </w:r>
          </w:p>
        </w:tc>
        <w:tc>
          <w:tcPr>
            <w:tcW w:w="2070" w:type="dxa"/>
            <w:shd w:val="clear" w:color="auto" w:fill="auto"/>
            <w:noWrap/>
            <w:vAlign w:val="bottom"/>
          </w:tcPr>
          <w:p w14:paraId="1696CB89"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0.001</w:t>
            </w:r>
          </w:p>
        </w:tc>
      </w:tr>
      <w:tr w:rsidR="00E42813" w:rsidRPr="00D652D5" w14:paraId="7CA6DD78" w14:textId="77777777" w:rsidTr="003F5394">
        <w:trPr>
          <w:trHeight w:val="240"/>
        </w:trPr>
        <w:tc>
          <w:tcPr>
            <w:tcW w:w="2977" w:type="dxa"/>
            <w:shd w:val="clear" w:color="auto" w:fill="auto"/>
            <w:noWrap/>
            <w:vAlign w:val="bottom"/>
          </w:tcPr>
          <w:p w14:paraId="6B2C092D"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Bolivia (</w:t>
            </w:r>
            <w:proofErr w:type="spellStart"/>
            <w:r w:rsidRPr="00D652D5">
              <w:rPr>
                <w:rFonts w:eastAsia="MS Mincho"/>
                <w:color w:val="000000"/>
                <w:sz w:val="18"/>
                <w:szCs w:val="18"/>
                <w:lang w:eastAsia="de-DE"/>
              </w:rPr>
              <w:t>Plurinational</w:t>
            </w:r>
            <w:proofErr w:type="spellEnd"/>
            <w:r w:rsidRPr="00D652D5">
              <w:rPr>
                <w:rFonts w:eastAsia="MS Mincho"/>
                <w:color w:val="000000"/>
                <w:sz w:val="18"/>
                <w:szCs w:val="18"/>
                <w:lang w:eastAsia="de-DE"/>
              </w:rPr>
              <w:t xml:space="preserve"> State of)</w:t>
            </w:r>
          </w:p>
        </w:tc>
        <w:tc>
          <w:tcPr>
            <w:tcW w:w="2325" w:type="dxa"/>
            <w:shd w:val="clear" w:color="auto" w:fill="auto"/>
            <w:noWrap/>
            <w:vAlign w:val="bottom"/>
          </w:tcPr>
          <w:p w14:paraId="1368F1B8" w14:textId="77777777" w:rsidR="00E42813" w:rsidRPr="00D652D5" w:rsidRDefault="00E42813" w:rsidP="003F5394">
            <w:pPr>
              <w:suppressAutoHyphens w:val="0"/>
              <w:spacing w:line="240" w:lineRule="auto"/>
              <w:jc w:val="right"/>
              <w:rPr>
                <w:sz w:val="18"/>
                <w:szCs w:val="18"/>
              </w:rPr>
            </w:pPr>
            <w:r w:rsidRPr="00D652D5">
              <w:rPr>
                <w:sz w:val="18"/>
                <w:szCs w:val="18"/>
              </w:rPr>
              <w:t>0.016</w:t>
            </w:r>
          </w:p>
        </w:tc>
        <w:tc>
          <w:tcPr>
            <w:tcW w:w="2070" w:type="dxa"/>
            <w:shd w:val="clear" w:color="auto" w:fill="auto"/>
            <w:noWrap/>
            <w:vAlign w:val="bottom"/>
          </w:tcPr>
          <w:p w14:paraId="3C0DE8C0"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0.021</w:t>
            </w:r>
          </w:p>
        </w:tc>
      </w:tr>
      <w:tr w:rsidR="00E42813" w:rsidRPr="00D652D5" w14:paraId="6199F90D" w14:textId="77777777" w:rsidTr="003F5394">
        <w:trPr>
          <w:trHeight w:val="240"/>
        </w:trPr>
        <w:tc>
          <w:tcPr>
            <w:tcW w:w="2977" w:type="dxa"/>
            <w:shd w:val="clear" w:color="auto" w:fill="auto"/>
            <w:noWrap/>
            <w:vAlign w:val="bottom"/>
          </w:tcPr>
          <w:p w14:paraId="288B4EFD"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Bosnia and Herzegovina</w:t>
            </w:r>
          </w:p>
        </w:tc>
        <w:tc>
          <w:tcPr>
            <w:tcW w:w="2325" w:type="dxa"/>
            <w:shd w:val="clear" w:color="auto" w:fill="auto"/>
            <w:noWrap/>
            <w:vAlign w:val="bottom"/>
          </w:tcPr>
          <w:p w14:paraId="03620646" w14:textId="77777777" w:rsidR="00E42813" w:rsidRPr="00D652D5" w:rsidRDefault="00E42813" w:rsidP="003F5394">
            <w:pPr>
              <w:suppressAutoHyphens w:val="0"/>
              <w:spacing w:line="240" w:lineRule="auto"/>
              <w:jc w:val="right"/>
              <w:rPr>
                <w:sz w:val="18"/>
                <w:szCs w:val="18"/>
              </w:rPr>
            </w:pPr>
            <w:r w:rsidRPr="00D652D5">
              <w:rPr>
                <w:sz w:val="18"/>
                <w:szCs w:val="18"/>
              </w:rPr>
              <w:t>0.012</w:t>
            </w:r>
          </w:p>
        </w:tc>
        <w:tc>
          <w:tcPr>
            <w:tcW w:w="2070" w:type="dxa"/>
            <w:shd w:val="clear" w:color="auto" w:fill="auto"/>
            <w:noWrap/>
            <w:vAlign w:val="bottom"/>
          </w:tcPr>
          <w:p w14:paraId="62974E0B"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0.016</w:t>
            </w:r>
          </w:p>
        </w:tc>
      </w:tr>
      <w:tr w:rsidR="00E42813" w:rsidRPr="00D652D5" w14:paraId="150343B6" w14:textId="77777777" w:rsidTr="003F5394">
        <w:trPr>
          <w:trHeight w:val="240"/>
        </w:trPr>
        <w:tc>
          <w:tcPr>
            <w:tcW w:w="2977" w:type="dxa"/>
            <w:shd w:val="clear" w:color="auto" w:fill="auto"/>
            <w:noWrap/>
            <w:vAlign w:val="bottom"/>
          </w:tcPr>
          <w:p w14:paraId="6AF447A1"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Botswana</w:t>
            </w:r>
          </w:p>
        </w:tc>
        <w:tc>
          <w:tcPr>
            <w:tcW w:w="2325" w:type="dxa"/>
            <w:shd w:val="clear" w:color="auto" w:fill="auto"/>
            <w:noWrap/>
            <w:vAlign w:val="bottom"/>
          </w:tcPr>
          <w:p w14:paraId="386CD882" w14:textId="77777777" w:rsidR="00E42813" w:rsidRPr="00D652D5" w:rsidRDefault="00E42813" w:rsidP="003F5394">
            <w:pPr>
              <w:suppressAutoHyphens w:val="0"/>
              <w:spacing w:line="240" w:lineRule="auto"/>
              <w:jc w:val="right"/>
              <w:rPr>
                <w:sz w:val="18"/>
                <w:szCs w:val="18"/>
              </w:rPr>
            </w:pPr>
            <w:r w:rsidRPr="00D652D5">
              <w:rPr>
                <w:sz w:val="18"/>
                <w:szCs w:val="18"/>
              </w:rPr>
              <w:t>0.014</w:t>
            </w:r>
          </w:p>
        </w:tc>
        <w:tc>
          <w:tcPr>
            <w:tcW w:w="2070" w:type="dxa"/>
            <w:shd w:val="clear" w:color="auto" w:fill="auto"/>
            <w:noWrap/>
            <w:vAlign w:val="bottom"/>
          </w:tcPr>
          <w:p w14:paraId="42BAD828"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0.018</w:t>
            </w:r>
          </w:p>
        </w:tc>
      </w:tr>
      <w:tr w:rsidR="00E42813" w:rsidRPr="00D652D5" w14:paraId="6090F7E5" w14:textId="77777777" w:rsidTr="003F5394">
        <w:trPr>
          <w:trHeight w:val="240"/>
        </w:trPr>
        <w:tc>
          <w:tcPr>
            <w:tcW w:w="2977" w:type="dxa"/>
            <w:shd w:val="clear" w:color="auto" w:fill="auto"/>
            <w:noWrap/>
            <w:vAlign w:val="bottom"/>
          </w:tcPr>
          <w:p w14:paraId="3949540A"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Brazil</w:t>
            </w:r>
          </w:p>
        </w:tc>
        <w:tc>
          <w:tcPr>
            <w:tcW w:w="2325" w:type="dxa"/>
            <w:shd w:val="clear" w:color="auto" w:fill="auto"/>
            <w:noWrap/>
            <w:vAlign w:val="bottom"/>
          </w:tcPr>
          <w:p w14:paraId="4D29E2F1" w14:textId="77777777" w:rsidR="00E42813" w:rsidRPr="00D652D5" w:rsidRDefault="00E42813" w:rsidP="003F5394">
            <w:pPr>
              <w:suppressAutoHyphens w:val="0"/>
              <w:spacing w:line="240" w:lineRule="auto"/>
              <w:jc w:val="right"/>
              <w:rPr>
                <w:sz w:val="18"/>
                <w:szCs w:val="18"/>
              </w:rPr>
            </w:pPr>
            <w:r w:rsidRPr="00D652D5">
              <w:rPr>
                <w:sz w:val="18"/>
                <w:szCs w:val="18"/>
              </w:rPr>
              <w:t>2.948</w:t>
            </w:r>
          </w:p>
        </w:tc>
        <w:tc>
          <w:tcPr>
            <w:tcW w:w="2070" w:type="dxa"/>
            <w:shd w:val="clear" w:color="auto" w:fill="auto"/>
            <w:noWrap/>
            <w:vAlign w:val="bottom"/>
          </w:tcPr>
          <w:p w14:paraId="5AF41330" w14:textId="77777777" w:rsidR="00E42813" w:rsidRPr="00D652D5" w:rsidRDefault="00E42813" w:rsidP="003F5394">
            <w:pPr>
              <w:suppressAutoHyphens w:val="0"/>
              <w:spacing w:line="240" w:lineRule="auto"/>
              <w:jc w:val="right"/>
              <w:rPr>
                <w:sz w:val="18"/>
                <w:szCs w:val="18"/>
              </w:rPr>
            </w:pPr>
            <w:r w:rsidRPr="00D652D5">
              <w:rPr>
                <w:color w:val="000000"/>
                <w:sz w:val="18"/>
                <w:szCs w:val="18"/>
              </w:rPr>
              <w:t>3.820</w:t>
            </w:r>
          </w:p>
        </w:tc>
      </w:tr>
      <w:tr w:rsidR="00E42813" w:rsidRPr="00D652D5" w14:paraId="4DA3C456" w14:textId="77777777" w:rsidTr="003F5394">
        <w:trPr>
          <w:trHeight w:val="240"/>
        </w:trPr>
        <w:tc>
          <w:tcPr>
            <w:tcW w:w="2977" w:type="dxa"/>
            <w:shd w:val="clear" w:color="auto" w:fill="auto"/>
            <w:noWrap/>
            <w:vAlign w:val="bottom"/>
          </w:tcPr>
          <w:p w14:paraId="3482F5C4"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Brunei Darussalam</w:t>
            </w:r>
          </w:p>
        </w:tc>
        <w:tc>
          <w:tcPr>
            <w:tcW w:w="2325" w:type="dxa"/>
            <w:shd w:val="clear" w:color="auto" w:fill="auto"/>
            <w:noWrap/>
            <w:vAlign w:val="bottom"/>
          </w:tcPr>
          <w:p w14:paraId="1F1B376C" w14:textId="77777777" w:rsidR="00E42813" w:rsidRPr="00D652D5" w:rsidRDefault="00E42813" w:rsidP="003F5394">
            <w:pPr>
              <w:suppressAutoHyphens w:val="0"/>
              <w:spacing w:line="240" w:lineRule="auto"/>
              <w:jc w:val="right"/>
              <w:rPr>
                <w:sz w:val="18"/>
                <w:szCs w:val="18"/>
              </w:rPr>
            </w:pPr>
            <w:r w:rsidRPr="00D652D5">
              <w:rPr>
                <w:sz w:val="18"/>
                <w:szCs w:val="18"/>
              </w:rPr>
              <w:t>0.025</w:t>
            </w:r>
          </w:p>
        </w:tc>
        <w:tc>
          <w:tcPr>
            <w:tcW w:w="2070" w:type="dxa"/>
            <w:shd w:val="clear" w:color="auto" w:fill="auto"/>
            <w:noWrap/>
            <w:vAlign w:val="bottom"/>
          </w:tcPr>
          <w:p w14:paraId="7229EE31"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0.032</w:t>
            </w:r>
          </w:p>
        </w:tc>
      </w:tr>
      <w:tr w:rsidR="00E42813" w:rsidRPr="00D652D5" w14:paraId="731DFE51" w14:textId="77777777" w:rsidTr="003F5394">
        <w:trPr>
          <w:trHeight w:val="240"/>
        </w:trPr>
        <w:tc>
          <w:tcPr>
            <w:tcW w:w="2977" w:type="dxa"/>
            <w:shd w:val="clear" w:color="auto" w:fill="auto"/>
            <w:noWrap/>
            <w:vAlign w:val="bottom"/>
          </w:tcPr>
          <w:p w14:paraId="1EAFFEDF"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Bulgaria</w:t>
            </w:r>
          </w:p>
        </w:tc>
        <w:tc>
          <w:tcPr>
            <w:tcW w:w="2325" w:type="dxa"/>
            <w:shd w:val="clear" w:color="auto" w:fill="auto"/>
            <w:noWrap/>
            <w:vAlign w:val="bottom"/>
          </w:tcPr>
          <w:p w14:paraId="60D16C81" w14:textId="77777777" w:rsidR="00E42813" w:rsidRPr="00D652D5" w:rsidRDefault="00E42813" w:rsidP="003F5394">
            <w:pPr>
              <w:suppressAutoHyphens w:val="0"/>
              <w:spacing w:line="240" w:lineRule="auto"/>
              <w:jc w:val="right"/>
              <w:rPr>
                <w:sz w:val="18"/>
                <w:szCs w:val="18"/>
              </w:rPr>
            </w:pPr>
            <w:r w:rsidRPr="00D652D5">
              <w:rPr>
                <w:sz w:val="18"/>
                <w:szCs w:val="18"/>
              </w:rPr>
              <w:t>0.046</w:t>
            </w:r>
          </w:p>
        </w:tc>
        <w:tc>
          <w:tcPr>
            <w:tcW w:w="2070" w:type="dxa"/>
            <w:shd w:val="clear" w:color="auto" w:fill="auto"/>
            <w:noWrap/>
            <w:vAlign w:val="bottom"/>
          </w:tcPr>
          <w:p w14:paraId="5D3C733E"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0.060</w:t>
            </w:r>
          </w:p>
        </w:tc>
      </w:tr>
      <w:tr w:rsidR="00E42813" w:rsidRPr="00D652D5" w14:paraId="72CF22DE" w14:textId="77777777" w:rsidTr="003F5394">
        <w:trPr>
          <w:trHeight w:val="240"/>
        </w:trPr>
        <w:tc>
          <w:tcPr>
            <w:tcW w:w="2977" w:type="dxa"/>
            <w:shd w:val="clear" w:color="auto" w:fill="auto"/>
            <w:noWrap/>
            <w:vAlign w:val="bottom"/>
          </w:tcPr>
          <w:p w14:paraId="60B25FBC"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Burkina Faso</w:t>
            </w:r>
          </w:p>
        </w:tc>
        <w:tc>
          <w:tcPr>
            <w:tcW w:w="2325" w:type="dxa"/>
            <w:shd w:val="clear" w:color="auto" w:fill="auto"/>
            <w:noWrap/>
            <w:vAlign w:val="bottom"/>
          </w:tcPr>
          <w:p w14:paraId="360FA84F" w14:textId="77777777" w:rsidR="00E42813" w:rsidRPr="00D652D5" w:rsidRDefault="00E42813" w:rsidP="003F5394">
            <w:pPr>
              <w:suppressAutoHyphens w:val="0"/>
              <w:spacing w:line="240" w:lineRule="auto"/>
              <w:jc w:val="right"/>
              <w:rPr>
                <w:sz w:val="18"/>
                <w:szCs w:val="18"/>
              </w:rPr>
            </w:pPr>
            <w:r w:rsidRPr="00D652D5">
              <w:rPr>
                <w:sz w:val="18"/>
                <w:szCs w:val="18"/>
              </w:rPr>
              <w:t>0.003</w:t>
            </w:r>
          </w:p>
        </w:tc>
        <w:tc>
          <w:tcPr>
            <w:tcW w:w="2070" w:type="dxa"/>
            <w:shd w:val="clear" w:color="auto" w:fill="auto"/>
            <w:noWrap/>
            <w:vAlign w:val="bottom"/>
          </w:tcPr>
          <w:p w14:paraId="11B89F97"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0.004</w:t>
            </w:r>
          </w:p>
        </w:tc>
      </w:tr>
      <w:tr w:rsidR="00E42813" w:rsidRPr="00D652D5" w14:paraId="37AB1CEB" w14:textId="77777777" w:rsidTr="003F5394">
        <w:trPr>
          <w:trHeight w:val="240"/>
        </w:trPr>
        <w:tc>
          <w:tcPr>
            <w:tcW w:w="2977" w:type="dxa"/>
            <w:shd w:val="clear" w:color="auto" w:fill="auto"/>
            <w:noWrap/>
            <w:vAlign w:val="bottom"/>
          </w:tcPr>
          <w:p w14:paraId="0F7995A3"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Burundi</w:t>
            </w:r>
          </w:p>
        </w:tc>
        <w:tc>
          <w:tcPr>
            <w:tcW w:w="2325" w:type="dxa"/>
            <w:shd w:val="clear" w:color="auto" w:fill="auto"/>
            <w:noWrap/>
            <w:vAlign w:val="bottom"/>
          </w:tcPr>
          <w:p w14:paraId="466E52C6" w14:textId="77777777" w:rsidR="00E42813" w:rsidRPr="00D652D5" w:rsidRDefault="00E42813" w:rsidP="003F5394">
            <w:pPr>
              <w:suppressAutoHyphens w:val="0"/>
              <w:spacing w:line="240" w:lineRule="auto"/>
              <w:jc w:val="right"/>
              <w:rPr>
                <w:sz w:val="18"/>
                <w:szCs w:val="18"/>
              </w:rPr>
            </w:pPr>
            <w:r w:rsidRPr="00D652D5">
              <w:rPr>
                <w:sz w:val="18"/>
                <w:szCs w:val="18"/>
              </w:rPr>
              <w:t>0.001</w:t>
            </w:r>
          </w:p>
        </w:tc>
        <w:tc>
          <w:tcPr>
            <w:tcW w:w="2070" w:type="dxa"/>
            <w:shd w:val="clear" w:color="auto" w:fill="auto"/>
            <w:noWrap/>
            <w:vAlign w:val="bottom"/>
          </w:tcPr>
          <w:p w14:paraId="116A577D"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0.001</w:t>
            </w:r>
          </w:p>
        </w:tc>
      </w:tr>
      <w:tr w:rsidR="00E42813" w:rsidRPr="00D652D5" w14:paraId="6D6765BF" w14:textId="77777777" w:rsidTr="003F5394">
        <w:trPr>
          <w:trHeight w:val="240"/>
        </w:trPr>
        <w:tc>
          <w:tcPr>
            <w:tcW w:w="2977" w:type="dxa"/>
            <w:shd w:val="clear" w:color="auto" w:fill="auto"/>
            <w:noWrap/>
            <w:vAlign w:val="bottom"/>
          </w:tcPr>
          <w:p w14:paraId="3A813A4A"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Cabo Verde</w:t>
            </w:r>
          </w:p>
        </w:tc>
        <w:tc>
          <w:tcPr>
            <w:tcW w:w="2325" w:type="dxa"/>
            <w:shd w:val="clear" w:color="auto" w:fill="auto"/>
            <w:noWrap/>
            <w:vAlign w:val="bottom"/>
          </w:tcPr>
          <w:p w14:paraId="0AA5F756" w14:textId="77777777" w:rsidR="00E42813" w:rsidRPr="00D652D5" w:rsidRDefault="00E42813" w:rsidP="003F5394">
            <w:pPr>
              <w:suppressAutoHyphens w:val="0"/>
              <w:spacing w:line="240" w:lineRule="auto"/>
              <w:jc w:val="right"/>
              <w:rPr>
                <w:sz w:val="18"/>
                <w:szCs w:val="18"/>
              </w:rPr>
            </w:pPr>
            <w:r w:rsidRPr="00D652D5">
              <w:rPr>
                <w:sz w:val="18"/>
                <w:szCs w:val="18"/>
              </w:rPr>
              <w:t>0.001</w:t>
            </w:r>
          </w:p>
        </w:tc>
        <w:tc>
          <w:tcPr>
            <w:tcW w:w="2070" w:type="dxa"/>
            <w:shd w:val="clear" w:color="auto" w:fill="auto"/>
            <w:noWrap/>
            <w:vAlign w:val="bottom"/>
          </w:tcPr>
          <w:p w14:paraId="1C0E588A"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0.001</w:t>
            </w:r>
          </w:p>
        </w:tc>
      </w:tr>
      <w:tr w:rsidR="00E42813" w:rsidRPr="00D652D5" w14:paraId="5A0A84D5" w14:textId="77777777" w:rsidTr="003F5394">
        <w:trPr>
          <w:trHeight w:val="240"/>
        </w:trPr>
        <w:tc>
          <w:tcPr>
            <w:tcW w:w="2977" w:type="dxa"/>
            <w:shd w:val="clear" w:color="auto" w:fill="auto"/>
            <w:noWrap/>
            <w:vAlign w:val="bottom"/>
          </w:tcPr>
          <w:p w14:paraId="32B73265"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Cambodia</w:t>
            </w:r>
          </w:p>
        </w:tc>
        <w:tc>
          <w:tcPr>
            <w:tcW w:w="2325" w:type="dxa"/>
            <w:shd w:val="clear" w:color="auto" w:fill="auto"/>
            <w:noWrap/>
            <w:vAlign w:val="bottom"/>
          </w:tcPr>
          <w:p w14:paraId="391516A5" w14:textId="77777777" w:rsidR="00E42813" w:rsidRPr="00D652D5" w:rsidRDefault="00E42813" w:rsidP="003F5394">
            <w:pPr>
              <w:suppressAutoHyphens w:val="0"/>
              <w:spacing w:line="240" w:lineRule="auto"/>
              <w:jc w:val="right"/>
              <w:rPr>
                <w:sz w:val="18"/>
                <w:szCs w:val="18"/>
              </w:rPr>
            </w:pPr>
            <w:r w:rsidRPr="00D652D5">
              <w:rPr>
                <w:sz w:val="18"/>
                <w:szCs w:val="18"/>
              </w:rPr>
              <w:t>0.006</w:t>
            </w:r>
          </w:p>
        </w:tc>
        <w:tc>
          <w:tcPr>
            <w:tcW w:w="2070" w:type="dxa"/>
            <w:shd w:val="clear" w:color="auto" w:fill="auto"/>
            <w:noWrap/>
            <w:vAlign w:val="bottom"/>
          </w:tcPr>
          <w:p w14:paraId="79129C7E"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0.008</w:t>
            </w:r>
          </w:p>
        </w:tc>
      </w:tr>
      <w:tr w:rsidR="00E42813" w:rsidRPr="00D652D5" w14:paraId="68F77AFC" w14:textId="77777777" w:rsidTr="003F5394">
        <w:trPr>
          <w:trHeight w:val="240"/>
        </w:trPr>
        <w:tc>
          <w:tcPr>
            <w:tcW w:w="2977" w:type="dxa"/>
            <w:shd w:val="clear" w:color="auto" w:fill="auto"/>
            <w:noWrap/>
            <w:vAlign w:val="bottom"/>
          </w:tcPr>
          <w:p w14:paraId="6096D158"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Cameroon</w:t>
            </w:r>
          </w:p>
        </w:tc>
        <w:tc>
          <w:tcPr>
            <w:tcW w:w="2325" w:type="dxa"/>
            <w:shd w:val="clear" w:color="auto" w:fill="auto"/>
            <w:noWrap/>
            <w:vAlign w:val="bottom"/>
          </w:tcPr>
          <w:p w14:paraId="14EA0160" w14:textId="77777777" w:rsidR="00E42813" w:rsidRPr="00D652D5" w:rsidRDefault="00E42813" w:rsidP="003F5394">
            <w:pPr>
              <w:suppressAutoHyphens w:val="0"/>
              <w:spacing w:line="240" w:lineRule="auto"/>
              <w:jc w:val="right"/>
              <w:rPr>
                <w:sz w:val="18"/>
                <w:szCs w:val="18"/>
              </w:rPr>
            </w:pPr>
            <w:r w:rsidRPr="00D652D5">
              <w:rPr>
                <w:sz w:val="18"/>
                <w:szCs w:val="18"/>
              </w:rPr>
              <w:t>0.013</w:t>
            </w:r>
          </w:p>
        </w:tc>
        <w:tc>
          <w:tcPr>
            <w:tcW w:w="2070" w:type="dxa"/>
            <w:shd w:val="clear" w:color="auto" w:fill="auto"/>
            <w:noWrap/>
            <w:vAlign w:val="bottom"/>
          </w:tcPr>
          <w:p w14:paraId="704382A2"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0.017</w:t>
            </w:r>
          </w:p>
        </w:tc>
      </w:tr>
      <w:tr w:rsidR="00E42813" w:rsidRPr="00D652D5" w14:paraId="4DCB8863" w14:textId="77777777" w:rsidTr="003F5394">
        <w:trPr>
          <w:trHeight w:val="240"/>
        </w:trPr>
        <w:tc>
          <w:tcPr>
            <w:tcW w:w="2977" w:type="dxa"/>
            <w:shd w:val="clear" w:color="auto" w:fill="auto"/>
            <w:noWrap/>
            <w:vAlign w:val="bottom"/>
          </w:tcPr>
          <w:p w14:paraId="7935F261"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Central African Republic</w:t>
            </w:r>
          </w:p>
        </w:tc>
        <w:tc>
          <w:tcPr>
            <w:tcW w:w="2325" w:type="dxa"/>
            <w:shd w:val="clear" w:color="auto" w:fill="auto"/>
            <w:noWrap/>
            <w:vAlign w:val="bottom"/>
          </w:tcPr>
          <w:p w14:paraId="25A07577" w14:textId="77777777" w:rsidR="00E42813" w:rsidRPr="00D652D5" w:rsidRDefault="00E42813" w:rsidP="003F5394">
            <w:pPr>
              <w:suppressAutoHyphens w:val="0"/>
              <w:spacing w:line="240" w:lineRule="auto"/>
              <w:jc w:val="right"/>
              <w:rPr>
                <w:sz w:val="18"/>
                <w:szCs w:val="18"/>
              </w:rPr>
            </w:pPr>
            <w:r w:rsidRPr="00D652D5">
              <w:rPr>
                <w:sz w:val="18"/>
                <w:szCs w:val="18"/>
              </w:rPr>
              <w:t>0.001</w:t>
            </w:r>
          </w:p>
        </w:tc>
        <w:tc>
          <w:tcPr>
            <w:tcW w:w="2070" w:type="dxa"/>
            <w:shd w:val="clear" w:color="auto" w:fill="auto"/>
            <w:noWrap/>
            <w:vAlign w:val="bottom"/>
          </w:tcPr>
          <w:p w14:paraId="17C72462"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0.001</w:t>
            </w:r>
          </w:p>
        </w:tc>
      </w:tr>
      <w:tr w:rsidR="00E42813" w:rsidRPr="00D652D5" w14:paraId="47FBE844" w14:textId="77777777" w:rsidTr="003F5394">
        <w:trPr>
          <w:trHeight w:val="240"/>
        </w:trPr>
        <w:tc>
          <w:tcPr>
            <w:tcW w:w="2977" w:type="dxa"/>
            <w:shd w:val="clear" w:color="auto" w:fill="auto"/>
            <w:noWrap/>
            <w:vAlign w:val="bottom"/>
          </w:tcPr>
          <w:p w14:paraId="143C0E11"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Chad</w:t>
            </w:r>
          </w:p>
        </w:tc>
        <w:tc>
          <w:tcPr>
            <w:tcW w:w="2325" w:type="dxa"/>
            <w:shd w:val="clear" w:color="auto" w:fill="auto"/>
            <w:noWrap/>
            <w:vAlign w:val="bottom"/>
          </w:tcPr>
          <w:p w14:paraId="5EF45C52" w14:textId="77777777" w:rsidR="00E42813" w:rsidRPr="00D652D5" w:rsidRDefault="00E42813" w:rsidP="003F5394">
            <w:pPr>
              <w:suppressAutoHyphens w:val="0"/>
              <w:spacing w:line="240" w:lineRule="auto"/>
              <w:jc w:val="right"/>
              <w:rPr>
                <w:sz w:val="18"/>
                <w:szCs w:val="18"/>
              </w:rPr>
            </w:pPr>
            <w:r w:rsidRPr="00D652D5">
              <w:rPr>
                <w:sz w:val="18"/>
                <w:szCs w:val="18"/>
              </w:rPr>
              <w:t>0.004</w:t>
            </w:r>
          </w:p>
        </w:tc>
        <w:tc>
          <w:tcPr>
            <w:tcW w:w="2070" w:type="dxa"/>
            <w:shd w:val="clear" w:color="auto" w:fill="auto"/>
            <w:noWrap/>
            <w:vAlign w:val="bottom"/>
          </w:tcPr>
          <w:p w14:paraId="5F868DD4"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0.005</w:t>
            </w:r>
          </w:p>
        </w:tc>
      </w:tr>
      <w:tr w:rsidR="00E42813" w:rsidRPr="00D652D5" w14:paraId="5540E360" w14:textId="77777777" w:rsidTr="003F5394">
        <w:trPr>
          <w:trHeight w:val="240"/>
        </w:trPr>
        <w:tc>
          <w:tcPr>
            <w:tcW w:w="2977" w:type="dxa"/>
            <w:shd w:val="clear" w:color="auto" w:fill="auto"/>
            <w:noWrap/>
            <w:vAlign w:val="bottom"/>
          </w:tcPr>
          <w:p w14:paraId="260A41E9"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Chile</w:t>
            </w:r>
          </w:p>
        </w:tc>
        <w:tc>
          <w:tcPr>
            <w:tcW w:w="2325" w:type="dxa"/>
            <w:shd w:val="clear" w:color="auto" w:fill="auto"/>
            <w:noWrap/>
            <w:vAlign w:val="bottom"/>
          </w:tcPr>
          <w:p w14:paraId="728F4CE0" w14:textId="77777777" w:rsidR="00E42813" w:rsidRPr="00D652D5" w:rsidRDefault="00E42813" w:rsidP="003F5394">
            <w:pPr>
              <w:suppressAutoHyphens w:val="0"/>
              <w:spacing w:line="240" w:lineRule="auto"/>
              <w:jc w:val="right"/>
              <w:rPr>
                <w:sz w:val="18"/>
                <w:szCs w:val="18"/>
              </w:rPr>
            </w:pPr>
            <w:r w:rsidRPr="00D652D5">
              <w:rPr>
                <w:sz w:val="18"/>
                <w:szCs w:val="18"/>
              </w:rPr>
              <w:t>0.407</w:t>
            </w:r>
          </w:p>
        </w:tc>
        <w:tc>
          <w:tcPr>
            <w:tcW w:w="2070" w:type="dxa"/>
            <w:shd w:val="clear" w:color="auto" w:fill="auto"/>
            <w:noWrap/>
            <w:vAlign w:val="bottom"/>
          </w:tcPr>
          <w:p w14:paraId="7E852748"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0.527</w:t>
            </w:r>
          </w:p>
        </w:tc>
      </w:tr>
      <w:tr w:rsidR="00E42813" w:rsidRPr="00D652D5" w14:paraId="23170A74" w14:textId="77777777" w:rsidTr="003F5394">
        <w:trPr>
          <w:trHeight w:val="240"/>
        </w:trPr>
        <w:tc>
          <w:tcPr>
            <w:tcW w:w="2977" w:type="dxa"/>
            <w:shd w:val="clear" w:color="auto" w:fill="auto"/>
            <w:noWrap/>
            <w:vAlign w:val="bottom"/>
          </w:tcPr>
          <w:p w14:paraId="355FBB35"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China</w:t>
            </w:r>
          </w:p>
        </w:tc>
        <w:tc>
          <w:tcPr>
            <w:tcW w:w="2325" w:type="dxa"/>
            <w:shd w:val="clear" w:color="auto" w:fill="auto"/>
            <w:noWrap/>
            <w:vAlign w:val="bottom"/>
          </w:tcPr>
          <w:p w14:paraId="349DB839" w14:textId="77777777" w:rsidR="00E42813" w:rsidRPr="00D652D5" w:rsidRDefault="00E42813" w:rsidP="003F5394">
            <w:pPr>
              <w:suppressAutoHyphens w:val="0"/>
              <w:spacing w:line="240" w:lineRule="auto"/>
              <w:jc w:val="right"/>
              <w:rPr>
                <w:sz w:val="18"/>
                <w:szCs w:val="18"/>
              </w:rPr>
            </w:pPr>
            <w:r w:rsidRPr="00D652D5">
              <w:rPr>
                <w:sz w:val="18"/>
                <w:szCs w:val="18"/>
              </w:rPr>
              <w:t>12.005</w:t>
            </w:r>
          </w:p>
        </w:tc>
        <w:tc>
          <w:tcPr>
            <w:tcW w:w="2070" w:type="dxa"/>
            <w:shd w:val="clear" w:color="auto" w:fill="auto"/>
            <w:noWrap/>
            <w:vAlign w:val="bottom"/>
          </w:tcPr>
          <w:p w14:paraId="21B11FA0" w14:textId="77777777" w:rsidR="00E42813" w:rsidRPr="00D652D5" w:rsidRDefault="00E42813" w:rsidP="003F5394">
            <w:pPr>
              <w:suppressAutoHyphens w:val="0"/>
              <w:spacing w:line="240" w:lineRule="auto"/>
              <w:jc w:val="right"/>
              <w:rPr>
                <w:sz w:val="18"/>
                <w:szCs w:val="18"/>
              </w:rPr>
            </w:pPr>
            <w:r w:rsidRPr="00D652D5">
              <w:rPr>
                <w:color w:val="000000"/>
                <w:sz w:val="18"/>
                <w:szCs w:val="18"/>
              </w:rPr>
              <w:t>15.555</w:t>
            </w:r>
          </w:p>
        </w:tc>
      </w:tr>
      <w:tr w:rsidR="00E42813" w:rsidRPr="00D652D5" w14:paraId="3FDEF0CE" w14:textId="77777777" w:rsidTr="003F5394">
        <w:trPr>
          <w:trHeight w:val="240"/>
        </w:trPr>
        <w:tc>
          <w:tcPr>
            <w:tcW w:w="2977" w:type="dxa"/>
            <w:shd w:val="clear" w:color="auto" w:fill="auto"/>
            <w:noWrap/>
            <w:vAlign w:val="bottom"/>
          </w:tcPr>
          <w:p w14:paraId="45F8C900"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Colombia</w:t>
            </w:r>
          </w:p>
        </w:tc>
        <w:tc>
          <w:tcPr>
            <w:tcW w:w="2325" w:type="dxa"/>
            <w:shd w:val="clear" w:color="auto" w:fill="auto"/>
            <w:noWrap/>
            <w:vAlign w:val="bottom"/>
          </w:tcPr>
          <w:p w14:paraId="7443DC10" w14:textId="77777777" w:rsidR="00E42813" w:rsidRPr="00D652D5" w:rsidRDefault="00E42813" w:rsidP="003F5394">
            <w:pPr>
              <w:suppressAutoHyphens w:val="0"/>
              <w:spacing w:line="240" w:lineRule="auto"/>
              <w:jc w:val="right"/>
              <w:rPr>
                <w:sz w:val="18"/>
                <w:szCs w:val="18"/>
              </w:rPr>
            </w:pPr>
            <w:r w:rsidRPr="00D652D5">
              <w:rPr>
                <w:sz w:val="18"/>
                <w:szCs w:val="18"/>
              </w:rPr>
              <w:t>0.288</w:t>
            </w:r>
          </w:p>
        </w:tc>
        <w:tc>
          <w:tcPr>
            <w:tcW w:w="2070" w:type="dxa"/>
            <w:shd w:val="clear" w:color="auto" w:fill="auto"/>
            <w:noWrap/>
            <w:vAlign w:val="bottom"/>
          </w:tcPr>
          <w:p w14:paraId="6A5E548F"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0.373</w:t>
            </w:r>
          </w:p>
        </w:tc>
      </w:tr>
      <w:tr w:rsidR="00E42813" w:rsidRPr="00D652D5" w14:paraId="01D68CE6" w14:textId="77777777" w:rsidTr="003F5394">
        <w:trPr>
          <w:trHeight w:val="240"/>
        </w:trPr>
        <w:tc>
          <w:tcPr>
            <w:tcW w:w="2977" w:type="dxa"/>
            <w:shd w:val="clear" w:color="auto" w:fill="auto"/>
            <w:noWrap/>
            <w:vAlign w:val="bottom"/>
          </w:tcPr>
          <w:p w14:paraId="66C8D62A"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Comoros</w:t>
            </w:r>
          </w:p>
        </w:tc>
        <w:tc>
          <w:tcPr>
            <w:tcW w:w="2325" w:type="dxa"/>
            <w:shd w:val="clear" w:color="auto" w:fill="auto"/>
            <w:noWrap/>
            <w:vAlign w:val="bottom"/>
          </w:tcPr>
          <w:p w14:paraId="41CD0677" w14:textId="77777777" w:rsidR="00E42813" w:rsidRPr="00D652D5" w:rsidRDefault="00E42813" w:rsidP="003F5394">
            <w:pPr>
              <w:suppressAutoHyphens w:val="0"/>
              <w:spacing w:line="240" w:lineRule="auto"/>
              <w:jc w:val="right"/>
              <w:rPr>
                <w:sz w:val="18"/>
                <w:szCs w:val="18"/>
              </w:rPr>
            </w:pPr>
            <w:r w:rsidRPr="00D652D5">
              <w:rPr>
                <w:sz w:val="18"/>
                <w:szCs w:val="18"/>
              </w:rPr>
              <w:t>0.001</w:t>
            </w:r>
          </w:p>
        </w:tc>
        <w:tc>
          <w:tcPr>
            <w:tcW w:w="2070" w:type="dxa"/>
            <w:shd w:val="clear" w:color="auto" w:fill="auto"/>
            <w:noWrap/>
            <w:vAlign w:val="bottom"/>
          </w:tcPr>
          <w:p w14:paraId="717DCAB6"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0.001</w:t>
            </w:r>
          </w:p>
        </w:tc>
      </w:tr>
      <w:tr w:rsidR="00E42813" w:rsidRPr="00D652D5" w14:paraId="6E579717" w14:textId="77777777" w:rsidTr="003F5394">
        <w:trPr>
          <w:trHeight w:val="240"/>
        </w:trPr>
        <w:tc>
          <w:tcPr>
            <w:tcW w:w="2977" w:type="dxa"/>
            <w:shd w:val="clear" w:color="auto" w:fill="auto"/>
            <w:noWrap/>
            <w:vAlign w:val="bottom"/>
          </w:tcPr>
          <w:p w14:paraId="1EE812DF"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Congo</w:t>
            </w:r>
          </w:p>
        </w:tc>
        <w:tc>
          <w:tcPr>
            <w:tcW w:w="2325" w:type="dxa"/>
            <w:shd w:val="clear" w:color="auto" w:fill="auto"/>
            <w:noWrap/>
            <w:vAlign w:val="bottom"/>
          </w:tcPr>
          <w:p w14:paraId="4828BB26" w14:textId="77777777" w:rsidR="00E42813" w:rsidRPr="00D652D5" w:rsidRDefault="00E42813" w:rsidP="003F5394">
            <w:pPr>
              <w:suppressAutoHyphens w:val="0"/>
              <w:spacing w:line="240" w:lineRule="auto"/>
              <w:jc w:val="right"/>
              <w:rPr>
                <w:sz w:val="18"/>
                <w:szCs w:val="18"/>
              </w:rPr>
            </w:pPr>
            <w:r w:rsidRPr="00D652D5">
              <w:rPr>
                <w:sz w:val="18"/>
                <w:szCs w:val="18"/>
              </w:rPr>
              <w:t>0.006</w:t>
            </w:r>
          </w:p>
        </w:tc>
        <w:tc>
          <w:tcPr>
            <w:tcW w:w="2070" w:type="dxa"/>
            <w:shd w:val="clear" w:color="auto" w:fill="auto"/>
            <w:noWrap/>
            <w:vAlign w:val="bottom"/>
          </w:tcPr>
          <w:p w14:paraId="5DA06BE2"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0.008</w:t>
            </w:r>
          </w:p>
        </w:tc>
      </w:tr>
      <w:tr w:rsidR="00E42813" w:rsidRPr="00D652D5" w14:paraId="6F732F30" w14:textId="77777777" w:rsidTr="003F5394">
        <w:trPr>
          <w:trHeight w:val="240"/>
        </w:trPr>
        <w:tc>
          <w:tcPr>
            <w:tcW w:w="2977" w:type="dxa"/>
            <w:shd w:val="clear" w:color="auto" w:fill="auto"/>
            <w:noWrap/>
            <w:vAlign w:val="bottom"/>
          </w:tcPr>
          <w:p w14:paraId="314C2CF7"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Cook Islands</w:t>
            </w:r>
          </w:p>
        </w:tc>
        <w:tc>
          <w:tcPr>
            <w:tcW w:w="2325" w:type="dxa"/>
            <w:shd w:val="clear" w:color="auto" w:fill="auto"/>
            <w:noWrap/>
            <w:vAlign w:val="bottom"/>
          </w:tcPr>
          <w:p w14:paraId="5265D0E1" w14:textId="77777777" w:rsidR="00E42813" w:rsidRPr="00D652D5" w:rsidRDefault="00E42813" w:rsidP="003F5394">
            <w:pPr>
              <w:suppressAutoHyphens w:val="0"/>
              <w:spacing w:line="240" w:lineRule="auto"/>
              <w:jc w:val="right"/>
              <w:rPr>
                <w:sz w:val="18"/>
                <w:szCs w:val="18"/>
              </w:rPr>
            </w:pPr>
            <w:r w:rsidRPr="00D652D5">
              <w:rPr>
                <w:sz w:val="18"/>
                <w:szCs w:val="18"/>
              </w:rPr>
              <w:t>0.000</w:t>
            </w:r>
          </w:p>
        </w:tc>
        <w:tc>
          <w:tcPr>
            <w:tcW w:w="2070" w:type="dxa"/>
            <w:shd w:val="clear" w:color="auto" w:fill="auto"/>
            <w:noWrap/>
            <w:vAlign w:val="bottom"/>
          </w:tcPr>
          <w:p w14:paraId="270B16B7"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0.001</w:t>
            </w:r>
          </w:p>
        </w:tc>
      </w:tr>
      <w:tr w:rsidR="00E42813" w:rsidRPr="00D652D5" w14:paraId="13FED597" w14:textId="77777777" w:rsidTr="003F5394">
        <w:trPr>
          <w:trHeight w:val="240"/>
        </w:trPr>
        <w:tc>
          <w:tcPr>
            <w:tcW w:w="2977" w:type="dxa"/>
            <w:shd w:val="clear" w:color="auto" w:fill="auto"/>
            <w:noWrap/>
            <w:vAlign w:val="bottom"/>
          </w:tcPr>
          <w:p w14:paraId="30E633EF"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Costa Rica</w:t>
            </w:r>
          </w:p>
        </w:tc>
        <w:tc>
          <w:tcPr>
            <w:tcW w:w="2325" w:type="dxa"/>
            <w:shd w:val="clear" w:color="auto" w:fill="auto"/>
            <w:noWrap/>
            <w:vAlign w:val="bottom"/>
          </w:tcPr>
          <w:p w14:paraId="0A631618" w14:textId="77777777" w:rsidR="00E42813" w:rsidRPr="00D652D5" w:rsidRDefault="00E42813" w:rsidP="003F5394">
            <w:pPr>
              <w:suppressAutoHyphens w:val="0"/>
              <w:spacing w:line="240" w:lineRule="auto"/>
              <w:jc w:val="right"/>
              <w:rPr>
                <w:sz w:val="18"/>
                <w:szCs w:val="18"/>
              </w:rPr>
            </w:pPr>
            <w:r w:rsidRPr="00D652D5">
              <w:rPr>
                <w:sz w:val="18"/>
                <w:szCs w:val="18"/>
              </w:rPr>
              <w:t>0.062</w:t>
            </w:r>
          </w:p>
        </w:tc>
        <w:tc>
          <w:tcPr>
            <w:tcW w:w="2070" w:type="dxa"/>
            <w:shd w:val="clear" w:color="auto" w:fill="auto"/>
            <w:noWrap/>
            <w:vAlign w:val="bottom"/>
          </w:tcPr>
          <w:p w14:paraId="16534806"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0.080</w:t>
            </w:r>
          </w:p>
        </w:tc>
      </w:tr>
      <w:tr w:rsidR="00E42813" w:rsidRPr="00D652D5" w14:paraId="1F5AC929" w14:textId="77777777" w:rsidTr="003F5394">
        <w:trPr>
          <w:trHeight w:val="240"/>
        </w:trPr>
        <w:tc>
          <w:tcPr>
            <w:tcW w:w="2977" w:type="dxa"/>
            <w:shd w:val="clear" w:color="auto" w:fill="auto"/>
            <w:noWrap/>
            <w:vAlign w:val="bottom"/>
          </w:tcPr>
          <w:p w14:paraId="3254B94E"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Côte d’Ivoire</w:t>
            </w:r>
          </w:p>
        </w:tc>
        <w:tc>
          <w:tcPr>
            <w:tcW w:w="2325" w:type="dxa"/>
            <w:shd w:val="clear" w:color="auto" w:fill="auto"/>
            <w:noWrap/>
            <w:vAlign w:val="bottom"/>
          </w:tcPr>
          <w:p w14:paraId="7755A8B2" w14:textId="77777777" w:rsidR="00E42813" w:rsidRPr="00D652D5" w:rsidRDefault="00E42813" w:rsidP="003F5394">
            <w:pPr>
              <w:suppressAutoHyphens w:val="0"/>
              <w:spacing w:line="240" w:lineRule="auto"/>
              <w:jc w:val="right"/>
              <w:rPr>
                <w:sz w:val="18"/>
                <w:szCs w:val="18"/>
              </w:rPr>
            </w:pPr>
            <w:r w:rsidRPr="00D652D5">
              <w:rPr>
                <w:sz w:val="18"/>
                <w:szCs w:val="18"/>
              </w:rPr>
              <w:t>0.013</w:t>
            </w:r>
          </w:p>
        </w:tc>
        <w:tc>
          <w:tcPr>
            <w:tcW w:w="2070" w:type="dxa"/>
            <w:shd w:val="clear" w:color="auto" w:fill="auto"/>
            <w:noWrap/>
            <w:vAlign w:val="bottom"/>
          </w:tcPr>
          <w:p w14:paraId="2C3599D2"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0.017</w:t>
            </w:r>
          </w:p>
        </w:tc>
      </w:tr>
      <w:tr w:rsidR="00E42813" w:rsidRPr="00D652D5" w14:paraId="7DDBA3E8" w14:textId="77777777" w:rsidTr="003F5394">
        <w:trPr>
          <w:trHeight w:val="240"/>
        </w:trPr>
        <w:tc>
          <w:tcPr>
            <w:tcW w:w="2977" w:type="dxa"/>
            <w:shd w:val="clear" w:color="auto" w:fill="auto"/>
            <w:noWrap/>
            <w:vAlign w:val="bottom"/>
          </w:tcPr>
          <w:p w14:paraId="78E3E263"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Croatia</w:t>
            </w:r>
          </w:p>
        </w:tc>
        <w:tc>
          <w:tcPr>
            <w:tcW w:w="2325" w:type="dxa"/>
            <w:shd w:val="clear" w:color="auto" w:fill="auto"/>
            <w:noWrap/>
            <w:vAlign w:val="bottom"/>
          </w:tcPr>
          <w:p w14:paraId="5970EE84" w14:textId="77777777" w:rsidR="00E42813" w:rsidRPr="00D652D5" w:rsidRDefault="00E42813" w:rsidP="003F5394">
            <w:pPr>
              <w:suppressAutoHyphens w:val="0"/>
              <w:spacing w:line="240" w:lineRule="auto"/>
              <w:jc w:val="right"/>
              <w:rPr>
                <w:sz w:val="18"/>
                <w:szCs w:val="18"/>
              </w:rPr>
            </w:pPr>
            <w:r w:rsidRPr="00D652D5">
              <w:rPr>
                <w:sz w:val="18"/>
                <w:szCs w:val="18"/>
              </w:rPr>
              <w:t>0.077</w:t>
            </w:r>
          </w:p>
        </w:tc>
        <w:tc>
          <w:tcPr>
            <w:tcW w:w="2070" w:type="dxa"/>
            <w:shd w:val="clear" w:color="auto" w:fill="auto"/>
            <w:noWrap/>
            <w:vAlign w:val="bottom"/>
          </w:tcPr>
          <w:p w14:paraId="5C7B3636"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0.100</w:t>
            </w:r>
          </w:p>
        </w:tc>
      </w:tr>
      <w:tr w:rsidR="00E42813" w:rsidRPr="00D652D5" w14:paraId="583B75B7" w14:textId="77777777" w:rsidTr="003F5394">
        <w:trPr>
          <w:trHeight w:val="240"/>
        </w:trPr>
        <w:tc>
          <w:tcPr>
            <w:tcW w:w="2977" w:type="dxa"/>
            <w:shd w:val="clear" w:color="auto" w:fill="auto"/>
            <w:noWrap/>
            <w:vAlign w:val="bottom"/>
          </w:tcPr>
          <w:p w14:paraId="6E2C09DE"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Cuba</w:t>
            </w:r>
          </w:p>
        </w:tc>
        <w:tc>
          <w:tcPr>
            <w:tcW w:w="2325" w:type="dxa"/>
            <w:shd w:val="clear" w:color="auto" w:fill="auto"/>
            <w:noWrap/>
            <w:vAlign w:val="bottom"/>
          </w:tcPr>
          <w:p w14:paraId="2A837CF7" w14:textId="77777777" w:rsidR="00E42813" w:rsidRPr="00D652D5" w:rsidRDefault="00E42813" w:rsidP="003F5394">
            <w:pPr>
              <w:suppressAutoHyphens w:val="0"/>
              <w:spacing w:line="240" w:lineRule="auto"/>
              <w:jc w:val="right"/>
              <w:rPr>
                <w:sz w:val="18"/>
                <w:szCs w:val="18"/>
              </w:rPr>
            </w:pPr>
            <w:r w:rsidRPr="00D652D5">
              <w:rPr>
                <w:sz w:val="18"/>
                <w:szCs w:val="18"/>
              </w:rPr>
              <w:t>0.080</w:t>
            </w:r>
          </w:p>
        </w:tc>
        <w:tc>
          <w:tcPr>
            <w:tcW w:w="2070" w:type="dxa"/>
            <w:shd w:val="clear" w:color="auto" w:fill="auto"/>
            <w:noWrap/>
            <w:vAlign w:val="bottom"/>
          </w:tcPr>
          <w:p w14:paraId="115DD830"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0.104</w:t>
            </w:r>
          </w:p>
        </w:tc>
      </w:tr>
      <w:tr w:rsidR="00E42813" w:rsidRPr="00D652D5" w14:paraId="1F63C6E0" w14:textId="77777777" w:rsidTr="003F5394">
        <w:trPr>
          <w:trHeight w:val="240"/>
        </w:trPr>
        <w:tc>
          <w:tcPr>
            <w:tcW w:w="2977" w:type="dxa"/>
            <w:shd w:val="clear" w:color="auto" w:fill="auto"/>
            <w:noWrap/>
            <w:vAlign w:val="bottom"/>
          </w:tcPr>
          <w:p w14:paraId="7C1FC3DF"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Cyprus</w:t>
            </w:r>
          </w:p>
        </w:tc>
        <w:tc>
          <w:tcPr>
            <w:tcW w:w="2325" w:type="dxa"/>
            <w:shd w:val="clear" w:color="auto" w:fill="auto"/>
            <w:noWrap/>
            <w:vAlign w:val="bottom"/>
          </w:tcPr>
          <w:p w14:paraId="69AA2C68" w14:textId="77777777" w:rsidR="00E42813" w:rsidRPr="00D652D5" w:rsidRDefault="00E42813" w:rsidP="003F5394">
            <w:pPr>
              <w:suppressAutoHyphens w:val="0"/>
              <w:spacing w:line="240" w:lineRule="auto"/>
              <w:jc w:val="right"/>
              <w:rPr>
                <w:sz w:val="18"/>
                <w:szCs w:val="18"/>
              </w:rPr>
            </w:pPr>
            <w:r w:rsidRPr="00D652D5">
              <w:rPr>
                <w:sz w:val="18"/>
                <w:szCs w:val="18"/>
              </w:rPr>
              <w:t>0.036</w:t>
            </w:r>
          </w:p>
        </w:tc>
        <w:tc>
          <w:tcPr>
            <w:tcW w:w="2070" w:type="dxa"/>
            <w:shd w:val="clear" w:color="auto" w:fill="auto"/>
            <w:noWrap/>
            <w:vAlign w:val="bottom"/>
          </w:tcPr>
          <w:p w14:paraId="40768F49"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0.047</w:t>
            </w:r>
          </w:p>
        </w:tc>
      </w:tr>
      <w:tr w:rsidR="00E42813" w:rsidRPr="00D652D5" w14:paraId="253CC2AC" w14:textId="77777777" w:rsidTr="003F5394">
        <w:trPr>
          <w:trHeight w:val="240"/>
        </w:trPr>
        <w:tc>
          <w:tcPr>
            <w:tcW w:w="2977" w:type="dxa"/>
            <w:shd w:val="clear" w:color="auto" w:fill="auto"/>
            <w:noWrap/>
            <w:vAlign w:val="bottom"/>
          </w:tcPr>
          <w:p w14:paraId="51D153AB"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Czechia</w:t>
            </w:r>
          </w:p>
        </w:tc>
        <w:tc>
          <w:tcPr>
            <w:tcW w:w="2325" w:type="dxa"/>
            <w:shd w:val="clear" w:color="auto" w:fill="auto"/>
            <w:noWrap/>
            <w:vAlign w:val="bottom"/>
          </w:tcPr>
          <w:p w14:paraId="6683AE38" w14:textId="77777777" w:rsidR="00E42813" w:rsidRPr="00D652D5" w:rsidRDefault="00E42813" w:rsidP="003F5394">
            <w:pPr>
              <w:suppressAutoHyphens w:val="0"/>
              <w:spacing w:line="240" w:lineRule="auto"/>
              <w:jc w:val="right"/>
              <w:rPr>
                <w:sz w:val="18"/>
                <w:szCs w:val="18"/>
              </w:rPr>
            </w:pPr>
            <w:r w:rsidRPr="00D652D5">
              <w:rPr>
                <w:sz w:val="18"/>
                <w:szCs w:val="18"/>
              </w:rPr>
              <w:t>0.311</w:t>
            </w:r>
          </w:p>
        </w:tc>
        <w:tc>
          <w:tcPr>
            <w:tcW w:w="2070" w:type="dxa"/>
            <w:shd w:val="clear" w:color="auto" w:fill="auto"/>
            <w:noWrap/>
            <w:vAlign w:val="bottom"/>
          </w:tcPr>
          <w:p w14:paraId="64BF9825"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0.403</w:t>
            </w:r>
          </w:p>
        </w:tc>
      </w:tr>
      <w:tr w:rsidR="00E42813" w:rsidRPr="00D652D5" w14:paraId="629C7B9B" w14:textId="77777777" w:rsidTr="00D61C4A">
        <w:trPr>
          <w:trHeight w:val="240"/>
        </w:trPr>
        <w:tc>
          <w:tcPr>
            <w:tcW w:w="2977" w:type="dxa"/>
            <w:shd w:val="clear" w:color="auto" w:fill="auto"/>
            <w:noWrap/>
            <w:vAlign w:val="bottom"/>
          </w:tcPr>
          <w:p w14:paraId="2705044C"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Democratic People’s Republic of Korea</w:t>
            </w:r>
          </w:p>
        </w:tc>
        <w:tc>
          <w:tcPr>
            <w:tcW w:w="2325" w:type="dxa"/>
            <w:shd w:val="clear" w:color="auto" w:fill="auto"/>
            <w:noWrap/>
            <w:vAlign w:val="bottom"/>
          </w:tcPr>
          <w:p w14:paraId="068299DA" w14:textId="77777777" w:rsidR="00E42813" w:rsidRPr="00D652D5" w:rsidRDefault="00E42813" w:rsidP="003F5394">
            <w:pPr>
              <w:suppressAutoHyphens w:val="0"/>
              <w:spacing w:line="240" w:lineRule="auto"/>
              <w:jc w:val="right"/>
              <w:rPr>
                <w:sz w:val="18"/>
                <w:szCs w:val="18"/>
              </w:rPr>
            </w:pPr>
            <w:r w:rsidRPr="00D652D5">
              <w:rPr>
                <w:sz w:val="18"/>
                <w:szCs w:val="18"/>
              </w:rPr>
              <w:t>0.006</w:t>
            </w:r>
          </w:p>
        </w:tc>
        <w:tc>
          <w:tcPr>
            <w:tcW w:w="2070" w:type="dxa"/>
            <w:shd w:val="clear" w:color="auto" w:fill="auto"/>
            <w:noWrap/>
            <w:vAlign w:val="bottom"/>
          </w:tcPr>
          <w:p w14:paraId="5B54E32F"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0.008</w:t>
            </w:r>
          </w:p>
        </w:tc>
      </w:tr>
      <w:tr w:rsidR="00E42813" w:rsidRPr="00D652D5" w14:paraId="60FA5BD2" w14:textId="77777777" w:rsidTr="003F5394">
        <w:trPr>
          <w:trHeight w:val="240"/>
        </w:trPr>
        <w:tc>
          <w:tcPr>
            <w:tcW w:w="2977" w:type="dxa"/>
            <w:shd w:val="clear" w:color="auto" w:fill="auto"/>
            <w:noWrap/>
            <w:vAlign w:val="bottom"/>
          </w:tcPr>
          <w:p w14:paraId="283EDAFA"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Democratic Republic of the Congo</w:t>
            </w:r>
          </w:p>
        </w:tc>
        <w:tc>
          <w:tcPr>
            <w:tcW w:w="2325" w:type="dxa"/>
            <w:shd w:val="clear" w:color="auto" w:fill="auto"/>
            <w:noWrap/>
            <w:vAlign w:val="bottom"/>
          </w:tcPr>
          <w:p w14:paraId="0E63715B" w14:textId="77777777" w:rsidR="00E42813" w:rsidRPr="00D652D5" w:rsidRDefault="00E42813" w:rsidP="003F5394">
            <w:pPr>
              <w:suppressAutoHyphens w:val="0"/>
              <w:spacing w:line="240" w:lineRule="auto"/>
              <w:jc w:val="right"/>
              <w:rPr>
                <w:sz w:val="18"/>
                <w:szCs w:val="18"/>
              </w:rPr>
            </w:pPr>
            <w:r w:rsidRPr="00D652D5">
              <w:rPr>
                <w:sz w:val="18"/>
                <w:szCs w:val="18"/>
              </w:rPr>
              <w:t>0.010</w:t>
            </w:r>
          </w:p>
        </w:tc>
        <w:tc>
          <w:tcPr>
            <w:tcW w:w="2070" w:type="dxa"/>
            <w:shd w:val="clear" w:color="auto" w:fill="auto"/>
            <w:noWrap/>
            <w:vAlign w:val="bottom"/>
          </w:tcPr>
          <w:p w14:paraId="18005CF2"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0.013</w:t>
            </w:r>
          </w:p>
        </w:tc>
      </w:tr>
      <w:tr w:rsidR="00E42813" w:rsidRPr="00D652D5" w14:paraId="6BC7B724" w14:textId="77777777" w:rsidTr="003F5394">
        <w:trPr>
          <w:trHeight w:val="240"/>
        </w:trPr>
        <w:tc>
          <w:tcPr>
            <w:tcW w:w="2977" w:type="dxa"/>
            <w:shd w:val="clear" w:color="auto" w:fill="auto"/>
            <w:noWrap/>
            <w:vAlign w:val="bottom"/>
          </w:tcPr>
          <w:p w14:paraId="7FA1720F"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Denmark</w:t>
            </w:r>
          </w:p>
        </w:tc>
        <w:tc>
          <w:tcPr>
            <w:tcW w:w="2325" w:type="dxa"/>
            <w:shd w:val="clear" w:color="auto" w:fill="auto"/>
            <w:noWrap/>
            <w:vAlign w:val="bottom"/>
          </w:tcPr>
          <w:p w14:paraId="6FA1A36E" w14:textId="77777777" w:rsidR="00E42813" w:rsidRPr="00D652D5" w:rsidRDefault="00E42813" w:rsidP="003F5394">
            <w:pPr>
              <w:suppressAutoHyphens w:val="0"/>
              <w:spacing w:line="240" w:lineRule="auto"/>
              <w:jc w:val="right"/>
              <w:rPr>
                <w:sz w:val="18"/>
                <w:szCs w:val="18"/>
              </w:rPr>
            </w:pPr>
            <w:r w:rsidRPr="00D652D5">
              <w:rPr>
                <w:sz w:val="18"/>
                <w:szCs w:val="18"/>
              </w:rPr>
              <w:t>0.554</w:t>
            </w:r>
          </w:p>
        </w:tc>
        <w:tc>
          <w:tcPr>
            <w:tcW w:w="2070" w:type="dxa"/>
            <w:shd w:val="clear" w:color="auto" w:fill="auto"/>
            <w:noWrap/>
            <w:vAlign w:val="bottom"/>
          </w:tcPr>
          <w:p w14:paraId="2707A813"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0.718</w:t>
            </w:r>
          </w:p>
        </w:tc>
      </w:tr>
      <w:tr w:rsidR="00E42813" w:rsidRPr="00D652D5" w14:paraId="1FAAA7E3" w14:textId="77777777" w:rsidTr="003F5394">
        <w:trPr>
          <w:trHeight w:val="240"/>
        </w:trPr>
        <w:tc>
          <w:tcPr>
            <w:tcW w:w="2977" w:type="dxa"/>
            <w:shd w:val="clear" w:color="auto" w:fill="auto"/>
            <w:noWrap/>
            <w:vAlign w:val="bottom"/>
          </w:tcPr>
          <w:p w14:paraId="67C9E2E7"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Djibouti</w:t>
            </w:r>
          </w:p>
        </w:tc>
        <w:tc>
          <w:tcPr>
            <w:tcW w:w="2325" w:type="dxa"/>
            <w:shd w:val="clear" w:color="auto" w:fill="auto"/>
            <w:noWrap/>
            <w:vAlign w:val="bottom"/>
          </w:tcPr>
          <w:p w14:paraId="47129774" w14:textId="77777777" w:rsidR="00E42813" w:rsidRPr="00D652D5" w:rsidRDefault="00E42813" w:rsidP="003F5394">
            <w:pPr>
              <w:suppressAutoHyphens w:val="0"/>
              <w:spacing w:line="240" w:lineRule="auto"/>
              <w:jc w:val="right"/>
              <w:rPr>
                <w:sz w:val="18"/>
                <w:szCs w:val="18"/>
              </w:rPr>
            </w:pPr>
            <w:r w:rsidRPr="00D652D5">
              <w:rPr>
                <w:sz w:val="18"/>
                <w:szCs w:val="18"/>
              </w:rPr>
              <w:t>0.001</w:t>
            </w:r>
          </w:p>
        </w:tc>
        <w:tc>
          <w:tcPr>
            <w:tcW w:w="2070" w:type="dxa"/>
            <w:shd w:val="clear" w:color="auto" w:fill="auto"/>
            <w:noWrap/>
            <w:vAlign w:val="bottom"/>
          </w:tcPr>
          <w:p w14:paraId="2F490752"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0.001</w:t>
            </w:r>
          </w:p>
        </w:tc>
      </w:tr>
      <w:tr w:rsidR="00E42813" w:rsidRPr="00D652D5" w14:paraId="0F06CFCE" w14:textId="77777777" w:rsidTr="003F5394">
        <w:trPr>
          <w:trHeight w:val="240"/>
        </w:trPr>
        <w:tc>
          <w:tcPr>
            <w:tcW w:w="2977" w:type="dxa"/>
            <w:shd w:val="clear" w:color="auto" w:fill="auto"/>
            <w:noWrap/>
            <w:vAlign w:val="bottom"/>
          </w:tcPr>
          <w:p w14:paraId="70F773CC"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Dominica</w:t>
            </w:r>
          </w:p>
        </w:tc>
        <w:tc>
          <w:tcPr>
            <w:tcW w:w="2325" w:type="dxa"/>
            <w:shd w:val="clear" w:color="auto" w:fill="auto"/>
            <w:noWrap/>
            <w:vAlign w:val="bottom"/>
          </w:tcPr>
          <w:p w14:paraId="60224C1F" w14:textId="77777777" w:rsidR="00E42813" w:rsidRPr="00D652D5" w:rsidRDefault="00E42813" w:rsidP="003F5394">
            <w:pPr>
              <w:suppressAutoHyphens w:val="0"/>
              <w:spacing w:line="240" w:lineRule="auto"/>
              <w:jc w:val="right"/>
              <w:rPr>
                <w:sz w:val="18"/>
                <w:szCs w:val="18"/>
              </w:rPr>
            </w:pPr>
            <w:r w:rsidRPr="00D652D5">
              <w:rPr>
                <w:sz w:val="18"/>
                <w:szCs w:val="18"/>
              </w:rPr>
              <w:t>0.001</w:t>
            </w:r>
          </w:p>
        </w:tc>
        <w:tc>
          <w:tcPr>
            <w:tcW w:w="2070" w:type="dxa"/>
            <w:shd w:val="clear" w:color="auto" w:fill="auto"/>
            <w:noWrap/>
            <w:vAlign w:val="bottom"/>
          </w:tcPr>
          <w:p w14:paraId="1ECF3A93"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0.001</w:t>
            </w:r>
          </w:p>
        </w:tc>
      </w:tr>
      <w:tr w:rsidR="00E42813" w:rsidRPr="00D652D5" w14:paraId="4870E8C8" w14:textId="77777777" w:rsidTr="003F5394">
        <w:trPr>
          <w:trHeight w:val="240"/>
        </w:trPr>
        <w:tc>
          <w:tcPr>
            <w:tcW w:w="2977" w:type="dxa"/>
            <w:tcBorders>
              <w:bottom w:val="nil"/>
            </w:tcBorders>
            <w:shd w:val="clear" w:color="auto" w:fill="auto"/>
            <w:noWrap/>
            <w:vAlign w:val="bottom"/>
          </w:tcPr>
          <w:p w14:paraId="135EC05F"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lastRenderedPageBreak/>
              <w:t>Dominican Republic</w:t>
            </w:r>
          </w:p>
        </w:tc>
        <w:tc>
          <w:tcPr>
            <w:tcW w:w="2325" w:type="dxa"/>
            <w:tcBorders>
              <w:bottom w:val="nil"/>
            </w:tcBorders>
            <w:shd w:val="clear" w:color="auto" w:fill="auto"/>
            <w:noWrap/>
            <w:vAlign w:val="bottom"/>
          </w:tcPr>
          <w:p w14:paraId="3506A845" w14:textId="77777777" w:rsidR="00E42813" w:rsidRPr="00D652D5" w:rsidRDefault="00E42813" w:rsidP="003F5394">
            <w:pPr>
              <w:suppressAutoHyphens w:val="0"/>
              <w:spacing w:line="240" w:lineRule="auto"/>
              <w:jc w:val="right"/>
              <w:rPr>
                <w:sz w:val="18"/>
                <w:szCs w:val="18"/>
              </w:rPr>
            </w:pPr>
            <w:r w:rsidRPr="00D652D5">
              <w:rPr>
                <w:sz w:val="18"/>
                <w:szCs w:val="18"/>
              </w:rPr>
              <w:t>0.053</w:t>
            </w:r>
          </w:p>
        </w:tc>
        <w:tc>
          <w:tcPr>
            <w:tcW w:w="2070" w:type="dxa"/>
            <w:tcBorders>
              <w:bottom w:val="nil"/>
            </w:tcBorders>
            <w:shd w:val="clear" w:color="auto" w:fill="auto"/>
            <w:noWrap/>
            <w:vAlign w:val="bottom"/>
          </w:tcPr>
          <w:p w14:paraId="5B723BE7"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0.069</w:t>
            </w:r>
          </w:p>
        </w:tc>
      </w:tr>
      <w:tr w:rsidR="00E42813" w:rsidRPr="00D652D5" w14:paraId="4D8F780B" w14:textId="77777777" w:rsidTr="003F5394">
        <w:trPr>
          <w:trHeight w:val="240"/>
        </w:trPr>
        <w:tc>
          <w:tcPr>
            <w:tcW w:w="2977" w:type="dxa"/>
            <w:tcBorders>
              <w:top w:val="nil"/>
              <w:bottom w:val="nil"/>
            </w:tcBorders>
            <w:shd w:val="clear" w:color="auto" w:fill="auto"/>
            <w:noWrap/>
            <w:vAlign w:val="bottom"/>
          </w:tcPr>
          <w:p w14:paraId="2E9F0EA8"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Ecuador</w:t>
            </w:r>
          </w:p>
        </w:tc>
        <w:tc>
          <w:tcPr>
            <w:tcW w:w="2325" w:type="dxa"/>
            <w:tcBorders>
              <w:top w:val="nil"/>
              <w:bottom w:val="nil"/>
            </w:tcBorders>
            <w:shd w:val="clear" w:color="auto" w:fill="auto"/>
            <w:noWrap/>
            <w:vAlign w:val="bottom"/>
          </w:tcPr>
          <w:p w14:paraId="2702203E" w14:textId="77777777" w:rsidR="00E42813" w:rsidRPr="00D652D5" w:rsidRDefault="00E42813" w:rsidP="003F5394">
            <w:pPr>
              <w:suppressAutoHyphens w:val="0"/>
              <w:spacing w:line="240" w:lineRule="auto"/>
              <w:jc w:val="right"/>
              <w:rPr>
                <w:sz w:val="18"/>
                <w:szCs w:val="18"/>
              </w:rPr>
            </w:pPr>
            <w:r w:rsidRPr="00D652D5">
              <w:rPr>
                <w:sz w:val="18"/>
                <w:szCs w:val="18"/>
              </w:rPr>
              <w:t>0.080</w:t>
            </w:r>
          </w:p>
        </w:tc>
        <w:tc>
          <w:tcPr>
            <w:tcW w:w="2070" w:type="dxa"/>
            <w:tcBorders>
              <w:top w:val="nil"/>
              <w:bottom w:val="nil"/>
            </w:tcBorders>
            <w:shd w:val="clear" w:color="auto" w:fill="auto"/>
            <w:noWrap/>
            <w:vAlign w:val="bottom"/>
          </w:tcPr>
          <w:p w14:paraId="179BC2DE"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0.104</w:t>
            </w:r>
          </w:p>
        </w:tc>
      </w:tr>
      <w:tr w:rsidR="00E42813" w:rsidRPr="00D652D5" w14:paraId="08FDD10D" w14:textId="77777777" w:rsidTr="003F5394">
        <w:trPr>
          <w:trHeight w:val="240"/>
        </w:trPr>
        <w:tc>
          <w:tcPr>
            <w:tcW w:w="2977" w:type="dxa"/>
            <w:tcBorders>
              <w:top w:val="nil"/>
            </w:tcBorders>
            <w:shd w:val="clear" w:color="auto" w:fill="auto"/>
            <w:noWrap/>
            <w:vAlign w:val="bottom"/>
          </w:tcPr>
          <w:p w14:paraId="13FD1D15"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Egypt</w:t>
            </w:r>
          </w:p>
        </w:tc>
        <w:tc>
          <w:tcPr>
            <w:tcW w:w="2325" w:type="dxa"/>
            <w:tcBorders>
              <w:top w:val="nil"/>
            </w:tcBorders>
            <w:shd w:val="clear" w:color="auto" w:fill="auto"/>
            <w:noWrap/>
            <w:vAlign w:val="bottom"/>
          </w:tcPr>
          <w:p w14:paraId="7051755C" w14:textId="77777777" w:rsidR="00E42813" w:rsidRPr="00D652D5" w:rsidRDefault="00E42813" w:rsidP="003F5394">
            <w:pPr>
              <w:suppressAutoHyphens w:val="0"/>
              <w:spacing w:line="240" w:lineRule="auto"/>
              <w:jc w:val="right"/>
              <w:rPr>
                <w:sz w:val="18"/>
                <w:szCs w:val="18"/>
              </w:rPr>
            </w:pPr>
            <w:r w:rsidRPr="00D652D5">
              <w:rPr>
                <w:sz w:val="18"/>
                <w:szCs w:val="18"/>
              </w:rPr>
              <w:t>0.186</w:t>
            </w:r>
          </w:p>
        </w:tc>
        <w:tc>
          <w:tcPr>
            <w:tcW w:w="2070" w:type="dxa"/>
            <w:tcBorders>
              <w:top w:val="nil"/>
            </w:tcBorders>
            <w:shd w:val="clear" w:color="auto" w:fill="auto"/>
            <w:noWrap/>
            <w:vAlign w:val="bottom"/>
          </w:tcPr>
          <w:p w14:paraId="0010363F"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0.241</w:t>
            </w:r>
          </w:p>
        </w:tc>
      </w:tr>
      <w:tr w:rsidR="00E42813" w:rsidRPr="00D652D5" w14:paraId="57992EA6" w14:textId="77777777" w:rsidTr="003F5394">
        <w:trPr>
          <w:trHeight w:val="240"/>
        </w:trPr>
        <w:tc>
          <w:tcPr>
            <w:tcW w:w="2977" w:type="dxa"/>
            <w:shd w:val="clear" w:color="auto" w:fill="auto"/>
            <w:noWrap/>
            <w:vAlign w:val="bottom"/>
          </w:tcPr>
          <w:p w14:paraId="0C49A21D"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El Salvador</w:t>
            </w:r>
          </w:p>
        </w:tc>
        <w:tc>
          <w:tcPr>
            <w:tcW w:w="2325" w:type="dxa"/>
            <w:shd w:val="clear" w:color="auto" w:fill="auto"/>
            <w:noWrap/>
            <w:vAlign w:val="bottom"/>
          </w:tcPr>
          <w:p w14:paraId="7FDCF11E" w14:textId="77777777" w:rsidR="00E42813" w:rsidRPr="00D652D5" w:rsidRDefault="00E42813" w:rsidP="003F5394">
            <w:pPr>
              <w:suppressAutoHyphens w:val="0"/>
              <w:spacing w:line="240" w:lineRule="auto"/>
              <w:jc w:val="right"/>
              <w:rPr>
                <w:sz w:val="18"/>
                <w:szCs w:val="18"/>
              </w:rPr>
            </w:pPr>
            <w:r w:rsidRPr="00D652D5">
              <w:rPr>
                <w:sz w:val="18"/>
                <w:szCs w:val="18"/>
              </w:rPr>
              <w:t>0.012</w:t>
            </w:r>
          </w:p>
        </w:tc>
        <w:tc>
          <w:tcPr>
            <w:tcW w:w="2070" w:type="dxa"/>
            <w:shd w:val="clear" w:color="auto" w:fill="auto"/>
            <w:noWrap/>
            <w:vAlign w:val="bottom"/>
          </w:tcPr>
          <w:p w14:paraId="5A1AF796"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0.016</w:t>
            </w:r>
          </w:p>
        </w:tc>
      </w:tr>
      <w:tr w:rsidR="00E42813" w:rsidRPr="00D652D5" w14:paraId="1934AE56" w14:textId="77777777" w:rsidTr="003F5394">
        <w:trPr>
          <w:trHeight w:val="240"/>
        </w:trPr>
        <w:tc>
          <w:tcPr>
            <w:tcW w:w="2977" w:type="dxa"/>
            <w:shd w:val="clear" w:color="auto" w:fill="auto"/>
            <w:noWrap/>
            <w:vAlign w:val="bottom"/>
          </w:tcPr>
          <w:p w14:paraId="2A9F8B7F"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Equatorial Guinea</w:t>
            </w:r>
          </w:p>
        </w:tc>
        <w:tc>
          <w:tcPr>
            <w:tcW w:w="2325" w:type="dxa"/>
            <w:shd w:val="clear" w:color="auto" w:fill="auto"/>
            <w:noWrap/>
            <w:vAlign w:val="bottom"/>
          </w:tcPr>
          <w:p w14:paraId="45B73DE9" w14:textId="77777777" w:rsidR="00E42813" w:rsidRPr="00D652D5" w:rsidRDefault="00E42813" w:rsidP="003F5394">
            <w:pPr>
              <w:suppressAutoHyphens w:val="0"/>
              <w:spacing w:line="240" w:lineRule="auto"/>
              <w:jc w:val="right"/>
              <w:rPr>
                <w:sz w:val="18"/>
                <w:szCs w:val="18"/>
              </w:rPr>
            </w:pPr>
            <w:r w:rsidRPr="00D652D5">
              <w:rPr>
                <w:sz w:val="18"/>
                <w:szCs w:val="18"/>
              </w:rPr>
              <w:t>0.016</w:t>
            </w:r>
          </w:p>
        </w:tc>
        <w:tc>
          <w:tcPr>
            <w:tcW w:w="2070" w:type="dxa"/>
            <w:shd w:val="clear" w:color="auto" w:fill="auto"/>
            <w:noWrap/>
            <w:vAlign w:val="bottom"/>
          </w:tcPr>
          <w:p w14:paraId="21CEE505"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0.021</w:t>
            </w:r>
          </w:p>
        </w:tc>
      </w:tr>
      <w:tr w:rsidR="00E42813" w:rsidRPr="00D652D5" w14:paraId="11795860" w14:textId="77777777" w:rsidTr="003F5394">
        <w:trPr>
          <w:trHeight w:val="240"/>
        </w:trPr>
        <w:tc>
          <w:tcPr>
            <w:tcW w:w="2977" w:type="dxa"/>
            <w:shd w:val="clear" w:color="auto" w:fill="auto"/>
            <w:noWrap/>
            <w:vAlign w:val="bottom"/>
          </w:tcPr>
          <w:p w14:paraId="1510D197"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Eritrea</w:t>
            </w:r>
          </w:p>
        </w:tc>
        <w:tc>
          <w:tcPr>
            <w:tcW w:w="2325" w:type="dxa"/>
            <w:shd w:val="clear" w:color="auto" w:fill="auto"/>
            <w:noWrap/>
            <w:vAlign w:val="bottom"/>
          </w:tcPr>
          <w:p w14:paraId="4145581C" w14:textId="77777777" w:rsidR="00E42813" w:rsidRPr="00D652D5" w:rsidRDefault="00E42813" w:rsidP="003F5394">
            <w:pPr>
              <w:suppressAutoHyphens w:val="0"/>
              <w:spacing w:line="240" w:lineRule="auto"/>
              <w:jc w:val="right"/>
              <w:rPr>
                <w:sz w:val="18"/>
                <w:szCs w:val="18"/>
              </w:rPr>
            </w:pPr>
            <w:r w:rsidRPr="00D652D5">
              <w:rPr>
                <w:sz w:val="18"/>
                <w:szCs w:val="18"/>
              </w:rPr>
              <w:t>0.001</w:t>
            </w:r>
          </w:p>
        </w:tc>
        <w:tc>
          <w:tcPr>
            <w:tcW w:w="2070" w:type="dxa"/>
            <w:shd w:val="clear" w:color="auto" w:fill="auto"/>
            <w:noWrap/>
            <w:vAlign w:val="bottom"/>
          </w:tcPr>
          <w:p w14:paraId="1C52043D"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0.001</w:t>
            </w:r>
          </w:p>
        </w:tc>
      </w:tr>
      <w:tr w:rsidR="00E42813" w:rsidRPr="00D652D5" w14:paraId="267B8873" w14:textId="77777777" w:rsidTr="003F5394">
        <w:trPr>
          <w:trHeight w:val="240"/>
        </w:trPr>
        <w:tc>
          <w:tcPr>
            <w:tcW w:w="2977" w:type="dxa"/>
            <w:shd w:val="clear" w:color="auto" w:fill="auto"/>
            <w:noWrap/>
            <w:vAlign w:val="bottom"/>
          </w:tcPr>
          <w:p w14:paraId="774027E6"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Estonia</w:t>
            </w:r>
          </w:p>
        </w:tc>
        <w:tc>
          <w:tcPr>
            <w:tcW w:w="2325" w:type="dxa"/>
            <w:shd w:val="clear" w:color="auto" w:fill="auto"/>
            <w:noWrap/>
            <w:vAlign w:val="bottom"/>
          </w:tcPr>
          <w:p w14:paraId="73479844" w14:textId="77777777" w:rsidR="00E42813" w:rsidRPr="00D652D5" w:rsidRDefault="00E42813" w:rsidP="003F5394">
            <w:pPr>
              <w:suppressAutoHyphens w:val="0"/>
              <w:spacing w:line="240" w:lineRule="auto"/>
              <w:jc w:val="right"/>
              <w:rPr>
                <w:sz w:val="18"/>
                <w:szCs w:val="18"/>
              </w:rPr>
            </w:pPr>
            <w:r w:rsidRPr="00D652D5">
              <w:rPr>
                <w:sz w:val="18"/>
                <w:szCs w:val="18"/>
              </w:rPr>
              <w:t>0.039</w:t>
            </w:r>
          </w:p>
        </w:tc>
        <w:tc>
          <w:tcPr>
            <w:tcW w:w="2070" w:type="dxa"/>
            <w:shd w:val="clear" w:color="auto" w:fill="auto"/>
            <w:noWrap/>
            <w:vAlign w:val="bottom"/>
          </w:tcPr>
          <w:p w14:paraId="1CA95055"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0.051</w:t>
            </w:r>
          </w:p>
        </w:tc>
      </w:tr>
      <w:tr w:rsidR="00E42813" w:rsidRPr="00D652D5" w14:paraId="488A71B6" w14:textId="77777777" w:rsidTr="003F5394">
        <w:trPr>
          <w:trHeight w:val="240"/>
        </w:trPr>
        <w:tc>
          <w:tcPr>
            <w:tcW w:w="2977" w:type="dxa"/>
            <w:shd w:val="clear" w:color="auto" w:fill="auto"/>
            <w:noWrap/>
            <w:vAlign w:val="bottom"/>
          </w:tcPr>
          <w:p w14:paraId="6C2E66C3"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Eswatini</w:t>
            </w:r>
          </w:p>
        </w:tc>
        <w:tc>
          <w:tcPr>
            <w:tcW w:w="2325" w:type="dxa"/>
            <w:shd w:val="clear" w:color="auto" w:fill="auto"/>
            <w:noWrap/>
            <w:vAlign w:val="bottom"/>
          </w:tcPr>
          <w:p w14:paraId="4B292F84" w14:textId="77777777" w:rsidR="00E42813" w:rsidRPr="00D652D5" w:rsidRDefault="00E42813" w:rsidP="003F5394">
            <w:pPr>
              <w:suppressAutoHyphens w:val="0"/>
              <w:spacing w:line="240" w:lineRule="auto"/>
              <w:jc w:val="right"/>
              <w:rPr>
                <w:sz w:val="18"/>
                <w:szCs w:val="18"/>
              </w:rPr>
            </w:pPr>
            <w:r w:rsidRPr="00D652D5">
              <w:rPr>
                <w:sz w:val="18"/>
                <w:szCs w:val="18"/>
              </w:rPr>
              <w:t>0.002</w:t>
            </w:r>
          </w:p>
        </w:tc>
        <w:tc>
          <w:tcPr>
            <w:tcW w:w="2070" w:type="dxa"/>
            <w:shd w:val="clear" w:color="auto" w:fill="auto"/>
            <w:noWrap/>
            <w:vAlign w:val="bottom"/>
          </w:tcPr>
          <w:p w14:paraId="0610AB5B"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0.003</w:t>
            </w:r>
          </w:p>
        </w:tc>
      </w:tr>
      <w:tr w:rsidR="00E42813" w:rsidRPr="00D652D5" w14:paraId="0A3D91BC" w14:textId="77777777" w:rsidTr="003F5394">
        <w:trPr>
          <w:trHeight w:val="240"/>
        </w:trPr>
        <w:tc>
          <w:tcPr>
            <w:tcW w:w="2977" w:type="dxa"/>
            <w:shd w:val="clear" w:color="auto" w:fill="auto"/>
            <w:noWrap/>
            <w:vAlign w:val="bottom"/>
          </w:tcPr>
          <w:p w14:paraId="0239410B"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Ethiopia</w:t>
            </w:r>
          </w:p>
        </w:tc>
        <w:tc>
          <w:tcPr>
            <w:tcW w:w="2325" w:type="dxa"/>
            <w:shd w:val="clear" w:color="auto" w:fill="auto"/>
            <w:noWrap/>
            <w:vAlign w:val="bottom"/>
          </w:tcPr>
          <w:p w14:paraId="6980E204" w14:textId="77777777" w:rsidR="00E42813" w:rsidRPr="00D652D5" w:rsidRDefault="00E42813" w:rsidP="003F5394">
            <w:pPr>
              <w:suppressAutoHyphens w:val="0"/>
              <w:spacing w:line="240" w:lineRule="auto"/>
              <w:jc w:val="right"/>
              <w:rPr>
                <w:sz w:val="18"/>
                <w:szCs w:val="18"/>
              </w:rPr>
            </w:pPr>
            <w:r w:rsidRPr="00D652D5">
              <w:rPr>
                <w:sz w:val="18"/>
                <w:szCs w:val="18"/>
              </w:rPr>
              <w:t>0.010</w:t>
            </w:r>
          </w:p>
        </w:tc>
        <w:tc>
          <w:tcPr>
            <w:tcW w:w="2070" w:type="dxa"/>
            <w:shd w:val="clear" w:color="auto" w:fill="auto"/>
            <w:noWrap/>
            <w:vAlign w:val="bottom"/>
          </w:tcPr>
          <w:p w14:paraId="106B94F1"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0.013</w:t>
            </w:r>
          </w:p>
        </w:tc>
      </w:tr>
      <w:tr w:rsidR="00E42813" w:rsidRPr="00D652D5" w14:paraId="6C4EA60C" w14:textId="77777777" w:rsidTr="003F5394">
        <w:trPr>
          <w:trHeight w:val="240"/>
        </w:trPr>
        <w:tc>
          <w:tcPr>
            <w:tcW w:w="2977" w:type="dxa"/>
            <w:shd w:val="clear" w:color="auto" w:fill="auto"/>
            <w:noWrap/>
            <w:vAlign w:val="bottom"/>
          </w:tcPr>
          <w:p w14:paraId="770C84E7"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European Union</w:t>
            </w:r>
          </w:p>
        </w:tc>
        <w:tc>
          <w:tcPr>
            <w:tcW w:w="2325" w:type="dxa"/>
            <w:shd w:val="clear" w:color="auto" w:fill="auto"/>
            <w:noWrap/>
            <w:vAlign w:val="bottom"/>
          </w:tcPr>
          <w:p w14:paraId="3653872F" w14:textId="77777777" w:rsidR="00E42813" w:rsidRPr="00D652D5" w:rsidRDefault="00E42813" w:rsidP="003F5394">
            <w:pPr>
              <w:suppressAutoHyphens w:val="0"/>
              <w:spacing w:line="240" w:lineRule="auto"/>
              <w:jc w:val="right"/>
              <w:rPr>
                <w:sz w:val="18"/>
                <w:szCs w:val="18"/>
              </w:rPr>
            </w:pPr>
            <w:r w:rsidRPr="00D652D5">
              <w:rPr>
                <w:sz w:val="18"/>
                <w:szCs w:val="18"/>
              </w:rPr>
              <w:t>0.000</w:t>
            </w:r>
          </w:p>
        </w:tc>
        <w:tc>
          <w:tcPr>
            <w:tcW w:w="2070" w:type="dxa"/>
            <w:shd w:val="clear" w:color="auto" w:fill="auto"/>
            <w:noWrap/>
            <w:vAlign w:val="bottom"/>
          </w:tcPr>
          <w:p w14:paraId="3D75D3E4" w14:textId="77777777" w:rsidR="00E42813" w:rsidRPr="00D652D5" w:rsidRDefault="00E42813" w:rsidP="003F5394">
            <w:pPr>
              <w:suppressAutoHyphens w:val="0"/>
              <w:spacing w:line="240" w:lineRule="auto"/>
              <w:jc w:val="right"/>
              <w:rPr>
                <w:sz w:val="18"/>
                <w:szCs w:val="18"/>
              </w:rPr>
            </w:pPr>
            <w:r w:rsidRPr="00D652D5">
              <w:rPr>
                <w:color w:val="000000"/>
                <w:sz w:val="18"/>
                <w:szCs w:val="18"/>
              </w:rPr>
              <w:t>2.500</w:t>
            </w:r>
          </w:p>
        </w:tc>
      </w:tr>
      <w:tr w:rsidR="00E42813" w:rsidRPr="00D652D5" w14:paraId="03A79386" w14:textId="77777777" w:rsidTr="003F5394">
        <w:trPr>
          <w:trHeight w:val="240"/>
        </w:trPr>
        <w:tc>
          <w:tcPr>
            <w:tcW w:w="2977" w:type="dxa"/>
            <w:shd w:val="clear" w:color="auto" w:fill="auto"/>
            <w:noWrap/>
            <w:vAlign w:val="bottom"/>
          </w:tcPr>
          <w:p w14:paraId="2044FA7F"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Fiji</w:t>
            </w:r>
          </w:p>
        </w:tc>
        <w:tc>
          <w:tcPr>
            <w:tcW w:w="2325" w:type="dxa"/>
            <w:shd w:val="clear" w:color="auto" w:fill="auto"/>
            <w:noWrap/>
            <w:vAlign w:val="bottom"/>
          </w:tcPr>
          <w:p w14:paraId="114A8F6A" w14:textId="77777777" w:rsidR="00E42813" w:rsidRPr="00D652D5" w:rsidRDefault="00E42813" w:rsidP="003F5394">
            <w:pPr>
              <w:suppressAutoHyphens w:val="0"/>
              <w:spacing w:line="240" w:lineRule="auto"/>
              <w:jc w:val="right"/>
              <w:rPr>
                <w:sz w:val="18"/>
                <w:szCs w:val="18"/>
              </w:rPr>
            </w:pPr>
            <w:r w:rsidRPr="00D652D5">
              <w:rPr>
                <w:sz w:val="18"/>
                <w:szCs w:val="18"/>
              </w:rPr>
              <w:t>0.003</w:t>
            </w:r>
          </w:p>
        </w:tc>
        <w:tc>
          <w:tcPr>
            <w:tcW w:w="2070" w:type="dxa"/>
            <w:shd w:val="clear" w:color="auto" w:fill="auto"/>
            <w:noWrap/>
            <w:vAlign w:val="bottom"/>
          </w:tcPr>
          <w:p w14:paraId="746C8E9A"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0.004</w:t>
            </w:r>
          </w:p>
        </w:tc>
      </w:tr>
      <w:tr w:rsidR="00E42813" w:rsidRPr="00D652D5" w14:paraId="2AF9C07D" w14:textId="77777777" w:rsidTr="003F5394">
        <w:trPr>
          <w:trHeight w:val="240"/>
        </w:trPr>
        <w:tc>
          <w:tcPr>
            <w:tcW w:w="2977" w:type="dxa"/>
            <w:shd w:val="clear" w:color="auto" w:fill="auto"/>
            <w:noWrap/>
            <w:vAlign w:val="bottom"/>
          </w:tcPr>
          <w:p w14:paraId="4ED32C9B"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Finland</w:t>
            </w:r>
          </w:p>
        </w:tc>
        <w:tc>
          <w:tcPr>
            <w:tcW w:w="2325" w:type="dxa"/>
            <w:shd w:val="clear" w:color="auto" w:fill="auto"/>
            <w:noWrap/>
            <w:vAlign w:val="bottom"/>
          </w:tcPr>
          <w:p w14:paraId="1663279A" w14:textId="77777777" w:rsidR="00E42813" w:rsidRPr="00D652D5" w:rsidRDefault="00E42813" w:rsidP="003F5394">
            <w:pPr>
              <w:suppressAutoHyphens w:val="0"/>
              <w:spacing w:line="240" w:lineRule="auto"/>
              <w:jc w:val="right"/>
              <w:rPr>
                <w:sz w:val="18"/>
                <w:szCs w:val="18"/>
              </w:rPr>
            </w:pPr>
            <w:r w:rsidRPr="00D652D5">
              <w:rPr>
                <w:sz w:val="18"/>
                <w:szCs w:val="18"/>
              </w:rPr>
              <w:t>0.421</w:t>
            </w:r>
          </w:p>
        </w:tc>
        <w:tc>
          <w:tcPr>
            <w:tcW w:w="2070" w:type="dxa"/>
            <w:shd w:val="clear" w:color="auto" w:fill="auto"/>
            <w:noWrap/>
            <w:vAlign w:val="bottom"/>
          </w:tcPr>
          <w:p w14:paraId="74F30AFF"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0.545</w:t>
            </w:r>
          </w:p>
        </w:tc>
      </w:tr>
      <w:tr w:rsidR="00E42813" w:rsidRPr="00D652D5" w14:paraId="07540CB6" w14:textId="77777777" w:rsidTr="003F5394">
        <w:trPr>
          <w:trHeight w:val="240"/>
        </w:trPr>
        <w:tc>
          <w:tcPr>
            <w:tcW w:w="2977" w:type="dxa"/>
            <w:shd w:val="clear" w:color="auto" w:fill="auto"/>
            <w:noWrap/>
            <w:vAlign w:val="bottom"/>
          </w:tcPr>
          <w:p w14:paraId="4A5A4BF5"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France</w:t>
            </w:r>
          </w:p>
        </w:tc>
        <w:tc>
          <w:tcPr>
            <w:tcW w:w="2325" w:type="dxa"/>
            <w:shd w:val="clear" w:color="auto" w:fill="auto"/>
            <w:noWrap/>
            <w:vAlign w:val="bottom"/>
          </w:tcPr>
          <w:p w14:paraId="0520D9F6" w14:textId="77777777" w:rsidR="00E42813" w:rsidRPr="00D652D5" w:rsidRDefault="00E42813" w:rsidP="003F5394">
            <w:pPr>
              <w:suppressAutoHyphens w:val="0"/>
              <w:spacing w:line="240" w:lineRule="auto"/>
              <w:jc w:val="right"/>
              <w:rPr>
                <w:sz w:val="18"/>
                <w:szCs w:val="18"/>
              </w:rPr>
            </w:pPr>
            <w:r w:rsidRPr="00D652D5">
              <w:rPr>
                <w:sz w:val="18"/>
                <w:szCs w:val="18"/>
              </w:rPr>
              <w:t>4.427</w:t>
            </w:r>
          </w:p>
        </w:tc>
        <w:tc>
          <w:tcPr>
            <w:tcW w:w="2070" w:type="dxa"/>
            <w:shd w:val="clear" w:color="auto" w:fill="auto"/>
            <w:noWrap/>
            <w:vAlign w:val="bottom"/>
          </w:tcPr>
          <w:p w14:paraId="585671AE" w14:textId="77777777" w:rsidR="00E42813" w:rsidRPr="00D652D5" w:rsidRDefault="00E42813" w:rsidP="003F5394">
            <w:pPr>
              <w:suppressAutoHyphens w:val="0"/>
              <w:spacing w:line="240" w:lineRule="auto"/>
              <w:jc w:val="right"/>
              <w:rPr>
                <w:sz w:val="18"/>
                <w:szCs w:val="18"/>
              </w:rPr>
            </w:pPr>
            <w:r w:rsidRPr="00D652D5">
              <w:rPr>
                <w:color w:val="000000"/>
                <w:sz w:val="18"/>
                <w:szCs w:val="18"/>
              </w:rPr>
              <w:t>5.736</w:t>
            </w:r>
          </w:p>
        </w:tc>
      </w:tr>
      <w:tr w:rsidR="00E42813" w:rsidRPr="00D652D5" w14:paraId="58102931" w14:textId="77777777" w:rsidTr="003F5394">
        <w:trPr>
          <w:trHeight w:val="240"/>
        </w:trPr>
        <w:tc>
          <w:tcPr>
            <w:tcW w:w="2977" w:type="dxa"/>
            <w:shd w:val="clear" w:color="auto" w:fill="auto"/>
            <w:noWrap/>
            <w:vAlign w:val="bottom"/>
          </w:tcPr>
          <w:p w14:paraId="3E785631"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Gabon</w:t>
            </w:r>
          </w:p>
        </w:tc>
        <w:tc>
          <w:tcPr>
            <w:tcW w:w="2325" w:type="dxa"/>
            <w:shd w:val="clear" w:color="auto" w:fill="auto"/>
            <w:noWrap/>
            <w:vAlign w:val="bottom"/>
          </w:tcPr>
          <w:p w14:paraId="298F78DC" w14:textId="77777777" w:rsidR="00E42813" w:rsidRPr="00D652D5" w:rsidRDefault="00E42813" w:rsidP="003F5394">
            <w:pPr>
              <w:suppressAutoHyphens w:val="0"/>
              <w:spacing w:line="240" w:lineRule="auto"/>
              <w:jc w:val="right"/>
              <w:rPr>
                <w:sz w:val="18"/>
                <w:szCs w:val="18"/>
              </w:rPr>
            </w:pPr>
            <w:r w:rsidRPr="00D652D5">
              <w:rPr>
                <w:sz w:val="18"/>
                <w:szCs w:val="18"/>
              </w:rPr>
              <w:t>0.015</w:t>
            </w:r>
          </w:p>
        </w:tc>
        <w:tc>
          <w:tcPr>
            <w:tcW w:w="2070" w:type="dxa"/>
            <w:shd w:val="clear" w:color="auto" w:fill="auto"/>
            <w:noWrap/>
            <w:vAlign w:val="bottom"/>
          </w:tcPr>
          <w:p w14:paraId="001C4859"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0.019</w:t>
            </w:r>
          </w:p>
        </w:tc>
      </w:tr>
      <w:tr w:rsidR="00E42813" w:rsidRPr="00D652D5" w14:paraId="4D8BAD02" w14:textId="77777777" w:rsidTr="003F5394">
        <w:trPr>
          <w:trHeight w:val="240"/>
        </w:trPr>
        <w:tc>
          <w:tcPr>
            <w:tcW w:w="2977" w:type="dxa"/>
            <w:shd w:val="clear" w:color="auto" w:fill="auto"/>
            <w:noWrap/>
            <w:vAlign w:val="bottom"/>
          </w:tcPr>
          <w:p w14:paraId="7F0912BE"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Gambia</w:t>
            </w:r>
          </w:p>
        </w:tc>
        <w:tc>
          <w:tcPr>
            <w:tcW w:w="2325" w:type="dxa"/>
            <w:shd w:val="clear" w:color="auto" w:fill="auto"/>
            <w:noWrap/>
            <w:vAlign w:val="bottom"/>
          </w:tcPr>
          <w:p w14:paraId="1A20F85D" w14:textId="77777777" w:rsidR="00E42813" w:rsidRPr="00D652D5" w:rsidRDefault="00E42813" w:rsidP="003F5394">
            <w:pPr>
              <w:suppressAutoHyphens w:val="0"/>
              <w:spacing w:line="240" w:lineRule="auto"/>
              <w:jc w:val="right"/>
              <w:rPr>
                <w:sz w:val="18"/>
                <w:szCs w:val="18"/>
              </w:rPr>
            </w:pPr>
            <w:r w:rsidRPr="00D652D5">
              <w:rPr>
                <w:sz w:val="18"/>
                <w:szCs w:val="18"/>
              </w:rPr>
              <w:t>0.001</w:t>
            </w:r>
          </w:p>
        </w:tc>
        <w:tc>
          <w:tcPr>
            <w:tcW w:w="2070" w:type="dxa"/>
            <w:shd w:val="clear" w:color="auto" w:fill="auto"/>
            <w:noWrap/>
            <w:vAlign w:val="bottom"/>
          </w:tcPr>
          <w:p w14:paraId="7DE4CCA4"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0.001</w:t>
            </w:r>
          </w:p>
        </w:tc>
      </w:tr>
      <w:tr w:rsidR="00E42813" w:rsidRPr="00D652D5" w14:paraId="5171DFBC" w14:textId="77777777" w:rsidTr="003F5394">
        <w:trPr>
          <w:trHeight w:val="240"/>
        </w:trPr>
        <w:tc>
          <w:tcPr>
            <w:tcW w:w="2977" w:type="dxa"/>
            <w:shd w:val="clear" w:color="auto" w:fill="auto"/>
            <w:noWrap/>
            <w:vAlign w:val="bottom"/>
          </w:tcPr>
          <w:p w14:paraId="02790244"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Georgia</w:t>
            </w:r>
          </w:p>
        </w:tc>
        <w:tc>
          <w:tcPr>
            <w:tcW w:w="2325" w:type="dxa"/>
            <w:shd w:val="clear" w:color="auto" w:fill="auto"/>
            <w:noWrap/>
            <w:vAlign w:val="bottom"/>
          </w:tcPr>
          <w:p w14:paraId="7758AAB0" w14:textId="77777777" w:rsidR="00E42813" w:rsidRPr="00D652D5" w:rsidRDefault="00E42813" w:rsidP="003F5394">
            <w:pPr>
              <w:suppressAutoHyphens w:val="0"/>
              <w:spacing w:line="240" w:lineRule="auto"/>
              <w:jc w:val="right"/>
              <w:rPr>
                <w:sz w:val="18"/>
                <w:szCs w:val="18"/>
              </w:rPr>
            </w:pPr>
            <w:r w:rsidRPr="00D652D5">
              <w:rPr>
                <w:sz w:val="18"/>
                <w:szCs w:val="18"/>
              </w:rPr>
              <w:t>0.008</w:t>
            </w:r>
          </w:p>
        </w:tc>
        <w:tc>
          <w:tcPr>
            <w:tcW w:w="2070" w:type="dxa"/>
            <w:shd w:val="clear" w:color="auto" w:fill="auto"/>
            <w:noWrap/>
            <w:vAlign w:val="bottom"/>
          </w:tcPr>
          <w:p w14:paraId="1F9926CA"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0.010</w:t>
            </w:r>
          </w:p>
        </w:tc>
      </w:tr>
      <w:tr w:rsidR="00E42813" w:rsidRPr="00D652D5" w14:paraId="67517AD0" w14:textId="77777777" w:rsidTr="003F5394">
        <w:trPr>
          <w:trHeight w:val="240"/>
        </w:trPr>
        <w:tc>
          <w:tcPr>
            <w:tcW w:w="2977" w:type="dxa"/>
            <w:shd w:val="clear" w:color="auto" w:fill="auto"/>
            <w:noWrap/>
            <w:vAlign w:val="bottom"/>
          </w:tcPr>
          <w:p w14:paraId="18A10CA9"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Germany</w:t>
            </w:r>
          </w:p>
        </w:tc>
        <w:tc>
          <w:tcPr>
            <w:tcW w:w="2325" w:type="dxa"/>
            <w:shd w:val="clear" w:color="auto" w:fill="auto"/>
            <w:noWrap/>
            <w:vAlign w:val="bottom"/>
          </w:tcPr>
          <w:p w14:paraId="756F6F4E" w14:textId="77777777" w:rsidR="00E42813" w:rsidRPr="00D652D5" w:rsidRDefault="00E42813" w:rsidP="003F5394">
            <w:pPr>
              <w:suppressAutoHyphens w:val="0"/>
              <w:spacing w:line="240" w:lineRule="auto"/>
              <w:jc w:val="right"/>
              <w:rPr>
                <w:sz w:val="18"/>
                <w:szCs w:val="18"/>
              </w:rPr>
            </w:pPr>
            <w:r w:rsidRPr="00D652D5">
              <w:rPr>
                <w:sz w:val="18"/>
                <w:szCs w:val="18"/>
              </w:rPr>
              <w:t>6.090</w:t>
            </w:r>
          </w:p>
        </w:tc>
        <w:tc>
          <w:tcPr>
            <w:tcW w:w="2070" w:type="dxa"/>
            <w:shd w:val="clear" w:color="auto" w:fill="auto"/>
            <w:noWrap/>
            <w:vAlign w:val="bottom"/>
          </w:tcPr>
          <w:p w14:paraId="4F0E0137" w14:textId="77777777" w:rsidR="00E42813" w:rsidRPr="00D652D5" w:rsidRDefault="00E42813" w:rsidP="003F5394">
            <w:pPr>
              <w:suppressAutoHyphens w:val="0"/>
              <w:spacing w:line="240" w:lineRule="auto"/>
              <w:jc w:val="right"/>
              <w:rPr>
                <w:sz w:val="18"/>
                <w:szCs w:val="18"/>
              </w:rPr>
            </w:pPr>
            <w:r w:rsidRPr="00D652D5">
              <w:rPr>
                <w:color w:val="000000"/>
                <w:sz w:val="18"/>
                <w:szCs w:val="18"/>
              </w:rPr>
              <w:t>7.891</w:t>
            </w:r>
          </w:p>
        </w:tc>
      </w:tr>
      <w:tr w:rsidR="00E42813" w:rsidRPr="00D652D5" w14:paraId="055879AB" w14:textId="77777777" w:rsidTr="003F5394">
        <w:trPr>
          <w:trHeight w:val="240"/>
        </w:trPr>
        <w:tc>
          <w:tcPr>
            <w:tcW w:w="2977" w:type="dxa"/>
            <w:shd w:val="clear" w:color="auto" w:fill="auto"/>
            <w:noWrap/>
            <w:vAlign w:val="bottom"/>
          </w:tcPr>
          <w:p w14:paraId="3BE1639E"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Ghana</w:t>
            </w:r>
          </w:p>
        </w:tc>
        <w:tc>
          <w:tcPr>
            <w:tcW w:w="2325" w:type="dxa"/>
            <w:shd w:val="clear" w:color="auto" w:fill="auto"/>
            <w:noWrap/>
            <w:vAlign w:val="bottom"/>
          </w:tcPr>
          <w:p w14:paraId="50B76702" w14:textId="77777777" w:rsidR="00E42813" w:rsidRPr="00D652D5" w:rsidRDefault="00E42813" w:rsidP="003F5394">
            <w:pPr>
              <w:suppressAutoHyphens w:val="0"/>
              <w:spacing w:line="240" w:lineRule="auto"/>
              <w:jc w:val="right"/>
              <w:rPr>
                <w:sz w:val="18"/>
                <w:szCs w:val="18"/>
              </w:rPr>
            </w:pPr>
            <w:r w:rsidRPr="00D652D5">
              <w:rPr>
                <w:sz w:val="18"/>
                <w:szCs w:val="18"/>
              </w:rPr>
              <w:t>0.015</w:t>
            </w:r>
          </w:p>
        </w:tc>
        <w:tc>
          <w:tcPr>
            <w:tcW w:w="2070" w:type="dxa"/>
            <w:shd w:val="clear" w:color="auto" w:fill="auto"/>
            <w:noWrap/>
            <w:vAlign w:val="bottom"/>
          </w:tcPr>
          <w:p w14:paraId="26F7A3ED"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0.019</w:t>
            </w:r>
          </w:p>
        </w:tc>
      </w:tr>
      <w:tr w:rsidR="00E42813" w:rsidRPr="00D652D5" w14:paraId="4AE03C52" w14:textId="77777777" w:rsidTr="003F5394">
        <w:trPr>
          <w:trHeight w:val="240"/>
        </w:trPr>
        <w:tc>
          <w:tcPr>
            <w:tcW w:w="2977" w:type="dxa"/>
            <w:shd w:val="clear" w:color="auto" w:fill="auto"/>
            <w:noWrap/>
            <w:vAlign w:val="bottom"/>
          </w:tcPr>
          <w:p w14:paraId="2E403BEF"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Greece</w:t>
            </w:r>
          </w:p>
        </w:tc>
        <w:tc>
          <w:tcPr>
            <w:tcW w:w="2325" w:type="dxa"/>
            <w:shd w:val="clear" w:color="auto" w:fill="auto"/>
            <w:noWrap/>
            <w:vAlign w:val="bottom"/>
          </w:tcPr>
          <w:p w14:paraId="71481D1B" w14:textId="77777777" w:rsidR="00E42813" w:rsidRPr="00D652D5" w:rsidRDefault="00E42813" w:rsidP="003F5394">
            <w:pPr>
              <w:suppressAutoHyphens w:val="0"/>
              <w:spacing w:line="240" w:lineRule="auto"/>
              <w:jc w:val="right"/>
              <w:rPr>
                <w:sz w:val="18"/>
                <w:szCs w:val="18"/>
              </w:rPr>
            </w:pPr>
            <w:r w:rsidRPr="00D652D5">
              <w:rPr>
                <w:sz w:val="18"/>
                <w:szCs w:val="18"/>
              </w:rPr>
              <w:t>0.366</w:t>
            </w:r>
          </w:p>
        </w:tc>
        <w:tc>
          <w:tcPr>
            <w:tcW w:w="2070" w:type="dxa"/>
            <w:shd w:val="clear" w:color="auto" w:fill="auto"/>
            <w:noWrap/>
            <w:vAlign w:val="bottom"/>
          </w:tcPr>
          <w:p w14:paraId="76919A7A"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0.474</w:t>
            </w:r>
          </w:p>
        </w:tc>
      </w:tr>
      <w:tr w:rsidR="00E42813" w:rsidRPr="00D652D5" w14:paraId="3F108128" w14:textId="77777777" w:rsidTr="003F5394">
        <w:trPr>
          <w:trHeight w:val="240"/>
        </w:trPr>
        <w:tc>
          <w:tcPr>
            <w:tcW w:w="2977" w:type="dxa"/>
            <w:shd w:val="clear" w:color="auto" w:fill="auto"/>
            <w:noWrap/>
            <w:vAlign w:val="bottom"/>
          </w:tcPr>
          <w:p w14:paraId="1776F553"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Grenada</w:t>
            </w:r>
          </w:p>
        </w:tc>
        <w:tc>
          <w:tcPr>
            <w:tcW w:w="2325" w:type="dxa"/>
            <w:shd w:val="clear" w:color="auto" w:fill="auto"/>
            <w:noWrap/>
            <w:vAlign w:val="bottom"/>
          </w:tcPr>
          <w:p w14:paraId="49AE3B55" w14:textId="77777777" w:rsidR="00E42813" w:rsidRPr="00D652D5" w:rsidRDefault="00E42813" w:rsidP="003F5394">
            <w:pPr>
              <w:suppressAutoHyphens w:val="0"/>
              <w:spacing w:line="240" w:lineRule="auto"/>
              <w:jc w:val="right"/>
              <w:rPr>
                <w:sz w:val="18"/>
                <w:szCs w:val="18"/>
              </w:rPr>
            </w:pPr>
            <w:r w:rsidRPr="00D652D5">
              <w:rPr>
                <w:sz w:val="18"/>
                <w:szCs w:val="18"/>
              </w:rPr>
              <w:t>0.001</w:t>
            </w:r>
          </w:p>
        </w:tc>
        <w:tc>
          <w:tcPr>
            <w:tcW w:w="2070" w:type="dxa"/>
            <w:shd w:val="clear" w:color="auto" w:fill="auto"/>
            <w:noWrap/>
            <w:vAlign w:val="bottom"/>
          </w:tcPr>
          <w:p w14:paraId="3C26FEFA"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0.001</w:t>
            </w:r>
          </w:p>
        </w:tc>
      </w:tr>
      <w:tr w:rsidR="00E42813" w:rsidRPr="00D652D5" w14:paraId="5CD19A82" w14:textId="77777777" w:rsidTr="003F5394">
        <w:trPr>
          <w:trHeight w:val="240"/>
        </w:trPr>
        <w:tc>
          <w:tcPr>
            <w:tcW w:w="2977" w:type="dxa"/>
            <w:shd w:val="clear" w:color="auto" w:fill="auto"/>
            <w:noWrap/>
            <w:vAlign w:val="bottom"/>
          </w:tcPr>
          <w:p w14:paraId="7737A82E"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Guatemala</w:t>
            </w:r>
          </w:p>
        </w:tc>
        <w:tc>
          <w:tcPr>
            <w:tcW w:w="2325" w:type="dxa"/>
            <w:shd w:val="clear" w:color="auto" w:fill="auto"/>
            <w:noWrap/>
            <w:vAlign w:val="bottom"/>
          </w:tcPr>
          <w:p w14:paraId="2D3BE5F2" w14:textId="77777777" w:rsidR="00E42813" w:rsidRPr="00D652D5" w:rsidRDefault="00E42813" w:rsidP="003F5394">
            <w:pPr>
              <w:suppressAutoHyphens w:val="0"/>
              <w:spacing w:line="240" w:lineRule="auto"/>
              <w:jc w:val="right"/>
              <w:rPr>
                <w:sz w:val="18"/>
                <w:szCs w:val="18"/>
              </w:rPr>
            </w:pPr>
            <w:r w:rsidRPr="00D652D5">
              <w:rPr>
                <w:sz w:val="18"/>
                <w:szCs w:val="18"/>
              </w:rPr>
              <w:t>0.036</w:t>
            </w:r>
          </w:p>
        </w:tc>
        <w:tc>
          <w:tcPr>
            <w:tcW w:w="2070" w:type="dxa"/>
            <w:shd w:val="clear" w:color="auto" w:fill="auto"/>
            <w:noWrap/>
            <w:vAlign w:val="bottom"/>
          </w:tcPr>
          <w:p w14:paraId="6DF14ADB"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0.047</w:t>
            </w:r>
          </w:p>
        </w:tc>
      </w:tr>
      <w:tr w:rsidR="00E42813" w:rsidRPr="00D652D5" w14:paraId="359E62B1" w14:textId="77777777" w:rsidTr="003F5394">
        <w:trPr>
          <w:trHeight w:val="240"/>
        </w:trPr>
        <w:tc>
          <w:tcPr>
            <w:tcW w:w="2977" w:type="dxa"/>
            <w:shd w:val="clear" w:color="auto" w:fill="auto"/>
            <w:noWrap/>
            <w:vAlign w:val="bottom"/>
          </w:tcPr>
          <w:p w14:paraId="70215D3E"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Guinea</w:t>
            </w:r>
          </w:p>
        </w:tc>
        <w:tc>
          <w:tcPr>
            <w:tcW w:w="2325" w:type="dxa"/>
            <w:shd w:val="clear" w:color="auto" w:fill="auto"/>
            <w:noWrap/>
            <w:vAlign w:val="bottom"/>
          </w:tcPr>
          <w:p w14:paraId="4B030291" w14:textId="77777777" w:rsidR="00E42813" w:rsidRPr="00D652D5" w:rsidRDefault="00E42813" w:rsidP="003F5394">
            <w:pPr>
              <w:suppressAutoHyphens w:val="0"/>
              <w:spacing w:line="240" w:lineRule="auto"/>
              <w:jc w:val="right"/>
              <w:rPr>
                <w:sz w:val="18"/>
                <w:szCs w:val="18"/>
              </w:rPr>
            </w:pPr>
            <w:r w:rsidRPr="00D652D5">
              <w:rPr>
                <w:sz w:val="18"/>
                <w:szCs w:val="18"/>
              </w:rPr>
              <w:t>0.003</w:t>
            </w:r>
          </w:p>
        </w:tc>
        <w:tc>
          <w:tcPr>
            <w:tcW w:w="2070" w:type="dxa"/>
            <w:shd w:val="clear" w:color="auto" w:fill="auto"/>
            <w:noWrap/>
            <w:vAlign w:val="bottom"/>
          </w:tcPr>
          <w:p w14:paraId="4D865602"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0.004</w:t>
            </w:r>
          </w:p>
        </w:tc>
      </w:tr>
      <w:tr w:rsidR="00E42813" w:rsidRPr="00D652D5" w14:paraId="6E05B7ED" w14:textId="77777777" w:rsidTr="003F5394">
        <w:trPr>
          <w:trHeight w:val="240"/>
        </w:trPr>
        <w:tc>
          <w:tcPr>
            <w:tcW w:w="2977" w:type="dxa"/>
            <w:shd w:val="clear" w:color="auto" w:fill="auto"/>
            <w:noWrap/>
            <w:vAlign w:val="bottom"/>
          </w:tcPr>
          <w:p w14:paraId="183D0395"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Guinea-Bissau</w:t>
            </w:r>
          </w:p>
        </w:tc>
        <w:tc>
          <w:tcPr>
            <w:tcW w:w="2325" w:type="dxa"/>
            <w:shd w:val="clear" w:color="auto" w:fill="auto"/>
            <w:noWrap/>
            <w:vAlign w:val="bottom"/>
          </w:tcPr>
          <w:p w14:paraId="77BF3874" w14:textId="77777777" w:rsidR="00E42813" w:rsidRPr="00D652D5" w:rsidRDefault="00E42813" w:rsidP="003F5394">
            <w:pPr>
              <w:suppressAutoHyphens w:val="0"/>
              <w:spacing w:line="240" w:lineRule="auto"/>
              <w:jc w:val="right"/>
              <w:rPr>
                <w:sz w:val="18"/>
                <w:szCs w:val="18"/>
              </w:rPr>
            </w:pPr>
            <w:r w:rsidRPr="00D652D5">
              <w:rPr>
                <w:sz w:val="18"/>
                <w:szCs w:val="18"/>
              </w:rPr>
              <w:t>0.001</w:t>
            </w:r>
          </w:p>
        </w:tc>
        <w:tc>
          <w:tcPr>
            <w:tcW w:w="2070" w:type="dxa"/>
            <w:shd w:val="clear" w:color="auto" w:fill="auto"/>
            <w:noWrap/>
            <w:vAlign w:val="bottom"/>
          </w:tcPr>
          <w:p w14:paraId="7DE5A55C"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0.001</w:t>
            </w:r>
          </w:p>
        </w:tc>
      </w:tr>
      <w:tr w:rsidR="00E42813" w:rsidRPr="00D652D5" w14:paraId="680F5C00" w14:textId="77777777" w:rsidTr="003F5394">
        <w:trPr>
          <w:trHeight w:val="240"/>
        </w:trPr>
        <w:tc>
          <w:tcPr>
            <w:tcW w:w="2977" w:type="dxa"/>
            <w:shd w:val="clear" w:color="auto" w:fill="auto"/>
            <w:noWrap/>
            <w:vAlign w:val="bottom"/>
          </w:tcPr>
          <w:p w14:paraId="6C6DE286"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Guyana</w:t>
            </w:r>
          </w:p>
        </w:tc>
        <w:tc>
          <w:tcPr>
            <w:tcW w:w="2325" w:type="dxa"/>
            <w:shd w:val="clear" w:color="auto" w:fill="auto"/>
            <w:noWrap/>
            <w:vAlign w:val="bottom"/>
          </w:tcPr>
          <w:p w14:paraId="4E983061" w14:textId="77777777" w:rsidR="00E42813" w:rsidRPr="00D652D5" w:rsidRDefault="00E42813" w:rsidP="003F5394">
            <w:pPr>
              <w:suppressAutoHyphens w:val="0"/>
              <w:spacing w:line="240" w:lineRule="auto"/>
              <w:jc w:val="right"/>
              <w:rPr>
                <w:sz w:val="18"/>
                <w:szCs w:val="18"/>
              </w:rPr>
            </w:pPr>
            <w:r w:rsidRPr="00D652D5">
              <w:rPr>
                <w:sz w:val="18"/>
                <w:szCs w:val="18"/>
              </w:rPr>
              <w:t>0.002</w:t>
            </w:r>
          </w:p>
        </w:tc>
        <w:tc>
          <w:tcPr>
            <w:tcW w:w="2070" w:type="dxa"/>
            <w:shd w:val="clear" w:color="auto" w:fill="auto"/>
            <w:noWrap/>
            <w:vAlign w:val="bottom"/>
          </w:tcPr>
          <w:p w14:paraId="3F84E343"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0.003</w:t>
            </w:r>
          </w:p>
        </w:tc>
      </w:tr>
      <w:tr w:rsidR="00E42813" w:rsidRPr="00D652D5" w14:paraId="5836824F" w14:textId="77777777" w:rsidTr="003F5394">
        <w:trPr>
          <w:trHeight w:val="240"/>
        </w:trPr>
        <w:tc>
          <w:tcPr>
            <w:tcW w:w="2977" w:type="dxa"/>
            <w:shd w:val="clear" w:color="auto" w:fill="auto"/>
            <w:noWrap/>
            <w:vAlign w:val="bottom"/>
          </w:tcPr>
          <w:p w14:paraId="304963F6"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Haiti</w:t>
            </w:r>
          </w:p>
        </w:tc>
        <w:tc>
          <w:tcPr>
            <w:tcW w:w="2325" w:type="dxa"/>
            <w:shd w:val="clear" w:color="auto" w:fill="auto"/>
            <w:noWrap/>
            <w:vAlign w:val="bottom"/>
          </w:tcPr>
          <w:p w14:paraId="0A8CA6CB" w14:textId="77777777" w:rsidR="00E42813" w:rsidRPr="00D652D5" w:rsidRDefault="00E42813" w:rsidP="003F5394">
            <w:pPr>
              <w:suppressAutoHyphens w:val="0"/>
              <w:spacing w:line="240" w:lineRule="auto"/>
              <w:jc w:val="right"/>
              <w:rPr>
                <w:sz w:val="18"/>
                <w:szCs w:val="18"/>
              </w:rPr>
            </w:pPr>
            <w:r w:rsidRPr="00D652D5">
              <w:rPr>
                <w:sz w:val="18"/>
                <w:szCs w:val="18"/>
              </w:rPr>
              <w:t>0.003</w:t>
            </w:r>
          </w:p>
        </w:tc>
        <w:tc>
          <w:tcPr>
            <w:tcW w:w="2070" w:type="dxa"/>
            <w:shd w:val="clear" w:color="auto" w:fill="auto"/>
            <w:noWrap/>
            <w:vAlign w:val="bottom"/>
          </w:tcPr>
          <w:p w14:paraId="50E765BA"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0.004</w:t>
            </w:r>
          </w:p>
        </w:tc>
      </w:tr>
      <w:tr w:rsidR="00E42813" w:rsidRPr="00D652D5" w14:paraId="259DCC22" w14:textId="77777777" w:rsidTr="003F5394">
        <w:trPr>
          <w:trHeight w:val="240"/>
        </w:trPr>
        <w:tc>
          <w:tcPr>
            <w:tcW w:w="2977" w:type="dxa"/>
            <w:shd w:val="clear" w:color="auto" w:fill="auto"/>
            <w:noWrap/>
            <w:vAlign w:val="bottom"/>
          </w:tcPr>
          <w:p w14:paraId="3E320690"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Honduras</w:t>
            </w:r>
          </w:p>
        </w:tc>
        <w:tc>
          <w:tcPr>
            <w:tcW w:w="2325" w:type="dxa"/>
            <w:shd w:val="clear" w:color="auto" w:fill="auto"/>
            <w:noWrap/>
            <w:vAlign w:val="bottom"/>
          </w:tcPr>
          <w:p w14:paraId="20329170" w14:textId="77777777" w:rsidR="00E42813" w:rsidRPr="00D652D5" w:rsidRDefault="00E42813" w:rsidP="003F5394">
            <w:pPr>
              <w:suppressAutoHyphens w:val="0"/>
              <w:spacing w:line="240" w:lineRule="auto"/>
              <w:jc w:val="right"/>
              <w:rPr>
                <w:sz w:val="18"/>
                <w:szCs w:val="18"/>
              </w:rPr>
            </w:pPr>
            <w:r w:rsidRPr="00D652D5">
              <w:rPr>
                <w:sz w:val="18"/>
                <w:szCs w:val="18"/>
              </w:rPr>
              <w:t>0.009</w:t>
            </w:r>
          </w:p>
        </w:tc>
        <w:tc>
          <w:tcPr>
            <w:tcW w:w="2070" w:type="dxa"/>
            <w:shd w:val="clear" w:color="auto" w:fill="auto"/>
            <w:noWrap/>
            <w:vAlign w:val="bottom"/>
          </w:tcPr>
          <w:p w14:paraId="4F024855"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0.012</w:t>
            </w:r>
          </w:p>
        </w:tc>
      </w:tr>
      <w:tr w:rsidR="00E42813" w:rsidRPr="00D652D5" w14:paraId="634FA1F7" w14:textId="77777777" w:rsidTr="003F5394">
        <w:trPr>
          <w:trHeight w:val="240"/>
        </w:trPr>
        <w:tc>
          <w:tcPr>
            <w:tcW w:w="2977" w:type="dxa"/>
            <w:shd w:val="clear" w:color="auto" w:fill="auto"/>
            <w:noWrap/>
            <w:vAlign w:val="bottom"/>
          </w:tcPr>
          <w:p w14:paraId="31ACF35E"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Hungary</w:t>
            </w:r>
          </w:p>
        </w:tc>
        <w:tc>
          <w:tcPr>
            <w:tcW w:w="2325" w:type="dxa"/>
            <w:shd w:val="clear" w:color="auto" w:fill="auto"/>
            <w:noWrap/>
            <w:vAlign w:val="bottom"/>
          </w:tcPr>
          <w:p w14:paraId="53012DC5" w14:textId="77777777" w:rsidR="00E42813" w:rsidRPr="00D652D5" w:rsidRDefault="00E42813" w:rsidP="003F5394">
            <w:pPr>
              <w:suppressAutoHyphens w:val="0"/>
              <w:spacing w:line="240" w:lineRule="auto"/>
              <w:jc w:val="right"/>
              <w:rPr>
                <w:sz w:val="18"/>
                <w:szCs w:val="18"/>
              </w:rPr>
            </w:pPr>
            <w:r w:rsidRPr="00D652D5">
              <w:rPr>
                <w:sz w:val="18"/>
                <w:szCs w:val="18"/>
              </w:rPr>
              <w:t>0.206</w:t>
            </w:r>
          </w:p>
        </w:tc>
        <w:tc>
          <w:tcPr>
            <w:tcW w:w="2070" w:type="dxa"/>
            <w:shd w:val="clear" w:color="auto" w:fill="auto"/>
            <w:noWrap/>
            <w:vAlign w:val="bottom"/>
          </w:tcPr>
          <w:p w14:paraId="6F45C97D"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0.267</w:t>
            </w:r>
          </w:p>
        </w:tc>
      </w:tr>
      <w:tr w:rsidR="00E42813" w:rsidRPr="00D652D5" w14:paraId="54B04FD3" w14:textId="77777777" w:rsidTr="003F5394">
        <w:trPr>
          <w:trHeight w:val="240"/>
        </w:trPr>
        <w:tc>
          <w:tcPr>
            <w:tcW w:w="2977" w:type="dxa"/>
            <w:shd w:val="clear" w:color="auto" w:fill="auto"/>
            <w:noWrap/>
            <w:vAlign w:val="bottom"/>
          </w:tcPr>
          <w:p w14:paraId="01056DC1"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Iceland</w:t>
            </w:r>
          </w:p>
        </w:tc>
        <w:tc>
          <w:tcPr>
            <w:tcW w:w="2325" w:type="dxa"/>
            <w:shd w:val="clear" w:color="auto" w:fill="auto"/>
            <w:noWrap/>
            <w:vAlign w:val="bottom"/>
          </w:tcPr>
          <w:p w14:paraId="4850439A" w14:textId="77777777" w:rsidR="00E42813" w:rsidRPr="00D652D5" w:rsidRDefault="00E42813" w:rsidP="003F5394">
            <w:pPr>
              <w:suppressAutoHyphens w:val="0"/>
              <w:spacing w:line="240" w:lineRule="auto"/>
              <w:jc w:val="right"/>
              <w:rPr>
                <w:sz w:val="18"/>
                <w:szCs w:val="18"/>
              </w:rPr>
            </w:pPr>
            <w:r w:rsidRPr="00D652D5">
              <w:rPr>
                <w:sz w:val="18"/>
                <w:szCs w:val="18"/>
              </w:rPr>
              <w:t>0.028</w:t>
            </w:r>
          </w:p>
        </w:tc>
        <w:tc>
          <w:tcPr>
            <w:tcW w:w="2070" w:type="dxa"/>
            <w:shd w:val="clear" w:color="auto" w:fill="auto"/>
            <w:noWrap/>
            <w:vAlign w:val="bottom"/>
          </w:tcPr>
          <w:p w14:paraId="4A3E5784"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0.036</w:t>
            </w:r>
          </w:p>
        </w:tc>
      </w:tr>
      <w:tr w:rsidR="00E42813" w:rsidRPr="00D652D5" w14:paraId="47214D27" w14:textId="77777777" w:rsidTr="003F5394">
        <w:trPr>
          <w:trHeight w:val="240"/>
        </w:trPr>
        <w:tc>
          <w:tcPr>
            <w:tcW w:w="2977" w:type="dxa"/>
            <w:shd w:val="clear" w:color="auto" w:fill="auto"/>
            <w:noWrap/>
            <w:vAlign w:val="bottom"/>
          </w:tcPr>
          <w:p w14:paraId="0AF32893"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India</w:t>
            </w:r>
          </w:p>
        </w:tc>
        <w:tc>
          <w:tcPr>
            <w:tcW w:w="2325" w:type="dxa"/>
            <w:shd w:val="clear" w:color="auto" w:fill="auto"/>
            <w:noWrap/>
            <w:vAlign w:val="bottom"/>
          </w:tcPr>
          <w:p w14:paraId="2D68377E" w14:textId="77777777" w:rsidR="00E42813" w:rsidRPr="00D652D5" w:rsidRDefault="00E42813" w:rsidP="003F5394">
            <w:pPr>
              <w:suppressAutoHyphens w:val="0"/>
              <w:spacing w:line="240" w:lineRule="auto"/>
              <w:jc w:val="right"/>
              <w:rPr>
                <w:sz w:val="18"/>
                <w:szCs w:val="18"/>
              </w:rPr>
            </w:pPr>
            <w:r w:rsidRPr="00D652D5">
              <w:rPr>
                <w:sz w:val="18"/>
                <w:szCs w:val="18"/>
              </w:rPr>
              <w:t>0.834</w:t>
            </w:r>
          </w:p>
        </w:tc>
        <w:tc>
          <w:tcPr>
            <w:tcW w:w="2070" w:type="dxa"/>
            <w:shd w:val="clear" w:color="auto" w:fill="auto"/>
            <w:noWrap/>
            <w:vAlign w:val="bottom"/>
          </w:tcPr>
          <w:p w14:paraId="12259712" w14:textId="77777777" w:rsidR="00E42813" w:rsidRPr="00D652D5" w:rsidRDefault="00E42813" w:rsidP="003F5394">
            <w:pPr>
              <w:suppressAutoHyphens w:val="0"/>
              <w:spacing w:line="240" w:lineRule="auto"/>
              <w:jc w:val="right"/>
              <w:rPr>
                <w:sz w:val="18"/>
                <w:szCs w:val="18"/>
              </w:rPr>
            </w:pPr>
            <w:r w:rsidRPr="00D652D5">
              <w:rPr>
                <w:color w:val="000000"/>
                <w:sz w:val="18"/>
                <w:szCs w:val="18"/>
              </w:rPr>
              <w:t>1.081</w:t>
            </w:r>
          </w:p>
        </w:tc>
      </w:tr>
      <w:tr w:rsidR="00E42813" w:rsidRPr="00D652D5" w14:paraId="47EB48BE" w14:textId="77777777" w:rsidTr="003F5394">
        <w:trPr>
          <w:trHeight w:val="240"/>
        </w:trPr>
        <w:tc>
          <w:tcPr>
            <w:tcW w:w="2977" w:type="dxa"/>
            <w:shd w:val="clear" w:color="auto" w:fill="auto"/>
            <w:noWrap/>
            <w:vAlign w:val="bottom"/>
          </w:tcPr>
          <w:p w14:paraId="6399B32C"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Indonesia</w:t>
            </w:r>
          </w:p>
        </w:tc>
        <w:tc>
          <w:tcPr>
            <w:tcW w:w="2325" w:type="dxa"/>
            <w:shd w:val="clear" w:color="auto" w:fill="auto"/>
            <w:noWrap/>
            <w:vAlign w:val="bottom"/>
          </w:tcPr>
          <w:p w14:paraId="1A7B8F4E" w14:textId="77777777" w:rsidR="00E42813" w:rsidRPr="00D652D5" w:rsidRDefault="00E42813" w:rsidP="003F5394">
            <w:pPr>
              <w:suppressAutoHyphens w:val="0"/>
              <w:spacing w:line="240" w:lineRule="auto"/>
              <w:jc w:val="right"/>
              <w:rPr>
                <w:sz w:val="18"/>
                <w:szCs w:val="18"/>
              </w:rPr>
            </w:pPr>
            <w:r w:rsidRPr="00D652D5">
              <w:rPr>
                <w:sz w:val="18"/>
                <w:szCs w:val="18"/>
              </w:rPr>
              <w:t>0.543</w:t>
            </w:r>
          </w:p>
        </w:tc>
        <w:tc>
          <w:tcPr>
            <w:tcW w:w="2070" w:type="dxa"/>
            <w:shd w:val="clear" w:color="auto" w:fill="auto"/>
            <w:noWrap/>
            <w:vAlign w:val="bottom"/>
          </w:tcPr>
          <w:p w14:paraId="11356188"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0.704</w:t>
            </w:r>
          </w:p>
        </w:tc>
      </w:tr>
      <w:tr w:rsidR="00E42813" w:rsidRPr="00D652D5" w14:paraId="39FD7357" w14:textId="77777777" w:rsidTr="003F5394">
        <w:trPr>
          <w:trHeight w:val="240"/>
        </w:trPr>
        <w:tc>
          <w:tcPr>
            <w:tcW w:w="2977" w:type="dxa"/>
            <w:shd w:val="clear" w:color="auto" w:fill="auto"/>
            <w:noWrap/>
            <w:vAlign w:val="bottom"/>
          </w:tcPr>
          <w:p w14:paraId="28526C8E"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Iran (Islamic Republic of)</w:t>
            </w:r>
          </w:p>
        </w:tc>
        <w:tc>
          <w:tcPr>
            <w:tcW w:w="2325" w:type="dxa"/>
            <w:shd w:val="clear" w:color="auto" w:fill="auto"/>
            <w:noWrap/>
            <w:vAlign w:val="bottom"/>
          </w:tcPr>
          <w:p w14:paraId="7D1B3AA8" w14:textId="77777777" w:rsidR="00E42813" w:rsidRPr="00D652D5" w:rsidRDefault="00E42813" w:rsidP="003F5394">
            <w:pPr>
              <w:suppressAutoHyphens w:val="0"/>
              <w:spacing w:line="240" w:lineRule="auto"/>
              <w:jc w:val="right"/>
              <w:rPr>
                <w:sz w:val="18"/>
                <w:szCs w:val="18"/>
              </w:rPr>
            </w:pPr>
            <w:r w:rsidRPr="00D652D5">
              <w:rPr>
                <w:sz w:val="18"/>
                <w:szCs w:val="18"/>
              </w:rPr>
              <w:t>0.398</w:t>
            </w:r>
          </w:p>
        </w:tc>
        <w:tc>
          <w:tcPr>
            <w:tcW w:w="2070" w:type="dxa"/>
            <w:shd w:val="clear" w:color="auto" w:fill="auto"/>
            <w:noWrap/>
            <w:vAlign w:val="bottom"/>
          </w:tcPr>
          <w:p w14:paraId="18A62C48"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0.516</w:t>
            </w:r>
          </w:p>
        </w:tc>
      </w:tr>
      <w:tr w:rsidR="00E42813" w:rsidRPr="00D652D5" w14:paraId="7CAE1EF5" w14:textId="77777777" w:rsidTr="003F5394">
        <w:trPr>
          <w:trHeight w:val="240"/>
        </w:trPr>
        <w:tc>
          <w:tcPr>
            <w:tcW w:w="2977" w:type="dxa"/>
            <w:shd w:val="clear" w:color="auto" w:fill="auto"/>
            <w:noWrap/>
            <w:vAlign w:val="bottom"/>
          </w:tcPr>
          <w:p w14:paraId="4B3E9863"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Iraq</w:t>
            </w:r>
          </w:p>
        </w:tc>
        <w:tc>
          <w:tcPr>
            <w:tcW w:w="2325" w:type="dxa"/>
            <w:shd w:val="clear" w:color="auto" w:fill="auto"/>
            <w:noWrap/>
            <w:vAlign w:val="bottom"/>
          </w:tcPr>
          <w:p w14:paraId="3B68E841" w14:textId="77777777" w:rsidR="00E42813" w:rsidRPr="00D652D5" w:rsidRDefault="00E42813" w:rsidP="003F5394">
            <w:pPr>
              <w:suppressAutoHyphens w:val="0"/>
              <w:spacing w:line="240" w:lineRule="auto"/>
              <w:jc w:val="right"/>
              <w:rPr>
                <w:sz w:val="18"/>
                <w:szCs w:val="18"/>
              </w:rPr>
            </w:pPr>
            <w:r w:rsidRPr="00D652D5">
              <w:rPr>
                <w:sz w:val="18"/>
                <w:szCs w:val="18"/>
              </w:rPr>
              <w:t>0.129</w:t>
            </w:r>
          </w:p>
        </w:tc>
        <w:tc>
          <w:tcPr>
            <w:tcW w:w="2070" w:type="dxa"/>
            <w:shd w:val="clear" w:color="auto" w:fill="auto"/>
            <w:noWrap/>
            <w:vAlign w:val="bottom"/>
          </w:tcPr>
          <w:p w14:paraId="42A2DABB"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0.167</w:t>
            </w:r>
          </w:p>
        </w:tc>
      </w:tr>
      <w:tr w:rsidR="00E42813" w:rsidRPr="00D652D5" w14:paraId="0A786013" w14:textId="77777777" w:rsidTr="003F5394">
        <w:trPr>
          <w:trHeight w:val="240"/>
        </w:trPr>
        <w:tc>
          <w:tcPr>
            <w:tcW w:w="2977" w:type="dxa"/>
            <w:shd w:val="clear" w:color="auto" w:fill="auto"/>
            <w:noWrap/>
            <w:vAlign w:val="bottom"/>
          </w:tcPr>
          <w:p w14:paraId="3EE693D7"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Ireland</w:t>
            </w:r>
          </w:p>
        </w:tc>
        <w:tc>
          <w:tcPr>
            <w:tcW w:w="2325" w:type="dxa"/>
            <w:shd w:val="clear" w:color="auto" w:fill="auto"/>
            <w:noWrap/>
            <w:vAlign w:val="bottom"/>
          </w:tcPr>
          <w:p w14:paraId="2EC27C3E" w14:textId="77777777" w:rsidR="00E42813" w:rsidRPr="00D652D5" w:rsidRDefault="00E42813" w:rsidP="003F5394">
            <w:pPr>
              <w:suppressAutoHyphens w:val="0"/>
              <w:spacing w:line="240" w:lineRule="auto"/>
              <w:jc w:val="right"/>
              <w:rPr>
                <w:sz w:val="18"/>
                <w:szCs w:val="18"/>
              </w:rPr>
            </w:pPr>
            <w:r w:rsidRPr="00D652D5">
              <w:rPr>
                <w:sz w:val="18"/>
                <w:szCs w:val="18"/>
              </w:rPr>
              <w:t>0.371</w:t>
            </w:r>
          </w:p>
        </w:tc>
        <w:tc>
          <w:tcPr>
            <w:tcW w:w="2070" w:type="dxa"/>
            <w:shd w:val="clear" w:color="auto" w:fill="auto"/>
            <w:noWrap/>
            <w:vAlign w:val="bottom"/>
          </w:tcPr>
          <w:p w14:paraId="762527E5"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0.481</w:t>
            </w:r>
          </w:p>
        </w:tc>
      </w:tr>
      <w:tr w:rsidR="00E42813" w:rsidRPr="00D652D5" w14:paraId="17ACCEF4" w14:textId="77777777" w:rsidTr="003F5394">
        <w:trPr>
          <w:trHeight w:val="240"/>
        </w:trPr>
        <w:tc>
          <w:tcPr>
            <w:tcW w:w="2977" w:type="dxa"/>
            <w:shd w:val="clear" w:color="auto" w:fill="auto"/>
            <w:noWrap/>
            <w:vAlign w:val="bottom"/>
          </w:tcPr>
          <w:p w14:paraId="470A7153"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Israel</w:t>
            </w:r>
          </w:p>
        </w:tc>
        <w:tc>
          <w:tcPr>
            <w:tcW w:w="2325" w:type="dxa"/>
            <w:shd w:val="clear" w:color="auto" w:fill="auto"/>
            <w:noWrap/>
            <w:vAlign w:val="bottom"/>
          </w:tcPr>
          <w:p w14:paraId="76AA4E5F" w14:textId="77777777" w:rsidR="00E42813" w:rsidRPr="00D652D5" w:rsidRDefault="00E42813" w:rsidP="003F5394">
            <w:pPr>
              <w:suppressAutoHyphens w:val="0"/>
              <w:spacing w:line="240" w:lineRule="auto"/>
              <w:jc w:val="right"/>
              <w:rPr>
                <w:sz w:val="18"/>
                <w:szCs w:val="18"/>
              </w:rPr>
            </w:pPr>
            <w:r w:rsidRPr="00D652D5">
              <w:rPr>
                <w:sz w:val="18"/>
                <w:szCs w:val="18"/>
              </w:rPr>
              <w:t>0.490</w:t>
            </w:r>
          </w:p>
        </w:tc>
        <w:tc>
          <w:tcPr>
            <w:tcW w:w="2070" w:type="dxa"/>
            <w:shd w:val="clear" w:color="auto" w:fill="auto"/>
            <w:noWrap/>
            <w:vAlign w:val="bottom"/>
          </w:tcPr>
          <w:p w14:paraId="7E8D8ED0"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0.635</w:t>
            </w:r>
          </w:p>
        </w:tc>
      </w:tr>
      <w:tr w:rsidR="00E42813" w:rsidRPr="00D652D5" w14:paraId="02B4BCDD" w14:textId="77777777" w:rsidTr="003F5394">
        <w:trPr>
          <w:trHeight w:val="240"/>
        </w:trPr>
        <w:tc>
          <w:tcPr>
            <w:tcW w:w="2977" w:type="dxa"/>
            <w:shd w:val="clear" w:color="auto" w:fill="auto"/>
            <w:noWrap/>
            <w:vAlign w:val="bottom"/>
          </w:tcPr>
          <w:p w14:paraId="5B8C3730"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Italy</w:t>
            </w:r>
          </w:p>
        </w:tc>
        <w:tc>
          <w:tcPr>
            <w:tcW w:w="2325" w:type="dxa"/>
            <w:shd w:val="clear" w:color="auto" w:fill="auto"/>
            <w:noWrap/>
            <w:vAlign w:val="bottom"/>
          </w:tcPr>
          <w:p w14:paraId="2D2E1065" w14:textId="77777777" w:rsidR="00E42813" w:rsidRPr="00D652D5" w:rsidRDefault="00E42813" w:rsidP="003F5394">
            <w:pPr>
              <w:suppressAutoHyphens w:val="0"/>
              <w:spacing w:line="240" w:lineRule="auto"/>
              <w:jc w:val="right"/>
              <w:rPr>
                <w:sz w:val="18"/>
                <w:szCs w:val="18"/>
              </w:rPr>
            </w:pPr>
            <w:r w:rsidRPr="00D652D5">
              <w:rPr>
                <w:sz w:val="18"/>
                <w:szCs w:val="18"/>
              </w:rPr>
              <w:t>3.307</w:t>
            </w:r>
          </w:p>
        </w:tc>
        <w:tc>
          <w:tcPr>
            <w:tcW w:w="2070" w:type="dxa"/>
            <w:shd w:val="clear" w:color="auto" w:fill="auto"/>
            <w:noWrap/>
            <w:vAlign w:val="bottom"/>
          </w:tcPr>
          <w:p w14:paraId="5B37B201" w14:textId="77777777" w:rsidR="00E42813" w:rsidRPr="00D652D5" w:rsidRDefault="00E42813" w:rsidP="003F5394">
            <w:pPr>
              <w:suppressAutoHyphens w:val="0"/>
              <w:spacing w:line="240" w:lineRule="auto"/>
              <w:jc w:val="right"/>
              <w:rPr>
                <w:sz w:val="18"/>
                <w:szCs w:val="18"/>
              </w:rPr>
            </w:pPr>
            <w:r w:rsidRPr="00D652D5">
              <w:rPr>
                <w:color w:val="000000"/>
                <w:sz w:val="18"/>
                <w:szCs w:val="18"/>
              </w:rPr>
              <w:t>4.285</w:t>
            </w:r>
          </w:p>
        </w:tc>
      </w:tr>
      <w:tr w:rsidR="00E42813" w:rsidRPr="00D652D5" w14:paraId="3CB22254" w14:textId="77777777" w:rsidTr="003F5394">
        <w:trPr>
          <w:trHeight w:val="240"/>
        </w:trPr>
        <w:tc>
          <w:tcPr>
            <w:tcW w:w="2977" w:type="dxa"/>
            <w:shd w:val="clear" w:color="auto" w:fill="auto"/>
            <w:noWrap/>
            <w:vAlign w:val="bottom"/>
          </w:tcPr>
          <w:p w14:paraId="6ABE1E5C"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Jamaica</w:t>
            </w:r>
          </w:p>
        </w:tc>
        <w:tc>
          <w:tcPr>
            <w:tcW w:w="2325" w:type="dxa"/>
            <w:shd w:val="clear" w:color="auto" w:fill="auto"/>
            <w:noWrap/>
            <w:vAlign w:val="bottom"/>
          </w:tcPr>
          <w:p w14:paraId="1A9F927B" w14:textId="77777777" w:rsidR="00E42813" w:rsidRPr="00D652D5" w:rsidRDefault="00E42813" w:rsidP="003F5394">
            <w:pPr>
              <w:suppressAutoHyphens w:val="0"/>
              <w:spacing w:line="240" w:lineRule="auto"/>
              <w:jc w:val="right"/>
              <w:rPr>
                <w:sz w:val="18"/>
                <w:szCs w:val="18"/>
              </w:rPr>
            </w:pPr>
            <w:r w:rsidRPr="00D652D5">
              <w:rPr>
                <w:sz w:val="18"/>
                <w:szCs w:val="18"/>
              </w:rPr>
              <w:t>0.008</w:t>
            </w:r>
          </w:p>
        </w:tc>
        <w:tc>
          <w:tcPr>
            <w:tcW w:w="2070" w:type="dxa"/>
            <w:shd w:val="clear" w:color="auto" w:fill="auto"/>
            <w:noWrap/>
            <w:vAlign w:val="bottom"/>
          </w:tcPr>
          <w:p w14:paraId="76C3481B"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0.010</w:t>
            </w:r>
          </w:p>
        </w:tc>
      </w:tr>
      <w:tr w:rsidR="00E42813" w:rsidRPr="00D652D5" w14:paraId="11A3BF45" w14:textId="77777777" w:rsidTr="003F5394">
        <w:trPr>
          <w:trHeight w:val="240"/>
        </w:trPr>
        <w:tc>
          <w:tcPr>
            <w:tcW w:w="2977" w:type="dxa"/>
            <w:shd w:val="clear" w:color="auto" w:fill="auto"/>
            <w:noWrap/>
            <w:vAlign w:val="bottom"/>
          </w:tcPr>
          <w:p w14:paraId="18DBC75C"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Japan</w:t>
            </w:r>
          </w:p>
        </w:tc>
        <w:tc>
          <w:tcPr>
            <w:tcW w:w="2325" w:type="dxa"/>
            <w:shd w:val="clear" w:color="auto" w:fill="auto"/>
            <w:noWrap/>
            <w:vAlign w:val="bottom"/>
          </w:tcPr>
          <w:p w14:paraId="427BDBE7" w14:textId="77777777" w:rsidR="00E42813" w:rsidRPr="00D652D5" w:rsidRDefault="00E42813" w:rsidP="003F5394">
            <w:pPr>
              <w:suppressAutoHyphens w:val="0"/>
              <w:spacing w:line="240" w:lineRule="auto"/>
              <w:jc w:val="right"/>
              <w:rPr>
                <w:sz w:val="18"/>
                <w:szCs w:val="18"/>
              </w:rPr>
            </w:pPr>
            <w:r w:rsidRPr="00D652D5">
              <w:rPr>
                <w:sz w:val="18"/>
                <w:szCs w:val="18"/>
              </w:rPr>
              <w:t>8.564</w:t>
            </w:r>
          </w:p>
        </w:tc>
        <w:tc>
          <w:tcPr>
            <w:tcW w:w="2070" w:type="dxa"/>
            <w:shd w:val="clear" w:color="auto" w:fill="auto"/>
            <w:noWrap/>
            <w:vAlign w:val="bottom"/>
          </w:tcPr>
          <w:p w14:paraId="24B011B3" w14:textId="77777777" w:rsidR="00E42813" w:rsidRPr="00D652D5" w:rsidRDefault="00E42813" w:rsidP="003F5394">
            <w:pPr>
              <w:suppressAutoHyphens w:val="0"/>
              <w:spacing w:line="240" w:lineRule="auto"/>
              <w:jc w:val="right"/>
              <w:rPr>
                <w:sz w:val="18"/>
                <w:szCs w:val="18"/>
              </w:rPr>
            </w:pPr>
            <w:r w:rsidRPr="00D652D5">
              <w:rPr>
                <w:color w:val="000000"/>
                <w:sz w:val="18"/>
                <w:szCs w:val="18"/>
              </w:rPr>
              <w:t>11.096</w:t>
            </w:r>
          </w:p>
        </w:tc>
      </w:tr>
      <w:tr w:rsidR="00E42813" w:rsidRPr="00D652D5" w14:paraId="3D76D6F2" w14:textId="77777777" w:rsidTr="003F5394">
        <w:trPr>
          <w:trHeight w:val="240"/>
        </w:trPr>
        <w:tc>
          <w:tcPr>
            <w:tcW w:w="2977" w:type="dxa"/>
            <w:shd w:val="clear" w:color="auto" w:fill="auto"/>
            <w:noWrap/>
            <w:vAlign w:val="bottom"/>
          </w:tcPr>
          <w:p w14:paraId="51ED793B"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Jordan</w:t>
            </w:r>
          </w:p>
        </w:tc>
        <w:tc>
          <w:tcPr>
            <w:tcW w:w="2325" w:type="dxa"/>
            <w:shd w:val="clear" w:color="auto" w:fill="auto"/>
            <w:noWrap/>
            <w:vAlign w:val="bottom"/>
          </w:tcPr>
          <w:p w14:paraId="1E50AAFF" w14:textId="77777777" w:rsidR="00E42813" w:rsidRPr="00D652D5" w:rsidRDefault="00E42813" w:rsidP="003F5394">
            <w:pPr>
              <w:suppressAutoHyphens w:val="0"/>
              <w:spacing w:line="240" w:lineRule="auto"/>
              <w:jc w:val="right"/>
              <w:rPr>
                <w:sz w:val="18"/>
                <w:szCs w:val="18"/>
              </w:rPr>
            </w:pPr>
            <w:r w:rsidRPr="00D652D5">
              <w:rPr>
                <w:sz w:val="18"/>
                <w:szCs w:val="18"/>
              </w:rPr>
              <w:t>0.021</w:t>
            </w:r>
          </w:p>
        </w:tc>
        <w:tc>
          <w:tcPr>
            <w:tcW w:w="2070" w:type="dxa"/>
            <w:shd w:val="clear" w:color="auto" w:fill="auto"/>
            <w:noWrap/>
            <w:vAlign w:val="bottom"/>
          </w:tcPr>
          <w:p w14:paraId="17BCB4F5"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0.027</w:t>
            </w:r>
          </w:p>
        </w:tc>
      </w:tr>
      <w:tr w:rsidR="00E42813" w:rsidRPr="00D652D5" w14:paraId="1D456EE4" w14:textId="77777777" w:rsidTr="003F5394">
        <w:trPr>
          <w:trHeight w:val="240"/>
        </w:trPr>
        <w:tc>
          <w:tcPr>
            <w:tcW w:w="2977" w:type="dxa"/>
            <w:shd w:val="clear" w:color="auto" w:fill="auto"/>
            <w:noWrap/>
            <w:vAlign w:val="bottom"/>
          </w:tcPr>
          <w:p w14:paraId="1320E7BF"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Kazakhstan</w:t>
            </w:r>
          </w:p>
        </w:tc>
        <w:tc>
          <w:tcPr>
            <w:tcW w:w="2325" w:type="dxa"/>
            <w:shd w:val="clear" w:color="auto" w:fill="auto"/>
            <w:noWrap/>
            <w:vAlign w:val="bottom"/>
          </w:tcPr>
          <w:p w14:paraId="70673817" w14:textId="77777777" w:rsidR="00E42813" w:rsidRPr="00D652D5" w:rsidRDefault="00E42813" w:rsidP="003F5394">
            <w:pPr>
              <w:suppressAutoHyphens w:val="0"/>
              <w:spacing w:line="240" w:lineRule="auto"/>
              <w:jc w:val="right"/>
              <w:rPr>
                <w:sz w:val="18"/>
                <w:szCs w:val="18"/>
              </w:rPr>
            </w:pPr>
            <w:r w:rsidRPr="00D652D5">
              <w:rPr>
                <w:sz w:val="18"/>
                <w:szCs w:val="18"/>
              </w:rPr>
              <w:t>0.178</w:t>
            </w:r>
          </w:p>
        </w:tc>
        <w:tc>
          <w:tcPr>
            <w:tcW w:w="2070" w:type="dxa"/>
            <w:shd w:val="clear" w:color="auto" w:fill="auto"/>
            <w:noWrap/>
            <w:vAlign w:val="bottom"/>
          </w:tcPr>
          <w:p w14:paraId="42DFC2EA"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0.231</w:t>
            </w:r>
          </w:p>
        </w:tc>
      </w:tr>
      <w:tr w:rsidR="00E42813" w:rsidRPr="00D652D5" w14:paraId="495FAE4E" w14:textId="77777777" w:rsidTr="003F5394">
        <w:trPr>
          <w:trHeight w:val="240"/>
        </w:trPr>
        <w:tc>
          <w:tcPr>
            <w:tcW w:w="2977" w:type="dxa"/>
            <w:shd w:val="clear" w:color="auto" w:fill="auto"/>
            <w:noWrap/>
            <w:vAlign w:val="bottom"/>
          </w:tcPr>
          <w:p w14:paraId="0BBBD92D"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Kenya</w:t>
            </w:r>
          </w:p>
        </w:tc>
        <w:tc>
          <w:tcPr>
            <w:tcW w:w="2325" w:type="dxa"/>
            <w:shd w:val="clear" w:color="auto" w:fill="auto"/>
            <w:noWrap/>
            <w:vAlign w:val="bottom"/>
          </w:tcPr>
          <w:p w14:paraId="40875D9A" w14:textId="77777777" w:rsidR="00E42813" w:rsidRPr="00D652D5" w:rsidRDefault="00E42813" w:rsidP="003F5394">
            <w:pPr>
              <w:suppressAutoHyphens w:val="0"/>
              <w:spacing w:line="240" w:lineRule="auto"/>
              <w:jc w:val="right"/>
              <w:rPr>
                <w:sz w:val="18"/>
                <w:szCs w:val="18"/>
              </w:rPr>
            </w:pPr>
            <w:r w:rsidRPr="00D652D5">
              <w:rPr>
                <w:sz w:val="18"/>
                <w:szCs w:val="18"/>
              </w:rPr>
              <w:t>0.024</w:t>
            </w:r>
          </w:p>
        </w:tc>
        <w:tc>
          <w:tcPr>
            <w:tcW w:w="2070" w:type="dxa"/>
            <w:shd w:val="clear" w:color="auto" w:fill="auto"/>
            <w:noWrap/>
            <w:vAlign w:val="bottom"/>
          </w:tcPr>
          <w:p w14:paraId="241EB703"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0.031</w:t>
            </w:r>
          </w:p>
        </w:tc>
      </w:tr>
      <w:tr w:rsidR="00E42813" w:rsidRPr="00D652D5" w14:paraId="7ADA71AC" w14:textId="77777777" w:rsidTr="003F5394">
        <w:trPr>
          <w:trHeight w:val="240"/>
        </w:trPr>
        <w:tc>
          <w:tcPr>
            <w:tcW w:w="2977" w:type="dxa"/>
            <w:shd w:val="clear" w:color="auto" w:fill="auto"/>
            <w:noWrap/>
            <w:vAlign w:val="bottom"/>
          </w:tcPr>
          <w:p w14:paraId="76AEB35C"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Kiribati</w:t>
            </w:r>
          </w:p>
        </w:tc>
        <w:tc>
          <w:tcPr>
            <w:tcW w:w="2325" w:type="dxa"/>
            <w:shd w:val="clear" w:color="auto" w:fill="auto"/>
            <w:noWrap/>
            <w:vAlign w:val="bottom"/>
          </w:tcPr>
          <w:p w14:paraId="2723C623" w14:textId="77777777" w:rsidR="00E42813" w:rsidRPr="00D652D5" w:rsidRDefault="00E42813" w:rsidP="003F5394">
            <w:pPr>
              <w:suppressAutoHyphens w:val="0"/>
              <w:spacing w:line="240" w:lineRule="auto"/>
              <w:jc w:val="right"/>
              <w:rPr>
                <w:sz w:val="18"/>
                <w:szCs w:val="18"/>
              </w:rPr>
            </w:pPr>
            <w:r w:rsidRPr="00D652D5">
              <w:rPr>
                <w:sz w:val="18"/>
                <w:szCs w:val="18"/>
              </w:rPr>
              <w:t>0.001</w:t>
            </w:r>
          </w:p>
        </w:tc>
        <w:tc>
          <w:tcPr>
            <w:tcW w:w="2070" w:type="dxa"/>
            <w:shd w:val="clear" w:color="auto" w:fill="auto"/>
            <w:noWrap/>
            <w:vAlign w:val="bottom"/>
          </w:tcPr>
          <w:p w14:paraId="2274EDFB"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0.001</w:t>
            </w:r>
          </w:p>
        </w:tc>
      </w:tr>
      <w:tr w:rsidR="00E42813" w:rsidRPr="00D652D5" w14:paraId="6247FF0B" w14:textId="77777777" w:rsidTr="003F5394">
        <w:trPr>
          <w:trHeight w:val="240"/>
        </w:trPr>
        <w:tc>
          <w:tcPr>
            <w:tcW w:w="2977" w:type="dxa"/>
            <w:shd w:val="clear" w:color="auto" w:fill="auto"/>
            <w:noWrap/>
            <w:vAlign w:val="bottom"/>
          </w:tcPr>
          <w:p w14:paraId="2947DC3B"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Kuwait</w:t>
            </w:r>
          </w:p>
        </w:tc>
        <w:tc>
          <w:tcPr>
            <w:tcW w:w="2325" w:type="dxa"/>
            <w:shd w:val="clear" w:color="auto" w:fill="auto"/>
            <w:noWrap/>
            <w:vAlign w:val="bottom"/>
          </w:tcPr>
          <w:p w14:paraId="44D889F1" w14:textId="77777777" w:rsidR="00E42813" w:rsidRPr="00D652D5" w:rsidRDefault="00E42813" w:rsidP="003F5394">
            <w:pPr>
              <w:suppressAutoHyphens w:val="0"/>
              <w:spacing w:line="240" w:lineRule="auto"/>
              <w:jc w:val="right"/>
              <w:rPr>
                <w:sz w:val="18"/>
                <w:szCs w:val="18"/>
              </w:rPr>
            </w:pPr>
            <w:r w:rsidRPr="00D652D5">
              <w:rPr>
                <w:sz w:val="18"/>
                <w:szCs w:val="18"/>
              </w:rPr>
              <w:t>0.252</w:t>
            </w:r>
          </w:p>
        </w:tc>
        <w:tc>
          <w:tcPr>
            <w:tcW w:w="2070" w:type="dxa"/>
            <w:shd w:val="clear" w:color="auto" w:fill="auto"/>
            <w:noWrap/>
            <w:vAlign w:val="bottom"/>
          </w:tcPr>
          <w:p w14:paraId="4230B978"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0.327</w:t>
            </w:r>
          </w:p>
        </w:tc>
      </w:tr>
      <w:tr w:rsidR="00E42813" w:rsidRPr="00D652D5" w14:paraId="573A7C1A" w14:textId="77777777" w:rsidTr="003F5394">
        <w:trPr>
          <w:trHeight w:val="240"/>
        </w:trPr>
        <w:tc>
          <w:tcPr>
            <w:tcW w:w="2977" w:type="dxa"/>
            <w:shd w:val="clear" w:color="auto" w:fill="auto"/>
            <w:noWrap/>
            <w:vAlign w:val="bottom"/>
          </w:tcPr>
          <w:p w14:paraId="7F1029A6"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Kyrgyzstan</w:t>
            </w:r>
          </w:p>
        </w:tc>
        <w:tc>
          <w:tcPr>
            <w:tcW w:w="2325" w:type="dxa"/>
            <w:shd w:val="clear" w:color="auto" w:fill="auto"/>
            <w:noWrap/>
            <w:vAlign w:val="bottom"/>
          </w:tcPr>
          <w:p w14:paraId="2A1AD1A6" w14:textId="77777777" w:rsidR="00E42813" w:rsidRPr="00D652D5" w:rsidRDefault="00E42813" w:rsidP="003F5394">
            <w:pPr>
              <w:suppressAutoHyphens w:val="0"/>
              <w:spacing w:line="240" w:lineRule="auto"/>
              <w:jc w:val="right"/>
              <w:rPr>
                <w:sz w:val="18"/>
                <w:szCs w:val="18"/>
              </w:rPr>
            </w:pPr>
            <w:r w:rsidRPr="00D652D5">
              <w:rPr>
                <w:sz w:val="18"/>
                <w:szCs w:val="18"/>
              </w:rPr>
              <w:t>0.002</w:t>
            </w:r>
          </w:p>
        </w:tc>
        <w:tc>
          <w:tcPr>
            <w:tcW w:w="2070" w:type="dxa"/>
            <w:shd w:val="clear" w:color="auto" w:fill="auto"/>
            <w:noWrap/>
            <w:vAlign w:val="bottom"/>
          </w:tcPr>
          <w:p w14:paraId="61E98905"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0.003</w:t>
            </w:r>
          </w:p>
        </w:tc>
      </w:tr>
      <w:tr w:rsidR="00E42813" w:rsidRPr="00D652D5" w14:paraId="69018D9C" w14:textId="77777777" w:rsidTr="003F5394">
        <w:trPr>
          <w:trHeight w:val="240"/>
        </w:trPr>
        <w:tc>
          <w:tcPr>
            <w:tcW w:w="2977" w:type="dxa"/>
            <w:shd w:val="clear" w:color="auto" w:fill="auto"/>
            <w:noWrap/>
            <w:vAlign w:val="bottom"/>
          </w:tcPr>
          <w:p w14:paraId="79B7D1E0"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Lao People’s Democratic Republic</w:t>
            </w:r>
          </w:p>
        </w:tc>
        <w:tc>
          <w:tcPr>
            <w:tcW w:w="2325" w:type="dxa"/>
            <w:shd w:val="clear" w:color="auto" w:fill="auto"/>
            <w:noWrap/>
            <w:vAlign w:val="bottom"/>
          </w:tcPr>
          <w:p w14:paraId="1BFB75D0" w14:textId="77777777" w:rsidR="00E42813" w:rsidRPr="00D652D5" w:rsidRDefault="00E42813" w:rsidP="003F5394">
            <w:pPr>
              <w:suppressAutoHyphens w:val="0"/>
              <w:spacing w:line="240" w:lineRule="auto"/>
              <w:jc w:val="right"/>
              <w:rPr>
                <w:sz w:val="18"/>
                <w:szCs w:val="18"/>
              </w:rPr>
            </w:pPr>
            <w:r w:rsidRPr="00D652D5">
              <w:rPr>
                <w:sz w:val="18"/>
                <w:szCs w:val="18"/>
              </w:rPr>
              <w:t>0.005</w:t>
            </w:r>
          </w:p>
        </w:tc>
        <w:tc>
          <w:tcPr>
            <w:tcW w:w="2070" w:type="dxa"/>
            <w:shd w:val="clear" w:color="auto" w:fill="auto"/>
            <w:noWrap/>
            <w:vAlign w:val="bottom"/>
          </w:tcPr>
          <w:p w14:paraId="18E374B9"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0.006</w:t>
            </w:r>
          </w:p>
        </w:tc>
      </w:tr>
      <w:tr w:rsidR="00E42813" w:rsidRPr="00D652D5" w14:paraId="416F5871" w14:textId="77777777" w:rsidTr="003F5394">
        <w:trPr>
          <w:trHeight w:val="240"/>
        </w:trPr>
        <w:tc>
          <w:tcPr>
            <w:tcW w:w="2977" w:type="dxa"/>
            <w:shd w:val="clear" w:color="auto" w:fill="auto"/>
            <w:noWrap/>
            <w:vAlign w:val="bottom"/>
          </w:tcPr>
          <w:p w14:paraId="7BA2808C"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Latvia</w:t>
            </w:r>
          </w:p>
        </w:tc>
        <w:tc>
          <w:tcPr>
            <w:tcW w:w="2325" w:type="dxa"/>
            <w:shd w:val="clear" w:color="auto" w:fill="auto"/>
            <w:noWrap/>
            <w:vAlign w:val="bottom"/>
          </w:tcPr>
          <w:p w14:paraId="242A63C3" w14:textId="77777777" w:rsidR="00E42813" w:rsidRPr="00D652D5" w:rsidRDefault="00E42813" w:rsidP="003F5394">
            <w:pPr>
              <w:suppressAutoHyphens w:val="0"/>
              <w:spacing w:line="240" w:lineRule="auto"/>
              <w:jc w:val="right"/>
              <w:rPr>
                <w:sz w:val="18"/>
                <w:szCs w:val="18"/>
              </w:rPr>
            </w:pPr>
            <w:r w:rsidRPr="00D652D5">
              <w:rPr>
                <w:sz w:val="18"/>
                <w:szCs w:val="18"/>
              </w:rPr>
              <w:t>0.047</w:t>
            </w:r>
          </w:p>
        </w:tc>
        <w:tc>
          <w:tcPr>
            <w:tcW w:w="2070" w:type="dxa"/>
            <w:shd w:val="clear" w:color="auto" w:fill="auto"/>
            <w:noWrap/>
            <w:vAlign w:val="bottom"/>
          </w:tcPr>
          <w:p w14:paraId="0941EEB5"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0.061</w:t>
            </w:r>
          </w:p>
        </w:tc>
      </w:tr>
      <w:tr w:rsidR="00E42813" w:rsidRPr="00D652D5" w14:paraId="61109CC5" w14:textId="77777777" w:rsidTr="003F5394">
        <w:trPr>
          <w:trHeight w:val="240"/>
        </w:trPr>
        <w:tc>
          <w:tcPr>
            <w:tcW w:w="2977" w:type="dxa"/>
            <w:shd w:val="clear" w:color="auto" w:fill="auto"/>
            <w:noWrap/>
            <w:vAlign w:val="bottom"/>
          </w:tcPr>
          <w:p w14:paraId="67A0B3DA"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Lebanon</w:t>
            </w:r>
          </w:p>
        </w:tc>
        <w:tc>
          <w:tcPr>
            <w:tcW w:w="2325" w:type="dxa"/>
            <w:shd w:val="clear" w:color="auto" w:fill="auto"/>
            <w:noWrap/>
            <w:vAlign w:val="bottom"/>
          </w:tcPr>
          <w:p w14:paraId="1B209301" w14:textId="77777777" w:rsidR="00E42813" w:rsidRPr="00D652D5" w:rsidRDefault="00E42813" w:rsidP="003F5394">
            <w:pPr>
              <w:suppressAutoHyphens w:val="0"/>
              <w:spacing w:line="240" w:lineRule="auto"/>
              <w:jc w:val="right"/>
              <w:rPr>
                <w:sz w:val="18"/>
                <w:szCs w:val="18"/>
              </w:rPr>
            </w:pPr>
            <w:r w:rsidRPr="00D652D5">
              <w:rPr>
                <w:sz w:val="18"/>
                <w:szCs w:val="18"/>
              </w:rPr>
              <w:t>0.047</w:t>
            </w:r>
          </w:p>
        </w:tc>
        <w:tc>
          <w:tcPr>
            <w:tcW w:w="2070" w:type="dxa"/>
            <w:shd w:val="clear" w:color="auto" w:fill="auto"/>
            <w:noWrap/>
            <w:vAlign w:val="bottom"/>
          </w:tcPr>
          <w:p w14:paraId="4BB45AEA"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0.061</w:t>
            </w:r>
          </w:p>
        </w:tc>
      </w:tr>
      <w:tr w:rsidR="00E42813" w:rsidRPr="00D652D5" w14:paraId="66FED37D" w14:textId="77777777" w:rsidTr="003F5394">
        <w:trPr>
          <w:trHeight w:val="240"/>
        </w:trPr>
        <w:tc>
          <w:tcPr>
            <w:tcW w:w="2977" w:type="dxa"/>
            <w:shd w:val="clear" w:color="auto" w:fill="auto"/>
            <w:noWrap/>
            <w:vAlign w:val="bottom"/>
          </w:tcPr>
          <w:p w14:paraId="555B22A2"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Lesotho</w:t>
            </w:r>
          </w:p>
        </w:tc>
        <w:tc>
          <w:tcPr>
            <w:tcW w:w="2325" w:type="dxa"/>
            <w:shd w:val="clear" w:color="auto" w:fill="auto"/>
            <w:noWrap/>
            <w:vAlign w:val="bottom"/>
          </w:tcPr>
          <w:p w14:paraId="244C7E5D" w14:textId="77777777" w:rsidR="00E42813" w:rsidRPr="00D652D5" w:rsidRDefault="00E42813" w:rsidP="003F5394">
            <w:pPr>
              <w:suppressAutoHyphens w:val="0"/>
              <w:spacing w:line="240" w:lineRule="auto"/>
              <w:jc w:val="right"/>
              <w:rPr>
                <w:sz w:val="18"/>
                <w:szCs w:val="18"/>
              </w:rPr>
            </w:pPr>
            <w:r w:rsidRPr="00D652D5">
              <w:rPr>
                <w:sz w:val="18"/>
                <w:szCs w:val="18"/>
              </w:rPr>
              <w:t>0.001</w:t>
            </w:r>
          </w:p>
        </w:tc>
        <w:tc>
          <w:tcPr>
            <w:tcW w:w="2070" w:type="dxa"/>
            <w:shd w:val="clear" w:color="auto" w:fill="auto"/>
            <w:noWrap/>
            <w:vAlign w:val="bottom"/>
          </w:tcPr>
          <w:p w14:paraId="259883A3"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0.001</w:t>
            </w:r>
          </w:p>
        </w:tc>
      </w:tr>
      <w:tr w:rsidR="00E42813" w:rsidRPr="00D652D5" w14:paraId="33E89B1A" w14:textId="77777777" w:rsidTr="003F5394">
        <w:trPr>
          <w:trHeight w:val="240"/>
        </w:trPr>
        <w:tc>
          <w:tcPr>
            <w:tcW w:w="2977" w:type="dxa"/>
            <w:shd w:val="clear" w:color="auto" w:fill="auto"/>
            <w:noWrap/>
            <w:vAlign w:val="bottom"/>
          </w:tcPr>
          <w:p w14:paraId="590442FE"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Liberia</w:t>
            </w:r>
          </w:p>
        </w:tc>
        <w:tc>
          <w:tcPr>
            <w:tcW w:w="2325" w:type="dxa"/>
            <w:shd w:val="clear" w:color="auto" w:fill="auto"/>
            <w:noWrap/>
            <w:vAlign w:val="bottom"/>
          </w:tcPr>
          <w:p w14:paraId="138AE949" w14:textId="77777777" w:rsidR="00E42813" w:rsidRPr="00D652D5" w:rsidRDefault="00E42813" w:rsidP="003F5394">
            <w:pPr>
              <w:suppressAutoHyphens w:val="0"/>
              <w:spacing w:line="240" w:lineRule="auto"/>
              <w:jc w:val="right"/>
              <w:rPr>
                <w:sz w:val="18"/>
                <w:szCs w:val="18"/>
              </w:rPr>
            </w:pPr>
            <w:r w:rsidRPr="00D652D5">
              <w:rPr>
                <w:sz w:val="18"/>
                <w:szCs w:val="18"/>
              </w:rPr>
              <w:t>0.001</w:t>
            </w:r>
          </w:p>
        </w:tc>
        <w:tc>
          <w:tcPr>
            <w:tcW w:w="2070" w:type="dxa"/>
            <w:shd w:val="clear" w:color="auto" w:fill="auto"/>
            <w:noWrap/>
            <w:vAlign w:val="bottom"/>
          </w:tcPr>
          <w:p w14:paraId="53245548"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0.001</w:t>
            </w:r>
          </w:p>
        </w:tc>
      </w:tr>
      <w:tr w:rsidR="00E42813" w:rsidRPr="00D652D5" w14:paraId="3963A9BC" w14:textId="77777777" w:rsidTr="003F5394">
        <w:trPr>
          <w:trHeight w:val="240"/>
        </w:trPr>
        <w:tc>
          <w:tcPr>
            <w:tcW w:w="2977" w:type="dxa"/>
            <w:shd w:val="clear" w:color="auto" w:fill="auto"/>
            <w:noWrap/>
            <w:vAlign w:val="bottom"/>
          </w:tcPr>
          <w:p w14:paraId="7D92F627"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Libya</w:t>
            </w:r>
          </w:p>
        </w:tc>
        <w:tc>
          <w:tcPr>
            <w:tcW w:w="2325" w:type="dxa"/>
            <w:shd w:val="clear" w:color="auto" w:fill="auto"/>
            <w:noWrap/>
            <w:vAlign w:val="bottom"/>
          </w:tcPr>
          <w:p w14:paraId="09FA41D7" w14:textId="77777777" w:rsidR="00E42813" w:rsidRPr="00D652D5" w:rsidRDefault="00E42813" w:rsidP="003F5394">
            <w:pPr>
              <w:suppressAutoHyphens w:val="0"/>
              <w:spacing w:line="240" w:lineRule="auto"/>
              <w:jc w:val="right"/>
              <w:rPr>
                <w:sz w:val="18"/>
                <w:szCs w:val="18"/>
              </w:rPr>
            </w:pPr>
            <w:r w:rsidRPr="00D652D5">
              <w:rPr>
                <w:sz w:val="18"/>
                <w:szCs w:val="18"/>
              </w:rPr>
              <w:t>0.030</w:t>
            </w:r>
          </w:p>
        </w:tc>
        <w:tc>
          <w:tcPr>
            <w:tcW w:w="2070" w:type="dxa"/>
            <w:shd w:val="clear" w:color="auto" w:fill="auto"/>
            <w:noWrap/>
            <w:vAlign w:val="bottom"/>
          </w:tcPr>
          <w:p w14:paraId="60BC7865"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0.039</w:t>
            </w:r>
          </w:p>
        </w:tc>
      </w:tr>
      <w:tr w:rsidR="00E42813" w:rsidRPr="00D652D5" w14:paraId="74315F27" w14:textId="77777777" w:rsidTr="003F5394">
        <w:trPr>
          <w:trHeight w:val="240"/>
        </w:trPr>
        <w:tc>
          <w:tcPr>
            <w:tcW w:w="2977" w:type="dxa"/>
            <w:shd w:val="clear" w:color="auto" w:fill="auto"/>
            <w:noWrap/>
            <w:vAlign w:val="bottom"/>
          </w:tcPr>
          <w:p w14:paraId="3F73727B"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Liechtenstein</w:t>
            </w:r>
          </w:p>
        </w:tc>
        <w:tc>
          <w:tcPr>
            <w:tcW w:w="2325" w:type="dxa"/>
            <w:shd w:val="clear" w:color="auto" w:fill="auto"/>
            <w:noWrap/>
            <w:vAlign w:val="bottom"/>
          </w:tcPr>
          <w:p w14:paraId="4AFBA2B6" w14:textId="77777777" w:rsidR="00E42813" w:rsidRPr="00D652D5" w:rsidRDefault="00E42813" w:rsidP="003F5394">
            <w:pPr>
              <w:suppressAutoHyphens w:val="0"/>
              <w:spacing w:line="240" w:lineRule="auto"/>
              <w:jc w:val="right"/>
              <w:rPr>
                <w:sz w:val="18"/>
                <w:szCs w:val="18"/>
              </w:rPr>
            </w:pPr>
            <w:r w:rsidRPr="00D652D5">
              <w:rPr>
                <w:sz w:val="18"/>
                <w:szCs w:val="18"/>
              </w:rPr>
              <w:t>0.009</w:t>
            </w:r>
          </w:p>
        </w:tc>
        <w:tc>
          <w:tcPr>
            <w:tcW w:w="2070" w:type="dxa"/>
            <w:shd w:val="clear" w:color="auto" w:fill="auto"/>
            <w:noWrap/>
            <w:vAlign w:val="bottom"/>
          </w:tcPr>
          <w:p w14:paraId="329E0BA4"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0.012</w:t>
            </w:r>
          </w:p>
        </w:tc>
      </w:tr>
      <w:tr w:rsidR="00E42813" w:rsidRPr="00D652D5" w14:paraId="033E60A3" w14:textId="77777777" w:rsidTr="003F5394">
        <w:trPr>
          <w:trHeight w:val="240"/>
        </w:trPr>
        <w:tc>
          <w:tcPr>
            <w:tcW w:w="2977" w:type="dxa"/>
            <w:shd w:val="clear" w:color="auto" w:fill="auto"/>
            <w:noWrap/>
            <w:vAlign w:val="bottom"/>
          </w:tcPr>
          <w:p w14:paraId="251C4D70"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Lithuania</w:t>
            </w:r>
          </w:p>
        </w:tc>
        <w:tc>
          <w:tcPr>
            <w:tcW w:w="2325" w:type="dxa"/>
            <w:shd w:val="clear" w:color="auto" w:fill="auto"/>
            <w:noWrap/>
            <w:vAlign w:val="bottom"/>
          </w:tcPr>
          <w:p w14:paraId="49D37550" w14:textId="77777777" w:rsidR="00E42813" w:rsidRPr="00D652D5" w:rsidRDefault="00E42813" w:rsidP="003F5394">
            <w:pPr>
              <w:suppressAutoHyphens w:val="0"/>
              <w:spacing w:line="240" w:lineRule="auto"/>
              <w:jc w:val="right"/>
              <w:rPr>
                <w:sz w:val="18"/>
                <w:szCs w:val="18"/>
              </w:rPr>
            </w:pPr>
            <w:r w:rsidRPr="00D652D5">
              <w:rPr>
                <w:sz w:val="18"/>
                <w:szCs w:val="18"/>
              </w:rPr>
              <w:t>0.071</w:t>
            </w:r>
          </w:p>
        </w:tc>
        <w:tc>
          <w:tcPr>
            <w:tcW w:w="2070" w:type="dxa"/>
            <w:shd w:val="clear" w:color="auto" w:fill="auto"/>
            <w:noWrap/>
            <w:vAlign w:val="bottom"/>
          </w:tcPr>
          <w:p w14:paraId="50485DAC"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0.092</w:t>
            </w:r>
          </w:p>
        </w:tc>
      </w:tr>
      <w:tr w:rsidR="00E42813" w:rsidRPr="00D652D5" w14:paraId="011935FC" w14:textId="77777777" w:rsidTr="003F5394">
        <w:trPr>
          <w:trHeight w:val="240"/>
        </w:trPr>
        <w:tc>
          <w:tcPr>
            <w:tcW w:w="2977" w:type="dxa"/>
            <w:shd w:val="clear" w:color="auto" w:fill="auto"/>
            <w:noWrap/>
            <w:vAlign w:val="bottom"/>
          </w:tcPr>
          <w:p w14:paraId="0B0DF5D4"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Luxembourg</w:t>
            </w:r>
          </w:p>
        </w:tc>
        <w:tc>
          <w:tcPr>
            <w:tcW w:w="2325" w:type="dxa"/>
            <w:shd w:val="clear" w:color="auto" w:fill="auto"/>
            <w:noWrap/>
            <w:vAlign w:val="bottom"/>
          </w:tcPr>
          <w:p w14:paraId="319C8ABA" w14:textId="77777777" w:rsidR="00E42813" w:rsidRPr="00D652D5" w:rsidRDefault="00E42813" w:rsidP="003F5394">
            <w:pPr>
              <w:suppressAutoHyphens w:val="0"/>
              <w:spacing w:line="240" w:lineRule="auto"/>
              <w:jc w:val="right"/>
              <w:rPr>
                <w:sz w:val="18"/>
                <w:szCs w:val="18"/>
              </w:rPr>
            </w:pPr>
            <w:r w:rsidRPr="00D652D5">
              <w:rPr>
                <w:sz w:val="18"/>
                <w:szCs w:val="18"/>
              </w:rPr>
              <w:t>0.067</w:t>
            </w:r>
          </w:p>
        </w:tc>
        <w:tc>
          <w:tcPr>
            <w:tcW w:w="2070" w:type="dxa"/>
            <w:shd w:val="clear" w:color="auto" w:fill="auto"/>
            <w:noWrap/>
            <w:vAlign w:val="bottom"/>
          </w:tcPr>
          <w:p w14:paraId="5D82E1B1"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0.087</w:t>
            </w:r>
          </w:p>
        </w:tc>
      </w:tr>
      <w:tr w:rsidR="00E42813" w:rsidRPr="00D652D5" w14:paraId="0FB36C4E" w14:textId="77777777" w:rsidTr="003F5394">
        <w:trPr>
          <w:trHeight w:val="240"/>
        </w:trPr>
        <w:tc>
          <w:tcPr>
            <w:tcW w:w="2977" w:type="dxa"/>
            <w:shd w:val="clear" w:color="auto" w:fill="auto"/>
            <w:noWrap/>
            <w:vAlign w:val="bottom"/>
          </w:tcPr>
          <w:p w14:paraId="3F38A4EB"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Madagascar</w:t>
            </w:r>
          </w:p>
        </w:tc>
        <w:tc>
          <w:tcPr>
            <w:tcW w:w="2325" w:type="dxa"/>
            <w:shd w:val="clear" w:color="auto" w:fill="auto"/>
            <w:noWrap/>
            <w:vAlign w:val="bottom"/>
          </w:tcPr>
          <w:p w14:paraId="7B1B90D4" w14:textId="77777777" w:rsidR="00E42813" w:rsidRPr="00D652D5" w:rsidRDefault="00E42813" w:rsidP="003F5394">
            <w:pPr>
              <w:suppressAutoHyphens w:val="0"/>
              <w:spacing w:line="240" w:lineRule="auto"/>
              <w:jc w:val="right"/>
              <w:rPr>
                <w:sz w:val="18"/>
                <w:szCs w:val="18"/>
              </w:rPr>
            </w:pPr>
            <w:r w:rsidRPr="00D652D5">
              <w:rPr>
                <w:sz w:val="18"/>
                <w:szCs w:val="18"/>
              </w:rPr>
              <w:t>0.004</w:t>
            </w:r>
          </w:p>
        </w:tc>
        <w:tc>
          <w:tcPr>
            <w:tcW w:w="2070" w:type="dxa"/>
            <w:shd w:val="clear" w:color="auto" w:fill="auto"/>
            <w:noWrap/>
            <w:vAlign w:val="bottom"/>
          </w:tcPr>
          <w:p w14:paraId="6B9008ED"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0.005</w:t>
            </w:r>
          </w:p>
        </w:tc>
      </w:tr>
      <w:tr w:rsidR="00E42813" w:rsidRPr="00D652D5" w14:paraId="0DD4C495" w14:textId="77777777" w:rsidTr="003F5394">
        <w:trPr>
          <w:trHeight w:val="240"/>
        </w:trPr>
        <w:tc>
          <w:tcPr>
            <w:tcW w:w="2977" w:type="dxa"/>
            <w:shd w:val="clear" w:color="auto" w:fill="auto"/>
            <w:noWrap/>
            <w:vAlign w:val="bottom"/>
          </w:tcPr>
          <w:p w14:paraId="714E97B7"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Malawi</w:t>
            </w:r>
          </w:p>
        </w:tc>
        <w:tc>
          <w:tcPr>
            <w:tcW w:w="2325" w:type="dxa"/>
            <w:shd w:val="clear" w:color="auto" w:fill="auto"/>
            <w:noWrap/>
            <w:vAlign w:val="bottom"/>
          </w:tcPr>
          <w:p w14:paraId="6F1F4E33" w14:textId="77777777" w:rsidR="00E42813" w:rsidRPr="00D652D5" w:rsidRDefault="00E42813" w:rsidP="003F5394">
            <w:pPr>
              <w:suppressAutoHyphens w:val="0"/>
              <w:spacing w:line="240" w:lineRule="auto"/>
              <w:jc w:val="right"/>
              <w:rPr>
                <w:sz w:val="18"/>
                <w:szCs w:val="18"/>
              </w:rPr>
            </w:pPr>
            <w:r w:rsidRPr="00D652D5">
              <w:rPr>
                <w:sz w:val="18"/>
                <w:szCs w:val="18"/>
              </w:rPr>
              <w:t>0.002</w:t>
            </w:r>
          </w:p>
        </w:tc>
        <w:tc>
          <w:tcPr>
            <w:tcW w:w="2070" w:type="dxa"/>
            <w:shd w:val="clear" w:color="auto" w:fill="auto"/>
            <w:noWrap/>
            <w:vAlign w:val="bottom"/>
          </w:tcPr>
          <w:p w14:paraId="1F07EB26"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0.003</w:t>
            </w:r>
          </w:p>
        </w:tc>
      </w:tr>
      <w:tr w:rsidR="00E42813" w:rsidRPr="00D652D5" w14:paraId="0D84E2F5" w14:textId="77777777" w:rsidTr="003F5394">
        <w:trPr>
          <w:trHeight w:val="240"/>
        </w:trPr>
        <w:tc>
          <w:tcPr>
            <w:tcW w:w="2977" w:type="dxa"/>
            <w:shd w:val="clear" w:color="auto" w:fill="auto"/>
            <w:noWrap/>
            <w:vAlign w:val="bottom"/>
          </w:tcPr>
          <w:p w14:paraId="36864F50"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Malaysia</w:t>
            </w:r>
          </w:p>
        </w:tc>
        <w:tc>
          <w:tcPr>
            <w:tcW w:w="2325" w:type="dxa"/>
            <w:shd w:val="clear" w:color="auto" w:fill="auto"/>
            <w:noWrap/>
            <w:vAlign w:val="bottom"/>
          </w:tcPr>
          <w:p w14:paraId="599D78F7" w14:textId="77777777" w:rsidR="00E42813" w:rsidRPr="00D652D5" w:rsidRDefault="00E42813" w:rsidP="003F5394">
            <w:pPr>
              <w:suppressAutoHyphens w:val="0"/>
              <w:spacing w:line="240" w:lineRule="auto"/>
              <w:jc w:val="right"/>
              <w:rPr>
                <w:sz w:val="18"/>
                <w:szCs w:val="18"/>
              </w:rPr>
            </w:pPr>
            <w:r w:rsidRPr="00D652D5">
              <w:rPr>
                <w:sz w:val="18"/>
                <w:szCs w:val="18"/>
              </w:rPr>
              <w:t>0.341</w:t>
            </w:r>
          </w:p>
        </w:tc>
        <w:tc>
          <w:tcPr>
            <w:tcW w:w="2070" w:type="dxa"/>
            <w:shd w:val="clear" w:color="auto" w:fill="auto"/>
            <w:noWrap/>
            <w:vAlign w:val="bottom"/>
          </w:tcPr>
          <w:p w14:paraId="093691D2"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0.442</w:t>
            </w:r>
          </w:p>
        </w:tc>
      </w:tr>
      <w:tr w:rsidR="00E42813" w:rsidRPr="00D652D5" w14:paraId="7CF28CE5" w14:textId="77777777" w:rsidTr="003F5394">
        <w:trPr>
          <w:trHeight w:val="240"/>
        </w:trPr>
        <w:tc>
          <w:tcPr>
            <w:tcW w:w="2977" w:type="dxa"/>
            <w:shd w:val="clear" w:color="auto" w:fill="auto"/>
            <w:noWrap/>
            <w:vAlign w:val="bottom"/>
          </w:tcPr>
          <w:p w14:paraId="3E039749"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Maldives</w:t>
            </w:r>
          </w:p>
        </w:tc>
        <w:tc>
          <w:tcPr>
            <w:tcW w:w="2325" w:type="dxa"/>
            <w:shd w:val="clear" w:color="auto" w:fill="auto"/>
            <w:noWrap/>
            <w:vAlign w:val="bottom"/>
          </w:tcPr>
          <w:p w14:paraId="2ACFB3E5" w14:textId="77777777" w:rsidR="00E42813" w:rsidRPr="00D652D5" w:rsidRDefault="00E42813" w:rsidP="003F5394">
            <w:pPr>
              <w:suppressAutoHyphens w:val="0"/>
              <w:spacing w:line="240" w:lineRule="auto"/>
              <w:jc w:val="right"/>
              <w:rPr>
                <w:sz w:val="18"/>
                <w:szCs w:val="18"/>
              </w:rPr>
            </w:pPr>
            <w:r w:rsidRPr="00D652D5">
              <w:rPr>
                <w:sz w:val="18"/>
                <w:szCs w:val="18"/>
              </w:rPr>
              <w:t>0.004</w:t>
            </w:r>
          </w:p>
        </w:tc>
        <w:tc>
          <w:tcPr>
            <w:tcW w:w="2070" w:type="dxa"/>
            <w:shd w:val="clear" w:color="auto" w:fill="auto"/>
            <w:noWrap/>
            <w:vAlign w:val="bottom"/>
          </w:tcPr>
          <w:p w14:paraId="7D353300"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0.005</w:t>
            </w:r>
          </w:p>
        </w:tc>
      </w:tr>
      <w:tr w:rsidR="00E42813" w:rsidRPr="00D652D5" w14:paraId="008D53EE" w14:textId="77777777" w:rsidTr="003F5394">
        <w:trPr>
          <w:trHeight w:val="240"/>
        </w:trPr>
        <w:tc>
          <w:tcPr>
            <w:tcW w:w="2977" w:type="dxa"/>
            <w:shd w:val="clear" w:color="auto" w:fill="auto"/>
            <w:noWrap/>
            <w:vAlign w:val="bottom"/>
          </w:tcPr>
          <w:p w14:paraId="00141DD0"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Mali</w:t>
            </w:r>
          </w:p>
        </w:tc>
        <w:tc>
          <w:tcPr>
            <w:tcW w:w="2325" w:type="dxa"/>
            <w:shd w:val="clear" w:color="auto" w:fill="auto"/>
            <w:noWrap/>
            <w:vAlign w:val="bottom"/>
          </w:tcPr>
          <w:p w14:paraId="1EC86857" w14:textId="77777777" w:rsidR="00E42813" w:rsidRPr="00D652D5" w:rsidRDefault="00E42813" w:rsidP="003F5394">
            <w:pPr>
              <w:suppressAutoHyphens w:val="0"/>
              <w:spacing w:line="240" w:lineRule="auto"/>
              <w:jc w:val="right"/>
              <w:rPr>
                <w:sz w:val="18"/>
                <w:szCs w:val="18"/>
              </w:rPr>
            </w:pPr>
            <w:r w:rsidRPr="00D652D5">
              <w:rPr>
                <w:sz w:val="18"/>
                <w:szCs w:val="18"/>
              </w:rPr>
              <w:t>0.004</w:t>
            </w:r>
          </w:p>
        </w:tc>
        <w:tc>
          <w:tcPr>
            <w:tcW w:w="2070" w:type="dxa"/>
            <w:shd w:val="clear" w:color="auto" w:fill="auto"/>
            <w:noWrap/>
            <w:vAlign w:val="bottom"/>
          </w:tcPr>
          <w:p w14:paraId="095798CB"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0.005</w:t>
            </w:r>
          </w:p>
        </w:tc>
      </w:tr>
      <w:tr w:rsidR="00E42813" w:rsidRPr="00D652D5" w14:paraId="2B833B36" w14:textId="77777777" w:rsidTr="003F5394">
        <w:trPr>
          <w:trHeight w:val="240"/>
        </w:trPr>
        <w:tc>
          <w:tcPr>
            <w:tcW w:w="2977" w:type="dxa"/>
            <w:tcBorders>
              <w:bottom w:val="nil"/>
            </w:tcBorders>
            <w:shd w:val="clear" w:color="auto" w:fill="auto"/>
            <w:noWrap/>
            <w:vAlign w:val="bottom"/>
          </w:tcPr>
          <w:p w14:paraId="48D97D12"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lastRenderedPageBreak/>
              <w:t>Malta</w:t>
            </w:r>
          </w:p>
        </w:tc>
        <w:tc>
          <w:tcPr>
            <w:tcW w:w="2325" w:type="dxa"/>
            <w:tcBorders>
              <w:bottom w:val="nil"/>
            </w:tcBorders>
            <w:shd w:val="clear" w:color="auto" w:fill="auto"/>
            <w:noWrap/>
            <w:vAlign w:val="bottom"/>
          </w:tcPr>
          <w:p w14:paraId="5A9FEA70" w14:textId="77777777" w:rsidR="00E42813" w:rsidRPr="00D652D5" w:rsidRDefault="00E42813" w:rsidP="003F5394">
            <w:pPr>
              <w:suppressAutoHyphens w:val="0"/>
              <w:spacing w:line="240" w:lineRule="auto"/>
              <w:jc w:val="right"/>
              <w:rPr>
                <w:sz w:val="18"/>
                <w:szCs w:val="18"/>
              </w:rPr>
            </w:pPr>
            <w:r w:rsidRPr="00D652D5">
              <w:rPr>
                <w:sz w:val="18"/>
                <w:szCs w:val="18"/>
              </w:rPr>
              <w:t>0.017</w:t>
            </w:r>
          </w:p>
        </w:tc>
        <w:tc>
          <w:tcPr>
            <w:tcW w:w="2070" w:type="dxa"/>
            <w:tcBorders>
              <w:bottom w:val="nil"/>
            </w:tcBorders>
            <w:shd w:val="clear" w:color="auto" w:fill="auto"/>
            <w:noWrap/>
            <w:vAlign w:val="bottom"/>
          </w:tcPr>
          <w:p w14:paraId="43F1BA41"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0.022</w:t>
            </w:r>
          </w:p>
        </w:tc>
      </w:tr>
      <w:tr w:rsidR="00E42813" w:rsidRPr="00D652D5" w14:paraId="577E34DA" w14:textId="77777777" w:rsidTr="003F5394">
        <w:trPr>
          <w:trHeight w:val="240"/>
        </w:trPr>
        <w:tc>
          <w:tcPr>
            <w:tcW w:w="2977" w:type="dxa"/>
            <w:tcBorders>
              <w:top w:val="nil"/>
              <w:bottom w:val="nil"/>
            </w:tcBorders>
            <w:shd w:val="clear" w:color="auto" w:fill="auto"/>
            <w:noWrap/>
            <w:vAlign w:val="bottom"/>
          </w:tcPr>
          <w:p w14:paraId="64835A29"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Marshall Islands</w:t>
            </w:r>
          </w:p>
        </w:tc>
        <w:tc>
          <w:tcPr>
            <w:tcW w:w="2325" w:type="dxa"/>
            <w:tcBorders>
              <w:top w:val="nil"/>
              <w:bottom w:val="nil"/>
            </w:tcBorders>
            <w:shd w:val="clear" w:color="auto" w:fill="auto"/>
            <w:noWrap/>
            <w:vAlign w:val="bottom"/>
          </w:tcPr>
          <w:p w14:paraId="1E26C50B" w14:textId="77777777" w:rsidR="00E42813" w:rsidRPr="00D652D5" w:rsidRDefault="00E42813" w:rsidP="003F5394">
            <w:pPr>
              <w:suppressAutoHyphens w:val="0"/>
              <w:spacing w:line="240" w:lineRule="auto"/>
              <w:jc w:val="right"/>
              <w:rPr>
                <w:sz w:val="18"/>
                <w:szCs w:val="18"/>
              </w:rPr>
            </w:pPr>
            <w:r w:rsidRPr="00D652D5">
              <w:rPr>
                <w:sz w:val="18"/>
                <w:szCs w:val="18"/>
              </w:rPr>
              <w:t>0.001</w:t>
            </w:r>
          </w:p>
        </w:tc>
        <w:tc>
          <w:tcPr>
            <w:tcW w:w="2070" w:type="dxa"/>
            <w:tcBorders>
              <w:top w:val="nil"/>
              <w:bottom w:val="nil"/>
            </w:tcBorders>
            <w:shd w:val="clear" w:color="auto" w:fill="auto"/>
            <w:noWrap/>
            <w:vAlign w:val="bottom"/>
          </w:tcPr>
          <w:p w14:paraId="5061EAEC"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0.001</w:t>
            </w:r>
          </w:p>
        </w:tc>
      </w:tr>
      <w:tr w:rsidR="00E42813" w:rsidRPr="00D652D5" w14:paraId="79D67476" w14:textId="77777777" w:rsidTr="003F5394">
        <w:trPr>
          <w:trHeight w:val="240"/>
        </w:trPr>
        <w:tc>
          <w:tcPr>
            <w:tcW w:w="2977" w:type="dxa"/>
            <w:tcBorders>
              <w:top w:val="nil"/>
            </w:tcBorders>
            <w:shd w:val="clear" w:color="auto" w:fill="auto"/>
            <w:noWrap/>
            <w:vAlign w:val="bottom"/>
          </w:tcPr>
          <w:p w14:paraId="1FBE7639"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Mauritania</w:t>
            </w:r>
          </w:p>
        </w:tc>
        <w:tc>
          <w:tcPr>
            <w:tcW w:w="2325" w:type="dxa"/>
            <w:tcBorders>
              <w:top w:val="nil"/>
            </w:tcBorders>
            <w:shd w:val="clear" w:color="auto" w:fill="auto"/>
            <w:noWrap/>
            <w:vAlign w:val="bottom"/>
          </w:tcPr>
          <w:p w14:paraId="68CA392E" w14:textId="77777777" w:rsidR="00E42813" w:rsidRPr="00D652D5" w:rsidRDefault="00E42813" w:rsidP="003F5394">
            <w:pPr>
              <w:suppressAutoHyphens w:val="0"/>
              <w:spacing w:line="240" w:lineRule="auto"/>
              <w:jc w:val="right"/>
              <w:rPr>
                <w:sz w:val="18"/>
                <w:szCs w:val="18"/>
              </w:rPr>
            </w:pPr>
            <w:r w:rsidRPr="00D652D5">
              <w:rPr>
                <w:sz w:val="18"/>
                <w:szCs w:val="18"/>
              </w:rPr>
              <w:t>0.002</w:t>
            </w:r>
          </w:p>
        </w:tc>
        <w:tc>
          <w:tcPr>
            <w:tcW w:w="2070" w:type="dxa"/>
            <w:tcBorders>
              <w:top w:val="nil"/>
            </w:tcBorders>
            <w:shd w:val="clear" w:color="auto" w:fill="auto"/>
            <w:noWrap/>
            <w:vAlign w:val="bottom"/>
          </w:tcPr>
          <w:p w14:paraId="310076B3"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0.003</w:t>
            </w:r>
          </w:p>
        </w:tc>
      </w:tr>
      <w:tr w:rsidR="00E42813" w:rsidRPr="00D652D5" w14:paraId="3585DE80" w14:textId="77777777" w:rsidTr="003F5394">
        <w:trPr>
          <w:trHeight w:val="240"/>
        </w:trPr>
        <w:tc>
          <w:tcPr>
            <w:tcW w:w="2977" w:type="dxa"/>
            <w:shd w:val="clear" w:color="auto" w:fill="auto"/>
            <w:noWrap/>
            <w:vAlign w:val="bottom"/>
          </w:tcPr>
          <w:p w14:paraId="333EBEFD"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Mauritius</w:t>
            </w:r>
          </w:p>
        </w:tc>
        <w:tc>
          <w:tcPr>
            <w:tcW w:w="2325" w:type="dxa"/>
            <w:shd w:val="clear" w:color="auto" w:fill="auto"/>
            <w:noWrap/>
            <w:vAlign w:val="bottom"/>
          </w:tcPr>
          <w:p w14:paraId="0931CDF3" w14:textId="77777777" w:rsidR="00E42813" w:rsidRPr="00D652D5" w:rsidRDefault="00E42813" w:rsidP="003F5394">
            <w:pPr>
              <w:suppressAutoHyphens w:val="0"/>
              <w:spacing w:line="240" w:lineRule="auto"/>
              <w:jc w:val="right"/>
              <w:rPr>
                <w:sz w:val="18"/>
                <w:szCs w:val="18"/>
              </w:rPr>
            </w:pPr>
            <w:r w:rsidRPr="00D652D5">
              <w:rPr>
                <w:sz w:val="18"/>
                <w:szCs w:val="18"/>
              </w:rPr>
              <w:t>0.011</w:t>
            </w:r>
          </w:p>
        </w:tc>
        <w:tc>
          <w:tcPr>
            <w:tcW w:w="2070" w:type="dxa"/>
            <w:shd w:val="clear" w:color="auto" w:fill="auto"/>
            <w:noWrap/>
            <w:vAlign w:val="bottom"/>
          </w:tcPr>
          <w:p w14:paraId="56B6952E"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0.014</w:t>
            </w:r>
          </w:p>
        </w:tc>
      </w:tr>
      <w:tr w:rsidR="00E42813" w:rsidRPr="00D652D5" w14:paraId="42E8A484" w14:textId="77777777" w:rsidTr="003F5394">
        <w:trPr>
          <w:trHeight w:val="240"/>
        </w:trPr>
        <w:tc>
          <w:tcPr>
            <w:tcW w:w="2977" w:type="dxa"/>
            <w:shd w:val="clear" w:color="auto" w:fill="auto"/>
            <w:noWrap/>
            <w:vAlign w:val="bottom"/>
          </w:tcPr>
          <w:p w14:paraId="6BB5B7B4"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Mexico</w:t>
            </w:r>
          </w:p>
        </w:tc>
        <w:tc>
          <w:tcPr>
            <w:tcW w:w="2325" w:type="dxa"/>
            <w:shd w:val="clear" w:color="auto" w:fill="auto"/>
            <w:noWrap/>
            <w:vAlign w:val="bottom"/>
          </w:tcPr>
          <w:p w14:paraId="3555611D" w14:textId="77777777" w:rsidR="00E42813" w:rsidRPr="00D652D5" w:rsidRDefault="00E42813" w:rsidP="003F5394">
            <w:pPr>
              <w:suppressAutoHyphens w:val="0"/>
              <w:spacing w:line="240" w:lineRule="auto"/>
              <w:jc w:val="right"/>
              <w:rPr>
                <w:sz w:val="18"/>
                <w:szCs w:val="18"/>
              </w:rPr>
            </w:pPr>
            <w:r w:rsidRPr="00D652D5">
              <w:rPr>
                <w:sz w:val="18"/>
                <w:szCs w:val="18"/>
              </w:rPr>
              <w:t>1.292</w:t>
            </w:r>
          </w:p>
        </w:tc>
        <w:tc>
          <w:tcPr>
            <w:tcW w:w="2070" w:type="dxa"/>
            <w:shd w:val="clear" w:color="auto" w:fill="auto"/>
            <w:noWrap/>
            <w:vAlign w:val="bottom"/>
          </w:tcPr>
          <w:p w14:paraId="277B5E98" w14:textId="77777777" w:rsidR="00E42813" w:rsidRPr="00D652D5" w:rsidRDefault="00E42813" w:rsidP="003F5394">
            <w:pPr>
              <w:suppressAutoHyphens w:val="0"/>
              <w:spacing w:line="240" w:lineRule="auto"/>
              <w:jc w:val="right"/>
              <w:rPr>
                <w:sz w:val="18"/>
                <w:szCs w:val="18"/>
              </w:rPr>
            </w:pPr>
            <w:r w:rsidRPr="00D652D5">
              <w:rPr>
                <w:color w:val="000000"/>
                <w:sz w:val="18"/>
                <w:szCs w:val="18"/>
              </w:rPr>
              <w:t>1.674</w:t>
            </w:r>
          </w:p>
        </w:tc>
      </w:tr>
      <w:tr w:rsidR="00E42813" w:rsidRPr="00D652D5" w14:paraId="4A3205E9" w14:textId="77777777" w:rsidTr="003F5394">
        <w:trPr>
          <w:trHeight w:val="240"/>
        </w:trPr>
        <w:tc>
          <w:tcPr>
            <w:tcW w:w="2977" w:type="dxa"/>
            <w:shd w:val="clear" w:color="auto" w:fill="auto"/>
            <w:noWrap/>
            <w:vAlign w:val="bottom"/>
          </w:tcPr>
          <w:p w14:paraId="71FC37BD"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Micronesia (Federated States of)</w:t>
            </w:r>
          </w:p>
        </w:tc>
        <w:tc>
          <w:tcPr>
            <w:tcW w:w="2325" w:type="dxa"/>
            <w:shd w:val="clear" w:color="auto" w:fill="auto"/>
            <w:noWrap/>
            <w:vAlign w:val="bottom"/>
          </w:tcPr>
          <w:p w14:paraId="73F33B0D" w14:textId="77777777" w:rsidR="00E42813" w:rsidRPr="00D652D5" w:rsidRDefault="00E42813" w:rsidP="003F5394">
            <w:pPr>
              <w:suppressAutoHyphens w:val="0"/>
              <w:spacing w:line="240" w:lineRule="auto"/>
              <w:jc w:val="right"/>
              <w:rPr>
                <w:sz w:val="18"/>
                <w:szCs w:val="18"/>
              </w:rPr>
            </w:pPr>
            <w:r w:rsidRPr="00D652D5">
              <w:rPr>
                <w:sz w:val="18"/>
                <w:szCs w:val="18"/>
              </w:rPr>
              <w:t>0.001</w:t>
            </w:r>
          </w:p>
        </w:tc>
        <w:tc>
          <w:tcPr>
            <w:tcW w:w="2070" w:type="dxa"/>
            <w:shd w:val="clear" w:color="auto" w:fill="auto"/>
            <w:noWrap/>
            <w:vAlign w:val="bottom"/>
          </w:tcPr>
          <w:p w14:paraId="552D696B"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0.001</w:t>
            </w:r>
          </w:p>
        </w:tc>
      </w:tr>
      <w:tr w:rsidR="00E42813" w:rsidRPr="00D652D5" w14:paraId="16F58360" w14:textId="77777777" w:rsidTr="003F5394">
        <w:trPr>
          <w:trHeight w:val="240"/>
        </w:trPr>
        <w:tc>
          <w:tcPr>
            <w:tcW w:w="2977" w:type="dxa"/>
            <w:shd w:val="clear" w:color="auto" w:fill="auto"/>
            <w:noWrap/>
            <w:vAlign w:val="bottom"/>
          </w:tcPr>
          <w:p w14:paraId="7C19A5E4"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Monaco</w:t>
            </w:r>
          </w:p>
        </w:tc>
        <w:tc>
          <w:tcPr>
            <w:tcW w:w="2325" w:type="dxa"/>
            <w:shd w:val="clear" w:color="auto" w:fill="auto"/>
            <w:noWrap/>
            <w:vAlign w:val="bottom"/>
          </w:tcPr>
          <w:p w14:paraId="7EFE0B65" w14:textId="77777777" w:rsidR="00E42813" w:rsidRPr="00D652D5" w:rsidRDefault="00E42813" w:rsidP="003F5394">
            <w:pPr>
              <w:suppressAutoHyphens w:val="0"/>
              <w:spacing w:line="240" w:lineRule="auto"/>
              <w:jc w:val="right"/>
              <w:rPr>
                <w:sz w:val="18"/>
                <w:szCs w:val="18"/>
              </w:rPr>
            </w:pPr>
            <w:r w:rsidRPr="00D652D5">
              <w:rPr>
                <w:sz w:val="18"/>
                <w:szCs w:val="18"/>
              </w:rPr>
              <w:t>0.011</w:t>
            </w:r>
          </w:p>
        </w:tc>
        <w:tc>
          <w:tcPr>
            <w:tcW w:w="2070" w:type="dxa"/>
            <w:shd w:val="clear" w:color="auto" w:fill="auto"/>
            <w:noWrap/>
            <w:vAlign w:val="bottom"/>
          </w:tcPr>
          <w:p w14:paraId="73080D5C"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0.014</w:t>
            </w:r>
          </w:p>
        </w:tc>
      </w:tr>
      <w:tr w:rsidR="00E42813" w:rsidRPr="00D652D5" w14:paraId="0FE70D39" w14:textId="77777777" w:rsidTr="003F5394">
        <w:trPr>
          <w:trHeight w:val="240"/>
        </w:trPr>
        <w:tc>
          <w:tcPr>
            <w:tcW w:w="2977" w:type="dxa"/>
            <w:shd w:val="clear" w:color="auto" w:fill="auto"/>
            <w:noWrap/>
            <w:vAlign w:val="bottom"/>
          </w:tcPr>
          <w:p w14:paraId="63BDC494"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Mongolia</w:t>
            </w:r>
          </w:p>
        </w:tc>
        <w:tc>
          <w:tcPr>
            <w:tcW w:w="2325" w:type="dxa"/>
            <w:shd w:val="clear" w:color="auto" w:fill="auto"/>
            <w:noWrap/>
            <w:vAlign w:val="bottom"/>
          </w:tcPr>
          <w:p w14:paraId="022B3F48" w14:textId="77777777" w:rsidR="00E42813" w:rsidRPr="00D652D5" w:rsidRDefault="00E42813" w:rsidP="003F5394">
            <w:pPr>
              <w:suppressAutoHyphens w:val="0"/>
              <w:spacing w:line="240" w:lineRule="auto"/>
              <w:jc w:val="right"/>
              <w:rPr>
                <w:sz w:val="18"/>
                <w:szCs w:val="18"/>
              </w:rPr>
            </w:pPr>
            <w:r w:rsidRPr="00D652D5">
              <w:rPr>
                <w:sz w:val="18"/>
                <w:szCs w:val="18"/>
              </w:rPr>
              <w:t>0.005</w:t>
            </w:r>
          </w:p>
        </w:tc>
        <w:tc>
          <w:tcPr>
            <w:tcW w:w="2070" w:type="dxa"/>
            <w:shd w:val="clear" w:color="auto" w:fill="auto"/>
            <w:noWrap/>
            <w:vAlign w:val="bottom"/>
          </w:tcPr>
          <w:p w14:paraId="502754A5"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0.006</w:t>
            </w:r>
          </w:p>
        </w:tc>
      </w:tr>
      <w:tr w:rsidR="00E42813" w:rsidRPr="00D652D5" w14:paraId="017DC034" w14:textId="77777777" w:rsidTr="003F5394">
        <w:trPr>
          <w:trHeight w:val="240"/>
        </w:trPr>
        <w:tc>
          <w:tcPr>
            <w:tcW w:w="2977" w:type="dxa"/>
            <w:shd w:val="clear" w:color="auto" w:fill="auto"/>
            <w:noWrap/>
            <w:vAlign w:val="bottom"/>
          </w:tcPr>
          <w:p w14:paraId="2DF2EE91"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Montenegro</w:t>
            </w:r>
          </w:p>
        </w:tc>
        <w:tc>
          <w:tcPr>
            <w:tcW w:w="2325" w:type="dxa"/>
            <w:shd w:val="clear" w:color="auto" w:fill="auto"/>
            <w:noWrap/>
            <w:vAlign w:val="bottom"/>
          </w:tcPr>
          <w:p w14:paraId="5BB7069E" w14:textId="77777777" w:rsidR="00E42813" w:rsidRPr="00D652D5" w:rsidRDefault="00E42813" w:rsidP="003F5394">
            <w:pPr>
              <w:suppressAutoHyphens w:val="0"/>
              <w:spacing w:line="240" w:lineRule="auto"/>
              <w:jc w:val="right"/>
              <w:rPr>
                <w:sz w:val="18"/>
                <w:szCs w:val="18"/>
              </w:rPr>
            </w:pPr>
            <w:r w:rsidRPr="00D652D5">
              <w:rPr>
                <w:sz w:val="18"/>
                <w:szCs w:val="18"/>
              </w:rPr>
              <w:t>0.004</w:t>
            </w:r>
          </w:p>
        </w:tc>
        <w:tc>
          <w:tcPr>
            <w:tcW w:w="2070" w:type="dxa"/>
            <w:shd w:val="clear" w:color="auto" w:fill="auto"/>
            <w:noWrap/>
            <w:vAlign w:val="bottom"/>
          </w:tcPr>
          <w:p w14:paraId="1785C25A"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0.005</w:t>
            </w:r>
          </w:p>
        </w:tc>
      </w:tr>
      <w:tr w:rsidR="00E42813" w:rsidRPr="00D652D5" w14:paraId="01531352" w14:textId="77777777" w:rsidTr="003F5394">
        <w:trPr>
          <w:trHeight w:val="240"/>
        </w:trPr>
        <w:tc>
          <w:tcPr>
            <w:tcW w:w="2977" w:type="dxa"/>
            <w:shd w:val="clear" w:color="auto" w:fill="auto"/>
            <w:noWrap/>
            <w:vAlign w:val="bottom"/>
          </w:tcPr>
          <w:p w14:paraId="504345A2"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Morocco</w:t>
            </w:r>
          </w:p>
        </w:tc>
        <w:tc>
          <w:tcPr>
            <w:tcW w:w="2325" w:type="dxa"/>
            <w:shd w:val="clear" w:color="auto" w:fill="auto"/>
            <w:noWrap/>
            <w:vAlign w:val="bottom"/>
          </w:tcPr>
          <w:p w14:paraId="3FD34147" w14:textId="77777777" w:rsidR="00E42813" w:rsidRPr="00D652D5" w:rsidRDefault="00E42813" w:rsidP="003F5394">
            <w:pPr>
              <w:suppressAutoHyphens w:val="0"/>
              <w:spacing w:line="240" w:lineRule="auto"/>
              <w:jc w:val="right"/>
              <w:rPr>
                <w:sz w:val="18"/>
                <w:szCs w:val="18"/>
              </w:rPr>
            </w:pPr>
            <w:r w:rsidRPr="00D652D5">
              <w:rPr>
                <w:sz w:val="18"/>
                <w:szCs w:val="18"/>
              </w:rPr>
              <w:t>0.055</w:t>
            </w:r>
          </w:p>
        </w:tc>
        <w:tc>
          <w:tcPr>
            <w:tcW w:w="2070" w:type="dxa"/>
            <w:shd w:val="clear" w:color="auto" w:fill="auto"/>
            <w:noWrap/>
            <w:vAlign w:val="bottom"/>
          </w:tcPr>
          <w:p w14:paraId="267C158A"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0.071</w:t>
            </w:r>
          </w:p>
        </w:tc>
      </w:tr>
      <w:tr w:rsidR="00E42813" w:rsidRPr="00D652D5" w14:paraId="247C7B6E" w14:textId="77777777" w:rsidTr="003F5394">
        <w:trPr>
          <w:trHeight w:val="240"/>
        </w:trPr>
        <w:tc>
          <w:tcPr>
            <w:tcW w:w="2977" w:type="dxa"/>
            <w:shd w:val="clear" w:color="auto" w:fill="auto"/>
            <w:noWrap/>
            <w:vAlign w:val="bottom"/>
          </w:tcPr>
          <w:p w14:paraId="6B18EF80"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Mozambique</w:t>
            </w:r>
          </w:p>
        </w:tc>
        <w:tc>
          <w:tcPr>
            <w:tcW w:w="2325" w:type="dxa"/>
            <w:shd w:val="clear" w:color="auto" w:fill="auto"/>
            <w:noWrap/>
            <w:vAlign w:val="bottom"/>
          </w:tcPr>
          <w:p w14:paraId="36A902FA" w14:textId="77777777" w:rsidR="00E42813" w:rsidRPr="00D652D5" w:rsidRDefault="00E42813" w:rsidP="003F5394">
            <w:pPr>
              <w:suppressAutoHyphens w:val="0"/>
              <w:spacing w:line="240" w:lineRule="auto"/>
              <w:jc w:val="right"/>
              <w:rPr>
                <w:sz w:val="18"/>
                <w:szCs w:val="18"/>
              </w:rPr>
            </w:pPr>
            <w:r w:rsidRPr="00D652D5">
              <w:rPr>
                <w:sz w:val="18"/>
                <w:szCs w:val="18"/>
              </w:rPr>
              <w:t>0.004</w:t>
            </w:r>
          </w:p>
        </w:tc>
        <w:tc>
          <w:tcPr>
            <w:tcW w:w="2070" w:type="dxa"/>
            <w:shd w:val="clear" w:color="auto" w:fill="auto"/>
            <w:noWrap/>
            <w:vAlign w:val="bottom"/>
          </w:tcPr>
          <w:p w14:paraId="0CE41168"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0.005</w:t>
            </w:r>
          </w:p>
        </w:tc>
      </w:tr>
      <w:tr w:rsidR="00E42813" w:rsidRPr="00D652D5" w14:paraId="601F750A" w14:textId="77777777" w:rsidTr="003F5394">
        <w:trPr>
          <w:trHeight w:val="240"/>
        </w:trPr>
        <w:tc>
          <w:tcPr>
            <w:tcW w:w="2977" w:type="dxa"/>
            <w:shd w:val="clear" w:color="auto" w:fill="auto"/>
            <w:noWrap/>
            <w:vAlign w:val="bottom"/>
          </w:tcPr>
          <w:p w14:paraId="5697EAB9"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Myanmar</w:t>
            </w:r>
          </w:p>
        </w:tc>
        <w:tc>
          <w:tcPr>
            <w:tcW w:w="2325" w:type="dxa"/>
            <w:shd w:val="clear" w:color="auto" w:fill="auto"/>
            <w:noWrap/>
            <w:vAlign w:val="bottom"/>
          </w:tcPr>
          <w:p w14:paraId="1D14AB27" w14:textId="77777777" w:rsidR="00E42813" w:rsidRPr="00D652D5" w:rsidRDefault="00E42813" w:rsidP="003F5394">
            <w:pPr>
              <w:suppressAutoHyphens w:val="0"/>
              <w:spacing w:line="240" w:lineRule="auto"/>
              <w:jc w:val="right"/>
              <w:rPr>
                <w:sz w:val="18"/>
                <w:szCs w:val="18"/>
              </w:rPr>
            </w:pPr>
            <w:r w:rsidRPr="00D652D5">
              <w:rPr>
                <w:sz w:val="18"/>
                <w:szCs w:val="18"/>
              </w:rPr>
              <w:t>0.010</w:t>
            </w:r>
          </w:p>
        </w:tc>
        <w:tc>
          <w:tcPr>
            <w:tcW w:w="2070" w:type="dxa"/>
            <w:shd w:val="clear" w:color="auto" w:fill="auto"/>
            <w:noWrap/>
            <w:vAlign w:val="bottom"/>
          </w:tcPr>
          <w:p w14:paraId="3CF6B8E1"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0.013</w:t>
            </w:r>
          </w:p>
        </w:tc>
      </w:tr>
      <w:tr w:rsidR="00E42813" w:rsidRPr="00D652D5" w14:paraId="1014C3FC" w14:textId="77777777" w:rsidTr="003F5394">
        <w:trPr>
          <w:trHeight w:val="240"/>
        </w:trPr>
        <w:tc>
          <w:tcPr>
            <w:tcW w:w="2977" w:type="dxa"/>
            <w:shd w:val="clear" w:color="auto" w:fill="auto"/>
            <w:noWrap/>
            <w:vAlign w:val="bottom"/>
          </w:tcPr>
          <w:p w14:paraId="31D9F0A7"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Namibia</w:t>
            </w:r>
          </w:p>
        </w:tc>
        <w:tc>
          <w:tcPr>
            <w:tcW w:w="2325" w:type="dxa"/>
            <w:shd w:val="clear" w:color="auto" w:fill="auto"/>
            <w:noWrap/>
            <w:vAlign w:val="bottom"/>
          </w:tcPr>
          <w:p w14:paraId="10F1FF5A" w14:textId="77777777" w:rsidR="00E42813" w:rsidRPr="00D652D5" w:rsidRDefault="00E42813" w:rsidP="003F5394">
            <w:pPr>
              <w:suppressAutoHyphens w:val="0"/>
              <w:spacing w:line="240" w:lineRule="auto"/>
              <w:jc w:val="right"/>
              <w:rPr>
                <w:sz w:val="18"/>
                <w:szCs w:val="18"/>
              </w:rPr>
            </w:pPr>
            <w:r w:rsidRPr="00D652D5">
              <w:rPr>
                <w:sz w:val="18"/>
                <w:szCs w:val="18"/>
              </w:rPr>
              <w:t>0.009</w:t>
            </w:r>
          </w:p>
        </w:tc>
        <w:tc>
          <w:tcPr>
            <w:tcW w:w="2070" w:type="dxa"/>
            <w:shd w:val="clear" w:color="auto" w:fill="auto"/>
            <w:noWrap/>
            <w:vAlign w:val="bottom"/>
          </w:tcPr>
          <w:p w14:paraId="2EDDDA84"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0.012</w:t>
            </w:r>
          </w:p>
        </w:tc>
      </w:tr>
      <w:tr w:rsidR="00E42813" w:rsidRPr="00D652D5" w14:paraId="12DA61A6" w14:textId="77777777" w:rsidTr="003F5394">
        <w:trPr>
          <w:trHeight w:val="240"/>
        </w:trPr>
        <w:tc>
          <w:tcPr>
            <w:tcW w:w="2977" w:type="dxa"/>
            <w:shd w:val="clear" w:color="auto" w:fill="auto"/>
            <w:noWrap/>
            <w:vAlign w:val="bottom"/>
          </w:tcPr>
          <w:p w14:paraId="07AF5FB6"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Nauru</w:t>
            </w:r>
          </w:p>
        </w:tc>
        <w:tc>
          <w:tcPr>
            <w:tcW w:w="2325" w:type="dxa"/>
            <w:shd w:val="clear" w:color="auto" w:fill="auto"/>
            <w:noWrap/>
            <w:vAlign w:val="bottom"/>
          </w:tcPr>
          <w:p w14:paraId="6DF76F54" w14:textId="77777777" w:rsidR="00E42813" w:rsidRPr="00D652D5" w:rsidRDefault="00E42813" w:rsidP="003F5394">
            <w:pPr>
              <w:suppressAutoHyphens w:val="0"/>
              <w:spacing w:line="240" w:lineRule="auto"/>
              <w:jc w:val="right"/>
              <w:rPr>
                <w:sz w:val="18"/>
                <w:szCs w:val="18"/>
              </w:rPr>
            </w:pPr>
            <w:r w:rsidRPr="00D652D5">
              <w:rPr>
                <w:sz w:val="18"/>
                <w:szCs w:val="18"/>
              </w:rPr>
              <w:t>0.001</w:t>
            </w:r>
          </w:p>
        </w:tc>
        <w:tc>
          <w:tcPr>
            <w:tcW w:w="2070" w:type="dxa"/>
            <w:shd w:val="clear" w:color="auto" w:fill="auto"/>
            <w:noWrap/>
            <w:vAlign w:val="bottom"/>
          </w:tcPr>
          <w:p w14:paraId="4876DBC8"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0.001</w:t>
            </w:r>
          </w:p>
        </w:tc>
      </w:tr>
      <w:tr w:rsidR="00E42813" w:rsidRPr="00D652D5" w14:paraId="4679AF45" w14:textId="77777777" w:rsidTr="003F5394">
        <w:trPr>
          <w:trHeight w:val="240"/>
        </w:trPr>
        <w:tc>
          <w:tcPr>
            <w:tcW w:w="2977" w:type="dxa"/>
            <w:shd w:val="clear" w:color="auto" w:fill="auto"/>
            <w:noWrap/>
            <w:vAlign w:val="bottom"/>
          </w:tcPr>
          <w:p w14:paraId="5EE0D68C"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Nepal</w:t>
            </w:r>
          </w:p>
        </w:tc>
        <w:tc>
          <w:tcPr>
            <w:tcW w:w="2325" w:type="dxa"/>
            <w:shd w:val="clear" w:color="auto" w:fill="auto"/>
            <w:noWrap/>
            <w:vAlign w:val="bottom"/>
          </w:tcPr>
          <w:p w14:paraId="7293B05E" w14:textId="77777777" w:rsidR="00E42813" w:rsidRPr="00D652D5" w:rsidRDefault="00E42813" w:rsidP="003F5394">
            <w:pPr>
              <w:suppressAutoHyphens w:val="0"/>
              <w:spacing w:line="240" w:lineRule="auto"/>
              <w:jc w:val="right"/>
              <w:rPr>
                <w:sz w:val="18"/>
                <w:szCs w:val="18"/>
              </w:rPr>
            </w:pPr>
            <w:r w:rsidRPr="00D652D5">
              <w:rPr>
                <w:sz w:val="18"/>
                <w:szCs w:val="18"/>
              </w:rPr>
              <w:t>0.007</w:t>
            </w:r>
          </w:p>
        </w:tc>
        <w:tc>
          <w:tcPr>
            <w:tcW w:w="2070" w:type="dxa"/>
            <w:shd w:val="clear" w:color="auto" w:fill="auto"/>
            <w:noWrap/>
            <w:vAlign w:val="bottom"/>
          </w:tcPr>
          <w:p w14:paraId="26E1FB7D"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0.009</w:t>
            </w:r>
          </w:p>
        </w:tc>
      </w:tr>
      <w:tr w:rsidR="00E42813" w:rsidRPr="00D652D5" w14:paraId="0FC7B7A2" w14:textId="77777777" w:rsidTr="003F5394">
        <w:trPr>
          <w:trHeight w:val="240"/>
        </w:trPr>
        <w:tc>
          <w:tcPr>
            <w:tcW w:w="2977" w:type="dxa"/>
            <w:shd w:val="clear" w:color="auto" w:fill="auto"/>
            <w:noWrap/>
            <w:vAlign w:val="bottom"/>
          </w:tcPr>
          <w:p w14:paraId="4545C122"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Netherlands</w:t>
            </w:r>
          </w:p>
        </w:tc>
        <w:tc>
          <w:tcPr>
            <w:tcW w:w="2325" w:type="dxa"/>
            <w:shd w:val="clear" w:color="auto" w:fill="auto"/>
            <w:noWrap/>
            <w:vAlign w:val="bottom"/>
          </w:tcPr>
          <w:p w14:paraId="200F11BE" w14:textId="77777777" w:rsidR="00E42813" w:rsidRPr="00D652D5" w:rsidRDefault="00E42813" w:rsidP="003F5394">
            <w:pPr>
              <w:suppressAutoHyphens w:val="0"/>
              <w:spacing w:line="240" w:lineRule="auto"/>
              <w:jc w:val="right"/>
              <w:rPr>
                <w:sz w:val="18"/>
                <w:szCs w:val="18"/>
              </w:rPr>
            </w:pPr>
            <w:r w:rsidRPr="00D652D5">
              <w:rPr>
                <w:sz w:val="18"/>
                <w:szCs w:val="18"/>
              </w:rPr>
              <w:t>1.356</w:t>
            </w:r>
          </w:p>
        </w:tc>
        <w:tc>
          <w:tcPr>
            <w:tcW w:w="2070" w:type="dxa"/>
            <w:shd w:val="clear" w:color="auto" w:fill="auto"/>
            <w:noWrap/>
            <w:vAlign w:val="bottom"/>
          </w:tcPr>
          <w:p w14:paraId="7D285812" w14:textId="77777777" w:rsidR="00E42813" w:rsidRPr="00D652D5" w:rsidRDefault="00E42813" w:rsidP="003F5394">
            <w:pPr>
              <w:suppressAutoHyphens w:val="0"/>
              <w:spacing w:line="240" w:lineRule="auto"/>
              <w:jc w:val="right"/>
              <w:rPr>
                <w:sz w:val="18"/>
                <w:szCs w:val="18"/>
              </w:rPr>
            </w:pPr>
            <w:r w:rsidRPr="00D652D5">
              <w:rPr>
                <w:color w:val="000000"/>
                <w:sz w:val="18"/>
                <w:szCs w:val="18"/>
              </w:rPr>
              <w:t>1.757</w:t>
            </w:r>
          </w:p>
        </w:tc>
      </w:tr>
      <w:tr w:rsidR="00E42813" w:rsidRPr="00D652D5" w14:paraId="562BE93A" w14:textId="77777777" w:rsidTr="003F5394">
        <w:trPr>
          <w:trHeight w:val="240"/>
        </w:trPr>
        <w:tc>
          <w:tcPr>
            <w:tcW w:w="2977" w:type="dxa"/>
            <w:shd w:val="clear" w:color="auto" w:fill="auto"/>
            <w:noWrap/>
            <w:vAlign w:val="bottom"/>
          </w:tcPr>
          <w:p w14:paraId="7BDC7686"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New Zealand</w:t>
            </w:r>
          </w:p>
        </w:tc>
        <w:tc>
          <w:tcPr>
            <w:tcW w:w="2325" w:type="dxa"/>
            <w:shd w:val="clear" w:color="auto" w:fill="auto"/>
            <w:noWrap/>
            <w:vAlign w:val="bottom"/>
          </w:tcPr>
          <w:p w14:paraId="53BBE71E" w14:textId="77777777" w:rsidR="00E42813" w:rsidRPr="00D652D5" w:rsidRDefault="00E42813" w:rsidP="003F5394">
            <w:pPr>
              <w:suppressAutoHyphens w:val="0"/>
              <w:spacing w:line="240" w:lineRule="auto"/>
              <w:jc w:val="right"/>
              <w:rPr>
                <w:sz w:val="18"/>
                <w:szCs w:val="18"/>
              </w:rPr>
            </w:pPr>
            <w:r w:rsidRPr="00D652D5">
              <w:rPr>
                <w:sz w:val="18"/>
                <w:szCs w:val="18"/>
              </w:rPr>
              <w:t>0.291</w:t>
            </w:r>
          </w:p>
        </w:tc>
        <w:tc>
          <w:tcPr>
            <w:tcW w:w="2070" w:type="dxa"/>
            <w:shd w:val="clear" w:color="auto" w:fill="auto"/>
            <w:noWrap/>
            <w:vAlign w:val="bottom"/>
          </w:tcPr>
          <w:p w14:paraId="6A9E4E3A"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0.377</w:t>
            </w:r>
          </w:p>
        </w:tc>
      </w:tr>
      <w:tr w:rsidR="00E42813" w:rsidRPr="00D652D5" w14:paraId="6B020DE0" w14:textId="77777777" w:rsidTr="003F5394">
        <w:trPr>
          <w:trHeight w:val="240"/>
        </w:trPr>
        <w:tc>
          <w:tcPr>
            <w:tcW w:w="2977" w:type="dxa"/>
            <w:shd w:val="clear" w:color="auto" w:fill="auto"/>
            <w:noWrap/>
            <w:vAlign w:val="bottom"/>
          </w:tcPr>
          <w:p w14:paraId="6D9F2DF5"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Nicaragua</w:t>
            </w:r>
          </w:p>
        </w:tc>
        <w:tc>
          <w:tcPr>
            <w:tcW w:w="2325" w:type="dxa"/>
            <w:shd w:val="clear" w:color="auto" w:fill="auto"/>
            <w:noWrap/>
            <w:vAlign w:val="bottom"/>
          </w:tcPr>
          <w:p w14:paraId="0EB312AF" w14:textId="77777777" w:rsidR="00E42813" w:rsidRPr="00D652D5" w:rsidRDefault="00E42813" w:rsidP="003F5394">
            <w:pPr>
              <w:suppressAutoHyphens w:val="0"/>
              <w:spacing w:line="240" w:lineRule="auto"/>
              <w:jc w:val="right"/>
              <w:rPr>
                <w:sz w:val="18"/>
                <w:szCs w:val="18"/>
              </w:rPr>
            </w:pPr>
            <w:r w:rsidRPr="00D652D5">
              <w:rPr>
                <w:sz w:val="18"/>
                <w:szCs w:val="18"/>
              </w:rPr>
              <w:t>0.005</w:t>
            </w:r>
          </w:p>
        </w:tc>
        <w:tc>
          <w:tcPr>
            <w:tcW w:w="2070" w:type="dxa"/>
            <w:shd w:val="clear" w:color="auto" w:fill="auto"/>
            <w:noWrap/>
            <w:vAlign w:val="bottom"/>
          </w:tcPr>
          <w:p w14:paraId="06E06EA9"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0.006</w:t>
            </w:r>
          </w:p>
        </w:tc>
      </w:tr>
      <w:tr w:rsidR="00E42813" w:rsidRPr="00D652D5" w14:paraId="0BF6DC6A" w14:textId="77777777" w:rsidTr="003F5394">
        <w:trPr>
          <w:trHeight w:val="240"/>
        </w:trPr>
        <w:tc>
          <w:tcPr>
            <w:tcW w:w="2977" w:type="dxa"/>
            <w:shd w:val="clear" w:color="auto" w:fill="auto"/>
            <w:noWrap/>
            <w:vAlign w:val="bottom"/>
          </w:tcPr>
          <w:p w14:paraId="48DB4B54"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Niger</w:t>
            </w:r>
          </w:p>
        </w:tc>
        <w:tc>
          <w:tcPr>
            <w:tcW w:w="2325" w:type="dxa"/>
            <w:shd w:val="clear" w:color="auto" w:fill="auto"/>
            <w:noWrap/>
            <w:vAlign w:val="bottom"/>
          </w:tcPr>
          <w:p w14:paraId="1FE5A039" w14:textId="77777777" w:rsidR="00E42813" w:rsidRPr="00D652D5" w:rsidRDefault="00E42813" w:rsidP="003F5394">
            <w:pPr>
              <w:suppressAutoHyphens w:val="0"/>
              <w:spacing w:line="240" w:lineRule="auto"/>
              <w:jc w:val="right"/>
              <w:rPr>
                <w:sz w:val="18"/>
                <w:szCs w:val="18"/>
              </w:rPr>
            </w:pPr>
            <w:r w:rsidRPr="00D652D5">
              <w:rPr>
                <w:sz w:val="18"/>
                <w:szCs w:val="18"/>
              </w:rPr>
              <w:t>0.002</w:t>
            </w:r>
          </w:p>
        </w:tc>
        <w:tc>
          <w:tcPr>
            <w:tcW w:w="2070" w:type="dxa"/>
            <w:shd w:val="clear" w:color="auto" w:fill="auto"/>
            <w:noWrap/>
            <w:vAlign w:val="bottom"/>
          </w:tcPr>
          <w:p w14:paraId="474061DB"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0.003</w:t>
            </w:r>
          </w:p>
        </w:tc>
      </w:tr>
      <w:tr w:rsidR="00E42813" w:rsidRPr="00D652D5" w14:paraId="67A278EE" w14:textId="77777777" w:rsidTr="003F5394">
        <w:trPr>
          <w:trHeight w:val="240"/>
        </w:trPr>
        <w:tc>
          <w:tcPr>
            <w:tcW w:w="2977" w:type="dxa"/>
            <w:shd w:val="clear" w:color="auto" w:fill="auto"/>
            <w:noWrap/>
            <w:vAlign w:val="bottom"/>
          </w:tcPr>
          <w:p w14:paraId="1872776C"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Nigeria</w:t>
            </w:r>
          </w:p>
        </w:tc>
        <w:tc>
          <w:tcPr>
            <w:tcW w:w="2325" w:type="dxa"/>
            <w:shd w:val="clear" w:color="auto" w:fill="auto"/>
            <w:noWrap/>
            <w:vAlign w:val="bottom"/>
          </w:tcPr>
          <w:p w14:paraId="7A5C2473" w14:textId="77777777" w:rsidR="00E42813" w:rsidRPr="00D652D5" w:rsidRDefault="00E42813" w:rsidP="003F5394">
            <w:pPr>
              <w:suppressAutoHyphens w:val="0"/>
              <w:spacing w:line="240" w:lineRule="auto"/>
              <w:jc w:val="right"/>
              <w:rPr>
                <w:sz w:val="18"/>
                <w:szCs w:val="18"/>
              </w:rPr>
            </w:pPr>
            <w:r w:rsidRPr="00D652D5">
              <w:rPr>
                <w:sz w:val="18"/>
                <w:szCs w:val="18"/>
              </w:rPr>
              <w:t>0.250</w:t>
            </w:r>
          </w:p>
        </w:tc>
        <w:tc>
          <w:tcPr>
            <w:tcW w:w="2070" w:type="dxa"/>
            <w:shd w:val="clear" w:color="auto" w:fill="auto"/>
            <w:noWrap/>
            <w:vAlign w:val="bottom"/>
          </w:tcPr>
          <w:p w14:paraId="3BEF5526"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0.324</w:t>
            </w:r>
          </w:p>
        </w:tc>
      </w:tr>
      <w:tr w:rsidR="00E42813" w:rsidRPr="00D652D5" w14:paraId="33CF5CEC" w14:textId="77777777" w:rsidTr="003F5394">
        <w:trPr>
          <w:trHeight w:val="240"/>
        </w:trPr>
        <w:tc>
          <w:tcPr>
            <w:tcW w:w="2977" w:type="dxa"/>
            <w:shd w:val="clear" w:color="auto" w:fill="auto"/>
            <w:noWrap/>
            <w:vAlign w:val="bottom"/>
          </w:tcPr>
          <w:p w14:paraId="5F063267"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Niue</w:t>
            </w:r>
          </w:p>
        </w:tc>
        <w:tc>
          <w:tcPr>
            <w:tcW w:w="2325" w:type="dxa"/>
            <w:shd w:val="clear" w:color="auto" w:fill="auto"/>
            <w:noWrap/>
            <w:vAlign w:val="bottom"/>
          </w:tcPr>
          <w:p w14:paraId="0BC8817F" w14:textId="77777777" w:rsidR="00E42813" w:rsidRPr="00D652D5" w:rsidRDefault="00E42813" w:rsidP="003F5394">
            <w:pPr>
              <w:suppressAutoHyphens w:val="0"/>
              <w:spacing w:line="240" w:lineRule="auto"/>
              <w:jc w:val="right"/>
              <w:rPr>
                <w:sz w:val="18"/>
                <w:szCs w:val="18"/>
              </w:rPr>
            </w:pPr>
            <w:r w:rsidRPr="00D652D5">
              <w:rPr>
                <w:sz w:val="18"/>
                <w:szCs w:val="18"/>
              </w:rPr>
              <w:t>0.000</w:t>
            </w:r>
          </w:p>
        </w:tc>
        <w:tc>
          <w:tcPr>
            <w:tcW w:w="2070" w:type="dxa"/>
            <w:shd w:val="clear" w:color="auto" w:fill="auto"/>
            <w:noWrap/>
            <w:vAlign w:val="bottom"/>
          </w:tcPr>
          <w:p w14:paraId="261CA414"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0.001</w:t>
            </w:r>
          </w:p>
        </w:tc>
      </w:tr>
      <w:tr w:rsidR="00E42813" w:rsidRPr="00D652D5" w14:paraId="02BC870B" w14:textId="77777777" w:rsidTr="003F5394">
        <w:trPr>
          <w:trHeight w:val="240"/>
        </w:trPr>
        <w:tc>
          <w:tcPr>
            <w:tcW w:w="2977" w:type="dxa"/>
            <w:shd w:val="clear" w:color="auto" w:fill="auto"/>
            <w:noWrap/>
            <w:vAlign w:val="bottom"/>
          </w:tcPr>
          <w:p w14:paraId="352C926A"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North Macedonia</w:t>
            </w:r>
          </w:p>
        </w:tc>
        <w:tc>
          <w:tcPr>
            <w:tcW w:w="2325" w:type="dxa"/>
            <w:shd w:val="clear" w:color="auto" w:fill="auto"/>
            <w:noWrap/>
            <w:vAlign w:val="bottom"/>
          </w:tcPr>
          <w:p w14:paraId="09F9CDB2" w14:textId="77777777" w:rsidR="00E42813" w:rsidRPr="00D652D5" w:rsidRDefault="00E42813" w:rsidP="003F5394">
            <w:pPr>
              <w:suppressAutoHyphens w:val="0"/>
              <w:spacing w:line="240" w:lineRule="auto"/>
              <w:jc w:val="right"/>
              <w:rPr>
                <w:sz w:val="18"/>
                <w:szCs w:val="18"/>
              </w:rPr>
            </w:pPr>
            <w:r w:rsidRPr="00D652D5">
              <w:rPr>
                <w:sz w:val="18"/>
                <w:szCs w:val="18"/>
              </w:rPr>
              <w:t>0.007</w:t>
            </w:r>
          </w:p>
        </w:tc>
        <w:tc>
          <w:tcPr>
            <w:tcW w:w="2070" w:type="dxa"/>
            <w:shd w:val="clear" w:color="auto" w:fill="auto"/>
            <w:noWrap/>
            <w:vAlign w:val="bottom"/>
          </w:tcPr>
          <w:p w14:paraId="4F54C954"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0.009</w:t>
            </w:r>
          </w:p>
        </w:tc>
      </w:tr>
      <w:tr w:rsidR="00E42813" w:rsidRPr="00D652D5" w14:paraId="3000BE5F" w14:textId="77777777" w:rsidTr="003F5394">
        <w:trPr>
          <w:trHeight w:val="240"/>
        </w:trPr>
        <w:tc>
          <w:tcPr>
            <w:tcW w:w="2977" w:type="dxa"/>
            <w:shd w:val="clear" w:color="auto" w:fill="auto"/>
            <w:noWrap/>
            <w:vAlign w:val="bottom"/>
          </w:tcPr>
          <w:p w14:paraId="15955736"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Norway</w:t>
            </w:r>
          </w:p>
        </w:tc>
        <w:tc>
          <w:tcPr>
            <w:tcW w:w="2325" w:type="dxa"/>
            <w:shd w:val="clear" w:color="auto" w:fill="auto"/>
            <w:noWrap/>
            <w:vAlign w:val="bottom"/>
          </w:tcPr>
          <w:p w14:paraId="1D3F7E86" w14:textId="77777777" w:rsidR="00E42813" w:rsidRPr="00D652D5" w:rsidRDefault="00E42813" w:rsidP="003F5394">
            <w:pPr>
              <w:suppressAutoHyphens w:val="0"/>
              <w:spacing w:line="240" w:lineRule="auto"/>
              <w:jc w:val="right"/>
              <w:rPr>
                <w:sz w:val="18"/>
                <w:szCs w:val="18"/>
              </w:rPr>
            </w:pPr>
            <w:r w:rsidRPr="00D652D5">
              <w:rPr>
                <w:sz w:val="18"/>
                <w:szCs w:val="18"/>
              </w:rPr>
              <w:t>0.754</w:t>
            </w:r>
          </w:p>
        </w:tc>
        <w:tc>
          <w:tcPr>
            <w:tcW w:w="2070" w:type="dxa"/>
            <w:shd w:val="clear" w:color="auto" w:fill="auto"/>
            <w:noWrap/>
            <w:vAlign w:val="bottom"/>
          </w:tcPr>
          <w:p w14:paraId="27E5A53C"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0.977</w:t>
            </w:r>
          </w:p>
        </w:tc>
      </w:tr>
      <w:tr w:rsidR="00E42813" w:rsidRPr="00D652D5" w14:paraId="437E6F4B" w14:textId="77777777" w:rsidTr="003F5394">
        <w:trPr>
          <w:trHeight w:val="240"/>
        </w:trPr>
        <w:tc>
          <w:tcPr>
            <w:tcW w:w="2977" w:type="dxa"/>
            <w:shd w:val="clear" w:color="auto" w:fill="auto"/>
            <w:noWrap/>
            <w:vAlign w:val="bottom"/>
          </w:tcPr>
          <w:p w14:paraId="2794189B"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Oman</w:t>
            </w:r>
          </w:p>
        </w:tc>
        <w:tc>
          <w:tcPr>
            <w:tcW w:w="2325" w:type="dxa"/>
            <w:shd w:val="clear" w:color="auto" w:fill="auto"/>
            <w:noWrap/>
            <w:vAlign w:val="bottom"/>
          </w:tcPr>
          <w:p w14:paraId="7780C0D5" w14:textId="77777777" w:rsidR="00E42813" w:rsidRPr="00D652D5" w:rsidRDefault="00E42813" w:rsidP="003F5394">
            <w:pPr>
              <w:suppressAutoHyphens w:val="0"/>
              <w:spacing w:line="240" w:lineRule="auto"/>
              <w:jc w:val="right"/>
              <w:rPr>
                <w:sz w:val="18"/>
                <w:szCs w:val="18"/>
              </w:rPr>
            </w:pPr>
            <w:r w:rsidRPr="00D652D5">
              <w:rPr>
                <w:sz w:val="18"/>
                <w:szCs w:val="18"/>
              </w:rPr>
              <w:t>0.115</w:t>
            </w:r>
          </w:p>
        </w:tc>
        <w:tc>
          <w:tcPr>
            <w:tcW w:w="2070" w:type="dxa"/>
            <w:shd w:val="clear" w:color="auto" w:fill="auto"/>
            <w:noWrap/>
            <w:vAlign w:val="bottom"/>
          </w:tcPr>
          <w:p w14:paraId="21729302"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0.149</w:t>
            </w:r>
          </w:p>
        </w:tc>
      </w:tr>
      <w:tr w:rsidR="00E42813" w:rsidRPr="00D652D5" w14:paraId="42675801" w14:textId="77777777" w:rsidTr="003F5394">
        <w:trPr>
          <w:trHeight w:val="240"/>
        </w:trPr>
        <w:tc>
          <w:tcPr>
            <w:tcW w:w="2977" w:type="dxa"/>
            <w:shd w:val="clear" w:color="auto" w:fill="auto"/>
            <w:noWrap/>
            <w:vAlign w:val="bottom"/>
          </w:tcPr>
          <w:p w14:paraId="64807998"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Pakistan</w:t>
            </w:r>
          </w:p>
        </w:tc>
        <w:tc>
          <w:tcPr>
            <w:tcW w:w="2325" w:type="dxa"/>
            <w:shd w:val="clear" w:color="auto" w:fill="auto"/>
            <w:noWrap/>
            <w:vAlign w:val="bottom"/>
          </w:tcPr>
          <w:p w14:paraId="2FC5A4E5" w14:textId="77777777" w:rsidR="00E42813" w:rsidRPr="00D652D5" w:rsidRDefault="00E42813" w:rsidP="003F5394">
            <w:pPr>
              <w:suppressAutoHyphens w:val="0"/>
              <w:spacing w:line="240" w:lineRule="auto"/>
              <w:jc w:val="right"/>
              <w:rPr>
                <w:sz w:val="18"/>
                <w:szCs w:val="18"/>
              </w:rPr>
            </w:pPr>
            <w:r w:rsidRPr="00D652D5">
              <w:rPr>
                <w:sz w:val="18"/>
                <w:szCs w:val="18"/>
              </w:rPr>
              <w:t>0.115</w:t>
            </w:r>
          </w:p>
        </w:tc>
        <w:tc>
          <w:tcPr>
            <w:tcW w:w="2070" w:type="dxa"/>
            <w:shd w:val="clear" w:color="auto" w:fill="auto"/>
            <w:noWrap/>
            <w:vAlign w:val="bottom"/>
          </w:tcPr>
          <w:p w14:paraId="4C53B584"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0.149</w:t>
            </w:r>
          </w:p>
        </w:tc>
      </w:tr>
      <w:tr w:rsidR="00E42813" w:rsidRPr="00D652D5" w14:paraId="7BE27E4A" w14:textId="77777777" w:rsidTr="003F5394">
        <w:trPr>
          <w:trHeight w:val="240"/>
        </w:trPr>
        <w:tc>
          <w:tcPr>
            <w:tcW w:w="2977" w:type="dxa"/>
            <w:shd w:val="clear" w:color="auto" w:fill="auto"/>
            <w:noWrap/>
            <w:vAlign w:val="bottom"/>
          </w:tcPr>
          <w:p w14:paraId="11A7EA0B"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Palau</w:t>
            </w:r>
          </w:p>
        </w:tc>
        <w:tc>
          <w:tcPr>
            <w:tcW w:w="2325" w:type="dxa"/>
            <w:shd w:val="clear" w:color="auto" w:fill="auto"/>
            <w:noWrap/>
            <w:vAlign w:val="bottom"/>
          </w:tcPr>
          <w:p w14:paraId="71CA6D01" w14:textId="77777777" w:rsidR="00E42813" w:rsidRPr="00D652D5" w:rsidRDefault="00E42813" w:rsidP="003F5394">
            <w:pPr>
              <w:suppressAutoHyphens w:val="0"/>
              <w:spacing w:line="240" w:lineRule="auto"/>
              <w:jc w:val="right"/>
              <w:rPr>
                <w:sz w:val="18"/>
                <w:szCs w:val="18"/>
              </w:rPr>
            </w:pPr>
            <w:r w:rsidRPr="00D652D5">
              <w:rPr>
                <w:sz w:val="18"/>
                <w:szCs w:val="18"/>
              </w:rPr>
              <w:t>0.001</w:t>
            </w:r>
          </w:p>
        </w:tc>
        <w:tc>
          <w:tcPr>
            <w:tcW w:w="2070" w:type="dxa"/>
            <w:shd w:val="clear" w:color="auto" w:fill="auto"/>
            <w:noWrap/>
            <w:vAlign w:val="bottom"/>
          </w:tcPr>
          <w:p w14:paraId="7DC4A45D"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0.001</w:t>
            </w:r>
          </w:p>
        </w:tc>
      </w:tr>
      <w:tr w:rsidR="00E42813" w:rsidRPr="00D652D5" w14:paraId="174FA54D" w14:textId="77777777" w:rsidTr="003F5394">
        <w:trPr>
          <w:trHeight w:val="240"/>
        </w:trPr>
        <w:tc>
          <w:tcPr>
            <w:tcW w:w="2977" w:type="dxa"/>
            <w:shd w:val="clear" w:color="auto" w:fill="auto"/>
            <w:noWrap/>
            <w:vAlign w:val="bottom"/>
          </w:tcPr>
          <w:p w14:paraId="3B13DC7C"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Panama</w:t>
            </w:r>
          </w:p>
        </w:tc>
        <w:tc>
          <w:tcPr>
            <w:tcW w:w="2325" w:type="dxa"/>
            <w:shd w:val="clear" w:color="auto" w:fill="auto"/>
            <w:noWrap/>
            <w:vAlign w:val="bottom"/>
          </w:tcPr>
          <w:p w14:paraId="03FE67C7" w14:textId="77777777" w:rsidR="00E42813" w:rsidRPr="00D652D5" w:rsidRDefault="00E42813" w:rsidP="003F5394">
            <w:pPr>
              <w:suppressAutoHyphens w:val="0"/>
              <w:spacing w:line="240" w:lineRule="auto"/>
              <w:jc w:val="right"/>
              <w:rPr>
                <w:sz w:val="18"/>
                <w:szCs w:val="18"/>
              </w:rPr>
            </w:pPr>
            <w:r w:rsidRPr="00D652D5">
              <w:rPr>
                <w:sz w:val="18"/>
                <w:szCs w:val="18"/>
              </w:rPr>
              <w:t>0.045</w:t>
            </w:r>
          </w:p>
        </w:tc>
        <w:tc>
          <w:tcPr>
            <w:tcW w:w="2070" w:type="dxa"/>
            <w:shd w:val="clear" w:color="auto" w:fill="auto"/>
            <w:noWrap/>
            <w:vAlign w:val="bottom"/>
          </w:tcPr>
          <w:p w14:paraId="51DFF1E4"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0.058</w:t>
            </w:r>
          </w:p>
        </w:tc>
      </w:tr>
      <w:tr w:rsidR="00E42813" w:rsidRPr="00D652D5" w14:paraId="076272FC" w14:textId="77777777" w:rsidTr="003F5394">
        <w:trPr>
          <w:trHeight w:val="240"/>
        </w:trPr>
        <w:tc>
          <w:tcPr>
            <w:tcW w:w="2977" w:type="dxa"/>
            <w:shd w:val="clear" w:color="auto" w:fill="auto"/>
            <w:noWrap/>
            <w:vAlign w:val="bottom"/>
          </w:tcPr>
          <w:p w14:paraId="65853CE8"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Papua New Guinea</w:t>
            </w:r>
          </w:p>
        </w:tc>
        <w:tc>
          <w:tcPr>
            <w:tcW w:w="2325" w:type="dxa"/>
            <w:shd w:val="clear" w:color="auto" w:fill="auto"/>
            <w:noWrap/>
            <w:vAlign w:val="bottom"/>
          </w:tcPr>
          <w:p w14:paraId="437E8A7D" w14:textId="77777777" w:rsidR="00E42813" w:rsidRPr="00D652D5" w:rsidRDefault="00E42813" w:rsidP="003F5394">
            <w:pPr>
              <w:suppressAutoHyphens w:val="0"/>
              <w:spacing w:line="240" w:lineRule="auto"/>
              <w:jc w:val="right"/>
              <w:rPr>
                <w:sz w:val="18"/>
                <w:szCs w:val="18"/>
              </w:rPr>
            </w:pPr>
            <w:r w:rsidRPr="00D652D5">
              <w:rPr>
                <w:sz w:val="18"/>
                <w:szCs w:val="18"/>
              </w:rPr>
              <w:t>0.010</w:t>
            </w:r>
          </w:p>
        </w:tc>
        <w:tc>
          <w:tcPr>
            <w:tcW w:w="2070" w:type="dxa"/>
            <w:shd w:val="clear" w:color="auto" w:fill="auto"/>
            <w:noWrap/>
            <w:vAlign w:val="bottom"/>
          </w:tcPr>
          <w:p w14:paraId="6893C110"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0.013</w:t>
            </w:r>
          </w:p>
        </w:tc>
      </w:tr>
      <w:tr w:rsidR="00E42813" w:rsidRPr="00D652D5" w14:paraId="0283D801" w14:textId="77777777" w:rsidTr="003F5394">
        <w:trPr>
          <w:trHeight w:val="240"/>
        </w:trPr>
        <w:tc>
          <w:tcPr>
            <w:tcW w:w="2977" w:type="dxa"/>
            <w:shd w:val="clear" w:color="auto" w:fill="auto"/>
            <w:noWrap/>
            <w:vAlign w:val="bottom"/>
          </w:tcPr>
          <w:p w14:paraId="66E1DDCC"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Paraguay</w:t>
            </w:r>
          </w:p>
        </w:tc>
        <w:tc>
          <w:tcPr>
            <w:tcW w:w="2325" w:type="dxa"/>
            <w:shd w:val="clear" w:color="auto" w:fill="auto"/>
            <w:noWrap/>
            <w:vAlign w:val="bottom"/>
          </w:tcPr>
          <w:p w14:paraId="0206DA6B" w14:textId="77777777" w:rsidR="00E42813" w:rsidRPr="00D652D5" w:rsidRDefault="00E42813" w:rsidP="003F5394">
            <w:pPr>
              <w:suppressAutoHyphens w:val="0"/>
              <w:spacing w:line="240" w:lineRule="auto"/>
              <w:jc w:val="right"/>
              <w:rPr>
                <w:sz w:val="18"/>
                <w:szCs w:val="18"/>
              </w:rPr>
            </w:pPr>
            <w:r w:rsidRPr="00D652D5">
              <w:rPr>
                <w:sz w:val="18"/>
                <w:szCs w:val="18"/>
              </w:rPr>
              <w:t>0.016</w:t>
            </w:r>
          </w:p>
        </w:tc>
        <w:tc>
          <w:tcPr>
            <w:tcW w:w="2070" w:type="dxa"/>
            <w:shd w:val="clear" w:color="auto" w:fill="auto"/>
            <w:noWrap/>
            <w:vAlign w:val="bottom"/>
          </w:tcPr>
          <w:p w14:paraId="5BF5DF49"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0.021</w:t>
            </w:r>
          </w:p>
        </w:tc>
      </w:tr>
      <w:tr w:rsidR="00E42813" w:rsidRPr="00D652D5" w14:paraId="543D17C0" w14:textId="77777777" w:rsidTr="003F5394">
        <w:trPr>
          <w:trHeight w:val="240"/>
        </w:trPr>
        <w:tc>
          <w:tcPr>
            <w:tcW w:w="2977" w:type="dxa"/>
            <w:shd w:val="clear" w:color="auto" w:fill="auto"/>
            <w:noWrap/>
            <w:vAlign w:val="bottom"/>
          </w:tcPr>
          <w:p w14:paraId="170258BC"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Peru</w:t>
            </w:r>
          </w:p>
        </w:tc>
        <w:tc>
          <w:tcPr>
            <w:tcW w:w="2325" w:type="dxa"/>
            <w:shd w:val="clear" w:color="auto" w:fill="auto"/>
            <w:noWrap/>
            <w:vAlign w:val="bottom"/>
          </w:tcPr>
          <w:p w14:paraId="5012EAE2" w14:textId="77777777" w:rsidR="00E42813" w:rsidRPr="00D652D5" w:rsidRDefault="00E42813" w:rsidP="003F5394">
            <w:pPr>
              <w:suppressAutoHyphens w:val="0"/>
              <w:spacing w:line="240" w:lineRule="auto"/>
              <w:jc w:val="right"/>
              <w:rPr>
                <w:sz w:val="18"/>
                <w:szCs w:val="18"/>
              </w:rPr>
            </w:pPr>
            <w:r w:rsidRPr="00D652D5">
              <w:rPr>
                <w:sz w:val="18"/>
                <w:szCs w:val="18"/>
              </w:rPr>
              <w:t>0.152</w:t>
            </w:r>
          </w:p>
        </w:tc>
        <w:tc>
          <w:tcPr>
            <w:tcW w:w="2070" w:type="dxa"/>
            <w:shd w:val="clear" w:color="auto" w:fill="auto"/>
            <w:noWrap/>
            <w:vAlign w:val="bottom"/>
          </w:tcPr>
          <w:p w14:paraId="00C9AEA1"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0.197</w:t>
            </w:r>
          </w:p>
        </w:tc>
      </w:tr>
      <w:tr w:rsidR="00E42813" w:rsidRPr="00D652D5" w14:paraId="033BE785" w14:textId="77777777" w:rsidTr="003F5394">
        <w:trPr>
          <w:trHeight w:val="240"/>
        </w:trPr>
        <w:tc>
          <w:tcPr>
            <w:tcW w:w="2977" w:type="dxa"/>
            <w:shd w:val="clear" w:color="auto" w:fill="auto"/>
            <w:noWrap/>
            <w:vAlign w:val="bottom"/>
          </w:tcPr>
          <w:p w14:paraId="46C5029C"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Philippines</w:t>
            </w:r>
          </w:p>
        </w:tc>
        <w:tc>
          <w:tcPr>
            <w:tcW w:w="2325" w:type="dxa"/>
            <w:shd w:val="clear" w:color="auto" w:fill="auto"/>
            <w:noWrap/>
            <w:vAlign w:val="bottom"/>
          </w:tcPr>
          <w:p w14:paraId="0F01E228" w14:textId="77777777" w:rsidR="00E42813" w:rsidRPr="00D652D5" w:rsidRDefault="00E42813" w:rsidP="003F5394">
            <w:pPr>
              <w:suppressAutoHyphens w:val="0"/>
              <w:spacing w:line="240" w:lineRule="auto"/>
              <w:jc w:val="right"/>
              <w:rPr>
                <w:sz w:val="18"/>
                <w:szCs w:val="18"/>
              </w:rPr>
            </w:pPr>
            <w:r w:rsidRPr="00D652D5">
              <w:rPr>
                <w:sz w:val="18"/>
                <w:szCs w:val="18"/>
              </w:rPr>
              <w:t>0.205</w:t>
            </w:r>
          </w:p>
        </w:tc>
        <w:tc>
          <w:tcPr>
            <w:tcW w:w="2070" w:type="dxa"/>
            <w:shd w:val="clear" w:color="auto" w:fill="auto"/>
            <w:noWrap/>
            <w:vAlign w:val="bottom"/>
          </w:tcPr>
          <w:p w14:paraId="564DD6F2"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0.266</w:t>
            </w:r>
          </w:p>
        </w:tc>
      </w:tr>
      <w:tr w:rsidR="00E42813" w:rsidRPr="00D652D5" w14:paraId="5E53EB7E" w14:textId="77777777" w:rsidTr="003F5394">
        <w:trPr>
          <w:trHeight w:val="240"/>
        </w:trPr>
        <w:tc>
          <w:tcPr>
            <w:tcW w:w="2977" w:type="dxa"/>
            <w:shd w:val="clear" w:color="auto" w:fill="auto"/>
            <w:noWrap/>
            <w:vAlign w:val="bottom"/>
          </w:tcPr>
          <w:p w14:paraId="2C2D987C"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Poland</w:t>
            </w:r>
          </w:p>
        </w:tc>
        <w:tc>
          <w:tcPr>
            <w:tcW w:w="2325" w:type="dxa"/>
            <w:shd w:val="clear" w:color="auto" w:fill="auto"/>
            <w:noWrap/>
            <w:vAlign w:val="bottom"/>
          </w:tcPr>
          <w:p w14:paraId="6C3F853E" w14:textId="77777777" w:rsidR="00E42813" w:rsidRPr="00D652D5" w:rsidRDefault="00E42813" w:rsidP="003F5394">
            <w:pPr>
              <w:suppressAutoHyphens w:val="0"/>
              <w:spacing w:line="240" w:lineRule="auto"/>
              <w:jc w:val="right"/>
              <w:rPr>
                <w:sz w:val="18"/>
                <w:szCs w:val="18"/>
              </w:rPr>
            </w:pPr>
            <w:r w:rsidRPr="00D652D5">
              <w:rPr>
                <w:sz w:val="18"/>
                <w:szCs w:val="18"/>
              </w:rPr>
              <w:t>0.802</w:t>
            </w:r>
          </w:p>
        </w:tc>
        <w:tc>
          <w:tcPr>
            <w:tcW w:w="2070" w:type="dxa"/>
            <w:shd w:val="clear" w:color="auto" w:fill="auto"/>
            <w:noWrap/>
            <w:vAlign w:val="bottom"/>
          </w:tcPr>
          <w:p w14:paraId="5BE79535" w14:textId="77777777" w:rsidR="00E42813" w:rsidRPr="00D652D5" w:rsidRDefault="00E42813" w:rsidP="003F5394">
            <w:pPr>
              <w:suppressAutoHyphens w:val="0"/>
              <w:spacing w:line="240" w:lineRule="auto"/>
              <w:jc w:val="right"/>
              <w:rPr>
                <w:sz w:val="18"/>
                <w:szCs w:val="18"/>
              </w:rPr>
            </w:pPr>
            <w:r w:rsidRPr="00D652D5">
              <w:rPr>
                <w:color w:val="000000"/>
                <w:sz w:val="18"/>
                <w:szCs w:val="18"/>
              </w:rPr>
              <w:t>1.039</w:t>
            </w:r>
          </w:p>
        </w:tc>
      </w:tr>
      <w:tr w:rsidR="00E42813" w:rsidRPr="00D652D5" w14:paraId="00CEFB58" w14:textId="77777777" w:rsidTr="003F5394">
        <w:trPr>
          <w:trHeight w:val="240"/>
        </w:trPr>
        <w:tc>
          <w:tcPr>
            <w:tcW w:w="2977" w:type="dxa"/>
            <w:shd w:val="clear" w:color="auto" w:fill="auto"/>
            <w:noWrap/>
            <w:vAlign w:val="bottom"/>
          </w:tcPr>
          <w:p w14:paraId="547E276D"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Portugal</w:t>
            </w:r>
          </w:p>
        </w:tc>
        <w:tc>
          <w:tcPr>
            <w:tcW w:w="2325" w:type="dxa"/>
            <w:shd w:val="clear" w:color="auto" w:fill="auto"/>
            <w:noWrap/>
            <w:vAlign w:val="bottom"/>
          </w:tcPr>
          <w:p w14:paraId="06BB5499" w14:textId="77777777" w:rsidR="00E42813" w:rsidRPr="00D652D5" w:rsidRDefault="00E42813" w:rsidP="003F5394">
            <w:pPr>
              <w:suppressAutoHyphens w:val="0"/>
              <w:spacing w:line="240" w:lineRule="auto"/>
              <w:jc w:val="right"/>
              <w:rPr>
                <w:sz w:val="18"/>
                <w:szCs w:val="18"/>
              </w:rPr>
            </w:pPr>
            <w:r w:rsidRPr="00D652D5">
              <w:rPr>
                <w:sz w:val="18"/>
                <w:szCs w:val="18"/>
              </w:rPr>
              <w:t>0.350</w:t>
            </w:r>
          </w:p>
        </w:tc>
        <w:tc>
          <w:tcPr>
            <w:tcW w:w="2070" w:type="dxa"/>
            <w:shd w:val="clear" w:color="auto" w:fill="auto"/>
            <w:noWrap/>
            <w:vAlign w:val="bottom"/>
          </w:tcPr>
          <w:p w14:paraId="5BA91672"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0.453</w:t>
            </w:r>
          </w:p>
        </w:tc>
      </w:tr>
      <w:tr w:rsidR="00E42813" w:rsidRPr="00D652D5" w14:paraId="4B308D49" w14:textId="77777777" w:rsidTr="003F5394">
        <w:trPr>
          <w:trHeight w:val="240"/>
        </w:trPr>
        <w:tc>
          <w:tcPr>
            <w:tcW w:w="2977" w:type="dxa"/>
            <w:shd w:val="clear" w:color="auto" w:fill="auto"/>
            <w:noWrap/>
            <w:vAlign w:val="bottom"/>
          </w:tcPr>
          <w:p w14:paraId="1F8D0FF9"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Qatar</w:t>
            </w:r>
          </w:p>
        </w:tc>
        <w:tc>
          <w:tcPr>
            <w:tcW w:w="2325" w:type="dxa"/>
            <w:shd w:val="clear" w:color="auto" w:fill="auto"/>
            <w:noWrap/>
            <w:vAlign w:val="bottom"/>
          </w:tcPr>
          <w:p w14:paraId="01AA955C" w14:textId="77777777" w:rsidR="00E42813" w:rsidRPr="00D652D5" w:rsidRDefault="00E42813" w:rsidP="003F5394">
            <w:pPr>
              <w:suppressAutoHyphens w:val="0"/>
              <w:spacing w:line="240" w:lineRule="auto"/>
              <w:jc w:val="right"/>
              <w:rPr>
                <w:sz w:val="18"/>
                <w:szCs w:val="18"/>
              </w:rPr>
            </w:pPr>
            <w:r w:rsidRPr="00D652D5">
              <w:rPr>
                <w:sz w:val="18"/>
                <w:szCs w:val="18"/>
              </w:rPr>
              <w:t>0.282</w:t>
            </w:r>
          </w:p>
        </w:tc>
        <w:tc>
          <w:tcPr>
            <w:tcW w:w="2070" w:type="dxa"/>
            <w:shd w:val="clear" w:color="auto" w:fill="auto"/>
            <w:noWrap/>
            <w:vAlign w:val="bottom"/>
          </w:tcPr>
          <w:p w14:paraId="0830977F"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0.365</w:t>
            </w:r>
          </w:p>
        </w:tc>
      </w:tr>
      <w:tr w:rsidR="00E42813" w:rsidRPr="00D652D5" w14:paraId="626323E4" w14:textId="77777777" w:rsidTr="003F5394">
        <w:trPr>
          <w:trHeight w:val="240"/>
        </w:trPr>
        <w:tc>
          <w:tcPr>
            <w:tcW w:w="2977" w:type="dxa"/>
            <w:shd w:val="clear" w:color="auto" w:fill="auto"/>
            <w:noWrap/>
            <w:vAlign w:val="bottom"/>
          </w:tcPr>
          <w:p w14:paraId="20A90DCE"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Republic of Korea</w:t>
            </w:r>
          </w:p>
        </w:tc>
        <w:tc>
          <w:tcPr>
            <w:tcW w:w="2325" w:type="dxa"/>
            <w:shd w:val="clear" w:color="auto" w:fill="auto"/>
            <w:noWrap/>
            <w:vAlign w:val="bottom"/>
          </w:tcPr>
          <w:p w14:paraId="10835415" w14:textId="77777777" w:rsidR="00E42813" w:rsidRPr="00D652D5" w:rsidRDefault="00E42813" w:rsidP="003F5394">
            <w:pPr>
              <w:suppressAutoHyphens w:val="0"/>
              <w:spacing w:line="240" w:lineRule="auto"/>
              <w:jc w:val="right"/>
              <w:rPr>
                <w:sz w:val="18"/>
                <w:szCs w:val="18"/>
              </w:rPr>
            </w:pPr>
            <w:r w:rsidRPr="00D652D5">
              <w:rPr>
                <w:sz w:val="18"/>
                <w:szCs w:val="18"/>
              </w:rPr>
              <w:t>2.267</w:t>
            </w:r>
          </w:p>
        </w:tc>
        <w:tc>
          <w:tcPr>
            <w:tcW w:w="2070" w:type="dxa"/>
            <w:shd w:val="clear" w:color="auto" w:fill="auto"/>
            <w:noWrap/>
            <w:vAlign w:val="bottom"/>
          </w:tcPr>
          <w:p w14:paraId="193D5E9B" w14:textId="77777777" w:rsidR="00E42813" w:rsidRPr="00D652D5" w:rsidRDefault="00E42813" w:rsidP="003F5394">
            <w:pPr>
              <w:suppressAutoHyphens w:val="0"/>
              <w:spacing w:line="240" w:lineRule="auto"/>
              <w:jc w:val="right"/>
              <w:rPr>
                <w:sz w:val="18"/>
                <w:szCs w:val="18"/>
              </w:rPr>
            </w:pPr>
            <w:r w:rsidRPr="00D652D5">
              <w:rPr>
                <w:color w:val="000000"/>
                <w:sz w:val="18"/>
                <w:szCs w:val="18"/>
              </w:rPr>
              <w:t>2.937</w:t>
            </w:r>
          </w:p>
        </w:tc>
      </w:tr>
      <w:tr w:rsidR="00E42813" w:rsidRPr="00D652D5" w14:paraId="16E23522" w14:textId="77777777" w:rsidTr="003F5394">
        <w:trPr>
          <w:trHeight w:val="240"/>
        </w:trPr>
        <w:tc>
          <w:tcPr>
            <w:tcW w:w="2977" w:type="dxa"/>
            <w:shd w:val="clear" w:color="auto" w:fill="auto"/>
            <w:noWrap/>
            <w:vAlign w:val="bottom"/>
          </w:tcPr>
          <w:p w14:paraId="1064DBE4"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Republic of Moldova</w:t>
            </w:r>
          </w:p>
        </w:tc>
        <w:tc>
          <w:tcPr>
            <w:tcW w:w="2325" w:type="dxa"/>
            <w:shd w:val="clear" w:color="auto" w:fill="auto"/>
            <w:noWrap/>
            <w:vAlign w:val="bottom"/>
          </w:tcPr>
          <w:p w14:paraId="08546930" w14:textId="77777777" w:rsidR="00E42813" w:rsidRPr="00D652D5" w:rsidRDefault="00E42813" w:rsidP="003F5394">
            <w:pPr>
              <w:suppressAutoHyphens w:val="0"/>
              <w:spacing w:line="240" w:lineRule="auto"/>
              <w:jc w:val="right"/>
              <w:rPr>
                <w:sz w:val="18"/>
                <w:szCs w:val="18"/>
              </w:rPr>
            </w:pPr>
            <w:r w:rsidRPr="00D652D5">
              <w:rPr>
                <w:sz w:val="18"/>
                <w:szCs w:val="18"/>
              </w:rPr>
              <w:t>0.003</w:t>
            </w:r>
          </w:p>
        </w:tc>
        <w:tc>
          <w:tcPr>
            <w:tcW w:w="2070" w:type="dxa"/>
            <w:shd w:val="clear" w:color="auto" w:fill="auto"/>
            <w:noWrap/>
            <w:vAlign w:val="bottom"/>
          </w:tcPr>
          <w:p w14:paraId="2954021F"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0.004</w:t>
            </w:r>
          </w:p>
        </w:tc>
      </w:tr>
      <w:tr w:rsidR="00E42813" w:rsidRPr="00D652D5" w14:paraId="14F1CC5F" w14:textId="77777777" w:rsidTr="003F5394">
        <w:trPr>
          <w:trHeight w:val="240"/>
        </w:trPr>
        <w:tc>
          <w:tcPr>
            <w:tcW w:w="2977" w:type="dxa"/>
            <w:shd w:val="clear" w:color="auto" w:fill="auto"/>
            <w:noWrap/>
            <w:vAlign w:val="bottom"/>
          </w:tcPr>
          <w:p w14:paraId="7F1D12F8"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Romania</w:t>
            </w:r>
          </w:p>
        </w:tc>
        <w:tc>
          <w:tcPr>
            <w:tcW w:w="2325" w:type="dxa"/>
            <w:shd w:val="clear" w:color="auto" w:fill="auto"/>
            <w:noWrap/>
            <w:vAlign w:val="bottom"/>
          </w:tcPr>
          <w:p w14:paraId="196DA816" w14:textId="77777777" w:rsidR="00E42813" w:rsidRPr="00D652D5" w:rsidRDefault="00E42813" w:rsidP="003F5394">
            <w:pPr>
              <w:suppressAutoHyphens w:val="0"/>
              <w:spacing w:line="240" w:lineRule="auto"/>
              <w:jc w:val="right"/>
              <w:rPr>
                <w:sz w:val="18"/>
                <w:szCs w:val="18"/>
              </w:rPr>
            </w:pPr>
            <w:r w:rsidRPr="00D652D5">
              <w:rPr>
                <w:sz w:val="18"/>
                <w:szCs w:val="18"/>
              </w:rPr>
              <w:t>0.198</w:t>
            </w:r>
          </w:p>
        </w:tc>
        <w:tc>
          <w:tcPr>
            <w:tcW w:w="2070" w:type="dxa"/>
            <w:shd w:val="clear" w:color="auto" w:fill="auto"/>
            <w:noWrap/>
            <w:vAlign w:val="bottom"/>
          </w:tcPr>
          <w:p w14:paraId="1ED60E5D"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0.257</w:t>
            </w:r>
          </w:p>
        </w:tc>
      </w:tr>
      <w:tr w:rsidR="00E42813" w:rsidRPr="00D652D5" w14:paraId="274D0A7E" w14:textId="77777777" w:rsidTr="003F5394">
        <w:trPr>
          <w:trHeight w:val="240"/>
        </w:trPr>
        <w:tc>
          <w:tcPr>
            <w:tcW w:w="2977" w:type="dxa"/>
            <w:shd w:val="clear" w:color="auto" w:fill="auto"/>
            <w:noWrap/>
            <w:vAlign w:val="bottom"/>
          </w:tcPr>
          <w:p w14:paraId="1B3A1009"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Russian Federation</w:t>
            </w:r>
          </w:p>
        </w:tc>
        <w:tc>
          <w:tcPr>
            <w:tcW w:w="2325" w:type="dxa"/>
            <w:shd w:val="clear" w:color="auto" w:fill="auto"/>
            <w:noWrap/>
            <w:vAlign w:val="bottom"/>
          </w:tcPr>
          <w:p w14:paraId="1D85F39A" w14:textId="77777777" w:rsidR="00E42813" w:rsidRPr="00D652D5" w:rsidRDefault="00E42813" w:rsidP="003F5394">
            <w:pPr>
              <w:suppressAutoHyphens w:val="0"/>
              <w:spacing w:line="240" w:lineRule="auto"/>
              <w:jc w:val="right"/>
              <w:rPr>
                <w:sz w:val="18"/>
                <w:szCs w:val="18"/>
              </w:rPr>
            </w:pPr>
            <w:r w:rsidRPr="00D652D5">
              <w:rPr>
                <w:sz w:val="18"/>
                <w:szCs w:val="18"/>
              </w:rPr>
              <w:t>2.405</w:t>
            </w:r>
          </w:p>
        </w:tc>
        <w:tc>
          <w:tcPr>
            <w:tcW w:w="2070" w:type="dxa"/>
            <w:shd w:val="clear" w:color="auto" w:fill="auto"/>
            <w:noWrap/>
            <w:vAlign w:val="bottom"/>
          </w:tcPr>
          <w:p w14:paraId="36DF159D" w14:textId="77777777" w:rsidR="00E42813" w:rsidRPr="00D652D5" w:rsidRDefault="00E42813" w:rsidP="003F5394">
            <w:pPr>
              <w:suppressAutoHyphens w:val="0"/>
              <w:spacing w:line="240" w:lineRule="auto"/>
              <w:jc w:val="right"/>
              <w:rPr>
                <w:sz w:val="18"/>
                <w:szCs w:val="18"/>
              </w:rPr>
            </w:pPr>
            <w:r w:rsidRPr="00D652D5">
              <w:rPr>
                <w:color w:val="000000"/>
                <w:sz w:val="18"/>
                <w:szCs w:val="18"/>
              </w:rPr>
              <w:t>3.116</w:t>
            </w:r>
          </w:p>
        </w:tc>
      </w:tr>
      <w:tr w:rsidR="00E42813" w:rsidRPr="00D652D5" w14:paraId="5834B602" w14:textId="77777777" w:rsidTr="003F5394">
        <w:trPr>
          <w:trHeight w:val="240"/>
        </w:trPr>
        <w:tc>
          <w:tcPr>
            <w:tcW w:w="2977" w:type="dxa"/>
            <w:shd w:val="clear" w:color="auto" w:fill="auto"/>
            <w:noWrap/>
            <w:vAlign w:val="bottom"/>
          </w:tcPr>
          <w:p w14:paraId="5198512C"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Rwanda</w:t>
            </w:r>
          </w:p>
        </w:tc>
        <w:tc>
          <w:tcPr>
            <w:tcW w:w="2325" w:type="dxa"/>
            <w:shd w:val="clear" w:color="auto" w:fill="auto"/>
            <w:noWrap/>
            <w:vAlign w:val="bottom"/>
          </w:tcPr>
          <w:p w14:paraId="5B6EF72C" w14:textId="77777777" w:rsidR="00E42813" w:rsidRPr="00D652D5" w:rsidRDefault="00E42813" w:rsidP="003F5394">
            <w:pPr>
              <w:suppressAutoHyphens w:val="0"/>
              <w:spacing w:line="240" w:lineRule="auto"/>
              <w:jc w:val="right"/>
              <w:rPr>
                <w:sz w:val="18"/>
                <w:szCs w:val="18"/>
              </w:rPr>
            </w:pPr>
            <w:r w:rsidRPr="00D652D5">
              <w:rPr>
                <w:sz w:val="18"/>
                <w:szCs w:val="18"/>
              </w:rPr>
              <w:t>0.003</w:t>
            </w:r>
          </w:p>
        </w:tc>
        <w:tc>
          <w:tcPr>
            <w:tcW w:w="2070" w:type="dxa"/>
            <w:shd w:val="clear" w:color="auto" w:fill="auto"/>
            <w:noWrap/>
            <w:vAlign w:val="bottom"/>
          </w:tcPr>
          <w:p w14:paraId="4B0D4C4B"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0.004</w:t>
            </w:r>
          </w:p>
        </w:tc>
      </w:tr>
      <w:tr w:rsidR="00E42813" w:rsidRPr="00D652D5" w14:paraId="57A92D0C" w14:textId="77777777" w:rsidTr="003F5394">
        <w:trPr>
          <w:trHeight w:val="240"/>
        </w:trPr>
        <w:tc>
          <w:tcPr>
            <w:tcW w:w="2977" w:type="dxa"/>
            <w:shd w:val="clear" w:color="auto" w:fill="auto"/>
            <w:noWrap/>
            <w:vAlign w:val="bottom"/>
          </w:tcPr>
          <w:p w14:paraId="79373F9E"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Saint Kitts and Nevis</w:t>
            </w:r>
          </w:p>
        </w:tc>
        <w:tc>
          <w:tcPr>
            <w:tcW w:w="2325" w:type="dxa"/>
            <w:shd w:val="clear" w:color="auto" w:fill="auto"/>
            <w:noWrap/>
            <w:vAlign w:val="bottom"/>
          </w:tcPr>
          <w:p w14:paraId="579088E2" w14:textId="77777777" w:rsidR="00E42813" w:rsidRPr="00D652D5" w:rsidRDefault="00E42813" w:rsidP="003F5394">
            <w:pPr>
              <w:suppressAutoHyphens w:val="0"/>
              <w:spacing w:line="240" w:lineRule="auto"/>
              <w:jc w:val="right"/>
              <w:rPr>
                <w:sz w:val="18"/>
                <w:szCs w:val="18"/>
              </w:rPr>
            </w:pPr>
            <w:r w:rsidRPr="00D652D5">
              <w:rPr>
                <w:sz w:val="18"/>
                <w:szCs w:val="18"/>
              </w:rPr>
              <w:t>0.001</w:t>
            </w:r>
          </w:p>
        </w:tc>
        <w:tc>
          <w:tcPr>
            <w:tcW w:w="2070" w:type="dxa"/>
            <w:shd w:val="clear" w:color="auto" w:fill="auto"/>
            <w:noWrap/>
            <w:vAlign w:val="bottom"/>
          </w:tcPr>
          <w:p w14:paraId="5EE022F0"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0.001</w:t>
            </w:r>
          </w:p>
        </w:tc>
      </w:tr>
      <w:tr w:rsidR="00E42813" w:rsidRPr="00D652D5" w14:paraId="0116F774" w14:textId="77777777" w:rsidTr="003F5394">
        <w:trPr>
          <w:trHeight w:val="240"/>
        </w:trPr>
        <w:tc>
          <w:tcPr>
            <w:tcW w:w="2977" w:type="dxa"/>
            <w:shd w:val="clear" w:color="auto" w:fill="auto"/>
            <w:noWrap/>
            <w:vAlign w:val="bottom"/>
          </w:tcPr>
          <w:p w14:paraId="103219BA"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Saint Lucia</w:t>
            </w:r>
          </w:p>
        </w:tc>
        <w:tc>
          <w:tcPr>
            <w:tcW w:w="2325" w:type="dxa"/>
            <w:shd w:val="clear" w:color="auto" w:fill="auto"/>
            <w:noWrap/>
            <w:vAlign w:val="bottom"/>
          </w:tcPr>
          <w:p w14:paraId="6D11AB6A" w14:textId="77777777" w:rsidR="00E42813" w:rsidRPr="00D652D5" w:rsidRDefault="00E42813" w:rsidP="003F5394">
            <w:pPr>
              <w:suppressAutoHyphens w:val="0"/>
              <w:spacing w:line="240" w:lineRule="auto"/>
              <w:jc w:val="right"/>
              <w:rPr>
                <w:sz w:val="18"/>
                <w:szCs w:val="18"/>
              </w:rPr>
            </w:pPr>
            <w:r w:rsidRPr="00D652D5">
              <w:rPr>
                <w:sz w:val="18"/>
                <w:szCs w:val="18"/>
              </w:rPr>
              <w:t>0.001</w:t>
            </w:r>
          </w:p>
        </w:tc>
        <w:tc>
          <w:tcPr>
            <w:tcW w:w="2070" w:type="dxa"/>
            <w:shd w:val="clear" w:color="auto" w:fill="auto"/>
            <w:noWrap/>
            <w:vAlign w:val="bottom"/>
          </w:tcPr>
          <w:p w14:paraId="59EA0036"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0.001</w:t>
            </w:r>
          </w:p>
        </w:tc>
      </w:tr>
      <w:tr w:rsidR="00E42813" w:rsidRPr="00D652D5" w14:paraId="34509BF4" w14:textId="77777777" w:rsidTr="003F5394">
        <w:trPr>
          <w:trHeight w:val="240"/>
        </w:trPr>
        <w:tc>
          <w:tcPr>
            <w:tcW w:w="2977" w:type="dxa"/>
            <w:shd w:val="clear" w:color="auto" w:fill="auto"/>
            <w:noWrap/>
            <w:vAlign w:val="bottom"/>
          </w:tcPr>
          <w:p w14:paraId="691FDCD4"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Saint Vincent and the Grenadines</w:t>
            </w:r>
          </w:p>
        </w:tc>
        <w:tc>
          <w:tcPr>
            <w:tcW w:w="2325" w:type="dxa"/>
            <w:shd w:val="clear" w:color="auto" w:fill="auto"/>
            <w:noWrap/>
            <w:vAlign w:val="bottom"/>
          </w:tcPr>
          <w:p w14:paraId="066799FF" w14:textId="77777777" w:rsidR="00E42813" w:rsidRPr="00D652D5" w:rsidRDefault="00E42813" w:rsidP="003F5394">
            <w:pPr>
              <w:suppressAutoHyphens w:val="0"/>
              <w:spacing w:line="240" w:lineRule="auto"/>
              <w:jc w:val="right"/>
              <w:rPr>
                <w:sz w:val="18"/>
                <w:szCs w:val="18"/>
              </w:rPr>
            </w:pPr>
            <w:r w:rsidRPr="00D652D5">
              <w:rPr>
                <w:sz w:val="18"/>
                <w:szCs w:val="18"/>
              </w:rPr>
              <w:t>0.001</w:t>
            </w:r>
          </w:p>
        </w:tc>
        <w:tc>
          <w:tcPr>
            <w:tcW w:w="2070" w:type="dxa"/>
            <w:shd w:val="clear" w:color="auto" w:fill="auto"/>
            <w:noWrap/>
            <w:vAlign w:val="bottom"/>
          </w:tcPr>
          <w:p w14:paraId="4F8B7692"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0.001</w:t>
            </w:r>
          </w:p>
        </w:tc>
      </w:tr>
      <w:tr w:rsidR="00E42813" w:rsidRPr="00D652D5" w14:paraId="78062384" w14:textId="77777777" w:rsidTr="003F5394">
        <w:trPr>
          <w:trHeight w:val="240"/>
        </w:trPr>
        <w:tc>
          <w:tcPr>
            <w:tcW w:w="2977" w:type="dxa"/>
            <w:shd w:val="clear" w:color="auto" w:fill="auto"/>
            <w:noWrap/>
            <w:vAlign w:val="bottom"/>
          </w:tcPr>
          <w:p w14:paraId="137B9C1C"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Samoa</w:t>
            </w:r>
          </w:p>
        </w:tc>
        <w:tc>
          <w:tcPr>
            <w:tcW w:w="2325" w:type="dxa"/>
            <w:shd w:val="clear" w:color="auto" w:fill="auto"/>
            <w:noWrap/>
            <w:vAlign w:val="bottom"/>
          </w:tcPr>
          <w:p w14:paraId="0820A80E" w14:textId="77777777" w:rsidR="00E42813" w:rsidRPr="00D652D5" w:rsidRDefault="00E42813" w:rsidP="003F5394">
            <w:pPr>
              <w:suppressAutoHyphens w:val="0"/>
              <w:spacing w:line="240" w:lineRule="auto"/>
              <w:jc w:val="right"/>
              <w:rPr>
                <w:sz w:val="18"/>
                <w:szCs w:val="18"/>
              </w:rPr>
            </w:pPr>
            <w:r w:rsidRPr="00D652D5">
              <w:rPr>
                <w:sz w:val="18"/>
                <w:szCs w:val="18"/>
              </w:rPr>
              <w:t>0.001</w:t>
            </w:r>
          </w:p>
        </w:tc>
        <w:tc>
          <w:tcPr>
            <w:tcW w:w="2070" w:type="dxa"/>
            <w:shd w:val="clear" w:color="auto" w:fill="auto"/>
            <w:noWrap/>
            <w:vAlign w:val="bottom"/>
          </w:tcPr>
          <w:p w14:paraId="67DBD84E"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0.001</w:t>
            </w:r>
          </w:p>
        </w:tc>
      </w:tr>
      <w:tr w:rsidR="00E42813" w:rsidRPr="00D652D5" w14:paraId="1018F988" w14:textId="77777777" w:rsidTr="003F5394">
        <w:trPr>
          <w:trHeight w:val="240"/>
        </w:trPr>
        <w:tc>
          <w:tcPr>
            <w:tcW w:w="2977" w:type="dxa"/>
            <w:shd w:val="clear" w:color="auto" w:fill="auto"/>
            <w:noWrap/>
            <w:vAlign w:val="bottom"/>
          </w:tcPr>
          <w:p w14:paraId="1E8D7079"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San Marino</w:t>
            </w:r>
          </w:p>
        </w:tc>
        <w:tc>
          <w:tcPr>
            <w:tcW w:w="2325" w:type="dxa"/>
            <w:shd w:val="clear" w:color="auto" w:fill="auto"/>
            <w:noWrap/>
            <w:vAlign w:val="bottom"/>
          </w:tcPr>
          <w:p w14:paraId="33208CA1" w14:textId="77777777" w:rsidR="00E42813" w:rsidRPr="00D652D5" w:rsidRDefault="00E42813" w:rsidP="003F5394">
            <w:pPr>
              <w:suppressAutoHyphens w:val="0"/>
              <w:spacing w:line="240" w:lineRule="auto"/>
              <w:jc w:val="right"/>
              <w:rPr>
                <w:sz w:val="18"/>
                <w:szCs w:val="18"/>
              </w:rPr>
            </w:pPr>
            <w:r w:rsidRPr="00D652D5">
              <w:rPr>
                <w:sz w:val="18"/>
                <w:szCs w:val="18"/>
              </w:rPr>
              <w:t>0.002</w:t>
            </w:r>
          </w:p>
        </w:tc>
        <w:tc>
          <w:tcPr>
            <w:tcW w:w="2070" w:type="dxa"/>
            <w:shd w:val="clear" w:color="auto" w:fill="auto"/>
            <w:noWrap/>
            <w:vAlign w:val="bottom"/>
          </w:tcPr>
          <w:p w14:paraId="02BFB896"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0.003</w:t>
            </w:r>
          </w:p>
        </w:tc>
      </w:tr>
      <w:tr w:rsidR="00E42813" w:rsidRPr="00D652D5" w14:paraId="434E4B59" w14:textId="77777777" w:rsidTr="003F5394">
        <w:trPr>
          <w:trHeight w:val="240"/>
        </w:trPr>
        <w:tc>
          <w:tcPr>
            <w:tcW w:w="2977" w:type="dxa"/>
            <w:shd w:val="clear" w:color="auto" w:fill="auto"/>
            <w:noWrap/>
            <w:vAlign w:val="bottom"/>
          </w:tcPr>
          <w:p w14:paraId="2929A23D"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Sao Tome and Principe</w:t>
            </w:r>
          </w:p>
        </w:tc>
        <w:tc>
          <w:tcPr>
            <w:tcW w:w="2325" w:type="dxa"/>
            <w:shd w:val="clear" w:color="auto" w:fill="auto"/>
            <w:noWrap/>
            <w:vAlign w:val="bottom"/>
          </w:tcPr>
          <w:p w14:paraId="3D41C1BF" w14:textId="77777777" w:rsidR="00E42813" w:rsidRPr="00D652D5" w:rsidRDefault="00E42813" w:rsidP="003F5394">
            <w:pPr>
              <w:suppressAutoHyphens w:val="0"/>
              <w:spacing w:line="240" w:lineRule="auto"/>
              <w:jc w:val="right"/>
              <w:rPr>
                <w:sz w:val="18"/>
                <w:szCs w:val="18"/>
              </w:rPr>
            </w:pPr>
            <w:r w:rsidRPr="00D652D5">
              <w:rPr>
                <w:sz w:val="18"/>
                <w:szCs w:val="18"/>
              </w:rPr>
              <w:t>0.001</w:t>
            </w:r>
          </w:p>
        </w:tc>
        <w:tc>
          <w:tcPr>
            <w:tcW w:w="2070" w:type="dxa"/>
            <w:shd w:val="clear" w:color="auto" w:fill="auto"/>
            <w:noWrap/>
            <w:vAlign w:val="bottom"/>
          </w:tcPr>
          <w:p w14:paraId="1EB29015"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0.001</w:t>
            </w:r>
          </w:p>
        </w:tc>
      </w:tr>
      <w:tr w:rsidR="00E42813" w:rsidRPr="00D652D5" w14:paraId="13AE3273" w14:textId="77777777" w:rsidTr="003F5394">
        <w:trPr>
          <w:trHeight w:val="240"/>
        </w:trPr>
        <w:tc>
          <w:tcPr>
            <w:tcW w:w="2977" w:type="dxa"/>
            <w:shd w:val="clear" w:color="auto" w:fill="auto"/>
            <w:noWrap/>
            <w:vAlign w:val="bottom"/>
          </w:tcPr>
          <w:p w14:paraId="2DAD6761"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Saudi Arabia</w:t>
            </w:r>
          </w:p>
        </w:tc>
        <w:tc>
          <w:tcPr>
            <w:tcW w:w="2325" w:type="dxa"/>
            <w:shd w:val="clear" w:color="auto" w:fill="auto"/>
            <w:noWrap/>
            <w:vAlign w:val="bottom"/>
          </w:tcPr>
          <w:p w14:paraId="7063CA1A" w14:textId="77777777" w:rsidR="00E42813" w:rsidRPr="00D652D5" w:rsidRDefault="00E42813" w:rsidP="003F5394">
            <w:pPr>
              <w:suppressAutoHyphens w:val="0"/>
              <w:spacing w:line="240" w:lineRule="auto"/>
              <w:jc w:val="right"/>
              <w:rPr>
                <w:sz w:val="18"/>
                <w:szCs w:val="18"/>
              </w:rPr>
            </w:pPr>
            <w:r w:rsidRPr="00D652D5">
              <w:rPr>
                <w:sz w:val="18"/>
                <w:szCs w:val="18"/>
              </w:rPr>
              <w:t>1.172</w:t>
            </w:r>
          </w:p>
        </w:tc>
        <w:tc>
          <w:tcPr>
            <w:tcW w:w="2070" w:type="dxa"/>
            <w:shd w:val="clear" w:color="auto" w:fill="auto"/>
            <w:noWrap/>
            <w:vAlign w:val="bottom"/>
          </w:tcPr>
          <w:p w14:paraId="3F4D4DCB" w14:textId="77777777" w:rsidR="00E42813" w:rsidRPr="00D652D5" w:rsidRDefault="00E42813" w:rsidP="003F5394">
            <w:pPr>
              <w:suppressAutoHyphens w:val="0"/>
              <w:spacing w:line="240" w:lineRule="auto"/>
              <w:jc w:val="right"/>
              <w:rPr>
                <w:sz w:val="18"/>
                <w:szCs w:val="18"/>
              </w:rPr>
            </w:pPr>
            <w:r w:rsidRPr="00D652D5">
              <w:rPr>
                <w:color w:val="000000"/>
                <w:sz w:val="18"/>
                <w:szCs w:val="18"/>
              </w:rPr>
              <w:t>1.519</w:t>
            </w:r>
          </w:p>
        </w:tc>
      </w:tr>
      <w:tr w:rsidR="00E42813" w:rsidRPr="00D652D5" w14:paraId="48BB7762" w14:textId="77777777" w:rsidTr="003F5394">
        <w:trPr>
          <w:trHeight w:val="240"/>
        </w:trPr>
        <w:tc>
          <w:tcPr>
            <w:tcW w:w="2977" w:type="dxa"/>
            <w:shd w:val="clear" w:color="auto" w:fill="auto"/>
            <w:noWrap/>
            <w:vAlign w:val="bottom"/>
          </w:tcPr>
          <w:p w14:paraId="1CD2271E"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Senegal</w:t>
            </w:r>
          </w:p>
        </w:tc>
        <w:tc>
          <w:tcPr>
            <w:tcW w:w="2325" w:type="dxa"/>
            <w:shd w:val="clear" w:color="auto" w:fill="auto"/>
            <w:noWrap/>
            <w:vAlign w:val="bottom"/>
          </w:tcPr>
          <w:p w14:paraId="45336C5C" w14:textId="77777777" w:rsidR="00E42813" w:rsidRPr="00D652D5" w:rsidRDefault="00E42813" w:rsidP="003F5394">
            <w:pPr>
              <w:suppressAutoHyphens w:val="0"/>
              <w:spacing w:line="240" w:lineRule="auto"/>
              <w:jc w:val="right"/>
              <w:rPr>
                <w:sz w:val="18"/>
                <w:szCs w:val="18"/>
              </w:rPr>
            </w:pPr>
            <w:r w:rsidRPr="00D652D5">
              <w:rPr>
                <w:sz w:val="18"/>
                <w:szCs w:val="18"/>
              </w:rPr>
              <w:t>0.007</w:t>
            </w:r>
          </w:p>
        </w:tc>
        <w:tc>
          <w:tcPr>
            <w:tcW w:w="2070" w:type="dxa"/>
            <w:shd w:val="clear" w:color="auto" w:fill="auto"/>
            <w:noWrap/>
            <w:vAlign w:val="bottom"/>
          </w:tcPr>
          <w:p w14:paraId="60D0E3AE"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0.009</w:t>
            </w:r>
          </w:p>
        </w:tc>
      </w:tr>
      <w:tr w:rsidR="00E42813" w:rsidRPr="00D652D5" w14:paraId="54CB4583" w14:textId="77777777" w:rsidTr="003F5394">
        <w:trPr>
          <w:trHeight w:val="240"/>
        </w:trPr>
        <w:tc>
          <w:tcPr>
            <w:tcW w:w="2977" w:type="dxa"/>
            <w:shd w:val="clear" w:color="auto" w:fill="auto"/>
            <w:noWrap/>
            <w:vAlign w:val="bottom"/>
          </w:tcPr>
          <w:p w14:paraId="5ADFB707"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Serbia</w:t>
            </w:r>
          </w:p>
        </w:tc>
        <w:tc>
          <w:tcPr>
            <w:tcW w:w="2325" w:type="dxa"/>
            <w:shd w:val="clear" w:color="auto" w:fill="auto"/>
            <w:noWrap/>
            <w:vAlign w:val="bottom"/>
          </w:tcPr>
          <w:p w14:paraId="537D6BDF" w14:textId="77777777" w:rsidR="00E42813" w:rsidRPr="00D652D5" w:rsidRDefault="00E42813" w:rsidP="003F5394">
            <w:pPr>
              <w:suppressAutoHyphens w:val="0"/>
              <w:spacing w:line="240" w:lineRule="auto"/>
              <w:jc w:val="right"/>
              <w:rPr>
                <w:sz w:val="18"/>
                <w:szCs w:val="18"/>
              </w:rPr>
            </w:pPr>
            <w:r w:rsidRPr="00D652D5">
              <w:rPr>
                <w:sz w:val="18"/>
                <w:szCs w:val="18"/>
              </w:rPr>
              <w:t>0.028</w:t>
            </w:r>
          </w:p>
        </w:tc>
        <w:tc>
          <w:tcPr>
            <w:tcW w:w="2070" w:type="dxa"/>
            <w:shd w:val="clear" w:color="auto" w:fill="auto"/>
            <w:noWrap/>
            <w:vAlign w:val="bottom"/>
          </w:tcPr>
          <w:p w14:paraId="0DA02C2C"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0.036</w:t>
            </w:r>
          </w:p>
        </w:tc>
      </w:tr>
      <w:tr w:rsidR="00E42813" w:rsidRPr="00D652D5" w14:paraId="31744071" w14:textId="77777777" w:rsidTr="003F5394">
        <w:trPr>
          <w:trHeight w:val="240"/>
        </w:trPr>
        <w:tc>
          <w:tcPr>
            <w:tcW w:w="2977" w:type="dxa"/>
            <w:shd w:val="clear" w:color="auto" w:fill="auto"/>
            <w:noWrap/>
            <w:vAlign w:val="bottom"/>
          </w:tcPr>
          <w:p w14:paraId="15368EE8"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Seychelles</w:t>
            </w:r>
          </w:p>
        </w:tc>
        <w:tc>
          <w:tcPr>
            <w:tcW w:w="2325" w:type="dxa"/>
            <w:shd w:val="clear" w:color="auto" w:fill="auto"/>
            <w:noWrap/>
            <w:vAlign w:val="bottom"/>
          </w:tcPr>
          <w:p w14:paraId="6915055D" w14:textId="77777777" w:rsidR="00E42813" w:rsidRPr="00D652D5" w:rsidRDefault="00E42813" w:rsidP="003F5394">
            <w:pPr>
              <w:suppressAutoHyphens w:val="0"/>
              <w:spacing w:line="240" w:lineRule="auto"/>
              <w:jc w:val="right"/>
              <w:rPr>
                <w:sz w:val="18"/>
                <w:szCs w:val="18"/>
              </w:rPr>
            </w:pPr>
            <w:r w:rsidRPr="00D652D5">
              <w:rPr>
                <w:sz w:val="18"/>
                <w:szCs w:val="18"/>
              </w:rPr>
              <w:t>0.002</w:t>
            </w:r>
          </w:p>
        </w:tc>
        <w:tc>
          <w:tcPr>
            <w:tcW w:w="2070" w:type="dxa"/>
            <w:shd w:val="clear" w:color="auto" w:fill="auto"/>
            <w:noWrap/>
            <w:vAlign w:val="bottom"/>
          </w:tcPr>
          <w:p w14:paraId="667BABA2"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0.003</w:t>
            </w:r>
          </w:p>
        </w:tc>
      </w:tr>
      <w:tr w:rsidR="00E42813" w:rsidRPr="00D652D5" w14:paraId="6EC4EEE4" w14:textId="77777777" w:rsidTr="003F5394">
        <w:trPr>
          <w:trHeight w:val="240"/>
        </w:trPr>
        <w:tc>
          <w:tcPr>
            <w:tcW w:w="2977" w:type="dxa"/>
            <w:shd w:val="clear" w:color="auto" w:fill="auto"/>
            <w:noWrap/>
            <w:vAlign w:val="bottom"/>
          </w:tcPr>
          <w:p w14:paraId="53D8F9AE"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Sierra Leone</w:t>
            </w:r>
          </w:p>
        </w:tc>
        <w:tc>
          <w:tcPr>
            <w:tcW w:w="2325" w:type="dxa"/>
            <w:shd w:val="clear" w:color="auto" w:fill="auto"/>
            <w:noWrap/>
            <w:vAlign w:val="bottom"/>
          </w:tcPr>
          <w:p w14:paraId="45EF5EC1" w14:textId="77777777" w:rsidR="00E42813" w:rsidRPr="00D652D5" w:rsidRDefault="00E42813" w:rsidP="003F5394">
            <w:pPr>
              <w:suppressAutoHyphens w:val="0"/>
              <w:spacing w:line="240" w:lineRule="auto"/>
              <w:jc w:val="right"/>
              <w:rPr>
                <w:sz w:val="18"/>
                <w:szCs w:val="18"/>
              </w:rPr>
            </w:pPr>
            <w:r w:rsidRPr="00D652D5">
              <w:rPr>
                <w:sz w:val="18"/>
                <w:szCs w:val="18"/>
              </w:rPr>
              <w:t>0.001</w:t>
            </w:r>
          </w:p>
        </w:tc>
        <w:tc>
          <w:tcPr>
            <w:tcW w:w="2070" w:type="dxa"/>
            <w:shd w:val="clear" w:color="auto" w:fill="auto"/>
            <w:noWrap/>
            <w:vAlign w:val="bottom"/>
          </w:tcPr>
          <w:p w14:paraId="0B12E417"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0.001</w:t>
            </w:r>
          </w:p>
        </w:tc>
      </w:tr>
      <w:tr w:rsidR="00E42813" w:rsidRPr="00D652D5" w14:paraId="250E24B9" w14:textId="77777777" w:rsidTr="003F5394">
        <w:trPr>
          <w:trHeight w:val="240"/>
        </w:trPr>
        <w:tc>
          <w:tcPr>
            <w:tcW w:w="2977" w:type="dxa"/>
            <w:shd w:val="clear" w:color="auto" w:fill="auto"/>
            <w:noWrap/>
            <w:vAlign w:val="bottom"/>
          </w:tcPr>
          <w:p w14:paraId="140D84EF"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Singapore</w:t>
            </w:r>
          </w:p>
        </w:tc>
        <w:tc>
          <w:tcPr>
            <w:tcW w:w="2325" w:type="dxa"/>
            <w:shd w:val="clear" w:color="auto" w:fill="auto"/>
            <w:noWrap/>
            <w:vAlign w:val="bottom"/>
          </w:tcPr>
          <w:p w14:paraId="65B19213" w14:textId="77777777" w:rsidR="00E42813" w:rsidRPr="00D652D5" w:rsidRDefault="00E42813" w:rsidP="003F5394">
            <w:pPr>
              <w:suppressAutoHyphens w:val="0"/>
              <w:spacing w:line="240" w:lineRule="auto"/>
              <w:jc w:val="right"/>
              <w:rPr>
                <w:sz w:val="18"/>
                <w:szCs w:val="18"/>
              </w:rPr>
            </w:pPr>
            <w:r w:rsidRPr="00D652D5">
              <w:rPr>
                <w:sz w:val="18"/>
                <w:szCs w:val="18"/>
              </w:rPr>
              <w:t>0.485</w:t>
            </w:r>
          </w:p>
        </w:tc>
        <w:tc>
          <w:tcPr>
            <w:tcW w:w="2070" w:type="dxa"/>
            <w:shd w:val="clear" w:color="auto" w:fill="auto"/>
            <w:noWrap/>
            <w:vAlign w:val="bottom"/>
          </w:tcPr>
          <w:p w14:paraId="683DC727"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0.628</w:t>
            </w:r>
          </w:p>
        </w:tc>
      </w:tr>
      <w:tr w:rsidR="00E42813" w:rsidRPr="00D652D5" w14:paraId="0BC98CE7" w14:textId="77777777" w:rsidTr="003F5394">
        <w:trPr>
          <w:trHeight w:val="240"/>
        </w:trPr>
        <w:tc>
          <w:tcPr>
            <w:tcW w:w="2977" w:type="dxa"/>
            <w:shd w:val="clear" w:color="auto" w:fill="auto"/>
            <w:noWrap/>
            <w:vAlign w:val="bottom"/>
          </w:tcPr>
          <w:p w14:paraId="2AA382DB"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Slovakia</w:t>
            </w:r>
          </w:p>
        </w:tc>
        <w:tc>
          <w:tcPr>
            <w:tcW w:w="2325" w:type="dxa"/>
            <w:shd w:val="clear" w:color="auto" w:fill="auto"/>
            <w:noWrap/>
            <w:vAlign w:val="bottom"/>
          </w:tcPr>
          <w:p w14:paraId="5DDFE77E" w14:textId="77777777" w:rsidR="00E42813" w:rsidRPr="00D652D5" w:rsidRDefault="00E42813" w:rsidP="003F5394">
            <w:pPr>
              <w:suppressAutoHyphens w:val="0"/>
              <w:spacing w:line="240" w:lineRule="auto"/>
              <w:jc w:val="right"/>
              <w:rPr>
                <w:sz w:val="18"/>
                <w:szCs w:val="18"/>
              </w:rPr>
            </w:pPr>
            <w:r w:rsidRPr="00D652D5">
              <w:rPr>
                <w:sz w:val="18"/>
                <w:szCs w:val="18"/>
              </w:rPr>
              <w:t>0.153</w:t>
            </w:r>
          </w:p>
        </w:tc>
        <w:tc>
          <w:tcPr>
            <w:tcW w:w="2070" w:type="dxa"/>
            <w:shd w:val="clear" w:color="auto" w:fill="auto"/>
            <w:noWrap/>
            <w:vAlign w:val="bottom"/>
          </w:tcPr>
          <w:p w14:paraId="71C0C81A"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0.198</w:t>
            </w:r>
          </w:p>
        </w:tc>
      </w:tr>
      <w:tr w:rsidR="00E42813" w:rsidRPr="00D652D5" w14:paraId="30A2A3BD" w14:textId="77777777" w:rsidTr="003F5394">
        <w:trPr>
          <w:trHeight w:val="240"/>
        </w:trPr>
        <w:tc>
          <w:tcPr>
            <w:tcW w:w="2977" w:type="dxa"/>
            <w:shd w:val="clear" w:color="auto" w:fill="auto"/>
            <w:noWrap/>
            <w:vAlign w:val="bottom"/>
          </w:tcPr>
          <w:p w14:paraId="4E2F2C58"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Slovenia</w:t>
            </w:r>
          </w:p>
        </w:tc>
        <w:tc>
          <w:tcPr>
            <w:tcW w:w="2325" w:type="dxa"/>
            <w:shd w:val="clear" w:color="auto" w:fill="auto"/>
            <w:noWrap/>
            <w:vAlign w:val="bottom"/>
          </w:tcPr>
          <w:p w14:paraId="02C50F2E" w14:textId="77777777" w:rsidR="00E42813" w:rsidRPr="00D652D5" w:rsidRDefault="00E42813" w:rsidP="003F5394">
            <w:pPr>
              <w:suppressAutoHyphens w:val="0"/>
              <w:spacing w:line="240" w:lineRule="auto"/>
              <w:jc w:val="right"/>
              <w:rPr>
                <w:sz w:val="18"/>
                <w:szCs w:val="18"/>
              </w:rPr>
            </w:pPr>
            <w:r w:rsidRPr="00D652D5">
              <w:rPr>
                <w:sz w:val="18"/>
                <w:szCs w:val="18"/>
              </w:rPr>
              <w:t>0.076</w:t>
            </w:r>
          </w:p>
        </w:tc>
        <w:tc>
          <w:tcPr>
            <w:tcW w:w="2070" w:type="dxa"/>
            <w:shd w:val="clear" w:color="auto" w:fill="auto"/>
            <w:noWrap/>
            <w:vAlign w:val="bottom"/>
          </w:tcPr>
          <w:p w14:paraId="5CE3F7B4"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0.098</w:t>
            </w:r>
          </w:p>
        </w:tc>
      </w:tr>
      <w:tr w:rsidR="00E42813" w:rsidRPr="00D652D5" w14:paraId="0BF9CB2C" w14:textId="77777777" w:rsidTr="003F5394">
        <w:trPr>
          <w:trHeight w:val="240"/>
        </w:trPr>
        <w:tc>
          <w:tcPr>
            <w:tcW w:w="2977" w:type="dxa"/>
            <w:shd w:val="clear" w:color="auto" w:fill="auto"/>
            <w:noWrap/>
            <w:vAlign w:val="bottom"/>
          </w:tcPr>
          <w:p w14:paraId="6A7050FD"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Solomon Islands</w:t>
            </w:r>
          </w:p>
        </w:tc>
        <w:tc>
          <w:tcPr>
            <w:tcW w:w="2325" w:type="dxa"/>
            <w:shd w:val="clear" w:color="auto" w:fill="auto"/>
            <w:noWrap/>
            <w:vAlign w:val="bottom"/>
          </w:tcPr>
          <w:p w14:paraId="71DFF71D" w14:textId="77777777" w:rsidR="00E42813" w:rsidRPr="00D652D5" w:rsidRDefault="00E42813" w:rsidP="003F5394">
            <w:pPr>
              <w:suppressAutoHyphens w:val="0"/>
              <w:spacing w:line="240" w:lineRule="auto"/>
              <w:jc w:val="right"/>
              <w:rPr>
                <w:sz w:val="18"/>
                <w:szCs w:val="18"/>
              </w:rPr>
            </w:pPr>
            <w:r w:rsidRPr="00D652D5">
              <w:rPr>
                <w:sz w:val="18"/>
                <w:szCs w:val="18"/>
              </w:rPr>
              <w:t>0.001</w:t>
            </w:r>
          </w:p>
        </w:tc>
        <w:tc>
          <w:tcPr>
            <w:tcW w:w="2070" w:type="dxa"/>
            <w:shd w:val="clear" w:color="auto" w:fill="auto"/>
            <w:noWrap/>
            <w:vAlign w:val="bottom"/>
          </w:tcPr>
          <w:p w14:paraId="38180161"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0.001</w:t>
            </w:r>
          </w:p>
        </w:tc>
      </w:tr>
      <w:tr w:rsidR="00E42813" w:rsidRPr="00D652D5" w14:paraId="24FEADA4" w14:textId="77777777" w:rsidTr="003F5394">
        <w:trPr>
          <w:trHeight w:val="240"/>
        </w:trPr>
        <w:tc>
          <w:tcPr>
            <w:tcW w:w="2977" w:type="dxa"/>
            <w:shd w:val="clear" w:color="auto" w:fill="auto"/>
            <w:noWrap/>
            <w:vAlign w:val="bottom"/>
          </w:tcPr>
          <w:p w14:paraId="08F3FDCD"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Somalia</w:t>
            </w:r>
          </w:p>
        </w:tc>
        <w:tc>
          <w:tcPr>
            <w:tcW w:w="2325" w:type="dxa"/>
            <w:shd w:val="clear" w:color="auto" w:fill="auto"/>
            <w:noWrap/>
            <w:vAlign w:val="bottom"/>
          </w:tcPr>
          <w:p w14:paraId="135C5866" w14:textId="77777777" w:rsidR="00E42813" w:rsidRPr="00D652D5" w:rsidRDefault="00E42813" w:rsidP="003F5394">
            <w:pPr>
              <w:suppressAutoHyphens w:val="0"/>
              <w:spacing w:line="240" w:lineRule="auto"/>
              <w:jc w:val="right"/>
              <w:rPr>
                <w:sz w:val="18"/>
                <w:szCs w:val="18"/>
              </w:rPr>
            </w:pPr>
            <w:r w:rsidRPr="00D652D5">
              <w:rPr>
                <w:sz w:val="18"/>
                <w:szCs w:val="18"/>
              </w:rPr>
              <w:t>0.001</w:t>
            </w:r>
          </w:p>
        </w:tc>
        <w:tc>
          <w:tcPr>
            <w:tcW w:w="2070" w:type="dxa"/>
            <w:shd w:val="clear" w:color="auto" w:fill="auto"/>
            <w:noWrap/>
            <w:vAlign w:val="bottom"/>
          </w:tcPr>
          <w:p w14:paraId="58B7FA00"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0.001</w:t>
            </w:r>
          </w:p>
        </w:tc>
      </w:tr>
      <w:tr w:rsidR="00E42813" w:rsidRPr="00D652D5" w14:paraId="78D64B14" w14:textId="77777777" w:rsidTr="003F5394">
        <w:trPr>
          <w:trHeight w:val="240"/>
        </w:trPr>
        <w:tc>
          <w:tcPr>
            <w:tcW w:w="2977" w:type="dxa"/>
            <w:shd w:val="clear" w:color="auto" w:fill="auto"/>
            <w:noWrap/>
            <w:vAlign w:val="bottom"/>
          </w:tcPr>
          <w:p w14:paraId="595825AC"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South Africa</w:t>
            </w:r>
          </w:p>
        </w:tc>
        <w:tc>
          <w:tcPr>
            <w:tcW w:w="2325" w:type="dxa"/>
            <w:shd w:val="clear" w:color="auto" w:fill="auto"/>
            <w:noWrap/>
            <w:vAlign w:val="bottom"/>
          </w:tcPr>
          <w:p w14:paraId="25AA210F" w14:textId="77777777" w:rsidR="00E42813" w:rsidRPr="00D652D5" w:rsidRDefault="00E42813" w:rsidP="003F5394">
            <w:pPr>
              <w:suppressAutoHyphens w:val="0"/>
              <w:spacing w:line="240" w:lineRule="auto"/>
              <w:jc w:val="right"/>
              <w:rPr>
                <w:sz w:val="18"/>
                <w:szCs w:val="18"/>
              </w:rPr>
            </w:pPr>
            <w:r w:rsidRPr="00D652D5">
              <w:rPr>
                <w:sz w:val="18"/>
                <w:szCs w:val="18"/>
              </w:rPr>
              <w:t>0.272</w:t>
            </w:r>
          </w:p>
        </w:tc>
        <w:tc>
          <w:tcPr>
            <w:tcW w:w="2070" w:type="dxa"/>
            <w:shd w:val="clear" w:color="auto" w:fill="auto"/>
            <w:noWrap/>
            <w:vAlign w:val="bottom"/>
          </w:tcPr>
          <w:p w14:paraId="0AC313AB"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0.352</w:t>
            </w:r>
          </w:p>
        </w:tc>
      </w:tr>
      <w:tr w:rsidR="00E42813" w:rsidRPr="00D652D5" w14:paraId="7F339D91" w14:textId="77777777" w:rsidTr="003F5394">
        <w:trPr>
          <w:trHeight w:val="240"/>
        </w:trPr>
        <w:tc>
          <w:tcPr>
            <w:tcW w:w="2977" w:type="dxa"/>
            <w:shd w:val="clear" w:color="auto" w:fill="auto"/>
            <w:noWrap/>
            <w:vAlign w:val="bottom"/>
          </w:tcPr>
          <w:p w14:paraId="500B34CD"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Spain</w:t>
            </w:r>
          </w:p>
        </w:tc>
        <w:tc>
          <w:tcPr>
            <w:tcW w:w="2325" w:type="dxa"/>
            <w:shd w:val="clear" w:color="auto" w:fill="auto"/>
            <w:noWrap/>
            <w:vAlign w:val="bottom"/>
          </w:tcPr>
          <w:p w14:paraId="58F58419" w14:textId="77777777" w:rsidR="00E42813" w:rsidRPr="00D652D5" w:rsidRDefault="00E42813" w:rsidP="003F5394">
            <w:pPr>
              <w:suppressAutoHyphens w:val="0"/>
              <w:spacing w:line="240" w:lineRule="auto"/>
              <w:jc w:val="right"/>
              <w:rPr>
                <w:sz w:val="18"/>
                <w:szCs w:val="18"/>
              </w:rPr>
            </w:pPr>
            <w:r w:rsidRPr="00D652D5">
              <w:rPr>
                <w:sz w:val="18"/>
                <w:szCs w:val="18"/>
              </w:rPr>
              <w:t>2.146</w:t>
            </w:r>
          </w:p>
        </w:tc>
        <w:tc>
          <w:tcPr>
            <w:tcW w:w="2070" w:type="dxa"/>
            <w:shd w:val="clear" w:color="auto" w:fill="auto"/>
            <w:noWrap/>
            <w:vAlign w:val="bottom"/>
          </w:tcPr>
          <w:p w14:paraId="5DD994F0" w14:textId="77777777" w:rsidR="00E42813" w:rsidRPr="00D652D5" w:rsidRDefault="00E42813" w:rsidP="003F5394">
            <w:pPr>
              <w:suppressAutoHyphens w:val="0"/>
              <w:spacing w:line="240" w:lineRule="auto"/>
              <w:jc w:val="right"/>
              <w:rPr>
                <w:sz w:val="18"/>
                <w:szCs w:val="18"/>
              </w:rPr>
            </w:pPr>
            <w:r w:rsidRPr="00D652D5">
              <w:rPr>
                <w:color w:val="000000"/>
                <w:sz w:val="18"/>
                <w:szCs w:val="18"/>
              </w:rPr>
              <w:t>2.781</w:t>
            </w:r>
          </w:p>
        </w:tc>
      </w:tr>
      <w:tr w:rsidR="00E42813" w:rsidRPr="00D652D5" w14:paraId="7A699258" w14:textId="77777777" w:rsidTr="003F5394">
        <w:trPr>
          <w:trHeight w:val="240"/>
        </w:trPr>
        <w:tc>
          <w:tcPr>
            <w:tcW w:w="2977" w:type="dxa"/>
            <w:tcBorders>
              <w:bottom w:val="nil"/>
            </w:tcBorders>
            <w:shd w:val="clear" w:color="auto" w:fill="auto"/>
            <w:noWrap/>
            <w:vAlign w:val="bottom"/>
          </w:tcPr>
          <w:p w14:paraId="7A30B078"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lastRenderedPageBreak/>
              <w:t>Sri Lanka</w:t>
            </w:r>
          </w:p>
        </w:tc>
        <w:tc>
          <w:tcPr>
            <w:tcW w:w="2325" w:type="dxa"/>
            <w:tcBorders>
              <w:bottom w:val="nil"/>
            </w:tcBorders>
            <w:shd w:val="clear" w:color="auto" w:fill="auto"/>
            <w:noWrap/>
            <w:vAlign w:val="bottom"/>
          </w:tcPr>
          <w:p w14:paraId="38EEE1E8" w14:textId="77777777" w:rsidR="00E42813" w:rsidRPr="00D652D5" w:rsidRDefault="00E42813" w:rsidP="003F5394">
            <w:pPr>
              <w:suppressAutoHyphens w:val="0"/>
              <w:spacing w:line="240" w:lineRule="auto"/>
              <w:jc w:val="right"/>
              <w:rPr>
                <w:sz w:val="18"/>
                <w:szCs w:val="18"/>
              </w:rPr>
            </w:pPr>
            <w:r w:rsidRPr="00D652D5">
              <w:rPr>
                <w:sz w:val="18"/>
                <w:szCs w:val="18"/>
              </w:rPr>
              <w:t>0.044</w:t>
            </w:r>
          </w:p>
        </w:tc>
        <w:tc>
          <w:tcPr>
            <w:tcW w:w="2070" w:type="dxa"/>
            <w:tcBorders>
              <w:bottom w:val="nil"/>
            </w:tcBorders>
            <w:shd w:val="clear" w:color="auto" w:fill="auto"/>
            <w:noWrap/>
            <w:vAlign w:val="bottom"/>
          </w:tcPr>
          <w:p w14:paraId="3F5D53ED"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0.057</w:t>
            </w:r>
          </w:p>
        </w:tc>
      </w:tr>
      <w:tr w:rsidR="00E42813" w:rsidRPr="00D652D5" w14:paraId="2BB36794" w14:textId="77777777" w:rsidTr="003F5394">
        <w:trPr>
          <w:trHeight w:val="240"/>
        </w:trPr>
        <w:tc>
          <w:tcPr>
            <w:tcW w:w="2977" w:type="dxa"/>
            <w:tcBorders>
              <w:top w:val="nil"/>
              <w:bottom w:val="nil"/>
            </w:tcBorders>
            <w:shd w:val="clear" w:color="auto" w:fill="auto"/>
            <w:noWrap/>
            <w:vAlign w:val="bottom"/>
          </w:tcPr>
          <w:p w14:paraId="3F2045B6"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Sudan</w:t>
            </w:r>
          </w:p>
        </w:tc>
        <w:tc>
          <w:tcPr>
            <w:tcW w:w="2325" w:type="dxa"/>
            <w:tcBorders>
              <w:top w:val="nil"/>
              <w:bottom w:val="nil"/>
            </w:tcBorders>
            <w:shd w:val="clear" w:color="auto" w:fill="auto"/>
            <w:noWrap/>
            <w:vAlign w:val="bottom"/>
          </w:tcPr>
          <w:p w14:paraId="541F27D0" w14:textId="77777777" w:rsidR="00E42813" w:rsidRPr="00D652D5" w:rsidRDefault="00E42813" w:rsidP="003F5394">
            <w:pPr>
              <w:suppressAutoHyphens w:val="0"/>
              <w:spacing w:line="240" w:lineRule="auto"/>
              <w:jc w:val="right"/>
              <w:rPr>
                <w:sz w:val="18"/>
                <w:szCs w:val="18"/>
              </w:rPr>
            </w:pPr>
            <w:r w:rsidRPr="00D652D5">
              <w:rPr>
                <w:sz w:val="18"/>
                <w:szCs w:val="18"/>
              </w:rPr>
              <w:t>0.010</w:t>
            </w:r>
          </w:p>
        </w:tc>
        <w:tc>
          <w:tcPr>
            <w:tcW w:w="2070" w:type="dxa"/>
            <w:tcBorders>
              <w:top w:val="nil"/>
              <w:bottom w:val="nil"/>
            </w:tcBorders>
            <w:shd w:val="clear" w:color="auto" w:fill="auto"/>
            <w:noWrap/>
            <w:vAlign w:val="bottom"/>
          </w:tcPr>
          <w:p w14:paraId="4A474874"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0.013</w:t>
            </w:r>
          </w:p>
        </w:tc>
      </w:tr>
      <w:tr w:rsidR="00E42813" w:rsidRPr="00D652D5" w14:paraId="3E0B4D54" w14:textId="77777777" w:rsidTr="003F5394">
        <w:trPr>
          <w:trHeight w:val="240"/>
        </w:trPr>
        <w:tc>
          <w:tcPr>
            <w:tcW w:w="2977" w:type="dxa"/>
            <w:tcBorders>
              <w:top w:val="nil"/>
            </w:tcBorders>
            <w:shd w:val="clear" w:color="auto" w:fill="auto"/>
            <w:noWrap/>
            <w:vAlign w:val="bottom"/>
          </w:tcPr>
          <w:p w14:paraId="1C995FA6"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Suriname</w:t>
            </w:r>
          </w:p>
        </w:tc>
        <w:tc>
          <w:tcPr>
            <w:tcW w:w="2325" w:type="dxa"/>
            <w:tcBorders>
              <w:top w:val="nil"/>
            </w:tcBorders>
            <w:shd w:val="clear" w:color="auto" w:fill="auto"/>
            <w:noWrap/>
            <w:vAlign w:val="bottom"/>
          </w:tcPr>
          <w:p w14:paraId="42F736B3" w14:textId="77777777" w:rsidR="00E42813" w:rsidRPr="00D652D5" w:rsidRDefault="00E42813" w:rsidP="003F5394">
            <w:pPr>
              <w:suppressAutoHyphens w:val="0"/>
              <w:spacing w:line="240" w:lineRule="auto"/>
              <w:jc w:val="right"/>
              <w:rPr>
                <w:sz w:val="18"/>
                <w:szCs w:val="18"/>
              </w:rPr>
            </w:pPr>
            <w:r w:rsidRPr="00D652D5">
              <w:rPr>
                <w:sz w:val="18"/>
                <w:szCs w:val="18"/>
              </w:rPr>
              <w:t>0.005</w:t>
            </w:r>
          </w:p>
        </w:tc>
        <w:tc>
          <w:tcPr>
            <w:tcW w:w="2070" w:type="dxa"/>
            <w:tcBorders>
              <w:top w:val="nil"/>
            </w:tcBorders>
            <w:shd w:val="clear" w:color="auto" w:fill="auto"/>
            <w:noWrap/>
            <w:vAlign w:val="bottom"/>
          </w:tcPr>
          <w:p w14:paraId="20FA513D"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0.006</w:t>
            </w:r>
          </w:p>
        </w:tc>
      </w:tr>
      <w:tr w:rsidR="00E42813" w:rsidRPr="00D652D5" w14:paraId="7EE68392" w14:textId="77777777" w:rsidTr="003F5394">
        <w:trPr>
          <w:trHeight w:val="240"/>
        </w:trPr>
        <w:tc>
          <w:tcPr>
            <w:tcW w:w="2977" w:type="dxa"/>
            <w:shd w:val="clear" w:color="auto" w:fill="auto"/>
            <w:noWrap/>
            <w:vAlign w:val="bottom"/>
          </w:tcPr>
          <w:p w14:paraId="52A263E2"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Sweden</w:t>
            </w:r>
          </w:p>
        </w:tc>
        <w:tc>
          <w:tcPr>
            <w:tcW w:w="2325" w:type="dxa"/>
            <w:shd w:val="clear" w:color="auto" w:fill="auto"/>
            <w:noWrap/>
            <w:vAlign w:val="bottom"/>
          </w:tcPr>
          <w:p w14:paraId="3ADEC32C" w14:textId="77777777" w:rsidR="00E42813" w:rsidRPr="00D652D5" w:rsidRDefault="00E42813" w:rsidP="003F5394">
            <w:pPr>
              <w:suppressAutoHyphens w:val="0"/>
              <w:spacing w:line="240" w:lineRule="auto"/>
              <w:jc w:val="right"/>
              <w:rPr>
                <w:sz w:val="18"/>
                <w:szCs w:val="18"/>
              </w:rPr>
            </w:pPr>
            <w:r w:rsidRPr="00D652D5">
              <w:rPr>
                <w:sz w:val="18"/>
                <w:szCs w:val="18"/>
              </w:rPr>
              <w:t>0.906</w:t>
            </w:r>
          </w:p>
        </w:tc>
        <w:tc>
          <w:tcPr>
            <w:tcW w:w="2070" w:type="dxa"/>
            <w:shd w:val="clear" w:color="auto" w:fill="auto"/>
            <w:noWrap/>
            <w:vAlign w:val="bottom"/>
          </w:tcPr>
          <w:p w14:paraId="0EF2424F" w14:textId="77777777" w:rsidR="00E42813" w:rsidRPr="00D652D5" w:rsidRDefault="00E42813" w:rsidP="003F5394">
            <w:pPr>
              <w:suppressAutoHyphens w:val="0"/>
              <w:spacing w:line="240" w:lineRule="auto"/>
              <w:jc w:val="right"/>
              <w:rPr>
                <w:sz w:val="18"/>
                <w:szCs w:val="18"/>
              </w:rPr>
            </w:pPr>
            <w:r w:rsidRPr="00D652D5">
              <w:rPr>
                <w:color w:val="000000"/>
                <w:sz w:val="18"/>
                <w:szCs w:val="18"/>
              </w:rPr>
              <w:t>1.174</w:t>
            </w:r>
          </w:p>
        </w:tc>
      </w:tr>
      <w:tr w:rsidR="00E42813" w:rsidRPr="00D652D5" w14:paraId="755D4B22" w14:textId="77777777" w:rsidTr="003F5394">
        <w:trPr>
          <w:trHeight w:val="240"/>
        </w:trPr>
        <w:tc>
          <w:tcPr>
            <w:tcW w:w="2977" w:type="dxa"/>
            <w:shd w:val="clear" w:color="auto" w:fill="auto"/>
            <w:noWrap/>
            <w:vAlign w:val="bottom"/>
          </w:tcPr>
          <w:p w14:paraId="6C52850D"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Switzerland</w:t>
            </w:r>
          </w:p>
        </w:tc>
        <w:tc>
          <w:tcPr>
            <w:tcW w:w="2325" w:type="dxa"/>
            <w:shd w:val="clear" w:color="auto" w:fill="auto"/>
            <w:noWrap/>
            <w:vAlign w:val="bottom"/>
          </w:tcPr>
          <w:p w14:paraId="34C73E3B" w14:textId="77777777" w:rsidR="00E42813" w:rsidRPr="00D652D5" w:rsidRDefault="00E42813" w:rsidP="003F5394">
            <w:pPr>
              <w:suppressAutoHyphens w:val="0"/>
              <w:spacing w:line="240" w:lineRule="auto"/>
              <w:jc w:val="right"/>
              <w:rPr>
                <w:sz w:val="18"/>
                <w:szCs w:val="18"/>
              </w:rPr>
            </w:pPr>
            <w:r w:rsidRPr="00D652D5">
              <w:rPr>
                <w:sz w:val="18"/>
                <w:szCs w:val="18"/>
              </w:rPr>
              <w:t>1.151</w:t>
            </w:r>
          </w:p>
        </w:tc>
        <w:tc>
          <w:tcPr>
            <w:tcW w:w="2070" w:type="dxa"/>
            <w:shd w:val="clear" w:color="auto" w:fill="auto"/>
            <w:noWrap/>
            <w:vAlign w:val="bottom"/>
          </w:tcPr>
          <w:p w14:paraId="5AAB36AC" w14:textId="77777777" w:rsidR="00E42813" w:rsidRPr="00D652D5" w:rsidRDefault="00E42813" w:rsidP="003F5394">
            <w:pPr>
              <w:suppressAutoHyphens w:val="0"/>
              <w:spacing w:line="240" w:lineRule="auto"/>
              <w:jc w:val="right"/>
              <w:rPr>
                <w:sz w:val="18"/>
                <w:szCs w:val="18"/>
              </w:rPr>
            </w:pPr>
            <w:r w:rsidRPr="00D652D5">
              <w:rPr>
                <w:color w:val="000000"/>
                <w:sz w:val="18"/>
                <w:szCs w:val="18"/>
              </w:rPr>
              <w:t>1.491</w:t>
            </w:r>
          </w:p>
        </w:tc>
      </w:tr>
      <w:tr w:rsidR="00E42813" w:rsidRPr="00D652D5" w14:paraId="0D1DDB74" w14:textId="77777777" w:rsidTr="003F5394">
        <w:trPr>
          <w:trHeight w:val="240"/>
        </w:trPr>
        <w:tc>
          <w:tcPr>
            <w:tcW w:w="2977" w:type="dxa"/>
            <w:shd w:val="clear" w:color="auto" w:fill="auto"/>
            <w:noWrap/>
            <w:vAlign w:val="bottom"/>
          </w:tcPr>
          <w:p w14:paraId="171851B6"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Syrian Arab Republic</w:t>
            </w:r>
          </w:p>
        </w:tc>
        <w:tc>
          <w:tcPr>
            <w:tcW w:w="2325" w:type="dxa"/>
            <w:shd w:val="clear" w:color="auto" w:fill="auto"/>
            <w:noWrap/>
            <w:vAlign w:val="bottom"/>
          </w:tcPr>
          <w:p w14:paraId="1B037E6C" w14:textId="77777777" w:rsidR="00E42813" w:rsidRPr="00D652D5" w:rsidRDefault="00E42813" w:rsidP="003F5394">
            <w:pPr>
              <w:suppressAutoHyphens w:val="0"/>
              <w:spacing w:line="240" w:lineRule="auto"/>
              <w:jc w:val="right"/>
              <w:rPr>
                <w:sz w:val="18"/>
                <w:szCs w:val="18"/>
              </w:rPr>
            </w:pPr>
            <w:r w:rsidRPr="00D652D5">
              <w:rPr>
                <w:sz w:val="18"/>
                <w:szCs w:val="18"/>
              </w:rPr>
              <w:t>0.011</w:t>
            </w:r>
          </w:p>
        </w:tc>
        <w:tc>
          <w:tcPr>
            <w:tcW w:w="2070" w:type="dxa"/>
            <w:shd w:val="clear" w:color="auto" w:fill="auto"/>
            <w:noWrap/>
            <w:vAlign w:val="bottom"/>
          </w:tcPr>
          <w:p w14:paraId="7015BDC3"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0.014</w:t>
            </w:r>
          </w:p>
        </w:tc>
      </w:tr>
      <w:tr w:rsidR="00E42813" w:rsidRPr="00D652D5" w14:paraId="668E8E68" w14:textId="77777777" w:rsidTr="003F5394">
        <w:trPr>
          <w:trHeight w:val="240"/>
        </w:trPr>
        <w:tc>
          <w:tcPr>
            <w:tcW w:w="2977" w:type="dxa"/>
            <w:shd w:val="clear" w:color="auto" w:fill="auto"/>
            <w:noWrap/>
            <w:vAlign w:val="bottom"/>
          </w:tcPr>
          <w:p w14:paraId="4D789D1F"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Tajikistan</w:t>
            </w:r>
          </w:p>
        </w:tc>
        <w:tc>
          <w:tcPr>
            <w:tcW w:w="2325" w:type="dxa"/>
            <w:shd w:val="clear" w:color="auto" w:fill="auto"/>
            <w:noWrap/>
            <w:vAlign w:val="bottom"/>
          </w:tcPr>
          <w:p w14:paraId="2730A001" w14:textId="77777777" w:rsidR="00E42813" w:rsidRPr="00D652D5" w:rsidRDefault="00E42813" w:rsidP="003F5394">
            <w:pPr>
              <w:suppressAutoHyphens w:val="0"/>
              <w:spacing w:line="240" w:lineRule="auto"/>
              <w:jc w:val="right"/>
              <w:rPr>
                <w:sz w:val="18"/>
                <w:szCs w:val="18"/>
              </w:rPr>
            </w:pPr>
            <w:r w:rsidRPr="00D652D5">
              <w:rPr>
                <w:sz w:val="18"/>
                <w:szCs w:val="18"/>
              </w:rPr>
              <w:t>0.004</w:t>
            </w:r>
          </w:p>
        </w:tc>
        <w:tc>
          <w:tcPr>
            <w:tcW w:w="2070" w:type="dxa"/>
            <w:shd w:val="clear" w:color="auto" w:fill="auto"/>
            <w:noWrap/>
            <w:vAlign w:val="bottom"/>
          </w:tcPr>
          <w:p w14:paraId="0F7715DE"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0.005</w:t>
            </w:r>
          </w:p>
        </w:tc>
      </w:tr>
      <w:tr w:rsidR="00E42813" w:rsidRPr="00D652D5" w14:paraId="3A82E40F" w14:textId="77777777" w:rsidTr="003F5394">
        <w:trPr>
          <w:trHeight w:val="240"/>
        </w:trPr>
        <w:tc>
          <w:tcPr>
            <w:tcW w:w="2977" w:type="dxa"/>
            <w:shd w:val="clear" w:color="auto" w:fill="auto"/>
            <w:noWrap/>
            <w:vAlign w:val="bottom"/>
          </w:tcPr>
          <w:p w14:paraId="05FA24CB"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Thailand</w:t>
            </w:r>
          </w:p>
        </w:tc>
        <w:tc>
          <w:tcPr>
            <w:tcW w:w="2325" w:type="dxa"/>
            <w:shd w:val="clear" w:color="auto" w:fill="auto"/>
            <w:noWrap/>
            <w:vAlign w:val="bottom"/>
          </w:tcPr>
          <w:p w14:paraId="686240A2" w14:textId="77777777" w:rsidR="00E42813" w:rsidRPr="00D652D5" w:rsidRDefault="00E42813" w:rsidP="003F5394">
            <w:pPr>
              <w:suppressAutoHyphens w:val="0"/>
              <w:spacing w:line="240" w:lineRule="auto"/>
              <w:jc w:val="right"/>
              <w:rPr>
                <w:sz w:val="18"/>
                <w:szCs w:val="18"/>
              </w:rPr>
            </w:pPr>
            <w:r w:rsidRPr="00D652D5">
              <w:rPr>
                <w:sz w:val="18"/>
                <w:szCs w:val="18"/>
              </w:rPr>
              <w:t>0.307</w:t>
            </w:r>
          </w:p>
        </w:tc>
        <w:tc>
          <w:tcPr>
            <w:tcW w:w="2070" w:type="dxa"/>
            <w:shd w:val="clear" w:color="auto" w:fill="auto"/>
            <w:noWrap/>
            <w:vAlign w:val="bottom"/>
          </w:tcPr>
          <w:p w14:paraId="1C566C3B"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0.398</w:t>
            </w:r>
          </w:p>
        </w:tc>
      </w:tr>
      <w:tr w:rsidR="00E42813" w:rsidRPr="00D652D5" w14:paraId="3F27B476" w14:textId="77777777" w:rsidTr="003F5394">
        <w:trPr>
          <w:trHeight w:val="240"/>
        </w:trPr>
        <w:tc>
          <w:tcPr>
            <w:tcW w:w="2977" w:type="dxa"/>
            <w:shd w:val="clear" w:color="auto" w:fill="auto"/>
            <w:noWrap/>
            <w:vAlign w:val="bottom"/>
          </w:tcPr>
          <w:p w14:paraId="4A73D802"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Timor-Leste</w:t>
            </w:r>
          </w:p>
        </w:tc>
        <w:tc>
          <w:tcPr>
            <w:tcW w:w="2325" w:type="dxa"/>
            <w:shd w:val="clear" w:color="auto" w:fill="auto"/>
            <w:noWrap/>
            <w:vAlign w:val="bottom"/>
          </w:tcPr>
          <w:p w14:paraId="5932A648" w14:textId="77777777" w:rsidR="00E42813" w:rsidRPr="00D652D5" w:rsidRDefault="00E42813" w:rsidP="003F5394">
            <w:pPr>
              <w:suppressAutoHyphens w:val="0"/>
              <w:spacing w:line="240" w:lineRule="auto"/>
              <w:jc w:val="right"/>
              <w:rPr>
                <w:sz w:val="18"/>
                <w:szCs w:val="18"/>
              </w:rPr>
            </w:pPr>
            <w:r w:rsidRPr="00D652D5">
              <w:rPr>
                <w:sz w:val="18"/>
                <w:szCs w:val="18"/>
              </w:rPr>
              <w:t>0.002</w:t>
            </w:r>
          </w:p>
        </w:tc>
        <w:tc>
          <w:tcPr>
            <w:tcW w:w="2070" w:type="dxa"/>
            <w:shd w:val="clear" w:color="auto" w:fill="auto"/>
            <w:noWrap/>
            <w:vAlign w:val="bottom"/>
          </w:tcPr>
          <w:p w14:paraId="07220508"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0.003</w:t>
            </w:r>
          </w:p>
        </w:tc>
      </w:tr>
      <w:tr w:rsidR="00E42813" w:rsidRPr="00D652D5" w14:paraId="754E640E" w14:textId="77777777" w:rsidTr="003F5394">
        <w:trPr>
          <w:trHeight w:val="240"/>
        </w:trPr>
        <w:tc>
          <w:tcPr>
            <w:tcW w:w="2977" w:type="dxa"/>
            <w:shd w:val="clear" w:color="auto" w:fill="auto"/>
            <w:noWrap/>
            <w:vAlign w:val="bottom"/>
          </w:tcPr>
          <w:p w14:paraId="7142E150"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Togo</w:t>
            </w:r>
          </w:p>
        </w:tc>
        <w:tc>
          <w:tcPr>
            <w:tcW w:w="2325" w:type="dxa"/>
            <w:shd w:val="clear" w:color="auto" w:fill="auto"/>
            <w:noWrap/>
            <w:vAlign w:val="bottom"/>
          </w:tcPr>
          <w:p w14:paraId="2DCAC116" w14:textId="77777777" w:rsidR="00E42813" w:rsidRPr="00D652D5" w:rsidRDefault="00E42813" w:rsidP="003F5394">
            <w:pPr>
              <w:suppressAutoHyphens w:val="0"/>
              <w:spacing w:line="240" w:lineRule="auto"/>
              <w:jc w:val="right"/>
              <w:rPr>
                <w:sz w:val="18"/>
                <w:szCs w:val="18"/>
              </w:rPr>
            </w:pPr>
            <w:r w:rsidRPr="00D652D5">
              <w:rPr>
                <w:sz w:val="18"/>
                <w:szCs w:val="18"/>
              </w:rPr>
              <w:t>0.002</w:t>
            </w:r>
          </w:p>
        </w:tc>
        <w:tc>
          <w:tcPr>
            <w:tcW w:w="2070" w:type="dxa"/>
            <w:shd w:val="clear" w:color="auto" w:fill="auto"/>
            <w:noWrap/>
            <w:vAlign w:val="bottom"/>
          </w:tcPr>
          <w:p w14:paraId="565E28C1"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0.003</w:t>
            </w:r>
          </w:p>
        </w:tc>
      </w:tr>
      <w:tr w:rsidR="00E42813" w:rsidRPr="00D652D5" w14:paraId="10BDB6A6" w14:textId="77777777" w:rsidTr="003F5394">
        <w:trPr>
          <w:trHeight w:val="240"/>
        </w:trPr>
        <w:tc>
          <w:tcPr>
            <w:tcW w:w="2977" w:type="dxa"/>
            <w:shd w:val="clear" w:color="auto" w:fill="auto"/>
            <w:noWrap/>
            <w:vAlign w:val="bottom"/>
          </w:tcPr>
          <w:p w14:paraId="5B615529"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Tonga</w:t>
            </w:r>
          </w:p>
        </w:tc>
        <w:tc>
          <w:tcPr>
            <w:tcW w:w="2325" w:type="dxa"/>
            <w:shd w:val="clear" w:color="auto" w:fill="auto"/>
            <w:noWrap/>
            <w:vAlign w:val="bottom"/>
          </w:tcPr>
          <w:p w14:paraId="400CEB46" w14:textId="77777777" w:rsidR="00E42813" w:rsidRPr="00D652D5" w:rsidRDefault="00E42813" w:rsidP="003F5394">
            <w:pPr>
              <w:suppressAutoHyphens w:val="0"/>
              <w:spacing w:line="240" w:lineRule="auto"/>
              <w:jc w:val="right"/>
              <w:rPr>
                <w:sz w:val="18"/>
                <w:szCs w:val="18"/>
              </w:rPr>
            </w:pPr>
            <w:r w:rsidRPr="00D652D5">
              <w:rPr>
                <w:sz w:val="18"/>
                <w:szCs w:val="18"/>
              </w:rPr>
              <w:t>0.001</w:t>
            </w:r>
          </w:p>
        </w:tc>
        <w:tc>
          <w:tcPr>
            <w:tcW w:w="2070" w:type="dxa"/>
            <w:shd w:val="clear" w:color="auto" w:fill="auto"/>
            <w:noWrap/>
            <w:vAlign w:val="bottom"/>
          </w:tcPr>
          <w:p w14:paraId="4AAAAD0D"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0.001</w:t>
            </w:r>
          </w:p>
        </w:tc>
      </w:tr>
      <w:tr w:rsidR="00E42813" w:rsidRPr="00D652D5" w14:paraId="7A053963" w14:textId="77777777" w:rsidTr="003F5394">
        <w:trPr>
          <w:trHeight w:val="240"/>
        </w:trPr>
        <w:tc>
          <w:tcPr>
            <w:tcW w:w="2977" w:type="dxa"/>
            <w:shd w:val="clear" w:color="auto" w:fill="auto"/>
            <w:noWrap/>
            <w:vAlign w:val="bottom"/>
          </w:tcPr>
          <w:p w14:paraId="5914B97F"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Trinidad and Tobago</w:t>
            </w:r>
          </w:p>
        </w:tc>
        <w:tc>
          <w:tcPr>
            <w:tcW w:w="2325" w:type="dxa"/>
            <w:shd w:val="clear" w:color="auto" w:fill="auto"/>
            <w:noWrap/>
            <w:vAlign w:val="bottom"/>
          </w:tcPr>
          <w:p w14:paraId="0B1D2A03" w14:textId="77777777" w:rsidR="00E42813" w:rsidRPr="00D652D5" w:rsidRDefault="00E42813" w:rsidP="003F5394">
            <w:pPr>
              <w:suppressAutoHyphens w:val="0"/>
              <w:spacing w:line="240" w:lineRule="auto"/>
              <w:jc w:val="right"/>
              <w:rPr>
                <w:sz w:val="18"/>
                <w:szCs w:val="18"/>
              </w:rPr>
            </w:pPr>
            <w:r w:rsidRPr="00D652D5">
              <w:rPr>
                <w:sz w:val="18"/>
                <w:szCs w:val="18"/>
              </w:rPr>
              <w:t>0.040</w:t>
            </w:r>
          </w:p>
        </w:tc>
        <w:tc>
          <w:tcPr>
            <w:tcW w:w="2070" w:type="dxa"/>
            <w:shd w:val="clear" w:color="auto" w:fill="auto"/>
            <w:noWrap/>
            <w:vAlign w:val="bottom"/>
          </w:tcPr>
          <w:p w14:paraId="78E165A4"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0.052</w:t>
            </w:r>
          </w:p>
        </w:tc>
      </w:tr>
      <w:tr w:rsidR="00E42813" w:rsidRPr="00D652D5" w14:paraId="1C60C7FD" w14:textId="77777777" w:rsidTr="003F5394">
        <w:trPr>
          <w:trHeight w:val="240"/>
        </w:trPr>
        <w:tc>
          <w:tcPr>
            <w:tcW w:w="2977" w:type="dxa"/>
            <w:shd w:val="clear" w:color="auto" w:fill="auto"/>
            <w:noWrap/>
            <w:vAlign w:val="bottom"/>
          </w:tcPr>
          <w:p w14:paraId="35779210"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Tunisia</w:t>
            </w:r>
          </w:p>
        </w:tc>
        <w:tc>
          <w:tcPr>
            <w:tcW w:w="2325" w:type="dxa"/>
            <w:shd w:val="clear" w:color="auto" w:fill="auto"/>
            <w:noWrap/>
            <w:vAlign w:val="bottom"/>
          </w:tcPr>
          <w:p w14:paraId="472B3678" w14:textId="77777777" w:rsidR="00E42813" w:rsidRPr="00D652D5" w:rsidRDefault="00E42813" w:rsidP="003F5394">
            <w:pPr>
              <w:suppressAutoHyphens w:val="0"/>
              <w:spacing w:line="240" w:lineRule="auto"/>
              <w:jc w:val="right"/>
              <w:rPr>
                <w:sz w:val="18"/>
                <w:szCs w:val="18"/>
              </w:rPr>
            </w:pPr>
            <w:r w:rsidRPr="00D652D5">
              <w:rPr>
                <w:sz w:val="18"/>
                <w:szCs w:val="18"/>
              </w:rPr>
              <w:t>0.025</w:t>
            </w:r>
          </w:p>
        </w:tc>
        <w:tc>
          <w:tcPr>
            <w:tcW w:w="2070" w:type="dxa"/>
            <w:shd w:val="clear" w:color="auto" w:fill="auto"/>
            <w:noWrap/>
            <w:vAlign w:val="bottom"/>
          </w:tcPr>
          <w:p w14:paraId="5FD57E72"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0.032</w:t>
            </w:r>
          </w:p>
        </w:tc>
      </w:tr>
      <w:tr w:rsidR="00E42813" w:rsidRPr="00D652D5" w14:paraId="0DE7C204" w14:textId="77777777" w:rsidTr="003F5394">
        <w:trPr>
          <w:trHeight w:val="240"/>
        </w:trPr>
        <w:tc>
          <w:tcPr>
            <w:tcW w:w="2977" w:type="dxa"/>
            <w:shd w:val="clear" w:color="auto" w:fill="auto"/>
            <w:noWrap/>
            <w:vAlign w:val="bottom"/>
          </w:tcPr>
          <w:p w14:paraId="47E4EFF4"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Turkey</w:t>
            </w:r>
          </w:p>
        </w:tc>
        <w:tc>
          <w:tcPr>
            <w:tcW w:w="2325" w:type="dxa"/>
            <w:shd w:val="clear" w:color="auto" w:fill="auto"/>
            <w:noWrap/>
            <w:vAlign w:val="bottom"/>
          </w:tcPr>
          <w:p w14:paraId="34D64293" w14:textId="77777777" w:rsidR="00E42813" w:rsidRPr="00D652D5" w:rsidRDefault="00E42813" w:rsidP="003F5394">
            <w:pPr>
              <w:suppressAutoHyphens w:val="0"/>
              <w:spacing w:line="240" w:lineRule="auto"/>
              <w:jc w:val="right"/>
              <w:rPr>
                <w:sz w:val="18"/>
                <w:szCs w:val="18"/>
              </w:rPr>
            </w:pPr>
            <w:r w:rsidRPr="00D652D5">
              <w:rPr>
                <w:sz w:val="18"/>
                <w:szCs w:val="18"/>
              </w:rPr>
              <w:t>1.371</w:t>
            </w:r>
          </w:p>
        </w:tc>
        <w:tc>
          <w:tcPr>
            <w:tcW w:w="2070" w:type="dxa"/>
            <w:shd w:val="clear" w:color="auto" w:fill="auto"/>
            <w:noWrap/>
            <w:vAlign w:val="bottom"/>
          </w:tcPr>
          <w:p w14:paraId="1AC4E090" w14:textId="77777777" w:rsidR="00E42813" w:rsidRPr="00D652D5" w:rsidRDefault="00E42813" w:rsidP="003F5394">
            <w:pPr>
              <w:suppressAutoHyphens w:val="0"/>
              <w:spacing w:line="240" w:lineRule="auto"/>
              <w:jc w:val="right"/>
              <w:rPr>
                <w:sz w:val="18"/>
                <w:szCs w:val="18"/>
              </w:rPr>
            </w:pPr>
            <w:r w:rsidRPr="00D652D5">
              <w:rPr>
                <w:color w:val="000000"/>
                <w:sz w:val="18"/>
                <w:szCs w:val="18"/>
              </w:rPr>
              <w:t>1.776</w:t>
            </w:r>
          </w:p>
        </w:tc>
      </w:tr>
      <w:tr w:rsidR="00E42813" w:rsidRPr="00D652D5" w14:paraId="0D1D03C4" w14:textId="77777777" w:rsidTr="003F5394">
        <w:trPr>
          <w:trHeight w:val="240"/>
        </w:trPr>
        <w:tc>
          <w:tcPr>
            <w:tcW w:w="2977" w:type="dxa"/>
            <w:shd w:val="clear" w:color="auto" w:fill="auto"/>
            <w:noWrap/>
            <w:vAlign w:val="bottom"/>
          </w:tcPr>
          <w:p w14:paraId="0F0AD4CB"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Turkmenistan</w:t>
            </w:r>
          </w:p>
        </w:tc>
        <w:tc>
          <w:tcPr>
            <w:tcW w:w="2325" w:type="dxa"/>
            <w:shd w:val="clear" w:color="auto" w:fill="auto"/>
            <w:noWrap/>
            <w:vAlign w:val="bottom"/>
          </w:tcPr>
          <w:p w14:paraId="2D923235" w14:textId="77777777" w:rsidR="00E42813" w:rsidRPr="00D652D5" w:rsidRDefault="00E42813" w:rsidP="003F5394">
            <w:pPr>
              <w:suppressAutoHyphens w:val="0"/>
              <w:spacing w:line="240" w:lineRule="auto"/>
              <w:jc w:val="right"/>
              <w:rPr>
                <w:sz w:val="18"/>
                <w:szCs w:val="18"/>
              </w:rPr>
            </w:pPr>
            <w:r w:rsidRPr="00D652D5">
              <w:rPr>
                <w:sz w:val="18"/>
                <w:szCs w:val="18"/>
              </w:rPr>
              <w:t>0.033</w:t>
            </w:r>
          </w:p>
        </w:tc>
        <w:tc>
          <w:tcPr>
            <w:tcW w:w="2070" w:type="dxa"/>
            <w:shd w:val="clear" w:color="auto" w:fill="auto"/>
            <w:noWrap/>
            <w:vAlign w:val="bottom"/>
          </w:tcPr>
          <w:p w14:paraId="5C9CF983"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0.043</w:t>
            </w:r>
          </w:p>
        </w:tc>
      </w:tr>
      <w:tr w:rsidR="00E42813" w:rsidRPr="00D652D5" w14:paraId="3C89E7B4" w14:textId="77777777" w:rsidTr="003F5394">
        <w:trPr>
          <w:trHeight w:val="240"/>
        </w:trPr>
        <w:tc>
          <w:tcPr>
            <w:tcW w:w="2977" w:type="dxa"/>
            <w:shd w:val="clear" w:color="auto" w:fill="auto"/>
            <w:noWrap/>
            <w:vAlign w:val="bottom"/>
          </w:tcPr>
          <w:p w14:paraId="2D261C45"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Tuvalu</w:t>
            </w:r>
          </w:p>
        </w:tc>
        <w:tc>
          <w:tcPr>
            <w:tcW w:w="2325" w:type="dxa"/>
            <w:shd w:val="clear" w:color="auto" w:fill="auto"/>
            <w:noWrap/>
            <w:vAlign w:val="bottom"/>
          </w:tcPr>
          <w:p w14:paraId="2A174109" w14:textId="77777777" w:rsidR="00E42813" w:rsidRPr="00D652D5" w:rsidRDefault="00E42813" w:rsidP="003F5394">
            <w:pPr>
              <w:suppressAutoHyphens w:val="0"/>
              <w:spacing w:line="240" w:lineRule="auto"/>
              <w:jc w:val="right"/>
              <w:rPr>
                <w:sz w:val="18"/>
                <w:szCs w:val="18"/>
              </w:rPr>
            </w:pPr>
            <w:r w:rsidRPr="00D652D5">
              <w:rPr>
                <w:sz w:val="18"/>
                <w:szCs w:val="18"/>
              </w:rPr>
              <w:t>0.001</w:t>
            </w:r>
          </w:p>
        </w:tc>
        <w:tc>
          <w:tcPr>
            <w:tcW w:w="2070" w:type="dxa"/>
            <w:shd w:val="clear" w:color="auto" w:fill="auto"/>
            <w:noWrap/>
            <w:vAlign w:val="bottom"/>
          </w:tcPr>
          <w:p w14:paraId="5926B210"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0.001</w:t>
            </w:r>
          </w:p>
        </w:tc>
      </w:tr>
      <w:tr w:rsidR="00E42813" w:rsidRPr="00D652D5" w14:paraId="0DF86172" w14:textId="77777777" w:rsidTr="003F5394">
        <w:trPr>
          <w:trHeight w:val="240"/>
        </w:trPr>
        <w:tc>
          <w:tcPr>
            <w:tcW w:w="2977" w:type="dxa"/>
            <w:shd w:val="clear" w:color="auto" w:fill="auto"/>
            <w:noWrap/>
            <w:vAlign w:val="bottom"/>
          </w:tcPr>
          <w:p w14:paraId="118AC0B5"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Uganda</w:t>
            </w:r>
          </w:p>
        </w:tc>
        <w:tc>
          <w:tcPr>
            <w:tcW w:w="2325" w:type="dxa"/>
            <w:shd w:val="clear" w:color="auto" w:fill="auto"/>
            <w:noWrap/>
            <w:vAlign w:val="bottom"/>
          </w:tcPr>
          <w:p w14:paraId="130F8AD7" w14:textId="77777777" w:rsidR="00E42813" w:rsidRPr="00D652D5" w:rsidRDefault="00E42813" w:rsidP="003F5394">
            <w:pPr>
              <w:suppressAutoHyphens w:val="0"/>
              <w:spacing w:line="240" w:lineRule="auto"/>
              <w:jc w:val="right"/>
              <w:rPr>
                <w:sz w:val="18"/>
                <w:szCs w:val="18"/>
              </w:rPr>
            </w:pPr>
            <w:r w:rsidRPr="00D652D5">
              <w:rPr>
                <w:sz w:val="18"/>
                <w:szCs w:val="18"/>
              </w:rPr>
              <w:t>0.008</w:t>
            </w:r>
          </w:p>
        </w:tc>
        <w:tc>
          <w:tcPr>
            <w:tcW w:w="2070" w:type="dxa"/>
            <w:shd w:val="clear" w:color="auto" w:fill="auto"/>
            <w:noWrap/>
            <w:vAlign w:val="bottom"/>
          </w:tcPr>
          <w:p w14:paraId="564E1E97"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0.010</w:t>
            </w:r>
          </w:p>
        </w:tc>
      </w:tr>
      <w:tr w:rsidR="00E42813" w:rsidRPr="00D652D5" w14:paraId="588B47B5" w14:textId="77777777" w:rsidTr="003F5394">
        <w:trPr>
          <w:trHeight w:val="240"/>
        </w:trPr>
        <w:tc>
          <w:tcPr>
            <w:tcW w:w="2977" w:type="dxa"/>
            <w:shd w:val="clear" w:color="auto" w:fill="auto"/>
            <w:noWrap/>
            <w:vAlign w:val="bottom"/>
          </w:tcPr>
          <w:p w14:paraId="0CBF1D0C"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Ukraine</w:t>
            </w:r>
          </w:p>
        </w:tc>
        <w:tc>
          <w:tcPr>
            <w:tcW w:w="2325" w:type="dxa"/>
            <w:shd w:val="clear" w:color="auto" w:fill="auto"/>
            <w:noWrap/>
            <w:vAlign w:val="bottom"/>
          </w:tcPr>
          <w:p w14:paraId="1ACA058A" w14:textId="77777777" w:rsidR="00E42813" w:rsidRPr="00D652D5" w:rsidRDefault="00E42813" w:rsidP="003F5394">
            <w:pPr>
              <w:suppressAutoHyphens w:val="0"/>
              <w:spacing w:line="240" w:lineRule="auto"/>
              <w:jc w:val="right"/>
              <w:rPr>
                <w:sz w:val="18"/>
                <w:szCs w:val="18"/>
              </w:rPr>
            </w:pPr>
            <w:r w:rsidRPr="00D652D5">
              <w:rPr>
                <w:sz w:val="18"/>
                <w:szCs w:val="18"/>
              </w:rPr>
              <w:t>0.057</w:t>
            </w:r>
          </w:p>
        </w:tc>
        <w:tc>
          <w:tcPr>
            <w:tcW w:w="2070" w:type="dxa"/>
            <w:shd w:val="clear" w:color="auto" w:fill="auto"/>
            <w:noWrap/>
            <w:vAlign w:val="bottom"/>
          </w:tcPr>
          <w:p w14:paraId="5343511A"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0.074</w:t>
            </w:r>
          </w:p>
        </w:tc>
      </w:tr>
      <w:tr w:rsidR="00E42813" w:rsidRPr="00D652D5" w14:paraId="685B9E37" w14:textId="77777777" w:rsidTr="003F5394">
        <w:trPr>
          <w:trHeight w:val="240"/>
        </w:trPr>
        <w:tc>
          <w:tcPr>
            <w:tcW w:w="2977" w:type="dxa"/>
            <w:shd w:val="clear" w:color="auto" w:fill="auto"/>
            <w:noWrap/>
            <w:vAlign w:val="bottom"/>
          </w:tcPr>
          <w:p w14:paraId="724ACEDB"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United Arab Emirates</w:t>
            </w:r>
          </w:p>
        </w:tc>
        <w:tc>
          <w:tcPr>
            <w:tcW w:w="2325" w:type="dxa"/>
            <w:shd w:val="clear" w:color="auto" w:fill="auto"/>
            <w:noWrap/>
            <w:vAlign w:val="bottom"/>
          </w:tcPr>
          <w:p w14:paraId="3AEE9B2C" w14:textId="77777777" w:rsidR="00E42813" w:rsidRPr="00D652D5" w:rsidRDefault="00E42813" w:rsidP="003F5394">
            <w:pPr>
              <w:suppressAutoHyphens w:val="0"/>
              <w:spacing w:line="240" w:lineRule="auto"/>
              <w:jc w:val="right"/>
              <w:rPr>
                <w:sz w:val="18"/>
                <w:szCs w:val="18"/>
              </w:rPr>
            </w:pPr>
            <w:r w:rsidRPr="00D652D5">
              <w:rPr>
                <w:sz w:val="18"/>
                <w:szCs w:val="18"/>
              </w:rPr>
              <w:t>0.616</w:t>
            </w:r>
          </w:p>
        </w:tc>
        <w:tc>
          <w:tcPr>
            <w:tcW w:w="2070" w:type="dxa"/>
            <w:shd w:val="clear" w:color="auto" w:fill="auto"/>
            <w:noWrap/>
            <w:vAlign w:val="bottom"/>
          </w:tcPr>
          <w:p w14:paraId="6EC3CB50"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0.798</w:t>
            </w:r>
          </w:p>
        </w:tc>
      </w:tr>
      <w:tr w:rsidR="00E42813" w:rsidRPr="00D652D5" w14:paraId="6B1FA3A6" w14:textId="77777777" w:rsidTr="00D61C4A">
        <w:trPr>
          <w:trHeight w:val="240"/>
        </w:trPr>
        <w:tc>
          <w:tcPr>
            <w:tcW w:w="2977" w:type="dxa"/>
            <w:shd w:val="clear" w:color="auto" w:fill="auto"/>
            <w:noWrap/>
            <w:vAlign w:val="bottom"/>
          </w:tcPr>
          <w:p w14:paraId="1DD1A263" w14:textId="77777777" w:rsidR="00E42813" w:rsidRPr="00D652D5" w:rsidRDefault="00E42813" w:rsidP="003F5394">
            <w:pPr>
              <w:suppressAutoHyphens w:val="0"/>
              <w:spacing w:line="240" w:lineRule="auto"/>
              <w:ind w:left="278" w:hanging="278"/>
              <w:rPr>
                <w:rFonts w:eastAsia="MS Mincho"/>
                <w:color w:val="000000"/>
                <w:sz w:val="18"/>
                <w:szCs w:val="18"/>
                <w:lang w:eastAsia="de-DE"/>
              </w:rPr>
            </w:pPr>
            <w:r w:rsidRPr="00D652D5">
              <w:rPr>
                <w:rFonts w:eastAsia="MS Mincho"/>
                <w:color w:val="000000"/>
                <w:sz w:val="18"/>
                <w:szCs w:val="18"/>
                <w:lang w:eastAsia="de-DE"/>
              </w:rPr>
              <w:t>United Kingdom of Great Britain and Northern Ireland</w:t>
            </w:r>
          </w:p>
        </w:tc>
        <w:tc>
          <w:tcPr>
            <w:tcW w:w="2325" w:type="dxa"/>
            <w:shd w:val="clear" w:color="auto" w:fill="auto"/>
            <w:noWrap/>
            <w:vAlign w:val="bottom"/>
          </w:tcPr>
          <w:p w14:paraId="0E4F73DA" w14:textId="77777777" w:rsidR="00E42813" w:rsidRPr="00D652D5" w:rsidRDefault="00E42813" w:rsidP="003F5394">
            <w:pPr>
              <w:suppressAutoHyphens w:val="0"/>
              <w:spacing w:line="240" w:lineRule="auto"/>
              <w:jc w:val="right"/>
              <w:rPr>
                <w:sz w:val="18"/>
                <w:szCs w:val="18"/>
              </w:rPr>
            </w:pPr>
            <w:r w:rsidRPr="00D652D5">
              <w:rPr>
                <w:sz w:val="18"/>
                <w:szCs w:val="18"/>
              </w:rPr>
              <w:t>4.567</w:t>
            </w:r>
          </w:p>
        </w:tc>
        <w:tc>
          <w:tcPr>
            <w:tcW w:w="2070" w:type="dxa"/>
            <w:shd w:val="clear" w:color="auto" w:fill="auto"/>
            <w:noWrap/>
            <w:vAlign w:val="bottom"/>
          </w:tcPr>
          <w:p w14:paraId="191C3B67" w14:textId="77777777" w:rsidR="00E42813" w:rsidRPr="00D652D5" w:rsidRDefault="00E42813" w:rsidP="003F5394">
            <w:pPr>
              <w:suppressAutoHyphens w:val="0"/>
              <w:spacing w:line="240" w:lineRule="auto"/>
              <w:jc w:val="right"/>
              <w:rPr>
                <w:sz w:val="18"/>
                <w:szCs w:val="18"/>
              </w:rPr>
            </w:pPr>
            <w:r w:rsidRPr="00D652D5">
              <w:rPr>
                <w:color w:val="000000"/>
                <w:sz w:val="18"/>
                <w:szCs w:val="18"/>
              </w:rPr>
              <w:t>5.917</w:t>
            </w:r>
          </w:p>
        </w:tc>
      </w:tr>
      <w:tr w:rsidR="00E42813" w:rsidRPr="00D652D5" w14:paraId="011B5A00" w14:textId="77777777" w:rsidTr="003F5394">
        <w:trPr>
          <w:trHeight w:val="240"/>
        </w:trPr>
        <w:tc>
          <w:tcPr>
            <w:tcW w:w="2977" w:type="dxa"/>
            <w:shd w:val="clear" w:color="auto" w:fill="auto"/>
            <w:noWrap/>
            <w:vAlign w:val="bottom"/>
          </w:tcPr>
          <w:p w14:paraId="37D61137"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United Republic of Tanzania</w:t>
            </w:r>
          </w:p>
        </w:tc>
        <w:tc>
          <w:tcPr>
            <w:tcW w:w="2325" w:type="dxa"/>
            <w:shd w:val="clear" w:color="auto" w:fill="auto"/>
            <w:noWrap/>
            <w:vAlign w:val="bottom"/>
          </w:tcPr>
          <w:p w14:paraId="2A5F32D7" w14:textId="77777777" w:rsidR="00E42813" w:rsidRPr="00D652D5" w:rsidRDefault="00E42813" w:rsidP="003F5394">
            <w:pPr>
              <w:suppressAutoHyphens w:val="0"/>
              <w:spacing w:line="240" w:lineRule="auto"/>
              <w:jc w:val="right"/>
              <w:rPr>
                <w:sz w:val="18"/>
                <w:szCs w:val="18"/>
              </w:rPr>
            </w:pPr>
            <w:r w:rsidRPr="00D652D5">
              <w:rPr>
                <w:sz w:val="18"/>
                <w:szCs w:val="18"/>
              </w:rPr>
              <w:t>0.010</w:t>
            </w:r>
          </w:p>
        </w:tc>
        <w:tc>
          <w:tcPr>
            <w:tcW w:w="2070" w:type="dxa"/>
            <w:shd w:val="clear" w:color="auto" w:fill="auto"/>
            <w:noWrap/>
            <w:vAlign w:val="bottom"/>
          </w:tcPr>
          <w:p w14:paraId="212E1D00"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0.013</w:t>
            </w:r>
          </w:p>
        </w:tc>
      </w:tr>
      <w:tr w:rsidR="00E42813" w:rsidRPr="00D652D5" w14:paraId="6E6A77D4" w14:textId="77777777" w:rsidTr="003F5394">
        <w:trPr>
          <w:trHeight w:val="240"/>
        </w:trPr>
        <w:tc>
          <w:tcPr>
            <w:tcW w:w="2977" w:type="dxa"/>
            <w:shd w:val="clear" w:color="auto" w:fill="auto"/>
            <w:noWrap/>
            <w:vAlign w:val="bottom"/>
          </w:tcPr>
          <w:p w14:paraId="1158730A"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Uruguay</w:t>
            </w:r>
          </w:p>
        </w:tc>
        <w:tc>
          <w:tcPr>
            <w:tcW w:w="2325" w:type="dxa"/>
            <w:shd w:val="clear" w:color="auto" w:fill="auto"/>
            <w:noWrap/>
            <w:vAlign w:val="bottom"/>
          </w:tcPr>
          <w:p w14:paraId="09421397" w14:textId="77777777" w:rsidR="00E42813" w:rsidRPr="00D652D5" w:rsidRDefault="00E42813" w:rsidP="003F5394">
            <w:pPr>
              <w:suppressAutoHyphens w:val="0"/>
              <w:spacing w:line="240" w:lineRule="auto"/>
              <w:jc w:val="right"/>
              <w:rPr>
                <w:sz w:val="18"/>
                <w:szCs w:val="18"/>
              </w:rPr>
            </w:pPr>
            <w:r w:rsidRPr="00D652D5">
              <w:rPr>
                <w:sz w:val="18"/>
                <w:szCs w:val="18"/>
              </w:rPr>
              <w:t>0.087</w:t>
            </w:r>
          </w:p>
        </w:tc>
        <w:tc>
          <w:tcPr>
            <w:tcW w:w="2070" w:type="dxa"/>
            <w:shd w:val="clear" w:color="auto" w:fill="auto"/>
            <w:noWrap/>
            <w:vAlign w:val="bottom"/>
          </w:tcPr>
          <w:p w14:paraId="46F63560"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0.113</w:t>
            </w:r>
          </w:p>
        </w:tc>
      </w:tr>
      <w:tr w:rsidR="00E42813" w:rsidRPr="00D652D5" w14:paraId="6E1A8384" w14:textId="77777777" w:rsidTr="003F5394">
        <w:trPr>
          <w:trHeight w:val="240"/>
        </w:trPr>
        <w:tc>
          <w:tcPr>
            <w:tcW w:w="2977" w:type="dxa"/>
            <w:shd w:val="clear" w:color="auto" w:fill="auto"/>
            <w:noWrap/>
            <w:vAlign w:val="bottom"/>
          </w:tcPr>
          <w:p w14:paraId="05840159"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Uzbekistan</w:t>
            </w:r>
          </w:p>
        </w:tc>
        <w:tc>
          <w:tcPr>
            <w:tcW w:w="2325" w:type="dxa"/>
            <w:shd w:val="clear" w:color="auto" w:fill="auto"/>
            <w:noWrap/>
            <w:vAlign w:val="bottom"/>
          </w:tcPr>
          <w:p w14:paraId="3434543A" w14:textId="77777777" w:rsidR="00E42813" w:rsidRPr="00D652D5" w:rsidRDefault="00E42813" w:rsidP="003F5394">
            <w:pPr>
              <w:suppressAutoHyphens w:val="0"/>
              <w:spacing w:line="240" w:lineRule="auto"/>
              <w:jc w:val="right"/>
              <w:rPr>
                <w:sz w:val="18"/>
                <w:szCs w:val="18"/>
              </w:rPr>
            </w:pPr>
            <w:r w:rsidRPr="00D652D5">
              <w:rPr>
                <w:sz w:val="18"/>
                <w:szCs w:val="18"/>
              </w:rPr>
              <w:t>0.032</w:t>
            </w:r>
          </w:p>
        </w:tc>
        <w:tc>
          <w:tcPr>
            <w:tcW w:w="2070" w:type="dxa"/>
            <w:shd w:val="clear" w:color="auto" w:fill="auto"/>
            <w:noWrap/>
            <w:vAlign w:val="bottom"/>
          </w:tcPr>
          <w:p w14:paraId="569004F1"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0.041</w:t>
            </w:r>
          </w:p>
        </w:tc>
      </w:tr>
      <w:tr w:rsidR="00E42813" w:rsidRPr="00D652D5" w14:paraId="79EA1C27" w14:textId="77777777" w:rsidTr="003F5394">
        <w:trPr>
          <w:trHeight w:val="240"/>
        </w:trPr>
        <w:tc>
          <w:tcPr>
            <w:tcW w:w="2977" w:type="dxa"/>
            <w:shd w:val="clear" w:color="auto" w:fill="auto"/>
            <w:noWrap/>
            <w:vAlign w:val="bottom"/>
          </w:tcPr>
          <w:p w14:paraId="0A34435C"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Vanuatu</w:t>
            </w:r>
          </w:p>
        </w:tc>
        <w:tc>
          <w:tcPr>
            <w:tcW w:w="2325" w:type="dxa"/>
            <w:shd w:val="clear" w:color="auto" w:fill="auto"/>
            <w:noWrap/>
            <w:vAlign w:val="bottom"/>
          </w:tcPr>
          <w:p w14:paraId="1208E330" w14:textId="77777777" w:rsidR="00E42813" w:rsidRPr="00D652D5" w:rsidRDefault="00E42813" w:rsidP="003F5394">
            <w:pPr>
              <w:suppressAutoHyphens w:val="0"/>
              <w:spacing w:line="240" w:lineRule="auto"/>
              <w:jc w:val="right"/>
              <w:rPr>
                <w:sz w:val="18"/>
                <w:szCs w:val="18"/>
              </w:rPr>
            </w:pPr>
            <w:r w:rsidRPr="00D652D5">
              <w:rPr>
                <w:sz w:val="18"/>
                <w:szCs w:val="18"/>
              </w:rPr>
              <w:t>0.001</w:t>
            </w:r>
          </w:p>
        </w:tc>
        <w:tc>
          <w:tcPr>
            <w:tcW w:w="2070" w:type="dxa"/>
            <w:shd w:val="clear" w:color="auto" w:fill="auto"/>
            <w:noWrap/>
            <w:vAlign w:val="bottom"/>
          </w:tcPr>
          <w:p w14:paraId="7A0055D7"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0.001</w:t>
            </w:r>
          </w:p>
        </w:tc>
      </w:tr>
      <w:tr w:rsidR="00E42813" w:rsidRPr="00D652D5" w14:paraId="7F74734E" w14:textId="77777777" w:rsidTr="003F5394">
        <w:trPr>
          <w:trHeight w:val="240"/>
        </w:trPr>
        <w:tc>
          <w:tcPr>
            <w:tcW w:w="2977" w:type="dxa"/>
            <w:shd w:val="clear" w:color="auto" w:fill="auto"/>
            <w:noWrap/>
            <w:vAlign w:val="bottom"/>
          </w:tcPr>
          <w:p w14:paraId="2546F889"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Venezuela (Bolivarian Republic of)</w:t>
            </w:r>
          </w:p>
        </w:tc>
        <w:tc>
          <w:tcPr>
            <w:tcW w:w="2325" w:type="dxa"/>
            <w:shd w:val="clear" w:color="auto" w:fill="auto"/>
            <w:noWrap/>
            <w:vAlign w:val="bottom"/>
          </w:tcPr>
          <w:p w14:paraId="2EB956B1" w14:textId="77777777" w:rsidR="00E42813" w:rsidRPr="00D652D5" w:rsidRDefault="00E42813" w:rsidP="003F5394">
            <w:pPr>
              <w:suppressAutoHyphens w:val="0"/>
              <w:spacing w:line="240" w:lineRule="auto"/>
              <w:jc w:val="right"/>
              <w:rPr>
                <w:sz w:val="18"/>
                <w:szCs w:val="18"/>
              </w:rPr>
            </w:pPr>
            <w:r w:rsidRPr="00D652D5">
              <w:rPr>
                <w:sz w:val="18"/>
                <w:szCs w:val="18"/>
              </w:rPr>
              <w:t>0.728</w:t>
            </w:r>
          </w:p>
        </w:tc>
        <w:tc>
          <w:tcPr>
            <w:tcW w:w="2070" w:type="dxa"/>
            <w:shd w:val="clear" w:color="auto" w:fill="auto"/>
            <w:noWrap/>
            <w:vAlign w:val="bottom"/>
          </w:tcPr>
          <w:p w14:paraId="173FA39D"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0.943</w:t>
            </w:r>
          </w:p>
        </w:tc>
      </w:tr>
      <w:tr w:rsidR="00E42813" w:rsidRPr="00D652D5" w14:paraId="3D91B46F" w14:textId="77777777" w:rsidTr="003F5394">
        <w:trPr>
          <w:trHeight w:val="240"/>
        </w:trPr>
        <w:tc>
          <w:tcPr>
            <w:tcW w:w="2977" w:type="dxa"/>
            <w:shd w:val="clear" w:color="auto" w:fill="auto"/>
            <w:noWrap/>
            <w:vAlign w:val="bottom"/>
          </w:tcPr>
          <w:p w14:paraId="31787D29"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Viet Nam</w:t>
            </w:r>
          </w:p>
        </w:tc>
        <w:tc>
          <w:tcPr>
            <w:tcW w:w="2325" w:type="dxa"/>
            <w:shd w:val="clear" w:color="auto" w:fill="auto"/>
            <w:noWrap/>
            <w:vAlign w:val="bottom"/>
          </w:tcPr>
          <w:p w14:paraId="76665141" w14:textId="77777777" w:rsidR="00E42813" w:rsidRPr="00D652D5" w:rsidRDefault="00E42813" w:rsidP="003F5394">
            <w:pPr>
              <w:suppressAutoHyphens w:val="0"/>
              <w:spacing w:line="240" w:lineRule="auto"/>
              <w:jc w:val="right"/>
              <w:rPr>
                <w:sz w:val="18"/>
                <w:szCs w:val="18"/>
              </w:rPr>
            </w:pPr>
            <w:r w:rsidRPr="00D652D5">
              <w:rPr>
                <w:sz w:val="18"/>
                <w:szCs w:val="18"/>
              </w:rPr>
              <w:t>0.077</w:t>
            </w:r>
          </w:p>
        </w:tc>
        <w:tc>
          <w:tcPr>
            <w:tcW w:w="2070" w:type="dxa"/>
            <w:shd w:val="clear" w:color="auto" w:fill="auto"/>
            <w:noWrap/>
            <w:vAlign w:val="bottom"/>
          </w:tcPr>
          <w:p w14:paraId="4E480FC4"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0.100</w:t>
            </w:r>
          </w:p>
        </w:tc>
      </w:tr>
      <w:tr w:rsidR="00E42813" w:rsidRPr="00D652D5" w14:paraId="75B86A01" w14:textId="77777777" w:rsidTr="003F5394">
        <w:trPr>
          <w:trHeight w:val="240"/>
        </w:trPr>
        <w:tc>
          <w:tcPr>
            <w:tcW w:w="2977" w:type="dxa"/>
            <w:shd w:val="clear" w:color="auto" w:fill="auto"/>
            <w:noWrap/>
            <w:vAlign w:val="bottom"/>
          </w:tcPr>
          <w:p w14:paraId="19C3E530"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Yemen</w:t>
            </w:r>
          </w:p>
        </w:tc>
        <w:tc>
          <w:tcPr>
            <w:tcW w:w="2325" w:type="dxa"/>
            <w:shd w:val="clear" w:color="auto" w:fill="auto"/>
            <w:noWrap/>
            <w:vAlign w:val="bottom"/>
          </w:tcPr>
          <w:p w14:paraId="0B3C1445" w14:textId="77777777" w:rsidR="00E42813" w:rsidRPr="00D652D5" w:rsidRDefault="00E42813" w:rsidP="003F5394">
            <w:pPr>
              <w:suppressAutoHyphens w:val="0"/>
              <w:spacing w:line="240" w:lineRule="auto"/>
              <w:jc w:val="right"/>
              <w:rPr>
                <w:sz w:val="18"/>
                <w:szCs w:val="18"/>
              </w:rPr>
            </w:pPr>
            <w:r w:rsidRPr="00D652D5">
              <w:rPr>
                <w:sz w:val="18"/>
                <w:szCs w:val="18"/>
              </w:rPr>
              <w:t>0.010</w:t>
            </w:r>
          </w:p>
        </w:tc>
        <w:tc>
          <w:tcPr>
            <w:tcW w:w="2070" w:type="dxa"/>
            <w:shd w:val="clear" w:color="auto" w:fill="auto"/>
            <w:noWrap/>
            <w:vAlign w:val="bottom"/>
          </w:tcPr>
          <w:p w14:paraId="1AE24687"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0.013</w:t>
            </w:r>
          </w:p>
        </w:tc>
      </w:tr>
      <w:tr w:rsidR="00E42813" w:rsidRPr="00D652D5" w14:paraId="39D59C7B" w14:textId="77777777" w:rsidTr="003F5394">
        <w:trPr>
          <w:trHeight w:val="240"/>
        </w:trPr>
        <w:tc>
          <w:tcPr>
            <w:tcW w:w="2977" w:type="dxa"/>
            <w:tcBorders>
              <w:bottom w:val="nil"/>
            </w:tcBorders>
            <w:shd w:val="clear" w:color="auto" w:fill="auto"/>
            <w:noWrap/>
            <w:vAlign w:val="bottom"/>
          </w:tcPr>
          <w:p w14:paraId="3EC794B6" w14:textId="77777777" w:rsidR="00E42813" w:rsidRPr="00D652D5" w:rsidRDefault="00E42813" w:rsidP="003F5394">
            <w:pPr>
              <w:suppressAutoHyphens w:val="0"/>
              <w:spacing w:line="240" w:lineRule="auto"/>
              <w:ind w:left="360" w:hanging="360"/>
              <w:rPr>
                <w:rFonts w:eastAsia="MS Mincho"/>
                <w:color w:val="000000"/>
                <w:sz w:val="18"/>
                <w:szCs w:val="18"/>
                <w:lang w:eastAsia="de-DE"/>
              </w:rPr>
            </w:pPr>
            <w:r w:rsidRPr="00D652D5">
              <w:rPr>
                <w:rFonts w:eastAsia="MS Mincho"/>
                <w:color w:val="000000"/>
                <w:sz w:val="18"/>
                <w:szCs w:val="18"/>
                <w:lang w:eastAsia="de-DE"/>
              </w:rPr>
              <w:t>Zambia</w:t>
            </w:r>
          </w:p>
        </w:tc>
        <w:tc>
          <w:tcPr>
            <w:tcW w:w="2325" w:type="dxa"/>
            <w:tcBorders>
              <w:bottom w:val="nil"/>
            </w:tcBorders>
            <w:shd w:val="clear" w:color="auto" w:fill="auto"/>
            <w:noWrap/>
            <w:vAlign w:val="bottom"/>
          </w:tcPr>
          <w:p w14:paraId="09A0D6C6" w14:textId="77777777" w:rsidR="00E42813" w:rsidRPr="00D652D5" w:rsidRDefault="00E42813" w:rsidP="003F5394">
            <w:pPr>
              <w:suppressAutoHyphens w:val="0"/>
              <w:spacing w:line="240" w:lineRule="auto"/>
              <w:jc w:val="right"/>
              <w:rPr>
                <w:sz w:val="18"/>
                <w:szCs w:val="18"/>
              </w:rPr>
            </w:pPr>
            <w:r w:rsidRPr="00D652D5">
              <w:rPr>
                <w:sz w:val="18"/>
                <w:szCs w:val="18"/>
              </w:rPr>
              <w:t>0.009</w:t>
            </w:r>
          </w:p>
        </w:tc>
        <w:tc>
          <w:tcPr>
            <w:tcW w:w="2070" w:type="dxa"/>
            <w:tcBorders>
              <w:bottom w:val="nil"/>
            </w:tcBorders>
            <w:shd w:val="clear" w:color="auto" w:fill="auto"/>
            <w:noWrap/>
            <w:vAlign w:val="bottom"/>
          </w:tcPr>
          <w:p w14:paraId="7A5C166F"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0.012</w:t>
            </w:r>
          </w:p>
        </w:tc>
      </w:tr>
      <w:tr w:rsidR="00E42813" w:rsidRPr="00D652D5" w14:paraId="65119030" w14:textId="77777777" w:rsidTr="003F5394">
        <w:trPr>
          <w:trHeight w:val="240"/>
        </w:trPr>
        <w:tc>
          <w:tcPr>
            <w:tcW w:w="2977" w:type="dxa"/>
            <w:tcBorders>
              <w:top w:val="nil"/>
              <w:bottom w:val="single" w:sz="2" w:space="0" w:color="auto"/>
            </w:tcBorders>
            <w:shd w:val="clear" w:color="auto" w:fill="auto"/>
            <w:noWrap/>
            <w:vAlign w:val="bottom"/>
          </w:tcPr>
          <w:p w14:paraId="52E0F3C6" w14:textId="77777777" w:rsidR="00E42813" w:rsidRPr="00D652D5" w:rsidRDefault="00E42813" w:rsidP="003F5394">
            <w:pPr>
              <w:suppressAutoHyphens w:val="0"/>
              <w:spacing w:line="240" w:lineRule="auto"/>
              <w:ind w:left="278" w:hanging="278"/>
              <w:rPr>
                <w:rFonts w:eastAsia="MS Mincho"/>
                <w:color w:val="000000"/>
                <w:sz w:val="18"/>
                <w:szCs w:val="18"/>
                <w:lang w:eastAsia="de-DE"/>
              </w:rPr>
            </w:pPr>
            <w:r w:rsidRPr="00D652D5">
              <w:rPr>
                <w:rFonts w:eastAsia="MS Mincho"/>
                <w:color w:val="000000"/>
                <w:sz w:val="18"/>
                <w:szCs w:val="18"/>
                <w:lang w:eastAsia="de-DE"/>
              </w:rPr>
              <w:t>Zimbabwe</w:t>
            </w:r>
          </w:p>
        </w:tc>
        <w:tc>
          <w:tcPr>
            <w:tcW w:w="2325" w:type="dxa"/>
            <w:tcBorders>
              <w:top w:val="nil"/>
              <w:bottom w:val="single" w:sz="2" w:space="0" w:color="auto"/>
            </w:tcBorders>
            <w:shd w:val="clear" w:color="auto" w:fill="auto"/>
            <w:noWrap/>
            <w:vAlign w:val="bottom"/>
          </w:tcPr>
          <w:p w14:paraId="1AF4CBA6" w14:textId="77777777" w:rsidR="00E42813" w:rsidRPr="00D652D5" w:rsidRDefault="00E42813" w:rsidP="003F5394">
            <w:pPr>
              <w:suppressAutoHyphens w:val="0"/>
              <w:spacing w:line="240" w:lineRule="auto"/>
              <w:jc w:val="right"/>
              <w:rPr>
                <w:sz w:val="18"/>
                <w:szCs w:val="18"/>
              </w:rPr>
            </w:pPr>
            <w:r w:rsidRPr="00D652D5">
              <w:rPr>
                <w:sz w:val="18"/>
                <w:szCs w:val="18"/>
              </w:rPr>
              <w:t>0.005</w:t>
            </w:r>
          </w:p>
        </w:tc>
        <w:tc>
          <w:tcPr>
            <w:tcW w:w="2070" w:type="dxa"/>
            <w:tcBorders>
              <w:top w:val="nil"/>
              <w:bottom w:val="single" w:sz="2" w:space="0" w:color="auto"/>
            </w:tcBorders>
            <w:shd w:val="clear" w:color="auto" w:fill="auto"/>
            <w:noWrap/>
            <w:vAlign w:val="bottom"/>
          </w:tcPr>
          <w:p w14:paraId="3C35552E" w14:textId="77777777" w:rsidR="00E42813" w:rsidRPr="00D652D5" w:rsidRDefault="00E42813" w:rsidP="003F5394">
            <w:pPr>
              <w:suppressAutoHyphens w:val="0"/>
              <w:spacing w:line="240" w:lineRule="auto"/>
              <w:jc w:val="right"/>
              <w:rPr>
                <w:sz w:val="18"/>
                <w:szCs w:val="18"/>
              </w:rPr>
            </w:pPr>
            <w:r w:rsidRPr="00D652D5">
              <w:rPr>
                <w:color w:val="000000"/>
                <w:sz w:val="18"/>
                <w:szCs w:val="18"/>
              </w:rPr>
              <w:t>0.006</w:t>
            </w:r>
          </w:p>
        </w:tc>
      </w:tr>
      <w:tr w:rsidR="00E42813" w:rsidRPr="00D652D5" w14:paraId="5C3CD52A" w14:textId="77777777" w:rsidTr="00D61C4A">
        <w:trPr>
          <w:trHeight w:val="240"/>
        </w:trPr>
        <w:tc>
          <w:tcPr>
            <w:tcW w:w="2977" w:type="dxa"/>
            <w:tcBorders>
              <w:top w:val="single" w:sz="2" w:space="0" w:color="auto"/>
            </w:tcBorders>
            <w:shd w:val="clear" w:color="auto" w:fill="auto"/>
            <w:noWrap/>
            <w:vAlign w:val="bottom"/>
          </w:tcPr>
          <w:p w14:paraId="6DD57067" w14:textId="77777777" w:rsidR="00E42813" w:rsidRPr="00D652D5" w:rsidRDefault="00E42813" w:rsidP="003F5394">
            <w:pPr>
              <w:suppressAutoHyphens w:val="0"/>
              <w:spacing w:line="240" w:lineRule="auto"/>
              <w:ind w:firstLine="278"/>
              <w:rPr>
                <w:b/>
                <w:sz w:val="18"/>
                <w:szCs w:val="18"/>
              </w:rPr>
            </w:pPr>
            <w:r w:rsidRPr="00D652D5">
              <w:rPr>
                <w:b/>
                <w:sz w:val="18"/>
                <w:szCs w:val="18"/>
              </w:rPr>
              <w:t>Total</w:t>
            </w:r>
          </w:p>
        </w:tc>
        <w:tc>
          <w:tcPr>
            <w:tcW w:w="2325" w:type="dxa"/>
            <w:tcBorders>
              <w:top w:val="single" w:sz="2" w:space="0" w:color="auto"/>
            </w:tcBorders>
            <w:shd w:val="clear" w:color="auto" w:fill="auto"/>
            <w:noWrap/>
            <w:vAlign w:val="bottom"/>
          </w:tcPr>
          <w:p w14:paraId="30461FFF" w14:textId="77777777" w:rsidR="00E42813" w:rsidRPr="00D652D5" w:rsidRDefault="00E42813" w:rsidP="003F5394">
            <w:pPr>
              <w:suppressAutoHyphens w:val="0"/>
              <w:spacing w:line="240" w:lineRule="auto"/>
              <w:jc w:val="right"/>
              <w:rPr>
                <w:rFonts w:eastAsia="MS Mincho"/>
                <w:b/>
                <w:sz w:val="18"/>
                <w:szCs w:val="18"/>
                <w:lang w:eastAsia="de-DE"/>
              </w:rPr>
            </w:pPr>
            <w:r w:rsidRPr="00D652D5">
              <w:rPr>
                <w:b/>
                <w:sz w:val="18"/>
                <w:szCs w:val="18"/>
              </w:rPr>
              <w:t>100.000</w:t>
            </w:r>
          </w:p>
        </w:tc>
        <w:tc>
          <w:tcPr>
            <w:tcW w:w="2070" w:type="dxa"/>
            <w:tcBorders>
              <w:top w:val="single" w:sz="2" w:space="0" w:color="auto"/>
            </w:tcBorders>
            <w:shd w:val="clear" w:color="000000" w:fill="FFFFFF"/>
            <w:noWrap/>
            <w:vAlign w:val="bottom"/>
          </w:tcPr>
          <w:p w14:paraId="0D4647CA" w14:textId="77777777" w:rsidR="00E42813" w:rsidRPr="00D652D5" w:rsidRDefault="00E42813" w:rsidP="003F5394">
            <w:pPr>
              <w:suppressAutoHyphens w:val="0"/>
              <w:spacing w:line="240" w:lineRule="auto"/>
              <w:jc w:val="right"/>
              <w:rPr>
                <w:b/>
                <w:sz w:val="18"/>
                <w:szCs w:val="18"/>
              </w:rPr>
            </w:pPr>
            <w:r w:rsidRPr="00D652D5">
              <w:rPr>
                <w:b/>
                <w:sz w:val="18"/>
                <w:szCs w:val="18"/>
              </w:rPr>
              <w:t>100.000</w:t>
            </w:r>
          </w:p>
        </w:tc>
      </w:tr>
    </w:tbl>
    <w:p w14:paraId="60993ADC" w14:textId="1C9DB98F" w:rsidR="00CB63E2" w:rsidRPr="00D652D5" w:rsidRDefault="00CB63E2" w:rsidP="00CF7617">
      <w:pPr>
        <w:pStyle w:val="RegSingleTxtG"/>
        <w:numPr>
          <w:ilvl w:val="0"/>
          <w:numId w:val="0"/>
        </w:numPr>
        <w:spacing w:before="120"/>
        <w:jc w:val="right"/>
        <w:rPr>
          <w:u w:val="single"/>
          <w:lang w:eastAsia="en-US"/>
        </w:rPr>
      </w:pPr>
      <w:r w:rsidRPr="00D652D5">
        <w:rPr>
          <w:i/>
        </w:rPr>
        <w:t>7</w:t>
      </w:r>
      <w:r w:rsidRPr="00D652D5">
        <w:rPr>
          <w:i/>
          <w:vertAlign w:val="superscript"/>
        </w:rPr>
        <w:t>th</w:t>
      </w:r>
      <w:r w:rsidRPr="00D652D5">
        <w:rPr>
          <w:i/>
        </w:rPr>
        <w:t xml:space="preserve"> plenary meeting</w:t>
      </w:r>
      <w:r w:rsidRPr="00D652D5">
        <w:rPr>
          <w:i/>
        </w:rPr>
        <w:br/>
        <w:t>12 December 2019</w:t>
      </w:r>
    </w:p>
    <w:p w14:paraId="24CAA2B9" w14:textId="2CE4CD00" w:rsidR="00CB63E2" w:rsidRPr="00D652D5" w:rsidRDefault="00CB63E2" w:rsidP="00E42813">
      <w:pPr>
        <w:spacing w:before="240"/>
        <w:ind w:left="1134" w:right="1134"/>
        <w:jc w:val="center"/>
        <w:rPr>
          <w:u w:val="single"/>
          <w:lang w:eastAsia="en-US"/>
        </w:rPr>
        <w:sectPr w:rsidR="00CB63E2" w:rsidRPr="00D652D5" w:rsidSect="00EA4A64">
          <w:headerReference w:type="even" r:id="rId49"/>
          <w:headerReference w:type="default" r:id="rId50"/>
          <w:footerReference w:type="even" r:id="rId51"/>
          <w:footerReference w:type="default" r:id="rId52"/>
          <w:footnotePr>
            <w:numRestart w:val="eachSect"/>
          </w:footnotePr>
          <w:pgSz w:w="11906" w:h="16838" w:code="9"/>
          <w:pgMar w:top="1417" w:right="1134" w:bottom="1134" w:left="1134" w:header="850" w:footer="567" w:gutter="0"/>
          <w:cols w:space="708"/>
          <w:docGrid w:linePitch="360"/>
        </w:sectPr>
      </w:pPr>
    </w:p>
    <w:p w14:paraId="1E5006A1" w14:textId="708F1FB2" w:rsidR="00E42813" w:rsidRPr="00D652D5" w:rsidRDefault="00E42813" w:rsidP="00E42813">
      <w:pPr>
        <w:pStyle w:val="HChG"/>
      </w:pPr>
      <w:r w:rsidRPr="00D652D5">
        <w:lastRenderedPageBreak/>
        <w:tab/>
      </w:r>
      <w:r w:rsidRPr="00D652D5">
        <w:tab/>
      </w:r>
      <w:bookmarkStart w:id="16" w:name="D7"/>
      <w:r w:rsidRPr="00D652D5">
        <w:t xml:space="preserve">Decision </w:t>
      </w:r>
      <w:r w:rsidR="0027033D" w:rsidRPr="00D652D5">
        <w:t>7</w:t>
      </w:r>
      <w:r w:rsidRPr="00D652D5">
        <w:t>/CMP.15</w:t>
      </w:r>
      <w:bookmarkEnd w:id="16"/>
    </w:p>
    <w:p w14:paraId="25F2263B" w14:textId="2754479E" w:rsidR="00CF7617" w:rsidRPr="00D652D5" w:rsidRDefault="00E42813" w:rsidP="00CF7617">
      <w:pPr>
        <w:pStyle w:val="HChG"/>
      </w:pPr>
      <w:r w:rsidRPr="00D652D5">
        <w:tab/>
      </w:r>
      <w:r w:rsidRPr="00D652D5">
        <w:tab/>
      </w:r>
      <w:r w:rsidR="00CF7617" w:rsidRPr="00D652D5">
        <w:t>Administrative, financial and institutional matters</w:t>
      </w:r>
    </w:p>
    <w:p w14:paraId="55B17C0D" w14:textId="1CFB09F5" w:rsidR="00CF7617" w:rsidRPr="00D652D5" w:rsidRDefault="00EA62A1" w:rsidP="00EA62A1">
      <w:pPr>
        <w:pStyle w:val="RegSingleTxtG"/>
        <w:numPr>
          <w:ilvl w:val="0"/>
          <w:numId w:val="0"/>
        </w:numPr>
        <w:ind w:left="1134"/>
        <w:rPr>
          <w:i/>
        </w:rPr>
      </w:pPr>
      <w:r>
        <w:rPr>
          <w:i/>
        </w:rPr>
        <w:tab/>
      </w:r>
      <w:r w:rsidR="00CF7617" w:rsidRPr="00D652D5">
        <w:rPr>
          <w:i/>
        </w:rPr>
        <w:t>The Conference of the Parties serving as the meeting of the Parties to the Kyoto Protocol</w:t>
      </w:r>
      <w:r w:rsidR="00CF7617" w:rsidRPr="00D652D5">
        <w:t>,</w:t>
      </w:r>
    </w:p>
    <w:p w14:paraId="14F0E32B" w14:textId="77079443" w:rsidR="00CF7617" w:rsidRPr="00D652D5" w:rsidRDefault="00EA62A1" w:rsidP="00EA62A1">
      <w:pPr>
        <w:pStyle w:val="RegSingleTxtG"/>
        <w:numPr>
          <w:ilvl w:val="0"/>
          <w:numId w:val="0"/>
        </w:numPr>
        <w:ind w:left="1134"/>
      </w:pPr>
      <w:r>
        <w:rPr>
          <w:i/>
        </w:rPr>
        <w:tab/>
      </w:r>
      <w:r w:rsidR="00CF7617" w:rsidRPr="00D652D5">
        <w:rPr>
          <w:i/>
        </w:rPr>
        <w:t xml:space="preserve">Recalling </w:t>
      </w:r>
      <w:r w:rsidR="00CF7617" w:rsidRPr="00D652D5">
        <w:t>Article 13, paragraph 5, of the Kyoto Protocol,</w:t>
      </w:r>
    </w:p>
    <w:p w14:paraId="78479BB8" w14:textId="4E6E4C65" w:rsidR="00CF7617" w:rsidRPr="00EA62A1" w:rsidRDefault="00EA62A1" w:rsidP="00EA62A1">
      <w:pPr>
        <w:pStyle w:val="RegSingleTxtG"/>
        <w:numPr>
          <w:ilvl w:val="0"/>
          <w:numId w:val="0"/>
        </w:numPr>
        <w:ind w:left="1134"/>
      </w:pPr>
      <w:r>
        <w:rPr>
          <w:i/>
        </w:rPr>
        <w:tab/>
      </w:r>
      <w:r w:rsidR="00CF7617" w:rsidRPr="00D652D5">
        <w:rPr>
          <w:i/>
        </w:rPr>
        <w:t>Also recalling</w:t>
      </w:r>
      <w:r w:rsidR="00CF7617" w:rsidRPr="00D652D5">
        <w:t xml:space="preserve"> decision 18/CP.24, section III, on other budgetary matters,</w:t>
      </w:r>
    </w:p>
    <w:p w14:paraId="6E2DDD66" w14:textId="78759E12" w:rsidR="00CF7617" w:rsidRPr="00D652D5" w:rsidRDefault="00EA62A1" w:rsidP="00EA62A1">
      <w:pPr>
        <w:pStyle w:val="RegSingleTxtG"/>
        <w:numPr>
          <w:ilvl w:val="0"/>
          <w:numId w:val="0"/>
        </w:numPr>
        <w:ind w:left="1134"/>
      </w:pPr>
      <w:r>
        <w:rPr>
          <w:i/>
        </w:rPr>
        <w:tab/>
      </w:r>
      <w:r w:rsidR="00CF7617" w:rsidRPr="00D652D5">
        <w:rPr>
          <w:i/>
        </w:rPr>
        <w:t xml:space="preserve">Further recalling </w:t>
      </w:r>
      <w:r w:rsidR="00CF7617" w:rsidRPr="00D652D5">
        <w:t>the financial procedures for the Conference of the Parties, which also apply to the Kyoto Protocol,</w:t>
      </w:r>
      <w:r w:rsidR="00CF7617" w:rsidRPr="00D652D5">
        <w:rPr>
          <w:rStyle w:val="FootnoteReference"/>
        </w:rPr>
        <w:footnoteReference w:id="23"/>
      </w:r>
    </w:p>
    <w:p w14:paraId="7093801F" w14:textId="77777777" w:rsidR="00CF7617" w:rsidRPr="00D652D5" w:rsidRDefault="00CF7617" w:rsidP="00CF7617">
      <w:pPr>
        <w:pStyle w:val="RegSingleTxtG"/>
        <w:numPr>
          <w:ilvl w:val="0"/>
          <w:numId w:val="0"/>
        </w:numPr>
        <w:spacing w:before="120"/>
        <w:ind w:left="1701" w:right="1174"/>
      </w:pPr>
      <w:r w:rsidRPr="00D652D5">
        <w:rPr>
          <w:i/>
        </w:rPr>
        <w:t>Taking note</w:t>
      </w:r>
      <w:r w:rsidRPr="00D652D5">
        <w:t xml:space="preserve"> of decision 18/CP.25,</w:t>
      </w:r>
    </w:p>
    <w:p w14:paraId="65A71F05" w14:textId="13798C94" w:rsidR="00CF7617" w:rsidRPr="00D652D5" w:rsidRDefault="00EA62A1" w:rsidP="00EA62A1">
      <w:pPr>
        <w:pStyle w:val="RegSingleTxtG"/>
        <w:numPr>
          <w:ilvl w:val="0"/>
          <w:numId w:val="0"/>
        </w:numPr>
        <w:ind w:left="1134"/>
        <w:rPr>
          <w:rFonts w:eastAsia="Times New Roman"/>
          <w:lang w:eastAsia="en-US"/>
        </w:rPr>
      </w:pPr>
      <w:r>
        <w:rPr>
          <w:i/>
        </w:rPr>
        <w:tab/>
      </w:r>
      <w:r w:rsidR="00CF7617" w:rsidRPr="00D652D5">
        <w:rPr>
          <w:i/>
        </w:rPr>
        <w:t>Having</w:t>
      </w:r>
      <w:r w:rsidR="00CF7617" w:rsidRPr="00D652D5">
        <w:rPr>
          <w:rFonts w:eastAsia="Times New Roman"/>
          <w:i/>
          <w:lang w:eastAsia="en-US"/>
        </w:rPr>
        <w:t xml:space="preserve"> </w:t>
      </w:r>
      <w:r w:rsidR="00CF7617" w:rsidRPr="00D652D5">
        <w:rPr>
          <w:i/>
        </w:rPr>
        <w:t>considered</w:t>
      </w:r>
      <w:r w:rsidR="00CF7617" w:rsidRPr="00D652D5">
        <w:rPr>
          <w:rFonts w:eastAsia="Times New Roman"/>
          <w:i/>
          <w:lang w:eastAsia="en-US"/>
        </w:rPr>
        <w:t xml:space="preserve"> </w:t>
      </w:r>
      <w:r w:rsidR="00CF7617" w:rsidRPr="00D652D5">
        <w:rPr>
          <w:rFonts w:eastAsia="Times New Roman"/>
          <w:lang w:eastAsia="en-US"/>
        </w:rPr>
        <w:t xml:space="preserve">the information contained in the documents prepared by the secretariat on administrative, financial and </w:t>
      </w:r>
      <w:r w:rsidR="00CF7617" w:rsidRPr="00EA62A1">
        <w:t>institutional</w:t>
      </w:r>
      <w:r w:rsidR="00CF7617" w:rsidRPr="00D652D5">
        <w:rPr>
          <w:rFonts w:eastAsia="Times New Roman"/>
          <w:lang w:eastAsia="en-US"/>
        </w:rPr>
        <w:t xml:space="preserve"> matters,</w:t>
      </w:r>
      <w:r w:rsidR="00CF7617" w:rsidRPr="00D652D5">
        <w:rPr>
          <w:rStyle w:val="FootnoteReference"/>
          <w:rFonts w:eastAsia="Times New Roman"/>
          <w:lang w:eastAsia="en-US"/>
        </w:rPr>
        <w:footnoteReference w:id="24"/>
      </w:r>
    </w:p>
    <w:p w14:paraId="575DE319" w14:textId="02E1CEDF" w:rsidR="00CF7617" w:rsidRPr="00D652D5" w:rsidRDefault="00EA62A1" w:rsidP="00EA62A1">
      <w:pPr>
        <w:pStyle w:val="RegSingleTxtG"/>
        <w:numPr>
          <w:ilvl w:val="0"/>
          <w:numId w:val="0"/>
        </w:numPr>
        <w:ind w:left="1134"/>
      </w:pPr>
      <w:r>
        <w:rPr>
          <w:i/>
        </w:rPr>
        <w:tab/>
      </w:r>
      <w:r w:rsidR="00CF7617" w:rsidRPr="00D652D5">
        <w:rPr>
          <w:i/>
        </w:rPr>
        <w:t xml:space="preserve">Noting </w:t>
      </w:r>
      <w:r w:rsidR="00CF7617" w:rsidRPr="00D652D5">
        <w:t>that notifications to Parties of their contributions for 2020 were sent to them by 30 September 2019,</w:t>
      </w:r>
    </w:p>
    <w:p w14:paraId="47DE1F95" w14:textId="0E76E9C6" w:rsidR="00CF7617" w:rsidRPr="00D652D5" w:rsidRDefault="00EA62A1" w:rsidP="00EA62A1">
      <w:pPr>
        <w:pStyle w:val="RegSingleTxtG"/>
        <w:numPr>
          <w:ilvl w:val="0"/>
          <w:numId w:val="0"/>
        </w:numPr>
        <w:ind w:left="1134"/>
        <w:rPr>
          <w:rFonts w:eastAsia="Times New Roman"/>
          <w:lang w:eastAsia="en-US"/>
        </w:rPr>
      </w:pPr>
      <w:r>
        <w:rPr>
          <w:i/>
        </w:rPr>
        <w:tab/>
      </w:r>
      <w:r w:rsidR="00CF7617" w:rsidRPr="00D652D5">
        <w:rPr>
          <w:i/>
        </w:rPr>
        <w:t>Welcoming</w:t>
      </w:r>
      <w:r w:rsidR="00CF7617" w:rsidRPr="00D652D5">
        <w:t xml:space="preserve"> ongoing efforts to improve the efficiency and transparency of the UNFCCC budget process,</w:t>
      </w:r>
    </w:p>
    <w:p w14:paraId="2F6E6761" w14:textId="21C2605C" w:rsidR="00CF7617" w:rsidRPr="00D652D5" w:rsidRDefault="006C00BB" w:rsidP="006C00BB">
      <w:pPr>
        <w:pStyle w:val="RegHChG"/>
        <w:numPr>
          <w:ilvl w:val="0"/>
          <w:numId w:val="0"/>
        </w:numPr>
        <w:tabs>
          <w:tab w:val="left" w:pos="1135"/>
        </w:tabs>
        <w:ind w:left="1135" w:hanging="454"/>
      </w:pPr>
      <w:r w:rsidRPr="00D652D5">
        <w:t>I.</w:t>
      </w:r>
      <w:r w:rsidRPr="00D652D5">
        <w:tab/>
      </w:r>
      <w:r w:rsidR="00CF7617" w:rsidRPr="00D652D5">
        <w:t>Budget performance for the biennium 2018–2019</w:t>
      </w:r>
    </w:p>
    <w:p w14:paraId="3980BC52" w14:textId="670ABB5A" w:rsidR="00CF7617" w:rsidRPr="00D652D5" w:rsidRDefault="006C00BB" w:rsidP="006C00BB">
      <w:pPr>
        <w:pStyle w:val="RegSingleTxtG"/>
        <w:numPr>
          <w:ilvl w:val="0"/>
          <w:numId w:val="0"/>
        </w:numPr>
        <w:ind w:left="1134"/>
        <w:rPr>
          <w:rFonts w:eastAsia="Times New Roman"/>
          <w:lang w:eastAsia="en-US"/>
        </w:rPr>
      </w:pPr>
      <w:r w:rsidRPr="00D652D5">
        <w:rPr>
          <w:rFonts w:eastAsia="Times New Roman"/>
          <w:lang w:eastAsia="en-US"/>
        </w:rPr>
        <w:t>1.</w:t>
      </w:r>
      <w:r w:rsidRPr="00D652D5">
        <w:rPr>
          <w:rFonts w:eastAsia="Times New Roman"/>
          <w:lang w:eastAsia="en-US"/>
        </w:rPr>
        <w:tab/>
      </w:r>
      <w:r w:rsidR="00CF7617" w:rsidRPr="00D652D5">
        <w:rPr>
          <w:rFonts w:eastAsia="Times New Roman"/>
          <w:i/>
          <w:lang w:eastAsia="en-US"/>
        </w:rPr>
        <w:t>Takes note</w:t>
      </w:r>
      <w:r w:rsidR="00CF7617" w:rsidRPr="00D652D5">
        <w:rPr>
          <w:rFonts w:eastAsia="Times New Roman"/>
          <w:lang w:eastAsia="en-US"/>
        </w:rPr>
        <w:t xml:space="preserve"> of the information contained in the report on budget performance for the biennium 2018–2019 as at 30 June 2019</w:t>
      </w:r>
      <w:r w:rsidR="00CF7617" w:rsidRPr="00D652D5">
        <w:rPr>
          <w:rStyle w:val="FootnoteReference"/>
          <w:rFonts w:eastAsia="Times New Roman"/>
          <w:lang w:eastAsia="en-US"/>
        </w:rPr>
        <w:footnoteReference w:id="25"/>
      </w:r>
      <w:r w:rsidR="00CF7617" w:rsidRPr="00D652D5">
        <w:rPr>
          <w:rFonts w:eastAsia="Times New Roman"/>
          <w:lang w:eastAsia="en-US"/>
        </w:rPr>
        <w:t xml:space="preserve"> and the note </w:t>
      </w:r>
      <w:r w:rsidR="00CF7617" w:rsidRPr="00D652D5">
        <w:t>on</w:t>
      </w:r>
      <w:r w:rsidR="00CF7617" w:rsidRPr="00D652D5">
        <w:rPr>
          <w:rFonts w:eastAsia="Times New Roman"/>
          <w:lang w:eastAsia="en-US"/>
        </w:rPr>
        <w:t xml:space="preserve"> the status of contributions to the trust funds administered by the secretariat as at 15 November 2019;</w:t>
      </w:r>
      <w:r w:rsidR="00CF7617" w:rsidRPr="00D652D5">
        <w:rPr>
          <w:rStyle w:val="FootnoteReference"/>
          <w:rFonts w:eastAsia="Times New Roman"/>
          <w:lang w:eastAsia="en-US"/>
        </w:rPr>
        <w:footnoteReference w:id="26"/>
      </w:r>
    </w:p>
    <w:p w14:paraId="1AC56597" w14:textId="384C6D52" w:rsidR="00CF7617" w:rsidRPr="00D652D5" w:rsidRDefault="006C00BB" w:rsidP="006C00BB">
      <w:pPr>
        <w:pStyle w:val="RegSingleTxtG"/>
        <w:numPr>
          <w:ilvl w:val="0"/>
          <w:numId w:val="0"/>
        </w:numPr>
        <w:tabs>
          <w:tab w:val="left" w:pos="568"/>
        </w:tabs>
        <w:ind w:left="1135"/>
      </w:pPr>
      <w:r w:rsidRPr="00D652D5">
        <w:t>2.</w:t>
      </w:r>
      <w:r w:rsidRPr="00D652D5">
        <w:tab/>
      </w:r>
      <w:r w:rsidR="00CF7617" w:rsidRPr="00D652D5">
        <w:rPr>
          <w:rFonts w:eastAsia="Times New Roman"/>
          <w:i/>
          <w:lang w:eastAsia="en-US"/>
        </w:rPr>
        <w:t xml:space="preserve">Expresses its </w:t>
      </w:r>
      <w:r w:rsidR="00CF7617" w:rsidRPr="00D652D5">
        <w:rPr>
          <w:i/>
        </w:rPr>
        <w:t>appreciation</w:t>
      </w:r>
      <w:r w:rsidR="00CF7617" w:rsidRPr="00D652D5">
        <w:t xml:space="preserve"> to Parties that made contributions to the core budget, in particular to Parties that made contributions in a timely manner;</w:t>
      </w:r>
    </w:p>
    <w:p w14:paraId="21D7167E" w14:textId="0356E99A" w:rsidR="00CF7617" w:rsidRPr="00D652D5" w:rsidRDefault="006C00BB" w:rsidP="006C00BB">
      <w:pPr>
        <w:pStyle w:val="RegSingleTxtG"/>
        <w:numPr>
          <w:ilvl w:val="0"/>
          <w:numId w:val="0"/>
        </w:numPr>
        <w:tabs>
          <w:tab w:val="left" w:pos="568"/>
        </w:tabs>
        <w:ind w:left="1135"/>
      </w:pPr>
      <w:r w:rsidRPr="00D652D5">
        <w:t>3.</w:t>
      </w:r>
      <w:r w:rsidRPr="00D652D5">
        <w:tab/>
      </w:r>
      <w:r w:rsidR="00CF7617" w:rsidRPr="00D652D5">
        <w:rPr>
          <w:i/>
        </w:rPr>
        <w:t>Expresses concern</w:t>
      </w:r>
      <w:r w:rsidR="00CF7617" w:rsidRPr="00D652D5">
        <w:t xml:space="preserve"> regarding the high level of outstanding contributions to the core budget for the current and previous </w:t>
      </w:r>
      <w:proofErr w:type="spellStart"/>
      <w:r w:rsidR="00CF7617" w:rsidRPr="00D652D5">
        <w:t>bienniums</w:t>
      </w:r>
      <w:proofErr w:type="spellEnd"/>
      <w:r w:rsidR="00CF7617" w:rsidRPr="00D652D5">
        <w:t>, which has resulted in difficulties with cash flow and the effective implementation of activities;</w:t>
      </w:r>
    </w:p>
    <w:p w14:paraId="5386A1EF" w14:textId="79A67EAF" w:rsidR="00CF7617" w:rsidRPr="00D652D5" w:rsidRDefault="006C00BB" w:rsidP="006C00BB">
      <w:pPr>
        <w:pStyle w:val="RegSingleTxtG"/>
        <w:numPr>
          <w:ilvl w:val="0"/>
          <w:numId w:val="0"/>
        </w:numPr>
        <w:tabs>
          <w:tab w:val="left" w:pos="568"/>
        </w:tabs>
        <w:ind w:left="1135"/>
      </w:pPr>
      <w:r w:rsidRPr="00D652D5">
        <w:t>4.</w:t>
      </w:r>
      <w:r w:rsidRPr="00D652D5">
        <w:tab/>
      </w:r>
      <w:r w:rsidR="00CF7617" w:rsidRPr="00D652D5">
        <w:rPr>
          <w:i/>
        </w:rPr>
        <w:t>Strongly urges</w:t>
      </w:r>
      <w:r w:rsidR="00CF7617" w:rsidRPr="00D652D5">
        <w:t xml:space="preserve"> Parties that have not made contributions in full to the core budget for the current and/or previous </w:t>
      </w:r>
      <w:proofErr w:type="spellStart"/>
      <w:r w:rsidR="00CF7617" w:rsidRPr="00D652D5">
        <w:t>bienniums</w:t>
      </w:r>
      <w:proofErr w:type="spellEnd"/>
      <w:r w:rsidR="00CF7617" w:rsidRPr="00D652D5">
        <w:t xml:space="preserve"> to do so without further delay;</w:t>
      </w:r>
    </w:p>
    <w:p w14:paraId="6EFF3692" w14:textId="3A701A1C" w:rsidR="00CF7617" w:rsidRPr="00D652D5" w:rsidRDefault="006C00BB" w:rsidP="006C00BB">
      <w:pPr>
        <w:pStyle w:val="RegSingleTxtG"/>
        <w:numPr>
          <w:ilvl w:val="0"/>
          <w:numId w:val="0"/>
        </w:numPr>
        <w:ind w:left="1134"/>
      </w:pPr>
      <w:r w:rsidRPr="00D652D5">
        <w:t>5.</w:t>
      </w:r>
      <w:r w:rsidRPr="00D652D5">
        <w:tab/>
      </w:r>
      <w:r w:rsidR="00CF7617" w:rsidRPr="00D652D5">
        <w:rPr>
          <w:i/>
        </w:rPr>
        <w:t>Calls upon</w:t>
      </w:r>
      <w:r w:rsidR="00CF7617" w:rsidRPr="00D652D5">
        <w:t xml:space="preserve"> Parties to make their contributions to the core budget for 2020 in a timely manner, noting that letters requesting payment have already been sent by the secretariat to all Parties and bearing in mind that contributions are due on 1 January of each year in accordance with the financial procedures for the Conference of the Parties;</w:t>
      </w:r>
    </w:p>
    <w:p w14:paraId="4FDD7CB1" w14:textId="49722130" w:rsidR="00CF7617" w:rsidRPr="00D652D5" w:rsidRDefault="006C00BB" w:rsidP="006C00BB">
      <w:pPr>
        <w:pStyle w:val="RegSingleTxtG"/>
        <w:numPr>
          <w:ilvl w:val="0"/>
          <w:numId w:val="0"/>
        </w:numPr>
        <w:tabs>
          <w:tab w:val="left" w:pos="568"/>
        </w:tabs>
        <w:ind w:left="1135"/>
      </w:pPr>
      <w:r w:rsidRPr="00D652D5">
        <w:t>6.</w:t>
      </w:r>
      <w:r w:rsidRPr="00D652D5">
        <w:tab/>
      </w:r>
      <w:r w:rsidR="00CF7617" w:rsidRPr="00D652D5">
        <w:rPr>
          <w:i/>
        </w:rPr>
        <w:t>Expresses its appreciation</w:t>
      </w:r>
      <w:r w:rsidR="00CF7617" w:rsidRPr="00D652D5">
        <w:t xml:space="preserve"> for the contributions to the Trust Fund for Participation in the UNFCCC Process and to the Trust Fund for Supplementary Activities received from Parties, including those contributions that allow for greater flexibility in allocation;</w:t>
      </w:r>
    </w:p>
    <w:p w14:paraId="7F0583AA" w14:textId="0F97B11B" w:rsidR="00CF7617" w:rsidRPr="00D652D5" w:rsidRDefault="006C00BB" w:rsidP="006C00BB">
      <w:pPr>
        <w:pStyle w:val="RegSingleTxtG"/>
        <w:numPr>
          <w:ilvl w:val="0"/>
          <w:numId w:val="0"/>
        </w:numPr>
        <w:ind w:left="1134"/>
      </w:pPr>
      <w:r w:rsidRPr="00D652D5">
        <w:t>7.</w:t>
      </w:r>
      <w:r w:rsidRPr="00D652D5">
        <w:tab/>
      </w:r>
      <w:r w:rsidR="00CF7617" w:rsidRPr="00D652D5">
        <w:rPr>
          <w:i/>
        </w:rPr>
        <w:t>Urges</w:t>
      </w:r>
      <w:r w:rsidR="00CF7617" w:rsidRPr="00D652D5">
        <w:t xml:space="preserve"> Parties to further contribute to the Trust Fund for Participation in the UNFCCC Process, in order to ensure the widest possible participation in the negotiations in 2020–2021, and to the Trust Fund for Supplementary Activities; </w:t>
      </w:r>
    </w:p>
    <w:p w14:paraId="11990A25" w14:textId="1B290453" w:rsidR="00CF7617" w:rsidRPr="00D652D5" w:rsidRDefault="006C00BB" w:rsidP="006C00BB">
      <w:pPr>
        <w:pStyle w:val="RegSingleTxtG"/>
        <w:numPr>
          <w:ilvl w:val="0"/>
          <w:numId w:val="0"/>
        </w:numPr>
        <w:tabs>
          <w:tab w:val="left" w:pos="568"/>
        </w:tabs>
        <w:ind w:left="1135"/>
        <w:rPr>
          <w:rFonts w:eastAsia="Times New Roman"/>
          <w:lang w:eastAsia="en-US"/>
        </w:rPr>
      </w:pPr>
      <w:r w:rsidRPr="00D652D5">
        <w:rPr>
          <w:rFonts w:eastAsia="Times New Roman"/>
          <w:lang w:eastAsia="en-US"/>
        </w:rPr>
        <w:t>8.</w:t>
      </w:r>
      <w:r w:rsidRPr="00D652D5">
        <w:rPr>
          <w:rFonts w:eastAsia="Times New Roman"/>
          <w:lang w:eastAsia="en-US"/>
        </w:rPr>
        <w:tab/>
      </w:r>
      <w:r w:rsidR="00CF7617" w:rsidRPr="00D652D5">
        <w:rPr>
          <w:i/>
        </w:rPr>
        <w:t>Reiterates its appreciation</w:t>
      </w:r>
      <w:r w:rsidR="00CF7617" w:rsidRPr="00D652D5">
        <w:t xml:space="preserve"> to the Government of Germany for its annual voluntary contribution to the core budget of EUR 766,938 and its special contribution</w:t>
      </w:r>
      <w:r w:rsidR="00CF7617" w:rsidRPr="00D652D5">
        <w:rPr>
          <w:rFonts w:eastAsia="Times New Roman"/>
          <w:lang w:eastAsia="en-US"/>
        </w:rPr>
        <w:t xml:space="preserve"> of EUR 1,789,522 as Host Government of the secretariat;</w:t>
      </w:r>
    </w:p>
    <w:p w14:paraId="3726EACF" w14:textId="4F4B69DC" w:rsidR="00CF7617" w:rsidRPr="00D652D5" w:rsidRDefault="006C00BB" w:rsidP="006C00BB">
      <w:pPr>
        <w:pStyle w:val="RegSingleTxtG"/>
        <w:numPr>
          <w:ilvl w:val="0"/>
          <w:numId w:val="0"/>
        </w:numPr>
        <w:tabs>
          <w:tab w:val="left" w:pos="568"/>
        </w:tabs>
        <w:ind w:left="1135"/>
        <w:rPr>
          <w:rFonts w:eastAsia="Times New Roman"/>
          <w:lang w:eastAsia="en-US"/>
        </w:rPr>
      </w:pPr>
      <w:r w:rsidRPr="00D652D5">
        <w:rPr>
          <w:rFonts w:eastAsia="Times New Roman"/>
          <w:lang w:eastAsia="en-US"/>
        </w:rPr>
        <w:lastRenderedPageBreak/>
        <w:t>9.</w:t>
      </w:r>
      <w:r w:rsidRPr="00D652D5">
        <w:rPr>
          <w:rFonts w:eastAsia="Times New Roman"/>
          <w:lang w:eastAsia="en-US"/>
        </w:rPr>
        <w:tab/>
      </w:r>
      <w:r w:rsidR="00CF7617" w:rsidRPr="00D652D5">
        <w:rPr>
          <w:rFonts w:eastAsia="Times New Roman"/>
          <w:i/>
          <w:lang w:eastAsia="en-US"/>
        </w:rPr>
        <w:t>Requests</w:t>
      </w:r>
      <w:r w:rsidR="00CF7617" w:rsidRPr="00D652D5">
        <w:rPr>
          <w:rFonts w:eastAsia="Times New Roman"/>
          <w:lang w:eastAsia="en-US"/>
        </w:rPr>
        <w:t xml:space="preserve"> the Executive Secretary to take further measures to recover outstanding contributions and </w:t>
      </w:r>
      <w:r w:rsidR="00CF7617" w:rsidRPr="009A1F67">
        <w:rPr>
          <w:rFonts w:eastAsia="Times New Roman"/>
          <w:i/>
          <w:lang w:eastAsia="en-US"/>
        </w:rPr>
        <w:t>encourages</w:t>
      </w:r>
      <w:r w:rsidR="00CF7617" w:rsidRPr="00D652D5">
        <w:rPr>
          <w:rFonts w:eastAsia="Times New Roman"/>
          <w:lang w:eastAsia="en-US"/>
        </w:rPr>
        <w:t xml:space="preserve"> Parties to pay those outstanding contributions as soon as possible;</w:t>
      </w:r>
    </w:p>
    <w:p w14:paraId="6B0AD7F8" w14:textId="0B1C1482" w:rsidR="00CF7617" w:rsidRPr="00D652D5" w:rsidRDefault="006C00BB" w:rsidP="006C00BB">
      <w:pPr>
        <w:pStyle w:val="RegHChG"/>
        <w:numPr>
          <w:ilvl w:val="0"/>
          <w:numId w:val="0"/>
        </w:numPr>
        <w:tabs>
          <w:tab w:val="left" w:pos="1135"/>
        </w:tabs>
        <w:ind w:left="1135" w:hanging="454"/>
      </w:pPr>
      <w:r w:rsidRPr="00D652D5">
        <w:t>II.</w:t>
      </w:r>
      <w:r w:rsidRPr="00D652D5">
        <w:tab/>
      </w:r>
      <w:r w:rsidR="00CF7617" w:rsidRPr="00D652D5">
        <w:t>Audit report and financial statements for 2018</w:t>
      </w:r>
    </w:p>
    <w:p w14:paraId="1A0C3DF5" w14:textId="55286E4B" w:rsidR="00CF7617" w:rsidRPr="00D652D5" w:rsidRDefault="006C00BB" w:rsidP="006C00BB">
      <w:pPr>
        <w:pStyle w:val="RegSingleTxtG"/>
        <w:numPr>
          <w:ilvl w:val="0"/>
          <w:numId w:val="0"/>
        </w:numPr>
        <w:tabs>
          <w:tab w:val="left" w:pos="568"/>
        </w:tabs>
        <w:ind w:left="1135"/>
        <w:rPr>
          <w:rFonts w:eastAsia="Times New Roman"/>
          <w:lang w:eastAsia="en-US"/>
        </w:rPr>
      </w:pPr>
      <w:r w:rsidRPr="00D652D5">
        <w:rPr>
          <w:rFonts w:eastAsia="Times New Roman"/>
          <w:lang w:eastAsia="en-US"/>
        </w:rPr>
        <w:t>10.</w:t>
      </w:r>
      <w:r w:rsidRPr="00D652D5">
        <w:rPr>
          <w:rFonts w:eastAsia="Times New Roman"/>
          <w:lang w:eastAsia="en-US"/>
        </w:rPr>
        <w:tab/>
      </w:r>
      <w:r w:rsidR="00CF7617" w:rsidRPr="20EC5217">
        <w:rPr>
          <w:rFonts w:eastAsia="Times New Roman"/>
          <w:i/>
          <w:iCs/>
          <w:lang w:eastAsia="en-US"/>
        </w:rPr>
        <w:t>Takes note</w:t>
      </w:r>
      <w:r w:rsidR="00CF7617" w:rsidRPr="00D652D5">
        <w:rPr>
          <w:rFonts w:eastAsia="Times New Roman"/>
          <w:lang w:eastAsia="en-US"/>
        </w:rPr>
        <w:t xml:space="preserve"> of the information contained in the audit report of the United Nations Board of Auditors</w:t>
      </w:r>
      <w:r w:rsidR="00CF7617" w:rsidRPr="00D652D5">
        <w:rPr>
          <w:rStyle w:val="FootnoteReference"/>
          <w:rFonts w:eastAsia="Times New Roman"/>
          <w:lang w:eastAsia="en-US"/>
        </w:rPr>
        <w:footnoteReference w:id="27"/>
      </w:r>
      <w:r w:rsidR="00CF7617" w:rsidRPr="00D652D5">
        <w:rPr>
          <w:rFonts w:eastAsia="Times New Roman"/>
          <w:lang w:eastAsia="en-US"/>
        </w:rPr>
        <w:t xml:space="preserve"> and the financial statements for 2018, which include recommendations, and the comments of the secretariat thereon;</w:t>
      </w:r>
    </w:p>
    <w:p w14:paraId="62B19307" w14:textId="1394F930" w:rsidR="00CF7617" w:rsidRPr="00D652D5" w:rsidRDefault="006C00BB" w:rsidP="006C00BB">
      <w:pPr>
        <w:pStyle w:val="RegSingleTxtG"/>
        <w:numPr>
          <w:ilvl w:val="0"/>
          <w:numId w:val="0"/>
        </w:numPr>
        <w:tabs>
          <w:tab w:val="left" w:pos="568"/>
        </w:tabs>
        <w:ind w:left="1135"/>
        <w:rPr>
          <w:rFonts w:eastAsia="Times New Roman"/>
          <w:lang w:eastAsia="en-US"/>
        </w:rPr>
      </w:pPr>
      <w:r w:rsidRPr="00D652D5">
        <w:rPr>
          <w:rFonts w:eastAsia="Times New Roman"/>
          <w:lang w:eastAsia="en-US"/>
        </w:rPr>
        <w:t>11.</w:t>
      </w:r>
      <w:r w:rsidRPr="00D652D5">
        <w:rPr>
          <w:rFonts w:eastAsia="Times New Roman"/>
          <w:lang w:eastAsia="en-US"/>
        </w:rPr>
        <w:tab/>
      </w:r>
      <w:r w:rsidR="00CF7617" w:rsidRPr="00D652D5">
        <w:rPr>
          <w:rFonts w:eastAsia="Times New Roman"/>
          <w:i/>
          <w:lang w:eastAsia="en-US"/>
        </w:rPr>
        <w:t>Expresses its appreciation</w:t>
      </w:r>
      <w:r w:rsidR="00CF7617" w:rsidRPr="00D652D5">
        <w:rPr>
          <w:rFonts w:eastAsia="Times New Roman"/>
          <w:lang w:eastAsia="en-US"/>
        </w:rPr>
        <w:t xml:space="preserve"> to the United Nations for arranging the audit of the accounts of the Convention;</w:t>
      </w:r>
    </w:p>
    <w:p w14:paraId="51626821" w14:textId="47188AE3" w:rsidR="00CF7617" w:rsidRPr="00D652D5" w:rsidRDefault="006C00BB" w:rsidP="006C00BB">
      <w:pPr>
        <w:pStyle w:val="RegSingleTxtG"/>
        <w:numPr>
          <w:ilvl w:val="0"/>
          <w:numId w:val="0"/>
        </w:numPr>
        <w:tabs>
          <w:tab w:val="left" w:pos="568"/>
        </w:tabs>
        <w:ind w:left="1135"/>
        <w:rPr>
          <w:rFonts w:eastAsia="Times New Roman"/>
          <w:lang w:eastAsia="en-US"/>
        </w:rPr>
      </w:pPr>
      <w:r w:rsidRPr="00D652D5">
        <w:rPr>
          <w:rFonts w:eastAsia="Times New Roman"/>
          <w:lang w:eastAsia="en-US"/>
        </w:rPr>
        <w:t>12.</w:t>
      </w:r>
      <w:r w:rsidRPr="00D652D5">
        <w:rPr>
          <w:rFonts w:eastAsia="Times New Roman"/>
          <w:lang w:eastAsia="en-US"/>
        </w:rPr>
        <w:tab/>
      </w:r>
      <w:r w:rsidR="00CF7617" w:rsidRPr="00D652D5">
        <w:rPr>
          <w:rFonts w:eastAsia="Times New Roman"/>
          <w:i/>
          <w:lang w:eastAsia="en-US"/>
        </w:rPr>
        <w:t>Also expresses its appreciation</w:t>
      </w:r>
      <w:r w:rsidR="00CF7617" w:rsidRPr="00D652D5">
        <w:rPr>
          <w:rFonts w:eastAsia="Times New Roman"/>
          <w:lang w:eastAsia="en-US"/>
        </w:rPr>
        <w:t xml:space="preserve"> to the auditors for the valuable observations and recommendations and the presentation made thereon to Parties;</w:t>
      </w:r>
    </w:p>
    <w:p w14:paraId="4741AC1B" w14:textId="2ADEF98E" w:rsidR="00CF7617" w:rsidRPr="00D652D5" w:rsidRDefault="006C00BB" w:rsidP="006C00BB">
      <w:pPr>
        <w:pStyle w:val="RegSingleTxtG"/>
        <w:numPr>
          <w:ilvl w:val="0"/>
          <w:numId w:val="0"/>
        </w:numPr>
        <w:tabs>
          <w:tab w:val="left" w:pos="568"/>
        </w:tabs>
        <w:ind w:left="1135"/>
        <w:rPr>
          <w:rFonts w:eastAsia="Times New Roman"/>
          <w:lang w:eastAsia="en-US"/>
        </w:rPr>
      </w:pPr>
      <w:r w:rsidRPr="00D652D5">
        <w:rPr>
          <w:rFonts w:eastAsia="Times New Roman"/>
          <w:lang w:eastAsia="en-US"/>
        </w:rPr>
        <w:t>13.</w:t>
      </w:r>
      <w:r w:rsidRPr="00D652D5">
        <w:rPr>
          <w:rFonts w:eastAsia="Times New Roman"/>
          <w:lang w:eastAsia="en-US"/>
        </w:rPr>
        <w:tab/>
      </w:r>
      <w:r w:rsidR="00CF7617" w:rsidRPr="00D652D5">
        <w:rPr>
          <w:rFonts w:eastAsia="Times New Roman"/>
          <w:i/>
          <w:lang w:eastAsia="en-US"/>
        </w:rPr>
        <w:t>Urges</w:t>
      </w:r>
      <w:r w:rsidR="00CF7617" w:rsidRPr="00D652D5">
        <w:rPr>
          <w:rFonts w:eastAsia="Times New Roman"/>
          <w:lang w:eastAsia="en-US"/>
        </w:rPr>
        <w:t xml:space="preserve"> the Executive Secretary to implement the recommendations of the auditors, as appropriate, including those outstanding from the 2017 audit report, and to update Parties on progress in the next audit report;</w:t>
      </w:r>
    </w:p>
    <w:p w14:paraId="3D7453C9" w14:textId="0FF0FB22" w:rsidR="00CF7617" w:rsidRPr="00D652D5" w:rsidRDefault="006C00BB" w:rsidP="006C00BB">
      <w:pPr>
        <w:pStyle w:val="RegSingleTxtG"/>
        <w:numPr>
          <w:ilvl w:val="0"/>
          <w:numId w:val="0"/>
        </w:numPr>
        <w:tabs>
          <w:tab w:val="left" w:pos="568"/>
        </w:tabs>
        <w:ind w:left="1135"/>
        <w:rPr>
          <w:rFonts w:eastAsia="Times New Roman"/>
          <w:lang w:eastAsia="en-US"/>
        </w:rPr>
      </w:pPr>
      <w:r w:rsidRPr="00D652D5">
        <w:rPr>
          <w:rFonts w:eastAsia="Times New Roman"/>
          <w:lang w:eastAsia="en-US"/>
        </w:rPr>
        <w:t>14.</w:t>
      </w:r>
      <w:r w:rsidRPr="00D652D5">
        <w:rPr>
          <w:rFonts w:eastAsia="Times New Roman"/>
          <w:lang w:eastAsia="en-US"/>
        </w:rPr>
        <w:tab/>
      </w:r>
      <w:r w:rsidR="00CF7617" w:rsidRPr="00D652D5">
        <w:rPr>
          <w:rFonts w:eastAsia="Times New Roman"/>
          <w:i/>
          <w:lang w:eastAsia="en-US"/>
        </w:rPr>
        <w:t>Requests</w:t>
      </w:r>
      <w:r w:rsidR="00CF7617" w:rsidRPr="00D652D5">
        <w:rPr>
          <w:rFonts w:eastAsia="Times New Roman"/>
          <w:lang w:eastAsia="en-US"/>
        </w:rPr>
        <w:t xml:space="preserve"> the Executive Secretary in her update to Parties on progress towards implementing the recommendation of the auditors to provide expected timelines for the completion of audit recommendations that are under implementation;</w:t>
      </w:r>
    </w:p>
    <w:p w14:paraId="32BF26E7" w14:textId="322D53B4" w:rsidR="00CF7617" w:rsidRPr="00D652D5" w:rsidRDefault="006C00BB" w:rsidP="006C00BB">
      <w:pPr>
        <w:pStyle w:val="RegHChG"/>
        <w:numPr>
          <w:ilvl w:val="0"/>
          <w:numId w:val="0"/>
        </w:numPr>
        <w:tabs>
          <w:tab w:val="left" w:pos="1135"/>
        </w:tabs>
        <w:ind w:left="1135" w:hanging="454"/>
      </w:pPr>
      <w:r w:rsidRPr="00D652D5">
        <w:t>III.</w:t>
      </w:r>
      <w:r w:rsidRPr="00D652D5">
        <w:tab/>
      </w:r>
      <w:r w:rsidR="00CF7617" w:rsidRPr="00D652D5">
        <w:t>Other budgetary matters</w:t>
      </w:r>
    </w:p>
    <w:p w14:paraId="6A44406F" w14:textId="0C584A76" w:rsidR="00CF7617" w:rsidRPr="00D652D5" w:rsidRDefault="006C00BB" w:rsidP="006C00BB">
      <w:pPr>
        <w:pStyle w:val="RegSingleTxtG"/>
        <w:numPr>
          <w:ilvl w:val="0"/>
          <w:numId w:val="0"/>
        </w:numPr>
        <w:ind w:left="1134"/>
        <w:rPr>
          <w:rFonts w:eastAsia="Times New Roman"/>
          <w:lang w:eastAsia="en-US"/>
        </w:rPr>
      </w:pPr>
      <w:r w:rsidRPr="00D652D5">
        <w:rPr>
          <w:rFonts w:eastAsia="Times New Roman"/>
          <w:lang w:eastAsia="en-US"/>
        </w:rPr>
        <w:t>15.</w:t>
      </w:r>
      <w:r w:rsidRPr="00D652D5">
        <w:rPr>
          <w:rFonts w:eastAsia="Times New Roman"/>
          <w:lang w:eastAsia="en-US"/>
        </w:rPr>
        <w:tab/>
      </w:r>
      <w:r w:rsidR="00CF7617" w:rsidRPr="00D652D5">
        <w:rPr>
          <w:rFonts w:eastAsia="Times New Roman"/>
          <w:i/>
          <w:lang w:eastAsia="en-US"/>
        </w:rPr>
        <w:t>Encourages</w:t>
      </w:r>
      <w:r w:rsidR="00CF7617" w:rsidRPr="00D652D5">
        <w:rPr>
          <w:rFonts w:eastAsia="Times New Roman"/>
          <w:lang w:eastAsia="en-US"/>
        </w:rPr>
        <w:t xml:space="preserve"> the secretariat to enhance its implementation of decision 18/CP.24 in order to continue to improve the transparency and efficiency of the UNFCCC budget with a view to reducing redundancies and increasing cost-efficiency; </w:t>
      </w:r>
    </w:p>
    <w:p w14:paraId="5768DE54" w14:textId="63BAB255" w:rsidR="00CF7617" w:rsidRPr="00D652D5" w:rsidRDefault="006C00BB" w:rsidP="006C00BB">
      <w:pPr>
        <w:pStyle w:val="RegSingleTxtG"/>
        <w:numPr>
          <w:ilvl w:val="0"/>
          <w:numId w:val="0"/>
        </w:numPr>
        <w:ind w:left="1134"/>
        <w:rPr>
          <w:rFonts w:eastAsia="Times New Roman"/>
          <w:lang w:eastAsia="en-US"/>
        </w:rPr>
      </w:pPr>
      <w:r w:rsidRPr="00D652D5">
        <w:rPr>
          <w:rFonts w:eastAsia="Times New Roman"/>
          <w:lang w:eastAsia="en-US"/>
        </w:rPr>
        <w:t>16.</w:t>
      </w:r>
      <w:r w:rsidRPr="00D652D5">
        <w:rPr>
          <w:rFonts w:eastAsia="Times New Roman"/>
          <w:lang w:eastAsia="en-US"/>
        </w:rPr>
        <w:tab/>
      </w:r>
      <w:r w:rsidR="00CF7617" w:rsidRPr="00D652D5">
        <w:rPr>
          <w:rFonts w:eastAsia="Times New Roman"/>
          <w:i/>
          <w:lang w:eastAsia="en-US"/>
        </w:rPr>
        <w:t>Also encourages</w:t>
      </w:r>
      <w:r w:rsidR="00CF7617" w:rsidRPr="00D652D5">
        <w:rPr>
          <w:rFonts w:eastAsia="Times New Roman"/>
          <w:lang w:eastAsia="en-US"/>
        </w:rPr>
        <w:t xml:space="preserve"> Parties to </w:t>
      </w:r>
      <w:proofErr w:type="gramStart"/>
      <w:r w:rsidR="00CF7617" w:rsidRPr="00D652D5">
        <w:rPr>
          <w:rFonts w:eastAsia="Times New Roman"/>
          <w:lang w:eastAsia="en-US"/>
        </w:rPr>
        <w:t>take into account</w:t>
      </w:r>
      <w:proofErr w:type="gramEnd"/>
      <w:r w:rsidR="00CF7617" w:rsidRPr="00D652D5">
        <w:rPr>
          <w:rFonts w:eastAsia="Times New Roman"/>
          <w:lang w:eastAsia="en-US"/>
        </w:rPr>
        <w:t xml:space="preserve"> the budgetary implications of decisions and conclusions in advance of decision-making;</w:t>
      </w:r>
    </w:p>
    <w:p w14:paraId="6D262DF4" w14:textId="172AE5B3" w:rsidR="00CF7617" w:rsidRPr="00D652D5" w:rsidRDefault="006C00BB" w:rsidP="006C00BB">
      <w:pPr>
        <w:pStyle w:val="RegSingleTxtG"/>
        <w:numPr>
          <w:ilvl w:val="0"/>
          <w:numId w:val="0"/>
        </w:numPr>
        <w:ind w:left="1134"/>
        <w:rPr>
          <w:rFonts w:eastAsia="Times New Roman"/>
          <w:lang w:eastAsia="en-US"/>
        </w:rPr>
      </w:pPr>
      <w:r w:rsidRPr="00D652D5">
        <w:rPr>
          <w:rFonts w:eastAsia="Times New Roman"/>
          <w:lang w:eastAsia="en-US"/>
        </w:rPr>
        <w:t>17.</w:t>
      </w:r>
      <w:r w:rsidRPr="00D652D5">
        <w:rPr>
          <w:rFonts w:eastAsia="Times New Roman"/>
          <w:lang w:eastAsia="en-US"/>
        </w:rPr>
        <w:tab/>
      </w:r>
      <w:r w:rsidR="00CF7617" w:rsidRPr="00D652D5">
        <w:rPr>
          <w:rFonts w:eastAsia="Times New Roman"/>
          <w:i/>
          <w:lang w:eastAsia="en-US"/>
        </w:rPr>
        <w:t>Welcomes</w:t>
      </w:r>
      <w:r w:rsidR="00CF7617" w:rsidRPr="00D652D5">
        <w:rPr>
          <w:rFonts w:eastAsia="Times New Roman"/>
          <w:lang w:eastAsia="en-US"/>
        </w:rPr>
        <w:t xml:space="preserve"> the notes by the Executive Secretary on the budgetary implications of UNFCCC mandates: standard costs, prepared for consideration at the fiftieth and fifty-first sessions of the </w:t>
      </w:r>
      <w:r w:rsidR="00CF7617" w:rsidRPr="00D652D5">
        <w:t>Subsidiary Body for Implementation</w:t>
      </w:r>
      <w:r w:rsidR="00CF7617" w:rsidRPr="00D652D5">
        <w:rPr>
          <w:rFonts w:eastAsia="Times New Roman"/>
          <w:lang w:eastAsia="en-US"/>
        </w:rPr>
        <w:t>;</w:t>
      </w:r>
      <w:r w:rsidR="00CF7617" w:rsidRPr="00D652D5">
        <w:rPr>
          <w:rStyle w:val="FootnoteReference"/>
          <w:rFonts w:eastAsia="Times New Roman"/>
          <w:lang w:eastAsia="en-US"/>
        </w:rPr>
        <w:footnoteReference w:id="28"/>
      </w:r>
    </w:p>
    <w:p w14:paraId="6CBDE9FE" w14:textId="038F4AA9" w:rsidR="00CF7617" w:rsidRPr="00D652D5" w:rsidRDefault="006C00BB" w:rsidP="006C00BB">
      <w:pPr>
        <w:pStyle w:val="RegSingleTxtG"/>
        <w:numPr>
          <w:ilvl w:val="0"/>
          <w:numId w:val="0"/>
        </w:numPr>
        <w:ind w:left="1134"/>
        <w:rPr>
          <w:rFonts w:eastAsia="Times New Roman"/>
          <w:lang w:eastAsia="en-US"/>
        </w:rPr>
      </w:pPr>
      <w:r w:rsidRPr="00D652D5">
        <w:rPr>
          <w:rFonts w:eastAsia="Times New Roman"/>
          <w:lang w:eastAsia="en-US"/>
        </w:rPr>
        <w:t>18.</w:t>
      </w:r>
      <w:r w:rsidRPr="00D652D5">
        <w:rPr>
          <w:rFonts w:eastAsia="Times New Roman"/>
          <w:lang w:eastAsia="en-US"/>
        </w:rPr>
        <w:tab/>
      </w:r>
      <w:r w:rsidR="00CF7617" w:rsidRPr="00D652D5">
        <w:rPr>
          <w:rFonts w:eastAsia="Times New Roman"/>
          <w:i/>
          <w:lang w:eastAsia="en-US"/>
        </w:rPr>
        <w:t>Requests</w:t>
      </w:r>
      <w:r w:rsidR="00CF7617" w:rsidRPr="00D652D5">
        <w:rPr>
          <w:rFonts w:eastAsia="Times New Roman"/>
          <w:lang w:eastAsia="en-US"/>
        </w:rPr>
        <w:t xml:space="preserve"> the secretariat to implement the recommendations contained in document FCCC/SBI/2019/INF.4;</w:t>
      </w:r>
    </w:p>
    <w:p w14:paraId="4CC694F5" w14:textId="559656DD" w:rsidR="00CF7617" w:rsidRPr="00D652D5" w:rsidRDefault="006C00BB" w:rsidP="006C00BB">
      <w:pPr>
        <w:pStyle w:val="RegSingleTxtG"/>
        <w:numPr>
          <w:ilvl w:val="0"/>
          <w:numId w:val="0"/>
        </w:numPr>
        <w:ind w:left="1134"/>
      </w:pPr>
      <w:r w:rsidRPr="00D652D5">
        <w:t>19.</w:t>
      </w:r>
      <w:r w:rsidRPr="00D652D5">
        <w:tab/>
      </w:r>
      <w:r w:rsidR="00CF7617" w:rsidRPr="00D652D5">
        <w:rPr>
          <w:rFonts w:eastAsia="Times New Roman"/>
          <w:i/>
          <w:lang w:eastAsia="en-US"/>
        </w:rPr>
        <w:t>Also requests</w:t>
      </w:r>
      <w:r w:rsidR="00CF7617" w:rsidRPr="00D652D5">
        <w:rPr>
          <w:rFonts w:eastAsia="Times New Roman"/>
          <w:lang w:eastAsia="en-US"/>
        </w:rPr>
        <w:t xml:space="preserve"> the secretariat to report on its efforts to further improve the efficiency and transparency of the UNFCCC budget process and documentation for consideration at the first session of the </w:t>
      </w:r>
      <w:r w:rsidR="00CF7617" w:rsidRPr="00D652D5">
        <w:t xml:space="preserve">Subsidiary Body </w:t>
      </w:r>
      <w:r w:rsidR="00CF7617" w:rsidRPr="00D652D5">
        <w:rPr>
          <w:rFonts w:eastAsia="Times New Roman"/>
          <w:lang w:eastAsia="en-US"/>
        </w:rPr>
        <w:t>for</w:t>
      </w:r>
      <w:r w:rsidR="00CF7617" w:rsidRPr="00D652D5">
        <w:t xml:space="preserve"> Implementation </w:t>
      </w:r>
      <w:r w:rsidR="00CF7617" w:rsidRPr="00D652D5">
        <w:rPr>
          <w:rFonts w:eastAsia="Times New Roman"/>
          <w:lang w:eastAsia="en-US"/>
        </w:rPr>
        <w:t>each year, including on its implementation of this decision, and on the provisions on other budgetary matters contained in decision 18/CP.24.</w:t>
      </w:r>
    </w:p>
    <w:p w14:paraId="6940506F" w14:textId="7692111F" w:rsidR="00CF7617" w:rsidRPr="00D652D5" w:rsidRDefault="00CF7617" w:rsidP="00CF7617">
      <w:pPr>
        <w:pStyle w:val="RegSingleTxtG"/>
        <w:numPr>
          <w:ilvl w:val="0"/>
          <w:numId w:val="0"/>
        </w:numPr>
        <w:ind w:left="1134"/>
        <w:jc w:val="right"/>
      </w:pPr>
      <w:r w:rsidRPr="00D652D5">
        <w:rPr>
          <w:i/>
        </w:rPr>
        <w:t>7</w:t>
      </w:r>
      <w:r w:rsidRPr="00D652D5">
        <w:rPr>
          <w:i/>
          <w:vertAlign w:val="superscript"/>
        </w:rPr>
        <w:t>th</w:t>
      </w:r>
      <w:r w:rsidRPr="00D652D5">
        <w:rPr>
          <w:i/>
        </w:rPr>
        <w:t xml:space="preserve"> plenary meeting</w:t>
      </w:r>
      <w:r w:rsidRPr="00D652D5">
        <w:rPr>
          <w:i/>
        </w:rPr>
        <w:br/>
        <w:t>12 December 2019</w:t>
      </w:r>
    </w:p>
    <w:p w14:paraId="55782EDF" w14:textId="77777777" w:rsidR="00EE3F99" w:rsidRPr="00D652D5" w:rsidRDefault="00EE3F99" w:rsidP="007B21F0">
      <w:pPr>
        <w:spacing w:before="240"/>
        <w:ind w:left="1134" w:right="1134"/>
        <w:jc w:val="center"/>
        <w:rPr>
          <w:u w:val="single"/>
        </w:rPr>
        <w:sectPr w:rsidR="00EE3F99" w:rsidRPr="00D652D5" w:rsidSect="00EA4A64">
          <w:headerReference w:type="even" r:id="rId53"/>
          <w:headerReference w:type="default" r:id="rId54"/>
          <w:footerReference w:type="even" r:id="rId55"/>
          <w:footerReference w:type="default" r:id="rId56"/>
          <w:footnotePr>
            <w:numRestart w:val="eachSect"/>
          </w:footnotePr>
          <w:pgSz w:w="11906" w:h="16838" w:code="9"/>
          <w:pgMar w:top="1417" w:right="1134" w:bottom="1134" w:left="1134" w:header="850" w:footer="567" w:gutter="0"/>
          <w:cols w:space="708"/>
          <w:docGrid w:linePitch="360"/>
        </w:sectPr>
      </w:pPr>
    </w:p>
    <w:p w14:paraId="19C261F9" w14:textId="5483A128" w:rsidR="00E42813" w:rsidRPr="00D652D5" w:rsidRDefault="00052BFE" w:rsidP="00052BFE">
      <w:pPr>
        <w:pStyle w:val="HChG"/>
      </w:pPr>
      <w:r w:rsidRPr="00D652D5">
        <w:lastRenderedPageBreak/>
        <w:tab/>
      </w:r>
      <w:r w:rsidRPr="00D652D5">
        <w:tab/>
      </w:r>
      <w:bookmarkStart w:id="17" w:name="R1"/>
      <w:r w:rsidR="00EE3F99" w:rsidRPr="00D652D5">
        <w:t>Resolution 1/CMP.15</w:t>
      </w:r>
      <w:bookmarkEnd w:id="17"/>
    </w:p>
    <w:p w14:paraId="43EDD0F0" w14:textId="0DEC251B" w:rsidR="00A475D5" w:rsidRPr="00D652D5" w:rsidRDefault="00EE3F99" w:rsidP="00A475D5">
      <w:pPr>
        <w:pStyle w:val="HChG"/>
      </w:pPr>
      <w:r w:rsidRPr="00D652D5">
        <w:tab/>
      </w:r>
      <w:r w:rsidRPr="00D652D5">
        <w:tab/>
      </w:r>
      <w:r w:rsidR="00A475D5" w:rsidRPr="00D652D5">
        <w:tab/>
      </w:r>
      <w:bookmarkStart w:id="18" w:name="_Hlk27656960"/>
      <w:r w:rsidR="00A475D5" w:rsidRPr="00D652D5">
        <w:t xml:space="preserve">Expression of gratitude to </w:t>
      </w:r>
      <w:bookmarkStart w:id="19" w:name="_Hlk27041015"/>
      <w:r w:rsidR="008E5A18" w:rsidRPr="00D652D5">
        <w:t xml:space="preserve">the </w:t>
      </w:r>
      <w:r w:rsidR="00A475D5" w:rsidRPr="00D652D5">
        <w:t>Government of the Republic of Chile</w:t>
      </w:r>
      <w:bookmarkEnd w:id="19"/>
      <w:r w:rsidR="00A475D5" w:rsidRPr="00D652D5">
        <w:t>, the Government of the Kingdom of Spain and the people of the city of Madrid</w:t>
      </w:r>
      <w:bookmarkEnd w:id="18"/>
    </w:p>
    <w:p w14:paraId="157558A3" w14:textId="2BE9787D" w:rsidR="00A475D5" w:rsidRPr="00D652D5" w:rsidRDefault="00A475D5" w:rsidP="00A475D5">
      <w:pPr>
        <w:pStyle w:val="H1G"/>
      </w:pPr>
      <w:r w:rsidRPr="00D652D5">
        <w:tab/>
      </w:r>
      <w:r w:rsidR="00796A9A" w:rsidRPr="00D652D5">
        <w:t>R</w:t>
      </w:r>
      <w:r w:rsidRPr="00D652D5">
        <w:t>esolution submitted by the United Kingdom of Great Britain and Northern Ireland</w:t>
      </w:r>
    </w:p>
    <w:p w14:paraId="51D629B3" w14:textId="659CA470" w:rsidR="00A475D5" w:rsidRPr="00D652D5" w:rsidRDefault="002A5A88" w:rsidP="002B73A9">
      <w:pPr>
        <w:pStyle w:val="RegSingleTxtG"/>
        <w:numPr>
          <w:ilvl w:val="0"/>
          <w:numId w:val="0"/>
        </w:numPr>
        <w:ind w:left="1134"/>
        <w:rPr>
          <w:b/>
        </w:rPr>
      </w:pPr>
      <w:r w:rsidRPr="00D652D5">
        <w:tab/>
      </w:r>
      <w:r w:rsidR="00A475D5" w:rsidRPr="002B73A9">
        <w:rPr>
          <w:i/>
        </w:rPr>
        <w:tab/>
        <w:t>The Conference of the Parties, the Conference of the Parties serving as the meeting of the Parties to the Kyoto Protocol and the Conference of the Parties serving as the meeting of the Parties to the Paris Agreement</w:t>
      </w:r>
      <w:r w:rsidR="00A475D5" w:rsidRPr="00D652D5">
        <w:t>,</w:t>
      </w:r>
    </w:p>
    <w:p w14:paraId="200A929E" w14:textId="455D4B82" w:rsidR="00A475D5" w:rsidRPr="00D652D5" w:rsidRDefault="00A475D5" w:rsidP="002B73A9">
      <w:pPr>
        <w:pStyle w:val="RegSingleTxtG"/>
        <w:numPr>
          <w:ilvl w:val="0"/>
          <w:numId w:val="0"/>
        </w:numPr>
        <w:ind w:left="1134"/>
        <w:rPr>
          <w:b/>
        </w:rPr>
      </w:pPr>
      <w:r w:rsidRPr="00D652D5">
        <w:tab/>
      </w:r>
      <w:r w:rsidR="002A5A88" w:rsidRPr="002B73A9">
        <w:rPr>
          <w:i/>
        </w:rPr>
        <w:tab/>
      </w:r>
      <w:r w:rsidRPr="002B73A9">
        <w:rPr>
          <w:i/>
        </w:rPr>
        <w:t>Having met</w:t>
      </w:r>
      <w:r w:rsidRPr="00D652D5">
        <w:t xml:space="preserve"> in Madrid from 2 to 1</w:t>
      </w:r>
      <w:r w:rsidR="00796A9A" w:rsidRPr="00D652D5">
        <w:t>5</w:t>
      </w:r>
      <w:r w:rsidRPr="00D652D5">
        <w:t xml:space="preserve"> December 2019,</w:t>
      </w:r>
    </w:p>
    <w:p w14:paraId="50A78207" w14:textId="2A043C6F" w:rsidR="00A475D5" w:rsidRPr="00D652D5" w:rsidRDefault="006C00BB" w:rsidP="006C00BB">
      <w:pPr>
        <w:pStyle w:val="RegSingleTxtG"/>
        <w:numPr>
          <w:ilvl w:val="0"/>
          <w:numId w:val="0"/>
        </w:numPr>
        <w:ind w:left="1134"/>
      </w:pPr>
      <w:bookmarkStart w:id="20" w:name="_Hlk27037402"/>
      <w:r w:rsidRPr="00D652D5">
        <w:t>1</w:t>
      </w:r>
      <w:bookmarkStart w:id="21" w:name="_GoBack"/>
      <w:bookmarkEnd w:id="21"/>
      <w:r w:rsidRPr="00D652D5">
        <w:t>.</w:t>
      </w:r>
      <w:r w:rsidRPr="00D652D5">
        <w:tab/>
      </w:r>
      <w:r w:rsidR="00A475D5" w:rsidRPr="00D652D5">
        <w:rPr>
          <w:i/>
        </w:rPr>
        <w:t xml:space="preserve">Express their profound gratitude </w:t>
      </w:r>
      <w:r w:rsidR="00A475D5" w:rsidRPr="00D652D5">
        <w:t xml:space="preserve">to the </w:t>
      </w:r>
      <w:bookmarkStart w:id="22" w:name="_Hlk27069105"/>
      <w:r w:rsidR="00A475D5" w:rsidRPr="00D652D5">
        <w:t xml:space="preserve">Government of the Republic of Chile </w:t>
      </w:r>
      <w:bookmarkEnd w:id="22"/>
      <w:r w:rsidR="00A475D5" w:rsidRPr="00D652D5">
        <w:t>and the Government of the Kingdom of Spain for having made it possible for the twenty-fifth session of the Conference of the Parties, the fifteenth session of the Conference of the Parties serving as the meeting of the Parties to the Kyoto Protocol and the second session of the Conference of the Parties serving as the meeting of the Parties to the Paris Agreement to be held in Madrid;</w:t>
      </w:r>
    </w:p>
    <w:bookmarkEnd w:id="20"/>
    <w:p w14:paraId="45341D16" w14:textId="6B5EAC48" w:rsidR="00A475D5" w:rsidRPr="00D652D5" w:rsidRDefault="006C00BB" w:rsidP="006C00BB">
      <w:pPr>
        <w:pStyle w:val="RegSingleTxtG"/>
        <w:numPr>
          <w:ilvl w:val="0"/>
          <w:numId w:val="0"/>
        </w:numPr>
        <w:ind w:left="1134"/>
      </w:pPr>
      <w:r w:rsidRPr="00D652D5">
        <w:t>2.</w:t>
      </w:r>
      <w:r w:rsidRPr="00D652D5">
        <w:tab/>
      </w:r>
      <w:r w:rsidR="00A475D5" w:rsidRPr="00D652D5">
        <w:rPr>
          <w:i/>
        </w:rPr>
        <w:t xml:space="preserve">Request </w:t>
      </w:r>
      <w:r w:rsidR="00A475D5" w:rsidRPr="00D652D5">
        <w:t>the Government of the Kingdom of Spain and the Government of the Republic of Chile to convey to the city and people of Madrid the gratitude of the Conference of the Parties, the Conference of the Parties serving as the meeting of the Parties to the Kyoto Protocol and the Conference of the Parties serving as the meeting of the Parties to the Paris Agreement for the hospitality and warmth extended to the participants.</w:t>
      </w:r>
    </w:p>
    <w:p w14:paraId="606A586A" w14:textId="2BAD5AD4" w:rsidR="00CB63E2" w:rsidRPr="00D652D5" w:rsidRDefault="00CB63E2" w:rsidP="00CB63E2">
      <w:pPr>
        <w:pStyle w:val="RegSingleTxtG"/>
        <w:numPr>
          <w:ilvl w:val="0"/>
          <w:numId w:val="0"/>
        </w:numPr>
        <w:ind w:left="1134"/>
        <w:jc w:val="right"/>
        <w:rPr>
          <w:i/>
        </w:rPr>
      </w:pPr>
      <w:r w:rsidRPr="00D652D5">
        <w:rPr>
          <w:i/>
        </w:rPr>
        <w:t>10</w:t>
      </w:r>
      <w:r w:rsidRPr="00D652D5">
        <w:rPr>
          <w:i/>
          <w:vertAlign w:val="superscript"/>
        </w:rPr>
        <w:t>th</w:t>
      </w:r>
      <w:r w:rsidRPr="00D652D5">
        <w:rPr>
          <w:i/>
        </w:rPr>
        <w:t xml:space="preserve"> plenary meeting</w:t>
      </w:r>
      <w:r w:rsidRPr="00D652D5">
        <w:rPr>
          <w:i/>
        </w:rPr>
        <w:br/>
        <w:t>15 December 2019</w:t>
      </w:r>
    </w:p>
    <w:p w14:paraId="0F6B05AD" w14:textId="0A0ED7C7" w:rsidR="00EA4A64" w:rsidRDefault="00C722E5" w:rsidP="007B21F0">
      <w:pPr>
        <w:spacing w:before="240"/>
        <w:ind w:left="1134" w:right="1134"/>
        <w:jc w:val="center"/>
        <w:rPr>
          <w:u w:val="single"/>
        </w:rPr>
      </w:pPr>
      <w:r w:rsidRPr="00D652D5">
        <w:rPr>
          <w:u w:val="single"/>
        </w:rPr>
        <w:tab/>
      </w:r>
      <w:r w:rsidRPr="00D652D5">
        <w:rPr>
          <w:u w:val="single"/>
        </w:rPr>
        <w:tab/>
      </w:r>
      <w:r w:rsidRPr="00D652D5">
        <w:rPr>
          <w:u w:val="single"/>
        </w:rPr>
        <w:tab/>
      </w:r>
      <w:r w:rsidR="00E005FA" w:rsidRPr="00D652D5">
        <w:rPr>
          <w:u w:val="single"/>
        </w:rPr>
        <w:tab/>
      </w:r>
    </w:p>
    <w:sectPr w:rsidR="00EA4A64" w:rsidSect="00EA4A64">
      <w:headerReference w:type="even" r:id="rId57"/>
      <w:headerReference w:type="default" r:id="rId58"/>
      <w:footerReference w:type="even" r:id="rId59"/>
      <w:footerReference w:type="default" r:id="rId60"/>
      <w:footnotePr>
        <w:numRestart w:val="eachSect"/>
      </w:footnotePr>
      <w:pgSz w:w="11906" w:h="16838" w:code="9"/>
      <w:pgMar w:top="1417" w:right="1134" w:bottom="1134" w:left="1134" w:header="85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EAD986" w14:textId="77777777" w:rsidR="009B6ADC" w:rsidRDefault="009B6ADC">
      <w:r>
        <w:separator/>
      </w:r>
    </w:p>
    <w:p w14:paraId="54A79F54" w14:textId="77777777" w:rsidR="009B6ADC" w:rsidRDefault="009B6ADC"/>
  </w:endnote>
  <w:endnote w:type="continuationSeparator" w:id="0">
    <w:p w14:paraId="16B9F069" w14:textId="77777777" w:rsidR="009B6ADC" w:rsidRDefault="009B6ADC">
      <w:r>
        <w:continuationSeparator/>
      </w:r>
    </w:p>
    <w:p w14:paraId="76489FB1" w14:textId="77777777" w:rsidR="009B6ADC" w:rsidRDefault="009B6ADC"/>
  </w:endnote>
  <w:endnote w:type="continuationNotice" w:id="1">
    <w:p w14:paraId="7399ADAD" w14:textId="77777777" w:rsidR="009B6ADC" w:rsidRDefault="009B6AD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A2A1C4" w14:textId="67CF6452" w:rsidR="002600C7" w:rsidRPr="00EA4A64" w:rsidRDefault="002600C7" w:rsidP="00EA4A64">
    <w:pPr>
      <w:pStyle w:val="Footer"/>
      <w:tabs>
        <w:tab w:val="right" w:pos="9638"/>
      </w:tabs>
    </w:pPr>
    <w:r w:rsidRPr="00EA4A64">
      <w:rPr>
        <w:b/>
        <w:sz w:val="18"/>
      </w:rPr>
      <w:fldChar w:fldCharType="begin"/>
    </w:r>
    <w:r w:rsidRPr="00EA4A64">
      <w:rPr>
        <w:b/>
        <w:sz w:val="18"/>
      </w:rPr>
      <w:instrText xml:space="preserve"> PAGE  \* MERGEFORMAT </w:instrText>
    </w:r>
    <w:r w:rsidRPr="00EA4A64">
      <w:rPr>
        <w:b/>
        <w:sz w:val="18"/>
      </w:rPr>
      <w:fldChar w:fldCharType="separate"/>
    </w:r>
    <w:r w:rsidRPr="00EA4A64">
      <w:rPr>
        <w:b/>
        <w:noProof/>
        <w:sz w:val="18"/>
      </w:rPr>
      <w:t>3</w:t>
    </w:r>
    <w:r w:rsidRPr="00EA4A64">
      <w:rPr>
        <w:b/>
        <w:sz w:val="18"/>
      </w:rPr>
      <w:fldChar w:fldCharType="end"/>
    </w:r>
    <w:r>
      <w:rPr>
        <w:sz w:val="18"/>
      </w:rP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F3BE8" w14:textId="051A3891" w:rsidR="002600C7" w:rsidRPr="00EA4A64" w:rsidRDefault="002600C7" w:rsidP="00EA4A64">
    <w:pPr>
      <w:pStyle w:val="Footer"/>
      <w:tabs>
        <w:tab w:val="right" w:pos="9638"/>
      </w:tabs>
      <w:rPr>
        <w:b/>
        <w:sz w:val="18"/>
      </w:rPr>
    </w:pPr>
    <w:r>
      <w:tab/>
    </w:r>
    <w:r w:rsidRPr="00EA4A64">
      <w:rPr>
        <w:b/>
        <w:sz w:val="18"/>
      </w:rPr>
      <w:fldChar w:fldCharType="begin"/>
    </w:r>
    <w:r w:rsidRPr="00EA4A64">
      <w:rPr>
        <w:b/>
        <w:sz w:val="18"/>
      </w:rPr>
      <w:instrText xml:space="preserve"> PAGE  \* MERGEFORMAT </w:instrText>
    </w:r>
    <w:r w:rsidRPr="00EA4A64">
      <w:rPr>
        <w:b/>
        <w:sz w:val="18"/>
      </w:rPr>
      <w:fldChar w:fldCharType="separate"/>
    </w:r>
    <w:r w:rsidRPr="00EA4A64">
      <w:rPr>
        <w:b/>
        <w:noProof/>
        <w:sz w:val="18"/>
      </w:rPr>
      <w:t>14</w:t>
    </w:r>
    <w:r w:rsidRPr="00EA4A64">
      <w:rPr>
        <w:b/>
        <w:sz w:val="18"/>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5368B" w14:textId="77777777" w:rsidR="002600C7" w:rsidRPr="00EA4A64" w:rsidRDefault="002600C7" w:rsidP="00EA4A64">
    <w:pPr>
      <w:pStyle w:val="Footer"/>
      <w:tabs>
        <w:tab w:val="right" w:pos="9638"/>
      </w:tabs>
    </w:pPr>
    <w:r w:rsidRPr="00EA4A64">
      <w:rPr>
        <w:b/>
        <w:sz w:val="18"/>
      </w:rPr>
      <w:fldChar w:fldCharType="begin"/>
    </w:r>
    <w:r w:rsidRPr="00EA4A64">
      <w:rPr>
        <w:b/>
        <w:sz w:val="18"/>
      </w:rPr>
      <w:instrText xml:space="preserve"> PAGE  \* MERGEFORMAT </w:instrText>
    </w:r>
    <w:r w:rsidRPr="00EA4A64">
      <w:rPr>
        <w:b/>
        <w:sz w:val="18"/>
      </w:rPr>
      <w:fldChar w:fldCharType="separate"/>
    </w:r>
    <w:r w:rsidRPr="00EA4A64">
      <w:rPr>
        <w:b/>
        <w:noProof/>
        <w:sz w:val="18"/>
      </w:rPr>
      <w:t>13</w:t>
    </w:r>
    <w:r w:rsidRPr="00EA4A64">
      <w:rPr>
        <w:b/>
        <w:sz w:val="18"/>
      </w:rPr>
      <w:fldChar w:fldCharType="end"/>
    </w:r>
    <w:r>
      <w:rPr>
        <w:sz w:val="18"/>
      </w:rPr>
      <w:tab/>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237C5A" w14:textId="79B9BEF9" w:rsidR="002600C7" w:rsidRPr="00EA4A64" w:rsidRDefault="002600C7" w:rsidP="00EA4A64">
    <w:pPr>
      <w:pStyle w:val="Footer"/>
    </w:pPr>
    <w:r>
      <w:rPr>
        <w:noProof/>
      </w:rPr>
      <mc:AlternateContent>
        <mc:Choice Requires="wps">
          <w:drawing>
            <wp:anchor distT="0" distB="0" distL="114300" distR="114300" simplePos="0" relativeHeight="251663362" behindDoc="0" locked="0" layoutInCell="1" allowOverlap="1" wp14:anchorId="65E06199" wp14:editId="3488E151">
              <wp:simplePos x="0" y="0"/>
              <wp:positionH relativeFrom="margin">
                <wp:posOffset>-431800</wp:posOffset>
              </wp:positionH>
              <wp:positionV relativeFrom="margin">
                <wp:posOffset>0</wp:posOffset>
              </wp:positionV>
              <wp:extent cx="222885" cy="6120130"/>
              <wp:effectExtent l="0" t="0" r="5715" b="1397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885"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112DA836" w14:textId="77777777" w:rsidR="002600C7" w:rsidRPr="00EA4A64" w:rsidRDefault="002600C7" w:rsidP="00EA4A64">
                          <w:pPr>
                            <w:pStyle w:val="Footer"/>
                            <w:tabs>
                              <w:tab w:val="right" w:pos="9638"/>
                            </w:tabs>
                          </w:pPr>
                          <w:r w:rsidRPr="00EA4A64">
                            <w:rPr>
                              <w:b/>
                              <w:sz w:val="18"/>
                            </w:rPr>
                            <w:fldChar w:fldCharType="begin"/>
                          </w:r>
                          <w:r w:rsidRPr="00EA4A64">
                            <w:rPr>
                              <w:b/>
                              <w:sz w:val="18"/>
                            </w:rPr>
                            <w:instrText xml:space="preserve"> PAGE  \* MERGEFORMAT </w:instrText>
                          </w:r>
                          <w:r w:rsidRPr="00EA4A64">
                            <w:rPr>
                              <w:b/>
                              <w:sz w:val="18"/>
                            </w:rPr>
                            <w:fldChar w:fldCharType="separate"/>
                          </w:r>
                          <w:r>
                            <w:rPr>
                              <w:b/>
                              <w:sz w:val="18"/>
                            </w:rPr>
                            <w:t>16</w:t>
                          </w:r>
                          <w:r w:rsidRPr="00EA4A64">
                            <w:rPr>
                              <w:b/>
                              <w:sz w:val="18"/>
                            </w:rPr>
                            <w:fldChar w:fldCharType="end"/>
                          </w:r>
                          <w:r>
                            <w:rPr>
                              <w:sz w:val="18"/>
                            </w:rPr>
                            <w:tab/>
                          </w:r>
                        </w:p>
                        <w:p w14:paraId="4C35A079" w14:textId="77777777" w:rsidR="002600C7" w:rsidRDefault="002600C7"/>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65E06199" id="_x0000_t202" coordsize="21600,21600" o:spt="202" path="m,l,21600r21600,l21600,xe">
              <v:stroke joinstyle="miter"/>
              <v:path gradientshapeok="t" o:connecttype="rect"/>
            </v:shapetype>
            <v:shape id="Text Box 9" o:spid="_x0000_s1028" type="#_x0000_t202" style="position:absolute;margin-left:-34pt;margin-top:0;width:17.55pt;height:481.9pt;z-index:251663362;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96K6wIAAIEGAAAOAAAAZHJzL2Uyb0RvYy54bWzEVd9P2zAQfp+0/8Hye8mPldJEpKjQdZpU&#10;ARJMPF8dp4lwbM9227Bp//vOTgMM9sCmSXtxL/b5fN93311Pz7pWkB03tlGyoMlRTAmXTJWN3BT0&#10;y+1yNKXEOpAlCCV5QR+4pWez9+9O9zrnqaqVKLkhGETafK8LWjun8yiyrOYt2COlucTDSpkWHH6a&#10;TVQa2GP0VkRpHE+ivTKlNopxa3F30R/SWYhfVZy5q6qy3BFRUMzNhdWEde3XaHYK+caArht2SAP+&#10;IosWGomPPoZagAOyNc2rUG3DjLKqckdMtZGqqobxgAHRJPELNDc1aB6wIDlWP9Jk/11Ydrm7NqQp&#10;C5pRIqHFEt3yzpFz1ZHMs7PXNkenG41ursNtrHJAavVKsXuLLtEzn/6CRW/PRleZ1v8iToIXsQAP&#10;j6T7Vxhupmk6nR5TwvBokiALH0JVoqfb2lj3iauWeKOgBosaMoDdyjr/PuSDi39MqmUjRCiskGSP&#10;yI5THx9QXpUAh2arEbCVG0pAbFC3zJkQ8dlVH3EBtiY7QOlYJZqyF4tRW1mG6DWH8qMsiXvQSJtE&#10;fVP/XMtLSgTHsN4Kng4a8RZPRCKkx4DkILaD1Qvpe5ak4/g8zUbLyfRkNF6Oj0fZSTwdxUl2nk3i&#10;cTZeLH94GMk4r5uy5HLVSD6IOhm/TTSH9urlGGT9ZxQGpnwBfPKexAtheg7XAti95wNRvvL6D1T/&#10;QlPIClkffgP7Qdi9lr3EXbfuQqukQ2OsVfmAfWEUyhLFbTVbNgh5BdZdg8FBgps4HN0VLpVQKA51&#10;sCiplfn2u33vX1C/oppwMKH4vm7BoLbEZ4md76fYYJjBWA+G3LYXCgWbhGyCiReME4NZGdXe4cyc&#10;+1fwCCTDTAqKr/XmhevHI85cxufz4ISzSoNbyRvNhvb3pb3t7sDoQ1s6ZO9SDSML8hfd2ft6UUg1&#10;3zpVNaF1Pa89i8i8/8A5F2pwmMl+kD7/Dl5P/xyznwAAAP//AwBQSwMEFAAGAAgAAAAhAJlhwP7f&#10;AAAACAEAAA8AAABkcnMvZG93bnJldi54bWxMj8FqwzAQRO+F/oPYQG+OHAeM43odQktaaKFQtx+g&#10;WBtbxJKMJCf231c9tZeBZZaZN9V+1gO7kvPKGoTNOgVGprVSmQ7h++uYFMB8EEaKwRpCWMjDvr6/&#10;q0Qp7c180rUJHYshxpcCoQ9hLDn3bU9a+LUdyUTvbJ0WIZ6u49KJWwzXA8/SNOdaKBMbejHSU0/t&#10;pZk0gno+us3rQdmPZrk02YvNp/flDfFhNR8egQWaw98z/OJHdKgj08lORno2ICR5EbcEhKjRTrbZ&#10;DtgJYZdvC+B1xf8PqH8AAAD//wMAUEsBAi0AFAAGAAgAAAAhALaDOJL+AAAA4QEAABMAAAAAAAAA&#10;AAAAAAAAAAAAAFtDb250ZW50X1R5cGVzXS54bWxQSwECLQAUAAYACAAAACEAOP0h/9YAAACUAQAA&#10;CwAAAAAAAAAAAAAAAAAvAQAAX3JlbHMvLnJlbHNQSwECLQAUAAYACAAAACEAnh/eiusCAACBBgAA&#10;DgAAAAAAAAAAAAAAAAAuAgAAZHJzL2Uyb0RvYy54bWxQSwECLQAUAAYACAAAACEAmWHA/t8AAAAI&#10;AQAADwAAAAAAAAAAAAAAAABFBQAAZHJzL2Rvd25yZXYueG1sUEsFBgAAAAAEAAQA8wAAAFEGAAAA&#10;AA==&#10;" filled="f" stroked="f">
              <v:stroke joinstyle="round"/>
              <v:path arrowok="t"/>
              <v:textbox style="layout-flow:vertical" inset="0,0,0,0">
                <w:txbxContent>
                  <w:p w14:paraId="112DA836" w14:textId="77777777" w:rsidR="002600C7" w:rsidRPr="00EA4A64" w:rsidRDefault="002600C7" w:rsidP="00EA4A64">
                    <w:pPr>
                      <w:pStyle w:val="Footer"/>
                      <w:tabs>
                        <w:tab w:val="right" w:pos="9638"/>
                      </w:tabs>
                    </w:pPr>
                    <w:r w:rsidRPr="00EA4A64">
                      <w:rPr>
                        <w:b/>
                        <w:sz w:val="18"/>
                      </w:rPr>
                      <w:fldChar w:fldCharType="begin"/>
                    </w:r>
                    <w:r w:rsidRPr="00EA4A64">
                      <w:rPr>
                        <w:b/>
                        <w:sz w:val="18"/>
                      </w:rPr>
                      <w:instrText xml:space="preserve"> PAGE  \* MERGEFORMAT </w:instrText>
                    </w:r>
                    <w:r w:rsidRPr="00EA4A64">
                      <w:rPr>
                        <w:b/>
                        <w:sz w:val="18"/>
                      </w:rPr>
                      <w:fldChar w:fldCharType="separate"/>
                    </w:r>
                    <w:r>
                      <w:rPr>
                        <w:b/>
                        <w:sz w:val="18"/>
                      </w:rPr>
                      <w:t>16</w:t>
                    </w:r>
                    <w:r w:rsidRPr="00EA4A64">
                      <w:rPr>
                        <w:b/>
                        <w:sz w:val="18"/>
                      </w:rPr>
                      <w:fldChar w:fldCharType="end"/>
                    </w:r>
                    <w:r>
                      <w:rPr>
                        <w:sz w:val="18"/>
                      </w:rPr>
                      <w:tab/>
                    </w:r>
                  </w:p>
                  <w:p w14:paraId="4C35A079" w14:textId="77777777" w:rsidR="002600C7" w:rsidRDefault="002600C7"/>
                </w:txbxContent>
              </v:textbox>
              <w10:wrap anchorx="margin" anchory="margin"/>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11A7F6" w14:textId="17AD5335" w:rsidR="002600C7" w:rsidRPr="00EA4A64" w:rsidRDefault="002600C7" w:rsidP="00EA4A64">
    <w:pPr>
      <w:pStyle w:val="Footer"/>
    </w:pPr>
    <w:r>
      <w:rPr>
        <w:noProof/>
      </w:rPr>
      <mc:AlternateContent>
        <mc:Choice Requires="wps">
          <w:drawing>
            <wp:anchor distT="0" distB="0" distL="114300" distR="114300" simplePos="0" relativeHeight="251665410" behindDoc="0" locked="0" layoutInCell="1" allowOverlap="1" wp14:anchorId="6F5DE700" wp14:editId="22279E30">
              <wp:simplePos x="0" y="0"/>
              <wp:positionH relativeFrom="margin">
                <wp:posOffset>-431800</wp:posOffset>
              </wp:positionH>
              <wp:positionV relativeFrom="margin">
                <wp:posOffset>0</wp:posOffset>
              </wp:positionV>
              <wp:extent cx="222885" cy="6120130"/>
              <wp:effectExtent l="0" t="0" r="5715" b="1397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885"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02C977C9" w14:textId="77777777" w:rsidR="002600C7" w:rsidRPr="00EA4A64" w:rsidRDefault="002600C7" w:rsidP="00EA4A64">
                          <w:pPr>
                            <w:pStyle w:val="Footer"/>
                            <w:tabs>
                              <w:tab w:val="right" w:pos="9638"/>
                            </w:tabs>
                            <w:rPr>
                              <w:b/>
                              <w:sz w:val="18"/>
                            </w:rPr>
                          </w:pPr>
                          <w:r>
                            <w:tab/>
                          </w:r>
                          <w:r w:rsidRPr="00EA4A64">
                            <w:rPr>
                              <w:b/>
                              <w:sz w:val="18"/>
                            </w:rPr>
                            <w:fldChar w:fldCharType="begin"/>
                          </w:r>
                          <w:r w:rsidRPr="00EA4A64">
                            <w:rPr>
                              <w:b/>
                              <w:sz w:val="18"/>
                            </w:rPr>
                            <w:instrText xml:space="preserve"> PAGE  \* MERGEFORMAT </w:instrText>
                          </w:r>
                          <w:r w:rsidRPr="00EA4A64">
                            <w:rPr>
                              <w:b/>
                              <w:sz w:val="18"/>
                            </w:rPr>
                            <w:fldChar w:fldCharType="separate"/>
                          </w:r>
                          <w:r>
                            <w:rPr>
                              <w:b/>
                              <w:sz w:val="18"/>
                            </w:rPr>
                            <w:t>15</w:t>
                          </w:r>
                          <w:r w:rsidRPr="00EA4A64">
                            <w:rPr>
                              <w:b/>
                              <w:sz w:val="18"/>
                            </w:rPr>
                            <w:fldChar w:fldCharType="end"/>
                          </w:r>
                        </w:p>
                        <w:p w14:paraId="7986220C" w14:textId="77777777" w:rsidR="002600C7" w:rsidRDefault="002600C7"/>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6F5DE700" id="_x0000_t202" coordsize="21600,21600" o:spt="202" path="m,l,21600r21600,l21600,xe">
              <v:stroke joinstyle="miter"/>
              <v:path gradientshapeok="t" o:connecttype="rect"/>
            </v:shapetype>
            <v:shape id="Text Box 15" o:spid="_x0000_s1029" type="#_x0000_t202" style="position:absolute;margin-left:-34pt;margin-top:0;width:17.55pt;height:481.9pt;z-index:251665410;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QzO6wIAAIMGAAAOAAAAZHJzL2Uyb0RvYy54bWzEVV1P2zAUfZ+0/2D5vaQNpWsjUlToOk2q&#10;AAkmnl3HaSIc27PdDzbtv+/YaYDBHtg0aS/OtX19P8499+b0bN9IshXW1VrldHDUp0QorotarXP6&#10;5XbRG1PiPFMFk1qJnD4IR8+m79+d7kwmUl1pWQhLYES5bGdyWnlvsiRxvBINc0faCIXLUtuGeWzt&#10;Oiks28F6I5O03x8lO20LYzUXzuF03l7SabRfloL7q7J0whOZU8Tm42rjugprMj1l2doyU9X8EAb7&#10;iygaVis4fTQ1Z56Rja1fmWpqbrXTpT/iukl0WdZcxByQzaD/IpubihkRcwE4zjzC5P6dWX65vbak&#10;LlC7E0oUa1CjW7H35FzvCY6Az864DGo3Bop+j3PoxlydWWp+76CSPNNpHzhoBzz2pW3CF5kSPEQJ&#10;Hh5hD244DtM0HY/hneNqNAAOx7EuydNrY53/JHRDgpBTi7LGCNh26Xzwz7JOJThTelFLGUsrFdnl&#10;dHKSBvsMBCsl8xAbg5SdWlPC5BrM5d5Gi8+eBotz5iqyZSCP07IuWrpYvVFFtF4JVnxUBfEPBrgp&#10;MJwGd40oKJECZoMUNT2r5Vs0kYlUIQeAg9wOUkul75NBOuyfp5PeYjT+0Bsuhie9yYf+uNcfTM4n&#10;o/5wMpwvfoQ0BsOsqotCqGWtREfrwfBttDk0WEvISOw/gzAiFQoQgg8gXkjbYriSjN8HPJDlK63/&#10;APUvMMWogHr3jehHYrdcDhT3+9U+Nstx1xgrXTygL6wGLUFuZ/iiRspL5vw1sxglOMR49FdYSqlB&#10;Dn2QKKm0/fa786Cf07CCTRhNIN/XDbPglvys0PthjnWC7YRVJ6hNc6FB2EGMJop4YL3sxNLq5g5T&#10;cxa84IopjkhyCm+teOHbAYmpy8VsFpUwrQzzS3VjeNf+obS3+ztmzaEtPdC71N3QYtmL7mx1AymU&#10;nm28LuvYugHXFkUgHzaYdLEGh6kcRunzfdR6+ndMfwIAAP//AwBQSwMEFAAGAAgAAAAhAJlhwP7f&#10;AAAACAEAAA8AAABkcnMvZG93bnJldi54bWxMj8FqwzAQRO+F/oPYQG+OHAeM43odQktaaKFQtx+g&#10;WBtbxJKMJCf231c9tZeBZZaZN9V+1gO7kvPKGoTNOgVGprVSmQ7h++uYFMB8EEaKwRpCWMjDvr6/&#10;q0Qp7c180rUJHYshxpcCoQ9hLDn3bU9a+LUdyUTvbJ0WIZ6u49KJWwzXA8/SNOdaKBMbejHSU0/t&#10;pZk0gno+us3rQdmPZrk02YvNp/flDfFhNR8egQWaw98z/OJHdKgj08lORno2ICR5EbcEhKjRTrbZ&#10;DtgJYZdvC+B1xf8PqH8AAAD//wMAUEsBAi0AFAAGAAgAAAAhALaDOJL+AAAA4QEAABMAAAAAAAAA&#10;AAAAAAAAAAAAAFtDb250ZW50X1R5cGVzXS54bWxQSwECLQAUAAYACAAAACEAOP0h/9YAAACUAQAA&#10;CwAAAAAAAAAAAAAAAAAvAQAAX3JlbHMvLnJlbHNQSwECLQAUAAYACAAAACEAz0UMzusCAACDBgAA&#10;DgAAAAAAAAAAAAAAAAAuAgAAZHJzL2Uyb0RvYy54bWxQSwECLQAUAAYACAAAACEAmWHA/t8AAAAI&#10;AQAADwAAAAAAAAAAAAAAAABFBQAAZHJzL2Rvd25yZXYueG1sUEsFBgAAAAAEAAQA8wAAAFEGAAAA&#10;AA==&#10;" filled="f" stroked="f">
              <v:stroke joinstyle="round"/>
              <v:path arrowok="t"/>
              <v:textbox style="layout-flow:vertical" inset="0,0,0,0">
                <w:txbxContent>
                  <w:p w14:paraId="02C977C9" w14:textId="77777777" w:rsidR="002600C7" w:rsidRPr="00EA4A64" w:rsidRDefault="002600C7" w:rsidP="00EA4A64">
                    <w:pPr>
                      <w:pStyle w:val="Footer"/>
                      <w:tabs>
                        <w:tab w:val="right" w:pos="9638"/>
                      </w:tabs>
                      <w:rPr>
                        <w:b/>
                        <w:sz w:val="18"/>
                      </w:rPr>
                    </w:pPr>
                    <w:r>
                      <w:tab/>
                    </w:r>
                    <w:r w:rsidRPr="00EA4A64">
                      <w:rPr>
                        <w:b/>
                        <w:sz w:val="18"/>
                      </w:rPr>
                      <w:fldChar w:fldCharType="begin"/>
                    </w:r>
                    <w:r w:rsidRPr="00EA4A64">
                      <w:rPr>
                        <w:b/>
                        <w:sz w:val="18"/>
                      </w:rPr>
                      <w:instrText xml:space="preserve"> PAGE  \* MERGEFORMAT </w:instrText>
                    </w:r>
                    <w:r w:rsidRPr="00EA4A64">
                      <w:rPr>
                        <w:b/>
                        <w:sz w:val="18"/>
                      </w:rPr>
                      <w:fldChar w:fldCharType="separate"/>
                    </w:r>
                    <w:r>
                      <w:rPr>
                        <w:b/>
                        <w:sz w:val="18"/>
                      </w:rPr>
                      <w:t>15</w:t>
                    </w:r>
                    <w:r w:rsidRPr="00EA4A64">
                      <w:rPr>
                        <w:b/>
                        <w:sz w:val="18"/>
                      </w:rPr>
                      <w:fldChar w:fldCharType="end"/>
                    </w:r>
                  </w:p>
                  <w:p w14:paraId="7986220C" w14:textId="77777777" w:rsidR="002600C7" w:rsidRDefault="002600C7"/>
                </w:txbxContent>
              </v:textbox>
              <w10:wrap anchorx="margin" anchory="margin"/>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06E9F" w14:textId="30F62318" w:rsidR="002600C7" w:rsidRPr="00EA4A64" w:rsidRDefault="002600C7" w:rsidP="00EA4A64">
    <w:pPr>
      <w:pStyle w:val="Footer"/>
      <w:tabs>
        <w:tab w:val="right" w:pos="9638"/>
      </w:tabs>
    </w:pPr>
    <w:r w:rsidRPr="00EA4A64">
      <w:rPr>
        <w:b/>
        <w:sz w:val="18"/>
      </w:rPr>
      <w:fldChar w:fldCharType="begin"/>
    </w:r>
    <w:r w:rsidRPr="00EA4A64">
      <w:rPr>
        <w:b/>
        <w:sz w:val="18"/>
      </w:rPr>
      <w:instrText xml:space="preserve"> PAGE  \* MERGEFORMAT </w:instrText>
    </w:r>
    <w:r w:rsidRPr="00EA4A64">
      <w:rPr>
        <w:b/>
        <w:sz w:val="18"/>
      </w:rPr>
      <w:fldChar w:fldCharType="separate"/>
    </w:r>
    <w:r w:rsidRPr="00EA4A64">
      <w:rPr>
        <w:b/>
        <w:noProof/>
        <w:sz w:val="18"/>
      </w:rPr>
      <w:t>19</w:t>
    </w:r>
    <w:r w:rsidRPr="00EA4A64">
      <w:rPr>
        <w:b/>
        <w:sz w:val="18"/>
      </w:rPr>
      <w:fldChar w:fldCharType="end"/>
    </w:r>
    <w:r>
      <w:rPr>
        <w:sz w:val="18"/>
      </w:rPr>
      <w:tab/>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2DE60" w14:textId="61D8D9D2" w:rsidR="002600C7" w:rsidRPr="00EA4A64" w:rsidRDefault="002600C7" w:rsidP="00EA4A64">
    <w:pPr>
      <w:pStyle w:val="Footer"/>
      <w:tabs>
        <w:tab w:val="right" w:pos="9638"/>
      </w:tabs>
      <w:rPr>
        <w:b/>
        <w:sz w:val="18"/>
      </w:rPr>
    </w:pPr>
    <w:r>
      <w:tab/>
    </w:r>
    <w:r w:rsidRPr="00EA4A64">
      <w:rPr>
        <w:b/>
        <w:sz w:val="18"/>
      </w:rPr>
      <w:fldChar w:fldCharType="begin"/>
    </w:r>
    <w:r w:rsidRPr="00EA4A64">
      <w:rPr>
        <w:b/>
        <w:sz w:val="18"/>
      </w:rPr>
      <w:instrText xml:space="preserve"> PAGE  \* MERGEFORMAT </w:instrText>
    </w:r>
    <w:r w:rsidRPr="00EA4A64">
      <w:rPr>
        <w:b/>
        <w:sz w:val="18"/>
      </w:rPr>
      <w:fldChar w:fldCharType="separate"/>
    </w:r>
    <w:r w:rsidRPr="00EA4A64">
      <w:rPr>
        <w:b/>
        <w:noProof/>
        <w:sz w:val="18"/>
      </w:rPr>
      <w:t>20</w:t>
    </w:r>
    <w:r w:rsidRPr="00EA4A64">
      <w:rPr>
        <w:b/>
        <w:sz w:val="18"/>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1B1FB" w14:textId="21B0CD48" w:rsidR="002600C7" w:rsidRPr="00EA4A64" w:rsidRDefault="002600C7" w:rsidP="00EA4A64">
    <w:pPr>
      <w:pStyle w:val="Footer"/>
      <w:tabs>
        <w:tab w:val="right" w:pos="9638"/>
      </w:tabs>
    </w:pPr>
    <w:r w:rsidRPr="00EA4A64">
      <w:rPr>
        <w:b/>
        <w:sz w:val="18"/>
      </w:rPr>
      <w:fldChar w:fldCharType="begin"/>
    </w:r>
    <w:r w:rsidRPr="00EA4A64">
      <w:rPr>
        <w:b/>
        <w:sz w:val="18"/>
      </w:rPr>
      <w:instrText xml:space="preserve"> PAGE  \* MERGEFORMAT </w:instrText>
    </w:r>
    <w:r w:rsidRPr="00EA4A64">
      <w:rPr>
        <w:b/>
        <w:sz w:val="18"/>
      </w:rPr>
      <w:fldChar w:fldCharType="separate"/>
    </w:r>
    <w:r w:rsidRPr="00EA4A64">
      <w:rPr>
        <w:b/>
        <w:noProof/>
        <w:sz w:val="18"/>
      </w:rPr>
      <w:t>21</w:t>
    </w:r>
    <w:r w:rsidRPr="00EA4A64">
      <w:rPr>
        <w:b/>
        <w:sz w:val="18"/>
      </w:rPr>
      <w:fldChar w:fldCharType="end"/>
    </w:r>
    <w:r>
      <w:rPr>
        <w:sz w:val="18"/>
      </w:rPr>
      <w:tab/>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47EFF" w14:textId="7862107F" w:rsidR="002600C7" w:rsidRPr="00EA4A64" w:rsidRDefault="002600C7" w:rsidP="00EA4A64">
    <w:pPr>
      <w:pStyle w:val="Footer"/>
      <w:tabs>
        <w:tab w:val="right" w:pos="9638"/>
      </w:tabs>
      <w:rPr>
        <w:b/>
        <w:sz w:val="18"/>
      </w:rPr>
    </w:pPr>
    <w:r>
      <w:tab/>
    </w:r>
    <w:r w:rsidRPr="00EA4A64">
      <w:rPr>
        <w:b/>
        <w:sz w:val="18"/>
      </w:rPr>
      <w:fldChar w:fldCharType="begin"/>
    </w:r>
    <w:r w:rsidRPr="00EA4A64">
      <w:rPr>
        <w:b/>
        <w:sz w:val="18"/>
      </w:rPr>
      <w:instrText xml:space="preserve"> PAGE  \* MERGEFORMAT </w:instrText>
    </w:r>
    <w:r w:rsidRPr="00EA4A64">
      <w:rPr>
        <w:b/>
        <w:sz w:val="18"/>
      </w:rPr>
      <w:fldChar w:fldCharType="separate"/>
    </w:r>
    <w:r w:rsidRPr="00EA4A64">
      <w:rPr>
        <w:b/>
        <w:noProof/>
        <w:sz w:val="18"/>
      </w:rPr>
      <w:t>22</w:t>
    </w:r>
    <w:r w:rsidRPr="00EA4A64">
      <w:rPr>
        <w:b/>
        <w:sz w:val="18"/>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2456E" w14:textId="5127892A" w:rsidR="002600C7" w:rsidRPr="00EA4A64" w:rsidRDefault="002600C7" w:rsidP="00EA4A64">
    <w:pPr>
      <w:pStyle w:val="Footer"/>
      <w:tabs>
        <w:tab w:val="right" w:pos="9638"/>
      </w:tabs>
    </w:pPr>
    <w:r w:rsidRPr="00EA4A64">
      <w:rPr>
        <w:b/>
        <w:sz w:val="18"/>
      </w:rPr>
      <w:fldChar w:fldCharType="begin"/>
    </w:r>
    <w:r w:rsidRPr="00EA4A64">
      <w:rPr>
        <w:b/>
        <w:sz w:val="18"/>
      </w:rPr>
      <w:instrText xml:space="preserve"> PAGE  \* MERGEFORMAT </w:instrText>
    </w:r>
    <w:r w:rsidRPr="00EA4A64">
      <w:rPr>
        <w:b/>
        <w:sz w:val="18"/>
      </w:rPr>
      <w:fldChar w:fldCharType="separate"/>
    </w:r>
    <w:r w:rsidRPr="00EA4A64">
      <w:rPr>
        <w:b/>
        <w:noProof/>
        <w:sz w:val="18"/>
      </w:rPr>
      <w:t>27</w:t>
    </w:r>
    <w:r w:rsidRPr="00EA4A64">
      <w:rPr>
        <w:b/>
        <w:sz w:val="18"/>
      </w:rPr>
      <w:fldChar w:fldCharType="end"/>
    </w:r>
    <w:r>
      <w:rPr>
        <w:sz w:val="18"/>
      </w:rPr>
      <w:tab/>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D6BEA" w14:textId="1070EE7C" w:rsidR="002600C7" w:rsidRPr="00EA4A64" w:rsidRDefault="002600C7" w:rsidP="00EA4A64">
    <w:pPr>
      <w:pStyle w:val="Footer"/>
      <w:tabs>
        <w:tab w:val="right" w:pos="9638"/>
      </w:tabs>
      <w:rPr>
        <w:b/>
        <w:sz w:val="18"/>
      </w:rPr>
    </w:pPr>
    <w:r>
      <w:tab/>
    </w:r>
    <w:r w:rsidRPr="00EA4A64">
      <w:rPr>
        <w:b/>
        <w:sz w:val="18"/>
      </w:rPr>
      <w:fldChar w:fldCharType="begin"/>
    </w:r>
    <w:r w:rsidRPr="00EA4A64">
      <w:rPr>
        <w:b/>
        <w:sz w:val="18"/>
      </w:rPr>
      <w:instrText xml:space="preserve"> PAGE  \* MERGEFORMAT </w:instrText>
    </w:r>
    <w:r w:rsidRPr="00EA4A64">
      <w:rPr>
        <w:b/>
        <w:sz w:val="18"/>
      </w:rPr>
      <w:fldChar w:fldCharType="separate"/>
    </w:r>
    <w:r w:rsidRPr="00EA4A64">
      <w:rPr>
        <w:b/>
        <w:noProof/>
        <w:sz w:val="18"/>
      </w:rPr>
      <w:t>26</w:t>
    </w:r>
    <w:r w:rsidRPr="00EA4A64">
      <w:rPr>
        <w:b/>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6D3EB" w14:textId="36924EE6" w:rsidR="002600C7" w:rsidRPr="00A475D5" w:rsidRDefault="002600C7" w:rsidP="00A475D5">
    <w:pPr>
      <w:pStyle w:val="Footer"/>
      <w:tabs>
        <w:tab w:val="right" w:pos="9638"/>
      </w:tabs>
      <w:rPr>
        <w:b/>
        <w:sz w:val="18"/>
      </w:rPr>
    </w:pPr>
    <w:r>
      <w:tab/>
    </w:r>
    <w:r w:rsidRPr="00A475D5">
      <w:rPr>
        <w:b/>
        <w:sz w:val="18"/>
      </w:rPr>
      <w:fldChar w:fldCharType="begin"/>
    </w:r>
    <w:r w:rsidRPr="00A475D5">
      <w:rPr>
        <w:b/>
        <w:sz w:val="18"/>
      </w:rPr>
      <w:instrText xml:space="preserve"> PAGE  \* MERGEFORMAT </w:instrText>
    </w:r>
    <w:r w:rsidRPr="00A475D5">
      <w:rPr>
        <w:b/>
        <w:sz w:val="18"/>
      </w:rPr>
      <w:fldChar w:fldCharType="separate"/>
    </w:r>
    <w:r w:rsidRPr="00A475D5">
      <w:rPr>
        <w:b/>
        <w:noProof/>
        <w:sz w:val="18"/>
      </w:rPr>
      <w:t>4</w:t>
    </w:r>
    <w:r w:rsidRPr="00A475D5">
      <w:rPr>
        <w:b/>
        <w:sz w:val="18"/>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1CC82" w14:textId="6E9B9A07" w:rsidR="002600C7" w:rsidRPr="00EA4A64" w:rsidRDefault="002600C7" w:rsidP="00EA4A64">
    <w:pPr>
      <w:pStyle w:val="Footer"/>
      <w:tabs>
        <w:tab w:val="right" w:pos="9638"/>
      </w:tabs>
    </w:pPr>
    <w:r w:rsidRPr="00EA4A64">
      <w:rPr>
        <w:b/>
        <w:sz w:val="18"/>
      </w:rPr>
      <w:fldChar w:fldCharType="begin"/>
    </w:r>
    <w:r w:rsidRPr="00EA4A64">
      <w:rPr>
        <w:b/>
        <w:sz w:val="18"/>
      </w:rPr>
      <w:instrText xml:space="preserve"> PAGE  \* MERGEFORMAT </w:instrText>
    </w:r>
    <w:r w:rsidRPr="00EA4A64">
      <w:rPr>
        <w:b/>
        <w:sz w:val="18"/>
      </w:rPr>
      <w:fldChar w:fldCharType="separate"/>
    </w:r>
    <w:r w:rsidRPr="00EA4A64">
      <w:rPr>
        <w:b/>
        <w:noProof/>
        <w:sz w:val="18"/>
      </w:rPr>
      <w:t>29</w:t>
    </w:r>
    <w:r w:rsidRPr="00EA4A64">
      <w:rPr>
        <w:b/>
        <w:sz w:val="18"/>
      </w:rPr>
      <w:fldChar w:fldCharType="end"/>
    </w:r>
    <w:r>
      <w:rPr>
        <w:sz w:val="18"/>
      </w:rPr>
      <w:tab/>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DCC44" w14:textId="40EDCEE2" w:rsidR="002600C7" w:rsidRPr="00EA4A64" w:rsidRDefault="002600C7" w:rsidP="00EA4A64">
    <w:pPr>
      <w:pStyle w:val="Footer"/>
      <w:tabs>
        <w:tab w:val="right" w:pos="9638"/>
      </w:tabs>
      <w:rPr>
        <w:b/>
        <w:sz w:val="18"/>
      </w:rPr>
    </w:pPr>
    <w:r>
      <w:tab/>
    </w:r>
    <w:r w:rsidRPr="00EA4A64">
      <w:rPr>
        <w:b/>
        <w:sz w:val="18"/>
      </w:rPr>
      <w:fldChar w:fldCharType="begin"/>
    </w:r>
    <w:r w:rsidRPr="00EA4A64">
      <w:rPr>
        <w:b/>
        <w:sz w:val="18"/>
      </w:rPr>
      <w:instrText xml:space="preserve"> PAGE  \* MERGEFORMAT </w:instrText>
    </w:r>
    <w:r w:rsidRPr="00EA4A64">
      <w:rPr>
        <w:b/>
        <w:sz w:val="18"/>
      </w:rPr>
      <w:fldChar w:fldCharType="separate"/>
    </w:r>
    <w:r w:rsidRPr="00EA4A64">
      <w:rPr>
        <w:b/>
        <w:noProof/>
        <w:sz w:val="18"/>
      </w:rPr>
      <w:t>28</w:t>
    </w:r>
    <w:r w:rsidRPr="00EA4A64">
      <w:rPr>
        <w:b/>
        <w:sz w:val="18"/>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A19729" w14:textId="1CC79596" w:rsidR="002600C7" w:rsidRPr="00EA4A64" w:rsidRDefault="002600C7" w:rsidP="00EA4A64">
    <w:pPr>
      <w:pStyle w:val="Footer"/>
      <w:tabs>
        <w:tab w:val="right" w:pos="9638"/>
      </w:tabs>
    </w:pPr>
    <w:r w:rsidRPr="00EA4A64">
      <w:rPr>
        <w:b/>
        <w:sz w:val="18"/>
      </w:rPr>
      <w:fldChar w:fldCharType="begin"/>
    </w:r>
    <w:r w:rsidRPr="00EA4A64">
      <w:rPr>
        <w:b/>
        <w:sz w:val="18"/>
      </w:rPr>
      <w:instrText xml:space="preserve"> PAGE  \* MERGEFORMAT </w:instrText>
    </w:r>
    <w:r w:rsidRPr="00EA4A64">
      <w:rPr>
        <w:b/>
        <w:sz w:val="18"/>
      </w:rPr>
      <w:fldChar w:fldCharType="separate"/>
    </w:r>
    <w:r w:rsidRPr="00EA4A64">
      <w:rPr>
        <w:b/>
        <w:noProof/>
        <w:sz w:val="18"/>
      </w:rPr>
      <w:t>30</w:t>
    </w:r>
    <w:r w:rsidRPr="00EA4A64">
      <w:rPr>
        <w:b/>
        <w:sz w:val="18"/>
      </w:rPr>
      <w:fldChar w:fldCharType="end"/>
    </w:r>
    <w:r>
      <w:rPr>
        <w:sz w:val="18"/>
      </w:rPr>
      <w:tab/>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BAA64" w14:textId="5B373591" w:rsidR="002600C7" w:rsidRPr="00EA4A64" w:rsidRDefault="002600C7" w:rsidP="00EA4A64">
    <w:pPr>
      <w:pStyle w:val="Footer"/>
      <w:tabs>
        <w:tab w:val="right" w:pos="9638"/>
      </w:tabs>
      <w:rPr>
        <w:b/>
        <w:sz w:val="18"/>
      </w:rPr>
    </w:pPr>
    <w:r>
      <w:tab/>
    </w:r>
    <w:r w:rsidRPr="00EA4A64">
      <w:rPr>
        <w:b/>
        <w:sz w:val="18"/>
      </w:rPr>
      <w:fldChar w:fldCharType="begin"/>
    </w:r>
    <w:r w:rsidRPr="00EA4A64">
      <w:rPr>
        <w:b/>
        <w:sz w:val="18"/>
      </w:rPr>
      <w:instrText xml:space="preserve"> PAGE  \* MERGEFORMAT </w:instrText>
    </w:r>
    <w:r w:rsidRPr="00EA4A64">
      <w:rPr>
        <w:b/>
        <w:sz w:val="18"/>
      </w:rPr>
      <w:fldChar w:fldCharType="separate"/>
    </w:r>
    <w:r w:rsidRPr="00EA4A64">
      <w:rPr>
        <w:b/>
        <w:noProof/>
        <w:sz w:val="18"/>
      </w:rPr>
      <w:t>31</w:t>
    </w:r>
    <w:r w:rsidRPr="00EA4A64">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4F5F46" w14:textId="4FC9DB3A" w:rsidR="002600C7" w:rsidRPr="00EA4A64" w:rsidRDefault="002600C7" w:rsidP="00EA4A64">
    <w:pPr>
      <w:pStyle w:val="Footer"/>
      <w:tabs>
        <w:tab w:val="right" w:pos="9638"/>
      </w:tabs>
    </w:pPr>
    <w:r w:rsidRPr="00EA4A64">
      <w:rPr>
        <w:b/>
        <w:sz w:val="18"/>
      </w:rPr>
      <w:fldChar w:fldCharType="begin"/>
    </w:r>
    <w:r w:rsidRPr="00EA4A64">
      <w:rPr>
        <w:b/>
        <w:sz w:val="18"/>
      </w:rPr>
      <w:instrText xml:space="preserve"> PAGE  \* MERGEFORMAT </w:instrText>
    </w:r>
    <w:r w:rsidRPr="00EA4A64">
      <w:rPr>
        <w:b/>
        <w:sz w:val="18"/>
      </w:rPr>
      <w:fldChar w:fldCharType="separate"/>
    </w:r>
    <w:r w:rsidRPr="00EA4A64">
      <w:rPr>
        <w:b/>
        <w:noProof/>
        <w:sz w:val="18"/>
      </w:rPr>
      <w:t>5</w:t>
    </w:r>
    <w:r w:rsidRPr="00EA4A64">
      <w:rPr>
        <w:b/>
        <w:sz w:val="18"/>
      </w:rPr>
      <w:fldChar w:fldCharType="end"/>
    </w:r>
    <w:r>
      <w:rPr>
        <w:sz w:val="18"/>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7A9CA4" w14:textId="302B60AD" w:rsidR="002600C7" w:rsidRPr="00EA4A64" w:rsidRDefault="002600C7" w:rsidP="00EA4A64">
    <w:pPr>
      <w:pStyle w:val="Footer"/>
      <w:tabs>
        <w:tab w:val="right" w:pos="9638"/>
      </w:tabs>
      <w:rPr>
        <w:b/>
        <w:sz w:val="18"/>
      </w:rPr>
    </w:pPr>
    <w:r>
      <w:tab/>
    </w:r>
    <w:r w:rsidRPr="00EA4A64">
      <w:rPr>
        <w:b/>
        <w:sz w:val="18"/>
      </w:rPr>
      <w:fldChar w:fldCharType="begin"/>
    </w:r>
    <w:r w:rsidRPr="00EA4A64">
      <w:rPr>
        <w:b/>
        <w:sz w:val="18"/>
      </w:rPr>
      <w:instrText xml:space="preserve"> PAGE  \* MERGEFORMAT </w:instrText>
    </w:r>
    <w:r w:rsidRPr="00EA4A64">
      <w:rPr>
        <w:b/>
        <w:sz w:val="18"/>
      </w:rPr>
      <w:fldChar w:fldCharType="separate"/>
    </w:r>
    <w:r w:rsidRPr="00EA4A64">
      <w:rPr>
        <w:b/>
        <w:noProof/>
        <w:sz w:val="18"/>
      </w:rPr>
      <w:t>6</w:t>
    </w:r>
    <w:r w:rsidRPr="00EA4A64">
      <w:rPr>
        <w:b/>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37332" w14:textId="7524A10C" w:rsidR="002600C7" w:rsidRPr="00EA4A64" w:rsidRDefault="002600C7" w:rsidP="00EA4A64">
    <w:pPr>
      <w:pStyle w:val="Footer"/>
      <w:tabs>
        <w:tab w:val="right" w:pos="9638"/>
      </w:tabs>
    </w:pPr>
    <w:r w:rsidRPr="00EA4A64">
      <w:rPr>
        <w:b/>
        <w:sz w:val="18"/>
      </w:rPr>
      <w:fldChar w:fldCharType="begin"/>
    </w:r>
    <w:r w:rsidRPr="00EA4A64">
      <w:rPr>
        <w:b/>
        <w:sz w:val="18"/>
      </w:rPr>
      <w:instrText xml:space="preserve"> PAGE  \* MERGEFORMAT </w:instrText>
    </w:r>
    <w:r w:rsidRPr="00EA4A64">
      <w:rPr>
        <w:b/>
        <w:sz w:val="18"/>
      </w:rPr>
      <w:fldChar w:fldCharType="separate"/>
    </w:r>
    <w:r w:rsidRPr="00EA4A64">
      <w:rPr>
        <w:b/>
        <w:noProof/>
        <w:sz w:val="18"/>
      </w:rPr>
      <w:t>7</w:t>
    </w:r>
    <w:r w:rsidRPr="00EA4A64">
      <w:rPr>
        <w:b/>
        <w:sz w:val="18"/>
      </w:rPr>
      <w:fldChar w:fldCharType="end"/>
    </w:r>
    <w:r>
      <w:rPr>
        <w:sz w:val="18"/>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538E8" w14:textId="03A31BD5" w:rsidR="002600C7" w:rsidRPr="00EA4A64" w:rsidRDefault="002600C7" w:rsidP="00EA4A64">
    <w:pPr>
      <w:pStyle w:val="Footer"/>
      <w:tabs>
        <w:tab w:val="right" w:pos="9638"/>
      </w:tabs>
      <w:rPr>
        <w:b/>
        <w:sz w:val="18"/>
      </w:rPr>
    </w:pPr>
    <w:r>
      <w:tab/>
    </w:r>
    <w:r w:rsidRPr="00EA4A64">
      <w:rPr>
        <w:b/>
        <w:sz w:val="18"/>
      </w:rPr>
      <w:fldChar w:fldCharType="begin"/>
    </w:r>
    <w:r w:rsidRPr="00EA4A64">
      <w:rPr>
        <w:b/>
        <w:sz w:val="18"/>
      </w:rPr>
      <w:instrText xml:space="preserve"> PAGE  \* MERGEFORMAT </w:instrText>
    </w:r>
    <w:r w:rsidRPr="00EA4A64">
      <w:rPr>
        <w:b/>
        <w:sz w:val="18"/>
      </w:rPr>
      <w:fldChar w:fldCharType="separate"/>
    </w:r>
    <w:r w:rsidRPr="00EA4A64">
      <w:rPr>
        <w:b/>
        <w:noProof/>
        <w:sz w:val="18"/>
      </w:rPr>
      <w:t>8</w:t>
    </w:r>
    <w:r w:rsidRPr="00EA4A64">
      <w:rPr>
        <w:b/>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03551" w14:textId="7E3A4CAB" w:rsidR="002600C7" w:rsidRPr="00EA4A64" w:rsidRDefault="002600C7" w:rsidP="00EA4A64">
    <w:pPr>
      <w:pStyle w:val="Footer"/>
      <w:tabs>
        <w:tab w:val="right" w:pos="9638"/>
      </w:tabs>
    </w:pPr>
    <w:r w:rsidRPr="00EA4A64">
      <w:rPr>
        <w:b/>
        <w:sz w:val="18"/>
      </w:rPr>
      <w:fldChar w:fldCharType="begin"/>
    </w:r>
    <w:r w:rsidRPr="00EA4A64">
      <w:rPr>
        <w:b/>
        <w:sz w:val="18"/>
      </w:rPr>
      <w:instrText xml:space="preserve"> PAGE  \* MERGEFORMAT </w:instrText>
    </w:r>
    <w:r w:rsidRPr="00EA4A64">
      <w:rPr>
        <w:b/>
        <w:sz w:val="18"/>
      </w:rPr>
      <w:fldChar w:fldCharType="separate"/>
    </w:r>
    <w:r w:rsidRPr="00EA4A64">
      <w:rPr>
        <w:b/>
        <w:noProof/>
        <w:sz w:val="18"/>
      </w:rPr>
      <w:t>9</w:t>
    </w:r>
    <w:r w:rsidRPr="00EA4A64">
      <w:rPr>
        <w:b/>
        <w:sz w:val="18"/>
      </w:rPr>
      <w:fldChar w:fldCharType="end"/>
    </w:r>
    <w:r>
      <w:rPr>
        <w:sz w:val="18"/>
      </w:rP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DEFE5" w14:textId="2B4B0C04" w:rsidR="002600C7" w:rsidRPr="00EA4A64" w:rsidRDefault="002600C7" w:rsidP="00EA4A64">
    <w:pPr>
      <w:pStyle w:val="Footer"/>
      <w:tabs>
        <w:tab w:val="right" w:pos="9638"/>
      </w:tabs>
      <w:rPr>
        <w:b/>
        <w:sz w:val="18"/>
      </w:rPr>
    </w:pPr>
    <w:r>
      <w:tab/>
    </w:r>
    <w:r w:rsidRPr="00EA4A64">
      <w:rPr>
        <w:b/>
        <w:sz w:val="18"/>
      </w:rPr>
      <w:fldChar w:fldCharType="begin"/>
    </w:r>
    <w:r w:rsidRPr="00EA4A64">
      <w:rPr>
        <w:b/>
        <w:sz w:val="18"/>
      </w:rPr>
      <w:instrText xml:space="preserve"> PAGE  \* MERGEFORMAT </w:instrText>
    </w:r>
    <w:r w:rsidRPr="00EA4A64">
      <w:rPr>
        <w:b/>
        <w:sz w:val="18"/>
      </w:rPr>
      <w:fldChar w:fldCharType="separate"/>
    </w:r>
    <w:r w:rsidRPr="00EA4A64">
      <w:rPr>
        <w:b/>
        <w:noProof/>
        <w:sz w:val="18"/>
      </w:rPr>
      <w:t>10</w:t>
    </w:r>
    <w:r w:rsidRPr="00EA4A64">
      <w:rPr>
        <w:b/>
        <w:sz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CC4019" w14:textId="10E46EB3" w:rsidR="002600C7" w:rsidRPr="00EA4A64" w:rsidRDefault="002600C7" w:rsidP="00EA4A64">
    <w:pPr>
      <w:pStyle w:val="Footer"/>
      <w:tabs>
        <w:tab w:val="right" w:pos="9638"/>
      </w:tabs>
    </w:pPr>
    <w:r w:rsidRPr="00EA4A64">
      <w:rPr>
        <w:b/>
        <w:sz w:val="18"/>
      </w:rPr>
      <w:fldChar w:fldCharType="begin"/>
    </w:r>
    <w:r w:rsidRPr="00EA4A64">
      <w:rPr>
        <w:b/>
        <w:sz w:val="18"/>
      </w:rPr>
      <w:instrText xml:space="preserve"> PAGE  \* MERGEFORMAT </w:instrText>
    </w:r>
    <w:r w:rsidRPr="00EA4A64">
      <w:rPr>
        <w:b/>
        <w:sz w:val="18"/>
      </w:rPr>
      <w:fldChar w:fldCharType="separate"/>
    </w:r>
    <w:r w:rsidRPr="00EA4A64">
      <w:rPr>
        <w:b/>
        <w:noProof/>
        <w:sz w:val="18"/>
      </w:rPr>
      <w:t>10</w:t>
    </w:r>
    <w:r w:rsidRPr="00EA4A64">
      <w:rPr>
        <w:b/>
        <w:sz w:val="18"/>
      </w:rPr>
      <w:fldChar w:fldCharType="end"/>
    </w:r>
    <w:r>
      <w:rPr>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56F687" w14:textId="77777777" w:rsidR="009B6ADC" w:rsidRDefault="009B6ADC">
      <w:r>
        <w:separator/>
      </w:r>
    </w:p>
  </w:footnote>
  <w:footnote w:type="continuationSeparator" w:id="0">
    <w:p w14:paraId="0B919F78" w14:textId="77777777" w:rsidR="009B6ADC" w:rsidRDefault="009B6ADC">
      <w:r>
        <w:continuationSeparator/>
      </w:r>
    </w:p>
    <w:p w14:paraId="6C9F6721" w14:textId="77777777" w:rsidR="009B6ADC" w:rsidRDefault="009B6ADC"/>
  </w:footnote>
  <w:footnote w:type="continuationNotice" w:id="1">
    <w:p w14:paraId="678202F8" w14:textId="77777777" w:rsidR="009B6ADC" w:rsidRDefault="009B6ADC">
      <w:pPr>
        <w:spacing w:line="240" w:lineRule="auto"/>
      </w:pPr>
    </w:p>
  </w:footnote>
  <w:footnote w:id="2">
    <w:p w14:paraId="120F473A" w14:textId="77777777" w:rsidR="002600C7" w:rsidRPr="00D4668A" w:rsidRDefault="002600C7" w:rsidP="00A475D5">
      <w:pPr>
        <w:pStyle w:val="FootnoteText"/>
        <w:widowControl w:val="0"/>
        <w:tabs>
          <w:tab w:val="clear" w:pos="1021"/>
          <w:tab w:val="right" w:pos="1020"/>
        </w:tabs>
        <w:rPr>
          <w:lang w:val="en-US"/>
        </w:rPr>
      </w:pPr>
      <w:r>
        <w:tab/>
      </w:r>
      <w:r>
        <w:rPr>
          <w:rStyle w:val="FootnoteReference"/>
        </w:rPr>
        <w:footnoteRef/>
      </w:r>
      <w:r>
        <w:tab/>
      </w:r>
      <w:r w:rsidRPr="0020701A">
        <w:t>FCCC/KP/CMP/2019/3</w:t>
      </w:r>
      <w:r>
        <w:t>.</w:t>
      </w:r>
    </w:p>
  </w:footnote>
  <w:footnote w:id="3">
    <w:p w14:paraId="6F2C24D4" w14:textId="77777777" w:rsidR="002600C7" w:rsidRPr="00D4668A" w:rsidRDefault="002600C7" w:rsidP="00A475D5">
      <w:pPr>
        <w:pStyle w:val="FootnoteText"/>
        <w:widowControl w:val="0"/>
        <w:tabs>
          <w:tab w:val="clear" w:pos="1021"/>
          <w:tab w:val="right" w:pos="1020"/>
        </w:tabs>
        <w:rPr>
          <w:lang w:val="en-US"/>
        </w:rPr>
      </w:pPr>
      <w:r>
        <w:tab/>
      </w:r>
      <w:r>
        <w:rPr>
          <w:rStyle w:val="FootnoteReference"/>
        </w:rPr>
        <w:footnoteRef/>
      </w:r>
      <w:r>
        <w:tab/>
      </w:r>
      <w:r w:rsidRPr="0006440A">
        <w:rPr>
          <w:lang w:val="en-US"/>
        </w:rPr>
        <w:t>FCCC/KP/CMP/2019/3</w:t>
      </w:r>
      <w:r>
        <w:rPr>
          <w:lang w:val="en-US"/>
        </w:rPr>
        <w:t xml:space="preserve">, annex </w:t>
      </w:r>
      <w:r w:rsidRPr="00307C5A">
        <w:rPr>
          <w:lang w:val="en-US"/>
        </w:rPr>
        <w:t>I</w:t>
      </w:r>
      <w:r>
        <w:rPr>
          <w:lang w:val="en-US"/>
        </w:rPr>
        <w:t>.</w:t>
      </w:r>
      <w:r>
        <w:t xml:space="preserve"> </w:t>
      </w:r>
    </w:p>
  </w:footnote>
  <w:footnote w:id="4">
    <w:p w14:paraId="6FA58705" w14:textId="77777777" w:rsidR="002600C7" w:rsidRPr="00ED7795" w:rsidRDefault="002600C7" w:rsidP="004B0811">
      <w:pPr>
        <w:pStyle w:val="FootnoteText"/>
        <w:widowControl w:val="0"/>
        <w:rPr>
          <w:lang w:val="en-US"/>
        </w:rPr>
      </w:pPr>
      <w:r>
        <w:tab/>
      </w:r>
      <w:r>
        <w:rPr>
          <w:rStyle w:val="FootnoteReference"/>
        </w:rPr>
        <w:footnoteRef/>
      </w:r>
      <w:r>
        <w:tab/>
      </w:r>
      <w:r w:rsidRPr="00B30C1F">
        <w:rPr>
          <w:lang w:val="en-US"/>
        </w:rPr>
        <w:t>FCCC/KP/CMP/2019/4</w:t>
      </w:r>
      <w:r>
        <w:rPr>
          <w:lang w:val="en-US"/>
        </w:rPr>
        <w:t>–</w:t>
      </w:r>
      <w:r w:rsidRPr="00B30C1F">
        <w:rPr>
          <w:lang w:val="en-US"/>
        </w:rPr>
        <w:t>FCCC/PA/CMA/2019/2</w:t>
      </w:r>
      <w:r>
        <w:rPr>
          <w:lang w:val="en-US"/>
        </w:rPr>
        <w:t xml:space="preserve"> and </w:t>
      </w:r>
      <w:r w:rsidRPr="00861E75">
        <w:rPr>
          <w:lang w:val="en-US"/>
        </w:rPr>
        <w:t>Add.</w:t>
      </w:r>
      <w:r>
        <w:rPr>
          <w:lang w:val="en-US"/>
        </w:rPr>
        <w:t>1.</w:t>
      </w:r>
    </w:p>
  </w:footnote>
  <w:footnote w:id="5">
    <w:p w14:paraId="3C39B391" w14:textId="77777777" w:rsidR="002600C7" w:rsidRPr="000B6790" w:rsidRDefault="002600C7" w:rsidP="004B0811">
      <w:pPr>
        <w:pStyle w:val="FootnoteText"/>
        <w:rPr>
          <w:lang w:val="en-US"/>
        </w:rPr>
      </w:pPr>
      <w:r>
        <w:tab/>
      </w:r>
      <w:r>
        <w:rPr>
          <w:rStyle w:val="FootnoteReference"/>
        </w:rPr>
        <w:footnoteRef/>
      </w:r>
      <w:r>
        <w:tab/>
        <w:t xml:space="preserve">Decisions 1/CMP.13, para. 7, </w:t>
      </w:r>
      <w:r w:rsidRPr="002E1C59">
        <w:t>and 2/CMP.14, para</w:t>
      </w:r>
      <w:r>
        <w:t>.</w:t>
      </w:r>
      <w:r w:rsidRPr="002E1C59">
        <w:t xml:space="preserve"> 7.</w:t>
      </w:r>
      <w:r>
        <w:t xml:space="preserve"> </w:t>
      </w:r>
    </w:p>
  </w:footnote>
  <w:footnote w:id="6">
    <w:p w14:paraId="0CAA991F" w14:textId="77777777" w:rsidR="002600C7" w:rsidRPr="00B82B66" w:rsidRDefault="002600C7" w:rsidP="004B0811">
      <w:pPr>
        <w:pStyle w:val="FootnoteText"/>
        <w:rPr>
          <w:lang w:val="en-US"/>
        </w:rPr>
      </w:pPr>
      <w:r>
        <w:tab/>
      </w:r>
      <w:r>
        <w:rPr>
          <w:rStyle w:val="FootnoteReference"/>
        </w:rPr>
        <w:footnoteRef/>
      </w:r>
      <w:r>
        <w:tab/>
        <w:t xml:space="preserve">Annex I to the addendum to the 2019 report of the Adaptation Fund Board (FCCC/KP/CMP/2019/4/Add.1–FCCC/PA/CMA/2019/2/Add.1, annex). </w:t>
      </w:r>
    </w:p>
  </w:footnote>
  <w:footnote w:id="7">
    <w:p w14:paraId="07C0ECC4" w14:textId="77777777" w:rsidR="002600C7" w:rsidRPr="00B82B66" w:rsidRDefault="002600C7" w:rsidP="004B0811">
      <w:pPr>
        <w:pStyle w:val="FootnoteText"/>
        <w:rPr>
          <w:lang w:val="en-US"/>
        </w:rPr>
      </w:pPr>
      <w:r>
        <w:tab/>
      </w:r>
      <w:r>
        <w:rPr>
          <w:rStyle w:val="FootnoteReference"/>
        </w:rPr>
        <w:footnoteRef/>
      </w:r>
      <w:r>
        <w:tab/>
        <w:t xml:space="preserve">Annex III to the addendum to the 2019 report of the Adaptation Fund Board (FCCC/KP/CMP/2019/4/Add.1–FCCC/PA/CMA/2019/2/Add.1, annex). </w:t>
      </w:r>
    </w:p>
  </w:footnote>
  <w:footnote w:id="8">
    <w:p w14:paraId="678A2179" w14:textId="77777777" w:rsidR="002600C7" w:rsidRPr="001B3AD8" w:rsidRDefault="002600C7" w:rsidP="003077F3">
      <w:pPr>
        <w:pStyle w:val="FootnoteText"/>
        <w:widowControl w:val="0"/>
        <w:tabs>
          <w:tab w:val="clear" w:pos="1021"/>
          <w:tab w:val="right" w:pos="1020"/>
        </w:tabs>
        <w:rPr>
          <w:lang w:val="en-US"/>
        </w:rPr>
      </w:pPr>
      <w:r>
        <w:tab/>
      </w:r>
      <w:r>
        <w:rPr>
          <w:rStyle w:val="FootnoteReference"/>
        </w:rPr>
        <w:footnoteRef/>
      </w:r>
      <w:r>
        <w:tab/>
        <w:t xml:space="preserve">Available at </w:t>
      </w:r>
      <w:hyperlink r:id="rId1" w:history="1">
        <w:r w:rsidRPr="00C27014">
          <w:rPr>
            <w:rStyle w:val="Hyperlink"/>
          </w:rPr>
          <w:t>https://unfccc.int/documents/202723</w:t>
        </w:r>
      </w:hyperlink>
      <w:r>
        <w:t>.</w:t>
      </w:r>
    </w:p>
  </w:footnote>
  <w:footnote w:id="9">
    <w:p w14:paraId="39330B01" w14:textId="77777777" w:rsidR="002600C7" w:rsidRPr="003837E9" w:rsidRDefault="002600C7" w:rsidP="003077F3">
      <w:pPr>
        <w:pStyle w:val="FootnoteText"/>
        <w:tabs>
          <w:tab w:val="clear" w:pos="1021"/>
          <w:tab w:val="right" w:pos="1020"/>
        </w:tabs>
        <w:rPr>
          <w:lang w:val="es-ES"/>
        </w:rPr>
      </w:pPr>
      <w:r>
        <w:tab/>
      </w:r>
      <w:r>
        <w:rPr>
          <w:rStyle w:val="FootnoteReference"/>
        </w:rPr>
        <w:footnoteRef/>
      </w:r>
      <w:r w:rsidRPr="003837E9">
        <w:rPr>
          <w:lang w:val="es-ES"/>
        </w:rPr>
        <w:tab/>
      </w:r>
      <w:proofErr w:type="spellStart"/>
      <w:r w:rsidRPr="003837E9">
        <w:rPr>
          <w:lang w:val="es-ES"/>
        </w:rPr>
        <w:t>Decision</w:t>
      </w:r>
      <w:proofErr w:type="spellEnd"/>
      <w:r w:rsidRPr="003837E9">
        <w:rPr>
          <w:lang w:val="es-ES"/>
        </w:rPr>
        <w:t xml:space="preserve"> 7/CMA.1, </w:t>
      </w:r>
      <w:proofErr w:type="spellStart"/>
      <w:r w:rsidRPr="003837E9">
        <w:rPr>
          <w:lang w:val="es-ES"/>
        </w:rPr>
        <w:t>annex</w:t>
      </w:r>
      <w:proofErr w:type="spellEnd"/>
      <w:r w:rsidRPr="003837E9">
        <w:rPr>
          <w:lang w:val="es-ES"/>
        </w:rPr>
        <w:t>, para. 4(b).</w:t>
      </w:r>
    </w:p>
  </w:footnote>
  <w:footnote w:id="10">
    <w:p w14:paraId="7639FC5A" w14:textId="77777777" w:rsidR="002600C7" w:rsidRPr="00A47271" w:rsidRDefault="002600C7" w:rsidP="003077F3">
      <w:pPr>
        <w:pStyle w:val="FootnoteText"/>
        <w:widowControl w:val="0"/>
        <w:tabs>
          <w:tab w:val="clear" w:pos="1021"/>
          <w:tab w:val="right" w:pos="1020"/>
        </w:tabs>
        <w:rPr>
          <w:lang w:val="en-US"/>
        </w:rPr>
      </w:pPr>
      <w:r>
        <w:tab/>
      </w:r>
      <w:r>
        <w:rPr>
          <w:rStyle w:val="FootnoteReference"/>
        </w:rPr>
        <w:footnoteRef/>
      </w:r>
      <w:r>
        <w:tab/>
      </w:r>
      <w:proofErr w:type="spellStart"/>
      <w:r w:rsidRPr="003837E9">
        <w:rPr>
          <w:lang w:val="es-ES"/>
        </w:rPr>
        <w:t>Decision</w:t>
      </w:r>
      <w:proofErr w:type="spellEnd"/>
      <w:r w:rsidRPr="003837E9">
        <w:rPr>
          <w:lang w:val="es-ES"/>
        </w:rPr>
        <w:t xml:space="preserve"> 7/CMA.1, </w:t>
      </w:r>
      <w:proofErr w:type="spellStart"/>
      <w:r w:rsidRPr="003837E9">
        <w:rPr>
          <w:lang w:val="es-ES"/>
        </w:rPr>
        <w:t>annex</w:t>
      </w:r>
      <w:proofErr w:type="spellEnd"/>
      <w:r w:rsidRPr="003837E9">
        <w:rPr>
          <w:lang w:val="es-ES"/>
        </w:rPr>
        <w:t>, para. 4(</w:t>
      </w:r>
      <w:r>
        <w:rPr>
          <w:lang w:val="es-ES"/>
        </w:rPr>
        <w:t>d).</w:t>
      </w:r>
      <w:r>
        <w:t xml:space="preserve"> </w:t>
      </w:r>
    </w:p>
  </w:footnote>
  <w:footnote w:id="11">
    <w:p w14:paraId="2993047B" w14:textId="77777777" w:rsidR="002600C7" w:rsidRPr="003837E9" w:rsidRDefault="002600C7" w:rsidP="003077F3">
      <w:pPr>
        <w:pStyle w:val="FootnoteText"/>
        <w:widowControl w:val="0"/>
        <w:tabs>
          <w:tab w:val="clear" w:pos="1021"/>
          <w:tab w:val="right" w:pos="1020"/>
        </w:tabs>
        <w:rPr>
          <w:lang w:val="es-ES"/>
        </w:rPr>
      </w:pPr>
      <w:r w:rsidRPr="003837E9">
        <w:rPr>
          <w:lang w:val="es-ES"/>
        </w:rPr>
        <w:tab/>
      </w:r>
      <w:r>
        <w:rPr>
          <w:rStyle w:val="FootnoteReference"/>
        </w:rPr>
        <w:footnoteRef/>
      </w:r>
      <w:r w:rsidRPr="003837E9">
        <w:rPr>
          <w:lang w:val="es-ES"/>
        </w:rPr>
        <w:tab/>
      </w:r>
      <w:proofErr w:type="spellStart"/>
      <w:r w:rsidRPr="003837E9">
        <w:rPr>
          <w:lang w:val="es-ES"/>
        </w:rPr>
        <w:t>Decision</w:t>
      </w:r>
      <w:proofErr w:type="spellEnd"/>
      <w:r w:rsidRPr="003837E9">
        <w:rPr>
          <w:lang w:val="es-ES"/>
        </w:rPr>
        <w:t xml:space="preserve"> 7/CMA.1, </w:t>
      </w:r>
      <w:proofErr w:type="spellStart"/>
      <w:r w:rsidRPr="003837E9">
        <w:rPr>
          <w:lang w:val="es-ES"/>
        </w:rPr>
        <w:t>annex</w:t>
      </w:r>
      <w:proofErr w:type="spellEnd"/>
      <w:r w:rsidRPr="003837E9">
        <w:rPr>
          <w:lang w:val="es-ES"/>
        </w:rPr>
        <w:t xml:space="preserve">, para. 4(c). </w:t>
      </w:r>
    </w:p>
  </w:footnote>
  <w:footnote w:id="12">
    <w:p w14:paraId="081F98DC" w14:textId="77777777" w:rsidR="002600C7" w:rsidRPr="003837E9" w:rsidRDefault="002600C7" w:rsidP="003077F3">
      <w:pPr>
        <w:pStyle w:val="FootnoteText"/>
        <w:widowControl w:val="0"/>
        <w:tabs>
          <w:tab w:val="clear" w:pos="1021"/>
          <w:tab w:val="right" w:pos="1020"/>
        </w:tabs>
        <w:rPr>
          <w:lang w:val="es-ES"/>
        </w:rPr>
      </w:pPr>
      <w:r w:rsidRPr="003837E9">
        <w:rPr>
          <w:lang w:val="es-ES"/>
        </w:rPr>
        <w:tab/>
      </w:r>
      <w:r>
        <w:rPr>
          <w:rStyle w:val="FootnoteReference"/>
        </w:rPr>
        <w:footnoteRef/>
      </w:r>
      <w:r w:rsidRPr="003837E9">
        <w:rPr>
          <w:lang w:val="es-ES"/>
        </w:rPr>
        <w:tab/>
      </w:r>
      <w:proofErr w:type="spellStart"/>
      <w:r w:rsidRPr="003837E9">
        <w:rPr>
          <w:lang w:val="es-ES"/>
        </w:rPr>
        <w:t>Decision</w:t>
      </w:r>
      <w:proofErr w:type="spellEnd"/>
      <w:r w:rsidRPr="003837E9">
        <w:rPr>
          <w:lang w:val="es-ES"/>
        </w:rPr>
        <w:t xml:space="preserve"> 7/CMA.1, </w:t>
      </w:r>
      <w:proofErr w:type="spellStart"/>
      <w:r w:rsidRPr="003837E9">
        <w:rPr>
          <w:lang w:val="es-ES"/>
        </w:rPr>
        <w:t>annex</w:t>
      </w:r>
      <w:proofErr w:type="spellEnd"/>
      <w:r w:rsidRPr="003837E9">
        <w:rPr>
          <w:lang w:val="es-ES"/>
        </w:rPr>
        <w:t xml:space="preserve">, para. 4(e). </w:t>
      </w:r>
    </w:p>
  </w:footnote>
  <w:footnote w:id="13">
    <w:p w14:paraId="3F37EFE9" w14:textId="77777777" w:rsidR="002600C7" w:rsidRPr="003837E9" w:rsidRDefault="002600C7" w:rsidP="003077F3">
      <w:pPr>
        <w:pStyle w:val="FootnoteText"/>
        <w:widowControl w:val="0"/>
        <w:tabs>
          <w:tab w:val="clear" w:pos="1021"/>
          <w:tab w:val="right" w:pos="1020"/>
        </w:tabs>
        <w:rPr>
          <w:lang w:val="es-ES"/>
        </w:rPr>
      </w:pPr>
      <w:r w:rsidRPr="003837E9">
        <w:rPr>
          <w:lang w:val="es-ES"/>
        </w:rPr>
        <w:tab/>
      </w:r>
      <w:r>
        <w:rPr>
          <w:rStyle w:val="FootnoteReference"/>
        </w:rPr>
        <w:footnoteRef/>
      </w:r>
      <w:r w:rsidRPr="003837E9">
        <w:rPr>
          <w:lang w:val="es-ES"/>
        </w:rPr>
        <w:tab/>
      </w:r>
      <w:proofErr w:type="spellStart"/>
      <w:r w:rsidRPr="003837E9">
        <w:rPr>
          <w:lang w:val="es-ES"/>
        </w:rPr>
        <w:t>Decision</w:t>
      </w:r>
      <w:proofErr w:type="spellEnd"/>
      <w:r w:rsidRPr="003837E9">
        <w:rPr>
          <w:lang w:val="es-ES"/>
        </w:rPr>
        <w:t xml:space="preserve"> 7/CMA.1, </w:t>
      </w:r>
      <w:proofErr w:type="spellStart"/>
      <w:r w:rsidRPr="003837E9">
        <w:rPr>
          <w:lang w:val="es-ES"/>
        </w:rPr>
        <w:t>annex</w:t>
      </w:r>
      <w:proofErr w:type="spellEnd"/>
      <w:r w:rsidRPr="003837E9">
        <w:rPr>
          <w:lang w:val="es-ES"/>
        </w:rPr>
        <w:t xml:space="preserve">, para. 4(f). </w:t>
      </w:r>
    </w:p>
  </w:footnote>
  <w:footnote w:id="14">
    <w:p w14:paraId="5FFB9C21" w14:textId="77777777" w:rsidR="002600C7" w:rsidRPr="003837E9" w:rsidRDefault="002600C7" w:rsidP="003077F3">
      <w:pPr>
        <w:pStyle w:val="FootnoteText"/>
        <w:widowControl w:val="0"/>
        <w:tabs>
          <w:tab w:val="clear" w:pos="1021"/>
          <w:tab w:val="right" w:pos="1020"/>
        </w:tabs>
        <w:rPr>
          <w:lang w:val="es-ES"/>
        </w:rPr>
      </w:pPr>
      <w:r w:rsidRPr="003837E9">
        <w:rPr>
          <w:lang w:val="es-ES"/>
        </w:rPr>
        <w:tab/>
      </w:r>
      <w:r>
        <w:rPr>
          <w:rStyle w:val="FootnoteReference"/>
        </w:rPr>
        <w:footnoteRef/>
      </w:r>
      <w:r w:rsidRPr="003837E9">
        <w:rPr>
          <w:lang w:val="es-ES"/>
        </w:rPr>
        <w:tab/>
      </w:r>
      <w:proofErr w:type="spellStart"/>
      <w:r w:rsidRPr="003837E9">
        <w:rPr>
          <w:lang w:val="es-ES"/>
        </w:rPr>
        <w:t>Decision</w:t>
      </w:r>
      <w:proofErr w:type="spellEnd"/>
      <w:r w:rsidRPr="003837E9">
        <w:rPr>
          <w:lang w:val="es-ES"/>
        </w:rPr>
        <w:t xml:space="preserve"> 7/CMA.1, </w:t>
      </w:r>
      <w:proofErr w:type="spellStart"/>
      <w:r w:rsidRPr="003837E9">
        <w:rPr>
          <w:lang w:val="es-ES"/>
        </w:rPr>
        <w:t>annex</w:t>
      </w:r>
      <w:proofErr w:type="spellEnd"/>
      <w:r w:rsidRPr="003837E9">
        <w:rPr>
          <w:lang w:val="es-ES"/>
        </w:rPr>
        <w:t>, para</w:t>
      </w:r>
      <w:r>
        <w:rPr>
          <w:lang w:val="es-ES"/>
        </w:rPr>
        <w:t>.</w:t>
      </w:r>
      <w:r w:rsidRPr="003837E9">
        <w:rPr>
          <w:lang w:val="es-ES"/>
        </w:rPr>
        <w:t xml:space="preserve"> 4(g). </w:t>
      </w:r>
    </w:p>
  </w:footnote>
  <w:footnote w:id="15">
    <w:p w14:paraId="52A179B3" w14:textId="77777777" w:rsidR="002600C7" w:rsidRPr="003837E9" w:rsidRDefault="002600C7" w:rsidP="003077F3">
      <w:pPr>
        <w:pStyle w:val="FootnoteText"/>
        <w:widowControl w:val="0"/>
        <w:tabs>
          <w:tab w:val="clear" w:pos="1021"/>
          <w:tab w:val="right" w:pos="1020"/>
        </w:tabs>
        <w:rPr>
          <w:lang w:val="es-ES"/>
        </w:rPr>
      </w:pPr>
      <w:r w:rsidRPr="003837E9">
        <w:rPr>
          <w:lang w:val="es-ES"/>
        </w:rPr>
        <w:tab/>
      </w:r>
      <w:r>
        <w:rPr>
          <w:rStyle w:val="FootnoteReference"/>
        </w:rPr>
        <w:footnoteRef/>
      </w:r>
      <w:r w:rsidRPr="003837E9">
        <w:rPr>
          <w:lang w:val="es-ES"/>
        </w:rPr>
        <w:tab/>
      </w:r>
      <w:proofErr w:type="spellStart"/>
      <w:r w:rsidRPr="003837E9">
        <w:rPr>
          <w:lang w:val="es-ES"/>
        </w:rPr>
        <w:t>Decision</w:t>
      </w:r>
      <w:proofErr w:type="spellEnd"/>
      <w:r w:rsidRPr="003837E9">
        <w:rPr>
          <w:lang w:val="es-ES"/>
        </w:rPr>
        <w:t xml:space="preserve"> 7/CMA.1, para. 12, and </w:t>
      </w:r>
      <w:proofErr w:type="spellStart"/>
      <w:r w:rsidRPr="003837E9">
        <w:rPr>
          <w:lang w:val="es-ES"/>
        </w:rPr>
        <w:t>annex</w:t>
      </w:r>
      <w:proofErr w:type="spellEnd"/>
      <w:r w:rsidRPr="003837E9">
        <w:rPr>
          <w:lang w:val="es-ES"/>
        </w:rPr>
        <w:t xml:space="preserve">, para. 4(j). </w:t>
      </w:r>
    </w:p>
  </w:footnote>
  <w:footnote w:id="16">
    <w:p w14:paraId="17C6AE75" w14:textId="77777777" w:rsidR="002600C7" w:rsidRPr="00173AAA" w:rsidRDefault="002600C7" w:rsidP="003077F3">
      <w:pPr>
        <w:pStyle w:val="FootnoteText"/>
        <w:widowControl w:val="0"/>
        <w:tabs>
          <w:tab w:val="clear" w:pos="1021"/>
          <w:tab w:val="right" w:pos="1020"/>
        </w:tabs>
        <w:rPr>
          <w:lang w:val="pt-BR"/>
        </w:rPr>
      </w:pPr>
      <w:r w:rsidRPr="003837E9">
        <w:rPr>
          <w:lang w:val="es-ES"/>
        </w:rPr>
        <w:tab/>
      </w:r>
      <w:r>
        <w:rPr>
          <w:rStyle w:val="FootnoteReference"/>
        </w:rPr>
        <w:footnoteRef/>
      </w:r>
      <w:r w:rsidRPr="00173AAA">
        <w:rPr>
          <w:lang w:val="es-ES"/>
        </w:rPr>
        <w:tab/>
      </w:r>
      <w:proofErr w:type="spellStart"/>
      <w:r w:rsidRPr="00173AAA">
        <w:rPr>
          <w:lang w:val="es-ES"/>
        </w:rPr>
        <w:t>Decision</w:t>
      </w:r>
      <w:proofErr w:type="spellEnd"/>
      <w:r w:rsidRPr="00173AAA">
        <w:rPr>
          <w:lang w:val="es-ES"/>
        </w:rPr>
        <w:t xml:space="preserve"> 7/CMA.1, </w:t>
      </w:r>
      <w:proofErr w:type="spellStart"/>
      <w:r w:rsidRPr="00173AAA">
        <w:rPr>
          <w:lang w:val="es-ES"/>
        </w:rPr>
        <w:t>annex</w:t>
      </w:r>
      <w:proofErr w:type="spellEnd"/>
      <w:r w:rsidRPr="00173AAA">
        <w:rPr>
          <w:lang w:val="es-ES"/>
        </w:rPr>
        <w:t xml:space="preserve">, para. </w:t>
      </w:r>
      <w:r w:rsidRPr="00173AAA">
        <w:rPr>
          <w:lang w:val="pt-BR"/>
        </w:rPr>
        <w:t xml:space="preserve">4(i). </w:t>
      </w:r>
    </w:p>
  </w:footnote>
  <w:footnote w:id="17">
    <w:p w14:paraId="3C1F7D98" w14:textId="77777777" w:rsidR="002600C7" w:rsidRPr="00FC63F5" w:rsidRDefault="002600C7" w:rsidP="003077F3">
      <w:pPr>
        <w:pStyle w:val="FootnoteText"/>
        <w:widowControl w:val="0"/>
        <w:tabs>
          <w:tab w:val="clear" w:pos="1021"/>
          <w:tab w:val="right" w:pos="1020"/>
        </w:tabs>
        <w:rPr>
          <w:lang w:val="en-US"/>
        </w:rPr>
      </w:pPr>
      <w:r w:rsidRPr="00173AAA">
        <w:rPr>
          <w:lang w:val="pt-BR"/>
        </w:rPr>
        <w:tab/>
      </w:r>
      <w:r>
        <w:rPr>
          <w:rStyle w:val="FootnoteReference"/>
        </w:rPr>
        <w:footnoteRef/>
      </w:r>
      <w:r w:rsidRPr="00173AAA">
        <w:rPr>
          <w:lang w:val="pt-BR"/>
        </w:rPr>
        <w:tab/>
      </w:r>
      <w:r w:rsidRPr="00173AAA">
        <w:rPr>
          <w:lang w:val="pt-BR"/>
        </w:rPr>
        <w:t xml:space="preserve">Decision </w:t>
      </w:r>
      <w:r w:rsidRPr="00173AAA">
        <w:rPr>
          <w:lang w:val="pt-BR"/>
        </w:rPr>
        <w:t xml:space="preserve">7/CMA.1, annex, para. </w:t>
      </w:r>
      <w:r>
        <w:rPr>
          <w:lang w:val="en-US"/>
        </w:rPr>
        <w:t>4(h).</w:t>
      </w:r>
      <w:r>
        <w:t xml:space="preserve"> </w:t>
      </w:r>
    </w:p>
  </w:footnote>
  <w:footnote w:id="18">
    <w:p w14:paraId="1F2207D0" w14:textId="77777777" w:rsidR="002600C7" w:rsidRPr="003837E9" w:rsidRDefault="002600C7" w:rsidP="003077F3">
      <w:pPr>
        <w:pStyle w:val="FootnoteText"/>
        <w:widowControl w:val="0"/>
        <w:tabs>
          <w:tab w:val="clear" w:pos="1021"/>
          <w:tab w:val="right" w:pos="1020"/>
        </w:tabs>
        <w:rPr>
          <w:lang w:val="es-ES"/>
        </w:rPr>
      </w:pPr>
      <w:r w:rsidRPr="003837E9">
        <w:rPr>
          <w:lang w:val="es-ES"/>
        </w:rPr>
        <w:tab/>
      </w:r>
      <w:r>
        <w:rPr>
          <w:rStyle w:val="FootnoteReference"/>
        </w:rPr>
        <w:footnoteRef/>
      </w:r>
      <w:r w:rsidRPr="003837E9">
        <w:rPr>
          <w:lang w:val="es-ES"/>
        </w:rPr>
        <w:tab/>
      </w:r>
      <w:r w:rsidRPr="00D61C4A">
        <w:rPr>
          <w:lang w:val="en-US"/>
        </w:rPr>
        <w:t>See the table below</w:t>
      </w:r>
      <w:r w:rsidRPr="003837E9">
        <w:rPr>
          <w:lang w:val="es-ES"/>
        </w:rPr>
        <w:t xml:space="preserve">. </w:t>
      </w:r>
    </w:p>
  </w:footnote>
  <w:footnote w:id="19">
    <w:p w14:paraId="2B5DDA37" w14:textId="77777777" w:rsidR="002600C7" w:rsidRPr="0015708A" w:rsidRDefault="002600C7" w:rsidP="00CF7617">
      <w:pPr>
        <w:pStyle w:val="FootnoteText"/>
        <w:widowControl w:val="0"/>
        <w:tabs>
          <w:tab w:val="clear" w:pos="1021"/>
          <w:tab w:val="right" w:pos="1020"/>
        </w:tabs>
        <w:rPr>
          <w:lang w:val="it-IT"/>
        </w:rPr>
      </w:pPr>
      <w:r w:rsidRPr="008270F4">
        <w:rPr>
          <w:lang w:val="en-US"/>
        </w:rPr>
        <w:tab/>
      </w:r>
      <w:r w:rsidRPr="008270F4">
        <w:rPr>
          <w:rStyle w:val="FootnoteReference"/>
        </w:rPr>
        <w:footnoteRef/>
      </w:r>
      <w:r w:rsidRPr="008270F4">
        <w:rPr>
          <w:lang w:val="it-IT"/>
        </w:rPr>
        <w:tab/>
      </w:r>
      <w:r w:rsidRPr="00821D73">
        <w:rPr>
          <w:lang w:val="it-IT"/>
        </w:rPr>
        <w:t>FCCC/SBI/2017/4/Add.</w:t>
      </w:r>
      <w:r>
        <w:rPr>
          <w:lang w:val="it-IT"/>
        </w:rPr>
        <w:t>2</w:t>
      </w:r>
      <w:r w:rsidRPr="00821D73">
        <w:rPr>
          <w:lang w:val="it-IT"/>
        </w:rPr>
        <w:t>.</w:t>
      </w:r>
      <w:r w:rsidRPr="0015708A">
        <w:rPr>
          <w:lang w:val="it-IT"/>
        </w:rPr>
        <w:t xml:space="preserve"> </w:t>
      </w:r>
    </w:p>
  </w:footnote>
  <w:footnote w:id="20">
    <w:p w14:paraId="119506B8" w14:textId="59F36D59" w:rsidR="002600C7" w:rsidRPr="005F2137" w:rsidRDefault="002600C7" w:rsidP="00E42813">
      <w:pPr>
        <w:pStyle w:val="FootnoteText"/>
        <w:tabs>
          <w:tab w:val="left" w:pos="1440"/>
          <w:tab w:val="left" w:pos="2160"/>
          <w:tab w:val="left" w:pos="2880"/>
          <w:tab w:val="left" w:pos="4230"/>
        </w:tabs>
      </w:pPr>
      <w:r>
        <w:rPr>
          <w:lang w:val="it-IT"/>
        </w:rPr>
        <w:tab/>
      </w:r>
      <w:r w:rsidRPr="00CD1BF7">
        <w:rPr>
          <w:rStyle w:val="FootnoteReference"/>
        </w:rPr>
        <w:footnoteRef/>
      </w:r>
      <w:r>
        <w:tab/>
        <w:t>FCCC/SBI</w:t>
      </w:r>
      <w:r w:rsidRPr="00891AFC">
        <w:t>/2019/4</w:t>
      </w:r>
      <w:r>
        <w:t xml:space="preserve"> and Add.1–2</w:t>
      </w:r>
      <w:r w:rsidRPr="00891AFC">
        <w:t>.</w:t>
      </w:r>
    </w:p>
  </w:footnote>
  <w:footnote w:id="21">
    <w:p w14:paraId="41D310D9" w14:textId="77777777" w:rsidR="002600C7" w:rsidRPr="007B5DE3" w:rsidRDefault="002600C7" w:rsidP="00E42813">
      <w:pPr>
        <w:pStyle w:val="FootnoteText"/>
        <w:tabs>
          <w:tab w:val="left" w:pos="1418"/>
          <w:tab w:val="left" w:pos="2160"/>
          <w:tab w:val="left" w:pos="2880"/>
          <w:tab w:val="left" w:pos="4230"/>
        </w:tabs>
        <w:rPr>
          <w:lang w:val="en-US"/>
        </w:rPr>
      </w:pPr>
      <w:r>
        <w:tab/>
      </w:r>
      <w:r>
        <w:rPr>
          <w:rStyle w:val="FootnoteReference"/>
        </w:rPr>
        <w:footnoteRef/>
      </w:r>
      <w:r>
        <w:tab/>
      </w:r>
      <w:r w:rsidRPr="00EF24AF">
        <w:t>Decision 15/CP.1, annex I</w:t>
      </w:r>
      <w:r>
        <w:rPr>
          <w:lang w:val="it-IT"/>
        </w:rPr>
        <w:t>.</w:t>
      </w:r>
    </w:p>
  </w:footnote>
  <w:footnote w:id="22">
    <w:p w14:paraId="593A28E6" w14:textId="77777777" w:rsidR="002600C7" w:rsidRPr="002B65F7" w:rsidRDefault="002600C7" w:rsidP="00E42813">
      <w:pPr>
        <w:pStyle w:val="FootnoteText"/>
        <w:tabs>
          <w:tab w:val="left" w:pos="1418"/>
          <w:tab w:val="left" w:pos="2160"/>
          <w:tab w:val="left" w:pos="2880"/>
          <w:tab w:val="left" w:pos="4230"/>
        </w:tabs>
      </w:pPr>
      <w:r>
        <w:tab/>
      </w:r>
      <w:r>
        <w:rPr>
          <w:rStyle w:val="FootnoteReference"/>
        </w:rPr>
        <w:footnoteRef/>
      </w:r>
      <w:r>
        <w:tab/>
        <w:t>FCCC/SBI/2019/INF.5.</w:t>
      </w:r>
    </w:p>
  </w:footnote>
  <w:footnote w:id="23">
    <w:p w14:paraId="364A88E0" w14:textId="77777777" w:rsidR="002600C7" w:rsidRPr="000C7C5E" w:rsidRDefault="002600C7" w:rsidP="00CF7617">
      <w:pPr>
        <w:pStyle w:val="FootnoteText"/>
        <w:rPr>
          <w:lang w:val="en-US"/>
        </w:rPr>
      </w:pPr>
      <w:r>
        <w:tab/>
      </w:r>
      <w:r>
        <w:rPr>
          <w:rStyle w:val="FootnoteReference"/>
        </w:rPr>
        <w:footnoteRef/>
      </w:r>
      <w:r>
        <w:rPr>
          <w:lang w:val="en-US"/>
        </w:rPr>
        <w:tab/>
      </w:r>
      <w:r w:rsidRPr="000C7C5E">
        <w:rPr>
          <w:lang w:val="en-US"/>
        </w:rPr>
        <w:t>Decision 15/CP.1, annex I</w:t>
      </w:r>
      <w:r>
        <w:rPr>
          <w:lang w:val="en-US"/>
        </w:rPr>
        <w:t>.</w:t>
      </w:r>
    </w:p>
  </w:footnote>
  <w:footnote w:id="24">
    <w:p w14:paraId="6471BF5B" w14:textId="77777777" w:rsidR="002600C7" w:rsidRPr="00126DD9" w:rsidRDefault="002600C7" w:rsidP="00CF7617">
      <w:pPr>
        <w:pStyle w:val="FootnoteText"/>
        <w:widowControl w:val="0"/>
        <w:tabs>
          <w:tab w:val="clear" w:pos="1021"/>
          <w:tab w:val="right" w:pos="1020"/>
        </w:tabs>
        <w:rPr>
          <w:lang w:val="en-US"/>
        </w:rPr>
      </w:pPr>
      <w:r>
        <w:tab/>
      </w:r>
      <w:r>
        <w:rPr>
          <w:rStyle w:val="FootnoteReference"/>
        </w:rPr>
        <w:footnoteRef/>
      </w:r>
      <w:r>
        <w:tab/>
        <w:t>FCCC/SBI/2019/14 and Add.1–</w:t>
      </w:r>
      <w:r w:rsidRPr="00126DD9">
        <w:t>2</w:t>
      </w:r>
      <w:r>
        <w:t>,</w:t>
      </w:r>
      <w:r w:rsidRPr="00126DD9">
        <w:t xml:space="preserve"> FCCC/SBI/201</w:t>
      </w:r>
      <w:r>
        <w:t>9</w:t>
      </w:r>
      <w:r w:rsidRPr="00126DD9">
        <w:t>/INF.</w:t>
      </w:r>
      <w:r>
        <w:t>9</w:t>
      </w:r>
      <w:r w:rsidRPr="00126DD9">
        <w:t xml:space="preserve"> and Add.1</w:t>
      </w:r>
      <w:r>
        <w:t>,</w:t>
      </w:r>
      <w:r w:rsidRPr="00126DD9">
        <w:t xml:space="preserve"> FCCC/SBI/201</w:t>
      </w:r>
      <w:r>
        <w:t>9</w:t>
      </w:r>
      <w:r w:rsidRPr="00126DD9">
        <w:t>/INF.</w:t>
      </w:r>
      <w:r>
        <w:t>12 and</w:t>
      </w:r>
      <w:r w:rsidRPr="00126DD9">
        <w:t xml:space="preserve"> FCCC/SBI/201</w:t>
      </w:r>
      <w:r>
        <w:t>9</w:t>
      </w:r>
      <w:r w:rsidRPr="00126DD9">
        <w:t>/INF.</w:t>
      </w:r>
      <w:r>
        <w:t>16</w:t>
      </w:r>
      <w:r w:rsidRPr="00BA0762">
        <w:t>.</w:t>
      </w:r>
    </w:p>
  </w:footnote>
  <w:footnote w:id="25">
    <w:p w14:paraId="7AC6F8EC" w14:textId="77777777" w:rsidR="002600C7" w:rsidRPr="003F2A78" w:rsidRDefault="002600C7" w:rsidP="00CF7617">
      <w:pPr>
        <w:pStyle w:val="FootnoteText"/>
        <w:widowControl w:val="0"/>
        <w:tabs>
          <w:tab w:val="clear" w:pos="1021"/>
          <w:tab w:val="right" w:pos="1020"/>
        </w:tabs>
        <w:rPr>
          <w:lang w:val="en-US"/>
        </w:rPr>
      </w:pPr>
      <w:r>
        <w:tab/>
      </w:r>
      <w:r>
        <w:rPr>
          <w:rStyle w:val="FootnoteReference"/>
        </w:rPr>
        <w:footnoteRef/>
      </w:r>
      <w:r>
        <w:tab/>
        <w:t>FCCC/SBI/2019/14 and Add.1–</w:t>
      </w:r>
      <w:r w:rsidRPr="00126DD9">
        <w:t>2</w:t>
      </w:r>
      <w:r>
        <w:t>.</w:t>
      </w:r>
    </w:p>
  </w:footnote>
  <w:footnote w:id="26">
    <w:p w14:paraId="3E486108" w14:textId="77777777" w:rsidR="002600C7" w:rsidRPr="00EB7221" w:rsidRDefault="002600C7" w:rsidP="00CF7617">
      <w:pPr>
        <w:pStyle w:val="FootnoteText"/>
        <w:widowControl w:val="0"/>
        <w:tabs>
          <w:tab w:val="clear" w:pos="1021"/>
          <w:tab w:val="right" w:pos="1020"/>
        </w:tabs>
        <w:rPr>
          <w:lang w:val="en-US"/>
        </w:rPr>
      </w:pPr>
      <w:r>
        <w:tab/>
      </w:r>
      <w:r>
        <w:rPr>
          <w:rStyle w:val="FootnoteReference"/>
        </w:rPr>
        <w:footnoteRef/>
      </w:r>
      <w:r>
        <w:tab/>
        <w:t>FCCC/SBI/2019/INF.16.</w:t>
      </w:r>
    </w:p>
  </w:footnote>
  <w:footnote w:id="27">
    <w:p w14:paraId="79BF4DF0" w14:textId="77777777" w:rsidR="002600C7" w:rsidRPr="00742DAC" w:rsidRDefault="002600C7" w:rsidP="00CF7617">
      <w:pPr>
        <w:pStyle w:val="FootnoteText"/>
        <w:widowControl w:val="0"/>
        <w:tabs>
          <w:tab w:val="clear" w:pos="1021"/>
          <w:tab w:val="right" w:pos="1020"/>
        </w:tabs>
        <w:rPr>
          <w:lang w:val="en-US"/>
        </w:rPr>
      </w:pPr>
      <w:r>
        <w:tab/>
      </w:r>
      <w:r>
        <w:rPr>
          <w:rStyle w:val="FootnoteReference"/>
        </w:rPr>
        <w:footnoteRef/>
      </w:r>
      <w:r>
        <w:tab/>
        <w:t>FCCC/SBI/2019/INF.9 and Add.1.</w:t>
      </w:r>
    </w:p>
  </w:footnote>
  <w:footnote w:id="28">
    <w:p w14:paraId="3B1DEED1" w14:textId="77777777" w:rsidR="002600C7" w:rsidRPr="00366D1B" w:rsidRDefault="002600C7" w:rsidP="00CF7617">
      <w:pPr>
        <w:pStyle w:val="FootnoteText"/>
        <w:widowControl w:val="0"/>
        <w:rPr>
          <w:lang w:val="en-US"/>
        </w:rPr>
      </w:pPr>
      <w:r>
        <w:tab/>
      </w:r>
      <w:r>
        <w:rPr>
          <w:rStyle w:val="FootnoteReference"/>
        </w:rPr>
        <w:footnoteRef/>
      </w:r>
      <w:r>
        <w:tab/>
        <w:t xml:space="preserve">FCCC/SBI/2019/INF.4 and FCCC/SBI/2019/INF.12.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88BA6" w14:textId="01F41F27" w:rsidR="002600C7" w:rsidRPr="00EA4A64" w:rsidRDefault="002600C7" w:rsidP="00EA4A64">
    <w:pPr>
      <w:pStyle w:val="Header"/>
    </w:pPr>
    <w:r>
      <w:t>FCCC/KP/CMP/2019/8/Add.1</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24484" w14:textId="6A3928C3" w:rsidR="002600C7" w:rsidRPr="00EA4A64" w:rsidRDefault="002600C7" w:rsidP="00EA4A64">
    <w:pPr>
      <w:pStyle w:val="Header"/>
    </w:pPr>
    <w:r>
      <w:t>FCCC/KP/CMP/2019/8/Add.1</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BA720" w14:textId="76072D7E" w:rsidR="002600C7" w:rsidRPr="00EA4A64" w:rsidRDefault="002600C7" w:rsidP="00EA4A64">
    <w:pPr>
      <w:pStyle w:val="Header"/>
      <w:jc w:val="right"/>
    </w:pPr>
    <w:r>
      <w:t>FCCC/KP/CMP/2019/8/Add.1</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B32AC" w14:textId="75C5108F" w:rsidR="002600C7" w:rsidRPr="00EA4A64" w:rsidRDefault="002600C7" w:rsidP="00EA4A64">
    <w:pPr>
      <w:pStyle w:val="Header"/>
    </w:pPr>
    <w:r>
      <w:t>FCCC/KP/CMP/2019/8/Add.1</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0D4B25" w14:textId="718166D8" w:rsidR="002600C7" w:rsidRPr="00EA4A64" w:rsidRDefault="002600C7" w:rsidP="00EA4A64">
    <w:r>
      <w:rPr>
        <w:noProof/>
      </w:rPr>
      <mc:AlternateContent>
        <mc:Choice Requires="wps">
          <w:drawing>
            <wp:anchor distT="0" distB="0" distL="114300" distR="114300" simplePos="0" relativeHeight="251662338" behindDoc="0" locked="0" layoutInCell="1" allowOverlap="1" wp14:anchorId="0C5371B2" wp14:editId="122F3277">
              <wp:simplePos x="0" y="0"/>
              <wp:positionH relativeFrom="page">
                <wp:posOffset>9935845</wp:posOffset>
              </wp:positionH>
              <wp:positionV relativeFrom="margin">
                <wp:posOffset>0</wp:posOffset>
              </wp:positionV>
              <wp:extent cx="215900" cy="6120130"/>
              <wp:effectExtent l="0" t="0" r="12700" b="1397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67575256" w14:textId="7B73D59B" w:rsidR="002600C7" w:rsidRDefault="002600C7" w:rsidP="00EA4A64">
                          <w:pPr>
                            <w:pStyle w:val="Header"/>
                          </w:pPr>
                          <w:r>
                            <w:t>FCCC/KP/CMP/2019/8/Add.1</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0C5371B2" id="_x0000_t202" coordsize="21600,21600" o:spt="202" path="m,l,21600r21600,l21600,xe">
              <v:stroke joinstyle="miter"/>
              <v:path gradientshapeok="t" o:connecttype="rect"/>
            </v:shapetype>
            <v:shape id="Text Box 8" o:spid="_x0000_s1026" type="#_x0000_t202" style="position:absolute;margin-left:782.35pt;margin-top:0;width:17pt;height:481.9pt;z-index:251662338;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Oc65gIAAHoGAAAOAAAAZHJzL2Uyb0RvYy54bWzEVV1P2zAUfZ+0/2D5vSTpWmgrUlToOk2q&#10;AAkmnl3HaSIc27PdDzbtv+/YaYDBHtg0aS/OtX19P8499+b0bN9IshXW1VrlNDtKKRGK66JW65x+&#10;uV30RpQ4z1TBpFYipw/C0bPp+3enOzMRfV1pWQhLYES5yc7ktPLeTJLE8Uo0zB1pIxQuS20b5rG1&#10;66SwbAfrjUz6aXqc7LQtjNVcOIfTeXtJp9F+WQrur8rSCU9kThGbj6uN6yqsyfSUTdaWmarmhzDY&#10;X0TRsFrB6aOpOfOMbGz9ylRTc6udLv0R102iy7LmIuaAbLL0RTY3FTMi5gJwnHmEyf07s/xye21J&#10;XeQUhVKsQYluxd6Tc70no4DOzrgJlG4M1Pwex6hyzNSZpeb3DirJM532gYN2QGNf2iZ8kSfBQxTg&#10;4RH04IXjsJ8NxyluOK6OM6DwIVYleXptrPOfhG5IEHJqUdQYAdsunQ/+2aRTCc6UXtRSxsJKRXY5&#10;HQ/7Q9hnoFcpmYfYGCTs1JoSJtfgLfc2Wnz2NFicM1eRLQN1nJZ10ZLF6o0qovVKsOKjKoh/MIBN&#10;gd80uGtEQYkUMBukqOlZLd+iiUykCjkAHOR2kFoifR9n/UF63h/3Fsejk95gMRj2xifpqJdm4/Px&#10;cToYD+aLHyGNbDCp6qIQalkr0ZE6G7yNNIf2aukYaf1nEEakQgFC8AHEC2lbDFeS8fuAB7J8pfUf&#10;oP4FphgVUO++Ef1I7JbLgeJ+v9oj/CCudPGAhrAafAR3neGLGrkumfPXzGKC4BBT0V9hKaUGK/RB&#10;oqTS9tvvzoN+TsMKGmEigXVfN8yCVPKzQsvDpO8E2wmrTlCb5kKDqVmMJop4YL3sxNLq5g7Dcha8&#10;4IopjkhyCm+teOHbuYhhy8VsFpUwpAzzS3VjeNf3oaa3+ztmzaEfPWC71N2sYpMXbdnqBjYoPdt4&#10;XdaxZ59QBORhgwEXwT8M4zBBn++j1tMvY/oTAAD//wMAUEsDBBQABgAIAAAAIQCSYOYV3gAAAAoB&#10;AAAPAAAAZHJzL2Rvd25yZXYueG1sTI/fSsMwFMbvBd8hHME7l266rqtNx1CmMEGw8wGyJrZhzUlJ&#10;0q19e8+u9PLH9/H9KTaj7dhZ+2AcCpjPEmAaa6cMNgK+D7uHDFiIEpXsHGoBkw6wKW9vCpkrd8Ev&#10;fa5iwygEQy4FtDH2OeehbrWVYeZ6jaT9OG9lJPQNV15eKNx2fJEkKbfSIDW0stcvra5P1WAFmNed&#10;n79vjfusplO1eHPp8DHthbi/G7fPwKIe458ZrvNpOpS06egGVIF1xMv0aUVeAXTpqi/XGfFRwDp9&#10;zICXBf9/ofwFAAD//wMAUEsBAi0AFAAGAAgAAAAhALaDOJL+AAAA4QEAABMAAAAAAAAAAAAAAAAA&#10;AAAAAFtDb250ZW50X1R5cGVzXS54bWxQSwECLQAUAAYACAAAACEAOP0h/9YAAACUAQAACwAAAAAA&#10;AAAAAAAAAAAvAQAAX3JlbHMvLnJlbHNQSwECLQAUAAYACAAAACEARZznOuYCAAB6BgAADgAAAAAA&#10;AAAAAAAAAAAuAgAAZHJzL2Uyb0RvYy54bWxQSwECLQAUAAYACAAAACEAkmDmFd4AAAAKAQAADwAA&#10;AAAAAAAAAAAAAABABQAAZHJzL2Rvd25yZXYueG1sUEsFBgAAAAAEAAQA8wAAAEsGAAAAAA==&#10;" filled="f" stroked="f">
              <v:stroke joinstyle="round"/>
              <v:path arrowok="t"/>
              <v:textbox style="layout-flow:vertical" inset="0,0,0,0">
                <w:txbxContent>
                  <w:p w14:paraId="67575256" w14:textId="7B73D59B" w:rsidR="002600C7" w:rsidRDefault="002600C7" w:rsidP="00EA4A64">
                    <w:pPr>
                      <w:pStyle w:val="Header"/>
                    </w:pPr>
                    <w:r>
                      <w:t>FCCC/KP/CMP/2019/8/Add.1</w:t>
                    </w:r>
                  </w:p>
                </w:txbxContent>
              </v:textbox>
              <w10:wrap anchorx="page" anchory="margin"/>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5DBE0" w14:textId="36B553F8" w:rsidR="002600C7" w:rsidRPr="00EA4A64" w:rsidRDefault="002600C7" w:rsidP="00EA4A64">
    <w:r>
      <w:rPr>
        <w:noProof/>
      </w:rPr>
      <mc:AlternateContent>
        <mc:Choice Requires="wps">
          <w:drawing>
            <wp:anchor distT="0" distB="0" distL="114300" distR="114300" simplePos="0" relativeHeight="251664386" behindDoc="0" locked="0" layoutInCell="1" allowOverlap="1" wp14:anchorId="6563161A" wp14:editId="32D3DF5E">
              <wp:simplePos x="0" y="0"/>
              <wp:positionH relativeFrom="page">
                <wp:posOffset>9935845</wp:posOffset>
              </wp:positionH>
              <wp:positionV relativeFrom="margin">
                <wp:posOffset>0</wp:posOffset>
              </wp:positionV>
              <wp:extent cx="215900" cy="6120130"/>
              <wp:effectExtent l="0" t="0" r="12700" b="1397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6120130"/>
                      </a:xfrm>
                      <a:prstGeom prst="rect">
                        <a:avLst/>
                      </a:prstGeom>
                      <a:noFill/>
                      <a:ln w="9525" cap="flat" cmpd="sng" algn="ctr">
                        <a:noFill/>
                        <a:prstDash val="solid"/>
                        <a:round/>
                        <a:headEnd type="none" w="med" len="med"/>
                        <a:tailEnd type="none" w="med" len="med"/>
                      </a:ln>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txbx>
                      <w:txbxContent>
                        <w:p w14:paraId="1A3DB7ED" w14:textId="3F06BEA6" w:rsidR="002600C7" w:rsidRDefault="002600C7" w:rsidP="00EA4A64">
                          <w:pPr>
                            <w:pStyle w:val="Header"/>
                            <w:jc w:val="right"/>
                          </w:pPr>
                          <w:r>
                            <w:t>FCCC/KP/CMP/2019/8/Add.1</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6563161A" id="_x0000_t202" coordsize="21600,21600" o:spt="202" path="m,l,21600r21600,l21600,xe">
              <v:stroke joinstyle="miter"/>
              <v:path gradientshapeok="t" o:connecttype="rect"/>
            </v:shapetype>
            <v:shape id="Text Box 14" o:spid="_x0000_s1027" type="#_x0000_t202" style="position:absolute;margin-left:782.35pt;margin-top:0;width:17pt;height:481.9pt;z-index:251664386;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j0A6wIAAIMGAAAOAAAAZHJzL2Uyb0RvYy54bWzEVU1PGzEQvVfqf7B8D7ubJoFEbFAgTVUp&#10;AiSoODteb3aF13Zt54NW/e999maBQg+0qtSLM2s/j2fevJmcnu0bSbbCulqrnGZHKSVCcV3Uap3T&#10;L7eL3gklzjNVMKmVyOmDcPRs+v7d6c5MRF9XWhbCEjhRbrIzOa28N5MkcbwSDXNH2giFw1Lbhnl8&#10;2nVSWLaD90Ym/TQdJTttC2M1F85hd94e0mn0X5aC+6uydMITmVPE5uNq47oKazI9ZZO1Zaaq+SEM&#10;9hdRNKxWePTR1Zx5Rja2fuWqqbnVTpf+iOsm0WVZcxFzQDZZ+iKbm4oZEXMBOc480uT+nVt+ub22&#10;pC5QuwElijWo0a3Ye3Ku9wRb4Gdn3ASwGwOg32Mf2JirM0vN7x0gyTNMe8EBHfjYl7YJv8iU4CJK&#10;8PBIe3iGY7OfDccpTjiORhl4+BDrkjzdNtb5T0I3JBg5tShrjIBtl86H99mkg4THlF7UUsbSSkV2&#10;OR0P+0P4ZxBYKZmH2Rik7NSaEibXUC73Nnp8djV4nDNXkS2DeJyWddHKxeqNKqL3SrDioyqIfzDg&#10;TUHhNDzXiIISKeA2WBHpWS3fgkQmUoUcQA5yO1itlL6Ps/4gPe+Pe4vRyXFvsBgMe+Pj9KSXZuPz&#10;8SgdjAfzxY+QRjaYVHVRCLWslehknQ3eJptDg7WCjML+MwojU6EAIfhA4oW0LYcryfh94ANZvkL9&#10;B6p/oSlGBda738h+FHar5SBxv1/t22bpGmOliwf0hdWQJSTsDF/USHnJnL9mFqMEmxiP/gpLKTXE&#10;oQ8WJZW23363H/A5DSvUhNEE8X3dMAttyc8KvQ+XvjNsZ6w6Q22aCw3BZjGaaOKC9bIzS6ubO0zN&#10;WXgFR0xxRJJTvNaaF74dkJi6XMxmEYRpZZhfqhvDu/YPpb3d3zFrDm3pwd6l7oYWm7zozhYbRKH0&#10;bON1WcfWDby2LIL58IFJF2twmMphlD7/jqin/47pTwAAAP//AwBQSwMEFAAGAAgAAAAhAJJg5hXe&#10;AAAACgEAAA8AAABkcnMvZG93bnJldi54bWxMj99KwzAUxu8F3yEcwTuXbrquq03HUKYwQbDzAbIm&#10;tmHNSUnSrX17z6708sf38f0pNqPt2Fn7YBwKmM8SYBprpww2Ar4Pu4cMWIgSlewcagGTDrApb28K&#10;mSt3wS99rmLDKARDLgW0MfY556FutZVh5nqNpP04b2Uk9A1XXl4o3HZ8kSQpt9IgNbSy1y+trk/V&#10;YAWY152fv2+N+6ymU7V4c+nwMe2FuL8bt8/Aoh7jnxmu82k6lLTp6AZUgXXEy/RpRV4BdOmqL9cZ&#10;8VHAOn3MgJcF/3+h/AUAAP//AwBQSwECLQAUAAYACAAAACEAtoM4kv4AAADhAQAAEwAAAAAAAAAA&#10;AAAAAAAAAAAAW0NvbnRlbnRfVHlwZXNdLnhtbFBLAQItABQABgAIAAAAIQA4/SH/1gAAAJQBAAAL&#10;AAAAAAAAAAAAAAAAAC8BAABfcmVscy8ucmVsc1BLAQItABQABgAIAAAAIQCYHj0A6wIAAIMGAAAO&#10;AAAAAAAAAAAAAAAAAC4CAABkcnMvZTJvRG9jLnhtbFBLAQItABQABgAIAAAAIQCSYOYV3gAAAAoB&#10;AAAPAAAAAAAAAAAAAAAAAEUFAABkcnMvZG93bnJldi54bWxQSwUGAAAAAAQABADzAAAAUAYAAAAA&#10;" filled="f" stroked="f">
              <v:stroke joinstyle="round"/>
              <v:path arrowok="t"/>
              <v:textbox style="layout-flow:vertical" inset="0,0,0,0">
                <w:txbxContent>
                  <w:p w14:paraId="1A3DB7ED" w14:textId="3F06BEA6" w:rsidR="002600C7" w:rsidRDefault="002600C7" w:rsidP="00EA4A64">
                    <w:pPr>
                      <w:pStyle w:val="Header"/>
                      <w:jc w:val="right"/>
                    </w:pPr>
                    <w:r>
                      <w:t>FCCC/KP/CMP/2019/8/Add.1</w:t>
                    </w:r>
                  </w:p>
                </w:txbxContent>
              </v:textbox>
              <w10:wrap anchorx="page" anchory="margin"/>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94A1E" w14:textId="0CA5C75D" w:rsidR="002600C7" w:rsidRPr="00EA4A64" w:rsidRDefault="002600C7" w:rsidP="00EA4A64">
    <w:pPr>
      <w:pStyle w:val="Header"/>
    </w:pPr>
    <w:r>
      <w:t>FCCC/KP/CMP/2019/8/Add.1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73452" w14:textId="27BB5DA4" w:rsidR="002600C7" w:rsidRPr="00EA4A64" w:rsidRDefault="002600C7" w:rsidP="00EA4A64">
    <w:pPr>
      <w:pStyle w:val="Header"/>
      <w:jc w:val="right"/>
    </w:pPr>
    <w:r>
      <w:t>FCCC/KP/CMP/2019/8/Add.1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0F8B0" w14:textId="611C8B2B" w:rsidR="002600C7" w:rsidRPr="00EA4A64" w:rsidRDefault="002600C7" w:rsidP="00EA4A64">
    <w:pPr>
      <w:pStyle w:val="Header"/>
    </w:pPr>
    <w:r>
      <w:t>FCCC/KP/CMP/2019/8/Add.1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24BFE" w14:textId="5F9E9CEA" w:rsidR="002600C7" w:rsidRPr="00EA4A64" w:rsidRDefault="002600C7" w:rsidP="00EA4A64">
    <w:pPr>
      <w:pStyle w:val="Header"/>
      <w:jc w:val="right"/>
    </w:pPr>
    <w:r>
      <w:t>FCCC/KP/CMP/2019/8/Add.1</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B629F" w14:textId="7583415B" w:rsidR="002600C7" w:rsidRPr="00EA4A64" w:rsidRDefault="002600C7" w:rsidP="00EA4A64">
    <w:pPr>
      <w:pStyle w:val="Header"/>
    </w:pPr>
    <w:r>
      <w:t>FCCC/KP/CMP/2019/8/Add.1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0A62D" w14:textId="5EE44210" w:rsidR="002600C7" w:rsidRPr="00A475D5" w:rsidRDefault="002600C7" w:rsidP="00A475D5">
    <w:pPr>
      <w:pStyle w:val="Header"/>
      <w:jc w:val="right"/>
    </w:pPr>
    <w:r>
      <w:t>FCCC/KP/CMP/2019/X/Add.1</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0C9F9" w14:textId="58237B57" w:rsidR="002600C7" w:rsidRPr="00EA4A64" w:rsidRDefault="002600C7" w:rsidP="00EA4A64">
    <w:pPr>
      <w:pStyle w:val="Header"/>
      <w:jc w:val="right"/>
    </w:pPr>
    <w:r>
      <w:t>FCCC/KP/CMP/2019/8/Add.1</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7F2AD" w14:textId="28EF1EEA" w:rsidR="002600C7" w:rsidRPr="00EA4A64" w:rsidRDefault="002600C7" w:rsidP="00EA4A64">
    <w:pPr>
      <w:pStyle w:val="Header"/>
    </w:pPr>
    <w:r>
      <w:t>FCCC/KP/CMP/2019/8/Add.1</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533E6A" w14:textId="6A1F76D1" w:rsidR="002600C7" w:rsidRPr="00EA4A64" w:rsidRDefault="002600C7" w:rsidP="00EA4A64">
    <w:pPr>
      <w:pStyle w:val="Header"/>
      <w:jc w:val="right"/>
    </w:pPr>
    <w:r>
      <w:t>FCCC/KP/CMP/2019/8/Add.1</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8CA6D" w14:textId="1BE01C17" w:rsidR="002600C7" w:rsidRPr="00EA4A64" w:rsidRDefault="002600C7" w:rsidP="00EA4A64">
    <w:pPr>
      <w:pStyle w:val="Header"/>
    </w:pPr>
    <w:r>
      <w:t>FCCC/KP/CMP/2019/8/Add.1</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D993E" w14:textId="16B12A76" w:rsidR="002600C7" w:rsidRPr="00EA4A64" w:rsidRDefault="002600C7" w:rsidP="00EA4A64">
    <w:pPr>
      <w:pStyle w:val="Header"/>
      <w:jc w:val="right"/>
    </w:pPr>
    <w:r>
      <w:t>FCCC/KP/CMP/2019/8/Add.1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9EC42" w14:textId="77777777" w:rsidR="002600C7" w:rsidRDefault="002600C7" w:rsidP="002600C7">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5D3D01" w14:textId="5D9D7E8F" w:rsidR="002600C7" w:rsidRPr="00EA4A64" w:rsidRDefault="002600C7" w:rsidP="00EA4A64">
    <w:pPr>
      <w:pStyle w:val="Header"/>
    </w:pPr>
    <w:r>
      <w:t>FCCC/KP/CMP/2019/8/Add.1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531538" w14:textId="3C4C72AE" w:rsidR="002600C7" w:rsidRPr="00EA4A64" w:rsidRDefault="002600C7" w:rsidP="00EA4A64">
    <w:pPr>
      <w:pStyle w:val="Header"/>
      <w:jc w:val="right"/>
    </w:pPr>
    <w:r>
      <w:t>FCCC/KP/CMP/2019/8/Add.1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7DF04" w14:textId="3F9B73B8" w:rsidR="002600C7" w:rsidRPr="00EA4A64" w:rsidRDefault="002600C7" w:rsidP="00EA4A64">
    <w:pPr>
      <w:pStyle w:val="Header"/>
    </w:pPr>
    <w:r>
      <w:t>FCCC/KP/CMP/2019/8/Add.1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475A7" w14:textId="126EB632" w:rsidR="002600C7" w:rsidRPr="00EA4A64" w:rsidRDefault="002600C7" w:rsidP="00EA4A64">
    <w:pPr>
      <w:pStyle w:val="Header"/>
      <w:jc w:val="right"/>
    </w:pPr>
    <w:r>
      <w:t>FCCC/KP/CMP/2019/8/Add.1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EBFE3" w14:textId="15FB0331" w:rsidR="002600C7" w:rsidRPr="00EA4A64" w:rsidRDefault="002600C7" w:rsidP="00EA4A64">
    <w:pPr>
      <w:pStyle w:val="Header"/>
    </w:pPr>
    <w:r>
      <w:t>FCCC/KP/CMP/2019/8/Add.1</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BEDB97" w14:textId="3BE2AC14" w:rsidR="002600C7" w:rsidRPr="00B67AF2" w:rsidRDefault="002600C7" w:rsidP="003077F3">
    <w:pPr>
      <w:pStyle w:val="Header"/>
      <w:jc w:val="right"/>
    </w:pPr>
    <w:r>
      <w:t>FCCC/PA/CMA/2019/X/Add.1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2036B"/>
    <w:multiLevelType w:val="hybridMultilevel"/>
    <w:tmpl w:val="B21093D2"/>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4454B7"/>
    <w:multiLevelType w:val="multilevel"/>
    <w:tmpl w:val="D570AB8A"/>
    <w:styleLink w:val="Figure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1E275F"/>
    <w:multiLevelType w:val="hybridMultilevel"/>
    <w:tmpl w:val="3D36B276"/>
    <w:name w:val="FCCCTextbox footnote"/>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1F0963"/>
    <w:multiLevelType w:val="multilevel"/>
    <w:tmpl w:val="D570BB54"/>
    <w:name w:val="Reg68"/>
    <w:lvl w:ilvl="0">
      <w:start w:val="1"/>
      <w:numFmt w:val="upperRoman"/>
      <w:pStyle w:val="RegHead1"/>
      <w:suff w:val="space"/>
      <w:lvlText w:val="%1. "/>
      <w:lvlJc w:val="center"/>
      <w:pPr>
        <w:ind w:left="0" w:firstLine="0"/>
      </w:pPr>
      <w:rPr>
        <w:sz w:val="28"/>
      </w:rPr>
    </w:lvl>
    <w:lvl w:ilvl="1">
      <w:start w:val="1"/>
      <w:numFmt w:val="upperLetter"/>
      <w:pStyle w:val="RegHead2"/>
      <w:suff w:val="space"/>
      <w:lvlText w:val="%2. "/>
      <w:lvlJc w:val="center"/>
      <w:pPr>
        <w:ind w:left="0" w:firstLine="0"/>
      </w:pPr>
      <w:rPr>
        <w:b/>
        <w:sz w:val="22"/>
        <w:u w:val="none"/>
      </w:rPr>
    </w:lvl>
    <w:lvl w:ilvl="2">
      <w:start w:val="1"/>
      <w:numFmt w:val="decimal"/>
      <w:pStyle w:val="RegHead3"/>
      <w:suff w:val="space"/>
      <w:lvlText w:val="%3. "/>
      <w:lvlJc w:val="center"/>
      <w:pPr>
        <w:ind w:left="0" w:firstLine="0"/>
      </w:pPr>
      <w:rPr>
        <w:b w:val="0"/>
        <w:sz w:val="22"/>
        <w:u w:val="none"/>
      </w:rPr>
    </w:lvl>
    <w:lvl w:ilvl="3">
      <w:start w:val="1"/>
      <w:numFmt w:val="decimal"/>
      <w:lvlRestart w:val="0"/>
      <w:pStyle w:val="RegPara"/>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4" w15:restartNumberingAfterBreak="0">
    <w:nsid w:val="1023354E"/>
    <w:multiLevelType w:val="multilevel"/>
    <w:tmpl w:val="7382C6AE"/>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 w:ilvl="1">
      <w:start w:val="1"/>
      <w:numFmt w:val="upperLetter"/>
      <w:pStyle w:val="RegH1G"/>
      <w:lvlText w:val="%2."/>
      <w:lvlJc w:val="right"/>
      <w:pPr>
        <w:tabs>
          <w:tab w:val="num" w:pos="1135"/>
        </w:tabs>
        <w:ind w:left="1135" w:hanging="284"/>
      </w:pPr>
      <w:rPr>
        <w:rFonts w:ascii="Times New Roman" w:hAnsi="Times New Roman" w:cs="Times New Roman" w:hint="default"/>
        <w:b/>
        <w:i w:val="0"/>
        <w:sz w:val="24"/>
      </w:rPr>
    </w:lvl>
    <w:lvl w:ilvl="2">
      <w:start w:val="1"/>
      <w:numFmt w:val="decimal"/>
      <w:pStyle w:val="RegH23G"/>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pStyle w:val="RegH4G"/>
      <w:lvlText w:val="(%4)"/>
      <w:lvlJc w:val="right"/>
      <w:pPr>
        <w:tabs>
          <w:tab w:val="num" w:pos="1134"/>
        </w:tabs>
        <w:ind w:left="1135" w:hanging="284"/>
      </w:pPr>
      <w:rPr>
        <w:rFonts w:ascii="Times New Roman" w:hAnsi="Times New Roman" w:cs="Times New Roman" w:hint="default"/>
        <w:b/>
        <w:i w:val="0"/>
        <w:sz w:val="20"/>
      </w:rPr>
    </w:lvl>
    <w:lvl w:ilvl="4">
      <w:start w:val="1"/>
      <w:numFmt w:val="lowerRoman"/>
      <w:pStyle w:val="RegH5G"/>
      <w:lvlText w:val="(%5)"/>
      <w:lvlJc w:val="right"/>
      <w:pPr>
        <w:tabs>
          <w:tab w:val="num" w:pos="1134"/>
        </w:tabs>
        <w:ind w:left="1135" w:hanging="284"/>
      </w:pPr>
      <w:rPr>
        <w:rFonts w:ascii="Times New Roman" w:hAnsi="Times New Roman" w:hint="default"/>
        <w:b w:val="0"/>
        <w:i/>
      </w:rPr>
    </w:lvl>
    <w:lvl w:ilvl="5">
      <w:start w:val="1"/>
      <w:numFmt w:val="decimal"/>
      <w:lvlRestart w:val="0"/>
      <w:pStyle w:val="RegSingleTxtG"/>
      <w:lvlText w:val="%6."/>
      <w:lvlJc w:val="left"/>
      <w:pPr>
        <w:ind w:left="1134" w:firstLine="0"/>
      </w:pPr>
      <w:rPr>
        <w:rFonts w:hint="default"/>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pStyle w:val="RegSingleTxtG3"/>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5" w15:restartNumberingAfterBreak="0">
    <w:nsid w:val="1650370D"/>
    <w:multiLevelType w:val="multilevel"/>
    <w:tmpl w:val="1BE2FFB2"/>
    <w:lvl w:ilvl="0">
      <w:start w:val="1"/>
      <w:numFmt w:val="upperRoman"/>
      <w:suff w:val="space"/>
      <w:lvlText w:val="%1. "/>
      <w:lvlJc w:val="right"/>
      <w:pPr>
        <w:ind w:left="0" w:firstLine="244"/>
      </w:pPr>
      <w:rPr>
        <w:rFonts w:hint="default"/>
        <w:sz w:val="28"/>
      </w:rPr>
    </w:lvl>
    <w:lvl w:ilvl="1">
      <w:start w:val="1"/>
      <w:numFmt w:val="decimal"/>
      <w:suff w:val="space"/>
      <w:lvlText w:val="%2. "/>
      <w:lvlJc w:val="left"/>
      <w:pPr>
        <w:ind w:left="0" w:firstLine="0"/>
      </w:pPr>
      <w:rPr>
        <w:rFonts w:hint="default"/>
        <w:b/>
        <w:sz w:val="22"/>
        <w:u w:val="none"/>
      </w:rPr>
    </w:lvl>
    <w:lvl w:ilvl="2">
      <w:start w:val="1"/>
      <w:numFmt w:val="lowerLetter"/>
      <w:pStyle w:val="AnnoHead2"/>
      <w:lvlText w:val="(%3)"/>
      <w:lvlJc w:val="left"/>
      <w:pPr>
        <w:tabs>
          <w:tab w:val="num" w:pos="720"/>
        </w:tabs>
        <w:ind w:left="720" w:hanging="720"/>
      </w:pPr>
      <w:rPr>
        <w:rFonts w:ascii="Times New Roman" w:hAnsi="Times New Roman" w:hint="default"/>
        <w:b w:val="0"/>
        <w:sz w:val="22"/>
        <w:u w:val="none"/>
      </w:rPr>
    </w:lvl>
    <w:lvl w:ilvl="3">
      <w:start w:val="1"/>
      <w:numFmt w:val="lowerRoman"/>
      <w:lvlText w:val="(%4)"/>
      <w:lvlJc w:val="right"/>
      <w:pPr>
        <w:tabs>
          <w:tab w:val="num" w:pos="1440"/>
        </w:tabs>
        <w:ind w:left="1440" w:hanging="533"/>
      </w:pPr>
      <w:rPr>
        <w:rFonts w:ascii="Times New Roman" w:hAnsi="Times New Roman" w:hint="default"/>
        <w:b w:val="0"/>
        <w:sz w:val="22"/>
        <w:u w:val="none"/>
      </w:rPr>
    </w:lvl>
    <w:lvl w:ilvl="4">
      <w:start w:val="1"/>
      <w:numFmt w:val="decimal"/>
      <w:pStyle w:val="AnnoHead2"/>
      <w:lvlText w:val="%5."/>
      <w:lvlJc w:val="left"/>
      <w:pPr>
        <w:tabs>
          <w:tab w:val="num" w:pos="360"/>
        </w:tabs>
        <w:ind w:left="0" w:firstLine="0"/>
      </w:pPr>
      <w:rPr>
        <w:rFonts w:ascii="Times New Roman" w:hAnsi="Times New Roman" w:hint="default"/>
        <w:b w:val="0"/>
        <w:sz w:val="22"/>
        <w:u w:val="none"/>
      </w:rPr>
    </w:lvl>
    <w:lvl w:ilvl="5">
      <w:start w:val="1"/>
      <w:numFmt w:val="lowerLetter"/>
      <w:lvlText w:val="(%6)"/>
      <w:lvlJc w:val="left"/>
      <w:pPr>
        <w:tabs>
          <w:tab w:val="num" w:pos="1440"/>
        </w:tabs>
        <w:ind w:left="1440" w:hanging="720"/>
      </w:pPr>
      <w:rPr>
        <w:rFonts w:hint="default"/>
        <w:sz w:val="22"/>
        <w:u w:val="none"/>
      </w:rPr>
    </w:lvl>
    <w:lvl w:ilvl="6">
      <w:start w:val="1"/>
      <w:numFmt w:val="decimal"/>
      <w:lvlText w:val="%7."/>
      <w:lvlJc w:val="left"/>
      <w:pPr>
        <w:tabs>
          <w:tab w:val="num" w:pos="1440"/>
        </w:tabs>
        <w:ind w:left="1440" w:hanging="720"/>
      </w:pPr>
      <w:rPr>
        <w:rFonts w:ascii="Symbol" w:hAnsi="Symbol" w:hint="default"/>
        <w:sz w:val="22"/>
        <w:u w:val="none"/>
      </w:rPr>
    </w:lvl>
    <w:lvl w:ilvl="7">
      <w:start w:val="1"/>
      <w:numFmt w:val="lowerLetter"/>
      <w:lvlText w:val="(%8)"/>
      <w:lvlJc w:val="left"/>
      <w:pPr>
        <w:tabs>
          <w:tab w:val="num" w:pos="2160"/>
        </w:tabs>
        <w:ind w:left="2160" w:hanging="720"/>
      </w:pPr>
      <w:rPr>
        <w:rFonts w:hint="default"/>
        <w:sz w:val="22"/>
        <w:u w:val="none"/>
      </w:rPr>
    </w:lvl>
    <w:lvl w:ilvl="8">
      <w:start w:val="1"/>
      <w:numFmt w:val="lowerLetter"/>
      <w:lvlText w:val=""/>
      <w:lvlJc w:val="left"/>
      <w:pPr>
        <w:tabs>
          <w:tab w:val="num" w:pos="2880"/>
        </w:tabs>
        <w:ind w:left="2880" w:hanging="720"/>
      </w:pPr>
      <w:rPr>
        <w:rFonts w:ascii="Symbol" w:hAnsi="Symbol" w:hint="default"/>
        <w:u w:val="none"/>
      </w:rPr>
    </w:lvl>
  </w:abstractNum>
  <w:abstractNum w:abstractNumId="6" w15:restartNumberingAfterBreak="0">
    <w:nsid w:val="16E86549"/>
    <w:multiLevelType w:val="multilevel"/>
    <w:tmpl w:val="A930238A"/>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i w:val="0"/>
        <w:sz w:val="20"/>
      </w:rPr>
    </w:lvl>
    <w:lvl w:ilvl="4">
      <w:start w:val="1"/>
      <w:numFmt w:val="lowerLetter"/>
      <w:lvlText w:val="(%5)"/>
      <w:lvlJc w:val="left"/>
      <w:pPr>
        <w:tabs>
          <w:tab w:val="num" w:pos="2269"/>
        </w:tabs>
        <w:ind w:left="1135" w:firstLine="567"/>
      </w:pPr>
      <w:rPr>
        <w:rFonts w:hint="default"/>
        <w:i w:val="0"/>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7" w15:restartNumberingAfterBreak="0">
    <w:nsid w:val="1F217904"/>
    <w:multiLevelType w:val="multilevel"/>
    <w:tmpl w:val="4C2A71EA"/>
    <w:name w:val="TextBox Footnote"/>
    <w:lvl w:ilvl="0">
      <w:start w:val="1"/>
      <w:numFmt w:val="lowerLetter"/>
      <w:lvlRestart w:val="0"/>
      <w:suff w:val="space"/>
      <w:lvlText w:val="%1  "/>
      <w:lvlJc w:val="left"/>
      <w:pPr>
        <w:ind w:left="1134" w:firstLine="170"/>
      </w:pPr>
      <w:rPr>
        <w:rFonts w:hint="default"/>
        <w:i/>
        <w:sz w:val="18"/>
        <w:vertAlign w:val="superscrip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03B2E8D"/>
    <w:multiLevelType w:val="multilevel"/>
    <w:tmpl w:val="D570AB8A"/>
    <w:styleLink w:val="FCCCBox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2C51BCD"/>
    <w:multiLevelType w:val="hybridMultilevel"/>
    <w:tmpl w:val="7A801CA4"/>
    <w:name w:val="FCCCTextbox footnote23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C64F00"/>
    <w:multiLevelType w:val="multilevel"/>
    <w:tmpl w:val="EF36802C"/>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11" w15:restartNumberingAfterBreak="0">
    <w:nsid w:val="22D15DE3"/>
    <w:multiLevelType w:val="multilevel"/>
    <w:tmpl w:val="2A02F8E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2" w15:restartNumberingAfterBreak="0">
    <w:nsid w:val="2E215943"/>
    <w:multiLevelType w:val="multilevel"/>
    <w:tmpl w:val="72D26EF8"/>
    <w:styleLink w:val="FCCCTextboxfootnote"/>
    <w:lvl w:ilvl="0">
      <w:start w:val="1"/>
      <w:numFmt w:val="lowerLetter"/>
      <w:lvlRestart w:val="0"/>
      <w:lvlText w:val="%1  "/>
      <w:lvlJc w:val="left"/>
      <w:pPr>
        <w:ind w:left="720" w:hanging="363"/>
      </w:pPr>
      <w:rPr>
        <w:rFonts w:hint="default"/>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F1F7003"/>
    <w:multiLevelType w:val="hybridMultilevel"/>
    <w:tmpl w:val="F8F22560"/>
    <w:name w:val="FCCCTextbox footnote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C738E"/>
    <w:multiLevelType w:val="hybridMultilevel"/>
    <w:tmpl w:val="CF9042B4"/>
    <w:name w:val="FCCCTextbox footnote2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9B0C55"/>
    <w:multiLevelType w:val="multilevel"/>
    <w:tmpl w:val="A930238A"/>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i w:val="0"/>
        <w:sz w:val="20"/>
      </w:rPr>
    </w:lvl>
    <w:lvl w:ilvl="4">
      <w:start w:val="1"/>
      <w:numFmt w:val="lowerLetter"/>
      <w:lvlText w:val="(%5)"/>
      <w:lvlJc w:val="left"/>
      <w:pPr>
        <w:tabs>
          <w:tab w:val="num" w:pos="2269"/>
        </w:tabs>
        <w:ind w:left="1135" w:firstLine="567"/>
      </w:pPr>
      <w:rPr>
        <w:rFonts w:hint="default"/>
        <w:i w:val="0"/>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6" w15:restartNumberingAfterBreak="0">
    <w:nsid w:val="422A1557"/>
    <w:multiLevelType w:val="hybridMultilevel"/>
    <w:tmpl w:val="9E2CACFE"/>
    <w:lvl w:ilvl="0" w:tplc="F32C7314">
      <w:start w:val="1"/>
      <w:numFmt w:val="lowerLetter"/>
      <w:lvlRestart w:val="0"/>
      <w:suff w:val="space"/>
      <w:lvlText w:val="%1  "/>
      <w:lvlJc w:val="left"/>
      <w:pPr>
        <w:ind w:left="1134" w:firstLine="170"/>
      </w:pPr>
      <w:rPr>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47667B"/>
    <w:multiLevelType w:val="hybridMultilevel"/>
    <w:tmpl w:val="9B720724"/>
    <w:name w:val="FCCCTextbox footnote23"/>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994DFA"/>
    <w:multiLevelType w:val="multilevel"/>
    <w:tmpl w:val="A930238A"/>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i w:val="0"/>
        <w:sz w:val="20"/>
      </w:rPr>
    </w:lvl>
    <w:lvl w:ilvl="4">
      <w:start w:val="1"/>
      <w:numFmt w:val="lowerLetter"/>
      <w:lvlText w:val="(%5)"/>
      <w:lvlJc w:val="left"/>
      <w:pPr>
        <w:tabs>
          <w:tab w:val="num" w:pos="2269"/>
        </w:tabs>
        <w:ind w:left="1135" w:firstLine="567"/>
      </w:pPr>
      <w:rPr>
        <w:rFonts w:hint="default"/>
        <w:i w:val="0"/>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9" w15:restartNumberingAfterBreak="0">
    <w:nsid w:val="53842876"/>
    <w:multiLevelType w:val="multilevel"/>
    <w:tmpl w:val="A930238A"/>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i w:val="0"/>
        <w:sz w:val="20"/>
      </w:rPr>
    </w:lvl>
    <w:lvl w:ilvl="4">
      <w:start w:val="1"/>
      <w:numFmt w:val="lowerLetter"/>
      <w:lvlText w:val="(%5)"/>
      <w:lvlJc w:val="left"/>
      <w:pPr>
        <w:tabs>
          <w:tab w:val="num" w:pos="2269"/>
        </w:tabs>
        <w:ind w:left="1135" w:firstLine="567"/>
      </w:pPr>
      <w:rPr>
        <w:rFonts w:hint="default"/>
        <w:i w:val="0"/>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20" w15:restartNumberingAfterBreak="0">
    <w:nsid w:val="553761BC"/>
    <w:multiLevelType w:val="multilevel"/>
    <w:tmpl w:val="2A02F8E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21" w15:restartNumberingAfterBreak="0">
    <w:nsid w:val="5D9C6A1D"/>
    <w:multiLevelType w:val="multilevel"/>
    <w:tmpl w:val="A930238A"/>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i w:val="0"/>
        <w:sz w:val="20"/>
      </w:rPr>
    </w:lvl>
    <w:lvl w:ilvl="4">
      <w:start w:val="1"/>
      <w:numFmt w:val="lowerLetter"/>
      <w:lvlText w:val="(%5)"/>
      <w:lvlJc w:val="left"/>
      <w:pPr>
        <w:tabs>
          <w:tab w:val="num" w:pos="2269"/>
        </w:tabs>
        <w:ind w:left="1135" w:firstLine="567"/>
      </w:pPr>
      <w:rPr>
        <w:rFonts w:hint="default"/>
        <w:i w:val="0"/>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22" w15:restartNumberingAfterBreak="0">
    <w:nsid w:val="60CA7829"/>
    <w:multiLevelType w:val="hybridMultilevel"/>
    <w:tmpl w:val="3C9A5AF4"/>
    <w:name w:val="TextBox Footnote2"/>
    <w:lvl w:ilvl="0" w:tplc="C79E93DA">
      <w:start w:val="1"/>
      <w:numFmt w:val="lowerLetter"/>
      <w:lvlText w:val="%1  "/>
      <w:lvlJc w:val="left"/>
      <w:pPr>
        <w:ind w:left="720" w:hanging="360"/>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6C3C2C"/>
    <w:multiLevelType w:val="multilevel"/>
    <w:tmpl w:val="A930238A"/>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i w:val="0"/>
        <w:sz w:val="20"/>
      </w:rPr>
    </w:lvl>
    <w:lvl w:ilvl="4">
      <w:start w:val="1"/>
      <w:numFmt w:val="lowerLetter"/>
      <w:lvlText w:val="(%5)"/>
      <w:lvlJc w:val="left"/>
      <w:pPr>
        <w:tabs>
          <w:tab w:val="num" w:pos="2269"/>
        </w:tabs>
        <w:ind w:left="1135" w:firstLine="567"/>
      </w:pPr>
      <w:rPr>
        <w:rFonts w:hint="default"/>
        <w:i w:val="0"/>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24" w15:restartNumberingAfterBreak="0">
    <w:nsid w:val="68862366"/>
    <w:multiLevelType w:val="hybridMultilevel"/>
    <w:tmpl w:val="A84009F8"/>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8AE3993"/>
    <w:multiLevelType w:val="hybridMultilevel"/>
    <w:tmpl w:val="D360B81E"/>
    <w:lvl w:ilvl="0" w:tplc="46C2EF40">
      <w:start w:val="1"/>
      <w:numFmt w:val="lowerLetter"/>
      <w:lvlRestart w:val="0"/>
      <w:suff w:val="space"/>
      <w:lvlText w:val="%1  "/>
      <w:lvlJc w:val="left"/>
      <w:pPr>
        <w:ind w:left="567" w:firstLine="170"/>
      </w:pPr>
      <w:rPr>
        <w:i/>
        <w:sz w:val="18"/>
        <w:vertAlign w:val="superscript"/>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26" w15:restartNumberingAfterBreak="0">
    <w:nsid w:val="75DD69D3"/>
    <w:multiLevelType w:val="multilevel"/>
    <w:tmpl w:val="A930238A"/>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i w:val="0"/>
        <w:sz w:val="20"/>
      </w:rPr>
    </w:lvl>
    <w:lvl w:ilvl="4">
      <w:start w:val="1"/>
      <w:numFmt w:val="lowerLetter"/>
      <w:lvlText w:val="(%5)"/>
      <w:lvlJc w:val="left"/>
      <w:pPr>
        <w:tabs>
          <w:tab w:val="num" w:pos="2269"/>
        </w:tabs>
        <w:ind w:left="1135" w:firstLine="567"/>
      </w:pPr>
      <w:rPr>
        <w:rFonts w:hint="default"/>
        <w:i w:val="0"/>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num w:numId="1">
    <w:abstractNumId w:val="8"/>
  </w:num>
  <w:num w:numId="2">
    <w:abstractNumId w:val="12"/>
  </w:num>
  <w:num w:numId="3">
    <w:abstractNumId w:val="1"/>
  </w:num>
  <w:num w:numId="4">
    <w:abstractNumId w:val="0"/>
  </w:num>
  <w:num w:numId="5">
    <w:abstractNumId w:val="24"/>
  </w:num>
  <w:num w:numId="6">
    <w:abstractNumId w:val="10"/>
  </w:num>
  <w:num w:numId="7">
    <w:abstractNumId w:val="4"/>
  </w:num>
  <w:num w:numId="8">
    <w:abstractNumId w:val="3"/>
  </w:num>
  <w:num w:numId="9">
    <w:abstractNumId w:val="5"/>
  </w:num>
  <w:num w:numId="10">
    <w:abstractNumId w:val="20"/>
  </w:num>
  <w:num w:numId="11">
    <w:abstractNumId w:val="25"/>
  </w:num>
  <w:num w:numId="12">
    <w:abstractNumId w:val="11"/>
  </w:num>
  <w:num w:numId="13">
    <w:abstractNumId w:val="23"/>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6"/>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19"/>
  </w:num>
  <w:num w:numId="24">
    <w:abstractNumId w:val="6"/>
  </w:num>
  <w:num w:numId="25">
    <w:abstractNumId w:val="21"/>
  </w:num>
  <w:num w:numId="26">
    <w:abstractNumId w:val="1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documentProtection w:formatting="1" w:enforcement="0"/>
  <w:defaultTabStop w:val="567"/>
  <w:evenAndOddHeaders/>
  <w:drawingGridHorizontalSpacing w:val="100"/>
  <w:displayHorizontalDrawingGridEvery w:val="2"/>
  <w:displayVerticalDrawingGridEvery w:val="2"/>
  <w:noPunctuationKerning/>
  <w:characterSpacingControl w:val="doNotCompress"/>
  <w:hdrShapeDefaults>
    <o:shapedefaults v:ext="edit" spidmax="4097"/>
  </w:hdrShapeDefaults>
  <w:footnotePr>
    <w:numRestart w:val="eachSec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432"/>
    <w:rsid w:val="00002558"/>
    <w:rsid w:val="000034A5"/>
    <w:rsid w:val="00004A30"/>
    <w:rsid w:val="00007089"/>
    <w:rsid w:val="00011FC5"/>
    <w:rsid w:val="00021BB6"/>
    <w:rsid w:val="0002382B"/>
    <w:rsid w:val="00032DDE"/>
    <w:rsid w:val="00037650"/>
    <w:rsid w:val="0003776D"/>
    <w:rsid w:val="000423A6"/>
    <w:rsid w:val="00046BE8"/>
    <w:rsid w:val="00052463"/>
    <w:rsid w:val="00052BFE"/>
    <w:rsid w:val="000555B3"/>
    <w:rsid w:val="00055D03"/>
    <w:rsid w:val="000561BD"/>
    <w:rsid w:val="00062505"/>
    <w:rsid w:val="00074855"/>
    <w:rsid w:val="00074EC5"/>
    <w:rsid w:val="00074FC8"/>
    <w:rsid w:val="00075FA8"/>
    <w:rsid w:val="00076113"/>
    <w:rsid w:val="000773C8"/>
    <w:rsid w:val="00081C44"/>
    <w:rsid w:val="00083647"/>
    <w:rsid w:val="0008756E"/>
    <w:rsid w:val="00087BE9"/>
    <w:rsid w:val="00090016"/>
    <w:rsid w:val="000913E6"/>
    <w:rsid w:val="00092E29"/>
    <w:rsid w:val="00093044"/>
    <w:rsid w:val="000936BD"/>
    <w:rsid w:val="00093C21"/>
    <w:rsid w:val="000A399F"/>
    <w:rsid w:val="000A4C99"/>
    <w:rsid w:val="000A566F"/>
    <w:rsid w:val="000A6141"/>
    <w:rsid w:val="000A7C2B"/>
    <w:rsid w:val="000B1FD0"/>
    <w:rsid w:val="000B4BC2"/>
    <w:rsid w:val="000C0E05"/>
    <w:rsid w:val="000C24E3"/>
    <w:rsid w:val="000C5173"/>
    <w:rsid w:val="000C7FAF"/>
    <w:rsid w:val="000D25A9"/>
    <w:rsid w:val="000D5DED"/>
    <w:rsid w:val="000D6922"/>
    <w:rsid w:val="000D6D4A"/>
    <w:rsid w:val="000E2280"/>
    <w:rsid w:val="000E343D"/>
    <w:rsid w:val="000E5A58"/>
    <w:rsid w:val="000E6E68"/>
    <w:rsid w:val="000F13AC"/>
    <w:rsid w:val="000F379C"/>
    <w:rsid w:val="000F4528"/>
    <w:rsid w:val="000F5020"/>
    <w:rsid w:val="000F7ECB"/>
    <w:rsid w:val="001007C9"/>
    <w:rsid w:val="00100B01"/>
    <w:rsid w:val="00106384"/>
    <w:rsid w:val="00107536"/>
    <w:rsid w:val="00107B0E"/>
    <w:rsid w:val="0011157B"/>
    <w:rsid w:val="00115D41"/>
    <w:rsid w:val="001161E5"/>
    <w:rsid w:val="0011658A"/>
    <w:rsid w:val="0011781E"/>
    <w:rsid w:val="00120826"/>
    <w:rsid w:val="00120901"/>
    <w:rsid w:val="001209A8"/>
    <w:rsid w:val="00120E84"/>
    <w:rsid w:val="00123C52"/>
    <w:rsid w:val="00124496"/>
    <w:rsid w:val="00127311"/>
    <w:rsid w:val="001328F9"/>
    <w:rsid w:val="001349EC"/>
    <w:rsid w:val="00134F15"/>
    <w:rsid w:val="001365BE"/>
    <w:rsid w:val="00136D61"/>
    <w:rsid w:val="00141710"/>
    <w:rsid w:val="00142A35"/>
    <w:rsid w:val="00144B46"/>
    <w:rsid w:val="00146E56"/>
    <w:rsid w:val="00152A6E"/>
    <w:rsid w:val="001600D9"/>
    <w:rsid w:val="00172CF0"/>
    <w:rsid w:val="001738F1"/>
    <w:rsid w:val="00174A05"/>
    <w:rsid w:val="00177074"/>
    <w:rsid w:val="001838F2"/>
    <w:rsid w:val="00184C03"/>
    <w:rsid w:val="00185ED4"/>
    <w:rsid w:val="00186A4F"/>
    <w:rsid w:val="001906D0"/>
    <w:rsid w:val="001915EF"/>
    <w:rsid w:val="00192507"/>
    <w:rsid w:val="0019430F"/>
    <w:rsid w:val="001945C7"/>
    <w:rsid w:val="00194BFA"/>
    <w:rsid w:val="00194E11"/>
    <w:rsid w:val="00195018"/>
    <w:rsid w:val="00196E77"/>
    <w:rsid w:val="001A1FC1"/>
    <w:rsid w:val="001A3E9A"/>
    <w:rsid w:val="001A594B"/>
    <w:rsid w:val="001A5FE8"/>
    <w:rsid w:val="001A70E2"/>
    <w:rsid w:val="001B085A"/>
    <w:rsid w:val="001B1483"/>
    <w:rsid w:val="001C3DE7"/>
    <w:rsid w:val="001C40F0"/>
    <w:rsid w:val="001C4688"/>
    <w:rsid w:val="001C50AD"/>
    <w:rsid w:val="001C6106"/>
    <w:rsid w:val="001C7B87"/>
    <w:rsid w:val="001D012A"/>
    <w:rsid w:val="001D0F0F"/>
    <w:rsid w:val="001D2FD8"/>
    <w:rsid w:val="001D3FF5"/>
    <w:rsid w:val="001E3CA0"/>
    <w:rsid w:val="001E7D13"/>
    <w:rsid w:val="001F0C87"/>
    <w:rsid w:val="001F2BBF"/>
    <w:rsid w:val="001F36BA"/>
    <w:rsid w:val="001F4A09"/>
    <w:rsid w:val="002008AA"/>
    <w:rsid w:val="00201B92"/>
    <w:rsid w:val="002025E1"/>
    <w:rsid w:val="00202C1D"/>
    <w:rsid w:val="00207452"/>
    <w:rsid w:val="0021446A"/>
    <w:rsid w:val="00216589"/>
    <w:rsid w:val="00223453"/>
    <w:rsid w:val="00224111"/>
    <w:rsid w:val="00230D0F"/>
    <w:rsid w:val="00231FB5"/>
    <w:rsid w:val="00232479"/>
    <w:rsid w:val="00232EAA"/>
    <w:rsid w:val="00233B6F"/>
    <w:rsid w:val="00235D96"/>
    <w:rsid w:val="00236399"/>
    <w:rsid w:val="0024447B"/>
    <w:rsid w:val="00246888"/>
    <w:rsid w:val="00247BF6"/>
    <w:rsid w:val="00250037"/>
    <w:rsid w:val="00251FF9"/>
    <w:rsid w:val="0025361F"/>
    <w:rsid w:val="00256CFB"/>
    <w:rsid w:val="00257AA3"/>
    <w:rsid w:val="002600C7"/>
    <w:rsid w:val="00260BFA"/>
    <w:rsid w:val="00264F17"/>
    <w:rsid w:val="00266D68"/>
    <w:rsid w:val="00267B98"/>
    <w:rsid w:val="0027033D"/>
    <w:rsid w:val="00273E8E"/>
    <w:rsid w:val="0027419E"/>
    <w:rsid w:val="00276A17"/>
    <w:rsid w:val="002776B4"/>
    <w:rsid w:val="002779EB"/>
    <w:rsid w:val="00277F85"/>
    <w:rsid w:val="00281523"/>
    <w:rsid w:val="0028217C"/>
    <w:rsid w:val="002823A1"/>
    <w:rsid w:val="00283275"/>
    <w:rsid w:val="002859C9"/>
    <w:rsid w:val="0029007C"/>
    <w:rsid w:val="00290409"/>
    <w:rsid w:val="00292DC3"/>
    <w:rsid w:val="002933A4"/>
    <w:rsid w:val="002942A8"/>
    <w:rsid w:val="002954CD"/>
    <w:rsid w:val="00295866"/>
    <w:rsid w:val="0029733B"/>
    <w:rsid w:val="00297432"/>
    <w:rsid w:val="00297C1E"/>
    <w:rsid w:val="002A2A10"/>
    <w:rsid w:val="002A5A88"/>
    <w:rsid w:val="002A7B52"/>
    <w:rsid w:val="002B00DA"/>
    <w:rsid w:val="002B0283"/>
    <w:rsid w:val="002B3984"/>
    <w:rsid w:val="002B446B"/>
    <w:rsid w:val="002B594C"/>
    <w:rsid w:val="002B71EA"/>
    <w:rsid w:val="002B72CE"/>
    <w:rsid w:val="002B73A9"/>
    <w:rsid w:val="002B7532"/>
    <w:rsid w:val="002C051E"/>
    <w:rsid w:val="002C11F7"/>
    <w:rsid w:val="002C256F"/>
    <w:rsid w:val="002C52A6"/>
    <w:rsid w:val="002D154A"/>
    <w:rsid w:val="002D1F6E"/>
    <w:rsid w:val="002D737B"/>
    <w:rsid w:val="002E0930"/>
    <w:rsid w:val="002E1AA5"/>
    <w:rsid w:val="002E3ED8"/>
    <w:rsid w:val="002F304A"/>
    <w:rsid w:val="002F60E8"/>
    <w:rsid w:val="002F7B01"/>
    <w:rsid w:val="003012AF"/>
    <w:rsid w:val="00303B98"/>
    <w:rsid w:val="00304BA1"/>
    <w:rsid w:val="00306423"/>
    <w:rsid w:val="00307519"/>
    <w:rsid w:val="003077F3"/>
    <w:rsid w:val="003132EC"/>
    <w:rsid w:val="003145B1"/>
    <w:rsid w:val="003147E4"/>
    <w:rsid w:val="00317B8C"/>
    <w:rsid w:val="003250E7"/>
    <w:rsid w:val="00327575"/>
    <w:rsid w:val="00327B89"/>
    <w:rsid w:val="00332592"/>
    <w:rsid w:val="003354A0"/>
    <w:rsid w:val="00336DC3"/>
    <w:rsid w:val="00340554"/>
    <w:rsid w:val="00340EEE"/>
    <w:rsid w:val="00341289"/>
    <w:rsid w:val="003415A2"/>
    <w:rsid w:val="003446F2"/>
    <w:rsid w:val="00344AD3"/>
    <w:rsid w:val="0034539C"/>
    <w:rsid w:val="00347C78"/>
    <w:rsid w:val="00350710"/>
    <w:rsid w:val="003517A4"/>
    <w:rsid w:val="003559E9"/>
    <w:rsid w:val="00355B23"/>
    <w:rsid w:val="00357684"/>
    <w:rsid w:val="00361821"/>
    <w:rsid w:val="00361A9D"/>
    <w:rsid w:val="003643C9"/>
    <w:rsid w:val="00364B85"/>
    <w:rsid w:val="00370931"/>
    <w:rsid w:val="00375EE3"/>
    <w:rsid w:val="00375F53"/>
    <w:rsid w:val="003762C2"/>
    <w:rsid w:val="0037659E"/>
    <w:rsid w:val="00381632"/>
    <w:rsid w:val="00383494"/>
    <w:rsid w:val="003859AD"/>
    <w:rsid w:val="00397251"/>
    <w:rsid w:val="003A04B4"/>
    <w:rsid w:val="003A4936"/>
    <w:rsid w:val="003B0E82"/>
    <w:rsid w:val="003B1229"/>
    <w:rsid w:val="003B2C11"/>
    <w:rsid w:val="003B3C25"/>
    <w:rsid w:val="003B4C6A"/>
    <w:rsid w:val="003B4D23"/>
    <w:rsid w:val="003C0EF1"/>
    <w:rsid w:val="003C2680"/>
    <w:rsid w:val="003C3854"/>
    <w:rsid w:val="003C4CF1"/>
    <w:rsid w:val="003C75B9"/>
    <w:rsid w:val="003D1A53"/>
    <w:rsid w:val="003D36AD"/>
    <w:rsid w:val="003D3E8D"/>
    <w:rsid w:val="003D6B47"/>
    <w:rsid w:val="003E05CD"/>
    <w:rsid w:val="003E2002"/>
    <w:rsid w:val="003E3A52"/>
    <w:rsid w:val="003E79A8"/>
    <w:rsid w:val="003E7CA8"/>
    <w:rsid w:val="003F0BC6"/>
    <w:rsid w:val="003F1E27"/>
    <w:rsid w:val="003F3102"/>
    <w:rsid w:val="003F3389"/>
    <w:rsid w:val="003F5394"/>
    <w:rsid w:val="003F5FEE"/>
    <w:rsid w:val="003F67D5"/>
    <w:rsid w:val="003F7301"/>
    <w:rsid w:val="00401B14"/>
    <w:rsid w:val="00403E2E"/>
    <w:rsid w:val="004061BF"/>
    <w:rsid w:val="00410508"/>
    <w:rsid w:val="00415EFB"/>
    <w:rsid w:val="0041601C"/>
    <w:rsid w:val="00417292"/>
    <w:rsid w:val="00421A26"/>
    <w:rsid w:val="00422A48"/>
    <w:rsid w:val="00422A55"/>
    <w:rsid w:val="00427DA2"/>
    <w:rsid w:val="00433F15"/>
    <w:rsid w:val="0043729E"/>
    <w:rsid w:val="00437435"/>
    <w:rsid w:val="00442AFD"/>
    <w:rsid w:val="00445627"/>
    <w:rsid w:val="0044599E"/>
    <w:rsid w:val="0045073E"/>
    <w:rsid w:val="004532E4"/>
    <w:rsid w:val="00455747"/>
    <w:rsid w:val="00456080"/>
    <w:rsid w:val="004578AD"/>
    <w:rsid w:val="004606D5"/>
    <w:rsid w:val="00464BE9"/>
    <w:rsid w:val="00465583"/>
    <w:rsid w:val="0046578B"/>
    <w:rsid w:val="004812E6"/>
    <w:rsid w:val="0048196D"/>
    <w:rsid w:val="00484B74"/>
    <w:rsid w:val="0048523B"/>
    <w:rsid w:val="00485971"/>
    <w:rsid w:val="00487DED"/>
    <w:rsid w:val="004903C5"/>
    <w:rsid w:val="004977C3"/>
    <w:rsid w:val="004A1659"/>
    <w:rsid w:val="004A36EC"/>
    <w:rsid w:val="004A67DD"/>
    <w:rsid w:val="004B0811"/>
    <w:rsid w:val="004B2869"/>
    <w:rsid w:val="004B501A"/>
    <w:rsid w:val="004C022A"/>
    <w:rsid w:val="004C1052"/>
    <w:rsid w:val="004D1BD9"/>
    <w:rsid w:val="004D26DD"/>
    <w:rsid w:val="004D2CFA"/>
    <w:rsid w:val="004D72AF"/>
    <w:rsid w:val="004E2287"/>
    <w:rsid w:val="004E4B8F"/>
    <w:rsid w:val="004E5A04"/>
    <w:rsid w:val="004E7437"/>
    <w:rsid w:val="004F0D45"/>
    <w:rsid w:val="004F615A"/>
    <w:rsid w:val="005030B1"/>
    <w:rsid w:val="00503373"/>
    <w:rsid w:val="00506E7F"/>
    <w:rsid w:val="00521929"/>
    <w:rsid w:val="005255F0"/>
    <w:rsid w:val="005266D2"/>
    <w:rsid w:val="00527573"/>
    <w:rsid w:val="005279BE"/>
    <w:rsid w:val="005324FA"/>
    <w:rsid w:val="00533AB8"/>
    <w:rsid w:val="005416D2"/>
    <w:rsid w:val="00545616"/>
    <w:rsid w:val="005464AA"/>
    <w:rsid w:val="00546735"/>
    <w:rsid w:val="005474C8"/>
    <w:rsid w:val="005549B8"/>
    <w:rsid w:val="00556333"/>
    <w:rsid w:val="0055700C"/>
    <w:rsid w:val="00561510"/>
    <w:rsid w:val="0056212D"/>
    <w:rsid w:val="0056250B"/>
    <w:rsid w:val="005627AB"/>
    <w:rsid w:val="005645D4"/>
    <w:rsid w:val="005648FF"/>
    <w:rsid w:val="005653A9"/>
    <w:rsid w:val="00565AF2"/>
    <w:rsid w:val="0056758F"/>
    <w:rsid w:val="0057038E"/>
    <w:rsid w:val="00570F55"/>
    <w:rsid w:val="00573130"/>
    <w:rsid w:val="00576132"/>
    <w:rsid w:val="00576F19"/>
    <w:rsid w:val="00577080"/>
    <w:rsid w:val="00577949"/>
    <w:rsid w:val="005802B1"/>
    <w:rsid w:val="0058341F"/>
    <w:rsid w:val="005857A1"/>
    <w:rsid w:val="0059193B"/>
    <w:rsid w:val="00592405"/>
    <w:rsid w:val="005A0171"/>
    <w:rsid w:val="005A0FDF"/>
    <w:rsid w:val="005A16AA"/>
    <w:rsid w:val="005A1844"/>
    <w:rsid w:val="005A30EA"/>
    <w:rsid w:val="005A3292"/>
    <w:rsid w:val="005A6A18"/>
    <w:rsid w:val="005B1D36"/>
    <w:rsid w:val="005B289F"/>
    <w:rsid w:val="005B47F8"/>
    <w:rsid w:val="005C08EC"/>
    <w:rsid w:val="005C19C6"/>
    <w:rsid w:val="005C3BA8"/>
    <w:rsid w:val="005C683F"/>
    <w:rsid w:val="005C6895"/>
    <w:rsid w:val="005D6C7A"/>
    <w:rsid w:val="005E432D"/>
    <w:rsid w:val="005E6DF9"/>
    <w:rsid w:val="005F5CFF"/>
    <w:rsid w:val="005F7584"/>
    <w:rsid w:val="006002E5"/>
    <w:rsid w:val="00600D54"/>
    <w:rsid w:val="00601526"/>
    <w:rsid w:val="00603D73"/>
    <w:rsid w:val="0060436D"/>
    <w:rsid w:val="00607C95"/>
    <w:rsid w:val="0061173F"/>
    <w:rsid w:val="00611E89"/>
    <w:rsid w:val="006161E5"/>
    <w:rsid w:val="00617B57"/>
    <w:rsid w:val="00621E83"/>
    <w:rsid w:val="00622643"/>
    <w:rsid w:val="00622B9F"/>
    <w:rsid w:val="006231D3"/>
    <w:rsid w:val="00624D03"/>
    <w:rsid w:val="00631EE2"/>
    <w:rsid w:val="00633BF3"/>
    <w:rsid w:val="00634DBB"/>
    <w:rsid w:val="006354D3"/>
    <w:rsid w:val="0063652F"/>
    <w:rsid w:val="0063667C"/>
    <w:rsid w:val="006379C7"/>
    <w:rsid w:val="00641F29"/>
    <w:rsid w:val="0064579B"/>
    <w:rsid w:val="00651BDB"/>
    <w:rsid w:val="00655F79"/>
    <w:rsid w:val="0066159F"/>
    <w:rsid w:val="00661AF0"/>
    <w:rsid w:val="00664ABD"/>
    <w:rsid w:val="00664E65"/>
    <w:rsid w:val="0066779B"/>
    <w:rsid w:val="00671981"/>
    <w:rsid w:val="006752FB"/>
    <w:rsid w:val="006771A4"/>
    <w:rsid w:val="006810D8"/>
    <w:rsid w:val="0068552D"/>
    <w:rsid w:val="00687740"/>
    <w:rsid w:val="00687B77"/>
    <w:rsid w:val="00693901"/>
    <w:rsid w:val="006973FA"/>
    <w:rsid w:val="006A3385"/>
    <w:rsid w:val="006A56FD"/>
    <w:rsid w:val="006A61A1"/>
    <w:rsid w:val="006A63F7"/>
    <w:rsid w:val="006B06DB"/>
    <w:rsid w:val="006B13CC"/>
    <w:rsid w:val="006B2FFC"/>
    <w:rsid w:val="006B38EC"/>
    <w:rsid w:val="006B45F4"/>
    <w:rsid w:val="006B59A6"/>
    <w:rsid w:val="006B62F2"/>
    <w:rsid w:val="006B6D3A"/>
    <w:rsid w:val="006C00BB"/>
    <w:rsid w:val="006C590B"/>
    <w:rsid w:val="006C6896"/>
    <w:rsid w:val="006D0BDC"/>
    <w:rsid w:val="006D59B8"/>
    <w:rsid w:val="006E2336"/>
    <w:rsid w:val="006E62D7"/>
    <w:rsid w:val="006E6852"/>
    <w:rsid w:val="006F1BFA"/>
    <w:rsid w:val="006F2373"/>
    <w:rsid w:val="00700EEF"/>
    <w:rsid w:val="00706A49"/>
    <w:rsid w:val="00706ACC"/>
    <w:rsid w:val="00710E60"/>
    <w:rsid w:val="007112BE"/>
    <w:rsid w:val="007125E8"/>
    <w:rsid w:val="0071428F"/>
    <w:rsid w:val="00717BC5"/>
    <w:rsid w:val="00721FF8"/>
    <w:rsid w:val="00722768"/>
    <w:rsid w:val="00726562"/>
    <w:rsid w:val="007334B2"/>
    <w:rsid w:val="007334C8"/>
    <w:rsid w:val="00733560"/>
    <w:rsid w:val="007367AC"/>
    <w:rsid w:val="00740984"/>
    <w:rsid w:val="00741FEC"/>
    <w:rsid w:val="00742F78"/>
    <w:rsid w:val="007446EE"/>
    <w:rsid w:val="00746018"/>
    <w:rsid w:val="00750AE3"/>
    <w:rsid w:val="00750CCE"/>
    <w:rsid w:val="00752275"/>
    <w:rsid w:val="00752FEF"/>
    <w:rsid w:val="00754145"/>
    <w:rsid w:val="00756BC7"/>
    <w:rsid w:val="00756CAC"/>
    <w:rsid w:val="007626E6"/>
    <w:rsid w:val="007658FD"/>
    <w:rsid w:val="007662FB"/>
    <w:rsid w:val="007712B0"/>
    <w:rsid w:val="007719B7"/>
    <w:rsid w:val="00771AB7"/>
    <w:rsid w:val="00772BCD"/>
    <w:rsid w:val="00774D1B"/>
    <w:rsid w:val="007760E2"/>
    <w:rsid w:val="00776276"/>
    <w:rsid w:val="00777578"/>
    <w:rsid w:val="00783616"/>
    <w:rsid w:val="0078549A"/>
    <w:rsid w:val="007965C4"/>
    <w:rsid w:val="00796A9A"/>
    <w:rsid w:val="007A4812"/>
    <w:rsid w:val="007B07E9"/>
    <w:rsid w:val="007B0DFC"/>
    <w:rsid w:val="007B21F0"/>
    <w:rsid w:val="007B282F"/>
    <w:rsid w:val="007B2CE5"/>
    <w:rsid w:val="007C186F"/>
    <w:rsid w:val="007C23B8"/>
    <w:rsid w:val="007C4046"/>
    <w:rsid w:val="007C4282"/>
    <w:rsid w:val="007C43B0"/>
    <w:rsid w:val="007C60C6"/>
    <w:rsid w:val="007D0DEF"/>
    <w:rsid w:val="007D1D05"/>
    <w:rsid w:val="007D2FE5"/>
    <w:rsid w:val="007D3A77"/>
    <w:rsid w:val="007D46D9"/>
    <w:rsid w:val="007D5A86"/>
    <w:rsid w:val="007D77D3"/>
    <w:rsid w:val="007E2A04"/>
    <w:rsid w:val="007E5A0D"/>
    <w:rsid w:val="007E5C76"/>
    <w:rsid w:val="007E7C6E"/>
    <w:rsid w:val="007F0BCC"/>
    <w:rsid w:val="007F0C6B"/>
    <w:rsid w:val="007F11A7"/>
    <w:rsid w:val="007F26E9"/>
    <w:rsid w:val="007F5855"/>
    <w:rsid w:val="007F6C8A"/>
    <w:rsid w:val="00802646"/>
    <w:rsid w:val="00805529"/>
    <w:rsid w:val="008071D5"/>
    <w:rsid w:val="00810726"/>
    <w:rsid w:val="008130C9"/>
    <w:rsid w:val="0081743A"/>
    <w:rsid w:val="00820954"/>
    <w:rsid w:val="00821927"/>
    <w:rsid w:val="00822406"/>
    <w:rsid w:val="00824785"/>
    <w:rsid w:val="00824D92"/>
    <w:rsid w:val="008263F2"/>
    <w:rsid w:val="00826893"/>
    <w:rsid w:val="00827816"/>
    <w:rsid w:val="0083172F"/>
    <w:rsid w:val="00833F76"/>
    <w:rsid w:val="008355D2"/>
    <w:rsid w:val="008370E0"/>
    <w:rsid w:val="0084026C"/>
    <w:rsid w:val="00840B77"/>
    <w:rsid w:val="008419FD"/>
    <w:rsid w:val="00841F6A"/>
    <w:rsid w:val="008421F3"/>
    <w:rsid w:val="00842245"/>
    <w:rsid w:val="0084341D"/>
    <w:rsid w:val="00845317"/>
    <w:rsid w:val="00847A56"/>
    <w:rsid w:val="00850BA0"/>
    <w:rsid w:val="00854822"/>
    <w:rsid w:val="00854A1F"/>
    <w:rsid w:val="00854F81"/>
    <w:rsid w:val="00857A55"/>
    <w:rsid w:val="0086015C"/>
    <w:rsid w:val="008629A2"/>
    <w:rsid w:val="00863B98"/>
    <w:rsid w:val="00871E36"/>
    <w:rsid w:val="00873FF2"/>
    <w:rsid w:val="0087528E"/>
    <w:rsid w:val="0087602A"/>
    <w:rsid w:val="00876FDD"/>
    <w:rsid w:val="00877791"/>
    <w:rsid w:val="008811FA"/>
    <w:rsid w:val="008843CF"/>
    <w:rsid w:val="00885EE0"/>
    <w:rsid w:val="00892684"/>
    <w:rsid w:val="00894691"/>
    <w:rsid w:val="008947F8"/>
    <w:rsid w:val="00894836"/>
    <w:rsid w:val="008979E5"/>
    <w:rsid w:val="008A0207"/>
    <w:rsid w:val="008A7864"/>
    <w:rsid w:val="008B0BDE"/>
    <w:rsid w:val="008B17FB"/>
    <w:rsid w:val="008B2230"/>
    <w:rsid w:val="008B4372"/>
    <w:rsid w:val="008C05BD"/>
    <w:rsid w:val="008C3312"/>
    <w:rsid w:val="008C42B4"/>
    <w:rsid w:val="008C485C"/>
    <w:rsid w:val="008D1A88"/>
    <w:rsid w:val="008D1D78"/>
    <w:rsid w:val="008D2969"/>
    <w:rsid w:val="008D2F6D"/>
    <w:rsid w:val="008D3EE8"/>
    <w:rsid w:val="008D4009"/>
    <w:rsid w:val="008D49EA"/>
    <w:rsid w:val="008D7CC1"/>
    <w:rsid w:val="008E2B17"/>
    <w:rsid w:val="008E4889"/>
    <w:rsid w:val="008E4AAA"/>
    <w:rsid w:val="008E5A18"/>
    <w:rsid w:val="008E64F0"/>
    <w:rsid w:val="008F0DA9"/>
    <w:rsid w:val="008F3424"/>
    <w:rsid w:val="008F37E3"/>
    <w:rsid w:val="008F3B32"/>
    <w:rsid w:val="008F4C57"/>
    <w:rsid w:val="008F6651"/>
    <w:rsid w:val="008F7B36"/>
    <w:rsid w:val="009034BB"/>
    <w:rsid w:val="00904597"/>
    <w:rsid w:val="00906948"/>
    <w:rsid w:val="00906EB7"/>
    <w:rsid w:val="0091113E"/>
    <w:rsid w:val="0091119B"/>
    <w:rsid w:val="009137D2"/>
    <w:rsid w:val="00917177"/>
    <w:rsid w:val="00917213"/>
    <w:rsid w:val="009179D6"/>
    <w:rsid w:val="00920776"/>
    <w:rsid w:val="00921DB5"/>
    <w:rsid w:val="0092263E"/>
    <w:rsid w:val="009230A8"/>
    <w:rsid w:val="009252FD"/>
    <w:rsid w:val="00933228"/>
    <w:rsid w:val="009356BE"/>
    <w:rsid w:val="0094334C"/>
    <w:rsid w:val="0094674B"/>
    <w:rsid w:val="009476D3"/>
    <w:rsid w:val="0094777C"/>
    <w:rsid w:val="00957A10"/>
    <w:rsid w:val="00960298"/>
    <w:rsid w:val="009617EB"/>
    <w:rsid w:val="0096262A"/>
    <w:rsid w:val="00963690"/>
    <w:rsid w:val="00965737"/>
    <w:rsid w:val="009665E1"/>
    <w:rsid w:val="00970F53"/>
    <w:rsid w:val="00971B44"/>
    <w:rsid w:val="009758AA"/>
    <w:rsid w:val="00980E44"/>
    <w:rsid w:val="009929D4"/>
    <w:rsid w:val="00996312"/>
    <w:rsid w:val="009979A7"/>
    <w:rsid w:val="009A180C"/>
    <w:rsid w:val="009A1EFD"/>
    <w:rsid w:val="009A1F67"/>
    <w:rsid w:val="009A2813"/>
    <w:rsid w:val="009A38FD"/>
    <w:rsid w:val="009A71AA"/>
    <w:rsid w:val="009B064C"/>
    <w:rsid w:val="009B1CB9"/>
    <w:rsid w:val="009B6667"/>
    <w:rsid w:val="009B6ADC"/>
    <w:rsid w:val="009C7ABA"/>
    <w:rsid w:val="009D186B"/>
    <w:rsid w:val="009D2AD5"/>
    <w:rsid w:val="009D3057"/>
    <w:rsid w:val="009D7644"/>
    <w:rsid w:val="009D7985"/>
    <w:rsid w:val="009E38C9"/>
    <w:rsid w:val="009E3F82"/>
    <w:rsid w:val="009F29D4"/>
    <w:rsid w:val="009F3514"/>
    <w:rsid w:val="009F3A00"/>
    <w:rsid w:val="009F46B9"/>
    <w:rsid w:val="009F4969"/>
    <w:rsid w:val="009F65C0"/>
    <w:rsid w:val="009F6F4E"/>
    <w:rsid w:val="009F7619"/>
    <w:rsid w:val="009F7990"/>
    <w:rsid w:val="009F7A41"/>
    <w:rsid w:val="00A029EC"/>
    <w:rsid w:val="00A02E12"/>
    <w:rsid w:val="00A04983"/>
    <w:rsid w:val="00A05C5E"/>
    <w:rsid w:val="00A060B4"/>
    <w:rsid w:val="00A0753F"/>
    <w:rsid w:val="00A078E1"/>
    <w:rsid w:val="00A100F0"/>
    <w:rsid w:val="00A10DF7"/>
    <w:rsid w:val="00A10FFD"/>
    <w:rsid w:val="00A11347"/>
    <w:rsid w:val="00A11818"/>
    <w:rsid w:val="00A158AB"/>
    <w:rsid w:val="00A22ED2"/>
    <w:rsid w:val="00A24FED"/>
    <w:rsid w:val="00A30DE3"/>
    <w:rsid w:val="00A31DAA"/>
    <w:rsid w:val="00A32408"/>
    <w:rsid w:val="00A326A1"/>
    <w:rsid w:val="00A327BB"/>
    <w:rsid w:val="00A35DA3"/>
    <w:rsid w:val="00A36552"/>
    <w:rsid w:val="00A41DEF"/>
    <w:rsid w:val="00A459AC"/>
    <w:rsid w:val="00A46476"/>
    <w:rsid w:val="00A475D5"/>
    <w:rsid w:val="00A47AB3"/>
    <w:rsid w:val="00A501A6"/>
    <w:rsid w:val="00A51559"/>
    <w:rsid w:val="00A55AAA"/>
    <w:rsid w:val="00A60427"/>
    <w:rsid w:val="00A60E84"/>
    <w:rsid w:val="00A63C00"/>
    <w:rsid w:val="00A64666"/>
    <w:rsid w:val="00A64947"/>
    <w:rsid w:val="00A662F8"/>
    <w:rsid w:val="00A66451"/>
    <w:rsid w:val="00A67A55"/>
    <w:rsid w:val="00A71AF4"/>
    <w:rsid w:val="00A72AC2"/>
    <w:rsid w:val="00A72AC5"/>
    <w:rsid w:val="00A72B5C"/>
    <w:rsid w:val="00A73BA9"/>
    <w:rsid w:val="00A76791"/>
    <w:rsid w:val="00A77684"/>
    <w:rsid w:val="00A7768C"/>
    <w:rsid w:val="00A77BFF"/>
    <w:rsid w:val="00A85038"/>
    <w:rsid w:val="00A866D7"/>
    <w:rsid w:val="00A86746"/>
    <w:rsid w:val="00A86EF7"/>
    <w:rsid w:val="00A9001C"/>
    <w:rsid w:val="00A93E04"/>
    <w:rsid w:val="00A9402E"/>
    <w:rsid w:val="00AA040F"/>
    <w:rsid w:val="00AA79D8"/>
    <w:rsid w:val="00AB075E"/>
    <w:rsid w:val="00AB1658"/>
    <w:rsid w:val="00AB2E3D"/>
    <w:rsid w:val="00AC1F08"/>
    <w:rsid w:val="00AC73BB"/>
    <w:rsid w:val="00AD40C4"/>
    <w:rsid w:val="00AD4D69"/>
    <w:rsid w:val="00AE03E0"/>
    <w:rsid w:val="00AE0D84"/>
    <w:rsid w:val="00AE1B8C"/>
    <w:rsid w:val="00AE2044"/>
    <w:rsid w:val="00AE550C"/>
    <w:rsid w:val="00AE73B8"/>
    <w:rsid w:val="00AF34A3"/>
    <w:rsid w:val="00AF38A2"/>
    <w:rsid w:val="00AF45B0"/>
    <w:rsid w:val="00AF7045"/>
    <w:rsid w:val="00B03244"/>
    <w:rsid w:val="00B13218"/>
    <w:rsid w:val="00B217B4"/>
    <w:rsid w:val="00B24666"/>
    <w:rsid w:val="00B2560F"/>
    <w:rsid w:val="00B2727F"/>
    <w:rsid w:val="00B27F33"/>
    <w:rsid w:val="00B306BB"/>
    <w:rsid w:val="00B30815"/>
    <w:rsid w:val="00B30F51"/>
    <w:rsid w:val="00B314CC"/>
    <w:rsid w:val="00B33E91"/>
    <w:rsid w:val="00B33EF4"/>
    <w:rsid w:val="00B3411F"/>
    <w:rsid w:val="00B36131"/>
    <w:rsid w:val="00B37C98"/>
    <w:rsid w:val="00B40093"/>
    <w:rsid w:val="00B43CCA"/>
    <w:rsid w:val="00B44597"/>
    <w:rsid w:val="00B465AB"/>
    <w:rsid w:val="00B5265A"/>
    <w:rsid w:val="00B52E86"/>
    <w:rsid w:val="00B62A21"/>
    <w:rsid w:val="00B64660"/>
    <w:rsid w:val="00B64FBF"/>
    <w:rsid w:val="00B67031"/>
    <w:rsid w:val="00B7185B"/>
    <w:rsid w:val="00B733A8"/>
    <w:rsid w:val="00B73980"/>
    <w:rsid w:val="00B73ACE"/>
    <w:rsid w:val="00B771ED"/>
    <w:rsid w:val="00B80855"/>
    <w:rsid w:val="00B82BB6"/>
    <w:rsid w:val="00B82F22"/>
    <w:rsid w:val="00B90BC9"/>
    <w:rsid w:val="00B91CC2"/>
    <w:rsid w:val="00B946F3"/>
    <w:rsid w:val="00B955EC"/>
    <w:rsid w:val="00B961E8"/>
    <w:rsid w:val="00BA0166"/>
    <w:rsid w:val="00BA0582"/>
    <w:rsid w:val="00BA0BF9"/>
    <w:rsid w:val="00BA151F"/>
    <w:rsid w:val="00BA1EDA"/>
    <w:rsid w:val="00BA5F8A"/>
    <w:rsid w:val="00BA707B"/>
    <w:rsid w:val="00BA7377"/>
    <w:rsid w:val="00BA76A0"/>
    <w:rsid w:val="00BB0700"/>
    <w:rsid w:val="00BB4988"/>
    <w:rsid w:val="00BB6C8A"/>
    <w:rsid w:val="00BB7CEE"/>
    <w:rsid w:val="00BC1129"/>
    <w:rsid w:val="00BC2618"/>
    <w:rsid w:val="00BC36B3"/>
    <w:rsid w:val="00BC43C0"/>
    <w:rsid w:val="00BC5A44"/>
    <w:rsid w:val="00BD4436"/>
    <w:rsid w:val="00BD4CC6"/>
    <w:rsid w:val="00BD7715"/>
    <w:rsid w:val="00BE0EAC"/>
    <w:rsid w:val="00BE2DE5"/>
    <w:rsid w:val="00BE6757"/>
    <w:rsid w:val="00BF0D48"/>
    <w:rsid w:val="00BF0EE6"/>
    <w:rsid w:val="00BF1DEE"/>
    <w:rsid w:val="00BF6B47"/>
    <w:rsid w:val="00C0105B"/>
    <w:rsid w:val="00C073F7"/>
    <w:rsid w:val="00C100B0"/>
    <w:rsid w:val="00C120C7"/>
    <w:rsid w:val="00C12D57"/>
    <w:rsid w:val="00C13603"/>
    <w:rsid w:val="00C15432"/>
    <w:rsid w:val="00C16295"/>
    <w:rsid w:val="00C200A6"/>
    <w:rsid w:val="00C20DA0"/>
    <w:rsid w:val="00C238A1"/>
    <w:rsid w:val="00C238D6"/>
    <w:rsid w:val="00C24427"/>
    <w:rsid w:val="00C248D8"/>
    <w:rsid w:val="00C251F3"/>
    <w:rsid w:val="00C27B1F"/>
    <w:rsid w:val="00C3075C"/>
    <w:rsid w:val="00C33E96"/>
    <w:rsid w:val="00C34623"/>
    <w:rsid w:val="00C34D9C"/>
    <w:rsid w:val="00C3697F"/>
    <w:rsid w:val="00C54200"/>
    <w:rsid w:val="00C55F3C"/>
    <w:rsid w:val="00C631AC"/>
    <w:rsid w:val="00C6567C"/>
    <w:rsid w:val="00C67050"/>
    <w:rsid w:val="00C722E5"/>
    <w:rsid w:val="00C72C22"/>
    <w:rsid w:val="00C737CA"/>
    <w:rsid w:val="00C77078"/>
    <w:rsid w:val="00C77A2E"/>
    <w:rsid w:val="00C80E9D"/>
    <w:rsid w:val="00C83DFC"/>
    <w:rsid w:val="00C8475D"/>
    <w:rsid w:val="00C87683"/>
    <w:rsid w:val="00C92592"/>
    <w:rsid w:val="00C970D7"/>
    <w:rsid w:val="00C97937"/>
    <w:rsid w:val="00CA22E2"/>
    <w:rsid w:val="00CA64BF"/>
    <w:rsid w:val="00CA7918"/>
    <w:rsid w:val="00CA7E68"/>
    <w:rsid w:val="00CA7E96"/>
    <w:rsid w:val="00CB09A9"/>
    <w:rsid w:val="00CB0F75"/>
    <w:rsid w:val="00CB3FFE"/>
    <w:rsid w:val="00CB5ECE"/>
    <w:rsid w:val="00CB63E2"/>
    <w:rsid w:val="00CB6A6E"/>
    <w:rsid w:val="00CB7ED6"/>
    <w:rsid w:val="00CC7923"/>
    <w:rsid w:val="00CD2376"/>
    <w:rsid w:val="00CD310E"/>
    <w:rsid w:val="00CD41F3"/>
    <w:rsid w:val="00CD5538"/>
    <w:rsid w:val="00CD7578"/>
    <w:rsid w:val="00CE1012"/>
    <w:rsid w:val="00CE2DCF"/>
    <w:rsid w:val="00CE3BAF"/>
    <w:rsid w:val="00CE3E5B"/>
    <w:rsid w:val="00CE535A"/>
    <w:rsid w:val="00CE633F"/>
    <w:rsid w:val="00CF07DD"/>
    <w:rsid w:val="00CF0A1D"/>
    <w:rsid w:val="00CF170E"/>
    <w:rsid w:val="00CF18D9"/>
    <w:rsid w:val="00CF31BB"/>
    <w:rsid w:val="00CF320F"/>
    <w:rsid w:val="00CF3297"/>
    <w:rsid w:val="00CF3733"/>
    <w:rsid w:val="00CF37D8"/>
    <w:rsid w:val="00CF5E23"/>
    <w:rsid w:val="00CF747F"/>
    <w:rsid w:val="00CF7617"/>
    <w:rsid w:val="00D01D7D"/>
    <w:rsid w:val="00D01EC6"/>
    <w:rsid w:val="00D02E98"/>
    <w:rsid w:val="00D07E3E"/>
    <w:rsid w:val="00D10569"/>
    <w:rsid w:val="00D112D8"/>
    <w:rsid w:val="00D11C20"/>
    <w:rsid w:val="00D11FDC"/>
    <w:rsid w:val="00D136DA"/>
    <w:rsid w:val="00D1446B"/>
    <w:rsid w:val="00D14C72"/>
    <w:rsid w:val="00D1552C"/>
    <w:rsid w:val="00D1607A"/>
    <w:rsid w:val="00D21910"/>
    <w:rsid w:val="00D239BD"/>
    <w:rsid w:val="00D3084A"/>
    <w:rsid w:val="00D33395"/>
    <w:rsid w:val="00D3426A"/>
    <w:rsid w:val="00D35384"/>
    <w:rsid w:val="00D36D42"/>
    <w:rsid w:val="00D41489"/>
    <w:rsid w:val="00D44A37"/>
    <w:rsid w:val="00D463CF"/>
    <w:rsid w:val="00D468E8"/>
    <w:rsid w:val="00D50E2F"/>
    <w:rsid w:val="00D53E9F"/>
    <w:rsid w:val="00D54D60"/>
    <w:rsid w:val="00D5509C"/>
    <w:rsid w:val="00D56153"/>
    <w:rsid w:val="00D574F2"/>
    <w:rsid w:val="00D61765"/>
    <w:rsid w:val="00D61C4A"/>
    <w:rsid w:val="00D6462F"/>
    <w:rsid w:val="00D64B72"/>
    <w:rsid w:val="00D64E35"/>
    <w:rsid w:val="00D652D5"/>
    <w:rsid w:val="00D65EB2"/>
    <w:rsid w:val="00D71D53"/>
    <w:rsid w:val="00D73EBE"/>
    <w:rsid w:val="00D74206"/>
    <w:rsid w:val="00D75528"/>
    <w:rsid w:val="00D756F9"/>
    <w:rsid w:val="00D7598E"/>
    <w:rsid w:val="00D83BE8"/>
    <w:rsid w:val="00D85EA8"/>
    <w:rsid w:val="00D86C66"/>
    <w:rsid w:val="00D87844"/>
    <w:rsid w:val="00D87C8B"/>
    <w:rsid w:val="00D90050"/>
    <w:rsid w:val="00D93DAA"/>
    <w:rsid w:val="00D94CD8"/>
    <w:rsid w:val="00D94FDF"/>
    <w:rsid w:val="00D95F29"/>
    <w:rsid w:val="00D96472"/>
    <w:rsid w:val="00D97990"/>
    <w:rsid w:val="00D97B6B"/>
    <w:rsid w:val="00D97FBC"/>
    <w:rsid w:val="00DA0633"/>
    <w:rsid w:val="00DA2A79"/>
    <w:rsid w:val="00DA31E9"/>
    <w:rsid w:val="00DA5A75"/>
    <w:rsid w:val="00DA6A25"/>
    <w:rsid w:val="00DB2054"/>
    <w:rsid w:val="00DB3143"/>
    <w:rsid w:val="00DB41D1"/>
    <w:rsid w:val="00DB667C"/>
    <w:rsid w:val="00DB7EA6"/>
    <w:rsid w:val="00DC0319"/>
    <w:rsid w:val="00DC2D52"/>
    <w:rsid w:val="00DD09FE"/>
    <w:rsid w:val="00DD75FC"/>
    <w:rsid w:val="00DE0F91"/>
    <w:rsid w:val="00DE2BF4"/>
    <w:rsid w:val="00DE3FA3"/>
    <w:rsid w:val="00DE524D"/>
    <w:rsid w:val="00DE7EA9"/>
    <w:rsid w:val="00DF294D"/>
    <w:rsid w:val="00E005FA"/>
    <w:rsid w:val="00E03ED0"/>
    <w:rsid w:val="00E10A1A"/>
    <w:rsid w:val="00E13360"/>
    <w:rsid w:val="00E17BB7"/>
    <w:rsid w:val="00E21A35"/>
    <w:rsid w:val="00E21A8F"/>
    <w:rsid w:val="00E21DBF"/>
    <w:rsid w:val="00E26BE6"/>
    <w:rsid w:val="00E334DB"/>
    <w:rsid w:val="00E33BDC"/>
    <w:rsid w:val="00E34EE4"/>
    <w:rsid w:val="00E35FCE"/>
    <w:rsid w:val="00E37CB8"/>
    <w:rsid w:val="00E4082B"/>
    <w:rsid w:val="00E42000"/>
    <w:rsid w:val="00E42813"/>
    <w:rsid w:val="00E42EA9"/>
    <w:rsid w:val="00E43076"/>
    <w:rsid w:val="00E466BB"/>
    <w:rsid w:val="00E50AEE"/>
    <w:rsid w:val="00E51D7C"/>
    <w:rsid w:val="00E569BC"/>
    <w:rsid w:val="00E57B62"/>
    <w:rsid w:val="00E6392A"/>
    <w:rsid w:val="00E6745D"/>
    <w:rsid w:val="00E7000B"/>
    <w:rsid w:val="00E702C1"/>
    <w:rsid w:val="00E731A7"/>
    <w:rsid w:val="00E75D67"/>
    <w:rsid w:val="00E83BD5"/>
    <w:rsid w:val="00E83CEA"/>
    <w:rsid w:val="00E8410C"/>
    <w:rsid w:val="00E847EA"/>
    <w:rsid w:val="00E85D4E"/>
    <w:rsid w:val="00E86C47"/>
    <w:rsid w:val="00E87B62"/>
    <w:rsid w:val="00E87BFF"/>
    <w:rsid w:val="00E87FC3"/>
    <w:rsid w:val="00E91D48"/>
    <w:rsid w:val="00E967CB"/>
    <w:rsid w:val="00E96ADE"/>
    <w:rsid w:val="00EA1029"/>
    <w:rsid w:val="00EA1328"/>
    <w:rsid w:val="00EA2634"/>
    <w:rsid w:val="00EA26DB"/>
    <w:rsid w:val="00EA3D09"/>
    <w:rsid w:val="00EA4A64"/>
    <w:rsid w:val="00EA536F"/>
    <w:rsid w:val="00EA5F63"/>
    <w:rsid w:val="00EA62A1"/>
    <w:rsid w:val="00EB0442"/>
    <w:rsid w:val="00EB1254"/>
    <w:rsid w:val="00EB3B14"/>
    <w:rsid w:val="00EB5BB3"/>
    <w:rsid w:val="00EC0AE8"/>
    <w:rsid w:val="00EC1E2B"/>
    <w:rsid w:val="00EC3A3D"/>
    <w:rsid w:val="00EC3BBD"/>
    <w:rsid w:val="00ED2F8E"/>
    <w:rsid w:val="00EE25C4"/>
    <w:rsid w:val="00EE2DC5"/>
    <w:rsid w:val="00EE379D"/>
    <w:rsid w:val="00EE3F99"/>
    <w:rsid w:val="00EE4C98"/>
    <w:rsid w:val="00EE7958"/>
    <w:rsid w:val="00EF28C1"/>
    <w:rsid w:val="00EF3D5F"/>
    <w:rsid w:val="00EF4682"/>
    <w:rsid w:val="00EF6F93"/>
    <w:rsid w:val="00F03595"/>
    <w:rsid w:val="00F03B0A"/>
    <w:rsid w:val="00F12D8F"/>
    <w:rsid w:val="00F1380E"/>
    <w:rsid w:val="00F1390B"/>
    <w:rsid w:val="00F204B3"/>
    <w:rsid w:val="00F335FF"/>
    <w:rsid w:val="00F3393A"/>
    <w:rsid w:val="00F423A6"/>
    <w:rsid w:val="00F43434"/>
    <w:rsid w:val="00F44C6A"/>
    <w:rsid w:val="00F45D7C"/>
    <w:rsid w:val="00F50548"/>
    <w:rsid w:val="00F516A8"/>
    <w:rsid w:val="00F51990"/>
    <w:rsid w:val="00F530B7"/>
    <w:rsid w:val="00F54973"/>
    <w:rsid w:val="00F5595C"/>
    <w:rsid w:val="00F55BA0"/>
    <w:rsid w:val="00F576A9"/>
    <w:rsid w:val="00F62419"/>
    <w:rsid w:val="00F64FD6"/>
    <w:rsid w:val="00F650DD"/>
    <w:rsid w:val="00F6546F"/>
    <w:rsid w:val="00F70893"/>
    <w:rsid w:val="00F71266"/>
    <w:rsid w:val="00F71D7E"/>
    <w:rsid w:val="00F71FB8"/>
    <w:rsid w:val="00F73B1E"/>
    <w:rsid w:val="00F74E04"/>
    <w:rsid w:val="00F805CB"/>
    <w:rsid w:val="00F812E9"/>
    <w:rsid w:val="00F819FA"/>
    <w:rsid w:val="00F82445"/>
    <w:rsid w:val="00F87228"/>
    <w:rsid w:val="00F87B82"/>
    <w:rsid w:val="00F93E30"/>
    <w:rsid w:val="00F954FE"/>
    <w:rsid w:val="00F9629C"/>
    <w:rsid w:val="00FA1A46"/>
    <w:rsid w:val="00FA3CE0"/>
    <w:rsid w:val="00FA4306"/>
    <w:rsid w:val="00FA61A6"/>
    <w:rsid w:val="00FB3781"/>
    <w:rsid w:val="00FB3FA3"/>
    <w:rsid w:val="00FC024D"/>
    <w:rsid w:val="00FC386E"/>
    <w:rsid w:val="00FC3E05"/>
    <w:rsid w:val="00FC4C8B"/>
    <w:rsid w:val="00FC5DA9"/>
    <w:rsid w:val="00FC7B0B"/>
    <w:rsid w:val="00FC7BEC"/>
    <w:rsid w:val="00FD11ED"/>
    <w:rsid w:val="00FD1D7B"/>
    <w:rsid w:val="00FD2AA5"/>
    <w:rsid w:val="00FD3B5A"/>
    <w:rsid w:val="00FD41DE"/>
    <w:rsid w:val="00FD4BA4"/>
    <w:rsid w:val="00FE11D1"/>
    <w:rsid w:val="00FE447E"/>
    <w:rsid w:val="00FE59A0"/>
    <w:rsid w:val="00FE622D"/>
    <w:rsid w:val="00FE7456"/>
    <w:rsid w:val="00FE746E"/>
    <w:rsid w:val="00FE7920"/>
    <w:rsid w:val="00FF194A"/>
    <w:rsid w:val="00FF21B8"/>
    <w:rsid w:val="00FF2D2B"/>
    <w:rsid w:val="00FF5CF1"/>
    <w:rsid w:val="00FF5D33"/>
    <w:rsid w:val="00FF74E6"/>
    <w:rsid w:val="06729811"/>
    <w:rsid w:val="20EC521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8C3EB1C"/>
  <w15:docId w15:val="{3B4FB771-E27D-4D13-AC87-8AD35A769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475D5"/>
    <w:pPr>
      <w:suppressAutoHyphens/>
      <w:spacing w:line="240" w:lineRule="atLeast"/>
    </w:pPr>
    <w:rPr>
      <w:rFonts w:eastAsia="SimSun"/>
      <w:lang w:val="en-GB" w:eastAsia="zh-CN"/>
    </w:rPr>
  </w:style>
  <w:style w:type="paragraph" w:styleId="Heading1">
    <w:name w:val="heading 1"/>
    <w:aliases w:val="Table_G"/>
    <w:basedOn w:val="Normal"/>
    <w:next w:val="AnnoH23G"/>
    <w:link w:val="Heading1Char"/>
    <w:qFormat/>
    <w:rsid w:val="00FA1A46"/>
    <w:pPr>
      <w:ind w:left="1134"/>
      <w:outlineLvl w:val="0"/>
    </w:pPr>
  </w:style>
  <w:style w:type="paragraph" w:styleId="Heading2">
    <w:name w:val="heading 2"/>
    <w:basedOn w:val="Normal"/>
    <w:next w:val="Normal"/>
    <w:link w:val="Heading2Char"/>
    <w:qFormat/>
    <w:rsid w:val="00FA1A46"/>
    <w:pPr>
      <w:keepNext/>
      <w:keepLines/>
      <w:spacing w:before="200"/>
      <w:outlineLvl w:val="1"/>
    </w:pPr>
    <w:rPr>
      <w:rFonts w:ascii="Cambria" w:eastAsia="Times New Roman" w:hAnsi="Cambria"/>
      <w:b/>
      <w:bCs/>
      <w:color w:val="4F81BD"/>
      <w:sz w:val="26"/>
      <w:szCs w:val="26"/>
    </w:rPr>
  </w:style>
  <w:style w:type="paragraph" w:styleId="Heading3">
    <w:name w:val="heading 3"/>
    <w:basedOn w:val="Normal"/>
    <w:link w:val="Heading3Char"/>
    <w:qFormat/>
    <w:rsid w:val="00E42813"/>
    <w:pPr>
      <w:tabs>
        <w:tab w:val="left" w:pos="720"/>
      </w:tabs>
      <w:suppressAutoHyphens w:val="0"/>
      <w:spacing w:after="240" w:line="240" w:lineRule="auto"/>
      <w:outlineLvl w:val="2"/>
    </w:pPr>
    <w:rPr>
      <w:rFonts w:eastAsia="Times New Roman"/>
      <w:sz w:val="22"/>
      <w:u w:val="dotDotDash"/>
      <w:lang w:eastAsia="de-DE"/>
    </w:rPr>
  </w:style>
  <w:style w:type="paragraph" w:styleId="Heading4">
    <w:name w:val="heading 4"/>
    <w:basedOn w:val="Normal"/>
    <w:next w:val="Normal"/>
    <w:link w:val="Heading4Char"/>
    <w:qFormat/>
    <w:rsid w:val="00FA1A46"/>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FA1A46"/>
    <w:pPr>
      <w:keepNext/>
      <w:keepLines/>
      <w:spacing w:before="200"/>
      <w:outlineLvl w:val="4"/>
    </w:pPr>
    <w:rPr>
      <w:rFonts w:ascii="Cambria" w:eastAsia="Times New Roman" w:hAnsi="Cambria"/>
      <w:color w:val="243F60"/>
    </w:rPr>
  </w:style>
  <w:style w:type="paragraph" w:styleId="Heading6">
    <w:name w:val="heading 6"/>
    <w:basedOn w:val="Normal"/>
    <w:next w:val="Normal"/>
    <w:link w:val="Heading6Char"/>
    <w:qFormat/>
    <w:rsid w:val="00E42813"/>
    <w:pPr>
      <w:suppressAutoHyphens w:val="0"/>
      <w:spacing w:before="240" w:after="60" w:line="240" w:lineRule="auto"/>
      <w:outlineLvl w:val="5"/>
    </w:pPr>
    <w:rPr>
      <w:rFonts w:eastAsia="Times New Roman"/>
      <w:b/>
      <w:bCs/>
      <w:sz w:val="22"/>
      <w:szCs w:val="22"/>
      <w:u w:val="dotDotDash"/>
      <w:lang w:eastAsia="de-DE"/>
    </w:rPr>
  </w:style>
  <w:style w:type="paragraph" w:styleId="Heading7">
    <w:name w:val="heading 7"/>
    <w:basedOn w:val="Normal"/>
    <w:next w:val="Normal"/>
    <w:link w:val="Heading7Char"/>
    <w:qFormat/>
    <w:rsid w:val="00E42813"/>
    <w:pPr>
      <w:suppressAutoHyphens w:val="0"/>
      <w:spacing w:before="240" w:after="60" w:line="240" w:lineRule="auto"/>
      <w:outlineLvl w:val="6"/>
    </w:pPr>
    <w:rPr>
      <w:rFonts w:eastAsia="Times New Roman"/>
      <w:sz w:val="24"/>
      <w:szCs w:val="24"/>
      <w:u w:val="dotDotDash"/>
      <w:lang w:eastAsia="de-DE"/>
    </w:rPr>
  </w:style>
  <w:style w:type="paragraph" w:styleId="Heading8">
    <w:name w:val="heading 8"/>
    <w:basedOn w:val="Normal"/>
    <w:next w:val="Normal"/>
    <w:link w:val="Heading8Char"/>
    <w:qFormat/>
    <w:rsid w:val="00E42813"/>
    <w:pPr>
      <w:suppressAutoHyphens w:val="0"/>
      <w:spacing w:before="240" w:after="60" w:line="240" w:lineRule="auto"/>
      <w:outlineLvl w:val="7"/>
    </w:pPr>
    <w:rPr>
      <w:rFonts w:eastAsia="Times New Roman"/>
      <w:i/>
      <w:iCs/>
      <w:sz w:val="24"/>
      <w:szCs w:val="24"/>
      <w:u w:val="dotDotDash"/>
      <w:lang w:eastAsia="de-DE"/>
    </w:rPr>
  </w:style>
  <w:style w:type="paragraph" w:styleId="Heading9">
    <w:name w:val="heading 9"/>
    <w:basedOn w:val="Normal"/>
    <w:next w:val="Normal"/>
    <w:link w:val="Heading9Char"/>
    <w:qFormat/>
    <w:rsid w:val="00E42813"/>
    <w:pPr>
      <w:suppressAutoHyphens w:val="0"/>
      <w:spacing w:before="240" w:after="60" w:line="240" w:lineRule="auto"/>
      <w:outlineLvl w:val="8"/>
    </w:pPr>
    <w:rPr>
      <w:rFonts w:ascii="Arial" w:eastAsia="Times New Roman" w:hAnsi="Arial" w:cs="Arial"/>
      <w:sz w:val="22"/>
      <w:szCs w:val="22"/>
      <w:u w:val="dotDotDash"/>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FA1A46"/>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rsid w:val="00FA1A46"/>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rsid w:val="00FA1A46"/>
    <w:pPr>
      <w:keepNext/>
      <w:keepLines/>
      <w:spacing w:before="360" w:after="240" w:line="270" w:lineRule="exact"/>
      <w:ind w:left="1134" w:right="1134" w:hanging="1134"/>
    </w:pPr>
    <w:rPr>
      <w:b/>
      <w:sz w:val="24"/>
    </w:rPr>
  </w:style>
  <w:style w:type="paragraph" w:customStyle="1" w:styleId="H23G">
    <w:name w:val="_ H_2/3_G"/>
    <w:basedOn w:val="Normal"/>
    <w:next w:val="Normal"/>
    <w:rsid w:val="00FA1A46"/>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FA1A46"/>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FA1A46"/>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rsid w:val="00FA1A46"/>
    <w:pPr>
      <w:spacing w:after="120"/>
      <w:ind w:left="1134" w:right="1134"/>
      <w:jc w:val="both"/>
    </w:pPr>
    <w:rPr>
      <w:rFonts w:eastAsia="Times New Roman"/>
      <w:lang w:eastAsia="en-US"/>
    </w:rPr>
  </w:style>
  <w:style w:type="paragraph" w:customStyle="1" w:styleId="SLG">
    <w:name w:val="__S_L_G"/>
    <w:basedOn w:val="Normal"/>
    <w:next w:val="Normal"/>
    <w:rsid w:val="00FA1A46"/>
    <w:pPr>
      <w:keepNext/>
      <w:keepLines/>
      <w:spacing w:before="240" w:after="240" w:line="580" w:lineRule="exact"/>
      <w:ind w:left="1134" w:right="1134"/>
    </w:pPr>
    <w:rPr>
      <w:b/>
      <w:sz w:val="56"/>
    </w:rPr>
  </w:style>
  <w:style w:type="paragraph" w:customStyle="1" w:styleId="SMG">
    <w:name w:val="__S_M_G"/>
    <w:basedOn w:val="Normal"/>
    <w:next w:val="Normal"/>
    <w:rsid w:val="00FA1A46"/>
    <w:pPr>
      <w:keepNext/>
      <w:keepLines/>
      <w:spacing w:before="240" w:after="240" w:line="420" w:lineRule="exact"/>
      <w:ind w:left="1134" w:right="1134"/>
    </w:pPr>
    <w:rPr>
      <w:b/>
      <w:sz w:val="40"/>
    </w:rPr>
  </w:style>
  <w:style w:type="paragraph" w:customStyle="1" w:styleId="SSG">
    <w:name w:val="__S_S_G"/>
    <w:basedOn w:val="Normal"/>
    <w:next w:val="Normal"/>
    <w:rsid w:val="00FA1A46"/>
    <w:pPr>
      <w:keepNext/>
      <w:keepLines/>
      <w:spacing w:before="240" w:after="240" w:line="300" w:lineRule="exact"/>
      <w:ind w:left="1134" w:right="1134"/>
    </w:pPr>
    <w:rPr>
      <w:b/>
      <w:sz w:val="28"/>
    </w:rPr>
  </w:style>
  <w:style w:type="paragraph" w:customStyle="1" w:styleId="XLargeG">
    <w:name w:val="__XLarge_G"/>
    <w:basedOn w:val="Normal"/>
    <w:next w:val="Normal"/>
    <w:rsid w:val="00FA1A46"/>
    <w:pPr>
      <w:keepNext/>
      <w:keepLines/>
      <w:spacing w:before="240" w:after="240" w:line="420" w:lineRule="exact"/>
      <w:ind w:left="1134" w:right="1134"/>
    </w:pPr>
    <w:rPr>
      <w:b/>
      <w:sz w:val="40"/>
    </w:rPr>
  </w:style>
  <w:style w:type="paragraph" w:customStyle="1" w:styleId="Bullet1G">
    <w:name w:val="_Bullet 1_G"/>
    <w:basedOn w:val="Normal"/>
    <w:rsid w:val="00FA1A46"/>
    <w:pPr>
      <w:numPr>
        <w:numId w:val="4"/>
      </w:numPr>
      <w:spacing w:after="120"/>
      <w:ind w:right="1134"/>
      <w:jc w:val="both"/>
    </w:pPr>
  </w:style>
  <w:style w:type="paragraph" w:customStyle="1" w:styleId="Bullet2G">
    <w:name w:val="_Bullet 2_G"/>
    <w:basedOn w:val="Normal"/>
    <w:rsid w:val="00FA1A46"/>
    <w:pPr>
      <w:numPr>
        <w:numId w:val="5"/>
      </w:numPr>
      <w:spacing w:after="120"/>
      <w:ind w:right="1134"/>
      <w:jc w:val="both"/>
    </w:pPr>
  </w:style>
  <w:style w:type="paragraph" w:customStyle="1" w:styleId="AnnoHCHG">
    <w:name w:val="Anno _ H_CH_G"/>
    <w:basedOn w:val="Normal"/>
    <w:next w:val="AnnoH1G"/>
    <w:rsid w:val="00FA1A46"/>
    <w:pPr>
      <w:keepNext/>
      <w:keepLines/>
      <w:numPr>
        <w:numId w:val="6"/>
      </w:numPr>
      <w:spacing w:before="360" w:after="240" w:line="300" w:lineRule="exact"/>
      <w:ind w:right="1134"/>
    </w:pPr>
    <w:rPr>
      <w:b/>
      <w:sz w:val="28"/>
    </w:rPr>
  </w:style>
  <w:style w:type="paragraph" w:customStyle="1" w:styleId="AnnoH1G">
    <w:name w:val="Anno_ H_1_G"/>
    <w:basedOn w:val="Normal"/>
    <w:next w:val="AnnoH23G"/>
    <w:autoRedefine/>
    <w:rsid w:val="00FA1A46"/>
    <w:pPr>
      <w:keepNext/>
      <w:keepLines/>
      <w:numPr>
        <w:ilvl w:val="1"/>
        <w:numId w:val="6"/>
      </w:numPr>
      <w:spacing w:before="360" w:after="240" w:line="270" w:lineRule="exact"/>
      <w:ind w:right="1134"/>
    </w:pPr>
    <w:rPr>
      <w:b/>
      <w:sz w:val="24"/>
    </w:rPr>
  </w:style>
  <w:style w:type="paragraph" w:customStyle="1" w:styleId="AnnoH23G">
    <w:name w:val="Anno_ H_2/3_G"/>
    <w:basedOn w:val="Normal"/>
    <w:next w:val="AnnoSingleTxtG"/>
    <w:autoRedefine/>
    <w:rsid w:val="00FA1A46"/>
    <w:pPr>
      <w:keepNext/>
      <w:keepLines/>
      <w:numPr>
        <w:ilvl w:val="2"/>
        <w:numId w:val="6"/>
      </w:numPr>
      <w:spacing w:before="240" w:after="120" w:line="240" w:lineRule="exact"/>
      <w:ind w:right="1134"/>
    </w:pPr>
    <w:rPr>
      <w:u w:val="single"/>
    </w:rPr>
  </w:style>
  <w:style w:type="paragraph" w:customStyle="1" w:styleId="AnnoSingleTxtG">
    <w:name w:val="Anno_ Single Txt_G"/>
    <w:basedOn w:val="Normal"/>
    <w:link w:val="AnnoSingleTxtGChar"/>
    <w:rsid w:val="00FA1A46"/>
    <w:pPr>
      <w:numPr>
        <w:ilvl w:val="3"/>
        <w:numId w:val="6"/>
      </w:numPr>
      <w:spacing w:after="120"/>
      <w:ind w:right="1134"/>
      <w:jc w:val="both"/>
    </w:pPr>
  </w:style>
  <w:style w:type="character" w:styleId="FootnoteReference">
    <w:name w:val="footnote reference"/>
    <w:aliases w:val="4_G,16 Point,Superscript 6 Point,Ref,de nota al pie,Appel note de bas de page,BVI fnr,number,Footnote text,Footnote reference number,Footnote symbol,note TESI,-E Fußnotenzeichen,SUPERS,stylish,ftref,Superscript 6 Point + 11 pt,Footnot"/>
    <w:link w:val="BVIfnrChar"/>
    <w:qFormat/>
    <w:rsid w:val="00FA1A46"/>
    <w:rPr>
      <w:rFonts w:ascii="Times New Roman" w:hAnsi="Times New Roman"/>
      <w:sz w:val="18"/>
      <w:vertAlign w:val="superscript"/>
    </w:rPr>
  </w:style>
  <w:style w:type="character" w:styleId="EndnoteReference">
    <w:name w:val="endnote reference"/>
    <w:aliases w:val="1_G"/>
    <w:rsid w:val="00FA1A46"/>
    <w:rPr>
      <w:rFonts w:ascii="Times New Roman" w:hAnsi="Times New Roman"/>
      <w:sz w:val="18"/>
      <w:vertAlign w:val="superscript"/>
    </w:rPr>
  </w:style>
  <w:style w:type="paragraph" w:styleId="EndnoteText">
    <w:name w:val="endnote text"/>
    <w:aliases w:val="2_G"/>
    <w:basedOn w:val="FootnoteText"/>
    <w:link w:val="EndnoteTextChar"/>
    <w:rsid w:val="00FA1A46"/>
  </w:style>
  <w:style w:type="paragraph" w:styleId="FootnoteText">
    <w:name w:val="footnote text"/>
    <w:aliases w:val="5_G,Geneva 9,Font: Geneva 9,Boston 10,f,fn,footnote text,Footnotes,Footnote ak,Char,Char Char Char Char,Default Paragraph Font Char Char,Default Paragraph Font Para Char Char Char Char,Default Paragraph Font Char Char11,Footno,single space"/>
    <w:basedOn w:val="Normal"/>
    <w:link w:val="FootnoteTextChar"/>
    <w:qFormat/>
    <w:rsid w:val="00FA1A46"/>
    <w:pPr>
      <w:tabs>
        <w:tab w:val="right" w:pos="1021"/>
      </w:tabs>
      <w:spacing w:line="220" w:lineRule="exact"/>
      <w:ind w:left="1134" w:right="1134" w:hanging="1134"/>
    </w:pPr>
    <w:rPr>
      <w:sz w:val="18"/>
    </w:rPr>
  </w:style>
  <w:style w:type="paragraph" w:styleId="Footer">
    <w:name w:val="footer"/>
    <w:aliases w:val="3_G"/>
    <w:basedOn w:val="Normal"/>
    <w:link w:val="FooterChar"/>
    <w:rsid w:val="00FA1A46"/>
    <w:rPr>
      <w:sz w:val="16"/>
    </w:rPr>
  </w:style>
  <w:style w:type="paragraph" w:customStyle="1" w:styleId="FootnoteTable">
    <w:name w:val="Footnote Table"/>
    <w:basedOn w:val="Normal"/>
    <w:rsid w:val="00FA1A46"/>
    <w:pPr>
      <w:spacing w:line="240" w:lineRule="auto"/>
      <w:jc w:val="both"/>
    </w:pPr>
    <w:rPr>
      <w:sz w:val="18"/>
    </w:rPr>
  </w:style>
  <w:style w:type="paragraph" w:styleId="Header">
    <w:name w:val="header"/>
    <w:aliases w:val="6_G"/>
    <w:basedOn w:val="Normal"/>
    <w:link w:val="HeaderChar"/>
    <w:rsid w:val="00FA1A46"/>
    <w:pPr>
      <w:pBdr>
        <w:bottom w:val="single" w:sz="4" w:space="4" w:color="auto"/>
      </w:pBdr>
    </w:pPr>
    <w:rPr>
      <w:b/>
      <w:sz w:val="18"/>
    </w:rPr>
  </w:style>
  <w:style w:type="character" w:styleId="PageNumber">
    <w:name w:val="page number"/>
    <w:aliases w:val="7_G"/>
    <w:rsid w:val="00FA1A46"/>
    <w:rPr>
      <w:rFonts w:ascii="Times New Roman" w:hAnsi="Times New Roman"/>
      <w:b/>
      <w:sz w:val="18"/>
    </w:rPr>
  </w:style>
  <w:style w:type="paragraph" w:customStyle="1" w:styleId="RegHChG">
    <w:name w:val="Reg_H__Ch_G"/>
    <w:basedOn w:val="Normal"/>
    <w:next w:val="RegH1G"/>
    <w:link w:val="RegHChGCharChar"/>
    <w:qFormat/>
    <w:rsid w:val="00FA1A46"/>
    <w:pPr>
      <w:keepNext/>
      <w:keepLines/>
      <w:numPr>
        <w:numId w:val="7"/>
      </w:numPr>
      <w:spacing w:before="360" w:after="240" w:line="300" w:lineRule="exact"/>
      <w:ind w:right="1134"/>
    </w:pPr>
    <w:rPr>
      <w:b/>
      <w:sz w:val="28"/>
    </w:rPr>
  </w:style>
  <w:style w:type="paragraph" w:customStyle="1" w:styleId="RegH1G">
    <w:name w:val="Reg_H_1_G"/>
    <w:basedOn w:val="Normal"/>
    <w:next w:val="RegH23G"/>
    <w:link w:val="RegH1GChar"/>
    <w:rsid w:val="00FA1A46"/>
    <w:pPr>
      <w:keepNext/>
      <w:keepLines/>
      <w:numPr>
        <w:ilvl w:val="1"/>
        <w:numId w:val="7"/>
      </w:numPr>
      <w:spacing w:before="360" w:after="240" w:line="270" w:lineRule="exact"/>
      <w:ind w:right="1134"/>
    </w:pPr>
    <w:rPr>
      <w:b/>
      <w:sz w:val="24"/>
    </w:rPr>
  </w:style>
  <w:style w:type="paragraph" w:customStyle="1" w:styleId="RegH23G">
    <w:name w:val="Reg_H_2/3_G"/>
    <w:basedOn w:val="Normal"/>
    <w:next w:val="RegH4G"/>
    <w:qFormat/>
    <w:rsid w:val="00FA1A46"/>
    <w:pPr>
      <w:keepNext/>
      <w:keepLines/>
      <w:numPr>
        <w:ilvl w:val="2"/>
        <w:numId w:val="7"/>
      </w:numPr>
      <w:spacing w:before="240" w:after="120" w:line="240" w:lineRule="exact"/>
      <w:ind w:right="1134"/>
    </w:pPr>
    <w:rPr>
      <w:b/>
    </w:rPr>
  </w:style>
  <w:style w:type="paragraph" w:customStyle="1" w:styleId="RegSingleTxtG">
    <w:name w:val="Reg_Single Txt_G"/>
    <w:basedOn w:val="Normal"/>
    <w:link w:val="RegSingleTxtGChar"/>
    <w:qFormat/>
    <w:rsid w:val="00FA1A46"/>
    <w:pPr>
      <w:numPr>
        <w:ilvl w:val="5"/>
        <w:numId w:val="7"/>
      </w:numPr>
      <w:tabs>
        <w:tab w:val="left" w:pos="1701"/>
      </w:tabs>
      <w:spacing w:after="120"/>
      <w:ind w:right="1134"/>
      <w:jc w:val="both"/>
    </w:pPr>
  </w:style>
  <w:style w:type="paragraph" w:styleId="TOC1">
    <w:name w:val="toc 1"/>
    <w:basedOn w:val="Normal"/>
    <w:next w:val="Normal"/>
    <w:autoRedefine/>
    <w:rsid w:val="00B33EF4"/>
    <w:pPr>
      <w:tabs>
        <w:tab w:val="right" w:pos="851"/>
        <w:tab w:val="left" w:pos="1134"/>
        <w:tab w:val="left" w:pos="1559"/>
        <w:tab w:val="left" w:pos="2268"/>
        <w:tab w:val="left" w:leader="dot" w:pos="7655"/>
        <w:tab w:val="right" w:pos="8930"/>
        <w:tab w:val="right" w:pos="9639"/>
      </w:tabs>
      <w:spacing w:after="120"/>
      <w:ind w:left="2265" w:hanging="2265"/>
    </w:pPr>
  </w:style>
  <w:style w:type="paragraph" w:styleId="TOC2">
    <w:name w:val="toc 2"/>
    <w:basedOn w:val="Normal"/>
    <w:next w:val="Normal"/>
    <w:autoRedefine/>
    <w:rsid w:val="00FA1A46"/>
    <w:pPr>
      <w:tabs>
        <w:tab w:val="right" w:pos="851"/>
        <w:tab w:val="left" w:pos="1134"/>
        <w:tab w:val="left" w:pos="1559"/>
        <w:tab w:val="left" w:pos="1985"/>
        <w:tab w:val="left" w:leader="dot" w:pos="7655"/>
        <w:tab w:val="right" w:pos="8930"/>
        <w:tab w:val="right" w:pos="9639"/>
      </w:tabs>
      <w:spacing w:after="120"/>
    </w:pPr>
  </w:style>
  <w:style w:type="paragraph" w:styleId="TOC3">
    <w:name w:val="toc 3"/>
    <w:basedOn w:val="Normal"/>
    <w:next w:val="Normal"/>
    <w:autoRedefine/>
    <w:semiHidden/>
    <w:rsid w:val="00FA1A46"/>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FA1A46"/>
    <w:pPr>
      <w:spacing w:line="240" w:lineRule="auto"/>
    </w:pPr>
    <w:rPr>
      <w:rFonts w:ascii="Tahoma" w:hAnsi="Tahoma" w:cs="Tahoma"/>
      <w:sz w:val="16"/>
      <w:szCs w:val="16"/>
    </w:rPr>
  </w:style>
  <w:style w:type="character" w:customStyle="1" w:styleId="BalloonTextChar">
    <w:name w:val="Balloon Text Char"/>
    <w:link w:val="BalloonText"/>
    <w:rsid w:val="00FA1A46"/>
    <w:rPr>
      <w:rFonts w:ascii="Tahoma" w:eastAsia="SimSun" w:hAnsi="Tahoma" w:cs="Tahoma"/>
      <w:sz w:val="16"/>
      <w:szCs w:val="16"/>
      <w:lang w:val="en-GB" w:eastAsia="zh-CN"/>
    </w:rPr>
  </w:style>
  <w:style w:type="paragraph" w:styleId="ListParagraph">
    <w:name w:val="List Paragraph"/>
    <w:basedOn w:val="Normal"/>
    <w:link w:val="ListParagraphChar"/>
    <w:uiPriority w:val="34"/>
    <w:qFormat/>
    <w:rsid w:val="00FA1A46"/>
    <w:pPr>
      <w:ind w:left="720"/>
      <w:contextualSpacing/>
    </w:pPr>
  </w:style>
  <w:style w:type="character" w:customStyle="1" w:styleId="Heading2Char">
    <w:name w:val="Heading 2 Char"/>
    <w:link w:val="Heading2"/>
    <w:rsid w:val="00FA1A46"/>
    <w:rPr>
      <w:rFonts w:ascii="Cambria" w:hAnsi="Cambria"/>
      <w:b/>
      <w:bCs/>
      <w:color w:val="4F81BD"/>
      <w:sz w:val="26"/>
      <w:szCs w:val="26"/>
      <w:lang w:val="en-GB" w:eastAsia="zh-CN"/>
    </w:rPr>
  </w:style>
  <w:style w:type="character" w:customStyle="1" w:styleId="Heading4Char">
    <w:name w:val="Heading 4 Char"/>
    <w:link w:val="Heading4"/>
    <w:rsid w:val="00FA1A46"/>
    <w:rPr>
      <w:rFonts w:ascii="Cambria" w:hAnsi="Cambria"/>
      <w:b/>
      <w:bCs/>
      <w:i/>
      <w:iCs/>
      <w:color w:val="4F81BD"/>
      <w:lang w:val="en-GB" w:eastAsia="zh-CN"/>
    </w:rPr>
  </w:style>
  <w:style w:type="character" w:customStyle="1" w:styleId="Heading5Char">
    <w:name w:val="Heading 5 Char"/>
    <w:link w:val="Heading5"/>
    <w:rsid w:val="00FA1A46"/>
    <w:rPr>
      <w:rFonts w:ascii="Cambria" w:hAnsi="Cambria"/>
      <w:color w:val="243F60"/>
      <w:lang w:val="en-GB" w:eastAsia="zh-CN"/>
    </w:rPr>
  </w:style>
  <w:style w:type="paragraph" w:customStyle="1" w:styleId="ListParagraphforAnnexes">
    <w:name w:val="List Paragraph for Annexes"/>
    <w:basedOn w:val="ListParagraph"/>
    <w:qFormat/>
    <w:rsid w:val="00FA1A46"/>
    <w:pPr>
      <w:spacing w:before="120" w:after="120" w:line="240" w:lineRule="exact"/>
      <w:contextualSpacing w:val="0"/>
    </w:pPr>
  </w:style>
  <w:style w:type="paragraph" w:customStyle="1" w:styleId="RegH4G">
    <w:name w:val="Reg_H_4_G"/>
    <w:basedOn w:val="RegH23G"/>
    <w:next w:val="RegH5G"/>
    <w:qFormat/>
    <w:rsid w:val="00FA1A46"/>
    <w:pPr>
      <w:numPr>
        <w:ilvl w:val="3"/>
      </w:numPr>
    </w:pPr>
  </w:style>
  <w:style w:type="paragraph" w:customStyle="1" w:styleId="RegH5G">
    <w:name w:val="Reg_H_5_G"/>
    <w:basedOn w:val="RegH4G"/>
    <w:qFormat/>
    <w:rsid w:val="00FA1A46"/>
    <w:pPr>
      <w:numPr>
        <w:ilvl w:val="4"/>
      </w:numPr>
    </w:pPr>
    <w:rPr>
      <w:b w:val="0"/>
      <w:i/>
    </w:rPr>
  </w:style>
  <w:style w:type="paragraph" w:customStyle="1" w:styleId="TableFootnote">
    <w:name w:val="TableFootnote"/>
    <w:basedOn w:val="FootnoteTable"/>
    <w:qFormat/>
    <w:rsid w:val="00FA1A46"/>
    <w:pPr>
      <w:spacing w:before="60"/>
      <w:ind w:left="1134" w:right="1134" w:firstLine="170"/>
      <w:contextualSpacing/>
      <w:jc w:val="left"/>
    </w:pPr>
  </w:style>
  <w:style w:type="paragraph" w:customStyle="1" w:styleId="RegSingleTxtG2">
    <w:name w:val="Reg_Single Txt_G2"/>
    <w:basedOn w:val="RegSingleTxtG"/>
    <w:qFormat/>
    <w:rsid w:val="00FA1A46"/>
    <w:pPr>
      <w:numPr>
        <w:ilvl w:val="0"/>
        <w:numId w:val="0"/>
      </w:numPr>
      <w:tabs>
        <w:tab w:val="clear" w:pos="1701"/>
      </w:tabs>
    </w:pPr>
  </w:style>
  <w:style w:type="paragraph" w:customStyle="1" w:styleId="RegSingleTxtG3">
    <w:name w:val="Reg_Single Txt_G3"/>
    <w:basedOn w:val="RegSingleTxtG"/>
    <w:qFormat/>
    <w:rsid w:val="00FA1A46"/>
    <w:pPr>
      <w:numPr>
        <w:ilvl w:val="7"/>
      </w:numPr>
    </w:pPr>
  </w:style>
  <w:style w:type="paragraph" w:customStyle="1" w:styleId="AtxtHdgs">
    <w:name w:val="Atxt_Hdgs"/>
    <w:basedOn w:val="Normal"/>
    <w:rsid w:val="00FA1A46"/>
    <w:pPr>
      <w:suppressAutoHyphens w:val="0"/>
      <w:spacing w:line="240" w:lineRule="auto"/>
      <w:jc w:val="center"/>
    </w:pPr>
    <w:rPr>
      <w:rFonts w:eastAsia="Times New Roman"/>
      <w:sz w:val="24"/>
      <w:lang w:eastAsia="en-US"/>
    </w:rPr>
  </w:style>
  <w:style w:type="paragraph" w:styleId="Caption">
    <w:name w:val="caption"/>
    <w:basedOn w:val="Normal"/>
    <w:next w:val="Normal"/>
    <w:unhideWhenUsed/>
    <w:qFormat/>
    <w:rsid w:val="00FA1A46"/>
    <w:rPr>
      <w:b/>
      <w:bCs/>
    </w:rPr>
  </w:style>
  <w:style w:type="paragraph" w:styleId="TOC4">
    <w:name w:val="toc 4"/>
    <w:basedOn w:val="Normal"/>
    <w:next w:val="Normal"/>
    <w:autoRedefine/>
    <w:unhideWhenUsed/>
    <w:rsid w:val="00FA1A46"/>
    <w:pPr>
      <w:ind w:left="600"/>
    </w:pPr>
  </w:style>
  <w:style w:type="paragraph" w:styleId="TOC5">
    <w:name w:val="toc 5"/>
    <w:basedOn w:val="Normal"/>
    <w:next w:val="Normal"/>
    <w:autoRedefine/>
    <w:unhideWhenUsed/>
    <w:rsid w:val="00FA1A46"/>
    <w:pPr>
      <w:ind w:left="800"/>
    </w:pPr>
  </w:style>
  <w:style w:type="paragraph" w:styleId="TOC6">
    <w:name w:val="toc 6"/>
    <w:basedOn w:val="Normal"/>
    <w:next w:val="Normal"/>
    <w:autoRedefine/>
    <w:unhideWhenUsed/>
    <w:rsid w:val="00FA1A46"/>
    <w:pPr>
      <w:ind w:left="1000"/>
    </w:pPr>
  </w:style>
  <w:style w:type="paragraph" w:styleId="TOC7">
    <w:name w:val="toc 7"/>
    <w:basedOn w:val="Normal"/>
    <w:next w:val="Normal"/>
    <w:autoRedefine/>
    <w:unhideWhenUsed/>
    <w:rsid w:val="00FA1A46"/>
    <w:pPr>
      <w:ind w:left="1200"/>
    </w:pPr>
  </w:style>
  <w:style w:type="paragraph" w:styleId="TOC8">
    <w:name w:val="toc 8"/>
    <w:basedOn w:val="Normal"/>
    <w:next w:val="Normal"/>
    <w:autoRedefine/>
    <w:unhideWhenUsed/>
    <w:rsid w:val="00FA1A46"/>
    <w:pPr>
      <w:ind w:left="1400"/>
    </w:pPr>
  </w:style>
  <w:style w:type="paragraph" w:styleId="TOC9">
    <w:name w:val="toc 9"/>
    <w:basedOn w:val="Normal"/>
    <w:next w:val="Normal"/>
    <w:autoRedefine/>
    <w:unhideWhenUsed/>
    <w:rsid w:val="00FA1A46"/>
    <w:pPr>
      <w:ind w:left="1600"/>
    </w:pPr>
  </w:style>
  <w:style w:type="paragraph" w:customStyle="1" w:styleId="FC1">
    <w:name w:val="FC1"/>
    <w:basedOn w:val="RegSingleTxtG"/>
    <w:qFormat/>
    <w:rsid w:val="00FA1A46"/>
    <w:pPr>
      <w:numPr>
        <w:ilvl w:val="0"/>
        <w:numId w:val="0"/>
      </w:numPr>
      <w:ind w:left="1134"/>
      <w:jc w:val="left"/>
    </w:pPr>
  </w:style>
  <w:style w:type="paragraph" w:customStyle="1" w:styleId="SourcesFootnote">
    <w:name w:val="SourcesFootnote"/>
    <w:basedOn w:val="TableFootnote"/>
    <w:qFormat/>
    <w:rsid w:val="00FA1A46"/>
    <w:rPr>
      <w:i/>
    </w:rPr>
  </w:style>
  <w:style w:type="paragraph" w:customStyle="1" w:styleId="FC2">
    <w:name w:val="FC2"/>
    <w:basedOn w:val="FC1"/>
    <w:qFormat/>
    <w:rsid w:val="00FA1A46"/>
    <w:pPr>
      <w:keepNext/>
    </w:pPr>
  </w:style>
  <w:style w:type="numbering" w:customStyle="1" w:styleId="FCCCBoxfootnote">
    <w:name w:val="FCCC_Box_footnote"/>
    <w:uiPriority w:val="99"/>
    <w:rsid w:val="00E50AEE"/>
    <w:pPr>
      <w:numPr>
        <w:numId w:val="1"/>
      </w:numPr>
    </w:pPr>
  </w:style>
  <w:style w:type="numbering" w:customStyle="1" w:styleId="FCCCTextboxfootnote">
    <w:name w:val="FCCC Textbox footnote"/>
    <w:uiPriority w:val="99"/>
    <w:rsid w:val="00FC386E"/>
    <w:pPr>
      <w:numPr>
        <w:numId w:val="2"/>
      </w:numPr>
    </w:pPr>
  </w:style>
  <w:style w:type="numbering" w:customStyle="1" w:styleId="FigureFootnote">
    <w:name w:val="Figure Footnote"/>
    <w:uiPriority w:val="99"/>
    <w:rsid w:val="00FE622D"/>
    <w:pPr>
      <w:numPr>
        <w:numId w:val="3"/>
      </w:numPr>
    </w:pPr>
  </w:style>
  <w:style w:type="table" w:styleId="TableGrid">
    <w:name w:val="Table Grid"/>
    <w:basedOn w:val="TableNormal"/>
    <w:rsid w:val="001C50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nhideWhenUsed/>
    <w:rsid w:val="00CF747F"/>
    <w:rPr>
      <w:sz w:val="16"/>
      <w:szCs w:val="16"/>
    </w:rPr>
  </w:style>
  <w:style w:type="paragraph" w:styleId="CommentText">
    <w:name w:val="annotation text"/>
    <w:basedOn w:val="Normal"/>
    <w:link w:val="CommentTextChar"/>
    <w:unhideWhenUsed/>
    <w:rsid w:val="00CF747F"/>
    <w:pPr>
      <w:spacing w:line="240" w:lineRule="auto"/>
    </w:pPr>
  </w:style>
  <w:style w:type="character" w:customStyle="1" w:styleId="CommentTextChar">
    <w:name w:val="Comment Text Char"/>
    <w:basedOn w:val="DefaultParagraphFont"/>
    <w:link w:val="CommentText"/>
    <w:rsid w:val="00CF747F"/>
    <w:rPr>
      <w:rFonts w:eastAsia="SimSun"/>
      <w:lang w:val="en-GB" w:eastAsia="zh-CN"/>
    </w:rPr>
  </w:style>
  <w:style w:type="paragraph" w:styleId="CommentSubject">
    <w:name w:val="annotation subject"/>
    <w:basedOn w:val="CommentText"/>
    <w:next w:val="CommentText"/>
    <w:link w:val="CommentSubjectChar"/>
    <w:unhideWhenUsed/>
    <w:rsid w:val="00CF747F"/>
    <w:rPr>
      <w:b/>
      <w:bCs/>
    </w:rPr>
  </w:style>
  <w:style w:type="character" w:customStyle="1" w:styleId="CommentSubjectChar">
    <w:name w:val="Comment Subject Char"/>
    <w:basedOn w:val="CommentTextChar"/>
    <w:link w:val="CommentSubject"/>
    <w:rsid w:val="00CF747F"/>
    <w:rPr>
      <w:rFonts w:eastAsia="SimSun"/>
      <w:b/>
      <w:bCs/>
      <w:lang w:val="en-GB" w:eastAsia="zh-CN"/>
    </w:rPr>
  </w:style>
  <w:style w:type="character" w:customStyle="1" w:styleId="Heading3Char">
    <w:name w:val="Heading 3 Char"/>
    <w:basedOn w:val="DefaultParagraphFont"/>
    <w:link w:val="Heading3"/>
    <w:rsid w:val="00E42813"/>
    <w:rPr>
      <w:sz w:val="22"/>
      <w:u w:val="dotDotDash"/>
      <w:lang w:val="en-GB" w:eastAsia="de-DE"/>
    </w:rPr>
  </w:style>
  <w:style w:type="character" w:customStyle="1" w:styleId="Heading6Char">
    <w:name w:val="Heading 6 Char"/>
    <w:basedOn w:val="DefaultParagraphFont"/>
    <w:link w:val="Heading6"/>
    <w:rsid w:val="00E42813"/>
    <w:rPr>
      <w:b/>
      <w:bCs/>
      <w:sz w:val="22"/>
      <w:szCs w:val="22"/>
      <w:u w:val="dotDotDash"/>
      <w:lang w:val="en-GB" w:eastAsia="de-DE"/>
    </w:rPr>
  </w:style>
  <w:style w:type="character" w:customStyle="1" w:styleId="Heading7Char">
    <w:name w:val="Heading 7 Char"/>
    <w:basedOn w:val="DefaultParagraphFont"/>
    <w:link w:val="Heading7"/>
    <w:rsid w:val="00E42813"/>
    <w:rPr>
      <w:sz w:val="24"/>
      <w:szCs w:val="24"/>
      <w:u w:val="dotDotDash"/>
      <w:lang w:val="en-GB" w:eastAsia="de-DE"/>
    </w:rPr>
  </w:style>
  <w:style w:type="character" w:customStyle="1" w:styleId="Heading8Char">
    <w:name w:val="Heading 8 Char"/>
    <w:basedOn w:val="DefaultParagraphFont"/>
    <w:link w:val="Heading8"/>
    <w:rsid w:val="00E42813"/>
    <w:rPr>
      <w:i/>
      <w:iCs/>
      <w:sz w:val="24"/>
      <w:szCs w:val="24"/>
      <w:u w:val="dotDotDash"/>
      <w:lang w:val="en-GB" w:eastAsia="de-DE"/>
    </w:rPr>
  </w:style>
  <w:style w:type="character" w:customStyle="1" w:styleId="Heading9Char">
    <w:name w:val="Heading 9 Char"/>
    <w:basedOn w:val="DefaultParagraphFont"/>
    <w:link w:val="Heading9"/>
    <w:rsid w:val="00E42813"/>
    <w:rPr>
      <w:rFonts w:ascii="Arial" w:hAnsi="Arial" w:cs="Arial"/>
      <w:sz w:val="22"/>
      <w:szCs w:val="22"/>
      <w:u w:val="dotDotDash"/>
      <w:lang w:val="en-GB" w:eastAsia="de-DE"/>
    </w:rPr>
  </w:style>
  <w:style w:type="character" w:customStyle="1" w:styleId="SingleTxtGChar">
    <w:name w:val="_ Single Txt_G Char"/>
    <w:link w:val="SingleTxtG"/>
    <w:rsid w:val="00E42813"/>
    <w:rPr>
      <w:lang w:val="en-GB"/>
    </w:rPr>
  </w:style>
  <w:style w:type="character" w:customStyle="1" w:styleId="FootnoteTextChar">
    <w:name w:val="Footnote Text Char"/>
    <w:aliases w:val="5_G Char,Geneva 9 Char,Font: Geneva 9 Char,Boston 10 Char,f Char,fn Char,footnote text Char,Footnotes Char,Footnote ak Char,Char Char,Char Char Char Char Char,Default Paragraph Font Char Char Char,Footno Char,single space Char"/>
    <w:link w:val="FootnoteText"/>
    <w:locked/>
    <w:rsid w:val="00E42813"/>
    <w:rPr>
      <w:rFonts w:eastAsia="SimSun"/>
      <w:sz w:val="18"/>
      <w:lang w:val="en-GB" w:eastAsia="zh-CN"/>
    </w:rPr>
  </w:style>
  <w:style w:type="paragraph" w:customStyle="1" w:styleId="BVIfnrChar">
    <w:name w:val="BVI fnr Char"/>
    <w:aliases w:val=" BVI fnr Car Car Char,BVI fnr Car Char, BVI fnr Car Car Car Car Char Char,BVI fnr Car Car Char,BVI fnr Car Car Car Car Char, BVI fnr Car Char, BVI fnr Car Car Car Char, BVI fnr Car Car Car Car Car Char,BVI fnr Car Car Car Char"/>
    <w:basedOn w:val="Normal"/>
    <w:link w:val="FootnoteReference"/>
    <w:rsid w:val="00E42813"/>
    <w:pPr>
      <w:suppressAutoHyphens w:val="0"/>
      <w:spacing w:after="160" w:line="240" w:lineRule="exact"/>
    </w:pPr>
    <w:rPr>
      <w:rFonts w:eastAsia="Times New Roman"/>
      <w:sz w:val="18"/>
      <w:vertAlign w:val="superscript"/>
      <w:lang w:val="en-US" w:eastAsia="en-US"/>
    </w:rPr>
  </w:style>
  <w:style w:type="character" w:customStyle="1" w:styleId="HChGChar">
    <w:name w:val="_ H _Ch_G Char"/>
    <w:link w:val="HChG"/>
    <w:locked/>
    <w:rsid w:val="00E42813"/>
    <w:rPr>
      <w:rFonts w:eastAsia="SimSun"/>
      <w:b/>
      <w:sz w:val="28"/>
      <w:lang w:val="en-GB" w:eastAsia="zh-CN"/>
    </w:rPr>
  </w:style>
  <w:style w:type="character" w:customStyle="1" w:styleId="RegSingleTxtGChar">
    <w:name w:val="Reg_Single Txt_G Char"/>
    <w:link w:val="RegSingleTxtG"/>
    <w:rsid w:val="00E42813"/>
    <w:rPr>
      <w:rFonts w:eastAsia="SimSun"/>
      <w:lang w:val="en-GB" w:eastAsia="zh-CN"/>
    </w:rPr>
  </w:style>
  <w:style w:type="character" w:styleId="Hyperlink">
    <w:name w:val="Hyperlink"/>
    <w:basedOn w:val="DefaultParagraphFont"/>
    <w:unhideWhenUsed/>
    <w:rsid w:val="00E42813"/>
    <w:rPr>
      <w:color w:val="0000FF" w:themeColor="hyperlink"/>
      <w:u w:val="single"/>
    </w:rPr>
  </w:style>
  <w:style w:type="paragraph" w:customStyle="1" w:styleId="FootnotesymbolCarZchn">
    <w:name w:val="Footnote symbol Car Zchn"/>
    <w:aliases w:val="Footnote Car Zchn,Times 10 Point Car Zchn,Exposant 3 Point Car Zchn,Footnote Reference Superscript Car Zchn,Char Char Char Char Char Car Zchn,BVI fnr Car Zchn,SUPERS Car Zchn, Char Char Char Char Char Car Zchn, BVI fnr Car Zchn"/>
    <w:basedOn w:val="Normal"/>
    <w:rsid w:val="00E42813"/>
    <w:pPr>
      <w:suppressAutoHyphens w:val="0"/>
      <w:spacing w:after="160" w:line="240" w:lineRule="exact"/>
      <w:jc w:val="both"/>
    </w:pPr>
    <w:rPr>
      <w:rFonts w:eastAsia="Times New Roman"/>
      <w:sz w:val="18"/>
      <w:vertAlign w:val="superscript"/>
      <w:lang w:val="en-US" w:eastAsia="en-US"/>
    </w:rPr>
  </w:style>
  <w:style w:type="character" w:styleId="Strong">
    <w:name w:val="Strong"/>
    <w:qFormat/>
    <w:rsid w:val="00E42813"/>
    <w:rPr>
      <w:b/>
      <w:bCs/>
    </w:rPr>
  </w:style>
  <w:style w:type="paragraph" w:customStyle="1" w:styleId="Default">
    <w:name w:val="Default"/>
    <w:rsid w:val="00E42813"/>
    <w:pPr>
      <w:autoSpaceDE w:val="0"/>
      <w:autoSpaceDN w:val="0"/>
      <w:adjustRightInd w:val="0"/>
    </w:pPr>
    <w:rPr>
      <w:color w:val="000000"/>
      <w:sz w:val="24"/>
      <w:szCs w:val="24"/>
      <w:lang w:val="fr-FR"/>
    </w:rPr>
  </w:style>
  <w:style w:type="character" w:customStyle="1" w:styleId="RegHChGCharChar">
    <w:name w:val="Reg_H__Ch_G Char Char"/>
    <w:link w:val="RegHChG"/>
    <w:rsid w:val="00E42813"/>
    <w:rPr>
      <w:rFonts w:eastAsia="SimSun"/>
      <w:b/>
      <w:sz w:val="28"/>
      <w:lang w:val="en-GB" w:eastAsia="zh-CN"/>
    </w:rPr>
  </w:style>
  <w:style w:type="character" w:styleId="FollowedHyperlink">
    <w:name w:val="FollowedHyperlink"/>
    <w:basedOn w:val="DefaultParagraphFont"/>
    <w:unhideWhenUsed/>
    <w:rsid w:val="00E42813"/>
    <w:rPr>
      <w:color w:val="800080" w:themeColor="followedHyperlink"/>
      <w:u w:val="single"/>
    </w:rPr>
  </w:style>
  <w:style w:type="character" w:customStyle="1" w:styleId="UnresolvedMention1">
    <w:name w:val="Unresolved Mention1"/>
    <w:basedOn w:val="DefaultParagraphFont"/>
    <w:uiPriority w:val="99"/>
    <w:semiHidden/>
    <w:unhideWhenUsed/>
    <w:rsid w:val="00E42813"/>
    <w:rPr>
      <w:color w:val="808080"/>
      <w:shd w:val="clear" w:color="auto" w:fill="E6E6E6"/>
    </w:rPr>
  </w:style>
  <w:style w:type="character" w:styleId="Mention">
    <w:name w:val="Mention"/>
    <w:basedOn w:val="DefaultParagraphFont"/>
    <w:uiPriority w:val="99"/>
    <w:semiHidden/>
    <w:unhideWhenUsed/>
    <w:rsid w:val="00E42813"/>
    <w:rPr>
      <w:color w:val="2B579A"/>
      <w:shd w:val="clear" w:color="auto" w:fill="E6E6E6"/>
    </w:rPr>
  </w:style>
  <w:style w:type="character" w:customStyle="1" w:styleId="H1GChar">
    <w:name w:val="_ H_1_G Char"/>
    <w:link w:val="H1G"/>
    <w:rsid w:val="00E42813"/>
    <w:rPr>
      <w:rFonts w:eastAsia="SimSun"/>
      <w:b/>
      <w:sz w:val="24"/>
      <w:lang w:val="en-GB" w:eastAsia="zh-CN"/>
    </w:rPr>
  </w:style>
  <w:style w:type="paragraph" w:styleId="Revision">
    <w:name w:val="Revision"/>
    <w:hidden/>
    <w:uiPriority w:val="99"/>
    <w:semiHidden/>
    <w:rsid w:val="00E42813"/>
    <w:rPr>
      <w:rFonts w:eastAsia="SimSun"/>
      <w:lang w:val="en-GB" w:eastAsia="zh-CN"/>
    </w:rPr>
  </w:style>
  <w:style w:type="character" w:customStyle="1" w:styleId="Heading1Char">
    <w:name w:val="Heading 1 Char"/>
    <w:aliases w:val="Table_G Char"/>
    <w:basedOn w:val="DefaultParagraphFont"/>
    <w:link w:val="Heading1"/>
    <w:rsid w:val="00E42813"/>
    <w:rPr>
      <w:rFonts w:eastAsia="SimSun"/>
      <w:lang w:val="en-GB" w:eastAsia="zh-CN"/>
    </w:rPr>
  </w:style>
  <w:style w:type="character" w:customStyle="1" w:styleId="AnnoSingleTxtGChar">
    <w:name w:val="Anno_ Single Txt_G Char"/>
    <w:link w:val="AnnoSingleTxtG"/>
    <w:locked/>
    <w:rsid w:val="00E42813"/>
    <w:rPr>
      <w:rFonts w:eastAsia="SimSun"/>
      <w:lang w:val="en-GB" w:eastAsia="zh-CN"/>
    </w:rPr>
  </w:style>
  <w:style w:type="character" w:customStyle="1" w:styleId="EndnoteTextChar">
    <w:name w:val="Endnote Text Char"/>
    <w:aliases w:val="2_G Char"/>
    <w:basedOn w:val="DefaultParagraphFont"/>
    <w:link w:val="EndnoteText"/>
    <w:rsid w:val="00E42813"/>
    <w:rPr>
      <w:rFonts w:eastAsia="SimSun"/>
      <w:sz w:val="18"/>
      <w:lang w:val="en-GB" w:eastAsia="zh-CN"/>
    </w:rPr>
  </w:style>
  <w:style w:type="character" w:customStyle="1" w:styleId="FooterChar">
    <w:name w:val="Footer Char"/>
    <w:aliases w:val="3_G Char"/>
    <w:basedOn w:val="DefaultParagraphFont"/>
    <w:link w:val="Footer"/>
    <w:rsid w:val="00E42813"/>
    <w:rPr>
      <w:rFonts w:eastAsia="SimSun"/>
      <w:sz w:val="16"/>
      <w:lang w:val="en-GB" w:eastAsia="zh-CN"/>
    </w:rPr>
  </w:style>
  <w:style w:type="character" w:customStyle="1" w:styleId="HeaderChar">
    <w:name w:val="Header Char"/>
    <w:aliases w:val="6_G Char"/>
    <w:basedOn w:val="DefaultParagraphFont"/>
    <w:link w:val="Header"/>
    <w:rsid w:val="00E42813"/>
    <w:rPr>
      <w:rFonts w:eastAsia="SimSun"/>
      <w:b/>
      <w:sz w:val="18"/>
      <w:lang w:val="en-GB" w:eastAsia="zh-CN"/>
    </w:rPr>
  </w:style>
  <w:style w:type="character" w:customStyle="1" w:styleId="ListParagraphChar">
    <w:name w:val="List Paragraph Char"/>
    <w:link w:val="ListParagraph"/>
    <w:uiPriority w:val="34"/>
    <w:rsid w:val="00E42813"/>
    <w:rPr>
      <w:rFonts w:eastAsia="SimSun"/>
      <w:lang w:val="en-GB" w:eastAsia="zh-CN"/>
    </w:rPr>
  </w:style>
  <w:style w:type="paragraph" w:customStyle="1" w:styleId="RegHead1">
    <w:name w:val="RegHead1"/>
    <w:basedOn w:val="Normal"/>
    <w:next w:val="RegHead2"/>
    <w:rsid w:val="00E42813"/>
    <w:pPr>
      <w:keepNext/>
      <w:numPr>
        <w:numId w:val="8"/>
      </w:numPr>
      <w:suppressAutoHyphens w:val="0"/>
      <w:spacing w:before="180" w:line="240" w:lineRule="auto"/>
      <w:ind w:left="9"/>
      <w:jc w:val="center"/>
    </w:pPr>
    <w:rPr>
      <w:rFonts w:eastAsia="Times New Roman"/>
      <w:b/>
      <w:sz w:val="28"/>
      <w:lang w:eastAsia="en-US"/>
    </w:rPr>
  </w:style>
  <w:style w:type="paragraph" w:customStyle="1" w:styleId="RegHead2">
    <w:name w:val="RegHead2"/>
    <w:basedOn w:val="Normal"/>
    <w:next w:val="RegHead3"/>
    <w:rsid w:val="00E42813"/>
    <w:pPr>
      <w:keepNext/>
      <w:numPr>
        <w:ilvl w:val="1"/>
        <w:numId w:val="8"/>
      </w:numPr>
      <w:suppressAutoHyphens w:val="0"/>
      <w:spacing w:before="180" w:line="240" w:lineRule="auto"/>
      <w:jc w:val="center"/>
    </w:pPr>
    <w:rPr>
      <w:rFonts w:eastAsia="Times New Roman"/>
      <w:b/>
      <w:sz w:val="22"/>
      <w:lang w:eastAsia="en-US"/>
    </w:rPr>
  </w:style>
  <w:style w:type="paragraph" w:customStyle="1" w:styleId="RegHead3">
    <w:name w:val="RegHead3"/>
    <w:basedOn w:val="Normal"/>
    <w:next w:val="RegPara"/>
    <w:rsid w:val="00E42813"/>
    <w:pPr>
      <w:numPr>
        <w:ilvl w:val="2"/>
        <w:numId w:val="8"/>
      </w:numPr>
      <w:suppressAutoHyphens w:val="0"/>
      <w:spacing w:before="180" w:line="240" w:lineRule="auto"/>
      <w:jc w:val="center"/>
    </w:pPr>
    <w:rPr>
      <w:rFonts w:eastAsia="Times New Roman"/>
      <w:sz w:val="22"/>
      <w:u w:val="single"/>
      <w:lang w:eastAsia="en-US"/>
    </w:rPr>
  </w:style>
  <w:style w:type="paragraph" w:customStyle="1" w:styleId="RegPara">
    <w:name w:val="RegPara"/>
    <w:basedOn w:val="Normal"/>
    <w:link w:val="RegParaChar"/>
    <w:rsid w:val="00E42813"/>
    <w:pPr>
      <w:numPr>
        <w:ilvl w:val="3"/>
        <w:numId w:val="8"/>
      </w:numPr>
      <w:suppressAutoHyphens w:val="0"/>
      <w:spacing w:before="180" w:line="240" w:lineRule="auto"/>
    </w:pPr>
    <w:rPr>
      <w:rFonts w:eastAsia="Times New Roman"/>
      <w:sz w:val="22"/>
      <w:lang w:eastAsia="de-DE"/>
    </w:rPr>
  </w:style>
  <w:style w:type="character" w:customStyle="1" w:styleId="Heading1Char1">
    <w:name w:val="Heading 1 Char1"/>
    <w:aliases w:val="Table_G Char1"/>
    <w:basedOn w:val="DefaultParagraphFont"/>
    <w:rsid w:val="00E42813"/>
    <w:rPr>
      <w:rFonts w:asciiTheme="majorHAnsi" w:eastAsiaTheme="majorEastAsia" w:hAnsiTheme="majorHAnsi" w:cstheme="majorBidi"/>
      <w:b/>
      <w:bCs/>
      <w:color w:val="365F91" w:themeColor="accent1" w:themeShade="BF"/>
      <w:sz w:val="28"/>
      <w:szCs w:val="28"/>
      <w:lang w:val="en-GB" w:eastAsia="zh-CN"/>
    </w:rPr>
  </w:style>
  <w:style w:type="table" w:customStyle="1" w:styleId="TableGrid3">
    <w:name w:val="Table Grid3"/>
    <w:basedOn w:val="TableNormal"/>
    <w:next w:val="TableGrid"/>
    <w:rsid w:val="00E42813"/>
    <w:rPr>
      <w:rFonts w:eastAsia="MS Mincho"/>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
    <w:name w:val="Table Head"/>
    <w:basedOn w:val="Footer"/>
    <w:rsid w:val="00E42813"/>
    <w:pPr>
      <w:suppressAutoHyphens w:val="0"/>
      <w:spacing w:line="240" w:lineRule="auto"/>
      <w:jc w:val="center"/>
    </w:pPr>
    <w:rPr>
      <w:rFonts w:eastAsia="Times New Roman"/>
      <w:b/>
      <w:sz w:val="24"/>
      <w:szCs w:val="24"/>
      <w:lang w:val="en-US" w:eastAsia="de-DE"/>
    </w:rPr>
  </w:style>
  <w:style w:type="character" w:customStyle="1" w:styleId="left">
    <w:name w:val="left"/>
    <w:basedOn w:val="DefaultParagraphFont"/>
    <w:rsid w:val="00E42813"/>
  </w:style>
  <w:style w:type="numbering" w:customStyle="1" w:styleId="NoList1">
    <w:name w:val="No List1"/>
    <w:next w:val="NoList"/>
    <w:uiPriority w:val="99"/>
    <w:semiHidden/>
    <w:unhideWhenUsed/>
    <w:rsid w:val="00E42813"/>
  </w:style>
  <w:style w:type="character" w:customStyle="1" w:styleId="RegH1GChar">
    <w:name w:val="Reg_H_1_G Char"/>
    <w:link w:val="RegH1G"/>
    <w:rsid w:val="00E42813"/>
    <w:rPr>
      <w:rFonts w:eastAsia="SimSun"/>
      <w:b/>
      <w:sz w:val="24"/>
      <w:lang w:val="en-GB" w:eastAsia="zh-CN"/>
    </w:rPr>
  </w:style>
  <w:style w:type="character" w:customStyle="1" w:styleId="RegHChGChar">
    <w:name w:val="Reg_H__Ch_G Char"/>
    <w:rsid w:val="00E42813"/>
    <w:rPr>
      <w:rFonts w:eastAsia="SimSun"/>
      <w:b/>
      <w:sz w:val="28"/>
      <w:lang w:val="en-GB" w:eastAsia="zh-CN"/>
    </w:rPr>
  </w:style>
  <w:style w:type="paragraph" w:customStyle="1" w:styleId="MainTitle">
    <w:name w:val="MainTitle"/>
    <w:basedOn w:val="Normal"/>
    <w:rsid w:val="00E42813"/>
    <w:pPr>
      <w:suppressAutoHyphens w:val="0"/>
      <w:spacing w:line="240" w:lineRule="auto"/>
      <w:jc w:val="center"/>
    </w:pPr>
    <w:rPr>
      <w:rFonts w:eastAsia="Times New Roman"/>
      <w:b/>
      <w:sz w:val="28"/>
      <w:lang w:eastAsia="de-DE"/>
    </w:rPr>
  </w:style>
  <w:style w:type="character" w:customStyle="1" w:styleId="RegParaChar">
    <w:name w:val="RegPara Char"/>
    <w:link w:val="RegPara"/>
    <w:locked/>
    <w:rsid w:val="00E42813"/>
    <w:rPr>
      <w:sz w:val="22"/>
      <w:lang w:val="en-GB" w:eastAsia="de-DE"/>
    </w:rPr>
  </w:style>
  <w:style w:type="character" w:customStyle="1" w:styleId="ft2">
    <w:name w:val="ft2"/>
    <w:rsid w:val="00E42813"/>
  </w:style>
  <w:style w:type="character" w:customStyle="1" w:styleId="ft0">
    <w:name w:val="ft0"/>
    <w:rsid w:val="00E42813"/>
  </w:style>
  <w:style w:type="character" w:customStyle="1" w:styleId="Caractresdenotedebasdepage">
    <w:name w:val="Caractères de note de bas de page"/>
    <w:rsid w:val="00E42813"/>
    <w:rPr>
      <w:rFonts w:ascii="Times New Roman" w:hAnsi="Times New Roman"/>
      <w:sz w:val="18"/>
      <w:vertAlign w:val="superscript"/>
    </w:rPr>
  </w:style>
  <w:style w:type="paragraph" w:customStyle="1" w:styleId="AnnoHead1">
    <w:name w:val="AnnoHead1"/>
    <w:basedOn w:val="Normal"/>
    <w:next w:val="AnnoHead2"/>
    <w:rsid w:val="00E42813"/>
    <w:pPr>
      <w:suppressAutoHyphens w:val="0"/>
      <w:spacing w:before="180" w:line="240" w:lineRule="auto"/>
      <w:ind w:firstLine="244"/>
      <w:jc w:val="center"/>
    </w:pPr>
    <w:rPr>
      <w:rFonts w:eastAsia="Times New Roman"/>
      <w:b/>
      <w:sz w:val="28"/>
      <w:lang w:eastAsia="de-DE"/>
    </w:rPr>
  </w:style>
  <w:style w:type="paragraph" w:customStyle="1" w:styleId="AnnoHead2">
    <w:name w:val="AnnoHead2"/>
    <w:basedOn w:val="Normal"/>
    <w:next w:val="AnnoHead3"/>
    <w:rsid w:val="00E42813"/>
    <w:pPr>
      <w:numPr>
        <w:ilvl w:val="4"/>
        <w:numId w:val="9"/>
      </w:numPr>
      <w:tabs>
        <w:tab w:val="clear" w:pos="360"/>
      </w:tabs>
      <w:suppressAutoHyphens w:val="0"/>
      <w:spacing w:before="180" w:line="240" w:lineRule="auto"/>
      <w:jc w:val="center"/>
    </w:pPr>
    <w:rPr>
      <w:rFonts w:eastAsia="Times New Roman"/>
      <w:b/>
      <w:sz w:val="22"/>
      <w:lang w:eastAsia="de-DE"/>
    </w:rPr>
  </w:style>
  <w:style w:type="paragraph" w:customStyle="1" w:styleId="AnnoHead3">
    <w:name w:val="AnnoHead3"/>
    <w:basedOn w:val="Normal"/>
    <w:next w:val="AnnoPara"/>
    <w:rsid w:val="00E42813"/>
    <w:pPr>
      <w:tabs>
        <w:tab w:val="num" w:pos="1135"/>
      </w:tabs>
      <w:suppressAutoHyphens w:val="0"/>
      <w:spacing w:before="180" w:line="240" w:lineRule="auto"/>
      <w:ind w:left="1135" w:hanging="284"/>
    </w:pPr>
    <w:rPr>
      <w:rFonts w:eastAsia="Times New Roman"/>
      <w:sz w:val="22"/>
      <w:u w:val="single"/>
      <w:lang w:eastAsia="de-DE"/>
    </w:rPr>
  </w:style>
  <w:style w:type="paragraph" w:customStyle="1" w:styleId="AnnoPara">
    <w:name w:val="AnnoPara"/>
    <w:basedOn w:val="Normal"/>
    <w:rsid w:val="00E42813"/>
    <w:pPr>
      <w:tabs>
        <w:tab w:val="num" w:pos="2269"/>
      </w:tabs>
      <w:suppressAutoHyphens w:val="0"/>
      <w:spacing w:before="180" w:line="240" w:lineRule="auto"/>
      <w:ind w:left="1135" w:firstLine="567"/>
    </w:pPr>
    <w:rPr>
      <w:rFonts w:eastAsia="Times New Roman"/>
      <w:sz w:val="22"/>
      <w:lang w:eastAsia="de-DE"/>
    </w:rPr>
  </w:style>
  <w:style w:type="paragraph" w:customStyle="1" w:styleId="AnnexHead1">
    <w:name w:val="AnnexHead1"/>
    <w:basedOn w:val="Normal"/>
    <w:next w:val="Normal"/>
    <w:autoRedefine/>
    <w:rsid w:val="00E42813"/>
    <w:pPr>
      <w:suppressAutoHyphens w:val="0"/>
      <w:spacing w:before="180" w:after="180" w:line="240" w:lineRule="auto"/>
      <w:jc w:val="center"/>
    </w:pPr>
    <w:rPr>
      <w:rFonts w:eastAsia="Times New Roman"/>
      <w:sz w:val="22"/>
      <w:u w:val="single"/>
      <w:lang w:val="en-US" w:eastAsia="en-US"/>
    </w:rPr>
  </w:style>
  <w:style w:type="paragraph" w:customStyle="1" w:styleId="StyleTOC5Before136cm">
    <w:name w:val="Style TOC 5 + Before:  1.36 cm"/>
    <w:basedOn w:val="TOC5"/>
    <w:rsid w:val="00E42813"/>
    <w:pPr>
      <w:tabs>
        <w:tab w:val="left" w:leader="dot" w:pos="6803"/>
        <w:tab w:val="center" w:pos="7795"/>
        <w:tab w:val="center" w:pos="9071"/>
      </w:tabs>
      <w:suppressAutoHyphens w:val="0"/>
      <w:spacing w:before="180" w:line="240" w:lineRule="auto"/>
      <w:ind w:left="720"/>
    </w:pPr>
    <w:rPr>
      <w:rFonts w:eastAsia="Times New Roman"/>
      <w:sz w:val="22"/>
      <w:lang w:eastAsia="de-DE"/>
    </w:rPr>
  </w:style>
  <w:style w:type="paragraph" w:customStyle="1" w:styleId="DecPara">
    <w:name w:val="DecPara"/>
    <w:basedOn w:val="Normal"/>
    <w:rsid w:val="00E42813"/>
    <w:pPr>
      <w:tabs>
        <w:tab w:val="num" w:pos="1440"/>
      </w:tabs>
      <w:suppressAutoHyphens w:val="0"/>
      <w:spacing w:before="180" w:line="240" w:lineRule="auto"/>
      <w:ind w:firstLine="720"/>
    </w:pPr>
    <w:rPr>
      <w:rFonts w:eastAsia="Times New Roman"/>
      <w:sz w:val="22"/>
      <w:lang w:eastAsia="de-DE"/>
    </w:rPr>
  </w:style>
  <w:style w:type="paragraph" w:customStyle="1" w:styleId="ProvHead1">
    <w:name w:val="ProvHead1"/>
    <w:basedOn w:val="Normal"/>
    <w:next w:val="ProvHead2"/>
    <w:rsid w:val="00E42813"/>
    <w:pPr>
      <w:suppressAutoHyphens w:val="0"/>
      <w:spacing w:before="180" w:line="240" w:lineRule="auto"/>
      <w:jc w:val="center"/>
    </w:pPr>
    <w:rPr>
      <w:rFonts w:eastAsia="Times New Roman"/>
      <w:b/>
      <w:caps/>
      <w:sz w:val="22"/>
      <w:lang w:eastAsia="de-DE"/>
    </w:rPr>
  </w:style>
  <w:style w:type="paragraph" w:customStyle="1" w:styleId="ProvHead2">
    <w:name w:val="ProvHead2"/>
    <w:basedOn w:val="Normal"/>
    <w:next w:val="ProvHead3"/>
    <w:rsid w:val="00E42813"/>
    <w:pPr>
      <w:suppressAutoHyphens w:val="0"/>
      <w:spacing w:before="180" w:line="240" w:lineRule="auto"/>
      <w:jc w:val="center"/>
    </w:pPr>
    <w:rPr>
      <w:rFonts w:eastAsia="Times New Roman"/>
      <w:b/>
      <w:sz w:val="22"/>
      <w:u w:val="single"/>
      <w:lang w:eastAsia="de-DE"/>
    </w:rPr>
  </w:style>
  <w:style w:type="paragraph" w:customStyle="1" w:styleId="ProvHead3">
    <w:name w:val="ProvHead3"/>
    <w:basedOn w:val="Normal"/>
    <w:next w:val="ProvPara"/>
    <w:rsid w:val="00E42813"/>
    <w:pPr>
      <w:tabs>
        <w:tab w:val="num" w:pos="1135"/>
      </w:tabs>
      <w:suppressAutoHyphens w:val="0"/>
      <w:spacing w:before="180" w:line="240" w:lineRule="auto"/>
      <w:ind w:left="1135" w:hanging="284"/>
    </w:pPr>
    <w:rPr>
      <w:rFonts w:eastAsia="Times New Roman"/>
      <w:b/>
      <w:sz w:val="22"/>
      <w:u w:val="single"/>
      <w:lang w:eastAsia="de-DE"/>
    </w:rPr>
  </w:style>
  <w:style w:type="paragraph" w:customStyle="1" w:styleId="ProvPara">
    <w:name w:val="ProvPara"/>
    <w:basedOn w:val="Normal"/>
    <w:rsid w:val="00E42813"/>
    <w:pPr>
      <w:tabs>
        <w:tab w:val="num" w:pos="568"/>
      </w:tabs>
      <w:suppressAutoHyphens w:val="0"/>
      <w:spacing w:before="180" w:line="240" w:lineRule="auto"/>
      <w:ind w:left="1135"/>
    </w:pPr>
    <w:rPr>
      <w:rFonts w:eastAsia="Times New Roman"/>
      <w:sz w:val="22"/>
      <w:lang w:eastAsia="de-DE"/>
    </w:rPr>
  </w:style>
  <w:style w:type="paragraph" w:customStyle="1" w:styleId="CUB">
    <w:name w:val="CUB"/>
    <w:basedOn w:val="Normal"/>
    <w:rsid w:val="00E42813"/>
    <w:pPr>
      <w:suppressAutoHyphens w:val="0"/>
      <w:spacing w:line="240" w:lineRule="auto"/>
      <w:jc w:val="center"/>
    </w:pPr>
    <w:rPr>
      <w:rFonts w:eastAsia="Times New Roman"/>
      <w:b/>
      <w:sz w:val="22"/>
      <w:u w:val="single"/>
      <w:lang w:eastAsia="de-DE"/>
    </w:rPr>
  </w:style>
  <w:style w:type="paragraph" w:customStyle="1" w:styleId="NoteSecretariat">
    <w:name w:val="NoteSecretariat"/>
    <w:basedOn w:val="Normal"/>
    <w:rsid w:val="00E42813"/>
    <w:pPr>
      <w:suppressAutoHyphens w:val="0"/>
      <w:spacing w:line="240" w:lineRule="auto"/>
      <w:jc w:val="center"/>
    </w:pPr>
    <w:rPr>
      <w:rFonts w:eastAsia="Times New Roman"/>
      <w:b/>
      <w:sz w:val="22"/>
      <w:lang w:eastAsia="de-DE"/>
    </w:rPr>
  </w:style>
  <w:style w:type="paragraph" w:customStyle="1" w:styleId="FootnoteTable0">
    <w:name w:val="FootnoteTable"/>
    <w:locked/>
    <w:rsid w:val="00E42813"/>
    <w:rPr>
      <w:sz w:val="16"/>
      <w:lang w:val="en-GB"/>
    </w:rPr>
  </w:style>
  <w:style w:type="paragraph" w:customStyle="1" w:styleId="TableandFigure">
    <w:name w:val="Table and Figure"/>
    <w:basedOn w:val="Normal"/>
    <w:rsid w:val="00E42813"/>
    <w:pPr>
      <w:suppressAutoHyphens w:val="0"/>
      <w:spacing w:before="180" w:after="120" w:line="240" w:lineRule="auto"/>
      <w:jc w:val="center"/>
    </w:pPr>
    <w:rPr>
      <w:rFonts w:eastAsia="Times New Roman"/>
      <w:b/>
      <w:sz w:val="22"/>
      <w:lang w:eastAsia="de-DE"/>
    </w:rPr>
  </w:style>
  <w:style w:type="paragraph" w:customStyle="1" w:styleId="AtxtChemicals">
    <w:name w:val="Atxt_Chemicals"/>
    <w:basedOn w:val="Normal"/>
    <w:rsid w:val="00E42813"/>
    <w:pPr>
      <w:suppressAutoHyphens w:val="0"/>
      <w:spacing w:line="240" w:lineRule="auto"/>
    </w:pPr>
    <w:rPr>
      <w:rFonts w:eastAsia="Times New Roman"/>
      <w:sz w:val="24"/>
      <w:lang w:eastAsia="de-DE"/>
    </w:rPr>
  </w:style>
  <w:style w:type="paragraph" w:styleId="BodyText">
    <w:name w:val="Body Text"/>
    <w:basedOn w:val="Normal"/>
    <w:link w:val="BodyTextChar"/>
    <w:rsid w:val="00E42813"/>
    <w:pPr>
      <w:suppressAutoHyphens w:val="0"/>
      <w:spacing w:line="240" w:lineRule="auto"/>
      <w:jc w:val="center"/>
    </w:pPr>
    <w:rPr>
      <w:rFonts w:eastAsia="Times New Roman"/>
      <w:b/>
      <w:bCs/>
      <w:color w:val="C0C0C0"/>
      <w:spacing w:val="22"/>
      <w:sz w:val="40"/>
      <w:lang w:eastAsia="en-US"/>
    </w:rPr>
  </w:style>
  <w:style w:type="character" w:customStyle="1" w:styleId="BodyTextChar">
    <w:name w:val="Body Text Char"/>
    <w:basedOn w:val="DefaultParagraphFont"/>
    <w:link w:val="BodyText"/>
    <w:rsid w:val="00E42813"/>
    <w:rPr>
      <w:b/>
      <w:bCs/>
      <w:color w:val="C0C0C0"/>
      <w:spacing w:val="22"/>
      <w:sz w:val="40"/>
      <w:lang w:val="en-GB"/>
    </w:rPr>
  </w:style>
  <w:style w:type="paragraph" w:styleId="Title">
    <w:name w:val="Title"/>
    <w:basedOn w:val="Normal"/>
    <w:link w:val="TitleChar"/>
    <w:qFormat/>
    <w:rsid w:val="00E42813"/>
    <w:pPr>
      <w:suppressAutoHyphens w:val="0"/>
      <w:spacing w:line="240" w:lineRule="auto"/>
      <w:jc w:val="center"/>
    </w:pPr>
    <w:rPr>
      <w:rFonts w:eastAsia="Times New Roman"/>
      <w:b/>
      <w:sz w:val="22"/>
      <w:lang w:eastAsia="en-US"/>
    </w:rPr>
  </w:style>
  <w:style w:type="character" w:customStyle="1" w:styleId="TitleChar">
    <w:name w:val="Title Char"/>
    <w:basedOn w:val="DefaultParagraphFont"/>
    <w:link w:val="Title"/>
    <w:rsid w:val="00E42813"/>
    <w:rPr>
      <w:b/>
      <w:sz w:val="22"/>
      <w:lang w:val="en-GB"/>
    </w:rPr>
  </w:style>
  <w:style w:type="paragraph" w:customStyle="1" w:styleId="singleTxtG0">
    <w:name w:val="_single Txt_G"/>
    <w:basedOn w:val="Heading1"/>
    <w:rsid w:val="00E42813"/>
    <w:pPr>
      <w:spacing w:after="120"/>
      <w:ind w:left="1100"/>
    </w:pPr>
    <w:rPr>
      <w:b/>
    </w:rPr>
  </w:style>
  <w:style w:type="paragraph" w:customStyle="1" w:styleId="HeadLevel3">
    <w:name w:val="HeadLevel3"/>
    <w:basedOn w:val="Normal"/>
    <w:autoRedefine/>
    <w:rsid w:val="00E42813"/>
    <w:pPr>
      <w:suppressAutoHyphens w:val="0"/>
      <w:spacing w:line="240" w:lineRule="auto"/>
    </w:pPr>
    <w:rPr>
      <w:rFonts w:eastAsia="Times New Roman"/>
      <w:sz w:val="22"/>
      <w:lang w:eastAsia="de-DE"/>
    </w:rPr>
  </w:style>
  <w:style w:type="paragraph" w:customStyle="1" w:styleId="AgendaItem">
    <w:name w:val="AgendaItem"/>
    <w:basedOn w:val="Normal"/>
    <w:autoRedefine/>
    <w:rsid w:val="00E42813"/>
    <w:pPr>
      <w:suppressAutoHyphens w:val="0"/>
      <w:spacing w:line="240" w:lineRule="auto"/>
    </w:pPr>
    <w:rPr>
      <w:rFonts w:eastAsia="Times New Roman"/>
      <w:b/>
      <w:lang w:eastAsia="de-DE"/>
    </w:rPr>
  </w:style>
  <w:style w:type="paragraph" w:styleId="BodyText2">
    <w:name w:val="Body Text 2"/>
    <w:basedOn w:val="Normal"/>
    <w:link w:val="BodyText2Char"/>
    <w:rsid w:val="00E42813"/>
    <w:pPr>
      <w:suppressAutoHyphens w:val="0"/>
      <w:spacing w:line="240" w:lineRule="auto"/>
    </w:pPr>
    <w:rPr>
      <w:rFonts w:eastAsia="Times New Roman"/>
      <w:b/>
      <w:bCs/>
      <w:i/>
      <w:iCs/>
      <w:sz w:val="22"/>
      <w:szCs w:val="24"/>
      <w:lang w:val="en-US" w:eastAsia="en-US"/>
    </w:rPr>
  </w:style>
  <w:style w:type="character" w:customStyle="1" w:styleId="BodyText2Char">
    <w:name w:val="Body Text 2 Char"/>
    <w:basedOn w:val="DefaultParagraphFont"/>
    <w:link w:val="BodyText2"/>
    <w:rsid w:val="00E42813"/>
    <w:rPr>
      <w:b/>
      <w:bCs/>
      <w:i/>
      <w:iCs/>
      <w:sz w:val="22"/>
      <w:szCs w:val="24"/>
    </w:rPr>
  </w:style>
  <w:style w:type="paragraph" w:customStyle="1" w:styleId="xl27">
    <w:name w:val="xl27"/>
    <w:basedOn w:val="Normal"/>
    <w:rsid w:val="00E42813"/>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textAlignment w:val="center"/>
    </w:pPr>
    <w:rPr>
      <w:rFonts w:eastAsia="Arial Unicode MS"/>
      <w:b/>
      <w:bCs/>
      <w:sz w:val="24"/>
      <w:szCs w:val="24"/>
      <w:lang w:eastAsia="en-US"/>
    </w:rPr>
  </w:style>
  <w:style w:type="paragraph" w:customStyle="1" w:styleId="xl28">
    <w:name w:val="xl28"/>
    <w:basedOn w:val="Normal"/>
    <w:rsid w:val="00E42813"/>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jc w:val="center"/>
      <w:textAlignment w:val="center"/>
    </w:pPr>
    <w:rPr>
      <w:rFonts w:eastAsia="Arial Unicode MS"/>
      <w:b/>
      <w:bCs/>
      <w:sz w:val="24"/>
      <w:szCs w:val="24"/>
      <w:lang w:eastAsia="en-US"/>
    </w:rPr>
  </w:style>
  <w:style w:type="paragraph" w:customStyle="1" w:styleId="xl29">
    <w:name w:val="xl29"/>
    <w:basedOn w:val="Normal"/>
    <w:rsid w:val="00E42813"/>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jc w:val="center"/>
      <w:textAlignment w:val="center"/>
    </w:pPr>
    <w:rPr>
      <w:rFonts w:eastAsia="Arial Unicode MS"/>
      <w:b/>
      <w:bCs/>
      <w:sz w:val="24"/>
      <w:szCs w:val="24"/>
      <w:lang w:eastAsia="en-US"/>
    </w:rPr>
  </w:style>
  <w:style w:type="paragraph" w:customStyle="1" w:styleId="xl30">
    <w:name w:val="xl30"/>
    <w:basedOn w:val="Normal"/>
    <w:rsid w:val="00E42813"/>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textAlignment w:val="center"/>
    </w:pPr>
    <w:rPr>
      <w:rFonts w:eastAsia="Arial Unicode MS"/>
      <w:sz w:val="24"/>
      <w:szCs w:val="24"/>
      <w:lang w:eastAsia="en-US"/>
    </w:rPr>
  </w:style>
  <w:style w:type="paragraph" w:customStyle="1" w:styleId="xl31">
    <w:name w:val="xl31"/>
    <w:basedOn w:val="Normal"/>
    <w:rsid w:val="00E42813"/>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textAlignment w:val="center"/>
    </w:pPr>
    <w:rPr>
      <w:rFonts w:eastAsia="Arial Unicode MS"/>
      <w:sz w:val="24"/>
      <w:szCs w:val="24"/>
      <w:lang w:eastAsia="en-US"/>
    </w:rPr>
  </w:style>
  <w:style w:type="paragraph" w:customStyle="1" w:styleId="xl32">
    <w:name w:val="xl32"/>
    <w:basedOn w:val="Normal"/>
    <w:rsid w:val="00E42813"/>
    <w:pPr>
      <w:pBdr>
        <w:top w:val="single" w:sz="4" w:space="0" w:color="auto"/>
        <w:left w:val="single" w:sz="4" w:space="0" w:color="auto"/>
        <w:right w:val="single" w:sz="4" w:space="0" w:color="auto"/>
      </w:pBdr>
      <w:suppressAutoHyphens w:val="0"/>
      <w:spacing w:before="100" w:beforeAutospacing="1" w:after="100" w:afterAutospacing="1" w:line="240" w:lineRule="auto"/>
      <w:textAlignment w:val="center"/>
    </w:pPr>
    <w:rPr>
      <w:rFonts w:eastAsia="Arial Unicode MS"/>
      <w:sz w:val="24"/>
      <w:szCs w:val="24"/>
      <w:lang w:eastAsia="en-US"/>
    </w:rPr>
  </w:style>
  <w:style w:type="paragraph" w:customStyle="1" w:styleId="xl33">
    <w:name w:val="xl33"/>
    <w:basedOn w:val="Normal"/>
    <w:rsid w:val="00E42813"/>
    <w:pPr>
      <w:pBdr>
        <w:top w:val="single" w:sz="4" w:space="0" w:color="auto"/>
        <w:left w:val="single" w:sz="4" w:space="0" w:color="auto"/>
        <w:right w:val="single" w:sz="4" w:space="0" w:color="auto"/>
      </w:pBdr>
      <w:suppressAutoHyphens w:val="0"/>
      <w:spacing w:before="100" w:beforeAutospacing="1" w:after="100" w:afterAutospacing="1" w:line="240" w:lineRule="auto"/>
      <w:textAlignment w:val="center"/>
    </w:pPr>
    <w:rPr>
      <w:rFonts w:eastAsia="Arial Unicode MS"/>
      <w:sz w:val="24"/>
      <w:szCs w:val="24"/>
      <w:lang w:eastAsia="en-US"/>
    </w:rPr>
  </w:style>
  <w:style w:type="paragraph" w:customStyle="1" w:styleId="xl34">
    <w:name w:val="xl34"/>
    <w:basedOn w:val="Normal"/>
    <w:rsid w:val="00E42813"/>
    <w:pPr>
      <w:pBdr>
        <w:top w:val="double" w:sz="6" w:space="0" w:color="auto"/>
        <w:left w:val="double" w:sz="6" w:space="0" w:color="auto"/>
        <w:bottom w:val="double" w:sz="6" w:space="0" w:color="auto"/>
        <w:right w:val="double" w:sz="6" w:space="0" w:color="auto"/>
      </w:pBdr>
      <w:suppressAutoHyphens w:val="0"/>
      <w:spacing w:before="100" w:beforeAutospacing="1" w:after="100" w:afterAutospacing="1" w:line="240" w:lineRule="auto"/>
      <w:textAlignment w:val="center"/>
    </w:pPr>
    <w:rPr>
      <w:rFonts w:eastAsia="Arial Unicode MS"/>
      <w:b/>
      <w:bCs/>
      <w:sz w:val="24"/>
      <w:szCs w:val="24"/>
      <w:lang w:eastAsia="en-US"/>
    </w:rPr>
  </w:style>
  <w:style w:type="paragraph" w:customStyle="1" w:styleId="xl35">
    <w:name w:val="xl35"/>
    <w:basedOn w:val="Normal"/>
    <w:rsid w:val="00E42813"/>
    <w:pPr>
      <w:pBdr>
        <w:top w:val="double" w:sz="6" w:space="0" w:color="auto"/>
        <w:left w:val="double" w:sz="6" w:space="0" w:color="auto"/>
        <w:bottom w:val="double" w:sz="6" w:space="0" w:color="auto"/>
        <w:right w:val="double" w:sz="6" w:space="0" w:color="auto"/>
      </w:pBdr>
      <w:suppressAutoHyphens w:val="0"/>
      <w:spacing w:before="100" w:beforeAutospacing="1" w:after="100" w:afterAutospacing="1" w:line="240" w:lineRule="auto"/>
      <w:textAlignment w:val="center"/>
    </w:pPr>
    <w:rPr>
      <w:rFonts w:eastAsia="Arial Unicode MS"/>
      <w:b/>
      <w:bCs/>
      <w:sz w:val="24"/>
      <w:szCs w:val="24"/>
      <w:lang w:eastAsia="en-US"/>
    </w:rPr>
  </w:style>
  <w:style w:type="paragraph" w:customStyle="1" w:styleId="xl36">
    <w:name w:val="xl36"/>
    <w:basedOn w:val="Normal"/>
    <w:rsid w:val="00E42813"/>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textAlignment w:val="center"/>
    </w:pPr>
    <w:rPr>
      <w:rFonts w:eastAsia="Arial Unicode MS"/>
      <w:b/>
      <w:bCs/>
      <w:sz w:val="24"/>
      <w:szCs w:val="24"/>
      <w:lang w:eastAsia="en-US"/>
    </w:rPr>
  </w:style>
  <w:style w:type="paragraph" w:customStyle="1" w:styleId="xl37">
    <w:name w:val="xl37"/>
    <w:basedOn w:val="Normal"/>
    <w:rsid w:val="00E42813"/>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textAlignment w:val="center"/>
    </w:pPr>
    <w:rPr>
      <w:rFonts w:eastAsia="Arial Unicode MS"/>
      <w:b/>
      <w:bCs/>
      <w:sz w:val="24"/>
      <w:szCs w:val="24"/>
      <w:lang w:eastAsia="en-US"/>
    </w:rPr>
  </w:style>
  <w:style w:type="paragraph" w:customStyle="1" w:styleId="xl38">
    <w:name w:val="xl38"/>
    <w:basedOn w:val="Normal"/>
    <w:rsid w:val="00E42813"/>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textAlignment w:val="center"/>
    </w:pPr>
    <w:rPr>
      <w:rFonts w:eastAsia="Arial Unicode MS"/>
      <w:b/>
      <w:bCs/>
      <w:color w:val="800080"/>
      <w:sz w:val="24"/>
      <w:szCs w:val="24"/>
      <w:lang w:eastAsia="en-US"/>
    </w:rPr>
  </w:style>
  <w:style w:type="paragraph" w:customStyle="1" w:styleId="xl39">
    <w:name w:val="xl39"/>
    <w:basedOn w:val="Normal"/>
    <w:rsid w:val="00E42813"/>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jc w:val="center"/>
      <w:textAlignment w:val="center"/>
    </w:pPr>
    <w:rPr>
      <w:rFonts w:eastAsia="Arial Unicode MS"/>
      <w:b/>
      <w:bCs/>
      <w:color w:val="800080"/>
      <w:sz w:val="24"/>
      <w:szCs w:val="24"/>
      <w:lang w:eastAsia="en-US"/>
    </w:rPr>
  </w:style>
  <w:style w:type="paragraph" w:customStyle="1" w:styleId="xl40">
    <w:name w:val="xl40"/>
    <w:basedOn w:val="Normal"/>
    <w:rsid w:val="00E42813"/>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textAlignment w:val="center"/>
    </w:pPr>
    <w:rPr>
      <w:rFonts w:eastAsia="Arial Unicode MS"/>
      <w:color w:val="800080"/>
      <w:sz w:val="24"/>
      <w:szCs w:val="24"/>
      <w:lang w:eastAsia="en-US"/>
    </w:rPr>
  </w:style>
  <w:style w:type="paragraph" w:customStyle="1" w:styleId="xl41">
    <w:name w:val="xl41"/>
    <w:basedOn w:val="Normal"/>
    <w:rsid w:val="00E42813"/>
    <w:pPr>
      <w:pBdr>
        <w:top w:val="double" w:sz="6" w:space="0" w:color="auto"/>
        <w:left w:val="double" w:sz="6" w:space="0" w:color="auto"/>
        <w:bottom w:val="double" w:sz="6" w:space="0" w:color="auto"/>
        <w:right w:val="double" w:sz="6" w:space="0" w:color="auto"/>
      </w:pBdr>
      <w:suppressAutoHyphens w:val="0"/>
      <w:spacing w:before="100" w:beforeAutospacing="1" w:after="100" w:afterAutospacing="1" w:line="240" w:lineRule="auto"/>
      <w:textAlignment w:val="center"/>
    </w:pPr>
    <w:rPr>
      <w:rFonts w:eastAsia="Arial Unicode MS"/>
      <w:b/>
      <w:bCs/>
      <w:color w:val="800080"/>
      <w:sz w:val="24"/>
      <w:szCs w:val="24"/>
      <w:lang w:eastAsia="en-US"/>
    </w:rPr>
  </w:style>
  <w:style w:type="paragraph" w:customStyle="1" w:styleId="xl42">
    <w:name w:val="xl42"/>
    <w:basedOn w:val="Normal"/>
    <w:rsid w:val="00E42813"/>
    <w:pPr>
      <w:pBdr>
        <w:top w:val="single" w:sz="4" w:space="0" w:color="auto"/>
        <w:left w:val="single" w:sz="4" w:space="0" w:color="auto"/>
        <w:bottom w:val="single" w:sz="4" w:space="0" w:color="auto"/>
      </w:pBdr>
      <w:suppressAutoHyphens w:val="0"/>
      <w:spacing w:before="100" w:beforeAutospacing="1" w:after="100" w:afterAutospacing="1" w:line="240" w:lineRule="auto"/>
      <w:textAlignment w:val="center"/>
    </w:pPr>
    <w:rPr>
      <w:rFonts w:eastAsia="Arial Unicode MS"/>
      <w:sz w:val="24"/>
      <w:szCs w:val="24"/>
      <w:lang w:eastAsia="en-US"/>
    </w:rPr>
  </w:style>
  <w:style w:type="paragraph" w:customStyle="1" w:styleId="xl43">
    <w:name w:val="xl43"/>
    <w:basedOn w:val="Normal"/>
    <w:rsid w:val="00E42813"/>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jc w:val="right"/>
      <w:textAlignment w:val="center"/>
    </w:pPr>
    <w:rPr>
      <w:rFonts w:eastAsia="Arial Unicode MS"/>
      <w:color w:val="800080"/>
      <w:sz w:val="24"/>
      <w:szCs w:val="24"/>
      <w:lang w:eastAsia="en-US"/>
    </w:rPr>
  </w:style>
  <w:style w:type="paragraph" w:customStyle="1" w:styleId="xl44">
    <w:name w:val="xl44"/>
    <w:basedOn w:val="Normal"/>
    <w:rsid w:val="00E42813"/>
    <w:pPr>
      <w:pBdr>
        <w:top w:val="single" w:sz="4" w:space="0" w:color="auto"/>
        <w:left w:val="single" w:sz="4" w:space="0" w:color="auto"/>
        <w:bottom w:val="single" w:sz="4" w:space="0" w:color="auto"/>
      </w:pBdr>
      <w:suppressAutoHyphens w:val="0"/>
      <w:spacing w:before="100" w:beforeAutospacing="1" w:after="100" w:afterAutospacing="1" w:line="240" w:lineRule="auto"/>
      <w:textAlignment w:val="center"/>
    </w:pPr>
    <w:rPr>
      <w:rFonts w:eastAsia="Arial Unicode MS"/>
      <w:b/>
      <w:bCs/>
      <w:sz w:val="24"/>
      <w:szCs w:val="24"/>
      <w:lang w:eastAsia="en-US"/>
    </w:rPr>
  </w:style>
  <w:style w:type="paragraph" w:customStyle="1" w:styleId="xl45">
    <w:name w:val="xl45"/>
    <w:basedOn w:val="Normal"/>
    <w:rsid w:val="00E42813"/>
    <w:pPr>
      <w:pBdr>
        <w:top w:val="single" w:sz="4" w:space="0" w:color="auto"/>
        <w:left w:val="single" w:sz="4" w:space="0" w:color="auto"/>
        <w:bottom w:val="single" w:sz="4" w:space="0" w:color="auto"/>
      </w:pBdr>
      <w:suppressAutoHyphens w:val="0"/>
      <w:spacing w:before="100" w:beforeAutospacing="1" w:after="100" w:afterAutospacing="1" w:line="240" w:lineRule="auto"/>
      <w:jc w:val="center"/>
      <w:textAlignment w:val="center"/>
    </w:pPr>
    <w:rPr>
      <w:rFonts w:eastAsia="Arial Unicode MS"/>
      <w:sz w:val="24"/>
      <w:szCs w:val="24"/>
      <w:lang w:eastAsia="en-US"/>
    </w:rPr>
  </w:style>
  <w:style w:type="paragraph" w:customStyle="1" w:styleId="xl46">
    <w:name w:val="xl46"/>
    <w:basedOn w:val="Normal"/>
    <w:rsid w:val="00E42813"/>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textAlignment w:val="center"/>
    </w:pPr>
    <w:rPr>
      <w:rFonts w:eastAsia="Arial Unicode MS"/>
      <w:sz w:val="24"/>
      <w:szCs w:val="24"/>
      <w:lang w:eastAsia="en-US"/>
    </w:rPr>
  </w:style>
  <w:style w:type="paragraph" w:customStyle="1" w:styleId="xl47">
    <w:name w:val="xl47"/>
    <w:basedOn w:val="Normal"/>
    <w:rsid w:val="00E42813"/>
    <w:pPr>
      <w:pBdr>
        <w:top w:val="single" w:sz="4" w:space="0" w:color="auto"/>
        <w:left w:val="single" w:sz="4" w:space="0" w:color="auto"/>
        <w:right w:val="single" w:sz="4" w:space="0" w:color="auto"/>
      </w:pBdr>
      <w:suppressAutoHyphens w:val="0"/>
      <w:spacing w:before="100" w:beforeAutospacing="1" w:after="100" w:afterAutospacing="1" w:line="240" w:lineRule="auto"/>
      <w:textAlignment w:val="center"/>
    </w:pPr>
    <w:rPr>
      <w:rFonts w:eastAsia="Arial Unicode MS"/>
      <w:sz w:val="24"/>
      <w:szCs w:val="24"/>
      <w:lang w:eastAsia="en-US"/>
    </w:rPr>
  </w:style>
  <w:style w:type="paragraph" w:customStyle="1" w:styleId="xl48">
    <w:name w:val="xl48"/>
    <w:basedOn w:val="Normal"/>
    <w:rsid w:val="00E42813"/>
    <w:pPr>
      <w:pBdr>
        <w:top w:val="double" w:sz="6" w:space="0" w:color="auto"/>
        <w:left w:val="double" w:sz="6" w:space="0" w:color="auto"/>
        <w:bottom w:val="double" w:sz="6" w:space="0" w:color="auto"/>
        <w:right w:val="double" w:sz="6" w:space="0" w:color="auto"/>
      </w:pBdr>
      <w:suppressAutoHyphens w:val="0"/>
      <w:spacing w:before="100" w:beforeAutospacing="1" w:after="100" w:afterAutospacing="1" w:line="240" w:lineRule="auto"/>
      <w:textAlignment w:val="center"/>
    </w:pPr>
    <w:rPr>
      <w:rFonts w:eastAsia="Arial Unicode MS"/>
      <w:b/>
      <w:bCs/>
      <w:sz w:val="24"/>
      <w:szCs w:val="24"/>
      <w:lang w:eastAsia="en-US"/>
    </w:rPr>
  </w:style>
  <w:style w:type="paragraph" w:customStyle="1" w:styleId="xl49">
    <w:name w:val="xl49"/>
    <w:basedOn w:val="Normal"/>
    <w:rsid w:val="00E42813"/>
    <w:pPr>
      <w:pBdr>
        <w:top w:val="single" w:sz="4" w:space="0" w:color="auto"/>
        <w:left w:val="single" w:sz="4" w:space="0" w:color="auto"/>
      </w:pBdr>
      <w:suppressAutoHyphens w:val="0"/>
      <w:spacing w:before="100" w:beforeAutospacing="1" w:after="100" w:afterAutospacing="1" w:line="240" w:lineRule="auto"/>
      <w:jc w:val="center"/>
      <w:textAlignment w:val="top"/>
    </w:pPr>
    <w:rPr>
      <w:rFonts w:eastAsia="Arial Unicode MS"/>
      <w:b/>
      <w:bCs/>
      <w:sz w:val="24"/>
      <w:szCs w:val="24"/>
      <w:lang w:eastAsia="en-US"/>
    </w:rPr>
  </w:style>
  <w:style w:type="paragraph" w:customStyle="1" w:styleId="xl50">
    <w:name w:val="xl50"/>
    <w:basedOn w:val="Normal"/>
    <w:rsid w:val="00E42813"/>
    <w:pPr>
      <w:pBdr>
        <w:top w:val="single" w:sz="4" w:space="0" w:color="auto"/>
        <w:left w:val="single" w:sz="4" w:space="0" w:color="auto"/>
        <w:bottom w:val="single" w:sz="4" w:space="0" w:color="auto"/>
      </w:pBdr>
      <w:suppressAutoHyphens w:val="0"/>
      <w:spacing w:before="100" w:beforeAutospacing="1" w:after="100" w:afterAutospacing="1" w:line="240" w:lineRule="auto"/>
      <w:jc w:val="center"/>
      <w:textAlignment w:val="center"/>
    </w:pPr>
    <w:rPr>
      <w:rFonts w:eastAsia="Arial Unicode MS"/>
      <w:b/>
      <w:bCs/>
      <w:sz w:val="24"/>
      <w:szCs w:val="24"/>
      <w:lang w:eastAsia="en-US"/>
    </w:rPr>
  </w:style>
  <w:style w:type="paragraph" w:customStyle="1" w:styleId="xl51">
    <w:name w:val="xl51"/>
    <w:basedOn w:val="Normal"/>
    <w:rsid w:val="00E42813"/>
    <w:pPr>
      <w:pBdr>
        <w:top w:val="single" w:sz="4" w:space="0" w:color="auto"/>
        <w:left w:val="single" w:sz="4" w:space="0" w:color="auto"/>
        <w:right w:val="single" w:sz="4" w:space="0" w:color="auto"/>
      </w:pBdr>
      <w:suppressAutoHyphens w:val="0"/>
      <w:spacing w:before="100" w:beforeAutospacing="1" w:after="100" w:afterAutospacing="1" w:line="240" w:lineRule="auto"/>
      <w:textAlignment w:val="center"/>
    </w:pPr>
    <w:rPr>
      <w:rFonts w:eastAsia="Arial Unicode MS"/>
      <w:sz w:val="24"/>
      <w:szCs w:val="24"/>
      <w:lang w:eastAsia="en-US"/>
    </w:rPr>
  </w:style>
  <w:style w:type="paragraph" w:customStyle="1" w:styleId="xl52">
    <w:name w:val="xl52"/>
    <w:basedOn w:val="Normal"/>
    <w:rsid w:val="00E42813"/>
    <w:pPr>
      <w:pBdr>
        <w:top w:val="single" w:sz="4" w:space="0" w:color="auto"/>
        <w:left w:val="single" w:sz="4" w:space="0" w:color="auto"/>
      </w:pBdr>
      <w:suppressAutoHyphens w:val="0"/>
      <w:spacing w:before="100" w:beforeAutospacing="1" w:after="100" w:afterAutospacing="1" w:line="240" w:lineRule="auto"/>
      <w:jc w:val="center"/>
      <w:textAlignment w:val="center"/>
    </w:pPr>
    <w:rPr>
      <w:rFonts w:eastAsia="Arial Unicode MS"/>
      <w:sz w:val="24"/>
      <w:szCs w:val="24"/>
      <w:lang w:eastAsia="en-US"/>
    </w:rPr>
  </w:style>
  <w:style w:type="paragraph" w:customStyle="1" w:styleId="xl53">
    <w:name w:val="xl53"/>
    <w:basedOn w:val="Normal"/>
    <w:rsid w:val="00E42813"/>
    <w:pPr>
      <w:pBdr>
        <w:top w:val="double" w:sz="6" w:space="0" w:color="auto"/>
        <w:left w:val="double" w:sz="6" w:space="0" w:color="auto"/>
        <w:bottom w:val="double" w:sz="6" w:space="0" w:color="auto"/>
        <w:right w:val="double" w:sz="6" w:space="0" w:color="auto"/>
      </w:pBdr>
      <w:suppressAutoHyphens w:val="0"/>
      <w:spacing w:before="100" w:beforeAutospacing="1" w:after="100" w:afterAutospacing="1" w:line="240" w:lineRule="auto"/>
      <w:jc w:val="center"/>
      <w:textAlignment w:val="center"/>
    </w:pPr>
    <w:rPr>
      <w:rFonts w:eastAsia="Arial Unicode MS"/>
      <w:b/>
      <w:bCs/>
      <w:sz w:val="24"/>
      <w:szCs w:val="24"/>
      <w:lang w:eastAsia="en-US"/>
    </w:rPr>
  </w:style>
  <w:style w:type="paragraph" w:styleId="BodyText3">
    <w:name w:val="Body Text 3"/>
    <w:basedOn w:val="Normal"/>
    <w:link w:val="BodyText3Char"/>
    <w:rsid w:val="00E42813"/>
    <w:pPr>
      <w:suppressAutoHyphens w:val="0"/>
      <w:spacing w:line="240" w:lineRule="auto"/>
    </w:pPr>
    <w:rPr>
      <w:rFonts w:eastAsia="Times New Roman"/>
      <w:i/>
      <w:iCs/>
      <w:sz w:val="22"/>
      <w:lang w:val="en-US" w:eastAsia="de-DE"/>
    </w:rPr>
  </w:style>
  <w:style w:type="character" w:customStyle="1" w:styleId="BodyText3Char">
    <w:name w:val="Body Text 3 Char"/>
    <w:basedOn w:val="DefaultParagraphFont"/>
    <w:link w:val="BodyText3"/>
    <w:rsid w:val="00E42813"/>
    <w:rPr>
      <w:i/>
      <w:iCs/>
      <w:sz w:val="22"/>
      <w:lang w:eastAsia="de-DE"/>
    </w:rPr>
  </w:style>
  <w:style w:type="paragraph" w:customStyle="1" w:styleId="xl24">
    <w:name w:val="xl24"/>
    <w:basedOn w:val="Normal"/>
    <w:rsid w:val="00E42813"/>
    <w:pPr>
      <w:pBdr>
        <w:top w:val="double" w:sz="6" w:space="0" w:color="auto"/>
        <w:bottom w:val="single" w:sz="4" w:space="0" w:color="auto"/>
      </w:pBdr>
      <w:suppressAutoHyphens w:val="0"/>
      <w:spacing w:before="100" w:beforeAutospacing="1" w:after="100" w:afterAutospacing="1" w:line="240" w:lineRule="auto"/>
      <w:jc w:val="center"/>
    </w:pPr>
    <w:rPr>
      <w:rFonts w:eastAsia="Arial Unicode MS"/>
      <w:b/>
      <w:bCs/>
      <w:color w:val="000000"/>
      <w:sz w:val="24"/>
      <w:szCs w:val="24"/>
      <w:lang w:eastAsia="en-US"/>
    </w:rPr>
  </w:style>
  <w:style w:type="paragraph" w:customStyle="1" w:styleId="xl25">
    <w:name w:val="xl25"/>
    <w:basedOn w:val="Normal"/>
    <w:rsid w:val="00E42813"/>
    <w:pPr>
      <w:pBdr>
        <w:top w:val="double" w:sz="6" w:space="0" w:color="auto"/>
        <w:bottom w:val="single" w:sz="4" w:space="0" w:color="auto"/>
        <w:right w:val="single" w:sz="4" w:space="0" w:color="000000"/>
      </w:pBdr>
      <w:suppressAutoHyphens w:val="0"/>
      <w:spacing w:before="100" w:beforeAutospacing="1" w:after="100" w:afterAutospacing="1" w:line="240" w:lineRule="auto"/>
      <w:jc w:val="center"/>
    </w:pPr>
    <w:rPr>
      <w:rFonts w:eastAsia="Arial Unicode MS"/>
      <w:b/>
      <w:bCs/>
      <w:color w:val="000000"/>
      <w:sz w:val="24"/>
      <w:szCs w:val="24"/>
      <w:lang w:eastAsia="en-US"/>
    </w:rPr>
  </w:style>
  <w:style w:type="paragraph" w:customStyle="1" w:styleId="xl26">
    <w:name w:val="xl26"/>
    <w:basedOn w:val="Normal"/>
    <w:rsid w:val="00E42813"/>
    <w:pPr>
      <w:suppressAutoHyphens w:val="0"/>
      <w:spacing w:before="100" w:beforeAutospacing="1" w:after="100" w:afterAutospacing="1" w:line="240" w:lineRule="auto"/>
      <w:jc w:val="center"/>
    </w:pPr>
    <w:rPr>
      <w:rFonts w:eastAsia="Arial Unicode MS"/>
      <w:sz w:val="24"/>
      <w:szCs w:val="24"/>
      <w:lang w:eastAsia="en-US"/>
    </w:rPr>
  </w:style>
  <w:style w:type="paragraph" w:customStyle="1" w:styleId="xl54">
    <w:name w:val="xl54"/>
    <w:basedOn w:val="Normal"/>
    <w:rsid w:val="00E42813"/>
    <w:pPr>
      <w:pBdr>
        <w:left w:val="double" w:sz="6" w:space="0" w:color="auto"/>
        <w:bottom w:val="single" w:sz="4" w:space="0" w:color="000000"/>
      </w:pBdr>
      <w:suppressAutoHyphens w:val="0"/>
      <w:spacing w:before="100" w:beforeAutospacing="1" w:after="100" w:afterAutospacing="1" w:line="240" w:lineRule="auto"/>
    </w:pPr>
    <w:rPr>
      <w:rFonts w:eastAsia="Arial Unicode MS"/>
      <w:b/>
      <w:bCs/>
      <w:color w:val="000000"/>
      <w:sz w:val="24"/>
      <w:szCs w:val="24"/>
      <w:lang w:eastAsia="en-US"/>
    </w:rPr>
  </w:style>
  <w:style w:type="paragraph" w:customStyle="1" w:styleId="xl55">
    <w:name w:val="xl55"/>
    <w:basedOn w:val="Normal"/>
    <w:rsid w:val="00E42813"/>
    <w:pPr>
      <w:pBdr>
        <w:left w:val="double" w:sz="6" w:space="0" w:color="auto"/>
      </w:pBdr>
      <w:suppressAutoHyphens w:val="0"/>
      <w:spacing w:before="100" w:beforeAutospacing="1" w:after="100" w:afterAutospacing="1" w:line="240" w:lineRule="auto"/>
    </w:pPr>
    <w:rPr>
      <w:rFonts w:eastAsia="Arial Unicode MS"/>
      <w:b/>
      <w:bCs/>
      <w:sz w:val="19"/>
      <w:szCs w:val="19"/>
      <w:lang w:eastAsia="en-US"/>
    </w:rPr>
  </w:style>
  <w:style w:type="paragraph" w:customStyle="1" w:styleId="xl56">
    <w:name w:val="xl56"/>
    <w:basedOn w:val="Normal"/>
    <w:rsid w:val="00E42813"/>
    <w:pPr>
      <w:pBdr>
        <w:left w:val="double" w:sz="6" w:space="0" w:color="auto"/>
        <w:bottom w:val="double" w:sz="6" w:space="0" w:color="auto"/>
      </w:pBdr>
      <w:suppressAutoHyphens w:val="0"/>
      <w:spacing w:before="100" w:beforeAutospacing="1" w:after="100" w:afterAutospacing="1" w:line="240" w:lineRule="auto"/>
    </w:pPr>
    <w:rPr>
      <w:rFonts w:eastAsia="Arial Unicode MS"/>
      <w:b/>
      <w:bCs/>
      <w:sz w:val="19"/>
      <w:szCs w:val="19"/>
      <w:lang w:eastAsia="en-US"/>
    </w:rPr>
  </w:style>
  <w:style w:type="paragraph" w:customStyle="1" w:styleId="xl57">
    <w:name w:val="xl57"/>
    <w:basedOn w:val="Normal"/>
    <w:rsid w:val="00E42813"/>
    <w:pPr>
      <w:pBdr>
        <w:right w:val="double" w:sz="6" w:space="0" w:color="auto"/>
      </w:pBdr>
      <w:suppressAutoHyphens w:val="0"/>
      <w:spacing w:before="100" w:beforeAutospacing="1" w:after="100" w:afterAutospacing="1" w:line="240" w:lineRule="auto"/>
      <w:jc w:val="right"/>
    </w:pPr>
    <w:rPr>
      <w:rFonts w:eastAsia="Arial Unicode MS"/>
      <w:sz w:val="24"/>
      <w:szCs w:val="24"/>
      <w:lang w:eastAsia="en-US"/>
    </w:rPr>
  </w:style>
  <w:style w:type="paragraph" w:customStyle="1" w:styleId="xl58">
    <w:name w:val="xl58"/>
    <w:basedOn w:val="Normal"/>
    <w:rsid w:val="00E42813"/>
    <w:pPr>
      <w:pBdr>
        <w:left w:val="single" w:sz="4" w:space="0" w:color="000000"/>
        <w:bottom w:val="single" w:sz="4" w:space="0" w:color="auto"/>
        <w:right w:val="double" w:sz="6" w:space="0" w:color="auto"/>
      </w:pBdr>
      <w:suppressAutoHyphens w:val="0"/>
      <w:spacing w:before="100" w:beforeAutospacing="1" w:after="100" w:afterAutospacing="1" w:line="240" w:lineRule="auto"/>
      <w:jc w:val="right"/>
    </w:pPr>
    <w:rPr>
      <w:rFonts w:eastAsia="Arial Unicode MS"/>
      <w:sz w:val="24"/>
      <w:szCs w:val="24"/>
      <w:lang w:eastAsia="en-US"/>
    </w:rPr>
  </w:style>
  <w:style w:type="paragraph" w:customStyle="1" w:styleId="xl59">
    <w:name w:val="xl59"/>
    <w:basedOn w:val="Normal"/>
    <w:rsid w:val="00E42813"/>
    <w:pPr>
      <w:pBdr>
        <w:right w:val="single" w:sz="4" w:space="0" w:color="auto"/>
      </w:pBdr>
      <w:suppressAutoHyphens w:val="0"/>
      <w:spacing w:before="100" w:beforeAutospacing="1" w:after="100" w:afterAutospacing="1" w:line="240" w:lineRule="auto"/>
      <w:jc w:val="right"/>
    </w:pPr>
    <w:rPr>
      <w:rFonts w:eastAsia="Arial Unicode MS"/>
      <w:sz w:val="24"/>
      <w:szCs w:val="24"/>
      <w:lang w:eastAsia="en-US"/>
    </w:rPr>
  </w:style>
  <w:style w:type="paragraph" w:customStyle="1" w:styleId="xl60">
    <w:name w:val="xl60"/>
    <w:basedOn w:val="Normal"/>
    <w:rsid w:val="00E42813"/>
    <w:pPr>
      <w:pBdr>
        <w:left w:val="single" w:sz="4" w:space="0" w:color="auto"/>
        <w:right w:val="double" w:sz="6" w:space="0" w:color="auto"/>
      </w:pBdr>
      <w:suppressAutoHyphens w:val="0"/>
      <w:spacing w:before="100" w:beforeAutospacing="1" w:after="100" w:afterAutospacing="1" w:line="240" w:lineRule="auto"/>
      <w:jc w:val="right"/>
    </w:pPr>
    <w:rPr>
      <w:rFonts w:eastAsia="Arial Unicode MS"/>
      <w:sz w:val="24"/>
      <w:szCs w:val="24"/>
      <w:lang w:eastAsia="en-US"/>
    </w:rPr>
  </w:style>
  <w:style w:type="paragraph" w:customStyle="1" w:styleId="xl61">
    <w:name w:val="xl61"/>
    <w:basedOn w:val="Normal"/>
    <w:rsid w:val="00E42813"/>
    <w:pPr>
      <w:pBdr>
        <w:top w:val="single" w:sz="4" w:space="0" w:color="000000"/>
        <w:left w:val="single" w:sz="4" w:space="0" w:color="000000"/>
        <w:bottom w:val="single" w:sz="4" w:space="0" w:color="000000"/>
        <w:right w:val="double" w:sz="6" w:space="0" w:color="000000"/>
      </w:pBdr>
      <w:suppressAutoHyphens w:val="0"/>
      <w:spacing w:before="100" w:beforeAutospacing="1" w:after="100" w:afterAutospacing="1" w:line="240" w:lineRule="auto"/>
      <w:jc w:val="right"/>
    </w:pPr>
    <w:rPr>
      <w:rFonts w:eastAsia="Arial Unicode MS"/>
      <w:b/>
      <w:bCs/>
      <w:sz w:val="24"/>
      <w:szCs w:val="24"/>
      <w:lang w:eastAsia="en-US"/>
    </w:rPr>
  </w:style>
  <w:style w:type="paragraph" w:customStyle="1" w:styleId="MMTopic1">
    <w:name w:val="MM Topic 1"/>
    <w:basedOn w:val="Normal"/>
    <w:rsid w:val="00E42813"/>
    <w:pPr>
      <w:suppressAutoHyphens w:val="0"/>
      <w:spacing w:line="240" w:lineRule="auto"/>
    </w:pPr>
    <w:rPr>
      <w:rFonts w:eastAsia="Times New Roman"/>
      <w:sz w:val="24"/>
      <w:szCs w:val="24"/>
      <w:lang w:eastAsia="en-US"/>
    </w:rPr>
  </w:style>
  <w:style w:type="paragraph" w:customStyle="1" w:styleId="MMTopic2">
    <w:name w:val="MM Topic 2"/>
    <w:basedOn w:val="Normal"/>
    <w:rsid w:val="00E42813"/>
    <w:pPr>
      <w:suppressAutoHyphens w:val="0"/>
      <w:spacing w:line="240" w:lineRule="auto"/>
    </w:pPr>
    <w:rPr>
      <w:rFonts w:eastAsia="Times New Roman"/>
      <w:sz w:val="24"/>
      <w:szCs w:val="24"/>
      <w:lang w:eastAsia="en-US"/>
    </w:rPr>
  </w:style>
  <w:style w:type="paragraph" w:customStyle="1" w:styleId="MMTopic3">
    <w:name w:val="MM Topic 3"/>
    <w:basedOn w:val="Normal"/>
    <w:rsid w:val="00E42813"/>
    <w:pPr>
      <w:suppressAutoHyphens w:val="0"/>
      <w:spacing w:line="240" w:lineRule="auto"/>
    </w:pPr>
    <w:rPr>
      <w:rFonts w:eastAsia="Times New Roman"/>
      <w:sz w:val="24"/>
      <w:szCs w:val="24"/>
      <w:lang w:eastAsia="en-US"/>
    </w:rPr>
  </w:style>
  <w:style w:type="paragraph" w:customStyle="1" w:styleId="MMTopic4">
    <w:name w:val="MM Topic 4"/>
    <w:basedOn w:val="Normal"/>
    <w:rsid w:val="00E42813"/>
    <w:pPr>
      <w:suppressAutoHyphens w:val="0"/>
      <w:spacing w:line="240" w:lineRule="auto"/>
      <w:ind w:left="1440" w:hanging="533"/>
    </w:pPr>
    <w:rPr>
      <w:rFonts w:eastAsia="Times New Roman"/>
      <w:sz w:val="24"/>
      <w:szCs w:val="24"/>
      <w:lang w:eastAsia="en-US"/>
    </w:rPr>
  </w:style>
  <w:style w:type="paragraph" w:customStyle="1" w:styleId="MMTopic5">
    <w:name w:val="MM Topic 5"/>
    <w:basedOn w:val="Normal"/>
    <w:rsid w:val="00E42813"/>
    <w:pPr>
      <w:suppressAutoHyphens w:val="0"/>
      <w:spacing w:line="240" w:lineRule="auto"/>
    </w:pPr>
    <w:rPr>
      <w:rFonts w:eastAsia="Times New Roman"/>
      <w:sz w:val="24"/>
      <w:szCs w:val="24"/>
      <w:lang w:eastAsia="en-US"/>
    </w:rPr>
  </w:style>
  <w:style w:type="character" w:customStyle="1" w:styleId="UnresolvedMention10">
    <w:name w:val="Unresolved Mention10"/>
    <w:basedOn w:val="DefaultParagraphFont"/>
    <w:uiPriority w:val="99"/>
    <w:semiHidden/>
    <w:unhideWhenUsed/>
    <w:rsid w:val="00E42813"/>
    <w:rPr>
      <w:color w:val="808080"/>
      <w:shd w:val="clear" w:color="auto" w:fill="E6E6E6"/>
    </w:rPr>
  </w:style>
  <w:style w:type="character" w:customStyle="1" w:styleId="UnresolvedMention2">
    <w:name w:val="Unresolved Mention2"/>
    <w:basedOn w:val="DefaultParagraphFont"/>
    <w:uiPriority w:val="99"/>
    <w:semiHidden/>
    <w:unhideWhenUsed/>
    <w:rsid w:val="00E42813"/>
    <w:rPr>
      <w:color w:val="808080"/>
      <w:shd w:val="clear" w:color="auto" w:fill="E6E6E6"/>
    </w:rPr>
  </w:style>
  <w:style w:type="character" w:customStyle="1" w:styleId="UnresolvedMention3">
    <w:name w:val="Unresolved Mention3"/>
    <w:basedOn w:val="DefaultParagraphFont"/>
    <w:uiPriority w:val="99"/>
    <w:semiHidden/>
    <w:unhideWhenUsed/>
    <w:rsid w:val="00E42813"/>
    <w:rPr>
      <w:color w:val="808080"/>
      <w:shd w:val="clear" w:color="auto" w:fill="E6E6E6"/>
    </w:rPr>
  </w:style>
  <w:style w:type="character" w:styleId="Emphasis">
    <w:name w:val="Emphasis"/>
    <w:basedOn w:val="DefaultParagraphFont"/>
    <w:qFormat/>
    <w:rsid w:val="00E42813"/>
    <w:rPr>
      <w:i/>
      <w:iCs/>
    </w:rPr>
  </w:style>
  <w:style w:type="character" w:customStyle="1" w:styleId="UnresolvedMention4">
    <w:name w:val="Unresolved Mention4"/>
    <w:basedOn w:val="DefaultParagraphFont"/>
    <w:uiPriority w:val="99"/>
    <w:semiHidden/>
    <w:unhideWhenUsed/>
    <w:rsid w:val="00E42813"/>
    <w:rPr>
      <w:color w:val="808080"/>
      <w:shd w:val="clear" w:color="auto" w:fill="E6E6E6"/>
    </w:rPr>
  </w:style>
  <w:style w:type="numbering" w:customStyle="1" w:styleId="NoList2">
    <w:name w:val="No List2"/>
    <w:next w:val="NoList"/>
    <w:uiPriority w:val="99"/>
    <w:semiHidden/>
    <w:unhideWhenUsed/>
    <w:rsid w:val="00E42813"/>
  </w:style>
  <w:style w:type="table" w:customStyle="1" w:styleId="TableGrid31">
    <w:name w:val="Table Grid31"/>
    <w:basedOn w:val="TableNormal"/>
    <w:next w:val="TableGrid"/>
    <w:rsid w:val="00E42813"/>
    <w:rPr>
      <w:rFonts w:eastAsia="MS Mincho"/>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E42813"/>
    <w:rPr>
      <w:rFonts w:asci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E42813"/>
  </w:style>
  <w:style w:type="table" w:customStyle="1" w:styleId="TableGrid32">
    <w:name w:val="Table Grid32"/>
    <w:basedOn w:val="TableNormal"/>
    <w:next w:val="TableGrid"/>
    <w:rsid w:val="00E42813"/>
    <w:rPr>
      <w:rFonts w:eastAsia="MS Mincho"/>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E42813"/>
    <w:rPr>
      <w:rFonts w:asci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D2A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58816">
      <w:bodyDiv w:val="1"/>
      <w:marLeft w:val="0"/>
      <w:marRight w:val="0"/>
      <w:marTop w:val="0"/>
      <w:marBottom w:val="0"/>
      <w:divBdr>
        <w:top w:val="none" w:sz="0" w:space="0" w:color="auto"/>
        <w:left w:val="none" w:sz="0" w:space="0" w:color="auto"/>
        <w:bottom w:val="none" w:sz="0" w:space="0" w:color="auto"/>
        <w:right w:val="none" w:sz="0" w:space="0" w:color="auto"/>
      </w:divBdr>
    </w:div>
    <w:div w:id="568662407">
      <w:bodyDiv w:val="1"/>
      <w:marLeft w:val="0"/>
      <w:marRight w:val="0"/>
      <w:marTop w:val="0"/>
      <w:marBottom w:val="0"/>
      <w:divBdr>
        <w:top w:val="none" w:sz="0" w:space="0" w:color="auto"/>
        <w:left w:val="none" w:sz="0" w:space="0" w:color="auto"/>
        <w:bottom w:val="none" w:sz="0" w:space="0" w:color="auto"/>
        <w:right w:val="none" w:sz="0" w:space="0" w:color="auto"/>
      </w:divBdr>
    </w:div>
    <w:div w:id="1077635665">
      <w:bodyDiv w:val="1"/>
      <w:marLeft w:val="0"/>
      <w:marRight w:val="0"/>
      <w:marTop w:val="0"/>
      <w:marBottom w:val="0"/>
      <w:divBdr>
        <w:top w:val="none" w:sz="0" w:space="0" w:color="auto"/>
        <w:left w:val="none" w:sz="0" w:space="0" w:color="auto"/>
        <w:bottom w:val="none" w:sz="0" w:space="0" w:color="auto"/>
        <w:right w:val="none" w:sz="0" w:space="0" w:color="auto"/>
      </w:divBdr>
    </w:div>
    <w:div w:id="1313752898">
      <w:bodyDiv w:val="1"/>
      <w:marLeft w:val="0"/>
      <w:marRight w:val="0"/>
      <w:marTop w:val="0"/>
      <w:marBottom w:val="0"/>
      <w:divBdr>
        <w:top w:val="none" w:sz="0" w:space="0" w:color="auto"/>
        <w:left w:val="none" w:sz="0" w:space="0" w:color="auto"/>
        <w:bottom w:val="none" w:sz="0" w:space="0" w:color="auto"/>
        <w:right w:val="none" w:sz="0" w:space="0" w:color="auto"/>
      </w:divBdr>
    </w:div>
    <w:div w:id="1371144588">
      <w:bodyDiv w:val="1"/>
      <w:marLeft w:val="0"/>
      <w:marRight w:val="0"/>
      <w:marTop w:val="0"/>
      <w:marBottom w:val="0"/>
      <w:divBdr>
        <w:top w:val="none" w:sz="0" w:space="0" w:color="auto"/>
        <w:left w:val="none" w:sz="0" w:space="0" w:color="auto"/>
        <w:bottom w:val="none" w:sz="0" w:space="0" w:color="auto"/>
        <w:right w:val="none" w:sz="0" w:space="0" w:color="auto"/>
      </w:divBdr>
    </w:div>
    <w:div w:id="1659730952">
      <w:bodyDiv w:val="1"/>
      <w:marLeft w:val="0"/>
      <w:marRight w:val="0"/>
      <w:marTop w:val="0"/>
      <w:marBottom w:val="0"/>
      <w:divBdr>
        <w:top w:val="none" w:sz="0" w:space="0" w:color="auto"/>
        <w:left w:val="none" w:sz="0" w:space="0" w:color="auto"/>
        <w:bottom w:val="none" w:sz="0" w:space="0" w:color="auto"/>
        <w:right w:val="none" w:sz="0" w:space="0" w:color="auto"/>
      </w:divBdr>
    </w:div>
    <w:div w:id="1884713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eader" Target="header3.xml"/><Relationship Id="rId26" Type="http://schemas.openxmlformats.org/officeDocument/2006/relationships/footer" Target="footer6.xml"/><Relationship Id="rId39" Type="http://schemas.openxmlformats.org/officeDocument/2006/relationships/footer" Target="footer12.xml"/><Relationship Id="rId21" Type="http://schemas.openxmlformats.org/officeDocument/2006/relationships/footer" Target="footer3.xml"/><Relationship Id="rId34" Type="http://schemas.openxmlformats.org/officeDocument/2006/relationships/footer" Target="footer10.xml"/><Relationship Id="rId42" Type="http://schemas.openxmlformats.org/officeDocument/2006/relationships/header" Target="header16.xml"/><Relationship Id="rId47" Type="http://schemas.openxmlformats.org/officeDocument/2006/relationships/footer" Target="footer16.xml"/><Relationship Id="rId50" Type="http://schemas.openxmlformats.org/officeDocument/2006/relationships/header" Target="header20.xml"/><Relationship Id="rId55" Type="http://schemas.openxmlformats.org/officeDocument/2006/relationships/footer" Target="footer20.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footer" Target="footer7.xml"/><Relationship Id="rId11" Type="http://schemas.openxmlformats.org/officeDocument/2006/relationships/endnotes" Target="endnotes.xml"/><Relationship Id="rId24" Type="http://schemas.openxmlformats.org/officeDocument/2006/relationships/header" Target="header7.xml"/><Relationship Id="rId32" Type="http://schemas.openxmlformats.org/officeDocument/2006/relationships/header" Target="header11.xml"/><Relationship Id="rId37" Type="http://schemas.openxmlformats.org/officeDocument/2006/relationships/header" Target="header13.xml"/><Relationship Id="rId40" Type="http://schemas.openxmlformats.org/officeDocument/2006/relationships/footer" Target="footer13.xml"/><Relationship Id="rId45" Type="http://schemas.openxmlformats.org/officeDocument/2006/relationships/header" Target="header17.xml"/><Relationship Id="rId53" Type="http://schemas.openxmlformats.org/officeDocument/2006/relationships/header" Target="header21.xml"/><Relationship Id="rId58" Type="http://schemas.openxmlformats.org/officeDocument/2006/relationships/header" Target="header24.xml"/><Relationship Id="rId5" Type="http://schemas.openxmlformats.org/officeDocument/2006/relationships/customXml" Target="../customXml/item5.xml"/><Relationship Id="rId61"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header" Target="header8.xml"/><Relationship Id="rId30" Type="http://schemas.openxmlformats.org/officeDocument/2006/relationships/footer" Target="footer8.xml"/><Relationship Id="rId35" Type="http://schemas.openxmlformats.org/officeDocument/2006/relationships/header" Target="header12.xml"/><Relationship Id="rId43" Type="http://schemas.openxmlformats.org/officeDocument/2006/relationships/footer" Target="footer14.xml"/><Relationship Id="rId48" Type="http://schemas.openxmlformats.org/officeDocument/2006/relationships/footer" Target="footer17.xml"/><Relationship Id="rId56" Type="http://schemas.openxmlformats.org/officeDocument/2006/relationships/footer" Target="footer21.xml"/><Relationship Id="rId8" Type="http://schemas.openxmlformats.org/officeDocument/2006/relationships/settings" Target="settings.xml"/><Relationship Id="rId51" Type="http://schemas.openxmlformats.org/officeDocument/2006/relationships/footer" Target="footer18.xml"/><Relationship Id="rId3" Type="http://schemas.openxmlformats.org/officeDocument/2006/relationships/customXml" Target="../customXml/item3.xml"/><Relationship Id="rId12" Type="http://schemas.openxmlformats.org/officeDocument/2006/relationships/image" Target="media/image1.wmf"/><Relationship Id="rId17" Type="http://schemas.openxmlformats.org/officeDocument/2006/relationships/footer" Target="footer2.xml"/><Relationship Id="rId25" Type="http://schemas.openxmlformats.org/officeDocument/2006/relationships/footer" Target="footer5.xml"/><Relationship Id="rId33" Type="http://schemas.openxmlformats.org/officeDocument/2006/relationships/footer" Target="footer9.xml"/><Relationship Id="rId38" Type="http://schemas.openxmlformats.org/officeDocument/2006/relationships/header" Target="header14.xml"/><Relationship Id="rId46" Type="http://schemas.openxmlformats.org/officeDocument/2006/relationships/header" Target="header18.xml"/><Relationship Id="rId59" Type="http://schemas.openxmlformats.org/officeDocument/2006/relationships/footer" Target="footer22.xml"/><Relationship Id="rId20" Type="http://schemas.openxmlformats.org/officeDocument/2006/relationships/header" Target="header5.xml"/><Relationship Id="rId41" Type="http://schemas.openxmlformats.org/officeDocument/2006/relationships/header" Target="header15.xml"/><Relationship Id="rId54" Type="http://schemas.openxmlformats.org/officeDocument/2006/relationships/header" Target="header22.xm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header" Target="header9.xml"/><Relationship Id="rId36" Type="http://schemas.openxmlformats.org/officeDocument/2006/relationships/footer" Target="footer11.xml"/><Relationship Id="rId49" Type="http://schemas.openxmlformats.org/officeDocument/2006/relationships/header" Target="header19.xml"/><Relationship Id="rId57" Type="http://schemas.openxmlformats.org/officeDocument/2006/relationships/header" Target="header23.xml"/><Relationship Id="rId10" Type="http://schemas.openxmlformats.org/officeDocument/2006/relationships/footnotes" Target="footnotes.xml"/><Relationship Id="rId31" Type="http://schemas.openxmlformats.org/officeDocument/2006/relationships/header" Target="header10.xml"/><Relationship Id="rId44" Type="http://schemas.openxmlformats.org/officeDocument/2006/relationships/footer" Target="footer15.xml"/><Relationship Id="rId52" Type="http://schemas.openxmlformats.org/officeDocument/2006/relationships/footer" Target="footer19.xml"/><Relationship Id="rId60" Type="http://schemas.openxmlformats.org/officeDocument/2006/relationships/footer" Target="footer23.xml"/><Relationship Id="rId9"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unfccc.int/documents/20272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13d80b15-5f07-43ab-b435-85767a7dac08">
      <UserInfo>
        <DisplayName>SharingLinks.1f1dda70-65b6-4b92-9a23-21694c2c919a.Flexible.d33b32a9-fe74-43dc-9657-61de4bd32908</DisplayName>
        <AccountId>45</AccountId>
        <AccountType/>
      </UserInfo>
      <UserInfo>
        <DisplayName>Nicolas Herrero Folley</DisplayName>
        <AccountId>71</AccountId>
        <AccountType/>
      </UserInfo>
      <UserInfo>
        <DisplayName>SharingLinks.e6369e0f-a36d-45fb-957d-15ca9b1bdd5b.Flexible.d10b23dc-71c6-4c5f-b9f0-ea00c6e3e011</DisplayName>
        <AccountId>55</AccountId>
        <AccountType/>
      </UserInfo>
      <UserInfo>
        <DisplayName>SharingLinks.e6369e0f-a36d-45fb-957d-15ca9b1bdd5b.Flexible.86176761-e3bd-42fe-9da7-55c736b78f0c</DisplayName>
        <AccountId>56</AccountId>
        <AccountType/>
      </UserInfo>
      <UserInfo>
        <DisplayName>SharingLinks.648b914a-cbc0-48ea-8bd3-d798fd39d5e3.Flexible.b942039c-32b2-4624-b8ed-4ea97d9fe035</DisplayName>
        <AccountId>57</AccountId>
        <AccountType/>
      </UserInfo>
      <UserInfo>
        <DisplayName>SharingLinks.648b914a-cbc0-48ea-8bd3-d798fd39d5e3.Flexible.14534201-2d50-4690-afdf-2bd54c9e15d4</DisplayName>
        <AccountId>58</AccountId>
        <AccountType/>
      </UserInfo>
      <UserInfo>
        <DisplayName>John Njonjo</DisplayName>
        <AccountId>92</AccountId>
        <AccountType/>
      </UserInfo>
      <UserInfo>
        <DisplayName>Emily Orlowski</DisplayName>
        <AccountId>216</AccountId>
        <AccountType/>
      </UserInfo>
      <UserInfo>
        <DisplayName>Lucy Chapman</DisplayName>
        <AccountId>24</AccountId>
        <AccountType/>
      </UserInfo>
      <UserInfo>
        <DisplayName>Toni Williams</DisplayName>
        <AccountId>16</AccountId>
        <AccountType/>
      </UserInfo>
    </SharedWithUsers>
    <TaxCatchAll xmlns="eb4559c4-8463-4985-927f-f0d558bff8f0" xsi:nil="true"/>
    <Document_x0020_Symbol xmlns="13d80b15-5f07-43ab-b435-85767a7dac08" xsi:nil="true"/>
    <lcf76f155ced4ddcb4097134ff3c332f xmlns="b819522c-9de1-4f2d-ac58-6f2cdd8b04ea">
      <Terms xmlns="http://schemas.microsoft.com/office/infopath/2007/PartnerControls"/>
    </lcf76f155ced4ddcb4097134ff3c332f>
    <Source xmlns="b819522c-9de1-4f2d-ac58-6f2cdd8b04e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BEBFA4AD3D067488A4F8AE22F38BF68" ma:contentTypeVersion="16" ma:contentTypeDescription="Create a new document." ma:contentTypeScope="" ma:versionID="6ccdaae338f7d0175667a88b9acb656f">
  <xsd:schema xmlns:xsd="http://www.w3.org/2001/XMLSchema" xmlns:xs="http://www.w3.org/2001/XMLSchema" xmlns:p="http://schemas.microsoft.com/office/2006/metadata/properties" xmlns:ns2="b819522c-9de1-4f2d-ac58-6f2cdd8b04ea" xmlns:ns3="13d80b15-5f07-43ab-b435-85767a7dac08" xmlns:ns4="eb4559c4-8463-4985-927f-f0d558bff8f0" targetNamespace="http://schemas.microsoft.com/office/2006/metadata/properties" ma:root="true" ma:fieldsID="c93b49160615c3230c4a47c15b4b9296" ns2:_="" ns3:_="" ns4:_="">
    <xsd:import namespace="b819522c-9de1-4f2d-ac58-6f2cdd8b04ea"/>
    <xsd:import namespace="13d80b15-5f07-43ab-b435-85767a7dac08"/>
    <xsd:import namespace="eb4559c4-8463-4985-927f-f0d558bff8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Document_x0020_Symbol"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Sourc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9522c-9de1-4f2d-ac58-6f2cdd8b0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d8c265a-5436-43a7-80c1-713d2827ffd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Source" ma:index="23" nillable="true" ma:displayName="Source" ma:format="Dropdown" ma:internalName="Source">
      <xsd:simpleType>
        <xsd:restriction base="dms:Note">
          <xsd:maxLength value="255"/>
        </xsd:restrictio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d80b15-5f07-43ab-b435-85767a7dac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Document_x0020_Symbol" ma:index="12" nillable="true" ma:displayName="Document Symbol" ma:internalName="Document_x0020_Symbo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4559c4-8463-4985-927f-f0d558bff8f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1990851-a39d-4e76-9339-d9f3f2815fa8}" ma:internalName="TaxCatchAll" ma:showField="CatchAllData" ma:web="13d80b15-5f07-43ab-b435-85767a7dac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3B27815B4C26448A2AC74C6D94E050B" ma:contentTypeVersion="7" ma:contentTypeDescription="Create a new document." ma:contentTypeScope="" ma:versionID="e49d6dba2b126f6d718d367ceb28b85f">
  <xsd:schema xmlns:xsd="http://www.w3.org/2001/XMLSchema" xmlns:xs="http://www.w3.org/2001/XMLSchema" xmlns:p="http://schemas.microsoft.com/office/2006/metadata/properties" xmlns:ns2="4dd5ddbf-e371-4d30-9213-f0ad543fb2ce" xmlns:ns3="21fd8bfc-cd85-4899-a616-986da4216f81" targetNamespace="http://schemas.microsoft.com/office/2006/metadata/properties" ma:root="true" ma:fieldsID="d048792719bdbda4f748c1a448174e21" ns2:_="" ns3:_="">
    <xsd:import namespace="4dd5ddbf-e371-4d30-9213-f0ad543fb2ce"/>
    <xsd:import namespace="21fd8bfc-cd85-4899-a616-986da4216f8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d5ddbf-e371-4d30-9213-f0ad543fb2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fd8bfc-cd85-4899-a616-986da4216f8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B3352-9249-4984-BC1D-20AD31FD1C19}">
  <ds:schemaRef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21fd8bfc-cd85-4899-a616-986da4216f81"/>
    <ds:schemaRef ds:uri="http://schemas.microsoft.com/office/2006/documentManagement/types"/>
    <ds:schemaRef ds:uri="4dd5ddbf-e371-4d30-9213-f0ad543fb2ce"/>
    <ds:schemaRef ds:uri="http://www.w3.org/XML/1998/namespace"/>
    <ds:schemaRef ds:uri="http://purl.org/dc/dcmitype/"/>
  </ds:schemaRefs>
</ds:datastoreItem>
</file>

<file path=customXml/itemProps2.xml><?xml version="1.0" encoding="utf-8"?>
<ds:datastoreItem xmlns:ds="http://schemas.openxmlformats.org/officeDocument/2006/customXml" ds:itemID="{E38A50DE-BDAD-4018-A803-A2EEE37467BE}"/>
</file>

<file path=customXml/itemProps3.xml><?xml version="1.0" encoding="utf-8"?>
<ds:datastoreItem xmlns:ds="http://schemas.openxmlformats.org/officeDocument/2006/customXml" ds:itemID="{BB099E30-CE25-410E-83E7-1DDD5ABE55A3}">
  <ds:schemaRefs>
    <ds:schemaRef ds:uri="http://schemas.microsoft.com/sharepoint/v3/contenttype/forms"/>
  </ds:schemaRefs>
</ds:datastoreItem>
</file>

<file path=customXml/itemProps4.xml><?xml version="1.0" encoding="utf-8"?>
<ds:datastoreItem xmlns:ds="http://schemas.openxmlformats.org/officeDocument/2006/customXml" ds:itemID="{CB2F2118-A399-4131-A6D6-DFAE3F24290F}"/>
</file>

<file path=customXml/itemProps5.xml><?xml version="1.0" encoding="utf-8"?>
<ds:datastoreItem xmlns:ds="http://schemas.openxmlformats.org/officeDocument/2006/customXml" ds:itemID="{260E4B28-BDD9-472D-8F5E-B7D64FB24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FCCC.dotm</Template>
  <TotalTime>7</TotalTime>
  <Pages>29</Pages>
  <Words>8888</Words>
  <Characters>50666</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Report of the Conference of the Parties serving as the meeting of the Parties to the Kyoto Protocol on its fifteenth session, held in Santiago from 2 to 13 December 2019</vt:lpstr>
    </vt:vector>
  </TitlesOfParts>
  <Company>UNFCCC</Company>
  <LinksUpToDate>false</LinksUpToDate>
  <CharactersWithSpaces>59436</CharactersWithSpaces>
  <SharedDoc>false</SharedDoc>
  <HLinks>
    <vt:vector size="6" baseType="variant">
      <vt:variant>
        <vt:i4>2556028</vt:i4>
      </vt:variant>
      <vt:variant>
        <vt:i4>0</vt:i4>
      </vt:variant>
      <vt:variant>
        <vt:i4>0</vt:i4>
      </vt:variant>
      <vt:variant>
        <vt:i4>5</vt:i4>
      </vt:variant>
      <vt:variant>
        <vt:lpwstr>https://unfccc.int/documents/202723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the Conference of the Parties serving as the meeting of the Parties to the Kyoto Protocol on its fifteenth session, held in Santiago from 2 to 13 December 2019</dc:title>
  <dc:subject/>
  <dc:creator>Corinne Loeschner</dc:creator>
  <cp:keywords/>
  <dc:description/>
  <cp:lastModifiedBy>Aisulu Aldasheva</cp:lastModifiedBy>
  <cp:revision>4</cp:revision>
  <cp:lastPrinted>2020-03-05T15:38:00Z</cp:lastPrinted>
  <dcterms:created xsi:type="dcterms:W3CDTF">2020-03-18T09:39:00Z</dcterms:created>
  <dcterms:modified xsi:type="dcterms:W3CDTF">2020-11-27T15:25:00Z</dcterms:modified>
  <cp:category>UNFCCC Template 2017</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0x01010093B27815B4C26448A2AC74C6D94E050B</vt:lpwstr>
  </property>
  <property fmtid="{D5CDD505-2E9C-101B-9397-08002B2CF9AE}" pid="3" name="Bodies">
    <vt:lpwstr>2;#SBI|3d0976b2-c8bc-40ac-9a53-09b0260e1ce9</vt:lpwstr>
  </property>
  <property fmtid="{D5CDD505-2E9C-101B-9397-08002B2CF9AE}" pid="4" name="_dlc_DocIdItemGuid">
    <vt:lpwstr>449f0f06-cfed-424c-8b54-7de24dd3af30</vt:lpwstr>
  </property>
  <property fmtid="{D5CDD505-2E9C-101B-9397-08002B2CF9AE}" pid="5" name="LinkedUNFCCCDocumentTracker">
    <vt:lpwstr>367</vt:lpwstr>
  </property>
  <property fmtid="{D5CDD505-2E9C-101B-9397-08002B2CF9AE}" pid="6" name="fccc_body">
    <vt:lpwstr>85;#CMP|38118d30-6ed6-42bf-9f20-9c3046d01012</vt:lpwstr>
  </property>
  <property fmtid="{D5CDD505-2E9C-101B-9397-08002B2CF9AE}" pid="7" name="fccc_substantive_topic">
    <vt:lpwstr>46;#Sessional proceedings|ff7bdb8c-f4ee-4fbb-ab88-7747669b7746</vt:lpwstr>
  </property>
  <property fmtid="{D5CDD505-2E9C-101B-9397-08002B2CF9AE}" pid="8" name="fccc_Keywords">
    <vt:lpwstr>105;#conferences|b310ccc6-61a0-4f83-a3b7-1510e8eef4cb;#106;#High-level segments|840639f3-e45b-4ff9-9f79-1a3d34bf70b0;#80;#Kyoto Protocol|e7d28fb7-528b-476d-8ef5-47004fb4c3a6;#159;#Kyoto mechanisms|a26c0d37-4d58-4a2d-98b6-5bed3224a3fa</vt:lpwstr>
  </property>
  <property fmtid="{D5CDD505-2E9C-101B-9397-08002B2CF9AE}" pid="9" name="fccc_session">
    <vt:lpwstr>146;#CMP 15|f7714bd0-3d33-4e83-8846-19d1464a9773</vt:lpwstr>
  </property>
  <property fmtid="{D5CDD505-2E9C-101B-9397-08002B2CF9AE}" pid="10" name="SharedWithUsers">
    <vt:lpwstr>45;#Susan Scott;#71;#Juleka Rajah;#55;#Ann Joe;#56;#Esmeralda Fratta di Rickli;#57;#Ting Li;#58;#Karen N Smith;#92;#Marcela Main Sancha</vt:lpwstr>
  </property>
  <property fmtid="{D5CDD505-2E9C-101B-9397-08002B2CF9AE}" pid="11" name="docSymbol1">
    <vt:lpwstr>FCCC/KP/CMP/2019/8/Add.1</vt:lpwstr>
  </property>
  <property fmtid="{D5CDD505-2E9C-101B-9397-08002B2CF9AE}" pid="12" name="docSymbol2">
    <vt:lpwstr/>
  </property>
  <property fmtid="{D5CDD505-2E9C-101B-9397-08002B2CF9AE}" pid="13" name="templateVersion">
    <vt:lpwstr>v.July2017</vt:lpwstr>
  </property>
  <property fmtid="{D5CDD505-2E9C-101B-9397-08002B2CF9AE}" pid="14" name="xd_Signature">
    <vt:bool>false</vt:bool>
  </property>
  <property fmtid="{D5CDD505-2E9C-101B-9397-08002B2CF9AE}" pid="15" name="xd_ProgID">
    <vt:lpwstr/>
  </property>
  <property fmtid="{D5CDD505-2E9C-101B-9397-08002B2CF9AE}" pid="16" name="ComplianceAssetId">
    <vt:lpwstr/>
  </property>
  <property fmtid="{D5CDD505-2E9C-101B-9397-08002B2CF9AE}" pid="17" name="TemplateUrl">
    <vt:lpwstr/>
  </property>
  <property fmtid="{D5CDD505-2E9C-101B-9397-08002B2CF9AE}" pid="18" name="MediaServiceImageTags">
    <vt:lpwstr/>
  </property>
</Properties>
</file>