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1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19.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header24.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42" w:rightFromText="142" w:vertAnchor="page" w:horzAnchor="page" w:tblpX="1135" w:tblpY="285"/>
        <w:tblOverlap w:val="never"/>
        <w:tblW w:w="9639" w:type="dxa"/>
        <w:tblBorders>
          <w:bottom w:val="single" w:sz="12" w:space="0" w:color="auto"/>
          <w:insideH w:val="single" w:sz="4" w:space="0" w:color="auto"/>
        </w:tblBorders>
        <w:tblLayout w:type="fixed"/>
        <w:tblCellMar>
          <w:left w:w="0" w:type="dxa"/>
          <w:right w:w="0" w:type="dxa"/>
        </w:tblCellMar>
        <w:tblLook w:val="01E0" w:firstRow="1" w:lastRow="1" w:firstColumn="1" w:lastColumn="1" w:noHBand="0" w:noVBand="0"/>
      </w:tblPr>
      <w:tblGrid>
        <w:gridCol w:w="1242"/>
        <w:gridCol w:w="2552"/>
        <w:gridCol w:w="717"/>
        <w:gridCol w:w="2293"/>
        <w:gridCol w:w="2835"/>
      </w:tblGrid>
      <w:tr w:rsidR="002D66A2" w14:paraId="5A71B4E5" w14:textId="77777777" w:rsidTr="00053BBD">
        <w:trPr>
          <w:cantSplit/>
          <w:trHeight w:hRule="exact" w:val="1134"/>
        </w:trPr>
        <w:tc>
          <w:tcPr>
            <w:tcW w:w="1242" w:type="dxa"/>
            <w:vAlign w:val="bottom"/>
          </w:tcPr>
          <w:p w14:paraId="37375111" w14:textId="77777777" w:rsidR="002D66A2" w:rsidRPr="003F5FEE" w:rsidRDefault="002D66A2" w:rsidP="00053BBD">
            <w:bookmarkStart w:id="0" w:name="_Hlk55297588"/>
            <w:bookmarkEnd w:id="0"/>
            <w:r>
              <w:rPr>
                <w:noProof/>
                <w:lang w:val="en-US" w:eastAsia="en-US"/>
              </w:rPr>
              <w:drawing>
                <wp:inline distT="0" distB="0" distL="0" distR="0" wp14:anchorId="7E189B75" wp14:editId="1110C43A">
                  <wp:extent cx="668020" cy="564515"/>
                  <wp:effectExtent l="0" t="0" r="0" b="0"/>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8020" cy="564515"/>
                          </a:xfrm>
                          <a:prstGeom prst="rect">
                            <a:avLst/>
                          </a:prstGeom>
                          <a:noFill/>
                          <a:ln>
                            <a:noFill/>
                          </a:ln>
                        </pic:spPr>
                      </pic:pic>
                    </a:graphicData>
                  </a:graphic>
                </wp:inline>
              </w:drawing>
            </w:r>
          </w:p>
        </w:tc>
        <w:tc>
          <w:tcPr>
            <w:tcW w:w="2552" w:type="dxa"/>
            <w:vAlign w:val="bottom"/>
          </w:tcPr>
          <w:p w14:paraId="602DBFE8" w14:textId="77777777" w:rsidR="002D66A2" w:rsidRPr="00A86746" w:rsidRDefault="002D66A2" w:rsidP="00053BBD">
            <w:pPr>
              <w:ind w:left="113"/>
              <w:rPr>
                <w:sz w:val="28"/>
                <w:szCs w:val="28"/>
              </w:rPr>
            </w:pPr>
            <w:r w:rsidRPr="00A86746">
              <w:rPr>
                <w:sz w:val="28"/>
                <w:szCs w:val="28"/>
              </w:rPr>
              <w:t>United Nations</w:t>
            </w:r>
          </w:p>
        </w:tc>
        <w:tc>
          <w:tcPr>
            <w:tcW w:w="5845" w:type="dxa"/>
            <w:gridSpan w:val="3"/>
            <w:vAlign w:val="bottom"/>
          </w:tcPr>
          <w:p w14:paraId="5628131A" w14:textId="64DE6326" w:rsidR="002D66A2" w:rsidRPr="000D5339" w:rsidRDefault="000D5339" w:rsidP="000D5339">
            <w:pPr>
              <w:jc w:val="right"/>
            </w:pPr>
            <w:r w:rsidRPr="000D5339">
              <w:rPr>
                <w:sz w:val="40"/>
              </w:rPr>
              <w:t>FCCC</w:t>
            </w:r>
            <w:r>
              <w:t>/KP/CMP/2021/</w:t>
            </w:r>
            <w:r w:rsidR="005F1AD6">
              <w:t>8</w:t>
            </w:r>
            <w:r>
              <w:t>/Add.1</w:t>
            </w:r>
          </w:p>
        </w:tc>
      </w:tr>
      <w:tr w:rsidR="002D66A2" w14:paraId="5A042767" w14:textId="77777777" w:rsidTr="00053BBD">
        <w:trPr>
          <w:cantSplit/>
          <w:trHeight w:hRule="exact" w:val="2552"/>
        </w:trPr>
        <w:tc>
          <w:tcPr>
            <w:tcW w:w="4511" w:type="dxa"/>
            <w:gridSpan w:val="3"/>
          </w:tcPr>
          <w:p w14:paraId="573596F9" w14:textId="77777777" w:rsidR="002D66A2" w:rsidRPr="003F5FEE" w:rsidRDefault="002D66A2" w:rsidP="00053BBD">
            <w:r>
              <w:rPr>
                <w:noProof/>
                <w:lang w:val="en-US" w:eastAsia="en-US"/>
              </w:rPr>
              <w:drawing>
                <wp:anchor distT="0" distB="0" distL="114300" distR="114300" simplePos="0" relativeHeight="251658240" behindDoc="1" locked="0" layoutInCell="1" allowOverlap="1" wp14:anchorId="4B44AE20" wp14:editId="5296BE63">
                  <wp:simplePos x="0" y="0"/>
                  <wp:positionH relativeFrom="column">
                    <wp:posOffset>3810</wp:posOffset>
                  </wp:positionH>
                  <wp:positionV relativeFrom="paragraph">
                    <wp:posOffset>-1905</wp:posOffset>
                  </wp:positionV>
                  <wp:extent cx="2401570" cy="5727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01570" cy="572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287C41" w14:textId="77777777" w:rsidR="002D66A2" w:rsidRPr="003F5FEE" w:rsidRDefault="002D66A2" w:rsidP="00053BBD"/>
        </w:tc>
        <w:tc>
          <w:tcPr>
            <w:tcW w:w="2293" w:type="dxa"/>
          </w:tcPr>
          <w:p w14:paraId="43337958" w14:textId="77777777" w:rsidR="002D66A2" w:rsidRPr="003F5FEE" w:rsidRDefault="002D66A2" w:rsidP="00053BBD"/>
        </w:tc>
        <w:tc>
          <w:tcPr>
            <w:tcW w:w="2835" w:type="dxa"/>
          </w:tcPr>
          <w:p w14:paraId="20ABED27" w14:textId="77777777" w:rsidR="009A368E" w:rsidRDefault="000D5339" w:rsidP="000D5339">
            <w:pPr>
              <w:spacing w:before="240" w:line="240" w:lineRule="exact"/>
              <w:ind w:left="143"/>
            </w:pPr>
            <w:r>
              <w:t>Distr.: General</w:t>
            </w:r>
          </w:p>
          <w:p w14:paraId="54E1C639" w14:textId="14635EA1" w:rsidR="001B3D02" w:rsidRDefault="007341ED" w:rsidP="001B3D02">
            <w:pPr>
              <w:spacing w:line="240" w:lineRule="exact"/>
              <w:ind w:left="143"/>
            </w:pPr>
            <w:r>
              <w:t>8</w:t>
            </w:r>
            <w:r w:rsidR="009B16AF">
              <w:t xml:space="preserve"> March</w:t>
            </w:r>
            <w:r w:rsidR="001B3D02">
              <w:t xml:space="preserve"> 2022</w:t>
            </w:r>
          </w:p>
          <w:p w14:paraId="2DB8B074" w14:textId="77777777" w:rsidR="001B3D02" w:rsidRDefault="001B3D02" w:rsidP="001B3D02">
            <w:pPr>
              <w:spacing w:line="240" w:lineRule="exact"/>
              <w:ind w:left="143"/>
            </w:pPr>
          </w:p>
          <w:p w14:paraId="28C2F37F" w14:textId="215629BC" w:rsidR="000D5339" w:rsidRPr="00E0470D" w:rsidRDefault="000D5339" w:rsidP="000D5339">
            <w:pPr>
              <w:spacing w:line="240" w:lineRule="exact"/>
              <w:ind w:left="143"/>
            </w:pPr>
            <w:r>
              <w:t>Original: English</w:t>
            </w:r>
          </w:p>
        </w:tc>
      </w:tr>
    </w:tbl>
    <w:p w14:paraId="6C687335" w14:textId="5F068A8A" w:rsidR="00D832A3" w:rsidRDefault="009E43EE" w:rsidP="008C1A24">
      <w:pPr>
        <w:spacing w:before="120"/>
        <w:rPr>
          <w:b/>
          <w:sz w:val="24"/>
          <w:szCs w:val="24"/>
        </w:rPr>
      </w:pPr>
      <w:r>
        <w:rPr>
          <w:b/>
          <w:sz w:val="24"/>
          <w:szCs w:val="24"/>
        </w:rPr>
        <w:t>Conference of the Parties</w:t>
      </w:r>
      <w:r w:rsidR="008B33C9" w:rsidRPr="008B33C9">
        <w:rPr>
          <w:b/>
          <w:sz w:val="24"/>
          <w:szCs w:val="24"/>
        </w:rPr>
        <w:t xml:space="preserve"> </w:t>
      </w:r>
      <w:bookmarkStart w:id="1" w:name="_Hlk75869726"/>
      <w:r w:rsidR="008B33C9">
        <w:rPr>
          <w:b/>
          <w:sz w:val="24"/>
          <w:szCs w:val="24"/>
        </w:rPr>
        <w:t xml:space="preserve">serving as the meeting </w:t>
      </w:r>
      <w:r w:rsidR="008B33C9">
        <w:rPr>
          <w:b/>
          <w:sz w:val="24"/>
          <w:szCs w:val="24"/>
        </w:rPr>
        <w:br/>
        <w:t xml:space="preserve">of the Parties to the </w:t>
      </w:r>
      <w:r w:rsidR="00F243CF">
        <w:rPr>
          <w:b/>
          <w:sz w:val="24"/>
          <w:szCs w:val="24"/>
        </w:rPr>
        <w:t>Kyoto Protocol</w:t>
      </w:r>
      <w:bookmarkEnd w:id="1"/>
    </w:p>
    <w:p w14:paraId="35B39869" w14:textId="137314C0" w:rsidR="008C1A24" w:rsidRDefault="008C1A24" w:rsidP="00D23317">
      <w:pPr>
        <w:pStyle w:val="RegHChG"/>
        <w:numPr>
          <w:ilvl w:val="0"/>
          <w:numId w:val="0"/>
        </w:numPr>
        <w:ind w:left="1135" w:hanging="454"/>
      </w:pPr>
      <w:r>
        <w:t>R</w:t>
      </w:r>
      <w:r w:rsidRPr="00DE51A7">
        <w:t xml:space="preserve">eport of the </w:t>
      </w:r>
      <w:r w:rsidR="009E43EE">
        <w:t xml:space="preserve">Conference of the Parties </w:t>
      </w:r>
      <w:r w:rsidR="008B33C9" w:rsidRPr="008B33C9">
        <w:t xml:space="preserve">serving as the meeting of the Parties to the </w:t>
      </w:r>
      <w:r w:rsidR="00F243CF">
        <w:t xml:space="preserve">Kyoto Protocol </w:t>
      </w:r>
      <w:r w:rsidR="009E43EE">
        <w:t xml:space="preserve">on its </w:t>
      </w:r>
      <w:r w:rsidR="008B33C9">
        <w:br/>
      </w:r>
      <w:r w:rsidR="00F243CF">
        <w:t xml:space="preserve">sixteenth </w:t>
      </w:r>
      <w:r w:rsidR="009E43EE">
        <w:t xml:space="preserve">session, held in Glasgow from 31 October </w:t>
      </w:r>
      <w:r w:rsidR="00B75D78">
        <w:br/>
      </w:r>
      <w:r w:rsidR="009E43EE">
        <w:t>to 1</w:t>
      </w:r>
      <w:r w:rsidR="00812728">
        <w:t>3</w:t>
      </w:r>
      <w:r w:rsidR="009E43EE">
        <w:t xml:space="preserve"> November </w:t>
      </w:r>
      <w:r w:rsidR="00CD0B75">
        <w:t>2021</w:t>
      </w:r>
    </w:p>
    <w:p w14:paraId="18DBC169" w14:textId="77777777" w:rsidR="00EC0B85" w:rsidRDefault="00EC0B85" w:rsidP="00D23317">
      <w:pPr>
        <w:pStyle w:val="RegH1G"/>
        <w:numPr>
          <w:ilvl w:val="0"/>
          <w:numId w:val="0"/>
        </w:numPr>
        <w:tabs>
          <w:tab w:val="left" w:pos="720"/>
        </w:tabs>
        <w:ind w:left="1135" w:hanging="454"/>
      </w:pPr>
      <w:bookmarkStart w:id="2" w:name="_Toc88485351"/>
      <w:r>
        <w:t>Addendum</w:t>
      </w:r>
      <w:bookmarkEnd w:id="2"/>
    </w:p>
    <w:p w14:paraId="41979D2E" w14:textId="7DEEC520" w:rsidR="00EC0B85" w:rsidRDefault="00EC0B85" w:rsidP="00D23317">
      <w:pPr>
        <w:pStyle w:val="RegH1G"/>
        <w:numPr>
          <w:ilvl w:val="0"/>
          <w:numId w:val="0"/>
        </w:numPr>
        <w:tabs>
          <w:tab w:val="left" w:pos="720"/>
        </w:tabs>
        <w:ind w:left="1135" w:hanging="454"/>
      </w:pPr>
      <w:r>
        <w:t>Part two: Action taken by the Conference of the Parties serving as the meeting of the Parties to the Kyoto Protocol at its sixteenth session</w:t>
      </w:r>
    </w:p>
    <w:p w14:paraId="7075C4DA" w14:textId="77777777" w:rsidR="00EC0B85" w:rsidRDefault="00EC0B85" w:rsidP="00EC0B85">
      <w:pPr>
        <w:spacing w:after="120"/>
        <w:rPr>
          <w:sz w:val="28"/>
        </w:rPr>
      </w:pPr>
      <w:r>
        <w:rPr>
          <w:sz w:val="28"/>
        </w:rPr>
        <w:t>Contents</w:t>
      </w:r>
    </w:p>
    <w:p w14:paraId="710DC28C" w14:textId="517A10E1" w:rsidR="00EC0B85" w:rsidRDefault="00EC0B85" w:rsidP="00D23317">
      <w:pPr>
        <w:pStyle w:val="RegHChG"/>
        <w:numPr>
          <w:ilvl w:val="0"/>
          <w:numId w:val="0"/>
        </w:numPr>
        <w:tabs>
          <w:tab w:val="left" w:pos="720"/>
        </w:tabs>
        <w:ind w:left="1135" w:hanging="454"/>
      </w:pPr>
      <w:r>
        <w:t>Decision</w:t>
      </w:r>
      <w:r w:rsidR="00112A0E">
        <w:t>s</w:t>
      </w:r>
      <w:r>
        <w:t xml:space="preserve"> adopted by the Conference of the Parties serving as the meeting of the Parties to the Kyoto Protocol</w:t>
      </w:r>
    </w:p>
    <w:p w14:paraId="37ED6FAB" w14:textId="77777777" w:rsidR="00EC0B85" w:rsidRDefault="00EC0B85" w:rsidP="00EC0B85">
      <w:pPr>
        <w:tabs>
          <w:tab w:val="right" w:pos="9638"/>
        </w:tabs>
        <w:spacing w:after="120"/>
        <w:ind w:left="1134"/>
      </w:pPr>
      <w:r>
        <w:rPr>
          <w:i/>
          <w:sz w:val="18"/>
        </w:rPr>
        <w:t>Decision</w:t>
      </w:r>
      <w:r>
        <w:rPr>
          <w:i/>
          <w:sz w:val="18"/>
        </w:rPr>
        <w:tab/>
        <w:t>Page</w:t>
      </w:r>
    </w:p>
    <w:bookmarkStart w:id="3" w:name="Decision1"/>
    <w:p w14:paraId="2AE1C1DF" w14:textId="6B5DF42F" w:rsidR="00EC0B85" w:rsidRDefault="00454008" w:rsidP="00AC4051">
      <w:pPr>
        <w:pStyle w:val="TOC1"/>
        <w:tabs>
          <w:tab w:val="clear" w:pos="1985"/>
          <w:tab w:val="left" w:pos="2268"/>
        </w:tabs>
      </w:pPr>
      <w:r>
        <w:fldChar w:fldCharType="begin"/>
      </w:r>
      <w:r>
        <w:instrText xml:space="preserve"> HYPERLINK  \l "Decision1" </w:instrText>
      </w:r>
      <w:r>
        <w:fldChar w:fldCharType="separate"/>
      </w:r>
      <w:r w:rsidR="00EC0B85" w:rsidRPr="00454008">
        <w:rPr>
          <w:rStyle w:val="Hyperlink"/>
        </w:rPr>
        <w:t>1/CMP.16</w:t>
      </w:r>
      <w:bookmarkEnd w:id="3"/>
      <w:r>
        <w:fldChar w:fldCharType="end"/>
      </w:r>
      <w:r w:rsidR="007D068E">
        <w:tab/>
      </w:r>
      <w:r w:rsidR="00AC4051">
        <w:t>Glasgow Climate Pact</w:t>
      </w:r>
      <w:r w:rsidR="007D068E">
        <w:tab/>
      </w:r>
      <w:r w:rsidR="004C3ECE">
        <w:tab/>
        <w:t>2</w:t>
      </w:r>
    </w:p>
    <w:p w14:paraId="31D75E2E" w14:textId="2015521D" w:rsidR="00EC0B85" w:rsidRDefault="00424FED" w:rsidP="00AC4051">
      <w:pPr>
        <w:pStyle w:val="TOC1"/>
        <w:tabs>
          <w:tab w:val="clear" w:pos="1985"/>
          <w:tab w:val="left" w:pos="2268"/>
        </w:tabs>
      </w:pPr>
      <w:hyperlink w:anchor="Decision2" w:history="1">
        <w:r w:rsidR="00EC0B85" w:rsidRPr="00B16F27">
          <w:rPr>
            <w:rStyle w:val="Hyperlink"/>
          </w:rPr>
          <w:t>2/CMP.16</w:t>
        </w:r>
      </w:hyperlink>
      <w:r w:rsidR="00AC4051">
        <w:tab/>
        <w:t>Guidance relating to the clean development mechanism</w:t>
      </w:r>
      <w:r w:rsidR="00AC4051">
        <w:tab/>
      </w:r>
      <w:r w:rsidR="004C3ECE">
        <w:tab/>
        <w:t>3</w:t>
      </w:r>
    </w:p>
    <w:p w14:paraId="2E44E035" w14:textId="7982F78B" w:rsidR="00EC0B85" w:rsidRDefault="00424FED" w:rsidP="00AC4051">
      <w:pPr>
        <w:pStyle w:val="TOC1"/>
        <w:tabs>
          <w:tab w:val="clear" w:pos="1985"/>
          <w:tab w:val="left" w:pos="2268"/>
        </w:tabs>
      </w:pPr>
      <w:hyperlink w:anchor="Decision3" w:history="1">
        <w:r w:rsidR="00EC0B85" w:rsidRPr="00B16F27">
          <w:rPr>
            <w:rStyle w:val="Hyperlink"/>
          </w:rPr>
          <w:t>3/CMP.16</w:t>
        </w:r>
      </w:hyperlink>
      <w:r w:rsidR="00EC262F">
        <w:tab/>
        <w:t>Report of the Adaptation Fund Board for 2020 and 2021</w:t>
      </w:r>
      <w:r w:rsidR="00EC262F">
        <w:tab/>
      </w:r>
      <w:r w:rsidR="004C3ECE">
        <w:tab/>
        <w:t>7</w:t>
      </w:r>
    </w:p>
    <w:p w14:paraId="235A0E66" w14:textId="29461FDF" w:rsidR="00EC0B85" w:rsidRDefault="00424FED" w:rsidP="00AC4051">
      <w:pPr>
        <w:pStyle w:val="TOC1"/>
        <w:tabs>
          <w:tab w:val="clear" w:pos="1985"/>
          <w:tab w:val="left" w:pos="2268"/>
        </w:tabs>
      </w:pPr>
      <w:hyperlink w:anchor="Decision4" w:history="1">
        <w:r w:rsidR="00EC0B85" w:rsidRPr="00B16F27">
          <w:rPr>
            <w:rStyle w:val="Hyperlink"/>
          </w:rPr>
          <w:t>4/CMP.16</w:t>
        </w:r>
      </w:hyperlink>
      <w:r w:rsidR="005B40A2">
        <w:tab/>
        <w:t>Fourth review of the Adaptation Fund</w:t>
      </w:r>
      <w:r w:rsidR="005B40A2">
        <w:tab/>
      </w:r>
      <w:r w:rsidR="004C3ECE">
        <w:tab/>
        <w:t>11</w:t>
      </w:r>
    </w:p>
    <w:p w14:paraId="50E71AEC" w14:textId="4274063E" w:rsidR="00EC0B85" w:rsidRDefault="00424FED" w:rsidP="00AC4051">
      <w:pPr>
        <w:pStyle w:val="TOC1"/>
        <w:tabs>
          <w:tab w:val="clear" w:pos="1985"/>
          <w:tab w:val="left" w:pos="2268"/>
        </w:tabs>
      </w:pPr>
      <w:hyperlink w:anchor="Decision5" w:history="1">
        <w:r w:rsidR="00EC0B85" w:rsidRPr="00B16F27">
          <w:rPr>
            <w:rStyle w:val="Hyperlink"/>
          </w:rPr>
          <w:t>5/CMP.16</w:t>
        </w:r>
      </w:hyperlink>
      <w:r w:rsidR="0053502C">
        <w:tab/>
      </w:r>
      <w:r w:rsidR="0053502C" w:rsidRPr="0053502C">
        <w:t xml:space="preserve">Fourth comprehensive review of the implementation of the framework for </w:t>
      </w:r>
      <w:r w:rsidR="0053502C">
        <w:br/>
      </w:r>
      <w:r w:rsidR="0053502C">
        <w:tab/>
      </w:r>
      <w:r w:rsidR="0053502C">
        <w:tab/>
      </w:r>
      <w:r w:rsidR="0053502C" w:rsidRPr="0053502C">
        <w:t>capacity-building in developing countries under the Kyoto Protocol</w:t>
      </w:r>
      <w:r w:rsidR="0053502C">
        <w:tab/>
      </w:r>
      <w:r w:rsidR="004C3ECE">
        <w:tab/>
        <w:t>14</w:t>
      </w:r>
    </w:p>
    <w:p w14:paraId="4D00AE98" w14:textId="3EA6325C" w:rsidR="00EC0B85" w:rsidRDefault="00424FED" w:rsidP="00AC4051">
      <w:pPr>
        <w:pStyle w:val="TOC1"/>
        <w:tabs>
          <w:tab w:val="clear" w:pos="1985"/>
          <w:tab w:val="left" w:pos="2268"/>
        </w:tabs>
      </w:pPr>
      <w:hyperlink w:anchor="Decision6" w:history="1">
        <w:r w:rsidR="00EC0B85" w:rsidRPr="00B16F27">
          <w:rPr>
            <w:rStyle w:val="Hyperlink"/>
          </w:rPr>
          <w:t>6/CMP.16</w:t>
        </w:r>
      </w:hyperlink>
      <w:r w:rsidR="00955AC7">
        <w:tab/>
      </w:r>
      <w:r w:rsidR="00955AC7" w:rsidRPr="00955AC7">
        <w:t xml:space="preserve">Fifth review of the implementation of the framework for capacity-building </w:t>
      </w:r>
      <w:r w:rsidR="00955AC7">
        <w:br/>
      </w:r>
      <w:r w:rsidR="00955AC7">
        <w:tab/>
      </w:r>
      <w:r w:rsidR="00955AC7">
        <w:tab/>
      </w:r>
      <w:r w:rsidR="00955AC7" w:rsidRPr="00955AC7">
        <w:t>in countries with economies in transition under the Kyoto Protocol</w:t>
      </w:r>
      <w:r w:rsidR="00955AC7">
        <w:tab/>
      </w:r>
      <w:r w:rsidR="004C3ECE">
        <w:tab/>
        <w:t>16</w:t>
      </w:r>
    </w:p>
    <w:p w14:paraId="2E36D569" w14:textId="44016FC8" w:rsidR="00EC0B85" w:rsidRDefault="00424FED" w:rsidP="00AC4051">
      <w:pPr>
        <w:pStyle w:val="TOC1"/>
        <w:tabs>
          <w:tab w:val="clear" w:pos="1985"/>
          <w:tab w:val="left" w:pos="2268"/>
        </w:tabs>
      </w:pPr>
      <w:hyperlink w:anchor="Decision7" w:history="1">
        <w:r w:rsidR="00EC0B85" w:rsidRPr="00B16F27">
          <w:rPr>
            <w:rStyle w:val="Hyperlink"/>
          </w:rPr>
          <w:t>7/CMP.16</w:t>
        </w:r>
      </w:hyperlink>
      <w:r w:rsidR="00601731">
        <w:tab/>
      </w:r>
      <w:r w:rsidR="00601731" w:rsidRPr="00601731">
        <w:t xml:space="preserve">Matters relating to the forum on the impact of the implementation of </w:t>
      </w:r>
      <w:r w:rsidR="00601731">
        <w:br/>
      </w:r>
      <w:r w:rsidR="00601731">
        <w:tab/>
      </w:r>
      <w:r w:rsidR="00601731">
        <w:tab/>
      </w:r>
      <w:r w:rsidR="00601731" w:rsidRPr="00601731">
        <w:t>response measures</w:t>
      </w:r>
      <w:r w:rsidR="00601731">
        <w:tab/>
      </w:r>
      <w:r w:rsidR="004C3ECE">
        <w:tab/>
        <w:t>18</w:t>
      </w:r>
    </w:p>
    <w:p w14:paraId="53EB806D" w14:textId="630D2705" w:rsidR="00CF374D" w:rsidRPr="00CF374D" w:rsidRDefault="00424FED" w:rsidP="00CF374D">
      <w:pPr>
        <w:pStyle w:val="TOC1"/>
        <w:tabs>
          <w:tab w:val="clear" w:pos="1985"/>
          <w:tab w:val="left" w:pos="2268"/>
        </w:tabs>
      </w:pPr>
      <w:hyperlink w:anchor="Decision8" w:history="1">
        <w:r w:rsidR="00EC0B85" w:rsidRPr="00B16F27">
          <w:rPr>
            <w:rStyle w:val="Hyperlink"/>
          </w:rPr>
          <w:t>8/CMP.16</w:t>
        </w:r>
      </w:hyperlink>
      <w:r w:rsidR="00601731">
        <w:tab/>
        <w:t>Programme budget for the biennium 2022</w:t>
      </w:r>
      <w:r w:rsidR="006026F5">
        <w:t>–</w:t>
      </w:r>
      <w:r w:rsidR="00601731">
        <w:t>2023</w:t>
      </w:r>
      <w:r w:rsidR="00601731">
        <w:tab/>
      </w:r>
      <w:r w:rsidR="004C3ECE">
        <w:tab/>
        <w:t>26</w:t>
      </w:r>
    </w:p>
    <w:p w14:paraId="5C8AAA99" w14:textId="6C816FED" w:rsidR="00601731" w:rsidRPr="00601731" w:rsidRDefault="00424FED" w:rsidP="00601731">
      <w:pPr>
        <w:pStyle w:val="TOC1"/>
        <w:tabs>
          <w:tab w:val="clear" w:pos="1985"/>
          <w:tab w:val="left" w:pos="2268"/>
        </w:tabs>
      </w:pPr>
      <w:hyperlink w:anchor="Decision9" w:history="1">
        <w:r w:rsidR="00EC0B85" w:rsidRPr="00B16F27">
          <w:rPr>
            <w:rStyle w:val="Hyperlink"/>
          </w:rPr>
          <w:t>9/CMP.16</w:t>
        </w:r>
      </w:hyperlink>
      <w:r w:rsidR="00601731">
        <w:tab/>
        <w:t>Budget for the international transaction log</w:t>
      </w:r>
      <w:r w:rsidR="00601731">
        <w:tab/>
      </w:r>
      <w:r w:rsidR="004C3ECE">
        <w:tab/>
        <w:t>31</w:t>
      </w:r>
    </w:p>
    <w:p w14:paraId="4A9CB1D8" w14:textId="3872E3DA" w:rsidR="00CF374D" w:rsidRPr="00601731" w:rsidRDefault="00424FED" w:rsidP="00CF374D">
      <w:pPr>
        <w:pStyle w:val="TOC1"/>
        <w:tabs>
          <w:tab w:val="clear" w:pos="1985"/>
          <w:tab w:val="left" w:pos="2268"/>
        </w:tabs>
      </w:pPr>
      <w:hyperlink w:anchor="Decision10" w:history="1">
        <w:r w:rsidR="00CF374D" w:rsidRPr="00B16F27">
          <w:rPr>
            <w:rStyle w:val="Hyperlink"/>
          </w:rPr>
          <w:t>10/CMP.16</w:t>
        </w:r>
      </w:hyperlink>
      <w:r w:rsidR="00CF374D">
        <w:tab/>
        <w:t>Administrative, financial and institutional matters</w:t>
      </w:r>
      <w:r w:rsidR="00CF374D">
        <w:tab/>
      </w:r>
      <w:r w:rsidR="004C3ECE">
        <w:tab/>
        <w:t>34</w:t>
      </w:r>
    </w:p>
    <w:p w14:paraId="4211426F" w14:textId="7F96741C" w:rsidR="00EC0B85" w:rsidRPr="00B719E1" w:rsidRDefault="00EC0B85" w:rsidP="00AC4051">
      <w:pPr>
        <w:pStyle w:val="TOC1"/>
        <w:tabs>
          <w:tab w:val="clear" w:pos="1985"/>
          <w:tab w:val="left" w:pos="2268"/>
        </w:tabs>
        <w:rPr>
          <w:i/>
        </w:rPr>
      </w:pPr>
      <w:r w:rsidRPr="00B719E1">
        <w:rPr>
          <w:i/>
        </w:rPr>
        <w:t>Resolution</w:t>
      </w:r>
    </w:p>
    <w:p w14:paraId="2B2E68D4" w14:textId="32B2A532" w:rsidR="00EC0B85" w:rsidRDefault="00424FED" w:rsidP="00AC4051">
      <w:pPr>
        <w:pStyle w:val="TOC1"/>
        <w:tabs>
          <w:tab w:val="clear" w:pos="1985"/>
          <w:tab w:val="left" w:pos="2268"/>
        </w:tabs>
      </w:pPr>
      <w:hyperlink w:anchor="Resolution1" w:history="1">
        <w:r w:rsidR="00EC0B85" w:rsidRPr="00B16F27">
          <w:rPr>
            <w:rStyle w:val="Hyperlink"/>
          </w:rPr>
          <w:t>1/CMP.16</w:t>
        </w:r>
      </w:hyperlink>
      <w:r w:rsidR="00EC026D">
        <w:tab/>
      </w:r>
      <w:r w:rsidR="00EC026D" w:rsidRPr="00EC026D">
        <w:t>Expression of gratitude to the Government of the United Kingdom of Great Britain</w:t>
      </w:r>
      <w:r w:rsidR="00EC026D">
        <w:br/>
      </w:r>
      <w:r w:rsidR="00EC026D">
        <w:tab/>
      </w:r>
      <w:r w:rsidR="00EC026D">
        <w:tab/>
      </w:r>
      <w:r w:rsidR="00EC026D" w:rsidRPr="00EC026D">
        <w:t>and Northern Ireland and the people of the city of Glasgow</w:t>
      </w:r>
      <w:r w:rsidR="00EC026D">
        <w:tab/>
      </w:r>
      <w:r w:rsidR="004C3ECE">
        <w:tab/>
        <w:t>37</w:t>
      </w:r>
    </w:p>
    <w:p w14:paraId="58ECB550" w14:textId="32ACF878" w:rsidR="00EC0B85" w:rsidRDefault="00EC0B85" w:rsidP="00D23317">
      <w:pPr>
        <w:pStyle w:val="RegHChG"/>
        <w:numPr>
          <w:ilvl w:val="0"/>
          <w:numId w:val="0"/>
        </w:numPr>
        <w:tabs>
          <w:tab w:val="left" w:pos="720"/>
        </w:tabs>
        <w:ind w:left="1135" w:hanging="454"/>
      </w:pPr>
      <w:r>
        <w:lastRenderedPageBreak/>
        <w:t>Decision 1/CMP.16</w:t>
      </w:r>
    </w:p>
    <w:p w14:paraId="0BF49655" w14:textId="21C0A16A" w:rsidR="00EC0B85" w:rsidRDefault="001B0963" w:rsidP="00D23317">
      <w:pPr>
        <w:pStyle w:val="RegHChG"/>
        <w:numPr>
          <w:ilvl w:val="0"/>
          <w:numId w:val="0"/>
        </w:numPr>
        <w:tabs>
          <w:tab w:val="left" w:pos="720"/>
        </w:tabs>
        <w:ind w:left="1135" w:hanging="454"/>
      </w:pPr>
      <w:r>
        <w:t>Glasgow Climate Pact</w:t>
      </w:r>
    </w:p>
    <w:p w14:paraId="6E4955D7" w14:textId="129BB4DA" w:rsidR="001B0963" w:rsidRDefault="001B0963" w:rsidP="001B0963">
      <w:pPr>
        <w:pStyle w:val="RegSingleTxtG"/>
        <w:numPr>
          <w:ilvl w:val="0"/>
          <w:numId w:val="0"/>
        </w:numPr>
        <w:ind w:left="1134"/>
        <w:rPr>
          <w:rFonts w:eastAsia="Times New Roman"/>
          <w:sz w:val="22"/>
          <w:szCs w:val="22"/>
          <w:lang w:val="en-US" w:eastAsia="en-US"/>
        </w:rPr>
      </w:pPr>
      <w:r>
        <w:tab/>
      </w:r>
      <w:r>
        <w:rPr>
          <w:rStyle w:val="normaltextrun1"/>
          <w:i/>
          <w:iCs/>
          <w:color w:val="000000"/>
        </w:rPr>
        <w:t>The</w:t>
      </w:r>
      <w:r>
        <w:rPr>
          <w:rStyle w:val="normaltextrun1"/>
          <w:i/>
          <w:iCs/>
        </w:rPr>
        <w:t xml:space="preserve"> Conference of the Parties</w:t>
      </w:r>
      <w:r>
        <w:rPr>
          <w:rStyle w:val="normaltextrun1"/>
        </w:rPr>
        <w:t xml:space="preserve"> </w:t>
      </w:r>
      <w:r>
        <w:rPr>
          <w:rStyle w:val="normaltextrun1"/>
          <w:i/>
          <w:iCs/>
        </w:rPr>
        <w:t>serving as the meeting of the Parties to the Kyoto Protocol</w:t>
      </w:r>
      <w:r>
        <w:rPr>
          <w:rStyle w:val="normaltextrun1"/>
        </w:rPr>
        <w:t>,</w:t>
      </w:r>
    </w:p>
    <w:p w14:paraId="0E6EFABE" w14:textId="482658F2" w:rsidR="001B0963" w:rsidRDefault="001B0963" w:rsidP="001B0963">
      <w:pPr>
        <w:pStyle w:val="RegSingleTxtG"/>
        <w:numPr>
          <w:ilvl w:val="0"/>
          <w:numId w:val="0"/>
        </w:numPr>
        <w:ind w:left="1134"/>
        <w:rPr>
          <w:sz w:val="22"/>
          <w:szCs w:val="22"/>
        </w:rPr>
      </w:pPr>
      <w:r>
        <w:rPr>
          <w:rStyle w:val="normaltextrun1"/>
          <w:i/>
          <w:iCs/>
        </w:rPr>
        <w:tab/>
        <w:t>Recalling</w:t>
      </w:r>
      <w:r>
        <w:rPr>
          <w:rStyle w:val="normaltextrun1"/>
        </w:rPr>
        <w:t xml:space="preserve"> decision 1/CMP.8,</w:t>
      </w:r>
    </w:p>
    <w:p w14:paraId="5295F236" w14:textId="38B4D95F" w:rsidR="001B0963" w:rsidRDefault="00D23317" w:rsidP="00D23317">
      <w:pPr>
        <w:pStyle w:val="RegSingleTxtG"/>
        <w:numPr>
          <w:ilvl w:val="0"/>
          <w:numId w:val="0"/>
        </w:numPr>
        <w:ind w:left="1134"/>
        <w:rPr>
          <w:sz w:val="22"/>
          <w:szCs w:val="22"/>
        </w:rPr>
      </w:pPr>
      <w:r>
        <w:rPr>
          <w:szCs w:val="22"/>
        </w:rPr>
        <w:t>1.</w:t>
      </w:r>
      <w:r>
        <w:rPr>
          <w:szCs w:val="22"/>
        </w:rPr>
        <w:tab/>
      </w:r>
      <w:r w:rsidR="001B0963">
        <w:rPr>
          <w:rStyle w:val="normaltextrun1"/>
          <w:i/>
          <w:iCs/>
        </w:rPr>
        <w:t>Congratulates</w:t>
      </w:r>
      <w:r w:rsidR="001B0963">
        <w:rPr>
          <w:rStyle w:val="normaltextrun1"/>
        </w:rPr>
        <w:t xml:space="preserve"> Parties that have accepted the Doha Amendment to the Kyoto Protocol;</w:t>
      </w:r>
    </w:p>
    <w:p w14:paraId="5D79DB61" w14:textId="6F5205C9" w:rsidR="001B0963" w:rsidRDefault="00D23317" w:rsidP="00D23317">
      <w:pPr>
        <w:pStyle w:val="RegSingleTxtG"/>
        <w:numPr>
          <w:ilvl w:val="0"/>
          <w:numId w:val="0"/>
        </w:numPr>
        <w:ind w:left="1134"/>
        <w:rPr>
          <w:sz w:val="22"/>
          <w:szCs w:val="22"/>
        </w:rPr>
      </w:pPr>
      <w:r>
        <w:rPr>
          <w:szCs w:val="22"/>
        </w:rPr>
        <w:t>2.</w:t>
      </w:r>
      <w:r>
        <w:rPr>
          <w:szCs w:val="22"/>
        </w:rPr>
        <w:tab/>
      </w:r>
      <w:r w:rsidR="001B0963">
        <w:rPr>
          <w:rStyle w:val="normaltextrun1"/>
          <w:i/>
          <w:iCs/>
        </w:rPr>
        <w:t>Welcomes</w:t>
      </w:r>
      <w:r w:rsidR="001B0963">
        <w:rPr>
          <w:rStyle w:val="normaltextrun1"/>
        </w:rPr>
        <w:t xml:space="preserve"> the entry into force of the Doha Amendment, on 31 December 2020;</w:t>
      </w:r>
    </w:p>
    <w:p w14:paraId="26E2094F" w14:textId="5A9A5F97" w:rsidR="001B0963" w:rsidRDefault="00D23317" w:rsidP="00D23317">
      <w:pPr>
        <w:pStyle w:val="RegSingleTxtG"/>
        <w:numPr>
          <w:ilvl w:val="0"/>
          <w:numId w:val="0"/>
        </w:numPr>
        <w:ind w:left="1134"/>
        <w:rPr>
          <w:sz w:val="22"/>
          <w:szCs w:val="22"/>
        </w:rPr>
      </w:pPr>
      <w:r>
        <w:rPr>
          <w:szCs w:val="22"/>
        </w:rPr>
        <w:t>3.</w:t>
      </w:r>
      <w:r>
        <w:rPr>
          <w:szCs w:val="22"/>
        </w:rPr>
        <w:tab/>
      </w:r>
      <w:r w:rsidR="001B0963">
        <w:rPr>
          <w:rStyle w:val="normaltextrun1"/>
          <w:i/>
          <w:iCs/>
        </w:rPr>
        <w:t>Notes</w:t>
      </w:r>
      <w:r w:rsidR="001B0963">
        <w:rPr>
          <w:rStyle w:val="normaltextrun1"/>
        </w:rPr>
        <w:t xml:space="preserve"> that the second commitment period of the Kyoto Protocol ended on 31 December 2020;</w:t>
      </w:r>
    </w:p>
    <w:p w14:paraId="488BD2D9" w14:textId="780B0A63" w:rsidR="001B0963" w:rsidRDefault="00D23317" w:rsidP="00D23317">
      <w:pPr>
        <w:pStyle w:val="RegSingleTxtG"/>
        <w:numPr>
          <w:ilvl w:val="0"/>
          <w:numId w:val="0"/>
        </w:numPr>
        <w:ind w:left="1134"/>
        <w:rPr>
          <w:sz w:val="22"/>
          <w:szCs w:val="22"/>
        </w:rPr>
      </w:pPr>
      <w:r>
        <w:rPr>
          <w:szCs w:val="22"/>
        </w:rPr>
        <w:t>4.</w:t>
      </w:r>
      <w:r>
        <w:rPr>
          <w:szCs w:val="22"/>
        </w:rPr>
        <w:tab/>
      </w:r>
      <w:r w:rsidR="001B0963">
        <w:rPr>
          <w:rStyle w:val="normaltextrun1"/>
          <w:i/>
          <w:iCs/>
        </w:rPr>
        <w:t>Strongly urges</w:t>
      </w:r>
      <w:r w:rsidR="001B0963">
        <w:rPr>
          <w:rStyle w:val="normaltextrun1"/>
        </w:rPr>
        <w:t xml:space="preserve"> Parties that have accepted the Doha Amendment to implement their pre-2020 commitments to the fullest extent as soon as possible.</w:t>
      </w:r>
    </w:p>
    <w:p w14:paraId="0EB9F330" w14:textId="5E4AE9CC" w:rsidR="001B0963" w:rsidRPr="001B0963" w:rsidRDefault="005012D8" w:rsidP="001B0963">
      <w:pPr>
        <w:pStyle w:val="RegSingleTxtG"/>
        <w:numPr>
          <w:ilvl w:val="0"/>
          <w:numId w:val="0"/>
        </w:numPr>
        <w:ind w:left="1134"/>
        <w:jc w:val="right"/>
        <w:rPr>
          <w:i/>
        </w:rPr>
      </w:pPr>
      <w:r>
        <w:rPr>
          <w:i/>
        </w:rPr>
        <w:t>10</w:t>
      </w:r>
      <w:r w:rsidRPr="005012D8">
        <w:rPr>
          <w:i/>
          <w:vertAlign w:val="superscript"/>
        </w:rPr>
        <w:t>th</w:t>
      </w:r>
      <w:r>
        <w:rPr>
          <w:i/>
        </w:rPr>
        <w:t xml:space="preserve"> </w:t>
      </w:r>
      <w:r w:rsidR="001B0963" w:rsidRPr="001B0963">
        <w:rPr>
          <w:i/>
        </w:rPr>
        <w:t>plenary meeting</w:t>
      </w:r>
      <w:r w:rsidR="001B0963">
        <w:rPr>
          <w:i/>
        </w:rPr>
        <w:br/>
      </w:r>
      <w:r w:rsidR="001B0963" w:rsidRPr="001B0963">
        <w:rPr>
          <w:i/>
        </w:rPr>
        <w:t>1</w:t>
      </w:r>
      <w:r>
        <w:rPr>
          <w:i/>
        </w:rPr>
        <w:t>3</w:t>
      </w:r>
      <w:r w:rsidR="001B0963" w:rsidRPr="001B0963">
        <w:rPr>
          <w:i/>
        </w:rPr>
        <w:t xml:space="preserve"> </w:t>
      </w:r>
      <w:r w:rsidR="003D0DB5">
        <w:rPr>
          <w:i/>
        </w:rPr>
        <w:t>Novemb</w:t>
      </w:r>
      <w:r w:rsidR="001B0963" w:rsidRPr="001B0963">
        <w:rPr>
          <w:i/>
        </w:rPr>
        <w:t>er 2021</w:t>
      </w:r>
    </w:p>
    <w:p w14:paraId="7707258C" w14:textId="77777777" w:rsidR="001B0963" w:rsidRDefault="001B0963" w:rsidP="006621E8">
      <w:pPr>
        <w:spacing w:before="240"/>
        <w:ind w:left="1134" w:right="1134"/>
        <w:jc w:val="center"/>
        <w:rPr>
          <w:u w:val="single"/>
        </w:rPr>
        <w:sectPr w:rsidR="001B0963" w:rsidSect="001B3D02">
          <w:headerReference w:type="even" r:id="rId14"/>
          <w:footerReference w:type="even" r:id="rId15"/>
          <w:footerReference w:type="default" r:id="rId16"/>
          <w:footnotePr>
            <w:numRestart w:val="eachSect"/>
          </w:footnotePr>
          <w:pgSz w:w="11906" w:h="16838" w:code="9"/>
          <w:pgMar w:top="1417" w:right="1134" w:bottom="1134" w:left="1134" w:header="850" w:footer="567" w:gutter="0"/>
          <w:cols w:space="708"/>
          <w:titlePg/>
          <w:docGrid w:linePitch="360"/>
        </w:sectPr>
      </w:pPr>
    </w:p>
    <w:p w14:paraId="21FCD072" w14:textId="27C0287B" w:rsidR="001B0963" w:rsidRDefault="001B0963" w:rsidP="00D23317">
      <w:pPr>
        <w:pStyle w:val="RegHChG"/>
        <w:numPr>
          <w:ilvl w:val="0"/>
          <w:numId w:val="0"/>
        </w:numPr>
        <w:tabs>
          <w:tab w:val="left" w:pos="720"/>
        </w:tabs>
        <w:ind w:left="1135" w:hanging="454"/>
      </w:pPr>
      <w:bookmarkStart w:id="4" w:name="Decision2"/>
      <w:r>
        <w:lastRenderedPageBreak/>
        <w:t>Decision 2/CMP.16</w:t>
      </w:r>
    </w:p>
    <w:bookmarkEnd w:id="4"/>
    <w:p w14:paraId="7AD5572A" w14:textId="2CF35F18" w:rsidR="001B0963" w:rsidRDefault="001B0963" w:rsidP="00D23317">
      <w:pPr>
        <w:pStyle w:val="RegHChG"/>
        <w:numPr>
          <w:ilvl w:val="0"/>
          <w:numId w:val="0"/>
        </w:numPr>
        <w:tabs>
          <w:tab w:val="left" w:pos="720"/>
        </w:tabs>
        <w:ind w:left="1135" w:hanging="454"/>
      </w:pPr>
      <w:r>
        <w:t>Guidance relating to the clean development mechanism</w:t>
      </w:r>
    </w:p>
    <w:p w14:paraId="0408BD33" w14:textId="2796BA29" w:rsidR="00AD2427" w:rsidRPr="00AD2427" w:rsidRDefault="00AD2427" w:rsidP="00AD2427">
      <w:pPr>
        <w:pStyle w:val="RegSingleTxtG"/>
        <w:numPr>
          <w:ilvl w:val="0"/>
          <w:numId w:val="0"/>
        </w:numPr>
        <w:ind w:left="1134"/>
        <w:rPr>
          <w:sz w:val="24"/>
          <w:szCs w:val="24"/>
          <w:lang w:val="en-US" w:eastAsia="en-US"/>
        </w:rPr>
      </w:pPr>
      <w:r>
        <w:rPr>
          <w:color w:val="000000"/>
          <w:lang w:eastAsia="en-US"/>
        </w:rPr>
        <w:tab/>
      </w:r>
      <w:r w:rsidRPr="00AD2427">
        <w:rPr>
          <w:i/>
          <w:color w:val="000000"/>
          <w:lang w:eastAsia="en-US"/>
        </w:rPr>
        <w:t>The</w:t>
      </w:r>
      <w:r w:rsidRPr="00AD2427">
        <w:rPr>
          <w:i/>
          <w:lang w:eastAsia="en-US"/>
        </w:rPr>
        <w:t xml:space="preserve"> Conference of the Parties serving as the meeting of the Parties to the Kyoto Protocol</w:t>
      </w:r>
      <w:r w:rsidRPr="00AD2427">
        <w:rPr>
          <w:lang w:eastAsia="en-US"/>
        </w:rPr>
        <w:t>,</w:t>
      </w:r>
    </w:p>
    <w:p w14:paraId="5E4EF876" w14:textId="35BB1373" w:rsidR="00AD2427" w:rsidRPr="00AD2427" w:rsidRDefault="00AD2427" w:rsidP="00AD2427">
      <w:pPr>
        <w:pStyle w:val="RegSingleTxtG"/>
        <w:numPr>
          <w:ilvl w:val="0"/>
          <w:numId w:val="0"/>
        </w:numPr>
        <w:ind w:left="1134"/>
        <w:rPr>
          <w:sz w:val="24"/>
          <w:szCs w:val="24"/>
          <w:lang w:val="en-US" w:eastAsia="en-US"/>
        </w:rPr>
      </w:pPr>
      <w:r>
        <w:rPr>
          <w:i/>
          <w:lang w:eastAsia="en-US"/>
        </w:rPr>
        <w:tab/>
      </w:r>
      <w:r w:rsidRPr="00AD2427">
        <w:rPr>
          <w:i/>
          <w:lang w:eastAsia="en-US"/>
        </w:rPr>
        <w:t>Recalling</w:t>
      </w:r>
      <w:r w:rsidRPr="00AD2427">
        <w:rPr>
          <w:lang w:eastAsia="en-US"/>
        </w:rPr>
        <w:t xml:space="preserve"> Articles 3 and 12 of the Kyoto Protocol,</w:t>
      </w:r>
    </w:p>
    <w:p w14:paraId="169EA3C8" w14:textId="297DBBE3" w:rsidR="00AD2427" w:rsidRPr="00AD2427" w:rsidRDefault="00AD2427" w:rsidP="00AD2427">
      <w:pPr>
        <w:pStyle w:val="RegSingleTxtG"/>
        <w:numPr>
          <w:ilvl w:val="0"/>
          <w:numId w:val="0"/>
        </w:numPr>
        <w:ind w:left="1134"/>
        <w:rPr>
          <w:sz w:val="24"/>
          <w:szCs w:val="24"/>
          <w:lang w:val="en-US" w:eastAsia="en-US"/>
        </w:rPr>
      </w:pPr>
      <w:r>
        <w:rPr>
          <w:i/>
          <w:lang w:eastAsia="en-US"/>
        </w:rPr>
        <w:tab/>
      </w:r>
      <w:r w:rsidRPr="00AD2427">
        <w:rPr>
          <w:i/>
          <w:lang w:eastAsia="en-US"/>
        </w:rPr>
        <w:t>Also recalling</w:t>
      </w:r>
      <w:r w:rsidRPr="00AD2427">
        <w:rPr>
          <w:lang w:eastAsia="en-US"/>
        </w:rPr>
        <w:t xml:space="preserve"> decision 3/CMP.1 and subsequent guidance provided by the Conference of the Parties serving as the meeting of the Parties to the Kyoto Protocol relating to the clean development mechanism,</w:t>
      </w:r>
    </w:p>
    <w:p w14:paraId="5EFDEC1F" w14:textId="187AAFE8" w:rsidR="00AD2427" w:rsidRPr="00AD2427" w:rsidRDefault="00AD2427" w:rsidP="00AD2427">
      <w:pPr>
        <w:pStyle w:val="RegSingleTxtG"/>
        <w:numPr>
          <w:ilvl w:val="0"/>
          <w:numId w:val="0"/>
        </w:numPr>
        <w:ind w:left="1134"/>
        <w:rPr>
          <w:sz w:val="24"/>
          <w:szCs w:val="24"/>
          <w:lang w:val="en-US" w:eastAsia="en-US"/>
        </w:rPr>
      </w:pPr>
      <w:r>
        <w:rPr>
          <w:lang w:eastAsia="en-US"/>
        </w:rPr>
        <w:tab/>
      </w:r>
      <w:r w:rsidRPr="00AD2427">
        <w:rPr>
          <w:i/>
          <w:lang w:eastAsia="en-US"/>
        </w:rPr>
        <w:t>Acknowledging</w:t>
      </w:r>
      <w:r w:rsidRPr="00AD2427">
        <w:rPr>
          <w:lang w:eastAsia="en-US"/>
        </w:rPr>
        <w:t xml:space="preserve"> the contribution to global efforts to address climate change of the clean development mechanism, which as at 31 October 2021 was responsible for over 7,849 project activities being registered, 356 programmes of activities being registered and over 2.17 billion certified emission reductions being issued, of which over 301 million had been voluntarily cancelled either in national registries or in the clean development mechanism registry,</w:t>
      </w:r>
    </w:p>
    <w:p w14:paraId="5150CDDB" w14:textId="6FC4E161" w:rsidR="007E142E" w:rsidRDefault="00AD2427" w:rsidP="00AD2427">
      <w:pPr>
        <w:pStyle w:val="RegSingleTxtG"/>
        <w:numPr>
          <w:ilvl w:val="0"/>
          <w:numId w:val="0"/>
        </w:numPr>
        <w:ind w:left="1134"/>
        <w:rPr>
          <w:lang w:eastAsia="en-US"/>
        </w:rPr>
      </w:pPr>
      <w:r>
        <w:rPr>
          <w:lang w:eastAsia="en-US"/>
        </w:rPr>
        <w:tab/>
      </w:r>
      <w:r w:rsidRPr="00AD2427">
        <w:rPr>
          <w:i/>
          <w:lang w:eastAsia="en-US"/>
        </w:rPr>
        <w:t>Welcoming</w:t>
      </w:r>
      <w:r w:rsidRPr="00AD2427">
        <w:rPr>
          <w:lang w:eastAsia="en-US"/>
        </w:rPr>
        <w:t xml:space="preserve"> the entry into force of the Doha Amendment to the Kyoto Protocol,</w:t>
      </w:r>
      <w:r w:rsidR="007E142E">
        <w:rPr>
          <w:rStyle w:val="FootnoteReference"/>
          <w:lang w:eastAsia="en-US"/>
        </w:rPr>
        <w:footnoteReference w:id="2"/>
      </w:r>
    </w:p>
    <w:p w14:paraId="7CC22708" w14:textId="09326331" w:rsidR="007E142E" w:rsidRDefault="00AD2427" w:rsidP="00AD2427">
      <w:pPr>
        <w:pStyle w:val="RegSingleTxtG"/>
        <w:numPr>
          <w:ilvl w:val="0"/>
          <w:numId w:val="0"/>
        </w:numPr>
        <w:ind w:left="1134"/>
        <w:rPr>
          <w:lang w:eastAsia="en-US"/>
        </w:rPr>
      </w:pPr>
      <w:r>
        <w:rPr>
          <w:lang w:eastAsia="en-US"/>
        </w:rPr>
        <w:tab/>
      </w:r>
      <w:r w:rsidRPr="00AD2427">
        <w:rPr>
          <w:i/>
          <w:lang w:eastAsia="en-US"/>
        </w:rPr>
        <w:t>Cognizant</w:t>
      </w:r>
      <w:r w:rsidRPr="00AD2427">
        <w:rPr>
          <w:lang w:eastAsia="en-US"/>
        </w:rPr>
        <w:t xml:space="preserve"> of decision </w:t>
      </w:r>
      <w:r w:rsidR="007E29CD" w:rsidRPr="00B719E1">
        <w:rPr>
          <w:lang w:eastAsia="en-US"/>
        </w:rPr>
        <w:t>3</w:t>
      </w:r>
      <w:r w:rsidRPr="00B719E1">
        <w:rPr>
          <w:lang w:eastAsia="en-US"/>
        </w:rPr>
        <w:t>/CMA.3</w:t>
      </w:r>
      <w:r w:rsidRPr="00AD2427">
        <w:rPr>
          <w:lang w:eastAsia="en-US"/>
        </w:rPr>
        <w:t xml:space="preserve"> and its annex,</w:t>
      </w:r>
    </w:p>
    <w:p w14:paraId="6360D398" w14:textId="1EC4BE38" w:rsidR="00AD2427" w:rsidRPr="00AD2427" w:rsidRDefault="00AD2427" w:rsidP="00AD2427">
      <w:pPr>
        <w:pStyle w:val="RegSingleTxtG"/>
        <w:numPr>
          <w:ilvl w:val="0"/>
          <w:numId w:val="0"/>
        </w:numPr>
        <w:ind w:left="1134"/>
        <w:rPr>
          <w:sz w:val="24"/>
          <w:szCs w:val="24"/>
          <w:lang w:val="en-US" w:eastAsia="en-US"/>
        </w:rPr>
      </w:pPr>
      <w:r>
        <w:rPr>
          <w:lang w:eastAsia="en-US"/>
        </w:rPr>
        <w:tab/>
      </w:r>
      <w:r w:rsidRPr="00AD2427">
        <w:rPr>
          <w:i/>
          <w:lang w:eastAsia="en-US"/>
        </w:rPr>
        <w:t>Recognizing</w:t>
      </w:r>
      <w:r w:rsidRPr="00AD2427">
        <w:rPr>
          <w:lang w:eastAsia="en-US"/>
        </w:rPr>
        <w:t xml:space="preserve"> the need for a smooth transition from the clean development mechanism to the mechanism established by Article 6, paragraph 4, of the Paris Agreement,</w:t>
      </w:r>
    </w:p>
    <w:p w14:paraId="5A091904" w14:textId="76E631A2" w:rsidR="00AD2427" w:rsidRPr="00AD2427" w:rsidRDefault="00D23317" w:rsidP="00D23317">
      <w:pPr>
        <w:pStyle w:val="RegHChG"/>
        <w:numPr>
          <w:ilvl w:val="0"/>
          <w:numId w:val="0"/>
        </w:numPr>
        <w:tabs>
          <w:tab w:val="left" w:pos="1135"/>
        </w:tabs>
        <w:ind w:left="1135" w:hanging="454"/>
        <w:rPr>
          <w:sz w:val="22"/>
          <w:szCs w:val="22"/>
          <w:lang w:val="en-US" w:eastAsia="en-US"/>
        </w:rPr>
      </w:pPr>
      <w:r w:rsidRPr="00AD2427">
        <w:rPr>
          <w:szCs w:val="22"/>
          <w:lang w:val="en-US" w:eastAsia="en-US"/>
        </w:rPr>
        <w:t>I.</w:t>
      </w:r>
      <w:r w:rsidRPr="00AD2427">
        <w:rPr>
          <w:szCs w:val="22"/>
          <w:lang w:val="en-US" w:eastAsia="en-US"/>
        </w:rPr>
        <w:tab/>
      </w:r>
      <w:r w:rsidR="00AD2427" w:rsidRPr="00AD2427">
        <w:rPr>
          <w:lang w:eastAsia="en-US"/>
        </w:rPr>
        <w:t>General</w:t>
      </w:r>
    </w:p>
    <w:p w14:paraId="343F9041" w14:textId="16D14F91" w:rsidR="00AD2427" w:rsidRPr="00AD2427" w:rsidRDefault="00D23317" w:rsidP="00D23317">
      <w:pPr>
        <w:pStyle w:val="RegSingleTxtG"/>
        <w:numPr>
          <w:ilvl w:val="0"/>
          <w:numId w:val="0"/>
        </w:numPr>
        <w:ind w:left="1134"/>
        <w:rPr>
          <w:sz w:val="22"/>
          <w:szCs w:val="22"/>
          <w:lang w:val="en-US" w:eastAsia="en-US"/>
        </w:rPr>
      </w:pPr>
      <w:r w:rsidRPr="00AD2427">
        <w:rPr>
          <w:szCs w:val="22"/>
          <w:lang w:val="en-US" w:eastAsia="en-US"/>
        </w:rPr>
        <w:t>1.</w:t>
      </w:r>
      <w:r w:rsidRPr="00AD2427">
        <w:rPr>
          <w:szCs w:val="22"/>
          <w:lang w:val="en-US" w:eastAsia="en-US"/>
        </w:rPr>
        <w:tab/>
      </w:r>
      <w:r w:rsidR="00AD2427" w:rsidRPr="00AD2427">
        <w:rPr>
          <w:i/>
          <w:iCs/>
          <w:lang w:eastAsia="en-US"/>
        </w:rPr>
        <w:t xml:space="preserve">Welcomes </w:t>
      </w:r>
      <w:r w:rsidR="00AD2427" w:rsidRPr="00AD2427">
        <w:rPr>
          <w:lang w:eastAsia="en-US"/>
        </w:rPr>
        <w:t>the reports for 2019–2020 and 2020–2021 of the Executive Board of the clean development mechanism;</w:t>
      </w:r>
      <w:r w:rsidR="007E142E">
        <w:rPr>
          <w:rStyle w:val="FootnoteReference"/>
          <w:lang w:eastAsia="en-US"/>
        </w:rPr>
        <w:footnoteReference w:id="3"/>
      </w:r>
    </w:p>
    <w:p w14:paraId="058DE91B" w14:textId="3025022D" w:rsidR="00AD2427" w:rsidRPr="00AD2427" w:rsidRDefault="00D23317" w:rsidP="00D23317">
      <w:pPr>
        <w:pStyle w:val="RegSingleTxtG"/>
        <w:numPr>
          <w:ilvl w:val="0"/>
          <w:numId w:val="0"/>
        </w:numPr>
        <w:ind w:left="1134"/>
        <w:rPr>
          <w:sz w:val="22"/>
          <w:szCs w:val="22"/>
          <w:lang w:val="en-US" w:eastAsia="en-US"/>
        </w:rPr>
      </w:pPr>
      <w:r w:rsidRPr="00AD2427">
        <w:rPr>
          <w:szCs w:val="22"/>
          <w:lang w:val="en-US" w:eastAsia="en-US"/>
        </w:rPr>
        <w:t>2.</w:t>
      </w:r>
      <w:r w:rsidRPr="00AD2427">
        <w:rPr>
          <w:szCs w:val="22"/>
          <w:lang w:val="en-US" w:eastAsia="en-US"/>
        </w:rPr>
        <w:tab/>
      </w:r>
      <w:r w:rsidR="00AD2427" w:rsidRPr="00AD2427">
        <w:rPr>
          <w:i/>
          <w:iCs/>
          <w:lang w:eastAsia="en-US"/>
        </w:rPr>
        <w:t xml:space="preserve">Takes note </w:t>
      </w:r>
      <w:r w:rsidR="00AD2427" w:rsidRPr="00AD2427">
        <w:rPr>
          <w:lang w:eastAsia="en-US"/>
        </w:rPr>
        <w:t>of the work undertaken over the past two years by the Executive Board, its panels and the secretariat in overseeing the implementation of the mechanism and maintaining stakeholder engagement in its operations;</w:t>
      </w:r>
    </w:p>
    <w:p w14:paraId="30345BF8" w14:textId="0AA67D63" w:rsidR="00AD2427" w:rsidRPr="00AD2427" w:rsidRDefault="00D23317" w:rsidP="00D23317">
      <w:pPr>
        <w:pStyle w:val="RegSingleTxtG"/>
        <w:numPr>
          <w:ilvl w:val="0"/>
          <w:numId w:val="0"/>
        </w:numPr>
        <w:ind w:left="1134"/>
        <w:rPr>
          <w:sz w:val="22"/>
          <w:szCs w:val="22"/>
          <w:lang w:val="en-US" w:eastAsia="en-US"/>
        </w:rPr>
      </w:pPr>
      <w:r w:rsidRPr="00AD2427">
        <w:rPr>
          <w:szCs w:val="22"/>
          <w:lang w:val="en-US" w:eastAsia="en-US"/>
        </w:rPr>
        <w:t>3.</w:t>
      </w:r>
      <w:r w:rsidRPr="00AD2427">
        <w:rPr>
          <w:szCs w:val="22"/>
          <w:lang w:val="en-US" w:eastAsia="en-US"/>
        </w:rPr>
        <w:tab/>
      </w:r>
      <w:r w:rsidR="00AD2427" w:rsidRPr="00AD2427">
        <w:rPr>
          <w:i/>
          <w:iCs/>
          <w:lang w:eastAsia="en-US"/>
        </w:rPr>
        <w:t>Designates</w:t>
      </w:r>
      <w:r w:rsidR="00AD2427" w:rsidRPr="00AD2427">
        <w:rPr>
          <w:lang w:eastAsia="en-US"/>
        </w:rPr>
        <w:t xml:space="preserve"> as operational entities those entities that have been accredited and provisionally designated as such by the Executive Board to carry out sectoral scope-specific validation and/or verification functions as set out in the annex;</w:t>
      </w:r>
    </w:p>
    <w:p w14:paraId="63B9048B" w14:textId="6C7CCBE2" w:rsidR="00AD2427" w:rsidRPr="00AD2427" w:rsidRDefault="00D23317" w:rsidP="00D23317">
      <w:pPr>
        <w:pStyle w:val="RegHChG"/>
        <w:numPr>
          <w:ilvl w:val="0"/>
          <w:numId w:val="0"/>
        </w:numPr>
        <w:tabs>
          <w:tab w:val="left" w:pos="1135"/>
        </w:tabs>
        <w:ind w:left="1135" w:hanging="454"/>
        <w:rPr>
          <w:rFonts w:eastAsia="Times New Roman"/>
          <w:bCs/>
          <w:szCs w:val="28"/>
          <w:lang w:val="en-US" w:eastAsia="en-US"/>
        </w:rPr>
      </w:pPr>
      <w:r w:rsidRPr="00AD2427">
        <w:rPr>
          <w:rFonts w:eastAsia="Times New Roman"/>
          <w:bCs/>
          <w:szCs w:val="28"/>
          <w:lang w:val="en-US" w:eastAsia="en-US"/>
        </w:rPr>
        <w:t>II.</w:t>
      </w:r>
      <w:r w:rsidRPr="00AD2427">
        <w:rPr>
          <w:rFonts w:eastAsia="Times New Roman"/>
          <w:bCs/>
          <w:szCs w:val="28"/>
          <w:lang w:val="en-US" w:eastAsia="en-US"/>
        </w:rPr>
        <w:tab/>
      </w:r>
      <w:r w:rsidR="00AD2427" w:rsidRPr="00AD2427">
        <w:rPr>
          <w:lang w:eastAsia="en-US"/>
        </w:rPr>
        <w:t>Baseline</w:t>
      </w:r>
      <w:r w:rsidR="00AD2427" w:rsidRPr="00AD2427">
        <w:rPr>
          <w:rFonts w:eastAsia="Times New Roman"/>
          <w:bCs/>
          <w:szCs w:val="28"/>
          <w:lang w:eastAsia="en-US"/>
        </w:rPr>
        <w:t xml:space="preserve"> and monitoring methodologies</w:t>
      </w:r>
    </w:p>
    <w:p w14:paraId="4BF04554" w14:textId="677BA8AA" w:rsidR="00AD2427" w:rsidRPr="00AD2427" w:rsidRDefault="00D23317" w:rsidP="00D23317">
      <w:pPr>
        <w:pStyle w:val="RegSingleTxtG"/>
        <w:numPr>
          <w:ilvl w:val="0"/>
          <w:numId w:val="0"/>
        </w:numPr>
        <w:ind w:left="1134"/>
        <w:rPr>
          <w:rFonts w:eastAsia="Times New Roman"/>
          <w:sz w:val="22"/>
          <w:szCs w:val="22"/>
          <w:lang w:val="en-US" w:eastAsia="en-US"/>
        </w:rPr>
      </w:pPr>
      <w:bookmarkStart w:id="5" w:name="_Ref89159548"/>
      <w:r w:rsidRPr="00AD2427">
        <w:rPr>
          <w:rFonts w:eastAsia="Times New Roman"/>
          <w:szCs w:val="22"/>
          <w:lang w:val="en-US" w:eastAsia="en-US"/>
        </w:rPr>
        <w:t>4.</w:t>
      </w:r>
      <w:r w:rsidRPr="00AD2427">
        <w:rPr>
          <w:rFonts w:eastAsia="Times New Roman"/>
          <w:szCs w:val="22"/>
          <w:lang w:val="en-US" w:eastAsia="en-US"/>
        </w:rPr>
        <w:tab/>
      </w:r>
      <w:r w:rsidR="00AD2427" w:rsidRPr="00AD2427">
        <w:rPr>
          <w:rFonts w:eastAsia="Times New Roman"/>
          <w:i/>
          <w:iCs/>
          <w:lang w:eastAsia="en-US"/>
        </w:rPr>
        <w:t>Acknowledges</w:t>
      </w:r>
      <w:r w:rsidR="00AD2427" w:rsidRPr="00AD2427">
        <w:rPr>
          <w:rFonts w:eastAsia="Times New Roman"/>
          <w:lang w:eastAsia="en-US"/>
        </w:rPr>
        <w:t xml:space="preserve"> the work of the Executive Board in reviewing methodological approaches to calculating emission reductions achieved by project activities that result in the reduced use of non-renewable biomass in </w:t>
      </w:r>
      <w:r w:rsidR="00AD2427" w:rsidRPr="00AD2427">
        <w:rPr>
          <w:lang w:eastAsia="en-US"/>
        </w:rPr>
        <w:t>households</w:t>
      </w:r>
      <w:r w:rsidR="00AD2427" w:rsidRPr="00AD2427">
        <w:rPr>
          <w:rFonts w:eastAsia="Times New Roman"/>
          <w:lang w:eastAsia="en-US"/>
        </w:rPr>
        <w:t xml:space="preserve"> and in including in these approaches region-specific default values for the baseline fossil fuel emission factor;</w:t>
      </w:r>
      <w:bookmarkEnd w:id="5"/>
    </w:p>
    <w:p w14:paraId="5BA07284" w14:textId="3DC5C74D" w:rsidR="00AD2427" w:rsidRPr="00AD2427" w:rsidRDefault="00D23317" w:rsidP="00D23317">
      <w:pPr>
        <w:pStyle w:val="RegSingleTxtG"/>
        <w:numPr>
          <w:ilvl w:val="0"/>
          <w:numId w:val="0"/>
        </w:numPr>
        <w:ind w:left="1134"/>
        <w:rPr>
          <w:rFonts w:eastAsia="Times New Roman"/>
          <w:sz w:val="22"/>
          <w:szCs w:val="22"/>
          <w:lang w:val="en-US" w:eastAsia="en-US"/>
        </w:rPr>
      </w:pPr>
      <w:r w:rsidRPr="00AD2427">
        <w:rPr>
          <w:rFonts w:eastAsia="Times New Roman"/>
          <w:szCs w:val="22"/>
          <w:lang w:val="en-US" w:eastAsia="en-US"/>
        </w:rPr>
        <w:t>5.</w:t>
      </w:r>
      <w:r w:rsidRPr="00AD2427">
        <w:rPr>
          <w:rFonts w:eastAsia="Times New Roman"/>
          <w:szCs w:val="22"/>
          <w:lang w:val="en-US" w:eastAsia="en-US"/>
        </w:rPr>
        <w:tab/>
      </w:r>
      <w:r w:rsidR="00AD2427" w:rsidRPr="00AD2427">
        <w:rPr>
          <w:rFonts w:eastAsia="Times New Roman"/>
          <w:i/>
          <w:iCs/>
          <w:lang w:eastAsia="en-US"/>
        </w:rPr>
        <w:t>Requests</w:t>
      </w:r>
      <w:r w:rsidR="00AD2427" w:rsidRPr="00AD2427">
        <w:rPr>
          <w:rFonts w:eastAsia="Times New Roman"/>
          <w:lang w:eastAsia="en-US"/>
        </w:rPr>
        <w:t xml:space="preserve"> the Executive Board to </w:t>
      </w:r>
      <w:r w:rsidR="00AD2427" w:rsidRPr="00AD2427">
        <w:rPr>
          <w:lang w:eastAsia="en-US"/>
        </w:rPr>
        <w:t>continue</w:t>
      </w:r>
      <w:r w:rsidR="00AD2427" w:rsidRPr="00AD2427">
        <w:rPr>
          <w:rFonts w:eastAsia="Times New Roman"/>
          <w:lang w:eastAsia="en-US"/>
        </w:rPr>
        <w:t xml:space="preserve"> to review the methodological approaches referred to in paragraph </w:t>
      </w:r>
      <w:r w:rsidR="00323749">
        <w:rPr>
          <w:rFonts w:eastAsia="Times New Roman"/>
          <w:lang w:eastAsia="en-US"/>
        </w:rPr>
        <w:fldChar w:fldCharType="begin"/>
      </w:r>
      <w:r w:rsidR="00323749">
        <w:rPr>
          <w:rFonts w:eastAsia="Times New Roman"/>
          <w:lang w:eastAsia="en-US"/>
        </w:rPr>
        <w:instrText xml:space="preserve"> REF _Ref89159548 \n \p \h </w:instrText>
      </w:r>
      <w:r w:rsidR="00323749">
        <w:rPr>
          <w:rFonts w:eastAsia="Times New Roman"/>
          <w:lang w:eastAsia="en-US"/>
        </w:rPr>
      </w:r>
      <w:r w:rsidR="00323749">
        <w:rPr>
          <w:rFonts w:eastAsia="Times New Roman"/>
          <w:lang w:eastAsia="en-US"/>
        </w:rPr>
        <w:fldChar w:fldCharType="separate"/>
      </w:r>
      <w:r w:rsidR="00323749">
        <w:rPr>
          <w:rFonts w:eastAsia="Times New Roman"/>
          <w:lang w:eastAsia="en-US"/>
        </w:rPr>
        <w:t>4 above</w:t>
      </w:r>
      <w:r w:rsidR="00323749">
        <w:rPr>
          <w:rFonts w:eastAsia="Times New Roman"/>
          <w:lang w:eastAsia="en-US"/>
        </w:rPr>
        <w:fldChar w:fldCharType="end"/>
      </w:r>
      <w:r w:rsidR="00AD2427" w:rsidRPr="00AD2427">
        <w:rPr>
          <w:rFonts w:eastAsia="Times New Roman"/>
          <w:lang w:eastAsia="en-US"/>
        </w:rPr>
        <w:t>, in particular with respect to the default baseline assumptions applied;</w:t>
      </w:r>
    </w:p>
    <w:p w14:paraId="35562B57" w14:textId="0C1C8923" w:rsidR="00AD2427" w:rsidRPr="00AD2427" w:rsidRDefault="00D23317" w:rsidP="00D23317">
      <w:pPr>
        <w:pStyle w:val="RegHChG"/>
        <w:numPr>
          <w:ilvl w:val="0"/>
          <w:numId w:val="0"/>
        </w:numPr>
        <w:tabs>
          <w:tab w:val="left" w:pos="1135"/>
        </w:tabs>
        <w:ind w:left="1135" w:hanging="454"/>
        <w:rPr>
          <w:rFonts w:eastAsia="Times New Roman"/>
          <w:bCs/>
          <w:szCs w:val="28"/>
          <w:lang w:val="en-US" w:eastAsia="en-US"/>
        </w:rPr>
      </w:pPr>
      <w:r w:rsidRPr="00AD2427">
        <w:rPr>
          <w:rFonts w:eastAsia="Times New Roman"/>
          <w:bCs/>
          <w:szCs w:val="28"/>
          <w:lang w:val="en-US" w:eastAsia="en-US"/>
        </w:rPr>
        <w:t>III.</w:t>
      </w:r>
      <w:r w:rsidRPr="00AD2427">
        <w:rPr>
          <w:rFonts w:eastAsia="Times New Roman"/>
          <w:bCs/>
          <w:szCs w:val="28"/>
          <w:lang w:val="en-US" w:eastAsia="en-US"/>
        </w:rPr>
        <w:tab/>
      </w:r>
      <w:r w:rsidR="00AD2427" w:rsidRPr="00AD2427">
        <w:rPr>
          <w:rFonts w:eastAsia="Times New Roman"/>
          <w:bCs/>
          <w:szCs w:val="28"/>
          <w:lang w:eastAsia="en-US"/>
        </w:rPr>
        <w:t>Functioning of the clean development mechanism beyond the end of the second commitment period of the Kyoto Protocol</w:t>
      </w:r>
    </w:p>
    <w:p w14:paraId="45C965F9" w14:textId="2156703D" w:rsidR="00AD2427" w:rsidRPr="00AD2427" w:rsidRDefault="00D23317" w:rsidP="00D23317">
      <w:pPr>
        <w:pStyle w:val="RegSingleTxtG"/>
        <w:numPr>
          <w:ilvl w:val="0"/>
          <w:numId w:val="0"/>
        </w:numPr>
        <w:ind w:left="1134"/>
        <w:rPr>
          <w:rFonts w:eastAsia="Times New Roman"/>
          <w:sz w:val="22"/>
          <w:szCs w:val="22"/>
          <w:lang w:val="en-US" w:eastAsia="en-US"/>
        </w:rPr>
      </w:pPr>
      <w:r w:rsidRPr="00AD2427">
        <w:rPr>
          <w:rFonts w:eastAsia="Times New Roman"/>
          <w:szCs w:val="22"/>
          <w:lang w:val="en-US" w:eastAsia="en-US"/>
        </w:rPr>
        <w:t>6.</w:t>
      </w:r>
      <w:r w:rsidRPr="00AD2427">
        <w:rPr>
          <w:rFonts w:eastAsia="Times New Roman"/>
          <w:szCs w:val="22"/>
          <w:lang w:val="en-US" w:eastAsia="en-US"/>
        </w:rPr>
        <w:tab/>
      </w:r>
      <w:r w:rsidR="00AD2427" w:rsidRPr="00AD2427">
        <w:rPr>
          <w:rFonts w:eastAsia="Times New Roman"/>
          <w:i/>
          <w:iCs/>
          <w:lang w:eastAsia="en-US"/>
        </w:rPr>
        <w:t>Acknowledges</w:t>
      </w:r>
      <w:r w:rsidR="00AD2427" w:rsidRPr="00AD2427">
        <w:rPr>
          <w:rFonts w:eastAsia="Times New Roman"/>
          <w:lang w:eastAsia="en-US"/>
        </w:rPr>
        <w:t xml:space="preserve"> the recommendations of the Executive Board that the Conference of the Parties serving as the meeting of the Parties to the Kyoto Protocol provide guidance on </w:t>
      </w:r>
      <w:r w:rsidR="00AD2427" w:rsidRPr="00AD2427">
        <w:rPr>
          <w:rFonts w:eastAsia="Times New Roman"/>
          <w:lang w:eastAsia="en-US"/>
        </w:rPr>
        <w:lastRenderedPageBreak/>
        <w:t>the functioning of the clean development mechanism beyond the end of the second commitment period of the Kyoto Protocol;</w:t>
      </w:r>
      <w:r w:rsidR="007E142E">
        <w:rPr>
          <w:rStyle w:val="FootnoteReference"/>
          <w:rFonts w:eastAsia="Times New Roman"/>
          <w:lang w:eastAsia="en-US"/>
        </w:rPr>
        <w:footnoteReference w:id="4"/>
      </w:r>
    </w:p>
    <w:p w14:paraId="5A59D23A" w14:textId="31298816" w:rsidR="00AD2427" w:rsidRPr="00AD2427" w:rsidRDefault="00D23317" w:rsidP="00D23317">
      <w:pPr>
        <w:pStyle w:val="RegSingleTxtG"/>
        <w:numPr>
          <w:ilvl w:val="0"/>
          <w:numId w:val="0"/>
        </w:numPr>
        <w:ind w:left="1134"/>
        <w:rPr>
          <w:rFonts w:eastAsia="Times New Roman"/>
          <w:sz w:val="22"/>
          <w:szCs w:val="22"/>
          <w:lang w:val="en-US" w:eastAsia="en-US"/>
        </w:rPr>
      </w:pPr>
      <w:r w:rsidRPr="00AD2427">
        <w:rPr>
          <w:rFonts w:eastAsia="Times New Roman"/>
          <w:szCs w:val="22"/>
          <w:lang w:val="en-US" w:eastAsia="en-US"/>
        </w:rPr>
        <w:t>7.</w:t>
      </w:r>
      <w:r w:rsidRPr="00AD2427">
        <w:rPr>
          <w:rFonts w:eastAsia="Times New Roman"/>
          <w:szCs w:val="22"/>
          <w:lang w:val="en-US" w:eastAsia="en-US"/>
        </w:rPr>
        <w:tab/>
      </w:r>
      <w:r w:rsidR="00AD2427" w:rsidRPr="00AD2427">
        <w:rPr>
          <w:rFonts w:eastAsia="Times New Roman"/>
          <w:i/>
          <w:iCs/>
          <w:lang w:eastAsia="en-US"/>
        </w:rPr>
        <w:t>Decides</w:t>
      </w:r>
      <w:r w:rsidR="00AD2427" w:rsidRPr="00AD2427">
        <w:rPr>
          <w:rFonts w:eastAsia="Times New Roman"/>
          <w:lang w:eastAsia="en-US"/>
        </w:rPr>
        <w:t xml:space="preserve"> that requests for registration, renewal of crediting period and issuance of certified emission reductions for project activities, as well as the equivalent submissions for programmes of activities, relating to emission reductions occurring after 31 December 2020 may not be submitted under the clean development mechanism, acknowledging that such requests and submissions may be made under the mechanism established by Article 6, paragraph 4, of the Paris Agreement (hereinafter referred to as the Article 6</w:t>
      </w:r>
      <w:r w:rsidR="00A56DC5">
        <w:rPr>
          <w:rFonts w:eastAsia="Times New Roman"/>
          <w:lang w:eastAsia="en-US"/>
        </w:rPr>
        <w:t>, para</w:t>
      </w:r>
      <w:r w:rsidR="003E3976">
        <w:rPr>
          <w:rFonts w:eastAsia="Times New Roman"/>
          <w:lang w:eastAsia="en-US"/>
        </w:rPr>
        <w:t xml:space="preserve">graph </w:t>
      </w:r>
      <w:r w:rsidR="00AD2427" w:rsidRPr="00AD2427">
        <w:rPr>
          <w:rFonts w:eastAsia="Times New Roman"/>
          <w:lang w:eastAsia="en-US"/>
        </w:rPr>
        <w:t>4</w:t>
      </w:r>
      <w:r w:rsidR="003E3976">
        <w:rPr>
          <w:rFonts w:eastAsia="Times New Roman"/>
          <w:lang w:eastAsia="en-US"/>
        </w:rPr>
        <w:t>,</w:t>
      </w:r>
      <w:r w:rsidR="00AD2427" w:rsidRPr="00AD2427">
        <w:rPr>
          <w:rFonts w:eastAsia="Times New Roman"/>
          <w:lang w:eastAsia="en-US"/>
        </w:rPr>
        <w:t xml:space="preserve"> mechanism), approval of which is subject to compliance with its rules, modalities and procedures and any other requirements determined by the Conference of the Parties serving as the meeting of the Parties to the Paris Agreement or the body that supervises the Article 6</w:t>
      </w:r>
      <w:r w:rsidR="003E3976">
        <w:rPr>
          <w:rFonts w:eastAsia="Times New Roman"/>
          <w:lang w:eastAsia="en-US"/>
        </w:rPr>
        <w:t xml:space="preserve">, paragraph </w:t>
      </w:r>
      <w:r w:rsidR="00AD2427" w:rsidRPr="00AD2427">
        <w:rPr>
          <w:rFonts w:eastAsia="Times New Roman"/>
          <w:lang w:eastAsia="en-US"/>
        </w:rPr>
        <w:t>4</w:t>
      </w:r>
      <w:r w:rsidR="003E3976">
        <w:rPr>
          <w:rFonts w:eastAsia="Times New Roman"/>
          <w:lang w:eastAsia="en-US"/>
        </w:rPr>
        <w:t>,</w:t>
      </w:r>
      <w:r w:rsidR="00AD2427" w:rsidRPr="00AD2427">
        <w:rPr>
          <w:rFonts w:eastAsia="Times New Roman"/>
          <w:lang w:eastAsia="en-US"/>
        </w:rPr>
        <w:t xml:space="preserve"> mechanism as designated </w:t>
      </w:r>
      <w:r w:rsidR="00AD2427" w:rsidRPr="00AD2427" w:rsidDel="0051116A">
        <w:rPr>
          <w:rFonts w:eastAsia="Times New Roman"/>
          <w:lang w:eastAsia="en-US"/>
        </w:rPr>
        <w:t>by</w:t>
      </w:r>
      <w:r w:rsidR="00AD2427" w:rsidRPr="00AD2427">
        <w:rPr>
          <w:rFonts w:eastAsia="Times New Roman"/>
          <w:lang w:eastAsia="en-US"/>
        </w:rPr>
        <w:t xml:space="preserve"> </w:t>
      </w:r>
      <w:r w:rsidR="00AD2427" w:rsidRPr="00B719E1">
        <w:rPr>
          <w:rFonts w:eastAsia="Times New Roman"/>
          <w:lang w:eastAsia="en-US"/>
        </w:rPr>
        <w:t xml:space="preserve">decision </w:t>
      </w:r>
      <w:r w:rsidR="00F41EEE" w:rsidRPr="00B719E1">
        <w:rPr>
          <w:rFonts w:eastAsia="Times New Roman"/>
          <w:lang w:eastAsia="en-US"/>
        </w:rPr>
        <w:t>3</w:t>
      </w:r>
      <w:r w:rsidR="00AD2427" w:rsidRPr="00B719E1">
        <w:rPr>
          <w:rFonts w:eastAsia="Times New Roman"/>
          <w:lang w:eastAsia="en-US"/>
        </w:rPr>
        <w:t>/CMA.3</w:t>
      </w:r>
      <w:r w:rsidR="00AD2427" w:rsidRPr="00AD2427">
        <w:rPr>
          <w:rFonts w:eastAsia="Times New Roman"/>
          <w:lang w:eastAsia="en-US"/>
        </w:rPr>
        <w:t xml:space="preserve"> (hereinafter referred to as the Supervisory Body);</w:t>
      </w:r>
    </w:p>
    <w:p w14:paraId="42E2F3EE" w14:textId="3562FA4F" w:rsidR="00AD2427" w:rsidRPr="00AD2427" w:rsidRDefault="00D23317" w:rsidP="00D23317">
      <w:pPr>
        <w:pStyle w:val="RegSingleTxtG"/>
        <w:numPr>
          <w:ilvl w:val="0"/>
          <w:numId w:val="0"/>
        </w:numPr>
        <w:ind w:left="1134"/>
        <w:rPr>
          <w:rFonts w:eastAsia="Times New Roman"/>
          <w:sz w:val="22"/>
          <w:szCs w:val="22"/>
          <w:lang w:val="en-US" w:eastAsia="en-US"/>
        </w:rPr>
      </w:pPr>
      <w:r w:rsidRPr="00AD2427">
        <w:rPr>
          <w:rFonts w:eastAsia="Times New Roman"/>
          <w:szCs w:val="22"/>
          <w:lang w:val="en-US" w:eastAsia="en-US"/>
        </w:rPr>
        <w:t>8.</w:t>
      </w:r>
      <w:r w:rsidRPr="00AD2427">
        <w:rPr>
          <w:rFonts w:eastAsia="Times New Roman"/>
          <w:szCs w:val="22"/>
          <w:lang w:val="en-US" w:eastAsia="en-US"/>
        </w:rPr>
        <w:tab/>
      </w:r>
      <w:r w:rsidR="00AD2427" w:rsidRPr="00AD2427">
        <w:rPr>
          <w:rFonts w:eastAsia="Times New Roman"/>
          <w:i/>
          <w:iCs/>
          <w:lang w:eastAsia="en-US"/>
        </w:rPr>
        <w:t>Also decides</w:t>
      </w:r>
      <w:r w:rsidR="00AD2427" w:rsidRPr="00AD2427">
        <w:rPr>
          <w:rFonts w:eastAsia="Times New Roman"/>
          <w:lang w:eastAsia="en-US"/>
        </w:rPr>
        <w:t xml:space="preserve"> to conclude its consideration of the following matters related to the clean development mechanism, which have been referred to the subsidiary bodies:</w:t>
      </w:r>
    </w:p>
    <w:p w14:paraId="17B4CAC7" w14:textId="22E7E5AE" w:rsidR="00AD2427" w:rsidRPr="00AD2427" w:rsidRDefault="00D23317" w:rsidP="00D23317">
      <w:pPr>
        <w:pStyle w:val="RegSingleTxtG2"/>
        <w:numPr>
          <w:ilvl w:val="0"/>
          <w:numId w:val="0"/>
        </w:numPr>
        <w:ind w:left="1134" w:firstLine="567"/>
        <w:rPr>
          <w:sz w:val="22"/>
          <w:szCs w:val="22"/>
          <w:lang w:val="en-US" w:eastAsia="en-US"/>
        </w:rPr>
      </w:pPr>
      <w:r w:rsidRPr="00AD2427">
        <w:rPr>
          <w:szCs w:val="28"/>
          <w:lang w:val="en-US" w:eastAsia="en-US"/>
        </w:rPr>
        <w:t>(a)</w:t>
      </w:r>
      <w:r w:rsidRPr="00AD2427">
        <w:rPr>
          <w:szCs w:val="28"/>
          <w:lang w:val="en-US" w:eastAsia="en-US"/>
        </w:rPr>
        <w:tab/>
      </w:r>
      <w:r w:rsidR="00AD2427" w:rsidRPr="00AD2427">
        <w:rPr>
          <w:lang w:eastAsia="en-US"/>
        </w:rPr>
        <w:t>Review of the modalities and procedures for the clean development mechanism, referred to the Subsidiary Body for Implementation;</w:t>
      </w:r>
      <w:r w:rsidR="007E142E">
        <w:rPr>
          <w:rStyle w:val="FootnoteReference"/>
          <w:lang w:eastAsia="en-US"/>
        </w:rPr>
        <w:footnoteReference w:id="5"/>
      </w:r>
    </w:p>
    <w:p w14:paraId="0DD3FB8E" w14:textId="2E87983B" w:rsidR="00AD2427" w:rsidRPr="00AD2427" w:rsidRDefault="00D23317" w:rsidP="00D23317">
      <w:pPr>
        <w:pStyle w:val="RegSingleTxtG2"/>
        <w:numPr>
          <w:ilvl w:val="0"/>
          <w:numId w:val="0"/>
        </w:numPr>
        <w:ind w:left="1134" w:firstLine="567"/>
        <w:rPr>
          <w:rFonts w:eastAsia="Times New Roman"/>
          <w:sz w:val="22"/>
          <w:szCs w:val="22"/>
          <w:lang w:val="en-US" w:eastAsia="en-US"/>
        </w:rPr>
      </w:pPr>
      <w:r w:rsidRPr="00AD2427">
        <w:rPr>
          <w:rFonts w:eastAsia="Times New Roman"/>
          <w:szCs w:val="28"/>
          <w:lang w:val="en-US" w:eastAsia="en-US"/>
        </w:rPr>
        <w:t>(b)</w:t>
      </w:r>
      <w:r w:rsidRPr="00AD2427">
        <w:rPr>
          <w:rFonts w:eastAsia="Times New Roman"/>
          <w:szCs w:val="28"/>
          <w:lang w:val="en-US" w:eastAsia="en-US"/>
        </w:rPr>
        <w:tab/>
      </w:r>
      <w:r w:rsidR="00AD2427" w:rsidRPr="00AD2427">
        <w:rPr>
          <w:rFonts w:eastAsia="Times New Roman"/>
          <w:lang w:eastAsia="en-US"/>
        </w:rPr>
        <w:t>Procedures, mechanisms and institutional arrangements for appeals against decisions of the Executive Board of the clean development mechanism, referred to the Subsidiary Body for Implementation;</w:t>
      </w:r>
      <w:r w:rsidR="007E142E">
        <w:rPr>
          <w:rStyle w:val="FootnoteReference"/>
          <w:rFonts w:eastAsia="Times New Roman"/>
          <w:lang w:eastAsia="en-US"/>
        </w:rPr>
        <w:footnoteReference w:id="6"/>
      </w:r>
    </w:p>
    <w:p w14:paraId="18662019" w14:textId="776310C7" w:rsidR="00AD2427" w:rsidRPr="00AD2427" w:rsidRDefault="00D23317" w:rsidP="00D23317">
      <w:pPr>
        <w:pStyle w:val="RegSingleTxtG2"/>
        <w:numPr>
          <w:ilvl w:val="0"/>
          <w:numId w:val="0"/>
        </w:numPr>
        <w:ind w:left="1134" w:firstLine="567"/>
        <w:rPr>
          <w:rFonts w:eastAsia="Times New Roman"/>
          <w:sz w:val="22"/>
          <w:szCs w:val="22"/>
          <w:lang w:val="en-US" w:eastAsia="en-US"/>
        </w:rPr>
      </w:pPr>
      <w:r w:rsidRPr="00AD2427">
        <w:rPr>
          <w:rFonts w:eastAsia="Times New Roman"/>
          <w:szCs w:val="28"/>
          <w:lang w:val="en-US" w:eastAsia="en-US"/>
        </w:rPr>
        <w:t>(c)</w:t>
      </w:r>
      <w:r w:rsidRPr="00AD2427">
        <w:rPr>
          <w:rFonts w:eastAsia="Times New Roman"/>
          <w:szCs w:val="28"/>
          <w:lang w:val="en-US" w:eastAsia="en-US"/>
        </w:rPr>
        <w:tab/>
      </w:r>
      <w:r w:rsidR="00AD2427" w:rsidRPr="00AD2427">
        <w:rPr>
          <w:rFonts w:eastAsia="Times New Roman"/>
          <w:lang w:eastAsia="en-US"/>
        </w:rPr>
        <w:t>Land use, land-use change and forestry under Article 3, paragraphs 3−4, of the Kyoto Protocol and the clean development mechanism, referred to the Subsidiary Body for Scientific and Technological Advice;</w:t>
      </w:r>
      <w:r w:rsidR="007E142E">
        <w:rPr>
          <w:rStyle w:val="FootnoteReference"/>
          <w:rFonts w:eastAsia="Times New Roman"/>
          <w:lang w:eastAsia="en-US"/>
        </w:rPr>
        <w:footnoteReference w:id="7"/>
      </w:r>
    </w:p>
    <w:p w14:paraId="20EA2AB0" w14:textId="602B4781" w:rsidR="00AD2427" w:rsidRPr="00AD2427" w:rsidRDefault="00D23317" w:rsidP="00D23317">
      <w:pPr>
        <w:pStyle w:val="RegSingleTxtG2"/>
        <w:numPr>
          <w:ilvl w:val="0"/>
          <w:numId w:val="0"/>
        </w:numPr>
        <w:ind w:left="1134" w:firstLine="567"/>
        <w:rPr>
          <w:rFonts w:eastAsia="Times New Roman"/>
          <w:sz w:val="22"/>
          <w:szCs w:val="22"/>
          <w:lang w:val="en-US" w:eastAsia="en-US"/>
        </w:rPr>
      </w:pPr>
      <w:r w:rsidRPr="00AD2427">
        <w:rPr>
          <w:rFonts w:eastAsia="Times New Roman"/>
          <w:szCs w:val="28"/>
          <w:lang w:val="en-US" w:eastAsia="en-US"/>
        </w:rPr>
        <w:t>(d)</w:t>
      </w:r>
      <w:r w:rsidRPr="00AD2427">
        <w:rPr>
          <w:rFonts w:eastAsia="Times New Roman"/>
          <w:szCs w:val="28"/>
          <w:lang w:val="en-US" w:eastAsia="en-US"/>
        </w:rPr>
        <w:tab/>
      </w:r>
      <w:r w:rsidR="00AD2427" w:rsidRPr="00AD2427">
        <w:rPr>
          <w:rFonts w:eastAsia="Times New Roman"/>
          <w:lang w:eastAsia="en-US"/>
        </w:rPr>
        <w:t>Implications of the inclusion of reforestation of lands with forest in exhaustion as afforestation and reforestation clean development mechanism project activities, referred to the Subsidiary Body for Scientific and Technological Advice;</w:t>
      </w:r>
      <w:r w:rsidR="007E142E">
        <w:rPr>
          <w:rStyle w:val="FootnoteReference"/>
          <w:rFonts w:eastAsia="Times New Roman"/>
          <w:lang w:eastAsia="en-US"/>
        </w:rPr>
        <w:footnoteReference w:id="8"/>
      </w:r>
    </w:p>
    <w:p w14:paraId="52745FFA" w14:textId="6C324919" w:rsidR="00AD2427" w:rsidRPr="00AD2427" w:rsidRDefault="00D23317" w:rsidP="00D23317">
      <w:pPr>
        <w:pStyle w:val="RegSingleTxtG"/>
        <w:numPr>
          <w:ilvl w:val="0"/>
          <w:numId w:val="0"/>
        </w:numPr>
        <w:ind w:left="1134"/>
        <w:rPr>
          <w:rFonts w:eastAsia="Times New Roman"/>
          <w:sz w:val="22"/>
          <w:szCs w:val="22"/>
          <w:lang w:val="en-US" w:eastAsia="en-US"/>
        </w:rPr>
      </w:pPr>
      <w:r w:rsidRPr="00AD2427">
        <w:rPr>
          <w:rFonts w:eastAsia="Times New Roman"/>
          <w:szCs w:val="22"/>
          <w:lang w:val="en-US" w:eastAsia="en-US"/>
        </w:rPr>
        <w:t>9.</w:t>
      </w:r>
      <w:r w:rsidRPr="00AD2427">
        <w:rPr>
          <w:rFonts w:eastAsia="Times New Roman"/>
          <w:szCs w:val="22"/>
          <w:lang w:val="en-US" w:eastAsia="en-US"/>
        </w:rPr>
        <w:tab/>
      </w:r>
      <w:r w:rsidR="00AD2427" w:rsidRPr="00AD2427">
        <w:rPr>
          <w:rFonts w:eastAsia="Times New Roman"/>
          <w:i/>
          <w:iCs/>
          <w:lang w:eastAsia="en-US"/>
        </w:rPr>
        <w:t>Requests</w:t>
      </w:r>
      <w:r w:rsidR="00AD2427" w:rsidRPr="00AD2427">
        <w:rPr>
          <w:rFonts w:eastAsia="Times New Roman"/>
          <w:lang w:eastAsia="en-US"/>
        </w:rPr>
        <w:t xml:space="preserve"> the Subsidiary Body for Implementation to consider measures </w:t>
      </w:r>
      <w:r w:rsidR="00335462">
        <w:rPr>
          <w:rFonts w:eastAsia="Times New Roman"/>
          <w:lang w:eastAsia="en-US"/>
        </w:rPr>
        <w:t>for</w:t>
      </w:r>
      <w:r w:rsidR="00AD2427" w:rsidRPr="00AD2427">
        <w:rPr>
          <w:rFonts w:eastAsia="Times New Roman"/>
          <w:lang w:eastAsia="en-US"/>
        </w:rPr>
        <w:t xml:space="preserve"> implement</w:t>
      </w:r>
      <w:r w:rsidR="00335462">
        <w:rPr>
          <w:rFonts w:eastAsia="Times New Roman"/>
          <w:lang w:eastAsia="en-US"/>
        </w:rPr>
        <w:t>ing</w:t>
      </w:r>
      <w:r w:rsidR="00AD2427" w:rsidRPr="00AD2427">
        <w:rPr>
          <w:rFonts w:eastAsia="Times New Roman"/>
          <w:lang w:eastAsia="en-US"/>
        </w:rPr>
        <w:t xml:space="preserve"> aspects relating to the clean development mechanism registry in </w:t>
      </w:r>
      <w:r w:rsidR="00AD2427" w:rsidRPr="00B719E1">
        <w:rPr>
          <w:rFonts w:eastAsia="Times New Roman"/>
          <w:lang w:eastAsia="en-US"/>
        </w:rPr>
        <w:t xml:space="preserve">decision </w:t>
      </w:r>
      <w:r w:rsidR="008A7EFF" w:rsidRPr="00B719E1">
        <w:rPr>
          <w:rFonts w:eastAsia="Times New Roman"/>
          <w:lang w:eastAsia="en-US"/>
        </w:rPr>
        <w:t>3</w:t>
      </w:r>
      <w:r w:rsidR="00AD2427" w:rsidRPr="00B719E1">
        <w:rPr>
          <w:rFonts w:eastAsia="Times New Roman"/>
          <w:lang w:eastAsia="en-US"/>
        </w:rPr>
        <w:t>/CMA.3</w:t>
      </w:r>
      <w:r w:rsidR="007E142E">
        <w:rPr>
          <w:rStyle w:val="FootnoteReference"/>
          <w:rFonts w:eastAsia="Times New Roman"/>
          <w:lang w:eastAsia="en-US"/>
        </w:rPr>
        <w:footnoteReference w:id="9"/>
      </w:r>
      <w:r w:rsidR="00AD2427" w:rsidRPr="00AD2427">
        <w:rPr>
          <w:rFonts w:eastAsia="Times New Roman"/>
          <w:lang w:eastAsia="en-US"/>
        </w:rPr>
        <w:t xml:space="preserve"> </w:t>
      </w:r>
      <w:r w:rsidR="00335462">
        <w:rPr>
          <w:rFonts w:eastAsia="Times New Roman"/>
          <w:lang w:eastAsia="en-US"/>
        </w:rPr>
        <w:t xml:space="preserve">and </w:t>
      </w:r>
      <w:r w:rsidR="00AD2427" w:rsidRPr="00AD2427">
        <w:rPr>
          <w:rFonts w:eastAsia="Times New Roman"/>
          <w:lang w:eastAsia="en-US"/>
        </w:rPr>
        <w:t>to develop recommendations for consideration by the Conference of the Parties serving as the meeting of the Parties to the Kyoto Protocol at its seventeenth session (November 2022);</w:t>
      </w:r>
    </w:p>
    <w:p w14:paraId="5592E2F2" w14:textId="5DAA6003" w:rsidR="00AD2427" w:rsidRPr="00AD2427" w:rsidRDefault="00D23317" w:rsidP="00D23317">
      <w:pPr>
        <w:pStyle w:val="RegSingleTxtG"/>
        <w:numPr>
          <w:ilvl w:val="0"/>
          <w:numId w:val="0"/>
        </w:numPr>
        <w:ind w:left="1134"/>
        <w:rPr>
          <w:rFonts w:eastAsia="Times New Roman"/>
          <w:sz w:val="22"/>
          <w:szCs w:val="22"/>
          <w:lang w:val="en-US" w:eastAsia="en-US"/>
        </w:rPr>
      </w:pPr>
      <w:r w:rsidRPr="00AD2427">
        <w:rPr>
          <w:rFonts w:eastAsia="Times New Roman"/>
          <w:szCs w:val="22"/>
          <w:lang w:val="en-US" w:eastAsia="en-US"/>
        </w:rPr>
        <w:t>10.</w:t>
      </w:r>
      <w:r w:rsidRPr="00AD2427">
        <w:rPr>
          <w:rFonts w:eastAsia="Times New Roman"/>
          <w:szCs w:val="22"/>
          <w:lang w:val="en-US" w:eastAsia="en-US"/>
        </w:rPr>
        <w:tab/>
      </w:r>
      <w:r w:rsidR="00AD2427" w:rsidRPr="00AD2427">
        <w:rPr>
          <w:rFonts w:eastAsia="Times New Roman"/>
          <w:i/>
          <w:iCs/>
          <w:lang w:eastAsia="en-US"/>
        </w:rPr>
        <w:t>Also requests</w:t>
      </w:r>
      <w:r w:rsidR="00AD2427" w:rsidRPr="00AD2427">
        <w:rPr>
          <w:rFonts w:eastAsia="Times New Roman"/>
          <w:lang w:eastAsia="en-US"/>
        </w:rPr>
        <w:t xml:space="preserve"> the Executive Board to cooperate with the Supervisory Body upon its request to facilitate the expedited implementation of the Article 6</w:t>
      </w:r>
      <w:r w:rsidR="003E3976">
        <w:rPr>
          <w:rFonts w:eastAsia="Times New Roman"/>
          <w:lang w:eastAsia="en-US"/>
        </w:rPr>
        <w:t xml:space="preserve">, paragraph </w:t>
      </w:r>
      <w:r w:rsidR="00AD2427" w:rsidRPr="00AD2427">
        <w:rPr>
          <w:rFonts w:eastAsia="Times New Roman"/>
          <w:lang w:eastAsia="en-US"/>
        </w:rPr>
        <w:t>4</w:t>
      </w:r>
      <w:r w:rsidR="003E3976">
        <w:rPr>
          <w:rFonts w:eastAsia="Times New Roman"/>
          <w:lang w:eastAsia="en-US"/>
        </w:rPr>
        <w:t>,</w:t>
      </w:r>
      <w:r w:rsidR="00AD2427" w:rsidRPr="00AD2427">
        <w:rPr>
          <w:rFonts w:eastAsia="Times New Roman"/>
          <w:lang w:eastAsia="en-US"/>
        </w:rPr>
        <w:t xml:space="preserve"> mechanism;</w:t>
      </w:r>
    </w:p>
    <w:p w14:paraId="7F1931AE" w14:textId="0CB6D8DD" w:rsidR="00AD2427" w:rsidRPr="00AD2427" w:rsidRDefault="00D23317" w:rsidP="00D23317">
      <w:pPr>
        <w:pStyle w:val="RegSingleTxtG"/>
        <w:numPr>
          <w:ilvl w:val="0"/>
          <w:numId w:val="0"/>
        </w:numPr>
        <w:ind w:left="1134"/>
        <w:rPr>
          <w:rFonts w:eastAsia="Times New Roman"/>
          <w:sz w:val="22"/>
          <w:szCs w:val="22"/>
          <w:lang w:val="en-US" w:eastAsia="en-US"/>
        </w:rPr>
      </w:pPr>
      <w:r w:rsidRPr="00AD2427">
        <w:rPr>
          <w:rFonts w:eastAsia="Times New Roman"/>
          <w:szCs w:val="22"/>
          <w:lang w:val="en-US" w:eastAsia="en-US"/>
        </w:rPr>
        <w:t>11.</w:t>
      </w:r>
      <w:r w:rsidRPr="00AD2427">
        <w:rPr>
          <w:rFonts w:eastAsia="Times New Roman"/>
          <w:szCs w:val="22"/>
          <w:lang w:val="en-US" w:eastAsia="en-US"/>
        </w:rPr>
        <w:tab/>
      </w:r>
      <w:r w:rsidR="00AD2427" w:rsidRPr="00AD2427">
        <w:rPr>
          <w:rFonts w:eastAsia="Times New Roman"/>
          <w:i/>
          <w:iCs/>
          <w:lang w:eastAsia="en-US"/>
        </w:rPr>
        <w:t>Further requests</w:t>
      </w:r>
      <w:r w:rsidR="00AD2427" w:rsidRPr="00AD2427">
        <w:rPr>
          <w:rFonts w:eastAsia="Times New Roman"/>
          <w:lang w:eastAsia="en-US"/>
        </w:rPr>
        <w:t xml:space="preserve"> the Executive Board to make available hard and soft infrastructure under the clean development mechanism to the Supervisory Body to facilitate the expedited implementation of the Article 6</w:t>
      </w:r>
      <w:r w:rsidR="003E3976">
        <w:rPr>
          <w:rFonts w:eastAsia="Times New Roman"/>
          <w:lang w:eastAsia="en-US"/>
        </w:rPr>
        <w:t xml:space="preserve">, paragraph </w:t>
      </w:r>
      <w:r w:rsidR="00AD2427" w:rsidRPr="00AD2427">
        <w:rPr>
          <w:rFonts w:eastAsia="Times New Roman"/>
          <w:lang w:eastAsia="en-US"/>
        </w:rPr>
        <w:t>4</w:t>
      </w:r>
      <w:r w:rsidR="003E3976">
        <w:rPr>
          <w:rFonts w:eastAsia="Times New Roman"/>
          <w:lang w:eastAsia="en-US"/>
        </w:rPr>
        <w:t>,</w:t>
      </w:r>
      <w:r w:rsidR="00AD2427" w:rsidRPr="00AD2427">
        <w:rPr>
          <w:rFonts w:eastAsia="Times New Roman"/>
          <w:lang w:eastAsia="en-US"/>
        </w:rPr>
        <w:t xml:space="preserve"> mechanism;</w:t>
      </w:r>
    </w:p>
    <w:p w14:paraId="0493E344" w14:textId="0FC17BCB" w:rsidR="00AD2427" w:rsidRPr="00AD2427" w:rsidRDefault="00D23317" w:rsidP="00D23317">
      <w:pPr>
        <w:pStyle w:val="RegSingleTxtG"/>
        <w:numPr>
          <w:ilvl w:val="0"/>
          <w:numId w:val="0"/>
        </w:numPr>
        <w:ind w:left="1134"/>
        <w:rPr>
          <w:rFonts w:eastAsia="Times New Roman"/>
          <w:sz w:val="22"/>
          <w:szCs w:val="22"/>
          <w:lang w:val="en-US" w:eastAsia="en-US"/>
        </w:rPr>
      </w:pPr>
      <w:r w:rsidRPr="00AD2427">
        <w:rPr>
          <w:rFonts w:eastAsia="Times New Roman"/>
          <w:szCs w:val="22"/>
          <w:lang w:val="en-US" w:eastAsia="en-US"/>
        </w:rPr>
        <w:t>12.</w:t>
      </w:r>
      <w:r w:rsidRPr="00AD2427">
        <w:rPr>
          <w:rFonts w:eastAsia="Times New Roman"/>
          <w:szCs w:val="22"/>
          <w:lang w:val="en-US" w:eastAsia="en-US"/>
        </w:rPr>
        <w:tab/>
      </w:r>
      <w:r w:rsidR="00AD2427" w:rsidRPr="00AD2427">
        <w:rPr>
          <w:rFonts w:eastAsia="Times New Roman"/>
          <w:i/>
          <w:iCs/>
          <w:lang w:eastAsia="en-US"/>
        </w:rPr>
        <w:t>Decides</w:t>
      </w:r>
      <w:r w:rsidR="00AD2427" w:rsidRPr="00AD2427">
        <w:rPr>
          <w:rFonts w:eastAsia="Times New Roman"/>
          <w:lang w:eastAsia="en-US"/>
        </w:rPr>
        <w:t xml:space="preserve"> that any registered clean development mechanism project activities and programmes of activities that have transitioned to the Article 6</w:t>
      </w:r>
      <w:r w:rsidR="003E3976">
        <w:rPr>
          <w:rFonts w:eastAsia="Times New Roman"/>
          <w:lang w:eastAsia="en-US"/>
        </w:rPr>
        <w:t>, paragraph</w:t>
      </w:r>
      <w:r w:rsidR="003E3976" w:rsidRPr="00AD2427">
        <w:rPr>
          <w:rFonts w:eastAsia="Times New Roman"/>
          <w:lang w:eastAsia="en-US"/>
        </w:rPr>
        <w:t xml:space="preserve"> </w:t>
      </w:r>
      <w:r w:rsidR="00AD2427" w:rsidRPr="00AD2427">
        <w:rPr>
          <w:rFonts w:eastAsia="Times New Roman"/>
          <w:lang w:eastAsia="en-US"/>
        </w:rPr>
        <w:t>4</w:t>
      </w:r>
      <w:r w:rsidR="003E3976">
        <w:rPr>
          <w:rFonts w:eastAsia="Times New Roman"/>
          <w:lang w:eastAsia="en-US"/>
        </w:rPr>
        <w:t>,</w:t>
      </w:r>
      <w:r w:rsidR="00AD2427" w:rsidRPr="00AD2427">
        <w:rPr>
          <w:rFonts w:eastAsia="Times New Roman"/>
          <w:lang w:eastAsia="en-US"/>
        </w:rPr>
        <w:t xml:space="preserve"> mechanism in accordance with </w:t>
      </w:r>
      <w:r w:rsidR="00AD2427" w:rsidRPr="00B719E1">
        <w:rPr>
          <w:rFonts w:eastAsia="Times New Roman"/>
          <w:lang w:eastAsia="en-US"/>
        </w:rPr>
        <w:t xml:space="preserve">decision </w:t>
      </w:r>
      <w:r w:rsidR="008A7EFF" w:rsidRPr="00B719E1">
        <w:rPr>
          <w:rFonts w:eastAsia="Times New Roman"/>
          <w:lang w:eastAsia="en-US"/>
        </w:rPr>
        <w:t>3</w:t>
      </w:r>
      <w:r w:rsidR="00AD2427" w:rsidRPr="00B719E1">
        <w:rPr>
          <w:rFonts w:eastAsia="Times New Roman"/>
          <w:lang w:eastAsia="en-US"/>
        </w:rPr>
        <w:t>/CMA.3</w:t>
      </w:r>
      <w:r w:rsidR="00AD2427" w:rsidRPr="00AD2427">
        <w:rPr>
          <w:rFonts w:eastAsia="Times New Roman"/>
          <w:lang w:eastAsia="en-US"/>
        </w:rPr>
        <w:t xml:space="preserve"> shall be deregistered from the clean development mechanism effective from the date of transition;</w:t>
      </w:r>
    </w:p>
    <w:p w14:paraId="38824F57" w14:textId="3A5FFEDF" w:rsidR="00AD2427" w:rsidRPr="00AD2427" w:rsidRDefault="00D23317" w:rsidP="00D23317">
      <w:pPr>
        <w:pStyle w:val="RegSingleTxtG"/>
        <w:numPr>
          <w:ilvl w:val="0"/>
          <w:numId w:val="0"/>
        </w:numPr>
        <w:ind w:left="1134"/>
        <w:rPr>
          <w:rFonts w:eastAsia="Times New Roman"/>
          <w:sz w:val="22"/>
          <w:szCs w:val="22"/>
          <w:lang w:val="en-US" w:eastAsia="en-US"/>
        </w:rPr>
      </w:pPr>
      <w:r w:rsidRPr="00AD2427">
        <w:rPr>
          <w:rFonts w:eastAsia="Times New Roman"/>
          <w:szCs w:val="22"/>
          <w:lang w:val="en-US" w:eastAsia="en-US"/>
        </w:rPr>
        <w:t>13.</w:t>
      </w:r>
      <w:r w:rsidRPr="00AD2427">
        <w:rPr>
          <w:rFonts w:eastAsia="Times New Roman"/>
          <w:szCs w:val="22"/>
          <w:lang w:val="en-US" w:eastAsia="en-US"/>
        </w:rPr>
        <w:tab/>
      </w:r>
      <w:r w:rsidR="00AD2427" w:rsidRPr="00AD2427">
        <w:rPr>
          <w:rFonts w:eastAsia="Times New Roman"/>
          <w:i/>
          <w:iCs/>
          <w:lang w:eastAsia="en-US"/>
        </w:rPr>
        <w:t xml:space="preserve">Requests </w:t>
      </w:r>
      <w:r w:rsidR="00AD2427" w:rsidRPr="00AD2427">
        <w:rPr>
          <w:rFonts w:eastAsia="Times New Roman"/>
          <w:lang w:eastAsia="en-US"/>
        </w:rPr>
        <w:t>the Executive Board to retain the provisional status accorded to the requests for registration, renewal of crediting period and issuance of certified emission reductions for project activities as well as to the equivalent submissions for programmes of activities under the temporary measures adopted by the Executive Board at its 108</w:t>
      </w:r>
      <w:r w:rsidR="00AD2427" w:rsidRPr="00AD2427">
        <w:rPr>
          <w:rFonts w:eastAsia="Times New Roman"/>
          <w:sz w:val="16"/>
          <w:szCs w:val="16"/>
          <w:vertAlign w:val="superscript"/>
          <w:lang w:eastAsia="en-US"/>
        </w:rPr>
        <w:t>th</w:t>
      </w:r>
      <w:r w:rsidR="00AD2427" w:rsidRPr="00AD2427">
        <w:rPr>
          <w:rFonts w:eastAsia="Times New Roman"/>
          <w:lang w:eastAsia="en-US"/>
        </w:rPr>
        <w:t xml:space="preserve"> meeting,</w:t>
      </w:r>
      <w:r w:rsidR="00AD2427" w:rsidRPr="00AD2427">
        <w:rPr>
          <w:rFonts w:eastAsia="Times New Roman"/>
          <w:i/>
          <w:iCs/>
          <w:lang w:eastAsia="en-US"/>
        </w:rPr>
        <w:t xml:space="preserve"> </w:t>
      </w:r>
      <w:r w:rsidR="00AD2427" w:rsidRPr="00AD2427">
        <w:rPr>
          <w:rFonts w:eastAsia="Times New Roman"/>
          <w:lang w:eastAsia="en-US"/>
        </w:rPr>
        <w:t xml:space="preserve">acknowledging </w:t>
      </w:r>
      <w:r w:rsidR="00AD2427" w:rsidRPr="00B719E1">
        <w:rPr>
          <w:rFonts w:eastAsia="Times New Roman"/>
          <w:lang w:eastAsia="en-US"/>
        </w:rPr>
        <w:t xml:space="preserve">decision </w:t>
      </w:r>
      <w:r w:rsidR="008A7EFF" w:rsidRPr="00B719E1">
        <w:rPr>
          <w:rFonts w:eastAsia="Times New Roman"/>
          <w:lang w:eastAsia="en-US"/>
        </w:rPr>
        <w:t>3</w:t>
      </w:r>
      <w:r w:rsidR="00AD2427" w:rsidRPr="00B719E1">
        <w:rPr>
          <w:rFonts w:eastAsia="Times New Roman"/>
          <w:lang w:eastAsia="en-US"/>
        </w:rPr>
        <w:t>/CMA.3</w:t>
      </w:r>
      <w:r w:rsidR="00AD2427" w:rsidRPr="00AD2427">
        <w:rPr>
          <w:rFonts w:eastAsia="Times New Roman"/>
          <w:lang w:eastAsia="en-US"/>
        </w:rPr>
        <w:t>,</w:t>
      </w:r>
      <w:r w:rsidR="00794A92">
        <w:rPr>
          <w:rFonts w:eastAsia="Times New Roman"/>
          <w:lang w:eastAsia="en-US"/>
        </w:rPr>
        <w:t xml:space="preserve"> </w:t>
      </w:r>
      <w:r w:rsidR="00AD2427" w:rsidRPr="00AD2427">
        <w:rPr>
          <w:rFonts w:eastAsia="Times New Roman"/>
          <w:lang w:eastAsia="en-US"/>
        </w:rPr>
        <w:t xml:space="preserve">according to which the requests and other submissions that have been </w:t>
      </w:r>
      <w:r w:rsidR="00AD2427" w:rsidRPr="00AD2427">
        <w:rPr>
          <w:rFonts w:eastAsia="Times New Roman"/>
          <w:lang w:eastAsia="en-US"/>
        </w:rPr>
        <w:lastRenderedPageBreak/>
        <w:t>accorded provisional status under the temporary measures that meet the conditions for transition therein may transition to the Article 6</w:t>
      </w:r>
      <w:r w:rsidR="003E3976">
        <w:rPr>
          <w:rFonts w:eastAsia="Times New Roman"/>
          <w:lang w:eastAsia="en-US"/>
        </w:rPr>
        <w:t>, paragraph</w:t>
      </w:r>
      <w:r w:rsidR="003E3976" w:rsidRPr="00AD2427">
        <w:rPr>
          <w:rFonts w:eastAsia="Times New Roman"/>
          <w:lang w:eastAsia="en-US"/>
        </w:rPr>
        <w:t xml:space="preserve"> </w:t>
      </w:r>
      <w:r w:rsidR="00AD2427" w:rsidRPr="00AD2427">
        <w:rPr>
          <w:rFonts w:eastAsia="Times New Roman"/>
          <w:lang w:eastAsia="en-US"/>
        </w:rPr>
        <w:t>4</w:t>
      </w:r>
      <w:r w:rsidR="003E3976">
        <w:rPr>
          <w:rFonts w:eastAsia="Times New Roman"/>
          <w:lang w:eastAsia="en-US"/>
        </w:rPr>
        <w:t>,</w:t>
      </w:r>
      <w:r w:rsidR="00AD2427" w:rsidRPr="00AD2427">
        <w:rPr>
          <w:rFonts w:eastAsia="Times New Roman"/>
          <w:lang w:eastAsia="en-US"/>
        </w:rPr>
        <w:t xml:space="preserve"> mechanism;</w:t>
      </w:r>
    </w:p>
    <w:p w14:paraId="7A2A99D0" w14:textId="427FC2C6" w:rsidR="00AD2427" w:rsidRPr="00AD2427" w:rsidRDefault="00D23317" w:rsidP="00D23317">
      <w:pPr>
        <w:pStyle w:val="RegSingleTxtG"/>
        <w:numPr>
          <w:ilvl w:val="0"/>
          <w:numId w:val="0"/>
        </w:numPr>
        <w:ind w:left="1134"/>
        <w:rPr>
          <w:rFonts w:eastAsia="Times New Roman"/>
          <w:sz w:val="22"/>
          <w:szCs w:val="22"/>
          <w:lang w:val="en-US" w:eastAsia="en-US"/>
        </w:rPr>
      </w:pPr>
      <w:r w:rsidRPr="00AD2427">
        <w:rPr>
          <w:rFonts w:eastAsia="Times New Roman"/>
          <w:szCs w:val="22"/>
          <w:lang w:val="en-US" w:eastAsia="en-US"/>
        </w:rPr>
        <w:t>14.</w:t>
      </w:r>
      <w:r w:rsidRPr="00AD2427">
        <w:rPr>
          <w:rFonts w:eastAsia="Times New Roman"/>
          <w:szCs w:val="22"/>
          <w:lang w:val="en-US" w:eastAsia="en-US"/>
        </w:rPr>
        <w:tab/>
      </w:r>
      <w:r w:rsidR="00AD2427" w:rsidRPr="00AD2427">
        <w:rPr>
          <w:rFonts w:eastAsia="Times New Roman"/>
          <w:i/>
          <w:iCs/>
          <w:lang w:eastAsia="en-US"/>
        </w:rPr>
        <w:t>Also requests</w:t>
      </w:r>
      <w:r w:rsidR="00AD2427" w:rsidRPr="00AD2427">
        <w:rPr>
          <w:rFonts w:eastAsia="Times New Roman"/>
          <w:lang w:eastAsia="en-US"/>
        </w:rPr>
        <w:t xml:space="preserve"> the Executive Board to reject the requests and other submissions that have been accorded provisional status under the temporary measures but </w:t>
      </w:r>
      <w:r w:rsidR="00B47F28">
        <w:rPr>
          <w:rFonts w:eastAsia="Times New Roman"/>
          <w:lang w:eastAsia="en-US"/>
        </w:rPr>
        <w:t xml:space="preserve">have not </w:t>
      </w:r>
      <w:r w:rsidR="00AD2427" w:rsidRPr="00AD2427">
        <w:rPr>
          <w:rFonts w:eastAsia="Times New Roman"/>
          <w:lang w:eastAsia="en-US"/>
        </w:rPr>
        <w:t>subsequently transitioned to the Article 6</w:t>
      </w:r>
      <w:r w:rsidR="003E3976">
        <w:rPr>
          <w:rFonts w:eastAsia="Times New Roman"/>
          <w:lang w:eastAsia="en-US"/>
        </w:rPr>
        <w:t>, paragraph</w:t>
      </w:r>
      <w:r w:rsidR="003E3976" w:rsidRPr="00AD2427">
        <w:rPr>
          <w:rFonts w:eastAsia="Times New Roman"/>
          <w:lang w:eastAsia="en-US"/>
        </w:rPr>
        <w:t xml:space="preserve"> </w:t>
      </w:r>
      <w:r w:rsidR="00AD2427" w:rsidRPr="00AD2427">
        <w:rPr>
          <w:rFonts w:eastAsia="Times New Roman"/>
          <w:lang w:eastAsia="en-US"/>
        </w:rPr>
        <w:t>4</w:t>
      </w:r>
      <w:r w:rsidR="003E3976">
        <w:rPr>
          <w:rFonts w:eastAsia="Times New Roman"/>
          <w:lang w:eastAsia="en-US"/>
        </w:rPr>
        <w:t>,</w:t>
      </w:r>
      <w:r w:rsidR="00AD2427" w:rsidRPr="00AD2427">
        <w:rPr>
          <w:rFonts w:eastAsia="Times New Roman"/>
          <w:lang w:eastAsia="en-US"/>
        </w:rPr>
        <w:t xml:space="preserve"> mechanism;</w:t>
      </w:r>
    </w:p>
    <w:p w14:paraId="4F5BBF44" w14:textId="7E028A47" w:rsidR="00AD2427" w:rsidRPr="00AD2427" w:rsidRDefault="00D23317" w:rsidP="00D23317">
      <w:pPr>
        <w:pStyle w:val="RegSingleTxtG"/>
        <w:numPr>
          <w:ilvl w:val="0"/>
          <w:numId w:val="0"/>
        </w:numPr>
        <w:ind w:left="1134"/>
        <w:rPr>
          <w:rFonts w:eastAsia="Times New Roman"/>
          <w:sz w:val="22"/>
          <w:szCs w:val="22"/>
          <w:lang w:val="en-US" w:eastAsia="en-US"/>
        </w:rPr>
      </w:pPr>
      <w:r w:rsidRPr="00AD2427">
        <w:rPr>
          <w:rFonts w:eastAsia="Times New Roman"/>
          <w:szCs w:val="22"/>
          <w:lang w:val="en-US" w:eastAsia="en-US"/>
        </w:rPr>
        <w:t>15.</w:t>
      </w:r>
      <w:r w:rsidRPr="00AD2427">
        <w:rPr>
          <w:rFonts w:eastAsia="Times New Roman"/>
          <w:szCs w:val="22"/>
          <w:lang w:val="en-US" w:eastAsia="en-US"/>
        </w:rPr>
        <w:tab/>
      </w:r>
      <w:r w:rsidR="00AD2427" w:rsidRPr="00AD2427">
        <w:rPr>
          <w:rFonts w:eastAsia="Times New Roman"/>
          <w:i/>
          <w:iCs/>
          <w:lang w:eastAsia="en-US"/>
        </w:rPr>
        <w:t xml:space="preserve">Decides </w:t>
      </w:r>
      <w:r w:rsidR="00AD2427" w:rsidRPr="00AD2427">
        <w:rPr>
          <w:rFonts w:eastAsia="Times New Roman"/>
          <w:lang w:eastAsia="en-US"/>
        </w:rPr>
        <w:t>that the Executive Board may continue receiving and processing the relevant requests and submissions under the temporary measures until the date</w:t>
      </w:r>
      <w:r w:rsidR="004521D3">
        <w:rPr>
          <w:rFonts w:eastAsia="Times New Roman"/>
          <w:lang w:eastAsia="en-US"/>
        </w:rPr>
        <w:t xml:space="preserve"> </w:t>
      </w:r>
      <w:r w:rsidR="00AD2427" w:rsidRPr="00AD2427">
        <w:rPr>
          <w:rFonts w:eastAsia="Times New Roman"/>
          <w:lang w:eastAsia="en-US"/>
        </w:rPr>
        <w:t>when the process for submission of requests to the secretariat to transition the requests and other submissions that have been accorded provisional status to the Article 6</w:t>
      </w:r>
      <w:r w:rsidR="003E3976">
        <w:rPr>
          <w:rFonts w:eastAsia="Times New Roman"/>
          <w:lang w:eastAsia="en-US"/>
        </w:rPr>
        <w:t>, paragraph</w:t>
      </w:r>
      <w:r w:rsidR="003E3976" w:rsidRPr="00AD2427">
        <w:rPr>
          <w:rFonts w:eastAsia="Times New Roman"/>
          <w:lang w:eastAsia="en-US"/>
        </w:rPr>
        <w:t xml:space="preserve"> </w:t>
      </w:r>
      <w:r w:rsidR="00AD2427" w:rsidRPr="00AD2427">
        <w:rPr>
          <w:rFonts w:eastAsia="Times New Roman"/>
          <w:lang w:eastAsia="en-US"/>
        </w:rPr>
        <w:t>4</w:t>
      </w:r>
      <w:r w:rsidR="003E3976">
        <w:rPr>
          <w:rFonts w:eastAsia="Times New Roman"/>
          <w:lang w:eastAsia="en-US"/>
        </w:rPr>
        <w:t>,</w:t>
      </w:r>
      <w:r w:rsidR="00AD2427" w:rsidRPr="00AD2427">
        <w:rPr>
          <w:rFonts w:eastAsia="Times New Roman"/>
          <w:lang w:eastAsia="en-US"/>
        </w:rPr>
        <w:t xml:space="preserve"> mechanism becomes operational, as may be specified by the Supervisory Body;</w:t>
      </w:r>
    </w:p>
    <w:p w14:paraId="0DC5738A" w14:textId="159486C2" w:rsidR="00AD2427" w:rsidRPr="00AD2427" w:rsidRDefault="00D23317" w:rsidP="00D23317">
      <w:pPr>
        <w:pStyle w:val="RegHChG"/>
        <w:numPr>
          <w:ilvl w:val="0"/>
          <w:numId w:val="0"/>
        </w:numPr>
        <w:tabs>
          <w:tab w:val="left" w:pos="1135"/>
        </w:tabs>
        <w:ind w:left="1135" w:hanging="454"/>
        <w:rPr>
          <w:lang w:val="en-US" w:eastAsia="en-US"/>
        </w:rPr>
      </w:pPr>
      <w:r w:rsidRPr="00AD2427">
        <w:rPr>
          <w:lang w:val="en-US" w:eastAsia="en-US"/>
        </w:rPr>
        <w:t>IV.</w:t>
      </w:r>
      <w:r w:rsidRPr="00AD2427">
        <w:rPr>
          <w:lang w:val="en-US" w:eastAsia="en-US"/>
        </w:rPr>
        <w:tab/>
      </w:r>
      <w:r w:rsidR="00AD2427" w:rsidRPr="00AD2427">
        <w:rPr>
          <w:lang w:eastAsia="en-US"/>
        </w:rPr>
        <w:t>Management of financial resources</w:t>
      </w:r>
    </w:p>
    <w:p w14:paraId="6AEE34D2" w14:textId="237689E3" w:rsidR="00AD2427" w:rsidRPr="00AD2427" w:rsidRDefault="00D23317" w:rsidP="00D23317">
      <w:pPr>
        <w:pStyle w:val="RegSingleTxtG"/>
        <w:numPr>
          <w:ilvl w:val="0"/>
          <w:numId w:val="0"/>
        </w:numPr>
        <w:ind w:left="1134"/>
        <w:rPr>
          <w:rFonts w:eastAsia="Times New Roman"/>
          <w:sz w:val="22"/>
          <w:szCs w:val="22"/>
          <w:lang w:val="en-US" w:eastAsia="en-US"/>
        </w:rPr>
      </w:pPr>
      <w:r w:rsidRPr="00AD2427">
        <w:rPr>
          <w:rFonts w:eastAsia="Times New Roman"/>
          <w:szCs w:val="22"/>
          <w:lang w:val="en-US" w:eastAsia="en-US"/>
        </w:rPr>
        <w:t>16.</w:t>
      </w:r>
      <w:r w:rsidRPr="00AD2427">
        <w:rPr>
          <w:rFonts w:eastAsia="Times New Roman"/>
          <w:szCs w:val="22"/>
          <w:lang w:val="en-US" w:eastAsia="en-US"/>
        </w:rPr>
        <w:tab/>
      </w:r>
      <w:r w:rsidR="00AD2427" w:rsidRPr="00AD2427">
        <w:rPr>
          <w:rFonts w:eastAsia="Times New Roman"/>
          <w:i/>
          <w:iCs/>
          <w:lang w:eastAsia="en-US"/>
        </w:rPr>
        <w:t>Decides</w:t>
      </w:r>
      <w:r w:rsidR="00AD2427" w:rsidRPr="00AD2427">
        <w:rPr>
          <w:rFonts w:eastAsia="Times New Roman"/>
          <w:lang w:eastAsia="en-US"/>
        </w:rPr>
        <w:t xml:space="preserve"> to discontinue the allocation, as set out in decision 3/CMP.6, of any interest accruing on the Trust Fund for the Clean Development Mechanism, given the administrative and budgetary closure of the CDM Loan Scheme in 2020 pursuant to decision 3/CMP.12;</w:t>
      </w:r>
    </w:p>
    <w:p w14:paraId="4F6D4543" w14:textId="0C1BD993" w:rsidR="00AD2427" w:rsidRPr="00AD2427" w:rsidRDefault="00D23317" w:rsidP="00D23317">
      <w:pPr>
        <w:pStyle w:val="RegSingleTxtG"/>
        <w:numPr>
          <w:ilvl w:val="0"/>
          <w:numId w:val="0"/>
        </w:numPr>
        <w:ind w:left="1134"/>
        <w:rPr>
          <w:rFonts w:eastAsia="Times New Roman"/>
          <w:sz w:val="22"/>
          <w:szCs w:val="22"/>
          <w:lang w:val="en-US" w:eastAsia="en-US"/>
        </w:rPr>
      </w:pPr>
      <w:r w:rsidRPr="00AD2427">
        <w:rPr>
          <w:rFonts w:eastAsia="Times New Roman"/>
          <w:szCs w:val="22"/>
          <w:lang w:val="en-US" w:eastAsia="en-US"/>
        </w:rPr>
        <w:t>17.</w:t>
      </w:r>
      <w:r w:rsidRPr="00AD2427">
        <w:rPr>
          <w:rFonts w:eastAsia="Times New Roman"/>
          <w:szCs w:val="22"/>
          <w:lang w:val="en-US" w:eastAsia="en-US"/>
        </w:rPr>
        <w:tab/>
      </w:r>
      <w:r w:rsidR="00AD2427" w:rsidRPr="00AD2427">
        <w:rPr>
          <w:rFonts w:eastAsia="Times New Roman"/>
          <w:i/>
          <w:iCs/>
          <w:lang w:eastAsia="en-US"/>
        </w:rPr>
        <w:t xml:space="preserve">Also decides </w:t>
      </w:r>
      <w:r w:rsidR="00AD2427" w:rsidRPr="00AD2427">
        <w:rPr>
          <w:rFonts w:eastAsia="Times New Roman"/>
          <w:lang w:eastAsia="en-US"/>
        </w:rPr>
        <w:t>to allocate the remaining balance of the CDM Loan Scheme and any interest accruing on the Trust Fund for the Clean Development Mechanism to the Trust Fund for Supplementary Activities for capacity-building to enhance regional climate action;</w:t>
      </w:r>
      <w:r w:rsidR="00FF06C7">
        <w:rPr>
          <w:rStyle w:val="FootnoteReference"/>
          <w:rFonts w:eastAsia="Times New Roman"/>
          <w:lang w:eastAsia="en-US"/>
        </w:rPr>
        <w:footnoteReference w:id="10"/>
      </w:r>
    </w:p>
    <w:p w14:paraId="2E07079D" w14:textId="6B6B6097" w:rsidR="00AD2427" w:rsidRPr="00AD2427" w:rsidRDefault="00D23317" w:rsidP="00D23317">
      <w:pPr>
        <w:pStyle w:val="RegSingleTxtG"/>
        <w:numPr>
          <w:ilvl w:val="0"/>
          <w:numId w:val="0"/>
        </w:numPr>
        <w:ind w:left="1134"/>
        <w:rPr>
          <w:rFonts w:eastAsia="Times New Roman"/>
          <w:sz w:val="22"/>
          <w:szCs w:val="22"/>
          <w:lang w:val="en-US" w:eastAsia="en-US"/>
        </w:rPr>
      </w:pPr>
      <w:bookmarkStart w:id="6" w:name="_Ref89175463"/>
      <w:r w:rsidRPr="00AD2427">
        <w:rPr>
          <w:rFonts w:eastAsia="Times New Roman"/>
          <w:szCs w:val="22"/>
          <w:lang w:val="en-US" w:eastAsia="en-US"/>
        </w:rPr>
        <w:t>18.</w:t>
      </w:r>
      <w:r w:rsidRPr="00AD2427">
        <w:rPr>
          <w:rFonts w:eastAsia="Times New Roman"/>
          <w:szCs w:val="22"/>
          <w:lang w:val="en-US" w:eastAsia="en-US"/>
        </w:rPr>
        <w:tab/>
      </w:r>
      <w:r w:rsidR="00AD2427" w:rsidRPr="00AD2427">
        <w:rPr>
          <w:rFonts w:eastAsia="Times New Roman"/>
          <w:i/>
          <w:iCs/>
          <w:lang w:eastAsia="en-US"/>
        </w:rPr>
        <w:t>Further decides</w:t>
      </w:r>
      <w:r w:rsidR="00AD2427" w:rsidRPr="00AD2427">
        <w:rPr>
          <w:rFonts w:eastAsia="Times New Roman"/>
          <w:lang w:eastAsia="en-US"/>
        </w:rPr>
        <w:t xml:space="preserve"> to authorize the transfer of USD 30 million from the Trust Fund for the Clean Development Mechanism to the Trust Fund for Supplementary Activities for the work of the Supervisory Body to facilitate the expedited implementation of the Article 6</w:t>
      </w:r>
      <w:r w:rsidR="003E3976">
        <w:rPr>
          <w:rFonts w:eastAsia="Times New Roman"/>
          <w:lang w:eastAsia="en-US"/>
        </w:rPr>
        <w:t>, paragraph</w:t>
      </w:r>
      <w:r w:rsidR="003E3976" w:rsidRPr="00AD2427">
        <w:rPr>
          <w:rFonts w:eastAsia="Times New Roman"/>
          <w:lang w:eastAsia="en-US"/>
        </w:rPr>
        <w:t xml:space="preserve"> </w:t>
      </w:r>
      <w:r w:rsidR="00AD2427" w:rsidRPr="00AD2427">
        <w:rPr>
          <w:rFonts w:eastAsia="Times New Roman"/>
          <w:lang w:eastAsia="en-US"/>
        </w:rPr>
        <w:t>4</w:t>
      </w:r>
      <w:r w:rsidR="003E3976">
        <w:rPr>
          <w:rFonts w:eastAsia="Times New Roman"/>
          <w:lang w:eastAsia="en-US"/>
        </w:rPr>
        <w:t>,</w:t>
      </w:r>
      <w:r w:rsidR="00AD2427" w:rsidRPr="00AD2427">
        <w:rPr>
          <w:rFonts w:eastAsia="Times New Roman"/>
          <w:lang w:eastAsia="en-US"/>
        </w:rPr>
        <w:t xml:space="preserve"> mechanism;</w:t>
      </w:r>
      <w:bookmarkEnd w:id="6"/>
    </w:p>
    <w:p w14:paraId="5EBBD791" w14:textId="1727C2DD" w:rsidR="00AD2427" w:rsidRPr="00AD2427" w:rsidRDefault="00D23317" w:rsidP="00D23317">
      <w:pPr>
        <w:pStyle w:val="RegSingleTxtG"/>
        <w:numPr>
          <w:ilvl w:val="0"/>
          <w:numId w:val="0"/>
        </w:numPr>
        <w:ind w:left="1134"/>
        <w:rPr>
          <w:rFonts w:eastAsia="Times New Roman"/>
          <w:sz w:val="22"/>
          <w:szCs w:val="22"/>
          <w:lang w:val="en-US" w:eastAsia="en-US"/>
        </w:rPr>
      </w:pPr>
      <w:r w:rsidRPr="00AD2427">
        <w:rPr>
          <w:rFonts w:eastAsia="Times New Roman"/>
          <w:szCs w:val="22"/>
          <w:lang w:val="en-US" w:eastAsia="en-US"/>
        </w:rPr>
        <w:t>19.</w:t>
      </w:r>
      <w:r w:rsidRPr="00AD2427">
        <w:rPr>
          <w:rFonts w:eastAsia="Times New Roman"/>
          <w:szCs w:val="22"/>
          <w:lang w:val="en-US" w:eastAsia="en-US"/>
        </w:rPr>
        <w:tab/>
      </w:r>
      <w:r w:rsidR="00AD2427" w:rsidRPr="00AD2427">
        <w:rPr>
          <w:rFonts w:eastAsia="Times New Roman"/>
          <w:i/>
          <w:iCs/>
          <w:lang w:eastAsia="en-US"/>
        </w:rPr>
        <w:t>Decides</w:t>
      </w:r>
      <w:r w:rsidR="00AD2427" w:rsidRPr="00AD2427">
        <w:rPr>
          <w:rFonts w:eastAsia="Times New Roman"/>
          <w:lang w:eastAsia="en-US"/>
        </w:rPr>
        <w:t xml:space="preserve"> to authorize the transfer of USD 10 million from the Trust Fund for the Clean Development Mechanism to the Trust Fund for Supplementary Activities for the work of the Supervisory Body to provide, through the regional collaboration centres, capacity-building in developing countries </w:t>
      </w:r>
      <w:r w:rsidR="007615A0">
        <w:rPr>
          <w:rFonts w:eastAsia="Times New Roman"/>
          <w:lang w:eastAsia="en-US"/>
        </w:rPr>
        <w:t>for</w:t>
      </w:r>
      <w:r w:rsidR="00AD2427" w:rsidRPr="00AD2427">
        <w:rPr>
          <w:rFonts w:eastAsia="Times New Roman"/>
          <w:lang w:eastAsia="en-US"/>
        </w:rPr>
        <w:t xml:space="preserve"> apply</w:t>
      </w:r>
      <w:r w:rsidR="007615A0">
        <w:rPr>
          <w:rFonts w:eastAsia="Times New Roman"/>
          <w:lang w:eastAsia="en-US"/>
        </w:rPr>
        <w:t>ing</w:t>
      </w:r>
      <w:r w:rsidR="00AD2427" w:rsidRPr="00AD2427">
        <w:rPr>
          <w:rFonts w:eastAsia="Times New Roman"/>
          <w:lang w:eastAsia="en-US"/>
        </w:rPr>
        <w:t xml:space="preserve"> the Article 6</w:t>
      </w:r>
      <w:r w:rsidR="003E3976">
        <w:rPr>
          <w:rFonts w:eastAsia="Times New Roman"/>
          <w:lang w:eastAsia="en-US"/>
        </w:rPr>
        <w:t>, paragraph</w:t>
      </w:r>
      <w:r w:rsidR="003E3976" w:rsidRPr="00AD2427">
        <w:rPr>
          <w:rFonts w:eastAsia="Times New Roman"/>
          <w:lang w:eastAsia="en-US"/>
        </w:rPr>
        <w:t xml:space="preserve"> </w:t>
      </w:r>
      <w:r w:rsidR="00AD2427" w:rsidRPr="00AD2427">
        <w:rPr>
          <w:rFonts w:eastAsia="Times New Roman"/>
          <w:lang w:eastAsia="en-US"/>
        </w:rPr>
        <w:t>4</w:t>
      </w:r>
      <w:r w:rsidR="003E3976">
        <w:rPr>
          <w:rFonts w:eastAsia="Times New Roman"/>
          <w:lang w:eastAsia="en-US"/>
        </w:rPr>
        <w:t>,</w:t>
      </w:r>
      <w:r w:rsidR="00AD2427" w:rsidRPr="00AD2427">
        <w:rPr>
          <w:rFonts w:eastAsia="Times New Roman"/>
          <w:lang w:eastAsia="en-US"/>
        </w:rPr>
        <w:t xml:space="preserve"> mechanism, and support for the transition of clean development mechanism project activities and programmes of activities to the Article 6</w:t>
      </w:r>
      <w:r w:rsidR="003E3976">
        <w:rPr>
          <w:rFonts w:eastAsia="Times New Roman"/>
          <w:lang w:eastAsia="en-US"/>
        </w:rPr>
        <w:t>, paragraph</w:t>
      </w:r>
      <w:r w:rsidR="003E3976" w:rsidRPr="00AD2427">
        <w:rPr>
          <w:rFonts w:eastAsia="Times New Roman"/>
          <w:lang w:eastAsia="en-US"/>
        </w:rPr>
        <w:t xml:space="preserve"> </w:t>
      </w:r>
      <w:r w:rsidR="00AD2427" w:rsidRPr="00AD2427">
        <w:rPr>
          <w:rFonts w:eastAsia="Times New Roman"/>
          <w:lang w:eastAsia="en-US"/>
        </w:rPr>
        <w:t>4</w:t>
      </w:r>
      <w:r w:rsidR="003E3976">
        <w:rPr>
          <w:rFonts w:eastAsia="Times New Roman"/>
          <w:lang w:eastAsia="en-US"/>
        </w:rPr>
        <w:t>,</w:t>
      </w:r>
      <w:r w:rsidR="00AD2427" w:rsidRPr="00AD2427">
        <w:rPr>
          <w:rFonts w:eastAsia="Times New Roman"/>
          <w:lang w:eastAsia="en-US"/>
        </w:rPr>
        <w:t xml:space="preserve"> mechanism if they are eligible for transition;</w:t>
      </w:r>
    </w:p>
    <w:p w14:paraId="6749C518" w14:textId="728C9B1E" w:rsidR="00AD2427" w:rsidRPr="00AD2427" w:rsidRDefault="00D23317" w:rsidP="00D23317">
      <w:pPr>
        <w:pStyle w:val="RegSingleTxtG"/>
        <w:numPr>
          <w:ilvl w:val="0"/>
          <w:numId w:val="0"/>
        </w:numPr>
        <w:ind w:left="1134"/>
        <w:rPr>
          <w:rFonts w:eastAsia="Times New Roman"/>
          <w:sz w:val="22"/>
          <w:szCs w:val="22"/>
          <w:lang w:val="en-US" w:eastAsia="en-US"/>
        </w:rPr>
      </w:pPr>
      <w:r w:rsidRPr="00AD2427">
        <w:rPr>
          <w:rFonts w:eastAsia="Times New Roman"/>
          <w:szCs w:val="22"/>
          <w:lang w:val="en-US" w:eastAsia="en-US"/>
        </w:rPr>
        <w:t>20.</w:t>
      </w:r>
      <w:r w:rsidRPr="00AD2427">
        <w:rPr>
          <w:rFonts w:eastAsia="Times New Roman"/>
          <w:szCs w:val="22"/>
          <w:lang w:val="en-US" w:eastAsia="en-US"/>
        </w:rPr>
        <w:tab/>
      </w:r>
      <w:r w:rsidR="00AD2427" w:rsidRPr="00AD2427">
        <w:rPr>
          <w:rFonts w:eastAsia="Times New Roman"/>
          <w:i/>
          <w:iCs/>
          <w:lang w:eastAsia="en-US"/>
        </w:rPr>
        <w:t>Also decides</w:t>
      </w:r>
      <w:r w:rsidR="00AD2427" w:rsidRPr="00AD2427">
        <w:rPr>
          <w:rFonts w:eastAsia="Times New Roman"/>
          <w:lang w:eastAsia="en-US"/>
        </w:rPr>
        <w:t xml:space="preserve"> to authorize the transfer of USD 20 million from the Trust Fund for the Clean Development Mechanism to the Adaptation Fund;</w:t>
      </w:r>
    </w:p>
    <w:p w14:paraId="141B0762" w14:textId="1DAF8BA3" w:rsidR="00AD2427" w:rsidRPr="00AD2427" w:rsidRDefault="00D23317" w:rsidP="00D23317">
      <w:pPr>
        <w:pStyle w:val="RegSingleTxtG"/>
        <w:numPr>
          <w:ilvl w:val="0"/>
          <w:numId w:val="0"/>
        </w:numPr>
        <w:ind w:left="1134"/>
        <w:rPr>
          <w:rFonts w:eastAsia="Times New Roman"/>
          <w:sz w:val="22"/>
          <w:szCs w:val="22"/>
          <w:lang w:val="en-US" w:eastAsia="en-US"/>
        </w:rPr>
      </w:pPr>
      <w:r w:rsidRPr="00AD2427">
        <w:rPr>
          <w:rFonts w:eastAsia="Times New Roman"/>
          <w:szCs w:val="22"/>
          <w:lang w:val="en-US" w:eastAsia="en-US"/>
        </w:rPr>
        <w:t>21.</w:t>
      </w:r>
      <w:r w:rsidRPr="00AD2427">
        <w:rPr>
          <w:rFonts w:eastAsia="Times New Roman"/>
          <w:szCs w:val="22"/>
          <w:lang w:val="en-US" w:eastAsia="en-US"/>
        </w:rPr>
        <w:tab/>
      </w:r>
      <w:r w:rsidR="00AD2427" w:rsidRPr="00AD2427">
        <w:rPr>
          <w:rFonts w:eastAsia="Times New Roman"/>
          <w:i/>
          <w:iCs/>
          <w:lang w:eastAsia="en-US"/>
        </w:rPr>
        <w:t>Invites</w:t>
      </w:r>
      <w:r w:rsidR="00AD2427" w:rsidRPr="00AD2427">
        <w:rPr>
          <w:rFonts w:eastAsia="Times New Roman"/>
          <w:lang w:eastAsia="en-US"/>
        </w:rPr>
        <w:t xml:space="preserve"> the Conference of the Parties serving as the meeting of the Parties to the Paris Agreement to allocate the equivalent amount referred to in paragraph </w:t>
      </w:r>
      <w:r w:rsidR="00DA1199">
        <w:rPr>
          <w:rFonts w:eastAsia="Times New Roman"/>
          <w:color w:val="000000"/>
          <w:shd w:val="clear" w:color="auto" w:fill="E1E3E6"/>
          <w:lang w:eastAsia="en-US"/>
        </w:rPr>
        <w:fldChar w:fldCharType="begin"/>
      </w:r>
      <w:r w:rsidR="00DA1199">
        <w:rPr>
          <w:rFonts w:eastAsia="Times New Roman"/>
          <w:lang w:eastAsia="en-US"/>
        </w:rPr>
        <w:instrText xml:space="preserve"> REF _Ref89175463 \n \p \h </w:instrText>
      </w:r>
      <w:r w:rsidR="00DA1199">
        <w:rPr>
          <w:rFonts w:eastAsia="Times New Roman"/>
          <w:color w:val="000000"/>
          <w:shd w:val="clear" w:color="auto" w:fill="E1E3E6"/>
          <w:lang w:eastAsia="en-US"/>
        </w:rPr>
      </w:r>
      <w:r w:rsidR="00DA1199">
        <w:rPr>
          <w:rFonts w:eastAsia="Times New Roman"/>
          <w:color w:val="000000"/>
          <w:shd w:val="clear" w:color="auto" w:fill="E1E3E6"/>
          <w:lang w:eastAsia="en-US"/>
        </w:rPr>
        <w:fldChar w:fldCharType="separate"/>
      </w:r>
      <w:r w:rsidR="00DA1199">
        <w:rPr>
          <w:rFonts w:eastAsia="Times New Roman"/>
          <w:lang w:eastAsia="en-US"/>
        </w:rPr>
        <w:t>18 above</w:t>
      </w:r>
      <w:r w:rsidR="00DA1199">
        <w:rPr>
          <w:rFonts w:eastAsia="Times New Roman"/>
          <w:color w:val="000000"/>
          <w:shd w:val="clear" w:color="auto" w:fill="E1E3E6"/>
          <w:lang w:eastAsia="en-US"/>
        </w:rPr>
        <w:fldChar w:fldCharType="end"/>
      </w:r>
      <w:r w:rsidR="00AD2427" w:rsidRPr="00AD2427">
        <w:rPr>
          <w:rFonts w:eastAsia="Times New Roman"/>
          <w:lang w:eastAsia="en-US"/>
        </w:rPr>
        <w:t xml:space="preserve"> from the fund supporting the Article 6</w:t>
      </w:r>
      <w:r w:rsidR="003E3976">
        <w:rPr>
          <w:rFonts w:eastAsia="Times New Roman"/>
          <w:lang w:eastAsia="en-US"/>
        </w:rPr>
        <w:t>, paragraph</w:t>
      </w:r>
      <w:r w:rsidR="003E3976" w:rsidRPr="00AD2427">
        <w:rPr>
          <w:rFonts w:eastAsia="Times New Roman"/>
          <w:lang w:eastAsia="en-US"/>
        </w:rPr>
        <w:t xml:space="preserve"> </w:t>
      </w:r>
      <w:r w:rsidR="00AD2427" w:rsidRPr="00AD2427">
        <w:rPr>
          <w:rFonts w:eastAsia="Times New Roman"/>
          <w:lang w:eastAsia="en-US"/>
        </w:rPr>
        <w:t>4</w:t>
      </w:r>
      <w:r w:rsidR="00BC3BFB">
        <w:rPr>
          <w:rFonts w:eastAsia="Times New Roman"/>
          <w:lang w:eastAsia="en-US"/>
        </w:rPr>
        <w:t>,</w:t>
      </w:r>
      <w:r w:rsidR="00AD2427" w:rsidRPr="00AD2427">
        <w:rPr>
          <w:rFonts w:eastAsia="Times New Roman"/>
          <w:lang w:eastAsia="en-US"/>
        </w:rPr>
        <w:t xml:space="preserve"> mechanism to the Adaptation Fund after the Article 6</w:t>
      </w:r>
      <w:r w:rsidR="00BC3BFB">
        <w:rPr>
          <w:rFonts w:eastAsia="Times New Roman"/>
          <w:lang w:eastAsia="en-US"/>
        </w:rPr>
        <w:t>, paragraph</w:t>
      </w:r>
      <w:r w:rsidR="00BC3BFB" w:rsidRPr="00AD2427">
        <w:rPr>
          <w:rFonts w:eastAsia="Times New Roman"/>
          <w:lang w:eastAsia="en-US"/>
        </w:rPr>
        <w:t xml:space="preserve"> </w:t>
      </w:r>
      <w:r w:rsidR="00AD2427" w:rsidRPr="00AD2427">
        <w:rPr>
          <w:rFonts w:eastAsia="Times New Roman"/>
          <w:lang w:eastAsia="en-US"/>
        </w:rPr>
        <w:t>4</w:t>
      </w:r>
      <w:r w:rsidR="00BC3BFB">
        <w:rPr>
          <w:rFonts w:eastAsia="Times New Roman"/>
          <w:lang w:eastAsia="en-US"/>
        </w:rPr>
        <w:t>,</w:t>
      </w:r>
      <w:r w:rsidR="00AD2427" w:rsidRPr="00AD2427">
        <w:rPr>
          <w:rFonts w:eastAsia="Times New Roman"/>
          <w:lang w:eastAsia="en-US"/>
        </w:rPr>
        <w:t xml:space="preserve"> mechanism has become self-financing;</w:t>
      </w:r>
    </w:p>
    <w:p w14:paraId="6BF6F006" w14:textId="25789316" w:rsidR="00AD2427" w:rsidRPr="00AD2427" w:rsidRDefault="00D23317" w:rsidP="00D23317">
      <w:pPr>
        <w:pStyle w:val="RegSingleTxtG"/>
        <w:numPr>
          <w:ilvl w:val="0"/>
          <w:numId w:val="0"/>
        </w:numPr>
        <w:ind w:left="1134"/>
        <w:rPr>
          <w:rFonts w:eastAsia="Times New Roman"/>
          <w:sz w:val="22"/>
          <w:szCs w:val="22"/>
          <w:lang w:val="en-US" w:eastAsia="en-US"/>
        </w:rPr>
      </w:pPr>
      <w:r w:rsidRPr="00AD2427">
        <w:rPr>
          <w:rFonts w:eastAsia="Times New Roman"/>
          <w:szCs w:val="22"/>
          <w:lang w:val="en-US" w:eastAsia="en-US"/>
        </w:rPr>
        <w:t>22.</w:t>
      </w:r>
      <w:r w:rsidRPr="00AD2427">
        <w:rPr>
          <w:rFonts w:eastAsia="Times New Roman"/>
          <w:szCs w:val="22"/>
          <w:lang w:val="en-US" w:eastAsia="en-US"/>
        </w:rPr>
        <w:tab/>
      </w:r>
      <w:r w:rsidR="00AD2427" w:rsidRPr="00AD2427">
        <w:rPr>
          <w:rFonts w:eastAsia="Times New Roman"/>
          <w:i/>
          <w:iCs/>
          <w:lang w:eastAsia="en-US"/>
        </w:rPr>
        <w:t xml:space="preserve">Requests </w:t>
      </w:r>
      <w:r w:rsidR="00AD2427" w:rsidRPr="00AD2427">
        <w:rPr>
          <w:rFonts w:eastAsia="Times New Roman"/>
          <w:lang w:eastAsia="en-US"/>
        </w:rPr>
        <w:t xml:space="preserve">the Subsidiary Body for Implementation to review the status of the Trust Fund for the Clean Development Mechanism </w:t>
      </w:r>
      <w:r w:rsidR="0001118B">
        <w:rPr>
          <w:rFonts w:eastAsia="Times New Roman"/>
          <w:lang w:eastAsia="en-US"/>
        </w:rPr>
        <w:t>and</w:t>
      </w:r>
      <w:r w:rsidR="00AD2427" w:rsidRPr="00AD2427">
        <w:rPr>
          <w:rFonts w:eastAsia="Times New Roman"/>
          <w:lang w:eastAsia="en-US"/>
        </w:rPr>
        <w:t xml:space="preserve"> to develop recommendations for considerat</w:t>
      </w:r>
      <w:r w:rsidR="003D0DB5">
        <w:rPr>
          <w:rFonts w:eastAsia="Times New Roman"/>
          <w:lang w:eastAsia="en-US"/>
        </w:rPr>
        <w:t>i</w:t>
      </w:r>
      <w:r w:rsidR="00AD2427" w:rsidRPr="00AD2427">
        <w:rPr>
          <w:rFonts w:eastAsia="Times New Roman"/>
          <w:lang w:eastAsia="en-US"/>
        </w:rPr>
        <w:t>on by the Conference of the Parties serving as the meeting of the Parties to the Kyoto Protocol at its eighteenth session (November 2023).</w:t>
      </w:r>
    </w:p>
    <w:p w14:paraId="2159F8DE" w14:textId="77777777" w:rsidR="00FF06C7" w:rsidRDefault="00FF06C7" w:rsidP="00AD2427">
      <w:pPr>
        <w:suppressAutoHyphens w:val="0"/>
        <w:spacing w:line="240" w:lineRule="auto"/>
        <w:ind w:left="1125" w:right="1125" w:hanging="1125"/>
        <w:textAlignment w:val="baseline"/>
        <w:rPr>
          <w:rFonts w:eastAsia="Times New Roman"/>
          <w:b/>
          <w:bCs/>
          <w:sz w:val="28"/>
          <w:szCs w:val="28"/>
          <w:lang w:eastAsia="en-US"/>
        </w:rPr>
        <w:sectPr w:rsidR="00FF06C7" w:rsidSect="001B0963">
          <w:headerReference w:type="even" r:id="rId17"/>
          <w:headerReference w:type="default" r:id="rId18"/>
          <w:footerReference w:type="even" r:id="rId19"/>
          <w:footerReference w:type="default" r:id="rId20"/>
          <w:footerReference w:type="first" r:id="rId21"/>
          <w:footnotePr>
            <w:numRestart w:val="eachSect"/>
          </w:footnotePr>
          <w:pgSz w:w="11906" w:h="16838" w:code="9"/>
          <w:pgMar w:top="1417" w:right="1134" w:bottom="1134" w:left="1134" w:header="850" w:footer="567" w:gutter="0"/>
          <w:cols w:space="708"/>
          <w:docGrid w:linePitch="360"/>
        </w:sectPr>
      </w:pPr>
    </w:p>
    <w:p w14:paraId="208CFFBD" w14:textId="70A6E952" w:rsidR="00AD2427" w:rsidRPr="00AD2427" w:rsidRDefault="00AD2427" w:rsidP="00D23317">
      <w:pPr>
        <w:pStyle w:val="RegHChG"/>
        <w:numPr>
          <w:ilvl w:val="0"/>
          <w:numId w:val="0"/>
        </w:numPr>
        <w:ind w:hanging="454"/>
        <w:rPr>
          <w:rFonts w:eastAsia="Times New Roman"/>
          <w:bCs/>
          <w:sz w:val="24"/>
          <w:szCs w:val="24"/>
          <w:lang w:val="en-US" w:eastAsia="en-US"/>
        </w:rPr>
      </w:pPr>
      <w:r w:rsidRPr="00AD2427">
        <w:rPr>
          <w:rFonts w:eastAsia="Times New Roman"/>
          <w:szCs w:val="28"/>
          <w:lang w:eastAsia="en-US"/>
        </w:rPr>
        <w:t>Annex</w:t>
      </w:r>
    </w:p>
    <w:p w14:paraId="5C3BA756" w14:textId="4E51D477" w:rsidR="00AD2427" w:rsidRPr="00AD2427" w:rsidRDefault="00AD2427" w:rsidP="00D23317">
      <w:pPr>
        <w:pStyle w:val="RegHChG"/>
        <w:numPr>
          <w:ilvl w:val="0"/>
          <w:numId w:val="0"/>
        </w:numPr>
        <w:ind w:left="1135" w:hanging="454"/>
        <w:rPr>
          <w:rFonts w:eastAsia="Times New Roman"/>
          <w:bCs/>
          <w:sz w:val="24"/>
          <w:szCs w:val="24"/>
          <w:lang w:val="en-US" w:eastAsia="en-US"/>
        </w:rPr>
      </w:pPr>
      <w:r w:rsidRPr="00AD2427">
        <w:rPr>
          <w:lang w:eastAsia="en-US"/>
        </w:rPr>
        <w:t>Designation of operational entities by the Conference of the Parties serving as the meeting of the Parties to the Kyoto Protocol at its sixteenth session</w:t>
      </w:r>
    </w:p>
    <w:p w14:paraId="778F787D" w14:textId="12FC75AA" w:rsidR="00AD2427" w:rsidRPr="00AD2427" w:rsidRDefault="00AD2427" w:rsidP="00B719E1">
      <w:pPr>
        <w:suppressAutoHyphens w:val="0"/>
        <w:spacing w:after="240" w:line="240" w:lineRule="auto"/>
        <w:jc w:val="right"/>
        <w:textAlignment w:val="baseline"/>
        <w:rPr>
          <w:rFonts w:eastAsia="Times New Roman"/>
          <w:sz w:val="24"/>
          <w:szCs w:val="24"/>
          <w:lang w:val="en-US" w:eastAsia="en-US"/>
        </w:rPr>
      </w:pPr>
      <w:r w:rsidRPr="00AD2427">
        <w:rPr>
          <w:rFonts w:eastAsia="Times New Roman"/>
          <w:lang w:eastAsia="en-US"/>
        </w:rPr>
        <w:t>[English only]</w:t>
      </w:r>
    </w:p>
    <w:tbl>
      <w:tblPr>
        <w:tblW w:w="0" w:type="auto"/>
        <w:tblInd w:w="112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240"/>
        <w:gridCol w:w="2265"/>
      </w:tblGrid>
      <w:tr w:rsidR="00AD2427" w:rsidRPr="00AD2427" w14:paraId="4CE52849" w14:textId="77777777" w:rsidTr="00AD2427">
        <w:tc>
          <w:tcPr>
            <w:tcW w:w="6240" w:type="dxa"/>
            <w:tcBorders>
              <w:top w:val="single" w:sz="6" w:space="0" w:color="auto"/>
              <w:left w:val="nil"/>
              <w:bottom w:val="single" w:sz="12" w:space="0" w:color="auto"/>
              <w:right w:val="nil"/>
            </w:tcBorders>
            <w:shd w:val="clear" w:color="auto" w:fill="auto"/>
            <w:vAlign w:val="bottom"/>
            <w:hideMark/>
          </w:tcPr>
          <w:p w14:paraId="560E42FA" w14:textId="0E7B2453" w:rsidR="00AD2427" w:rsidRPr="00AD2427" w:rsidRDefault="00AD2427" w:rsidP="00B719E1">
            <w:pPr>
              <w:suppressAutoHyphens w:val="0"/>
              <w:spacing w:before="40" w:after="40" w:line="180" w:lineRule="exact"/>
              <w:textAlignment w:val="baseline"/>
              <w:rPr>
                <w:rFonts w:eastAsia="Times New Roman"/>
                <w:sz w:val="24"/>
                <w:szCs w:val="24"/>
                <w:lang w:val="en-US" w:eastAsia="en-US"/>
              </w:rPr>
            </w:pPr>
            <w:r w:rsidRPr="00AD2427">
              <w:rPr>
                <w:rFonts w:eastAsia="Times New Roman"/>
                <w:i/>
                <w:iCs/>
                <w:sz w:val="16"/>
                <w:szCs w:val="16"/>
                <w:lang w:eastAsia="en-US"/>
              </w:rPr>
              <w:t>Name of entity</w:t>
            </w:r>
            <w:r w:rsidRPr="00AD2427">
              <w:rPr>
                <w:rFonts w:eastAsia="Times New Roman"/>
                <w:sz w:val="16"/>
                <w:szCs w:val="16"/>
                <w:lang w:val="en-US" w:eastAsia="en-US"/>
              </w:rPr>
              <w:t> </w:t>
            </w:r>
          </w:p>
        </w:tc>
        <w:tc>
          <w:tcPr>
            <w:tcW w:w="2265" w:type="dxa"/>
            <w:tcBorders>
              <w:top w:val="single" w:sz="6" w:space="0" w:color="auto"/>
              <w:left w:val="nil"/>
              <w:bottom w:val="single" w:sz="12" w:space="0" w:color="auto"/>
              <w:right w:val="nil"/>
            </w:tcBorders>
            <w:shd w:val="clear" w:color="auto" w:fill="auto"/>
            <w:hideMark/>
          </w:tcPr>
          <w:p w14:paraId="7C2C5C7D" w14:textId="77777777" w:rsidR="00AD2427" w:rsidRPr="00AD2427" w:rsidRDefault="00AD2427" w:rsidP="00B719E1">
            <w:pPr>
              <w:suppressAutoHyphens w:val="0"/>
              <w:spacing w:before="40" w:after="40" w:line="180" w:lineRule="exact"/>
              <w:jc w:val="right"/>
              <w:textAlignment w:val="baseline"/>
              <w:rPr>
                <w:rFonts w:eastAsia="Times New Roman"/>
                <w:sz w:val="24"/>
                <w:szCs w:val="24"/>
                <w:lang w:val="en-US" w:eastAsia="en-US"/>
              </w:rPr>
            </w:pPr>
            <w:r w:rsidRPr="00AD2427">
              <w:rPr>
                <w:rFonts w:eastAsia="Times New Roman"/>
                <w:i/>
                <w:iCs/>
                <w:sz w:val="16"/>
                <w:szCs w:val="16"/>
                <w:lang w:eastAsia="en-US"/>
              </w:rPr>
              <w:t>Sectoral scopes (validation and verification)</w:t>
            </w:r>
            <w:r w:rsidRPr="00AD2427">
              <w:rPr>
                <w:rFonts w:eastAsia="Times New Roman"/>
                <w:sz w:val="16"/>
                <w:szCs w:val="16"/>
                <w:lang w:val="en-US" w:eastAsia="en-US"/>
              </w:rPr>
              <w:t> </w:t>
            </w:r>
          </w:p>
        </w:tc>
      </w:tr>
      <w:tr w:rsidR="00AD2427" w:rsidRPr="00AD2427" w14:paraId="7DAF7B7D" w14:textId="77777777" w:rsidTr="001A7B29">
        <w:tc>
          <w:tcPr>
            <w:tcW w:w="6240" w:type="dxa"/>
            <w:tcBorders>
              <w:top w:val="single" w:sz="12" w:space="0" w:color="auto"/>
              <w:left w:val="nil"/>
              <w:bottom w:val="nil"/>
              <w:right w:val="nil"/>
            </w:tcBorders>
            <w:shd w:val="clear" w:color="auto" w:fill="auto"/>
            <w:hideMark/>
          </w:tcPr>
          <w:p w14:paraId="0E47628C" w14:textId="252D46EA" w:rsidR="00AD2427" w:rsidRPr="00750A21" w:rsidRDefault="00AD2427" w:rsidP="00750A21">
            <w:pPr>
              <w:suppressAutoHyphens w:val="0"/>
              <w:spacing w:before="40" w:after="80" w:line="220" w:lineRule="exact"/>
              <w:textAlignment w:val="baseline"/>
              <w:rPr>
                <w:rFonts w:eastAsia="Times New Roman"/>
                <w:szCs w:val="24"/>
                <w:lang w:val="en-US" w:eastAsia="en-US"/>
              </w:rPr>
            </w:pPr>
            <w:r w:rsidRPr="00750A21">
              <w:rPr>
                <w:rFonts w:eastAsia="Times New Roman"/>
                <w:lang w:eastAsia="en-US"/>
              </w:rPr>
              <w:t>China Building Material Test and Certification Group Co. Ltd. (CTC)</w:t>
            </w:r>
            <w:r w:rsidRPr="005B6AC8">
              <w:rPr>
                <w:rFonts w:eastAsia="Times New Roman"/>
                <w:i/>
                <w:sz w:val="18"/>
                <w:szCs w:val="18"/>
                <w:vertAlign w:val="superscript"/>
                <w:lang w:eastAsia="en-US"/>
              </w:rPr>
              <w:t>a</w:t>
            </w:r>
            <w:r w:rsidRPr="00750A21">
              <w:rPr>
                <w:rFonts w:eastAsia="Times New Roman"/>
                <w:szCs w:val="16"/>
                <w:lang w:val="en-US" w:eastAsia="en-US"/>
              </w:rPr>
              <w:t> </w:t>
            </w:r>
          </w:p>
        </w:tc>
        <w:tc>
          <w:tcPr>
            <w:tcW w:w="2265" w:type="dxa"/>
            <w:tcBorders>
              <w:top w:val="single" w:sz="12" w:space="0" w:color="auto"/>
              <w:left w:val="nil"/>
              <w:bottom w:val="nil"/>
              <w:right w:val="nil"/>
            </w:tcBorders>
            <w:shd w:val="clear" w:color="auto" w:fill="auto"/>
            <w:hideMark/>
          </w:tcPr>
          <w:p w14:paraId="639C4928" w14:textId="66E1E3CD" w:rsidR="00AD2427" w:rsidRPr="00750A21" w:rsidRDefault="00AD2427" w:rsidP="00750A21">
            <w:pPr>
              <w:suppressAutoHyphens w:val="0"/>
              <w:spacing w:before="40" w:after="80" w:line="220" w:lineRule="exact"/>
              <w:jc w:val="right"/>
              <w:textAlignment w:val="baseline"/>
              <w:rPr>
                <w:rFonts w:eastAsia="Times New Roman"/>
                <w:szCs w:val="24"/>
                <w:lang w:val="en-US" w:eastAsia="en-US"/>
              </w:rPr>
            </w:pPr>
            <w:r w:rsidRPr="00750A21">
              <w:rPr>
                <w:rFonts w:eastAsia="Times New Roman"/>
                <w:lang w:eastAsia="en-US"/>
              </w:rPr>
              <w:t>1–4, 6, 9–10, 13–15</w:t>
            </w:r>
            <w:r w:rsidRPr="00750A21">
              <w:rPr>
                <w:rFonts w:eastAsia="Times New Roman"/>
                <w:lang w:val="en-US" w:eastAsia="en-US"/>
              </w:rPr>
              <w:t> </w:t>
            </w:r>
          </w:p>
        </w:tc>
      </w:tr>
      <w:tr w:rsidR="00AD2427" w:rsidRPr="00AD2427" w14:paraId="62AF37F7" w14:textId="77777777" w:rsidTr="001A7B29">
        <w:tc>
          <w:tcPr>
            <w:tcW w:w="6240" w:type="dxa"/>
            <w:tcBorders>
              <w:top w:val="nil"/>
              <w:left w:val="nil"/>
              <w:bottom w:val="nil"/>
              <w:right w:val="nil"/>
            </w:tcBorders>
            <w:shd w:val="clear" w:color="auto" w:fill="auto"/>
            <w:hideMark/>
          </w:tcPr>
          <w:p w14:paraId="50216332" w14:textId="77777777" w:rsidR="00AD2427" w:rsidRPr="00750A21" w:rsidRDefault="00AD2427" w:rsidP="00750A21">
            <w:pPr>
              <w:suppressAutoHyphens w:val="0"/>
              <w:spacing w:before="40" w:after="80" w:line="220" w:lineRule="exact"/>
              <w:textAlignment w:val="baseline"/>
              <w:rPr>
                <w:rFonts w:eastAsia="Times New Roman"/>
                <w:szCs w:val="24"/>
                <w:lang w:val="en-US" w:eastAsia="en-US"/>
              </w:rPr>
            </w:pPr>
            <w:r w:rsidRPr="00750A21">
              <w:rPr>
                <w:rFonts w:eastAsia="Times New Roman"/>
                <w:lang w:eastAsia="en-US"/>
              </w:rPr>
              <w:t>China Certification Center, Inc. (CCCI)</w:t>
            </w:r>
            <w:r w:rsidRPr="005B6AC8">
              <w:rPr>
                <w:rFonts w:eastAsia="Times New Roman"/>
                <w:i/>
                <w:sz w:val="18"/>
                <w:szCs w:val="18"/>
                <w:vertAlign w:val="superscript"/>
                <w:lang w:eastAsia="en-US"/>
              </w:rPr>
              <w:t>a</w:t>
            </w:r>
            <w:r w:rsidRPr="00750A21">
              <w:rPr>
                <w:rFonts w:eastAsia="Times New Roman"/>
                <w:szCs w:val="16"/>
                <w:lang w:val="en-US" w:eastAsia="en-US"/>
              </w:rPr>
              <w:t> </w:t>
            </w:r>
          </w:p>
        </w:tc>
        <w:tc>
          <w:tcPr>
            <w:tcW w:w="2265" w:type="dxa"/>
            <w:tcBorders>
              <w:top w:val="nil"/>
              <w:left w:val="nil"/>
              <w:bottom w:val="nil"/>
              <w:right w:val="nil"/>
            </w:tcBorders>
            <w:shd w:val="clear" w:color="auto" w:fill="auto"/>
            <w:hideMark/>
          </w:tcPr>
          <w:p w14:paraId="2BE74783" w14:textId="77777777" w:rsidR="00AD2427" w:rsidRPr="00750A21" w:rsidRDefault="00AD2427" w:rsidP="00750A21">
            <w:pPr>
              <w:suppressAutoHyphens w:val="0"/>
              <w:spacing w:before="40" w:after="80" w:line="220" w:lineRule="exact"/>
              <w:jc w:val="right"/>
              <w:textAlignment w:val="baseline"/>
              <w:rPr>
                <w:rFonts w:eastAsia="Times New Roman"/>
                <w:szCs w:val="24"/>
                <w:lang w:val="en-US" w:eastAsia="en-US"/>
              </w:rPr>
            </w:pPr>
            <w:r w:rsidRPr="00750A21">
              <w:rPr>
                <w:rFonts w:eastAsia="Times New Roman"/>
                <w:lang w:eastAsia="en-US"/>
              </w:rPr>
              <w:t>1–15</w:t>
            </w:r>
            <w:r w:rsidRPr="00750A21">
              <w:rPr>
                <w:rFonts w:eastAsia="Times New Roman"/>
                <w:lang w:val="en-US" w:eastAsia="en-US"/>
              </w:rPr>
              <w:t> </w:t>
            </w:r>
          </w:p>
        </w:tc>
      </w:tr>
      <w:tr w:rsidR="00AD2427" w:rsidRPr="00AD2427" w14:paraId="6AC1149D" w14:textId="77777777" w:rsidTr="001A7B29">
        <w:tc>
          <w:tcPr>
            <w:tcW w:w="6240" w:type="dxa"/>
            <w:tcBorders>
              <w:top w:val="nil"/>
              <w:left w:val="nil"/>
              <w:bottom w:val="nil"/>
              <w:right w:val="nil"/>
            </w:tcBorders>
            <w:shd w:val="clear" w:color="auto" w:fill="auto"/>
            <w:hideMark/>
          </w:tcPr>
          <w:p w14:paraId="7702F497" w14:textId="05A815EA" w:rsidR="00AD2427" w:rsidRPr="00750A21" w:rsidRDefault="00AD2427" w:rsidP="00750A21">
            <w:pPr>
              <w:suppressAutoHyphens w:val="0"/>
              <w:spacing w:before="40" w:after="80" w:line="220" w:lineRule="exact"/>
              <w:textAlignment w:val="baseline"/>
              <w:rPr>
                <w:rFonts w:eastAsia="Times New Roman"/>
                <w:szCs w:val="24"/>
                <w:lang w:val="en-US" w:eastAsia="en-US"/>
              </w:rPr>
            </w:pPr>
            <w:r w:rsidRPr="00750A21">
              <w:rPr>
                <w:rFonts w:eastAsia="Times New Roman"/>
                <w:lang w:eastAsia="en-US"/>
              </w:rPr>
              <w:t>China Classification Society Certification Company (CCSC)</w:t>
            </w:r>
            <w:r w:rsidRPr="005B6AC8">
              <w:rPr>
                <w:rFonts w:eastAsia="Times New Roman"/>
                <w:i/>
                <w:sz w:val="18"/>
                <w:szCs w:val="18"/>
                <w:vertAlign w:val="superscript"/>
                <w:lang w:eastAsia="en-US"/>
              </w:rPr>
              <w:t>a</w:t>
            </w:r>
          </w:p>
        </w:tc>
        <w:tc>
          <w:tcPr>
            <w:tcW w:w="2265" w:type="dxa"/>
            <w:tcBorders>
              <w:top w:val="nil"/>
              <w:left w:val="nil"/>
              <w:bottom w:val="nil"/>
              <w:right w:val="nil"/>
            </w:tcBorders>
            <w:shd w:val="clear" w:color="auto" w:fill="auto"/>
            <w:hideMark/>
          </w:tcPr>
          <w:p w14:paraId="476E3A58" w14:textId="1C5D5E5E" w:rsidR="00AD2427" w:rsidRPr="00750A21" w:rsidRDefault="00AD2427" w:rsidP="00750A21">
            <w:pPr>
              <w:suppressAutoHyphens w:val="0"/>
              <w:spacing w:before="40" w:after="80" w:line="220" w:lineRule="exact"/>
              <w:jc w:val="right"/>
              <w:textAlignment w:val="baseline"/>
              <w:rPr>
                <w:rFonts w:eastAsia="Times New Roman"/>
                <w:szCs w:val="24"/>
                <w:lang w:val="en-US" w:eastAsia="en-US"/>
              </w:rPr>
            </w:pPr>
            <w:r w:rsidRPr="00750A21">
              <w:rPr>
                <w:rFonts w:eastAsia="Times New Roman"/>
                <w:lang w:eastAsia="en-US"/>
              </w:rPr>
              <w:t>1–10, 13</w:t>
            </w:r>
            <w:r w:rsidR="00B66628" w:rsidRPr="00750A21">
              <w:rPr>
                <w:rFonts w:eastAsia="Times New Roman"/>
                <w:lang w:eastAsia="en-US"/>
              </w:rPr>
              <w:t>–</w:t>
            </w:r>
            <w:r w:rsidRPr="00750A21">
              <w:rPr>
                <w:rFonts w:eastAsia="Times New Roman"/>
                <w:lang w:eastAsia="en-US"/>
              </w:rPr>
              <w:t>14</w:t>
            </w:r>
            <w:r w:rsidRPr="00750A21">
              <w:rPr>
                <w:rFonts w:eastAsia="Times New Roman"/>
                <w:lang w:val="en-US" w:eastAsia="en-US"/>
              </w:rPr>
              <w:t> </w:t>
            </w:r>
          </w:p>
        </w:tc>
      </w:tr>
      <w:tr w:rsidR="00AD2427" w:rsidRPr="00AD2427" w14:paraId="2CAB6B2E" w14:textId="77777777" w:rsidTr="001A7B29">
        <w:tc>
          <w:tcPr>
            <w:tcW w:w="6240" w:type="dxa"/>
            <w:tcBorders>
              <w:top w:val="nil"/>
              <w:left w:val="nil"/>
              <w:bottom w:val="nil"/>
              <w:right w:val="nil"/>
            </w:tcBorders>
            <w:shd w:val="clear" w:color="auto" w:fill="auto"/>
            <w:hideMark/>
          </w:tcPr>
          <w:p w14:paraId="0C40B24A" w14:textId="77777777" w:rsidR="00AD2427" w:rsidRPr="00750A21" w:rsidRDefault="00AD2427" w:rsidP="00750A21">
            <w:pPr>
              <w:suppressAutoHyphens w:val="0"/>
              <w:spacing w:before="40" w:after="80" w:line="220" w:lineRule="exact"/>
              <w:textAlignment w:val="baseline"/>
              <w:rPr>
                <w:rFonts w:eastAsia="Times New Roman"/>
                <w:szCs w:val="24"/>
                <w:lang w:val="en-US" w:eastAsia="en-US"/>
              </w:rPr>
            </w:pPr>
            <w:r w:rsidRPr="00750A21">
              <w:rPr>
                <w:rFonts w:eastAsia="Times New Roman"/>
                <w:lang w:eastAsia="en-US"/>
              </w:rPr>
              <w:t>KBS Certification Services Pvt. Ltd. (KBS)</w:t>
            </w:r>
            <w:r w:rsidRPr="005B6AC8">
              <w:rPr>
                <w:rFonts w:eastAsia="Times New Roman"/>
                <w:i/>
                <w:sz w:val="18"/>
                <w:szCs w:val="18"/>
                <w:vertAlign w:val="superscript"/>
                <w:lang w:eastAsia="en-US"/>
              </w:rPr>
              <w:t>a</w:t>
            </w:r>
            <w:r w:rsidRPr="00750A21">
              <w:rPr>
                <w:rFonts w:eastAsia="Times New Roman"/>
                <w:szCs w:val="16"/>
                <w:lang w:val="en-US" w:eastAsia="en-US"/>
              </w:rPr>
              <w:t> </w:t>
            </w:r>
          </w:p>
        </w:tc>
        <w:tc>
          <w:tcPr>
            <w:tcW w:w="2265" w:type="dxa"/>
            <w:tcBorders>
              <w:top w:val="nil"/>
              <w:left w:val="nil"/>
              <w:bottom w:val="nil"/>
              <w:right w:val="nil"/>
            </w:tcBorders>
            <w:shd w:val="clear" w:color="auto" w:fill="auto"/>
            <w:hideMark/>
          </w:tcPr>
          <w:p w14:paraId="29047FE6" w14:textId="77777777" w:rsidR="00AD2427" w:rsidRPr="00750A21" w:rsidRDefault="00AD2427" w:rsidP="00750A21">
            <w:pPr>
              <w:suppressAutoHyphens w:val="0"/>
              <w:spacing w:before="40" w:after="80" w:line="220" w:lineRule="exact"/>
              <w:jc w:val="right"/>
              <w:textAlignment w:val="baseline"/>
              <w:rPr>
                <w:rFonts w:eastAsia="Times New Roman"/>
                <w:szCs w:val="24"/>
                <w:lang w:val="en-US" w:eastAsia="en-US"/>
              </w:rPr>
            </w:pPr>
            <w:r w:rsidRPr="00750A21">
              <w:rPr>
                <w:rFonts w:eastAsia="Times New Roman"/>
                <w:lang w:eastAsia="en-US"/>
              </w:rPr>
              <w:t>1–5, 7–10, 12–15</w:t>
            </w:r>
            <w:r w:rsidRPr="00750A21">
              <w:rPr>
                <w:rFonts w:eastAsia="Times New Roman"/>
                <w:lang w:val="en-US" w:eastAsia="en-US"/>
              </w:rPr>
              <w:t> </w:t>
            </w:r>
          </w:p>
        </w:tc>
      </w:tr>
      <w:tr w:rsidR="00AD2427" w:rsidRPr="00AD2427" w14:paraId="3E09E0A2" w14:textId="77777777" w:rsidTr="001A7B29">
        <w:tc>
          <w:tcPr>
            <w:tcW w:w="6240" w:type="dxa"/>
            <w:tcBorders>
              <w:top w:val="nil"/>
              <w:left w:val="nil"/>
              <w:bottom w:val="nil"/>
              <w:right w:val="nil"/>
            </w:tcBorders>
            <w:shd w:val="clear" w:color="auto" w:fill="auto"/>
            <w:hideMark/>
          </w:tcPr>
          <w:p w14:paraId="473B8845" w14:textId="77777777" w:rsidR="00AD2427" w:rsidRPr="00750A21" w:rsidRDefault="00AD2427" w:rsidP="00750A21">
            <w:pPr>
              <w:suppressAutoHyphens w:val="0"/>
              <w:spacing w:before="40" w:after="80" w:line="220" w:lineRule="exact"/>
              <w:textAlignment w:val="baseline"/>
              <w:rPr>
                <w:rFonts w:eastAsia="Times New Roman"/>
                <w:szCs w:val="24"/>
                <w:lang w:val="en-US" w:eastAsia="en-US"/>
              </w:rPr>
            </w:pPr>
            <w:r w:rsidRPr="00750A21">
              <w:rPr>
                <w:rFonts w:eastAsia="Times New Roman"/>
                <w:lang w:eastAsia="en-US"/>
              </w:rPr>
              <w:t>Lloyd’s Register Quality Assurance Ltd. (LRQA)</w:t>
            </w:r>
            <w:r w:rsidRPr="005B6AC8">
              <w:rPr>
                <w:rFonts w:eastAsia="Times New Roman"/>
                <w:i/>
                <w:sz w:val="18"/>
                <w:szCs w:val="18"/>
                <w:vertAlign w:val="superscript"/>
                <w:lang w:eastAsia="en-US"/>
              </w:rPr>
              <w:t>b</w:t>
            </w:r>
            <w:r w:rsidRPr="00750A21">
              <w:rPr>
                <w:rFonts w:eastAsia="Times New Roman"/>
                <w:szCs w:val="16"/>
                <w:lang w:val="en-US" w:eastAsia="en-US"/>
              </w:rPr>
              <w:t> </w:t>
            </w:r>
          </w:p>
        </w:tc>
        <w:tc>
          <w:tcPr>
            <w:tcW w:w="2265" w:type="dxa"/>
            <w:tcBorders>
              <w:top w:val="nil"/>
              <w:left w:val="nil"/>
              <w:bottom w:val="nil"/>
              <w:right w:val="nil"/>
            </w:tcBorders>
            <w:shd w:val="clear" w:color="auto" w:fill="auto"/>
            <w:hideMark/>
          </w:tcPr>
          <w:p w14:paraId="51E7A09F" w14:textId="77777777" w:rsidR="00AD2427" w:rsidRPr="00750A21" w:rsidRDefault="00AD2427" w:rsidP="00750A21">
            <w:pPr>
              <w:suppressAutoHyphens w:val="0"/>
              <w:spacing w:before="40" w:after="80" w:line="220" w:lineRule="exact"/>
              <w:jc w:val="right"/>
              <w:textAlignment w:val="baseline"/>
              <w:rPr>
                <w:rFonts w:eastAsia="Times New Roman"/>
                <w:szCs w:val="24"/>
                <w:lang w:val="en-US" w:eastAsia="en-US"/>
              </w:rPr>
            </w:pPr>
            <w:r w:rsidRPr="00750A21">
              <w:rPr>
                <w:rFonts w:eastAsia="Times New Roman"/>
                <w:lang w:eastAsia="en-US"/>
              </w:rPr>
              <w:t>1–3, 7, 13</w:t>
            </w:r>
            <w:r w:rsidRPr="00750A21">
              <w:rPr>
                <w:rFonts w:eastAsia="Times New Roman"/>
                <w:lang w:val="en-US" w:eastAsia="en-US"/>
              </w:rPr>
              <w:t> </w:t>
            </w:r>
          </w:p>
        </w:tc>
      </w:tr>
      <w:tr w:rsidR="00AD2427" w:rsidRPr="00AD2427" w14:paraId="28A4231D" w14:textId="77777777" w:rsidTr="001A7B29">
        <w:tc>
          <w:tcPr>
            <w:tcW w:w="6240" w:type="dxa"/>
            <w:tcBorders>
              <w:top w:val="nil"/>
              <w:left w:val="nil"/>
              <w:bottom w:val="nil"/>
              <w:right w:val="nil"/>
            </w:tcBorders>
            <w:shd w:val="clear" w:color="auto" w:fill="auto"/>
            <w:hideMark/>
          </w:tcPr>
          <w:p w14:paraId="1BFB7DC5" w14:textId="77777777" w:rsidR="00AD2427" w:rsidRPr="00750A21" w:rsidRDefault="00AD2427" w:rsidP="00750A21">
            <w:pPr>
              <w:suppressAutoHyphens w:val="0"/>
              <w:spacing w:before="40" w:after="80" w:line="220" w:lineRule="exact"/>
              <w:textAlignment w:val="baseline"/>
              <w:rPr>
                <w:rFonts w:eastAsia="Times New Roman"/>
                <w:szCs w:val="24"/>
                <w:lang w:val="en-US" w:eastAsia="en-US"/>
              </w:rPr>
            </w:pPr>
            <w:r w:rsidRPr="00750A21">
              <w:rPr>
                <w:rFonts w:eastAsia="Times New Roman"/>
                <w:lang w:eastAsia="en-US"/>
              </w:rPr>
              <w:t>China Building Material Test and Certification Group Co. Ltd. (CTC)</w:t>
            </w:r>
            <w:r w:rsidRPr="005B6AC8">
              <w:rPr>
                <w:rFonts w:eastAsia="Times New Roman"/>
                <w:i/>
                <w:sz w:val="18"/>
                <w:szCs w:val="18"/>
                <w:vertAlign w:val="superscript"/>
                <w:lang w:eastAsia="en-US"/>
              </w:rPr>
              <w:t>c</w:t>
            </w:r>
            <w:r w:rsidRPr="00750A21">
              <w:rPr>
                <w:rFonts w:eastAsia="Times New Roman"/>
                <w:szCs w:val="16"/>
                <w:lang w:val="en-US" w:eastAsia="en-US"/>
              </w:rPr>
              <w:t> </w:t>
            </w:r>
          </w:p>
        </w:tc>
        <w:tc>
          <w:tcPr>
            <w:tcW w:w="2265" w:type="dxa"/>
            <w:tcBorders>
              <w:top w:val="nil"/>
              <w:left w:val="nil"/>
              <w:bottom w:val="nil"/>
              <w:right w:val="nil"/>
            </w:tcBorders>
            <w:shd w:val="clear" w:color="auto" w:fill="auto"/>
            <w:hideMark/>
          </w:tcPr>
          <w:p w14:paraId="1A14BD05" w14:textId="77777777" w:rsidR="00AD2427" w:rsidRPr="00750A21" w:rsidRDefault="00AD2427" w:rsidP="00750A21">
            <w:pPr>
              <w:suppressAutoHyphens w:val="0"/>
              <w:spacing w:before="40" w:after="80" w:line="220" w:lineRule="exact"/>
              <w:jc w:val="right"/>
              <w:textAlignment w:val="baseline"/>
              <w:rPr>
                <w:rFonts w:eastAsia="Times New Roman"/>
                <w:szCs w:val="24"/>
                <w:lang w:val="en-US" w:eastAsia="en-US"/>
              </w:rPr>
            </w:pPr>
            <w:r w:rsidRPr="00750A21">
              <w:rPr>
                <w:rFonts w:eastAsia="Times New Roman"/>
                <w:lang w:eastAsia="en-US"/>
              </w:rPr>
              <w:t>5, 11, 16</w:t>
            </w:r>
            <w:r w:rsidRPr="00750A21">
              <w:rPr>
                <w:rFonts w:eastAsia="Times New Roman"/>
                <w:lang w:val="en-US" w:eastAsia="en-US"/>
              </w:rPr>
              <w:t> </w:t>
            </w:r>
          </w:p>
        </w:tc>
      </w:tr>
      <w:tr w:rsidR="00AD2427" w:rsidRPr="00AD2427" w14:paraId="596DE384" w14:textId="77777777" w:rsidTr="001A7B29">
        <w:tc>
          <w:tcPr>
            <w:tcW w:w="6240" w:type="dxa"/>
            <w:tcBorders>
              <w:top w:val="nil"/>
              <w:left w:val="nil"/>
              <w:bottom w:val="single" w:sz="12" w:space="0" w:color="auto"/>
              <w:right w:val="nil"/>
            </w:tcBorders>
            <w:shd w:val="clear" w:color="auto" w:fill="auto"/>
            <w:hideMark/>
          </w:tcPr>
          <w:p w14:paraId="3BE3CF26" w14:textId="77777777" w:rsidR="00AD2427" w:rsidRPr="00750A21" w:rsidRDefault="00AD2427" w:rsidP="00750A21">
            <w:pPr>
              <w:suppressAutoHyphens w:val="0"/>
              <w:spacing w:before="40" w:after="80" w:line="220" w:lineRule="exact"/>
              <w:textAlignment w:val="baseline"/>
              <w:rPr>
                <w:rFonts w:eastAsia="Times New Roman"/>
                <w:szCs w:val="24"/>
                <w:lang w:val="en-US" w:eastAsia="en-US"/>
              </w:rPr>
            </w:pPr>
            <w:r w:rsidRPr="00750A21">
              <w:rPr>
                <w:rFonts w:eastAsia="Times New Roman"/>
                <w:lang w:eastAsia="en-US"/>
              </w:rPr>
              <w:t>Korean Standards Association (KSA)</w:t>
            </w:r>
            <w:r w:rsidRPr="005B6AC8">
              <w:rPr>
                <w:rFonts w:eastAsia="Times New Roman"/>
                <w:i/>
                <w:sz w:val="18"/>
                <w:szCs w:val="18"/>
                <w:vertAlign w:val="superscript"/>
                <w:lang w:eastAsia="en-US"/>
              </w:rPr>
              <w:t>c</w:t>
            </w:r>
            <w:r w:rsidRPr="00750A21">
              <w:rPr>
                <w:rFonts w:eastAsia="Times New Roman"/>
                <w:szCs w:val="16"/>
                <w:lang w:val="en-US" w:eastAsia="en-US"/>
              </w:rPr>
              <w:t> </w:t>
            </w:r>
          </w:p>
        </w:tc>
        <w:tc>
          <w:tcPr>
            <w:tcW w:w="2265" w:type="dxa"/>
            <w:tcBorders>
              <w:top w:val="nil"/>
              <w:left w:val="nil"/>
              <w:bottom w:val="single" w:sz="12" w:space="0" w:color="auto"/>
              <w:right w:val="nil"/>
            </w:tcBorders>
            <w:shd w:val="clear" w:color="auto" w:fill="auto"/>
            <w:hideMark/>
          </w:tcPr>
          <w:p w14:paraId="2D8EC6D0" w14:textId="44FA0401" w:rsidR="00AD2427" w:rsidRPr="00750A21" w:rsidRDefault="00AD2427" w:rsidP="00750A21">
            <w:pPr>
              <w:suppressAutoHyphens w:val="0"/>
              <w:spacing w:before="40" w:after="80" w:line="220" w:lineRule="exact"/>
              <w:jc w:val="right"/>
              <w:textAlignment w:val="baseline"/>
              <w:rPr>
                <w:rFonts w:eastAsia="Times New Roman"/>
                <w:szCs w:val="24"/>
                <w:lang w:val="en-US" w:eastAsia="en-US"/>
              </w:rPr>
            </w:pPr>
            <w:r w:rsidRPr="00750A21">
              <w:rPr>
                <w:rFonts w:eastAsia="Times New Roman"/>
                <w:lang w:eastAsia="en-US"/>
              </w:rPr>
              <w:t>14</w:t>
            </w:r>
            <w:r w:rsidR="00B66628" w:rsidRPr="00750A21">
              <w:rPr>
                <w:rFonts w:eastAsia="Times New Roman"/>
                <w:lang w:eastAsia="en-US"/>
              </w:rPr>
              <w:t>–</w:t>
            </w:r>
            <w:r w:rsidRPr="00750A21">
              <w:rPr>
                <w:rFonts w:eastAsia="Times New Roman"/>
                <w:lang w:eastAsia="en-US"/>
              </w:rPr>
              <w:t>15</w:t>
            </w:r>
            <w:r w:rsidRPr="00750A21">
              <w:rPr>
                <w:rFonts w:eastAsia="Times New Roman"/>
                <w:lang w:val="en-US" w:eastAsia="en-US"/>
              </w:rPr>
              <w:t> </w:t>
            </w:r>
          </w:p>
        </w:tc>
      </w:tr>
    </w:tbl>
    <w:p w14:paraId="67BE2381" w14:textId="4993360B" w:rsidR="00AD2427" w:rsidRPr="00AD2427" w:rsidRDefault="00FF06C7" w:rsidP="005B6AC8">
      <w:pPr>
        <w:suppressAutoHyphens w:val="0"/>
        <w:spacing w:before="60" w:line="200" w:lineRule="exact"/>
        <w:ind w:left="1123" w:firstLine="136"/>
        <w:textAlignment w:val="baseline"/>
        <w:rPr>
          <w:rFonts w:eastAsia="Times New Roman"/>
          <w:sz w:val="24"/>
          <w:szCs w:val="24"/>
          <w:lang w:val="en-US" w:eastAsia="en-US"/>
        </w:rPr>
      </w:pPr>
      <w:r w:rsidRPr="00FF06C7">
        <w:rPr>
          <w:rFonts w:eastAsia="Times New Roman"/>
          <w:i/>
          <w:sz w:val="18"/>
          <w:szCs w:val="18"/>
          <w:vertAlign w:val="superscript"/>
          <w:lang w:eastAsia="en-US"/>
        </w:rPr>
        <w:t>a</w:t>
      </w:r>
      <w:r w:rsidR="00AD2427" w:rsidRPr="00AD2427">
        <w:rPr>
          <w:rFonts w:eastAsia="Times New Roman"/>
          <w:sz w:val="18"/>
          <w:szCs w:val="18"/>
          <w:lang w:eastAsia="en-US"/>
        </w:rPr>
        <w:t xml:space="preserve"> Accreditation granted for five years.</w:t>
      </w:r>
    </w:p>
    <w:p w14:paraId="046502EE" w14:textId="5A3C54BF" w:rsidR="00AD2427" w:rsidRPr="00AD2427" w:rsidRDefault="00AD2427" w:rsidP="005B6AC8">
      <w:pPr>
        <w:suppressAutoHyphens w:val="0"/>
        <w:spacing w:line="200" w:lineRule="exact"/>
        <w:ind w:left="1123" w:firstLine="136"/>
        <w:textAlignment w:val="baseline"/>
        <w:rPr>
          <w:rFonts w:eastAsia="Times New Roman"/>
          <w:sz w:val="24"/>
          <w:szCs w:val="24"/>
          <w:lang w:val="en-US" w:eastAsia="en-US"/>
        </w:rPr>
      </w:pPr>
      <w:r w:rsidRPr="005B6AC8">
        <w:rPr>
          <w:rFonts w:eastAsia="Times New Roman"/>
          <w:i/>
          <w:sz w:val="18"/>
          <w:szCs w:val="18"/>
          <w:vertAlign w:val="superscript"/>
          <w:lang w:eastAsia="en-US"/>
        </w:rPr>
        <w:t>b</w:t>
      </w:r>
      <w:r w:rsidRPr="00AD2427">
        <w:rPr>
          <w:rFonts w:eastAsia="Times New Roman"/>
          <w:sz w:val="18"/>
          <w:szCs w:val="18"/>
          <w:lang w:eastAsia="en-US"/>
        </w:rPr>
        <w:t xml:space="preserve"> Voluntary withdrawal of accreditation in its entirety.</w:t>
      </w:r>
    </w:p>
    <w:p w14:paraId="322E09A0" w14:textId="578C0504" w:rsidR="00AD2427" w:rsidRPr="00AD2427" w:rsidRDefault="00AD2427" w:rsidP="005B6AC8">
      <w:pPr>
        <w:suppressAutoHyphens w:val="0"/>
        <w:spacing w:after="180" w:line="200" w:lineRule="exact"/>
        <w:ind w:left="1123" w:firstLine="136"/>
        <w:textAlignment w:val="baseline"/>
        <w:rPr>
          <w:rFonts w:eastAsia="Times New Roman"/>
          <w:sz w:val="24"/>
          <w:szCs w:val="24"/>
          <w:lang w:val="en-US" w:eastAsia="en-US"/>
        </w:rPr>
      </w:pPr>
      <w:r w:rsidRPr="005B6AC8">
        <w:rPr>
          <w:rFonts w:eastAsia="Times New Roman"/>
          <w:i/>
          <w:sz w:val="18"/>
          <w:szCs w:val="18"/>
          <w:vertAlign w:val="superscript"/>
          <w:lang w:eastAsia="en-US"/>
        </w:rPr>
        <w:t>c</w:t>
      </w:r>
      <w:r w:rsidRPr="00AD2427">
        <w:rPr>
          <w:rFonts w:eastAsia="Times New Roman"/>
          <w:i/>
          <w:iCs/>
          <w:sz w:val="18"/>
          <w:szCs w:val="18"/>
          <w:lang w:eastAsia="en-US"/>
        </w:rPr>
        <w:t xml:space="preserve"> </w:t>
      </w:r>
      <w:r w:rsidRPr="00AD2427">
        <w:rPr>
          <w:rFonts w:eastAsia="Times New Roman"/>
          <w:sz w:val="18"/>
          <w:szCs w:val="18"/>
          <w:lang w:eastAsia="en-US"/>
        </w:rPr>
        <w:t>Extension of scope. For the entities for which the scope of accreditation was extended, only the new sectoral scopes are indicated.</w:t>
      </w:r>
    </w:p>
    <w:p w14:paraId="7A7F4DDC" w14:textId="717D5807" w:rsidR="00FF06C7" w:rsidRDefault="00525848" w:rsidP="00B719E1">
      <w:pPr>
        <w:pStyle w:val="RegSingleTxtG"/>
        <w:numPr>
          <w:ilvl w:val="0"/>
          <w:numId w:val="0"/>
        </w:numPr>
        <w:ind w:left="1134" w:right="-1"/>
        <w:jc w:val="right"/>
        <w:rPr>
          <w:i/>
        </w:rPr>
        <w:sectPr w:rsidR="00FF06C7" w:rsidSect="001B0963">
          <w:headerReference w:type="even" r:id="rId22"/>
          <w:footerReference w:type="even" r:id="rId23"/>
          <w:footerReference w:type="first" r:id="rId24"/>
          <w:footnotePr>
            <w:numRestart w:val="eachSect"/>
          </w:footnotePr>
          <w:pgSz w:w="11906" w:h="16838" w:code="9"/>
          <w:pgMar w:top="1417" w:right="1134" w:bottom="1134" w:left="1134" w:header="850" w:footer="567" w:gutter="0"/>
          <w:cols w:space="708"/>
          <w:docGrid w:linePitch="360"/>
        </w:sectPr>
      </w:pPr>
      <w:bookmarkStart w:id="7" w:name="_Hlk88578592"/>
      <w:r>
        <w:rPr>
          <w:i/>
        </w:rPr>
        <w:t>10</w:t>
      </w:r>
      <w:r w:rsidRPr="00525848">
        <w:rPr>
          <w:i/>
          <w:vertAlign w:val="superscript"/>
        </w:rPr>
        <w:t>th</w:t>
      </w:r>
      <w:r>
        <w:rPr>
          <w:i/>
        </w:rPr>
        <w:t xml:space="preserve"> </w:t>
      </w:r>
      <w:r w:rsidR="00FF06C7" w:rsidRPr="001B0963">
        <w:rPr>
          <w:i/>
        </w:rPr>
        <w:t>plenary meeting</w:t>
      </w:r>
      <w:r w:rsidR="00FF06C7">
        <w:rPr>
          <w:i/>
        </w:rPr>
        <w:br/>
      </w:r>
      <w:r>
        <w:rPr>
          <w:i/>
        </w:rPr>
        <w:t>13</w:t>
      </w:r>
      <w:r w:rsidR="00FF06C7" w:rsidRPr="001B0963">
        <w:rPr>
          <w:i/>
        </w:rPr>
        <w:t xml:space="preserve"> </w:t>
      </w:r>
      <w:r w:rsidR="003D0DB5">
        <w:rPr>
          <w:i/>
        </w:rPr>
        <w:t>Novembe</w:t>
      </w:r>
      <w:r w:rsidR="00FF06C7" w:rsidRPr="001B0963">
        <w:rPr>
          <w:i/>
        </w:rPr>
        <w:t>r 2021</w:t>
      </w:r>
    </w:p>
    <w:p w14:paraId="2D320F3D" w14:textId="66972436" w:rsidR="0056647E" w:rsidRDefault="0056647E" w:rsidP="00D23317">
      <w:pPr>
        <w:pStyle w:val="RegHChG"/>
        <w:numPr>
          <w:ilvl w:val="0"/>
          <w:numId w:val="0"/>
        </w:numPr>
        <w:tabs>
          <w:tab w:val="left" w:pos="720"/>
        </w:tabs>
        <w:spacing w:before="480"/>
        <w:ind w:left="1134" w:hanging="454"/>
      </w:pPr>
      <w:bookmarkStart w:id="8" w:name="Decision3"/>
      <w:bookmarkEnd w:id="7"/>
      <w:r>
        <w:t>Decision 3/CMP.16</w:t>
      </w:r>
    </w:p>
    <w:bookmarkEnd w:id="8"/>
    <w:p w14:paraId="747F6E13" w14:textId="68CF69B1" w:rsidR="0056647E" w:rsidRDefault="0056647E" w:rsidP="00D23317">
      <w:pPr>
        <w:pStyle w:val="RegHChG"/>
        <w:numPr>
          <w:ilvl w:val="0"/>
          <w:numId w:val="0"/>
        </w:numPr>
        <w:tabs>
          <w:tab w:val="left" w:pos="720"/>
        </w:tabs>
        <w:ind w:left="1135" w:hanging="454"/>
      </w:pPr>
      <w:r>
        <w:t>Report of the Adaptation Fund Board for 2020 and 2021</w:t>
      </w:r>
    </w:p>
    <w:p w14:paraId="48E34E03" w14:textId="0E7718D1" w:rsidR="0056647E" w:rsidRDefault="003D0DB5" w:rsidP="003D0DB5">
      <w:pPr>
        <w:pStyle w:val="RegSingleTxtG"/>
        <w:numPr>
          <w:ilvl w:val="0"/>
          <w:numId w:val="0"/>
        </w:numPr>
        <w:ind w:left="1134"/>
        <w:rPr>
          <w:i/>
        </w:rPr>
      </w:pPr>
      <w:r>
        <w:rPr>
          <w:i/>
          <w:color w:val="000000"/>
        </w:rPr>
        <w:tab/>
      </w:r>
      <w:r w:rsidR="0056647E">
        <w:rPr>
          <w:i/>
          <w:color w:val="000000"/>
        </w:rPr>
        <w:t>The</w:t>
      </w:r>
      <w:r w:rsidR="0056647E">
        <w:rPr>
          <w:i/>
        </w:rPr>
        <w:t xml:space="preserve"> Conference of the </w:t>
      </w:r>
      <w:r w:rsidR="0056647E" w:rsidRPr="003D0DB5">
        <w:rPr>
          <w:rFonts w:eastAsia="Times New Roman"/>
          <w:lang w:eastAsia="en-US"/>
        </w:rPr>
        <w:t>Parties</w:t>
      </w:r>
      <w:r w:rsidR="0056647E">
        <w:t xml:space="preserve"> </w:t>
      </w:r>
      <w:r w:rsidR="0056647E">
        <w:rPr>
          <w:i/>
        </w:rPr>
        <w:t>serving as the meeting of the Parties to the Kyoto Protocol</w:t>
      </w:r>
      <w:r w:rsidR="0056647E">
        <w:t>,</w:t>
      </w:r>
    </w:p>
    <w:p w14:paraId="5334997D" w14:textId="09FFD083" w:rsidR="0056647E" w:rsidRDefault="003D0DB5" w:rsidP="003D0DB5">
      <w:pPr>
        <w:pStyle w:val="RegSingleTxtG"/>
        <w:numPr>
          <w:ilvl w:val="0"/>
          <w:numId w:val="0"/>
        </w:numPr>
        <w:ind w:left="1134"/>
      </w:pPr>
      <w:r>
        <w:rPr>
          <w:i/>
        </w:rPr>
        <w:tab/>
      </w:r>
      <w:r w:rsidR="0056647E">
        <w:rPr>
          <w:i/>
        </w:rPr>
        <w:t>Recalling</w:t>
      </w:r>
      <w:r w:rsidR="0056647E">
        <w:t xml:space="preserve"> </w:t>
      </w:r>
      <w:r w:rsidR="0056647E" w:rsidRPr="003D0DB5">
        <w:rPr>
          <w:rFonts w:eastAsia="Times New Roman"/>
          <w:lang w:eastAsia="en-US"/>
        </w:rPr>
        <w:t>decisions</w:t>
      </w:r>
      <w:r w:rsidR="0056647E">
        <w:t xml:space="preserve"> 1/CMP.3, 1/CMP.4, 2/CMP.10, 1/CMP.11, 2/CMP.12, 1/CMP.13, 1/CMP.14 and 3/CMP.15,</w:t>
      </w:r>
    </w:p>
    <w:p w14:paraId="23F1266E" w14:textId="35EEE91D" w:rsidR="0056647E" w:rsidRDefault="003D0DB5" w:rsidP="003D0DB5">
      <w:pPr>
        <w:pStyle w:val="RegSingleTxtG"/>
        <w:numPr>
          <w:ilvl w:val="0"/>
          <w:numId w:val="0"/>
        </w:numPr>
        <w:ind w:left="1134"/>
        <w:rPr>
          <w:iCs/>
        </w:rPr>
      </w:pPr>
      <w:r>
        <w:rPr>
          <w:i/>
        </w:rPr>
        <w:tab/>
      </w:r>
      <w:r w:rsidR="0056647E">
        <w:rPr>
          <w:i/>
        </w:rPr>
        <w:t>Also recalling</w:t>
      </w:r>
      <w:r w:rsidR="0056647E">
        <w:rPr>
          <w:iCs/>
        </w:rPr>
        <w:t xml:space="preserve"> </w:t>
      </w:r>
      <w:r w:rsidR="0056647E" w:rsidRPr="003D0DB5">
        <w:rPr>
          <w:rFonts w:eastAsia="Times New Roman"/>
          <w:lang w:eastAsia="en-US"/>
        </w:rPr>
        <w:t>decision</w:t>
      </w:r>
      <w:r w:rsidR="0056647E">
        <w:rPr>
          <w:iCs/>
        </w:rPr>
        <w:t xml:space="preserve"> 13/CMA.1,</w:t>
      </w:r>
    </w:p>
    <w:p w14:paraId="755C1184" w14:textId="7B9F331B" w:rsidR="0056647E" w:rsidRPr="003D0DB5" w:rsidRDefault="00D23317" w:rsidP="00D23317">
      <w:pPr>
        <w:pStyle w:val="RegSingleTxtG"/>
        <w:numPr>
          <w:ilvl w:val="0"/>
          <w:numId w:val="0"/>
        </w:numPr>
        <w:ind w:left="1134"/>
        <w:rPr>
          <w:i/>
          <w:szCs w:val="24"/>
        </w:rPr>
      </w:pPr>
      <w:r w:rsidRPr="003D0DB5">
        <w:rPr>
          <w:szCs w:val="24"/>
        </w:rPr>
        <w:t>1.</w:t>
      </w:r>
      <w:r w:rsidRPr="003D0DB5">
        <w:rPr>
          <w:szCs w:val="24"/>
        </w:rPr>
        <w:tab/>
      </w:r>
      <w:r w:rsidR="0056647E" w:rsidRPr="003D0DB5">
        <w:rPr>
          <w:i/>
        </w:rPr>
        <w:tab/>
      </w:r>
      <w:bookmarkStart w:id="9" w:name="_Ref89176360"/>
      <w:r w:rsidR="0056647E" w:rsidRPr="003D0DB5">
        <w:rPr>
          <w:i/>
          <w:szCs w:val="24"/>
        </w:rPr>
        <w:t xml:space="preserve">Takes note </w:t>
      </w:r>
      <w:r w:rsidR="0056647E" w:rsidRPr="003D0DB5">
        <w:rPr>
          <w:szCs w:val="24"/>
        </w:rPr>
        <w:t>of</w:t>
      </w:r>
      <w:r w:rsidR="0056647E" w:rsidRPr="003D0DB5">
        <w:rPr>
          <w:i/>
          <w:szCs w:val="24"/>
        </w:rPr>
        <w:t xml:space="preserve"> </w:t>
      </w:r>
      <w:r w:rsidR="0056647E" w:rsidRPr="003D0DB5">
        <w:rPr>
          <w:szCs w:val="24"/>
        </w:rPr>
        <w:t>the</w:t>
      </w:r>
      <w:r w:rsidR="0056647E" w:rsidRPr="003D0DB5">
        <w:rPr>
          <w:i/>
          <w:szCs w:val="24"/>
        </w:rPr>
        <w:t xml:space="preserve"> </w:t>
      </w:r>
      <w:r w:rsidR="0056647E" w:rsidRPr="003D0DB5">
        <w:rPr>
          <w:szCs w:val="24"/>
        </w:rPr>
        <w:t xml:space="preserve">annual reports of the </w:t>
      </w:r>
      <w:r w:rsidR="0056647E" w:rsidRPr="003D0DB5">
        <w:rPr>
          <w:rFonts w:eastAsia="Times New Roman"/>
          <w:lang w:eastAsia="en-US"/>
        </w:rPr>
        <w:t>Adaptation</w:t>
      </w:r>
      <w:r w:rsidR="0056647E" w:rsidRPr="003D0DB5">
        <w:rPr>
          <w:szCs w:val="24"/>
        </w:rPr>
        <w:t xml:space="preserve"> Fund Board for 2020 and 2021 and the information contained therein;</w:t>
      </w:r>
      <w:r w:rsidR="0056647E">
        <w:rPr>
          <w:rStyle w:val="FootnoteReference"/>
          <w:szCs w:val="18"/>
        </w:rPr>
        <w:footnoteReference w:id="11"/>
      </w:r>
      <w:bookmarkEnd w:id="9"/>
    </w:p>
    <w:p w14:paraId="6818E0B3" w14:textId="33CA86B9" w:rsidR="0056647E" w:rsidRDefault="00D23317" w:rsidP="00D23317">
      <w:pPr>
        <w:pStyle w:val="RegSingleTxtG"/>
        <w:numPr>
          <w:ilvl w:val="0"/>
          <w:numId w:val="0"/>
        </w:numPr>
        <w:ind w:left="1134"/>
        <w:rPr>
          <w:i/>
          <w:szCs w:val="24"/>
        </w:rPr>
      </w:pPr>
      <w:r>
        <w:rPr>
          <w:szCs w:val="24"/>
        </w:rPr>
        <w:t>2.</w:t>
      </w:r>
      <w:r>
        <w:rPr>
          <w:szCs w:val="24"/>
        </w:rPr>
        <w:tab/>
      </w:r>
      <w:r w:rsidR="0056647E">
        <w:rPr>
          <w:i/>
          <w:szCs w:val="24"/>
        </w:rPr>
        <w:t xml:space="preserve">Notes </w:t>
      </w:r>
      <w:r w:rsidR="0056647E">
        <w:rPr>
          <w:szCs w:val="24"/>
        </w:rPr>
        <w:t xml:space="preserve">the following information, actions and decisions relating to the Adaptation Fund Board presented in the reports referred to in paragraph </w:t>
      </w:r>
      <w:r w:rsidR="00BD0449">
        <w:rPr>
          <w:szCs w:val="24"/>
        </w:rPr>
        <w:fldChar w:fldCharType="begin"/>
      </w:r>
      <w:r w:rsidR="00BD0449">
        <w:rPr>
          <w:szCs w:val="24"/>
        </w:rPr>
        <w:instrText xml:space="preserve"> REF _Ref89176360 \n \p \h </w:instrText>
      </w:r>
      <w:r w:rsidR="00BD0449">
        <w:rPr>
          <w:szCs w:val="24"/>
        </w:rPr>
      </w:r>
      <w:r w:rsidR="00BD0449">
        <w:rPr>
          <w:szCs w:val="24"/>
        </w:rPr>
        <w:fldChar w:fldCharType="separate"/>
      </w:r>
      <w:r w:rsidR="00BD0449">
        <w:rPr>
          <w:szCs w:val="24"/>
        </w:rPr>
        <w:t>1 above</w:t>
      </w:r>
      <w:r w:rsidR="00BD0449">
        <w:rPr>
          <w:szCs w:val="24"/>
        </w:rPr>
        <w:fldChar w:fldCharType="end"/>
      </w:r>
      <w:r w:rsidR="0056647E">
        <w:rPr>
          <w:szCs w:val="24"/>
        </w:rPr>
        <w:t>:</w:t>
      </w:r>
    </w:p>
    <w:p w14:paraId="1D7114A9" w14:textId="6DA02579" w:rsidR="0056647E" w:rsidRDefault="00D23317" w:rsidP="00D23317">
      <w:pPr>
        <w:pStyle w:val="RegSingleTxtG2"/>
        <w:numPr>
          <w:ilvl w:val="0"/>
          <w:numId w:val="0"/>
        </w:numPr>
        <w:tabs>
          <w:tab w:val="left" w:pos="1702"/>
        </w:tabs>
        <w:ind w:left="1134" w:firstLine="567"/>
      </w:pPr>
      <w:r>
        <w:rPr>
          <w:szCs w:val="28"/>
        </w:rPr>
        <w:t>(a)</w:t>
      </w:r>
      <w:r>
        <w:rPr>
          <w:szCs w:val="28"/>
        </w:rPr>
        <w:tab/>
      </w:r>
      <w:r w:rsidR="0056647E">
        <w:t xml:space="preserve">A request for the Conference of the Parties serving as the meeting of the Parties to the Kyoto Protocol and/or the Conference of the Parties serving as the meeting of the Parties to the Paris Agreement to </w:t>
      </w:r>
      <w:r w:rsidR="0056647E" w:rsidRPr="003D0DB5">
        <w:rPr>
          <w:szCs w:val="24"/>
        </w:rPr>
        <w:t>provide</w:t>
      </w:r>
      <w:r w:rsidR="0056647E">
        <w:t xml:space="preserve"> guidance and/or clarification on how to address requests for funding from Parties that are either a Party to the Kyoto Protocol or a Party to the Paris Agreement but not a Party to both;</w:t>
      </w:r>
      <w:r w:rsidR="0056647E">
        <w:rPr>
          <w:sz w:val="18"/>
          <w:vertAlign w:val="superscript"/>
        </w:rPr>
        <w:footnoteReference w:id="12"/>
      </w:r>
      <w:r w:rsidR="0056647E">
        <w:t xml:space="preserve"> </w:t>
      </w:r>
    </w:p>
    <w:p w14:paraId="163264E0" w14:textId="2E2F74CA" w:rsidR="0056647E" w:rsidRDefault="00D23317" w:rsidP="00D23317">
      <w:pPr>
        <w:pStyle w:val="RegSingleTxtG2"/>
        <w:numPr>
          <w:ilvl w:val="0"/>
          <w:numId w:val="0"/>
        </w:numPr>
        <w:tabs>
          <w:tab w:val="left" w:pos="1702"/>
        </w:tabs>
        <w:ind w:left="1134" w:firstLine="567"/>
        <w:rPr>
          <w:iCs/>
          <w:szCs w:val="24"/>
        </w:rPr>
      </w:pPr>
      <w:r>
        <w:rPr>
          <w:iCs/>
          <w:szCs w:val="28"/>
        </w:rPr>
        <w:t>(b)</w:t>
      </w:r>
      <w:r>
        <w:rPr>
          <w:iCs/>
          <w:szCs w:val="28"/>
        </w:rPr>
        <w:tab/>
      </w:r>
      <w:r w:rsidR="0056647E">
        <w:rPr>
          <w:iCs/>
          <w:szCs w:val="24"/>
        </w:rPr>
        <w:t>The updated response of the Adaptation Fund Board</w:t>
      </w:r>
      <w:r w:rsidR="0056647E">
        <w:rPr>
          <w:rStyle w:val="FootnoteReference"/>
          <w:iCs/>
          <w:szCs w:val="24"/>
        </w:rPr>
        <w:footnoteReference w:id="13"/>
      </w:r>
      <w:r w:rsidR="0056647E">
        <w:rPr>
          <w:iCs/>
          <w:szCs w:val="24"/>
        </w:rPr>
        <w:t xml:space="preserve"> to the guidance of the Conference of the Parties </w:t>
      </w:r>
      <w:r w:rsidR="0056647E" w:rsidRPr="003D0DB5">
        <w:t>serving</w:t>
      </w:r>
      <w:r w:rsidR="0056647E">
        <w:rPr>
          <w:iCs/>
          <w:szCs w:val="24"/>
        </w:rPr>
        <w:t xml:space="preserve"> as the meeting of the Parties to the Kyoto Protocol pertaining to the third review of the Adaptation Fund;</w:t>
      </w:r>
      <w:r w:rsidR="0056647E">
        <w:rPr>
          <w:rStyle w:val="FootnoteReference"/>
          <w:iCs/>
          <w:szCs w:val="24"/>
        </w:rPr>
        <w:footnoteReference w:id="14"/>
      </w:r>
    </w:p>
    <w:p w14:paraId="265491CF" w14:textId="194604B6" w:rsidR="0056647E" w:rsidRDefault="00D23317" w:rsidP="00D23317">
      <w:pPr>
        <w:pStyle w:val="RegSingleTxtG2"/>
        <w:numPr>
          <w:ilvl w:val="0"/>
          <w:numId w:val="0"/>
        </w:numPr>
        <w:tabs>
          <w:tab w:val="left" w:pos="1702"/>
        </w:tabs>
        <w:ind w:left="1134" w:firstLine="567"/>
        <w:rPr>
          <w:iCs/>
          <w:szCs w:val="24"/>
        </w:rPr>
      </w:pPr>
      <w:r>
        <w:rPr>
          <w:iCs/>
          <w:szCs w:val="28"/>
        </w:rPr>
        <w:t>(c)</w:t>
      </w:r>
      <w:r>
        <w:rPr>
          <w:iCs/>
          <w:szCs w:val="28"/>
        </w:rPr>
        <w:tab/>
      </w:r>
      <w:r w:rsidR="0056647E">
        <w:rPr>
          <w:szCs w:val="24"/>
        </w:rPr>
        <w:t>The accreditation of 4 national implementing entities, 2 multilateral implementing entities and 1 regional implementing entity (with the national implementing entities granted direct access to resources from the Adaptation Fund), resulting in a total number of accredited implementing entities of 33 national (of which 9 in the least developed countries and 7 in small island developing States), 14 multilateral and 7 regional implementing entities, of which 31 were reaccredited (16 national implementing entities, 4 regional implementing entities and 11 multilateral implementing entities) for accessing resources from the Adaptation Fund directly;</w:t>
      </w:r>
    </w:p>
    <w:p w14:paraId="156A8107" w14:textId="766B9BD4" w:rsidR="0056647E" w:rsidRDefault="00D23317" w:rsidP="00D23317">
      <w:pPr>
        <w:pStyle w:val="RegSingleTxtG2"/>
        <w:numPr>
          <w:ilvl w:val="0"/>
          <w:numId w:val="0"/>
        </w:numPr>
        <w:tabs>
          <w:tab w:val="left" w:pos="1702"/>
        </w:tabs>
        <w:ind w:left="1134" w:firstLine="567"/>
        <w:rPr>
          <w:iCs/>
          <w:szCs w:val="24"/>
        </w:rPr>
      </w:pPr>
      <w:r>
        <w:rPr>
          <w:iCs/>
          <w:szCs w:val="28"/>
        </w:rPr>
        <w:t>(d)</w:t>
      </w:r>
      <w:r>
        <w:rPr>
          <w:iCs/>
          <w:szCs w:val="28"/>
        </w:rPr>
        <w:tab/>
      </w:r>
      <w:r w:rsidR="0056647E">
        <w:rPr>
          <w:iCs/>
          <w:szCs w:val="24"/>
        </w:rPr>
        <w:t>Cumulative project and programme approvals increasing by around 32 per cent to USD 744.58 million between 1 July 2019 and 30 June 2020 and by 12 per cent to USD</w:t>
      </w:r>
      <w:r w:rsidR="00560A35">
        <w:rPr>
          <w:iCs/>
          <w:szCs w:val="24"/>
        </w:rPr>
        <w:t> </w:t>
      </w:r>
      <w:r w:rsidR="0056647E">
        <w:rPr>
          <w:iCs/>
          <w:szCs w:val="24"/>
        </w:rPr>
        <w:t>831.49 million between 1 July 2020 and 30 June 2021, despite the challenging circumstances related to the coronavirus disease 2019 pandemic;</w:t>
      </w:r>
    </w:p>
    <w:p w14:paraId="31E4A051" w14:textId="2357B29B" w:rsidR="0056647E" w:rsidRDefault="00D23317" w:rsidP="00D23317">
      <w:pPr>
        <w:pStyle w:val="RegSingleTxtG2"/>
        <w:numPr>
          <w:ilvl w:val="0"/>
          <w:numId w:val="0"/>
        </w:numPr>
        <w:tabs>
          <w:tab w:val="left" w:pos="1702"/>
        </w:tabs>
        <w:ind w:left="1134" w:firstLine="567"/>
      </w:pPr>
      <w:r>
        <w:rPr>
          <w:szCs w:val="28"/>
        </w:rPr>
        <w:t>(e)</w:t>
      </w:r>
      <w:r>
        <w:rPr>
          <w:szCs w:val="28"/>
        </w:rPr>
        <w:tab/>
      </w:r>
      <w:r w:rsidR="0056647E">
        <w:t>Resources available for new funding approvals amounting to USD 167.2</w:t>
      </w:r>
      <w:r w:rsidR="00AF4D87">
        <w:t>0</w:t>
      </w:r>
      <w:r w:rsidR="0056647E">
        <w:t xml:space="preserve"> million as at 30 June</w:t>
      </w:r>
      <w:r w:rsidR="0056647E">
        <w:rPr>
          <w:spacing w:val="-8"/>
        </w:rPr>
        <w:t xml:space="preserve"> </w:t>
      </w:r>
      <w:r w:rsidR="0056647E">
        <w:t xml:space="preserve">2020 </w:t>
      </w:r>
      <w:r w:rsidR="0056647E" w:rsidRPr="003D0DB5">
        <w:rPr>
          <w:iCs/>
          <w:szCs w:val="24"/>
        </w:rPr>
        <w:t>and</w:t>
      </w:r>
      <w:r w:rsidR="0056647E">
        <w:t xml:space="preserve"> USD 195.69 million as at 30 June 2021;</w:t>
      </w:r>
    </w:p>
    <w:p w14:paraId="2AE714CD" w14:textId="2CD931C9" w:rsidR="0056647E" w:rsidRDefault="00D23317" w:rsidP="00D23317">
      <w:pPr>
        <w:pStyle w:val="RegSingleTxtG2"/>
        <w:numPr>
          <w:ilvl w:val="0"/>
          <w:numId w:val="0"/>
        </w:numPr>
        <w:tabs>
          <w:tab w:val="left" w:pos="1702"/>
        </w:tabs>
        <w:ind w:left="1134" w:firstLine="567"/>
      </w:pPr>
      <w:r>
        <w:rPr>
          <w:szCs w:val="28"/>
        </w:rPr>
        <w:t>(f)</w:t>
      </w:r>
      <w:r>
        <w:rPr>
          <w:szCs w:val="28"/>
        </w:rPr>
        <w:tab/>
      </w:r>
      <w:r w:rsidR="0056647E">
        <w:t xml:space="preserve">New funding approvals, including for concrete single-country and regional (multi-country) proposals, grant proposals </w:t>
      </w:r>
      <w:r w:rsidR="0056647E" w:rsidRPr="003D0DB5">
        <w:rPr>
          <w:iCs/>
          <w:szCs w:val="24"/>
        </w:rPr>
        <w:t>under</w:t>
      </w:r>
      <w:r w:rsidR="0056647E">
        <w:t xml:space="preserve"> the Medium-Term Strategy of the Adaptation Fund for 2018–2022</w:t>
      </w:r>
      <w:r w:rsidR="0056647E">
        <w:rPr>
          <w:rStyle w:val="FootnoteReference"/>
        </w:rPr>
        <w:footnoteReference w:id="15"/>
      </w:r>
      <w:r w:rsidR="0056647E">
        <w:t xml:space="preserve"> and readiness grants amounting to USD 180.5 million as at 30 June 2020 and USD 86.9 million as at 30 June 2021;</w:t>
      </w:r>
    </w:p>
    <w:p w14:paraId="7E15B9FC" w14:textId="5DEECA71" w:rsidR="0056647E" w:rsidRDefault="00D23317" w:rsidP="00D23317">
      <w:pPr>
        <w:pStyle w:val="RegSingleTxtG2"/>
        <w:numPr>
          <w:ilvl w:val="0"/>
          <w:numId w:val="0"/>
        </w:numPr>
        <w:tabs>
          <w:tab w:val="left" w:pos="720"/>
          <w:tab w:val="left" w:pos="1702"/>
        </w:tabs>
        <w:ind w:left="1134" w:firstLine="567"/>
      </w:pPr>
      <w:r>
        <w:rPr>
          <w:szCs w:val="28"/>
        </w:rPr>
        <w:t>(g)</w:t>
      </w:r>
      <w:r>
        <w:rPr>
          <w:szCs w:val="28"/>
        </w:rPr>
        <w:tab/>
      </w:r>
      <w:r w:rsidR="0056647E">
        <w:t>An a</w:t>
      </w:r>
      <w:r w:rsidR="0056647E">
        <w:rPr>
          <w:rFonts w:eastAsia="DengXian"/>
        </w:rPr>
        <w:t xml:space="preserve">ctive pipeline of project and programme </w:t>
      </w:r>
      <w:r w:rsidR="0056647E">
        <w:t>proposals</w:t>
      </w:r>
      <w:r w:rsidR="0056647E">
        <w:rPr>
          <w:rFonts w:eastAsia="DengXian"/>
        </w:rPr>
        <w:t xml:space="preserve"> submitted but not approved amounting to around USD 286 million as at 30 June 2020 and USD 279 million as at 30 June 2021, reflecting an upward trend from previous years;</w:t>
      </w:r>
    </w:p>
    <w:p w14:paraId="228CFD9F" w14:textId="1D7CCF4C" w:rsidR="0056647E" w:rsidRDefault="00D23317" w:rsidP="00D23317">
      <w:pPr>
        <w:pStyle w:val="RegSingleTxtG2"/>
        <w:numPr>
          <w:ilvl w:val="0"/>
          <w:numId w:val="0"/>
        </w:numPr>
        <w:tabs>
          <w:tab w:val="left" w:pos="720"/>
          <w:tab w:val="left" w:pos="1702"/>
        </w:tabs>
        <w:ind w:left="1134" w:firstLine="567"/>
      </w:pPr>
      <w:bookmarkStart w:id="10" w:name="_Hlk86340608"/>
      <w:r>
        <w:rPr>
          <w:szCs w:val="28"/>
        </w:rPr>
        <w:t>(h)</w:t>
      </w:r>
      <w:r>
        <w:rPr>
          <w:szCs w:val="28"/>
        </w:rPr>
        <w:tab/>
      </w:r>
      <w:r w:rsidR="0056647E">
        <w:t>The cumulative receipts of USD 1,107.40 million, as at 30 June 2021, into the Adaptation Fund Trust Fund, comprising USD 208.38 million from the monetization of certified emission reductions, USD 858.82 million from contributions and USD 40.21 million from investment income earned on the Trust Fund balance;</w:t>
      </w:r>
    </w:p>
    <w:p w14:paraId="15EA8705" w14:textId="5FCA4D10" w:rsidR="0056647E" w:rsidRDefault="00D23317" w:rsidP="00D23317">
      <w:pPr>
        <w:pStyle w:val="RegSingleTxtG2"/>
        <w:numPr>
          <w:ilvl w:val="0"/>
          <w:numId w:val="0"/>
        </w:numPr>
        <w:tabs>
          <w:tab w:val="left" w:pos="720"/>
          <w:tab w:val="left" w:pos="1702"/>
        </w:tabs>
        <w:ind w:left="1134" w:firstLine="567"/>
        <w:rPr>
          <w:iCs/>
          <w:szCs w:val="24"/>
        </w:rPr>
      </w:pPr>
      <w:bookmarkStart w:id="11" w:name="_Hlk87294015"/>
      <w:bookmarkEnd w:id="10"/>
      <w:r>
        <w:rPr>
          <w:iCs/>
          <w:szCs w:val="28"/>
        </w:rPr>
        <w:t>(i)</w:t>
      </w:r>
      <w:r>
        <w:rPr>
          <w:iCs/>
          <w:szCs w:val="28"/>
        </w:rPr>
        <w:tab/>
      </w:r>
      <w:r w:rsidR="0056647E">
        <w:rPr>
          <w:iCs/>
          <w:szCs w:val="24"/>
        </w:rPr>
        <w:t xml:space="preserve">Contributions amounting to USD 200.89 million between 1 July 2019 and 30 June 2021 from the Governments of Germany, Ireland, Norway, Poland, Spain, Sweden and Switzerland, as well as the governments of the Brussels-Capital, Flemish and Walloon Regions of Belgium; new pledges amounting to USD 116 million from the Governments of Germany, Ireland, Italy and Sweden, as well as the governments of the Brussels-Capital and Walloon Regions of Belgium, towards the Adaptation Fund resource mobilization target of USD 120 million per year for the biennium 2020–2021; direct funding of EUR 10 million from the European Commission for a programme under the Adaptation Fund Innovation Facility; </w:t>
      </w:r>
      <w:r w:rsidR="0056647E">
        <w:rPr>
          <w:szCs w:val="24"/>
        </w:rPr>
        <w:t xml:space="preserve">and </w:t>
      </w:r>
      <w:r w:rsidR="0056647E">
        <w:rPr>
          <w:iCs/>
          <w:szCs w:val="24"/>
        </w:rPr>
        <w:t xml:space="preserve">the transfer of aggregated contributions from the United Nations Foundation, comprising various individual donations made between 1 July 2019 and 30 June </w:t>
      </w:r>
      <w:r w:rsidR="0056647E">
        <w:rPr>
          <w:szCs w:val="24"/>
        </w:rPr>
        <w:t>2020,</w:t>
      </w:r>
      <w:r w:rsidR="0056647E">
        <w:rPr>
          <w:iCs/>
          <w:szCs w:val="24"/>
        </w:rPr>
        <w:t xml:space="preserve"> prepared by the Adaptation Fund Board secretariat and the trustee;</w:t>
      </w:r>
    </w:p>
    <w:bookmarkEnd w:id="11"/>
    <w:p w14:paraId="614A7E84" w14:textId="1AEF0CC9" w:rsidR="0056647E" w:rsidRDefault="00D23317" w:rsidP="00D23317">
      <w:pPr>
        <w:pStyle w:val="RegSingleTxtG2"/>
        <w:numPr>
          <w:ilvl w:val="0"/>
          <w:numId w:val="0"/>
        </w:numPr>
        <w:tabs>
          <w:tab w:val="left" w:pos="720"/>
          <w:tab w:val="left" w:pos="1702"/>
        </w:tabs>
        <w:ind w:left="1134" w:firstLine="567"/>
        <w:rPr>
          <w:iCs/>
          <w:szCs w:val="24"/>
        </w:rPr>
      </w:pPr>
      <w:r>
        <w:rPr>
          <w:iCs/>
          <w:szCs w:val="28"/>
        </w:rPr>
        <w:t>(j)</w:t>
      </w:r>
      <w:r>
        <w:rPr>
          <w:iCs/>
          <w:szCs w:val="28"/>
        </w:rPr>
        <w:tab/>
      </w:r>
      <w:r w:rsidR="0056647E">
        <w:rPr>
          <w:iCs/>
          <w:szCs w:val="24"/>
        </w:rPr>
        <w:t>Outstanding pledges of USD 21.85 million as at 30 June 2020 and outstanding contributions of USD 36.27 million as at 30 June 2021;</w:t>
      </w:r>
    </w:p>
    <w:p w14:paraId="01E47489" w14:textId="15F96046" w:rsidR="0056647E" w:rsidRDefault="00D23317" w:rsidP="00D23317">
      <w:pPr>
        <w:pStyle w:val="RegSingleTxtG2"/>
        <w:numPr>
          <w:ilvl w:val="0"/>
          <w:numId w:val="0"/>
        </w:numPr>
        <w:tabs>
          <w:tab w:val="left" w:pos="720"/>
          <w:tab w:val="left" w:pos="1702"/>
        </w:tabs>
        <w:ind w:left="1134" w:firstLine="567"/>
      </w:pPr>
      <w:r>
        <w:rPr>
          <w:szCs w:val="28"/>
        </w:rPr>
        <w:t>(k)</w:t>
      </w:r>
      <w:r>
        <w:rPr>
          <w:szCs w:val="28"/>
        </w:rPr>
        <w:tab/>
      </w:r>
      <w:r w:rsidR="0056647E">
        <w:t>The approval of 29 single-country project or programme proposals submitted by implementing entities, totalling USD 174 million, of which 9 proposals submitted by national implementing entities, amounting to USD 14.5 million; 1 single-country proposal submitted by a regional implementing entity</w:t>
      </w:r>
      <w:r w:rsidR="00021CB7">
        <w:t>,</w:t>
      </w:r>
      <w:r w:rsidR="0056647E">
        <w:t xml:space="preserve"> amounting to USD 9.9 million; and 19 single-country proposals submitted by multilateral implementing entities, totalling USD 149.6 million;</w:t>
      </w:r>
    </w:p>
    <w:p w14:paraId="3457526F" w14:textId="0FF06FB0" w:rsidR="0056647E" w:rsidRDefault="00D23317" w:rsidP="00D23317">
      <w:pPr>
        <w:pStyle w:val="RegSingleTxtG2"/>
        <w:numPr>
          <w:ilvl w:val="0"/>
          <w:numId w:val="0"/>
        </w:numPr>
        <w:tabs>
          <w:tab w:val="left" w:pos="720"/>
          <w:tab w:val="left" w:pos="1702"/>
        </w:tabs>
        <w:ind w:left="1134" w:firstLine="567"/>
      </w:pPr>
      <w:r>
        <w:rPr>
          <w:szCs w:val="28"/>
        </w:rPr>
        <w:t>(l)</w:t>
      </w:r>
      <w:r>
        <w:rPr>
          <w:szCs w:val="28"/>
        </w:rPr>
        <w:tab/>
      </w:r>
      <w:r w:rsidR="0056647E">
        <w:t>The recommendation of the Project and Programme Review Committee to approve nine regional (multi-country) projects amounting to USD 93.9 million, for which funding was not readily available for one project from the tentatively set-aside amount, and the resulting decision of the Adaptation Fund Board to place it on a waitlist, to be approved intersessionally subject to the availability of funds;</w:t>
      </w:r>
    </w:p>
    <w:p w14:paraId="15023BAE" w14:textId="466E48EC" w:rsidR="0056647E" w:rsidRDefault="00D23317" w:rsidP="00D23317">
      <w:pPr>
        <w:pStyle w:val="RegSingleTxtG2"/>
        <w:numPr>
          <w:ilvl w:val="0"/>
          <w:numId w:val="0"/>
        </w:numPr>
        <w:tabs>
          <w:tab w:val="left" w:pos="720"/>
          <w:tab w:val="left" w:pos="1702"/>
        </w:tabs>
        <w:ind w:left="1134" w:firstLine="567"/>
        <w:rPr>
          <w:rFonts w:eastAsia="Times New Roman"/>
        </w:rPr>
      </w:pPr>
      <w:r>
        <w:rPr>
          <w:rFonts w:eastAsia="Times New Roman"/>
          <w:szCs w:val="28"/>
        </w:rPr>
        <w:t>(m)</w:t>
      </w:r>
      <w:r>
        <w:rPr>
          <w:rFonts w:eastAsia="Times New Roman"/>
          <w:szCs w:val="28"/>
        </w:rPr>
        <w:tab/>
      </w:r>
      <w:r w:rsidR="0056647E">
        <w:t>The ongoing implementation of activities under the Medium-Term Strategy of the Adaptation Fund for 2018–2022, with the second, third, fourth and fifth review cycles for grant funding windows for innovation, learning and project scale-up and the approval by the Adaptation Fund Board of the first four small-grant proposals for innovation, the first grant proposal for project scale-up and two grant proposals for learning, totalling USD 1,348,322; and the launch of two new innovation aggregator programmes, totalling USD 10 million, that offer small grants for innovation to non-accredited entities via two accredited multilateral implementing entities;</w:t>
      </w:r>
    </w:p>
    <w:p w14:paraId="11B8340B" w14:textId="12AE5E8F" w:rsidR="0056647E" w:rsidRDefault="00D23317" w:rsidP="00D23317">
      <w:pPr>
        <w:pStyle w:val="RegSingleTxtG2"/>
        <w:numPr>
          <w:ilvl w:val="0"/>
          <w:numId w:val="0"/>
        </w:numPr>
        <w:tabs>
          <w:tab w:val="left" w:pos="720"/>
          <w:tab w:val="left" w:pos="1702"/>
        </w:tabs>
        <w:ind w:left="1134" w:firstLine="567"/>
        <w:rPr>
          <w:rFonts w:eastAsia="Times New Roman"/>
          <w:color w:val="000000" w:themeColor="text1"/>
        </w:rPr>
      </w:pPr>
      <w:r>
        <w:rPr>
          <w:rFonts w:eastAsia="Times New Roman"/>
          <w:szCs w:val="28"/>
        </w:rPr>
        <w:t>(n)</w:t>
      </w:r>
      <w:r>
        <w:rPr>
          <w:rFonts w:eastAsia="Times New Roman"/>
          <w:szCs w:val="28"/>
        </w:rPr>
        <w:tab/>
      </w:r>
      <w:r w:rsidR="0056647E">
        <w:rPr>
          <w:rFonts w:eastAsia="Times New Roman"/>
          <w:color w:val="000000" w:themeColor="text1"/>
        </w:rPr>
        <w:t>The facilitation of the 2</w:t>
      </w:r>
      <w:r w:rsidR="0056647E">
        <w:rPr>
          <w:rFonts w:eastAsia="Times New Roman"/>
          <w:color w:val="000000" w:themeColor="text1"/>
          <w:vertAlign w:val="superscript"/>
        </w:rPr>
        <w:t>nd</w:t>
      </w:r>
      <w:r w:rsidR="0056647E">
        <w:rPr>
          <w:rFonts w:eastAsia="Times New Roman"/>
          <w:color w:val="000000" w:themeColor="text1"/>
        </w:rPr>
        <w:t xml:space="preserve"> meeting of the Committee of the Community of Practice for Direct Access Entities, held with the participation of the Green Climate Fund;</w:t>
      </w:r>
    </w:p>
    <w:p w14:paraId="62B13574" w14:textId="7BF5759F" w:rsidR="0056647E" w:rsidRDefault="00D23317" w:rsidP="00D23317">
      <w:pPr>
        <w:pStyle w:val="RegSingleTxtG2"/>
        <w:numPr>
          <w:ilvl w:val="0"/>
          <w:numId w:val="0"/>
        </w:numPr>
        <w:tabs>
          <w:tab w:val="left" w:pos="720"/>
          <w:tab w:val="left" w:pos="1702"/>
        </w:tabs>
        <w:ind w:left="1134" w:firstLine="567"/>
        <w:rPr>
          <w:rFonts w:eastAsia="Times New Roman"/>
          <w:color w:val="000000" w:themeColor="text1"/>
        </w:rPr>
      </w:pPr>
      <w:r>
        <w:rPr>
          <w:rFonts w:eastAsia="Times New Roman"/>
          <w:szCs w:val="28"/>
        </w:rPr>
        <w:t>(o)</w:t>
      </w:r>
      <w:r>
        <w:rPr>
          <w:rFonts w:eastAsia="Times New Roman"/>
          <w:szCs w:val="28"/>
        </w:rPr>
        <w:tab/>
      </w:r>
      <w:r w:rsidR="0056647E">
        <w:t xml:space="preserve">New activities under the Medium-Term Strategy of the Adaptation Fund for 2018–2022, including the approval of large grants for innovation and a funding window for enhanced direct access; the </w:t>
      </w:r>
      <w:r w:rsidR="0056647E">
        <w:rPr>
          <w:rFonts w:eastAsia="Arial"/>
        </w:rPr>
        <w:t xml:space="preserve">endorsement of the principles of locally led adaptation action following </w:t>
      </w:r>
      <w:r w:rsidR="0056647E">
        <w:t>engagement</w:t>
      </w:r>
      <w:r w:rsidR="0056647E">
        <w:rPr>
          <w:rFonts w:eastAsia="Arial"/>
        </w:rPr>
        <w:t xml:space="preserve"> with the Global Commission; and the launch of </w:t>
      </w:r>
      <w:r w:rsidR="0056647E">
        <w:t>the Adaptation Fund Climate Innovation Accelerator;</w:t>
      </w:r>
    </w:p>
    <w:p w14:paraId="435C8A78" w14:textId="3196A99B" w:rsidR="0056647E" w:rsidRDefault="00D23317" w:rsidP="00D23317">
      <w:pPr>
        <w:pStyle w:val="RegSingleTxtG2"/>
        <w:numPr>
          <w:ilvl w:val="0"/>
          <w:numId w:val="0"/>
        </w:numPr>
        <w:tabs>
          <w:tab w:val="left" w:pos="720"/>
          <w:tab w:val="left" w:pos="1702"/>
        </w:tabs>
        <w:ind w:left="1134" w:firstLine="567"/>
        <w:rPr>
          <w:rFonts w:eastAsia="Times New Roman"/>
        </w:rPr>
      </w:pPr>
      <w:r>
        <w:rPr>
          <w:rFonts w:eastAsia="Times New Roman"/>
          <w:szCs w:val="28"/>
        </w:rPr>
        <w:t>(p)</w:t>
      </w:r>
      <w:r>
        <w:rPr>
          <w:rFonts w:eastAsia="Times New Roman"/>
          <w:szCs w:val="28"/>
        </w:rPr>
        <w:tab/>
      </w:r>
      <w:r w:rsidR="0056647E">
        <w:t>The launch of a virtual learning course on unlocking adaptation finance and accessing the Adaptation Fund;</w:t>
      </w:r>
    </w:p>
    <w:p w14:paraId="5038E393" w14:textId="35AC6475" w:rsidR="0056647E" w:rsidRDefault="00D23317" w:rsidP="00D23317">
      <w:pPr>
        <w:pStyle w:val="RegSingleTxtG2"/>
        <w:numPr>
          <w:ilvl w:val="0"/>
          <w:numId w:val="0"/>
        </w:numPr>
        <w:tabs>
          <w:tab w:val="left" w:pos="720"/>
          <w:tab w:val="left" w:pos="1702"/>
        </w:tabs>
        <w:ind w:left="1134" w:firstLine="567"/>
      </w:pPr>
      <w:r>
        <w:rPr>
          <w:szCs w:val="28"/>
        </w:rPr>
        <w:t>(q)</w:t>
      </w:r>
      <w:r>
        <w:rPr>
          <w:szCs w:val="28"/>
        </w:rPr>
        <w:tab/>
      </w:r>
      <w:r w:rsidR="0056647E">
        <w:t>The approval of funding decisions for readiness grants amounting to USD 234,820, consisting of South–South cooperation grants and technical assistance grants for the environmental and social safeguards policy and the gender policy; and a new readiness support package grant window following a successful pilot phase;</w:t>
      </w:r>
    </w:p>
    <w:p w14:paraId="317F7145" w14:textId="6339A644" w:rsidR="0056647E" w:rsidRDefault="00D23317" w:rsidP="00D23317">
      <w:pPr>
        <w:pStyle w:val="RegSingleTxtG2"/>
        <w:numPr>
          <w:ilvl w:val="0"/>
          <w:numId w:val="0"/>
        </w:numPr>
        <w:tabs>
          <w:tab w:val="left" w:pos="720"/>
          <w:tab w:val="left" w:pos="1702"/>
        </w:tabs>
        <w:ind w:left="1134" w:firstLine="567"/>
      </w:pPr>
      <w:r>
        <w:rPr>
          <w:szCs w:val="28"/>
        </w:rPr>
        <w:t>(r)</w:t>
      </w:r>
      <w:r>
        <w:rPr>
          <w:szCs w:val="28"/>
        </w:rPr>
        <w:tab/>
      </w:r>
      <w:r w:rsidR="0056647E">
        <w:t>The organization of virtual readiness events for accredited national implementing entities, including two webinars on project development, a global accreditation training workshop and a country exchange for South–South learning;</w:t>
      </w:r>
    </w:p>
    <w:p w14:paraId="01292901" w14:textId="120EF780" w:rsidR="0056647E" w:rsidRDefault="00D23317" w:rsidP="00D23317">
      <w:pPr>
        <w:pStyle w:val="RegSingleTxtG2"/>
        <w:numPr>
          <w:ilvl w:val="0"/>
          <w:numId w:val="0"/>
        </w:numPr>
        <w:tabs>
          <w:tab w:val="left" w:pos="720"/>
          <w:tab w:val="left" w:pos="1702"/>
        </w:tabs>
        <w:ind w:left="1134" w:firstLine="567"/>
        <w:rPr>
          <w:rFonts w:eastAsia="Times New Roman"/>
        </w:rPr>
      </w:pPr>
      <w:r>
        <w:rPr>
          <w:rFonts w:eastAsia="Times New Roman"/>
          <w:szCs w:val="28"/>
        </w:rPr>
        <w:t>(s)</w:t>
      </w:r>
      <w:r>
        <w:rPr>
          <w:rFonts w:eastAsia="Times New Roman"/>
          <w:szCs w:val="28"/>
        </w:rPr>
        <w:tab/>
      </w:r>
      <w:r w:rsidR="0056647E">
        <w:t>Cumulative disbursements to the 121 projects approved since the operationalization of the Adaptation Fund amounting to USD 485.9 million, including USD 76.2 million disbursed between 1 July 2020 and 30 June 2021;</w:t>
      </w:r>
    </w:p>
    <w:p w14:paraId="2316C309" w14:textId="4274B34A" w:rsidR="0056647E" w:rsidRDefault="00D23317" w:rsidP="00D23317">
      <w:pPr>
        <w:pStyle w:val="RegSingleTxtG2"/>
        <w:numPr>
          <w:ilvl w:val="0"/>
          <w:numId w:val="0"/>
        </w:numPr>
        <w:tabs>
          <w:tab w:val="left" w:pos="720"/>
          <w:tab w:val="left" w:pos="1702"/>
        </w:tabs>
        <w:ind w:left="1134" w:firstLine="567"/>
      </w:pPr>
      <w:r>
        <w:rPr>
          <w:szCs w:val="28"/>
        </w:rPr>
        <w:t>(t)</w:t>
      </w:r>
      <w:r>
        <w:rPr>
          <w:szCs w:val="28"/>
        </w:rPr>
        <w:tab/>
      </w:r>
      <w:r w:rsidR="0056647E">
        <w:t>The</w:t>
      </w:r>
      <w:r w:rsidR="0056647E">
        <w:rPr>
          <w:rFonts w:eastAsia="Times New Roman"/>
        </w:rPr>
        <w:t xml:space="preserve"> implementation of proactive measures to support Parties and implementing entities in mitigating the effects of the pandemic and minimizing any related disruption, and to mitigate the impact on the portfolio of the Adaptation Fund</w:t>
      </w:r>
      <w:r w:rsidR="0056647E">
        <w:t>;</w:t>
      </w:r>
    </w:p>
    <w:p w14:paraId="3B450889" w14:textId="538C2503" w:rsidR="0056647E" w:rsidRDefault="00D23317" w:rsidP="00D23317">
      <w:pPr>
        <w:pStyle w:val="RegSingleTxtG2"/>
        <w:numPr>
          <w:ilvl w:val="0"/>
          <w:numId w:val="0"/>
        </w:numPr>
        <w:tabs>
          <w:tab w:val="left" w:pos="720"/>
          <w:tab w:val="left" w:pos="1702"/>
        </w:tabs>
        <w:ind w:left="1134" w:firstLine="567"/>
        <w:rPr>
          <w:rFonts w:eastAsia="Times New Roman"/>
          <w:color w:val="000000" w:themeColor="text1"/>
        </w:rPr>
      </w:pPr>
      <w:r>
        <w:rPr>
          <w:rFonts w:eastAsia="Times New Roman"/>
          <w:szCs w:val="28"/>
        </w:rPr>
        <w:t>(u)</w:t>
      </w:r>
      <w:r>
        <w:rPr>
          <w:rFonts w:eastAsia="Times New Roman"/>
          <w:szCs w:val="28"/>
        </w:rPr>
        <w:tab/>
      </w:r>
      <w:r w:rsidR="0056647E">
        <w:t>The issuance of targeted communication and messaging on themes such as the unique value of the pioneering scalable work of the Adaptation Fund, the implementation of the Medium-Term Strategy of the Adaptation Fund for 2018–2022, the response of the Adaptation Fund to the pandemic and the value of the Adaptation Fund in building broader resilience;</w:t>
      </w:r>
    </w:p>
    <w:p w14:paraId="6265540F" w14:textId="42FBDE4E" w:rsidR="0056647E" w:rsidRDefault="00D23317" w:rsidP="00D23317">
      <w:pPr>
        <w:pStyle w:val="RegSingleTxtG2"/>
        <w:numPr>
          <w:ilvl w:val="0"/>
          <w:numId w:val="0"/>
        </w:numPr>
        <w:tabs>
          <w:tab w:val="left" w:pos="720"/>
          <w:tab w:val="left" w:pos="1702"/>
        </w:tabs>
        <w:ind w:left="1134" w:firstLine="567"/>
      </w:pPr>
      <w:r>
        <w:rPr>
          <w:szCs w:val="28"/>
        </w:rPr>
        <w:t>(v)</w:t>
      </w:r>
      <w:r>
        <w:rPr>
          <w:szCs w:val="28"/>
        </w:rPr>
        <w:tab/>
      </w:r>
      <w:r w:rsidR="0056647E">
        <w:t>The promotion of linkages of the Adaptation Fund with other bodies under the Convention, such as the Adaptation Committee, the Climate Technology Centre and Network, the Global Environment Facility, the Green Climate Fund, the Paris Committee on Capacity-building and the Standing Committee on Finance – the Adaptation Fund Board held discussions on linkages between the Adaptation Fund and the Green Climate Fund, including through a framework for promoting the scaling up of funded projects and the Community of Practice for Direct Access Entities;</w:t>
      </w:r>
    </w:p>
    <w:p w14:paraId="6456B557" w14:textId="11A35B8D" w:rsidR="0056647E" w:rsidRDefault="00D23317" w:rsidP="00D23317">
      <w:pPr>
        <w:pStyle w:val="RegSingleTxtG2"/>
        <w:numPr>
          <w:ilvl w:val="0"/>
          <w:numId w:val="0"/>
        </w:numPr>
        <w:tabs>
          <w:tab w:val="left" w:pos="720"/>
          <w:tab w:val="left" w:pos="1702"/>
        </w:tabs>
        <w:ind w:left="1134" w:firstLine="567"/>
        <w:rPr>
          <w:rFonts w:eastAsia="Times New Roman"/>
          <w:color w:val="000000" w:themeColor="text1"/>
        </w:rPr>
      </w:pPr>
      <w:r>
        <w:rPr>
          <w:rFonts w:eastAsia="Times New Roman"/>
          <w:szCs w:val="28"/>
        </w:rPr>
        <w:t>(w)</w:t>
      </w:r>
      <w:r>
        <w:rPr>
          <w:rFonts w:eastAsia="Times New Roman"/>
          <w:szCs w:val="28"/>
        </w:rPr>
        <w:tab/>
      </w:r>
      <w:r w:rsidR="0056647E">
        <w:t>Policy decisions regarding project approval and implementation, including to streamline the project and programme review process, to update the policy for project and programme delays and to make readiness grants available throughout the year by including an additional review cycle;</w:t>
      </w:r>
    </w:p>
    <w:p w14:paraId="6D77A80A" w14:textId="302835C4" w:rsidR="0056647E" w:rsidRDefault="00D23317" w:rsidP="00D23317">
      <w:pPr>
        <w:pStyle w:val="RegSingleTxtG2"/>
        <w:numPr>
          <w:ilvl w:val="0"/>
          <w:numId w:val="0"/>
        </w:numPr>
        <w:tabs>
          <w:tab w:val="left" w:pos="720"/>
          <w:tab w:val="left" w:pos="1702"/>
        </w:tabs>
        <w:ind w:left="1134" w:firstLine="567"/>
      </w:pPr>
      <w:r>
        <w:rPr>
          <w:szCs w:val="28"/>
        </w:rPr>
        <w:t>(x)</w:t>
      </w:r>
      <w:r>
        <w:rPr>
          <w:szCs w:val="28"/>
        </w:rPr>
        <w:tab/>
      </w:r>
      <w:r w:rsidR="0056647E">
        <w:t xml:space="preserve">The approval of the updated Adaptation Fund gender policy and action plan and application of the updated Adaptation Fund project performance report template by implementing entities to track progress more systematically; </w:t>
      </w:r>
    </w:p>
    <w:p w14:paraId="227674E1" w14:textId="05051CA2" w:rsidR="0056647E" w:rsidRDefault="00D23317" w:rsidP="00D23317">
      <w:pPr>
        <w:pStyle w:val="RegSingleTxtG2"/>
        <w:numPr>
          <w:ilvl w:val="0"/>
          <w:numId w:val="0"/>
        </w:numPr>
        <w:tabs>
          <w:tab w:val="left" w:pos="720"/>
          <w:tab w:val="left" w:pos="1702"/>
        </w:tabs>
        <w:ind w:left="1134" w:firstLine="567"/>
        <w:rPr>
          <w:rFonts w:eastAsia="Times New Roman"/>
          <w:color w:val="000000" w:themeColor="text1"/>
        </w:rPr>
      </w:pPr>
      <w:r>
        <w:rPr>
          <w:rFonts w:eastAsia="Times New Roman"/>
          <w:szCs w:val="28"/>
        </w:rPr>
        <w:t>(y)</w:t>
      </w:r>
      <w:r>
        <w:rPr>
          <w:rFonts w:eastAsia="Times New Roman"/>
          <w:szCs w:val="28"/>
        </w:rPr>
        <w:tab/>
      </w:r>
      <w:r w:rsidR="0056647E">
        <w:t>Consideration of options for further enhancing civil society participation and engagement in Adaptation Fund work;</w:t>
      </w:r>
    </w:p>
    <w:p w14:paraId="356EAF49" w14:textId="3265C361" w:rsidR="0056647E" w:rsidRDefault="00D23317" w:rsidP="00D23317">
      <w:pPr>
        <w:pStyle w:val="RegSingleTxtG2"/>
        <w:numPr>
          <w:ilvl w:val="0"/>
          <w:numId w:val="0"/>
        </w:numPr>
        <w:tabs>
          <w:tab w:val="left" w:pos="720"/>
          <w:tab w:val="left" w:pos="1702"/>
        </w:tabs>
        <w:ind w:left="1134" w:firstLine="567"/>
      </w:pPr>
      <w:r>
        <w:rPr>
          <w:szCs w:val="28"/>
        </w:rPr>
        <w:t>(z)</w:t>
      </w:r>
      <w:r>
        <w:rPr>
          <w:szCs w:val="28"/>
        </w:rPr>
        <w:tab/>
      </w:r>
      <w:r w:rsidR="0056647E">
        <w:t>The implementation of activities of the Technical Evaluation Reference Group of the Adaptation Fund as the basis for developing and approving its multi-year strategy and work programme and corresponding two-year budget, including evaluative activities as part of the multi-year strategy and work programme approved by the Adaptation Fund Board, such as the revision of the Adaptation Fund evaluation framework and the midterm review of the Medium-Term Strategy of the Adaptation Fund for 2018–2022;</w:t>
      </w:r>
      <w:r w:rsidR="0056647E">
        <w:rPr>
          <w:rStyle w:val="FootnoteReference"/>
          <w:iCs/>
          <w:szCs w:val="24"/>
        </w:rPr>
        <w:footnoteReference w:id="16"/>
      </w:r>
    </w:p>
    <w:p w14:paraId="72474B4C" w14:textId="177659F5" w:rsidR="0056647E" w:rsidRDefault="00D23317" w:rsidP="00D23317">
      <w:pPr>
        <w:pStyle w:val="RegSingleTxtG"/>
        <w:numPr>
          <w:ilvl w:val="0"/>
          <w:numId w:val="0"/>
        </w:numPr>
        <w:ind w:left="1134"/>
        <w:rPr>
          <w:szCs w:val="24"/>
        </w:rPr>
      </w:pPr>
      <w:r>
        <w:rPr>
          <w:szCs w:val="24"/>
        </w:rPr>
        <w:t>3.</w:t>
      </w:r>
      <w:r>
        <w:rPr>
          <w:szCs w:val="24"/>
        </w:rPr>
        <w:tab/>
      </w:r>
      <w:r w:rsidR="0056647E">
        <w:rPr>
          <w:i/>
          <w:iCs/>
        </w:rPr>
        <w:t>Welcomes with appreciation</w:t>
      </w:r>
      <w:r w:rsidR="0056647E">
        <w:t xml:space="preserve"> the </w:t>
      </w:r>
      <w:r w:rsidR="0056647E">
        <w:rPr>
          <w:szCs w:val="24"/>
        </w:rPr>
        <w:t xml:space="preserve">decision of the Adaptation Fund Board to increase the finance access cap per country from USD 10 million to USD 20 million and the number of accredited national implementing entities per eligible developing country Party from one to two; </w:t>
      </w:r>
    </w:p>
    <w:p w14:paraId="3420A343" w14:textId="7C1A492E" w:rsidR="0056647E" w:rsidRDefault="00D23317" w:rsidP="00D23317">
      <w:pPr>
        <w:pStyle w:val="RegSingleTxtG"/>
        <w:numPr>
          <w:ilvl w:val="0"/>
          <w:numId w:val="0"/>
        </w:numPr>
        <w:ind w:left="1134"/>
        <w:rPr>
          <w:szCs w:val="24"/>
          <w:u w:val="single"/>
        </w:rPr>
      </w:pPr>
      <w:r>
        <w:rPr>
          <w:szCs w:val="24"/>
        </w:rPr>
        <w:t>4.</w:t>
      </w:r>
      <w:r>
        <w:rPr>
          <w:szCs w:val="24"/>
        </w:rPr>
        <w:tab/>
      </w:r>
      <w:r w:rsidR="0056647E">
        <w:rPr>
          <w:i/>
          <w:szCs w:val="24"/>
        </w:rPr>
        <w:t>Welcomes</w:t>
      </w:r>
      <w:r w:rsidR="0056647E">
        <w:rPr>
          <w:szCs w:val="24"/>
        </w:rPr>
        <w:t xml:space="preserve"> the financial pledges to the Adaptation Fund made by the European Commission, the Governments of Canada, Finland, Germany, Ireland, Norway, Qatar,</w:t>
      </w:r>
      <w:r w:rsidR="0056647E">
        <w:t xml:space="preserve"> </w:t>
      </w:r>
      <w:r w:rsidR="0056647E">
        <w:rPr>
          <w:szCs w:val="24"/>
        </w:rPr>
        <w:t>Spain, Sweden, Switzerland, the United Kingdom of Great Britain and Northern Ireland and the United States of America, as well as the governments of the Brussels-Capital, Flemish and Walloon Regions of Belgium and the provincial government of Quebec, equivalent to USD 356 million;</w:t>
      </w:r>
    </w:p>
    <w:p w14:paraId="63241688" w14:textId="1648A623" w:rsidR="0056647E" w:rsidRDefault="00D23317" w:rsidP="00D23317">
      <w:pPr>
        <w:pStyle w:val="RegSingleTxtG"/>
        <w:numPr>
          <w:ilvl w:val="0"/>
          <w:numId w:val="0"/>
        </w:numPr>
        <w:ind w:left="1134"/>
        <w:rPr>
          <w:szCs w:val="24"/>
          <w:u w:val="single"/>
        </w:rPr>
      </w:pPr>
      <w:r>
        <w:rPr>
          <w:szCs w:val="24"/>
        </w:rPr>
        <w:t>5.</w:t>
      </w:r>
      <w:r>
        <w:rPr>
          <w:szCs w:val="24"/>
        </w:rPr>
        <w:tab/>
      </w:r>
      <w:r w:rsidR="0056647E">
        <w:rPr>
          <w:i/>
          <w:szCs w:val="24"/>
        </w:rPr>
        <w:t xml:space="preserve">Reiterates </w:t>
      </w:r>
      <w:r w:rsidR="0056647E">
        <w:rPr>
          <w:szCs w:val="24"/>
        </w:rPr>
        <w:t>the</w:t>
      </w:r>
      <w:r w:rsidR="0056647E">
        <w:rPr>
          <w:i/>
          <w:szCs w:val="24"/>
        </w:rPr>
        <w:t xml:space="preserve"> </w:t>
      </w:r>
      <w:r w:rsidR="0056647E">
        <w:rPr>
          <w:szCs w:val="24"/>
        </w:rPr>
        <w:t>encouragement to scale up financial resources, including the provision of voluntary support, that are additional to the share of proceeds levied on certified emission reductions in order to support the resource mobilization efforts of the Adaptation Fund Board with a view to strengthening the Adaptation Fund;</w:t>
      </w:r>
      <w:r w:rsidR="0030420F">
        <w:rPr>
          <w:rStyle w:val="FootnoteReference"/>
          <w:szCs w:val="24"/>
        </w:rPr>
        <w:footnoteReference w:id="17"/>
      </w:r>
    </w:p>
    <w:p w14:paraId="7A814D66" w14:textId="6306C88D" w:rsidR="0056647E" w:rsidRDefault="00D23317" w:rsidP="00D23317">
      <w:pPr>
        <w:pStyle w:val="RegSingleTxtG"/>
        <w:numPr>
          <w:ilvl w:val="0"/>
          <w:numId w:val="0"/>
        </w:numPr>
        <w:ind w:left="1134"/>
        <w:rPr>
          <w:szCs w:val="24"/>
        </w:rPr>
      </w:pPr>
      <w:r>
        <w:rPr>
          <w:szCs w:val="24"/>
        </w:rPr>
        <w:t>6.</w:t>
      </w:r>
      <w:r>
        <w:rPr>
          <w:szCs w:val="24"/>
        </w:rPr>
        <w:tab/>
      </w:r>
      <w:r w:rsidR="0056647E">
        <w:rPr>
          <w:i/>
          <w:szCs w:val="24"/>
        </w:rPr>
        <w:t>Confirms</w:t>
      </w:r>
      <w:r w:rsidR="0056647E">
        <w:rPr>
          <w:szCs w:val="24"/>
        </w:rPr>
        <w:t xml:space="preserve"> that developing country Parties to the Paris Agreement that are particularly vulnerable to the adverse effects of climate change are eligible for funding from the Adaptation Fund and </w:t>
      </w:r>
      <w:r w:rsidR="0056647E">
        <w:rPr>
          <w:i/>
          <w:szCs w:val="24"/>
        </w:rPr>
        <w:t>requests</w:t>
      </w:r>
      <w:r w:rsidR="0056647E">
        <w:rPr>
          <w:szCs w:val="24"/>
        </w:rPr>
        <w:t xml:space="preserve"> the Adaptation Fund Board to amend the relevant operational policies and guidelines, as well as its strategic priorities, policies and guidelines accordingly;</w:t>
      </w:r>
    </w:p>
    <w:p w14:paraId="4D8334C5" w14:textId="6481CF9E" w:rsidR="0056647E" w:rsidRDefault="00D23317" w:rsidP="00D23317">
      <w:pPr>
        <w:pStyle w:val="RegSingleTxtG"/>
        <w:numPr>
          <w:ilvl w:val="0"/>
          <w:numId w:val="0"/>
        </w:numPr>
        <w:ind w:left="1134"/>
        <w:rPr>
          <w:szCs w:val="24"/>
        </w:rPr>
      </w:pPr>
      <w:r>
        <w:rPr>
          <w:szCs w:val="24"/>
        </w:rPr>
        <w:t>7.</w:t>
      </w:r>
      <w:r>
        <w:rPr>
          <w:szCs w:val="24"/>
        </w:rPr>
        <w:tab/>
      </w:r>
      <w:r w:rsidR="0056647E">
        <w:rPr>
          <w:i/>
          <w:iCs/>
          <w:szCs w:val="24"/>
        </w:rPr>
        <w:t>Confirms</w:t>
      </w:r>
      <w:r w:rsidR="0056647E">
        <w:rPr>
          <w:szCs w:val="24"/>
        </w:rPr>
        <w:t xml:space="preserve"> that Parties to the Paris Agreement are eligible for membership on the Adaptation Fund Board and </w:t>
      </w:r>
      <w:r w:rsidR="0056647E">
        <w:rPr>
          <w:i/>
          <w:szCs w:val="24"/>
        </w:rPr>
        <w:t>requests</w:t>
      </w:r>
      <w:r w:rsidR="0056647E">
        <w:rPr>
          <w:szCs w:val="24"/>
        </w:rPr>
        <w:t xml:space="preserve"> the Adaptation Fund Board to amend the relevant procedures and modalities; </w:t>
      </w:r>
    </w:p>
    <w:p w14:paraId="3D8C4701" w14:textId="03295A82" w:rsidR="0056647E" w:rsidRDefault="00D23317" w:rsidP="00D23317">
      <w:pPr>
        <w:pStyle w:val="RegSingleTxtG"/>
        <w:numPr>
          <w:ilvl w:val="0"/>
          <w:numId w:val="0"/>
        </w:numPr>
        <w:ind w:left="1134"/>
        <w:rPr>
          <w:szCs w:val="24"/>
        </w:rPr>
      </w:pPr>
      <w:r>
        <w:rPr>
          <w:szCs w:val="24"/>
        </w:rPr>
        <w:t>8.</w:t>
      </w:r>
      <w:r>
        <w:rPr>
          <w:szCs w:val="24"/>
        </w:rPr>
        <w:tab/>
      </w:r>
      <w:r w:rsidR="0056647E">
        <w:rPr>
          <w:i/>
          <w:szCs w:val="24"/>
        </w:rPr>
        <w:t>Also requests</w:t>
      </w:r>
      <w:r w:rsidR="0056647E">
        <w:rPr>
          <w:szCs w:val="24"/>
        </w:rPr>
        <w:t xml:space="preserve"> the Subsidiary Body for Implementation to continue its consideration of matters relating to membership of the Adaptation Fund Board further to decision 1/CMP.14, paragraph 5, and to forward a recommendation to the Conference of the Parties serving as the meeting of the Parties to the Kyoto Protocol for consideration at its next session;</w:t>
      </w:r>
    </w:p>
    <w:p w14:paraId="498CB83F" w14:textId="761AF4AC" w:rsidR="0056647E" w:rsidRDefault="00D23317" w:rsidP="00D23317">
      <w:pPr>
        <w:pStyle w:val="RegSingleTxtG"/>
        <w:numPr>
          <w:ilvl w:val="0"/>
          <w:numId w:val="0"/>
        </w:numPr>
        <w:ind w:left="1134"/>
        <w:rPr>
          <w:szCs w:val="24"/>
          <w:u w:val="single"/>
        </w:rPr>
      </w:pPr>
      <w:r>
        <w:rPr>
          <w:szCs w:val="24"/>
        </w:rPr>
        <w:t>9.</w:t>
      </w:r>
      <w:r>
        <w:rPr>
          <w:szCs w:val="24"/>
        </w:rPr>
        <w:tab/>
      </w:r>
      <w:r w:rsidR="0056647E">
        <w:rPr>
          <w:i/>
          <w:iCs/>
          <w:szCs w:val="24"/>
        </w:rPr>
        <w:t>Welcomes</w:t>
      </w:r>
      <w:r w:rsidR="0056647E">
        <w:rPr>
          <w:szCs w:val="24"/>
        </w:rPr>
        <w:t xml:space="preserve"> the operationalization of the fast-track accreditation process on the basis of operational complementarities between the Adaptation Fund and the Green Climate Fund;</w:t>
      </w:r>
    </w:p>
    <w:p w14:paraId="36851C48" w14:textId="740EC7FC" w:rsidR="0056647E" w:rsidRDefault="00D23317" w:rsidP="00D23317">
      <w:pPr>
        <w:pStyle w:val="RegSingleTxtG"/>
        <w:numPr>
          <w:ilvl w:val="0"/>
          <w:numId w:val="0"/>
        </w:numPr>
        <w:ind w:left="1134"/>
        <w:rPr>
          <w:szCs w:val="24"/>
          <w:u w:val="single"/>
        </w:rPr>
      </w:pPr>
      <w:r>
        <w:rPr>
          <w:szCs w:val="24"/>
        </w:rPr>
        <w:t>10.</w:t>
      </w:r>
      <w:r>
        <w:rPr>
          <w:szCs w:val="24"/>
        </w:rPr>
        <w:tab/>
      </w:r>
      <w:r w:rsidR="0056647E">
        <w:rPr>
          <w:i/>
          <w:szCs w:val="24"/>
        </w:rPr>
        <w:t>Takes note</w:t>
      </w:r>
      <w:r w:rsidR="0056647E">
        <w:rPr>
          <w:szCs w:val="24"/>
        </w:rPr>
        <w:t xml:space="preserve"> of</w:t>
      </w:r>
      <w:r w:rsidR="0056647E">
        <w:rPr>
          <w:iCs/>
          <w:szCs w:val="24"/>
        </w:rPr>
        <w:t xml:space="preserve"> the findings from the midterm review of the Medium-Term Strategy of the Adaptation Fund for 2018–2022 and </w:t>
      </w:r>
      <w:r w:rsidR="0056647E">
        <w:rPr>
          <w:i/>
          <w:iCs/>
          <w:szCs w:val="24"/>
        </w:rPr>
        <w:t>underlines</w:t>
      </w:r>
      <w:r w:rsidR="0056647E">
        <w:rPr>
          <w:iCs/>
          <w:szCs w:val="24"/>
        </w:rPr>
        <w:t xml:space="preserve"> the relevance, niche function and ambition of the Adaptation Fund in contributing to the implementation of adaptation action in a timely manner; </w:t>
      </w:r>
    </w:p>
    <w:p w14:paraId="2B9AD65E" w14:textId="26ADC943" w:rsidR="0056647E" w:rsidRDefault="00D23317" w:rsidP="00D23317">
      <w:pPr>
        <w:pStyle w:val="RegSingleTxtG"/>
        <w:numPr>
          <w:ilvl w:val="0"/>
          <w:numId w:val="0"/>
        </w:numPr>
        <w:ind w:left="1134"/>
        <w:rPr>
          <w:szCs w:val="24"/>
        </w:rPr>
      </w:pPr>
      <w:r>
        <w:rPr>
          <w:szCs w:val="24"/>
        </w:rPr>
        <w:t>11.</w:t>
      </w:r>
      <w:r>
        <w:rPr>
          <w:szCs w:val="24"/>
        </w:rPr>
        <w:tab/>
      </w:r>
      <w:r w:rsidR="0056647E">
        <w:rPr>
          <w:i/>
          <w:iCs/>
          <w:szCs w:val="24"/>
        </w:rPr>
        <w:t>Requests</w:t>
      </w:r>
      <w:r w:rsidR="0056647E">
        <w:rPr>
          <w:szCs w:val="24"/>
        </w:rPr>
        <w:t xml:space="preserve"> the Adaptation Fund Board, </w:t>
      </w:r>
      <w:r w:rsidR="0056647E" w:rsidRPr="00B719E1">
        <w:rPr>
          <w:szCs w:val="24"/>
        </w:rPr>
        <w:t>in</w:t>
      </w:r>
      <w:r w:rsidR="0056647E">
        <w:rPr>
          <w:szCs w:val="24"/>
        </w:rPr>
        <w:t xml:space="preserve"> line with its existing mandate and decision 1/CMP.3, to consider providing support for country-driven adaptation projects and programmes in developing countries with a view to contributing to enhancing implementation of their national adaptation plans and other voluntary adaptation planning processes;</w:t>
      </w:r>
    </w:p>
    <w:p w14:paraId="6E1E9050" w14:textId="20E90692" w:rsidR="0056647E" w:rsidRPr="003D0DB5" w:rsidRDefault="00D23317" w:rsidP="00D23317">
      <w:pPr>
        <w:pStyle w:val="RegSingleTxtG"/>
        <w:numPr>
          <w:ilvl w:val="0"/>
          <w:numId w:val="0"/>
        </w:numPr>
        <w:ind w:left="1134"/>
        <w:rPr>
          <w:szCs w:val="24"/>
          <w:u w:val="single"/>
        </w:rPr>
      </w:pPr>
      <w:r w:rsidRPr="003D0DB5">
        <w:rPr>
          <w:szCs w:val="24"/>
        </w:rPr>
        <w:t>12.</w:t>
      </w:r>
      <w:r w:rsidRPr="003D0DB5">
        <w:rPr>
          <w:szCs w:val="24"/>
        </w:rPr>
        <w:tab/>
      </w:r>
      <w:r w:rsidR="0056647E">
        <w:rPr>
          <w:i/>
          <w:szCs w:val="24"/>
        </w:rPr>
        <w:t xml:space="preserve">Notes </w:t>
      </w:r>
      <w:r w:rsidR="0056647E">
        <w:rPr>
          <w:szCs w:val="24"/>
        </w:rPr>
        <w:t>the importance of finalizing</w:t>
      </w:r>
      <w:r w:rsidR="0056647E">
        <w:rPr>
          <w:i/>
          <w:szCs w:val="24"/>
        </w:rPr>
        <w:t xml:space="preserve"> </w:t>
      </w:r>
      <w:r w:rsidR="0056647E">
        <w:rPr>
          <w:iCs/>
          <w:szCs w:val="24"/>
        </w:rPr>
        <w:t xml:space="preserve">the draft resource mobilization strategy of the Adaptation Fund for 2021–2024 in order to </w:t>
      </w:r>
      <w:r w:rsidR="0056647E" w:rsidRPr="00B719E1">
        <w:rPr>
          <w:szCs w:val="24"/>
        </w:rPr>
        <w:t>encourage</w:t>
      </w:r>
      <w:r w:rsidR="0056647E">
        <w:rPr>
          <w:iCs/>
          <w:szCs w:val="24"/>
        </w:rPr>
        <w:t xml:space="preserve"> mobilization of resources for the Fund.</w:t>
      </w:r>
    </w:p>
    <w:p w14:paraId="31FC6896" w14:textId="6E754350" w:rsidR="003D0DB5" w:rsidRDefault="00C33883" w:rsidP="003D0DB5">
      <w:pPr>
        <w:pStyle w:val="RegSingleTxtG"/>
        <w:numPr>
          <w:ilvl w:val="0"/>
          <w:numId w:val="0"/>
        </w:numPr>
        <w:ind w:left="1134"/>
        <w:jc w:val="right"/>
        <w:rPr>
          <w:i/>
        </w:rPr>
        <w:sectPr w:rsidR="003D0DB5" w:rsidSect="001B0963">
          <w:headerReference w:type="even" r:id="rId25"/>
          <w:headerReference w:type="default" r:id="rId26"/>
          <w:footerReference w:type="even" r:id="rId27"/>
          <w:footerReference w:type="default" r:id="rId28"/>
          <w:footerReference w:type="first" r:id="rId29"/>
          <w:footnotePr>
            <w:numRestart w:val="eachSect"/>
          </w:footnotePr>
          <w:pgSz w:w="11906" w:h="16838" w:code="9"/>
          <w:pgMar w:top="1417" w:right="1134" w:bottom="1134" w:left="1134" w:header="850" w:footer="567" w:gutter="0"/>
          <w:cols w:space="708"/>
          <w:docGrid w:linePitch="360"/>
        </w:sectPr>
      </w:pPr>
      <w:r>
        <w:rPr>
          <w:i/>
        </w:rPr>
        <w:t>10</w:t>
      </w:r>
      <w:r w:rsidRPr="00C33883">
        <w:rPr>
          <w:i/>
          <w:vertAlign w:val="superscript"/>
        </w:rPr>
        <w:t>th</w:t>
      </w:r>
      <w:r>
        <w:rPr>
          <w:i/>
        </w:rPr>
        <w:t xml:space="preserve"> </w:t>
      </w:r>
      <w:r w:rsidR="003D0DB5" w:rsidRPr="003D0DB5">
        <w:rPr>
          <w:i/>
        </w:rPr>
        <w:t>plenary meeting</w:t>
      </w:r>
      <w:r w:rsidR="003D0DB5">
        <w:rPr>
          <w:i/>
        </w:rPr>
        <w:br/>
      </w:r>
      <w:r>
        <w:rPr>
          <w:i/>
        </w:rPr>
        <w:t>13</w:t>
      </w:r>
      <w:r w:rsidR="003D0DB5" w:rsidRPr="003D0DB5">
        <w:rPr>
          <w:i/>
        </w:rPr>
        <w:t xml:space="preserve"> November 2021</w:t>
      </w:r>
    </w:p>
    <w:p w14:paraId="6EF08DD6" w14:textId="687767DC" w:rsidR="003D0DB5" w:rsidRDefault="003D0DB5" w:rsidP="00D23317">
      <w:pPr>
        <w:pStyle w:val="RegHChG"/>
        <w:numPr>
          <w:ilvl w:val="0"/>
          <w:numId w:val="0"/>
        </w:numPr>
        <w:tabs>
          <w:tab w:val="left" w:pos="720"/>
        </w:tabs>
        <w:spacing w:before="480"/>
        <w:ind w:left="1134" w:hanging="454"/>
      </w:pPr>
      <w:bookmarkStart w:id="12" w:name="Decision4"/>
      <w:r>
        <w:t>Decision 4/CMP.16</w:t>
      </w:r>
    </w:p>
    <w:bookmarkEnd w:id="12"/>
    <w:p w14:paraId="1D7E2EC6" w14:textId="1F530FF2" w:rsidR="003D0DB5" w:rsidRDefault="00BA605A" w:rsidP="00D23317">
      <w:pPr>
        <w:pStyle w:val="RegHChG"/>
        <w:numPr>
          <w:ilvl w:val="0"/>
          <w:numId w:val="0"/>
        </w:numPr>
        <w:tabs>
          <w:tab w:val="left" w:pos="720"/>
        </w:tabs>
        <w:ind w:left="1135" w:hanging="454"/>
      </w:pPr>
      <w:r>
        <w:t xml:space="preserve">Fourth review of the </w:t>
      </w:r>
      <w:r w:rsidR="003D0DB5">
        <w:t xml:space="preserve">Adaptation Fund </w:t>
      </w:r>
    </w:p>
    <w:p w14:paraId="07ED36A4" w14:textId="6F2F4F54" w:rsidR="00BA605A" w:rsidRDefault="00BA605A" w:rsidP="00BA605A">
      <w:pPr>
        <w:pStyle w:val="RegSingleTxtG"/>
        <w:numPr>
          <w:ilvl w:val="0"/>
          <w:numId w:val="0"/>
        </w:numPr>
        <w:ind w:left="1134"/>
      </w:pPr>
      <w:r>
        <w:rPr>
          <w:i/>
          <w:w w:val="103"/>
        </w:rPr>
        <w:tab/>
        <w:t>The</w:t>
      </w:r>
      <w:r>
        <w:rPr>
          <w:i/>
        </w:rPr>
        <w:t xml:space="preserve"> </w:t>
      </w:r>
      <w:r>
        <w:rPr>
          <w:i/>
          <w:w w:val="103"/>
        </w:rPr>
        <w:t>Conference</w:t>
      </w:r>
      <w:r>
        <w:rPr>
          <w:i/>
        </w:rPr>
        <w:t xml:space="preserve"> </w:t>
      </w:r>
      <w:r>
        <w:rPr>
          <w:i/>
          <w:w w:val="103"/>
        </w:rPr>
        <w:t>of</w:t>
      </w:r>
      <w:r>
        <w:rPr>
          <w:i/>
        </w:rPr>
        <w:t xml:space="preserve"> </w:t>
      </w:r>
      <w:r w:rsidRPr="00BA605A">
        <w:rPr>
          <w:i/>
          <w:szCs w:val="24"/>
        </w:rPr>
        <w:t>the</w:t>
      </w:r>
      <w:r w:rsidRPr="00BA605A">
        <w:rPr>
          <w:i/>
        </w:rPr>
        <w:t xml:space="preserve"> </w:t>
      </w:r>
      <w:r>
        <w:rPr>
          <w:i/>
          <w:w w:val="103"/>
        </w:rPr>
        <w:t>Parties</w:t>
      </w:r>
      <w:r>
        <w:rPr>
          <w:i/>
        </w:rPr>
        <w:t xml:space="preserve"> </w:t>
      </w:r>
      <w:r>
        <w:rPr>
          <w:i/>
          <w:w w:val="103"/>
        </w:rPr>
        <w:t>serving</w:t>
      </w:r>
      <w:r>
        <w:rPr>
          <w:i/>
        </w:rPr>
        <w:t xml:space="preserve"> </w:t>
      </w:r>
      <w:r>
        <w:rPr>
          <w:i/>
          <w:w w:val="103"/>
        </w:rPr>
        <w:t>as</w:t>
      </w:r>
      <w:r>
        <w:rPr>
          <w:i/>
        </w:rPr>
        <w:t xml:space="preserve"> </w:t>
      </w:r>
      <w:r>
        <w:rPr>
          <w:i/>
          <w:w w:val="103"/>
        </w:rPr>
        <w:t>the</w:t>
      </w:r>
      <w:r>
        <w:rPr>
          <w:i/>
        </w:rPr>
        <w:t xml:space="preserve"> </w:t>
      </w:r>
      <w:r>
        <w:rPr>
          <w:i/>
          <w:w w:val="103"/>
        </w:rPr>
        <w:t>meeting</w:t>
      </w:r>
      <w:r>
        <w:rPr>
          <w:i/>
        </w:rPr>
        <w:t xml:space="preserve"> </w:t>
      </w:r>
      <w:r>
        <w:rPr>
          <w:i/>
          <w:w w:val="103"/>
        </w:rPr>
        <w:t>of</w:t>
      </w:r>
      <w:r>
        <w:rPr>
          <w:i/>
        </w:rPr>
        <w:t xml:space="preserve"> </w:t>
      </w:r>
      <w:r>
        <w:rPr>
          <w:i/>
          <w:w w:val="103"/>
        </w:rPr>
        <w:t>the</w:t>
      </w:r>
      <w:r>
        <w:rPr>
          <w:i/>
        </w:rPr>
        <w:t xml:space="preserve"> </w:t>
      </w:r>
      <w:r>
        <w:rPr>
          <w:i/>
          <w:w w:val="103"/>
        </w:rPr>
        <w:t>Parties</w:t>
      </w:r>
      <w:r>
        <w:rPr>
          <w:i/>
        </w:rPr>
        <w:t xml:space="preserve"> </w:t>
      </w:r>
      <w:r>
        <w:rPr>
          <w:i/>
          <w:w w:val="103"/>
        </w:rPr>
        <w:t>to</w:t>
      </w:r>
      <w:r>
        <w:rPr>
          <w:i/>
        </w:rPr>
        <w:t xml:space="preserve"> </w:t>
      </w:r>
      <w:r>
        <w:rPr>
          <w:i/>
          <w:w w:val="103"/>
        </w:rPr>
        <w:t>the</w:t>
      </w:r>
      <w:r>
        <w:rPr>
          <w:i/>
        </w:rPr>
        <w:t xml:space="preserve"> </w:t>
      </w:r>
      <w:r>
        <w:rPr>
          <w:i/>
          <w:w w:val="103"/>
        </w:rPr>
        <w:t>Kyoto Protocol</w:t>
      </w:r>
      <w:r>
        <w:rPr>
          <w:w w:val="103"/>
        </w:rPr>
        <w:t>,</w:t>
      </w:r>
    </w:p>
    <w:p w14:paraId="3255E67B" w14:textId="05034500" w:rsidR="00BA605A" w:rsidRDefault="00BA605A" w:rsidP="00BA605A">
      <w:pPr>
        <w:pStyle w:val="RegSingleTxtG"/>
        <w:numPr>
          <w:ilvl w:val="0"/>
          <w:numId w:val="0"/>
        </w:numPr>
        <w:ind w:left="1134"/>
      </w:pPr>
      <w:r>
        <w:rPr>
          <w:i/>
          <w:w w:val="103"/>
        </w:rPr>
        <w:tab/>
        <w:t>Recalling</w:t>
      </w:r>
      <w:r>
        <w:rPr>
          <w:i/>
        </w:rPr>
        <w:t xml:space="preserve"> </w:t>
      </w:r>
      <w:r>
        <w:rPr>
          <w:w w:val="103"/>
        </w:rPr>
        <w:t>decisions</w:t>
      </w:r>
      <w:r>
        <w:rPr>
          <w:iCs/>
        </w:rPr>
        <w:t xml:space="preserve"> </w:t>
      </w:r>
      <w:r>
        <w:rPr>
          <w:w w:val="103"/>
        </w:rPr>
        <w:t>1/CMP.3,</w:t>
      </w:r>
      <w:r>
        <w:t xml:space="preserve"> </w:t>
      </w:r>
      <w:r>
        <w:rPr>
          <w:w w:val="103"/>
        </w:rPr>
        <w:t>6/CMP.6,</w:t>
      </w:r>
      <w:r>
        <w:t xml:space="preserve"> </w:t>
      </w:r>
      <w:r>
        <w:rPr>
          <w:w w:val="103"/>
        </w:rPr>
        <w:t>2/CMP.9,</w:t>
      </w:r>
      <w:r>
        <w:t xml:space="preserve"> </w:t>
      </w:r>
      <w:r>
        <w:rPr>
          <w:w w:val="103"/>
        </w:rPr>
        <w:t>2/CMP.10</w:t>
      </w:r>
      <w:r>
        <w:t xml:space="preserve"> </w:t>
      </w:r>
      <w:r>
        <w:rPr>
          <w:w w:val="103"/>
        </w:rPr>
        <w:t>and</w:t>
      </w:r>
      <w:r>
        <w:t xml:space="preserve"> </w:t>
      </w:r>
      <w:r>
        <w:rPr>
          <w:w w:val="103"/>
        </w:rPr>
        <w:t>1/CMP.14,</w:t>
      </w:r>
    </w:p>
    <w:p w14:paraId="2477B94D" w14:textId="697AD1A9" w:rsidR="00BA605A" w:rsidRDefault="00BA605A" w:rsidP="00BA605A">
      <w:pPr>
        <w:pStyle w:val="RegSingleTxtG"/>
        <w:numPr>
          <w:ilvl w:val="0"/>
          <w:numId w:val="0"/>
        </w:numPr>
        <w:ind w:left="1134"/>
      </w:pPr>
      <w:r>
        <w:rPr>
          <w:i/>
          <w:w w:val="103"/>
        </w:rPr>
        <w:tab/>
        <w:t>Also</w:t>
      </w:r>
      <w:r>
        <w:rPr>
          <w:i/>
        </w:rPr>
        <w:t xml:space="preserve"> </w:t>
      </w:r>
      <w:r>
        <w:rPr>
          <w:i/>
          <w:w w:val="103"/>
        </w:rPr>
        <w:t>recalling</w:t>
      </w:r>
      <w:r>
        <w:rPr>
          <w:i/>
        </w:rPr>
        <w:t xml:space="preserve"> </w:t>
      </w:r>
      <w:r>
        <w:rPr>
          <w:w w:val="103"/>
        </w:rPr>
        <w:t>decision</w:t>
      </w:r>
      <w:r>
        <w:rPr>
          <w:iCs/>
        </w:rPr>
        <w:t xml:space="preserve"> </w:t>
      </w:r>
      <w:r>
        <w:rPr>
          <w:w w:val="103"/>
        </w:rPr>
        <w:t>1/CP.21,</w:t>
      </w:r>
    </w:p>
    <w:p w14:paraId="200C96CA" w14:textId="27CA373C" w:rsidR="00BA605A" w:rsidRDefault="00BA605A" w:rsidP="00BA605A">
      <w:pPr>
        <w:pStyle w:val="RegSingleTxtG"/>
        <w:numPr>
          <w:ilvl w:val="0"/>
          <w:numId w:val="0"/>
        </w:numPr>
        <w:ind w:left="1134"/>
        <w:rPr>
          <w:sz w:val="19"/>
          <w:szCs w:val="19"/>
        </w:rPr>
      </w:pPr>
      <w:r>
        <w:rPr>
          <w:i/>
        </w:rPr>
        <w:tab/>
      </w:r>
      <w:r w:rsidRPr="00BA605A">
        <w:rPr>
          <w:i/>
        </w:rPr>
        <w:t>Further</w:t>
      </w:r>
      <w:r>
        <w:rPr>
          <w:i/>
        </w:rPr>
        <w:t xml:space="preserve"> </w:t>
      </w:r>
      <w:r>
        <w:rPr>
          <w:i/>
          <w:w w:val="103"/>
        </w:rPr>
        <w:t>recalling</w:t>
      </w:r>
      <w:r>
        <w:rPr>
          <w:i/>
        </w:rPr>
        <w:t xml:space="preserve"> </w:t>
      </w:r>
      <w:r>
        <w:rPr>
          <w:w w:val="103"/>
        </w:rPr>
        <w:t>decision</w:t>
      </w:r>
      <w:r>
        <w:t xml:space="preserve"> </w:t>
      </w:r>
      <w:r>
        <w:rPr>
          <w:w w:val="103"/>
        </w:rPr>
        <w:t>13/CMA.</w:t>
      </w:r>
      <w:r>
        <w:rPr>
          <w:w w:val="103"/>
          <w:sz w:val="19"/>
          <w:szCs w:val="19"/>
        </w:rPr>
        <w:t>1,</w:t>
      </w:r>
    </w:p>
    <w:p w14:paraId="1E0198BB" w14:textId="7E3DB8D7" w:rsidR="00BA605A" w:rsidRDefault="00D23317" w:rsidP="00D23317">
      <w:pPr>
        <w:pStyle w:val="RegSingleTxtG"/>
        <w:numPr>
          <w:ilvl w:val="0"/>
          <w:numId w:val="0"/>
        </w:numPr>
        <w:ind w:left="1134"/>
      </w:pPr>
      <w:r>
        <w:t>1.</w:t>
      </w:r>
      <w:r>
        <w:tab/>
      </w:r>
      <w:r w:rsidR="00BA605A" w:rsidRPr="00BA605A">
        <w:rPr>
          <w:i/>
          <w:w w:val="103"/>
        </w:rPr>
        <w:t>Decides</w:t>
      </w:r>
      <w:r w:rsidR="00BA605A">
        <w:t xml:space="preserve"> </w:t>
      </w:r>
      <w:r w:rsidR="00BA605A" w:rsidRPr="00BA605A">
        <w:rPr>
          <w:w w:val="103"/>
        </w:rPr>
        <w:t>that</w:t>
      </w:r>
      <w:r w:rsidR="00BA605A">
        <w:t xml:space="preserve"> </w:t>
      </w:r>
      <w:r w:rsidR="00BA605A" w:rsidRPr="00BA605A">
        <w:rPr>
          <w:w w:val="103"/>
        </w:rPr>
        <w:t>the</w:t>
      </w:r>
      <w:r w:rsidR="00BA605A">
        <w:t xml:space="preserve"> </w:t>
      </w:r>
      <w:r w:rsidR="00BA605A" w:rsidRPr="00BA605A">
        <w:rPr>
          <w:w w:val="103"/>
        </w:rPr>
        <w:t>fourth</w:t>
      </w:r>
      <w:r w:rsidR="00BA605A">
        <w:t xml:space="preserve"> </w:t>
      </w:r>
      <w:r w:rsidR="00BA605A" w:rsidRPr="00BA605A">
        <w:rPr>
          <w:w w:val="103"/>
        </w:rPr>
        <w:t>review</w:t>
      </w:r>
      <w:r w:rsidR="00BA605A">
        <w:t xml:space="preserve"> </w:t>
      </w:r>
      <w:r w:rsidR="00BA605A" w:rsidRPr="00BA605A">
        <w:rPr>
          <w:w w:val="103"/>
        </w:rPr>
        <w:t>of</w:t>
      </w:r>
      <w:r w:rsidR="00BA605A">
        <w:t xml:space="preserve"> </w:t>
      </w:r>
      <w:r w:rsidR="00BA605A" w:rsidRPr="00BA605A">
        <w:rPr>
          <w:w w:val="103"/>
        </w:rPr>
        <w:t>the</w:t>
      </w:r>
      <w:r w:rsidR="00BA605A">
        <w:t xml:space="preserve"> </w:t>
      </w:r>
      <w:r w:rsidR="00BA605A" w:rsidRPr="00BA605A">
        <w:rPr>
          <w:w w:val="103"/>
        </w:rPr>
        <w:t>Adaptation</w:t>
      </w:r>
      <w:r w:rsidR="00BA605A">
        <w:t xml:space="preserve"> </w:t>
      </w:r>
      <w:r w:rsidR="00BA605A" w:rsidRPr="00BA605A">
        <w:rPr>
          <w:w w:val="103"/>
        </w:rPr>
        <w:t>Fund</w:t>
      </w:r>
      <w:r w:rsidR="00BA605A">
        <w:t xml:space="preserve"> </w:t>
      </w:r>
      <w:r w:rsidR="00BA605A" w:rsidRPr="00BA605A">
        <w:rPr>
          <w:w w:val="103"/>
        </w:rPr>
        <w:t>will</w:t>
      </w:r>
      <w:r w:rsidR="00BA605A">
        <w:t xml:space="preserve"> </w:t>
      </w:r>
      <w:r w:rsidR="00BA605A" w:rsidRPr="00BA605A">
        <w:rPr>
          <w:w w:val="103"/>
        </w:rPr>
        <w:t>be</w:t>
      </w:r>
      <w:r w:rsidR="00BA605A">
        <w:t xml:space="preserve"> </w:t>
      </w:r>
      <w:r w:rsidR="00BA605A" w:rsidRPr="00BA605A">
        <w:rPr>
          <w:w w:val="103"/>
        </w:rPr>
        <w:t>undertaken</w:t>
      </w:r>
      <w:r w:rsidR="00BA605A">
        <w:t xml:space="preserve"> </w:t>
      </w:r>
      <w:r w:rsidR="00BA605A" w:rsidRPr="00BA605A">
        <w:rPr>
          <w:w w:val="103"/>
        </w:rPr>
        <w:t>in accordance</w:t>
      </w:r>
      <w:r w:rsidR="00BA605A">
        <w:t xml:space="preserve"> </w:t>
      </w:r>
      <w:r w:rsidR="00BA605A" w:rsidRPr="00BA605A">
        <w:rPr>
          <w:w w:val="103"/>
        </w:rPr>
        <w:t>with</w:t>
      </w:r>
      <w:r w:rsidR="00BA605A">
        <w:t xml:space="preserve"> decision 1/CMP.3, paragraph 33, and </w:t>
      </w:r>
      <w:r w:rsidR="00BA605A" w:rsidRPr="00BA605A">
        <w:rPr>
          <w:w w:val="103"/>
        </w:rPr>
        <w:t>the</w:t>
      </w:r>
      <w:r w:rsidR="00BA605A">
        <w:t xml:space="preserve"> </w:t>
      </w:r>
      <w:r w:rsidR="00BA605A" w:rsidRPr="00BA605A">
        <w:rPr>
          <w:w w:val="103"/>
        </w:rPr>
        <w:t>terms</w:t>
      </w:r>
      <w:r w:rsidR="00BA605A">
        <w:t xml:space="preserve"> </w:t>
      </w:r>
      <w:r w:rsidR="00BA605A" w:rsidRPr="00BA605A">
        <w:rPr>
          <w:w w:val="103"/>
        </w:rPr>
        <w:t>of</w:t>
      </w:r>
      <w:r w:rsidR="00BA605A">
        <w:t xml:space="preserve"> </w:t>
      </w:r>
      <w:r w:rsidR="00BA605A" w:rsidRPr="00BA605A">
        <w:rPr>
          <w:w w:val="103"/>
        </w:rPr>
        <w:t>reference</w:t>
      </w:r>
      <w:r w:rsidR="00BA605A">
        <w:t xml:space="preserve"> </w:t>
      </w:r>
      <w:r w:rsidR="00BA605A" w:rsidRPr="00BA605A">
        <w:rPr>
          <w:w w:val="103"/>
        </w:rPr>
        <w:t>contained</w:t>
      </w:r>
      <w:r w:rsidR="00BA605A">
        <w:t xml:space="preserve"> </w:t>
      </w:r>
      <w:r w:rsidR="00BA605A" w:rsidRPr="00BA605A">
        <w:rPr>
          <w:w w:val="103"/>
        </w:rPr>
        <w:t>in</w:t>
      </w:r>
      <w:r w:rsidR="00BA605A">
        <w:t xml:space="preserve"> </w:t>
      </w:r>
      <w:r w:rsidR="00BA605A" w:rsidRPr="00BA605A">
        <w:rPr>
          <w:w w:val="103"/>
        </w:rPr>
        <w:t>the</w:t>
      </w:r>
      <w:r w:rsidR="00BA605A">
        <w:t xml:space="preserve"> </w:t>
      </w:r>
      <w:r w:rsidR="00BA605A" w:rsidRPr="00BA605A">
        <w:rPr>
          <w:w w:val="103"/>
        </w:rPr>
        <w:t>annex;</w:t>
      </w:r>
    </w:p>
    <w:p w14:paraId="3E4CED24" w14:textId="6B8F946B" w:rsidR="00BA605A" w:rsidRDefault="00D23317" w:rsidP="00D23317">
      <w:pPr>
        <w:pStyle w:val="RegSingleTxtG"/>
        <w:numPr>
          <w:ilvl w:val="0"/>
          <w:numId w:val="0"/>
        </w:numPr>
        <w:ind w:left="1134"/>
      </w:pPr>
      <w:r>
        <w:t>2.</w:t>
      </w:r>
      <w:r>
        <w:tab/>
      </w:r>
      <w:r w:rsidR="00BA605A">
        <w:rPr>
          <w:i/>
          <w:iCs/>
          <w:w w:val="103"/>
        </w:rPr>
        <w:t>Requests</w:t>
      </w:r>
      <w:r w:rsidR="00BA605A">
        <w:t xml:space="preserve"> </w:t>
      </w:r>
      <w:r w:rsidR="00BA605A">
        <w:rPr>
          <w:w w:val="103"/>
        </w:rPr>
        <w:t>the</w:t>
      </w:r>
      <w:r w:rsidR="00BA605A">
        <w:t xml:space="preserve"> </w:t>
      </w:r>
      <w:r w:rsidR="00BA605A">
        <w:rPr>
          <w:w w:val="103"/>
        </w:rPr>
        <w:t>Adaptation</w:t>
      </w:r>
      <w:r w:rsidR="00BA605A">
        <w:t xml:space="preserve"> </w:t>
      </w:r>
      <w:r w:rsidR="00BA605A">
        <w:rPr>
          <w:w w:val="103"/>
        </w:rPr>
        <w:t>Fund</w:t>
      </w:r>
      <w:r w:rsidR="00BA605A">
        <w:t xml:space="preserve"> </w:t>
      </w:r>
      <w:r w:rsidR="00BA605A">
        <w:rPr>
          <w:w w:val="103"/>
        </w:rPr>
        <w:t>Board</w:t>
      </w:r>
      <w:r w:rsidR="00BA605A">
        <w:t xml:space="preserve"> </w:t>
      </w:r>
      <w:r w:rsidR="00BA605A">
        <w:rPr>
          <w:w w:val="103"/>
        </w:rPr>
        <w:t>to</w:t>
      </w:r>
      <w:r w:rsidR="00BA605A">
        <w:t xml:space="preserve"> </w:t>
      </w:r>
      <w:r w:rsidR="00BA605A">
        <w:rPr>
          <w:w w:val="103"/>
        </w:rPr>
        <w:t>make</w:t>
      </w:r>
      <w:r w:rsidR="00BA605A">
        <w:t xml:space="preserve"> </w:t>
      </w:r>
      <w:r w:rsidR="00BA605A">
        <w:rPr>
          <w:w w:val="103"/>
        </w:rPr>
        <w:t>available</w:t>
      </w:r>
      <w:r w:rsidR="00BA605A">
        <w:t xml:space="preserve"> </w:t>
      </w:r>
      <w:r w:rsidR="00BA605A">
        <w:rPr>
          <w:w w:val="103"/>
        </w:rPr>
        <w:t>in</w:t>
      </w:r>
      <w:r w:rsidR="00BA605A">
        <w:t xml:space="preserve"> </w:t>
      </w:r>
      <w:r w:rsidR="00BA605A">
        <w:rPr>
          <w:w w:val="103"/>
        </w:rPr>
        <w:t>its</w:t>
      </w:r>
      <w:r w:rsidR="00BA605A">
        <w:t xml:space="preserve"> </w:t>
      </w:r>
      <w:r w:rsidR="00BA605A">
        <w:rPr>
          <w:w w:val="103"/>
        </w:rPr>
        <w:t>report</w:t>
      </w:r>
      <w:r w:rsidR="00BA605A">
        <w:t xml:space="preserve"> </w:t>
      </w:r>
      <w:r w:rsidR="00BA605A">
        <w:rPr>
          <w:w w:val="103"/>
        </w:rPr>
        <w:t>to</w:t>
      </w:r>
      <w:r w:rsidR="00BA605A">
        <w:t xml:space="preserve"> </w:t>
      </w:r>
      <w:r w:rsidR="00BA605A">
        <w:rPr>
          <w:w w:val="103"/>
        </w:rPr>
        <w:t>the</w:t>
      </w:r>
      <w:r w:rsidR="00BA605A">
        <w:t xml:space="preserve"> </w:t>
      </w:r>
      <w:r w:rsidR="00BA605A">
        <w:rPr>
          <w:w w:val="103"/>
        </w:rPr>
        <w:t>Conference of</w:t>
      </w:r>
      <w:r w:rsidR="00BA605A">
        <w:t xml:space="preserve"> </w:t>
      </w:r>
      <w:r w:rsidR="00BA605A">
        <w:rPr>
          <w:w w:val="103"/>
        </w:rPr>
        <w:t>the</w:t>
      </w:r>
      <w:r w:rsidR="00BA605A">
        <w:t xml:space="preserve"> </w:t>
      </w:r>
      <w:r w:rsidR="00BA605A">
        <w:rPr>
          <w:w w:val="103"/>
        </w:rPr>
        <w:t>Parties</w:t>
      </w:r>
      <w:r w:rsidR="00BA605A">
        <w:t xml:space="preserve"> </w:t>
      </w:r>
      <w:r w:rsidR="00BA605A">
        <w:rPr>
          <w:w w:val="103"/>
        </w:rPr>
        <w:t>serving</w:t>
      </w:r>
      <w:r w:rsidR="00BA605A">
        <w:t xml:space="preserve"> </w:t>
      </w:r>
      <w:r w:rsidR="00BA605A">
        <w:rPr>
          <w:w w:val="103"/>
        </w:rPr>
        <w:t>as</w:t>
      </w:r>
      <w:r w:rsidR="00BA605A">
        <w:t xml:space="preserve"> </w:t>
      </w:r>
      <w:r w:rsidR="00BA605A">
        <w:rPr>
          <w:w w:val="103"/>
        </w:rPr>
        <w:t>the</w:t>
      </w:r>
      <w:r w:rsidR="00BA605A">
        <w:t xml:space="preserve"> </w:t>
      </w:r>
      <w:r w:rsidR="00BA605A">
        <w:rPr>
          <w:w w:val="103"/>
        </w:rPr>
        <w:t>meeting</w:t>
      </w:r>
      <w:r w:rsidR="00BA605A">
        <w:t xml:space="preserve"> </w:t>
      </w:r>
      <w:r w:rsidR="00BA605A">
        <w:rPr>
          <w:w w:val="103"/>
        </w:rPr>
        <w:t>of</w:t>
      </w:r>
      <w:r w:rsidR="00BA605A">
        <w:t xml:space="preserve"> </w:t>
      </w:r>
      <w:r w:rsidR="00BA605A">
        <w:rPr>
          <w:w w:val="103"/>
        </w:rPr>
        <w:t>the</w:t>
      </w:r>
      <w:r w:rsidR="00BA605A">
        <w:t xml:space="preserve"> </w:t>
      </w:r>
      <w:r w:rsidR="00BA605A">
        <w:rPr>
          <w:w w:val="103"/>
        </w:rPr>
        <w:t>Parties</w:t>
      </w:r>
      <w:r w:rsidR="00BA605A">
        <w:t xml:space="preserve"> </w:t>
      </w:r>
      <w:r w:rsidR="00BA605A">
        <w:rPr>
          <w:w w:val="103"/>
        </w:rPr>
        <w:t>to</w:t>
      </w:r>
      <w:r w:rsidR="00BA605A">
        <w:t xml:space="preserve"> </w:t>
      </w:r>
      <w:r w:rsidR="00BA605A">
        <w:rPr>
          <w:w w:val="103"/>
        </w:rPr>
        <w:t>the</w:t>
      </w:r>
      <w:r w:rsidR="00BA605A">
        <w:t xml:space="preserve"> </w:t>
      </w:r>
      <w:r w:rsidR="00BA605A">
        <w:rPr>
          <w:w w:val="103"/>
        </w:rPr>
        <w:t>Kyoto</w:t>
      </w:r>
      <w:r w:rsidR="00BA605A">
        <w:t xml:space="preserve"> </w:t>
      </w:r>
      <w:r w:rsidR="00BA605A">
        <w:rPr>
          <w:w w:val="103"/>
        </w:rPr>
        <w:t>Protocol</w:t>
      </w:r>
      <w:r w:rsidR="00BA605A">
        <w:t xml:space="preserve"> </w:t>
      </w:r>
      <w:r w:rsidR="00BA605A">
        <w:rPr>
          <w:w w:val="103"/>
        </w:rPr>
        <w:t>at</w:t>
      </w:r>
      <w:r w:rsidR="00BA605A">
        <w:t xml:space="preserve"> </w:t>
      </w:r>
      <w:r w:rsidR="00BA605A">
        <w:rPr>
          <w:w w:val="103"/>
        </w:rPr>
        <w:t>its</w:t>
      </w:r>
      <w:r w:rsidR="00BA605A">
        <w:t xml:space="preserve"> </w:t>
      </w:r>
      <w:r w:rsidR="00BA605A">
        <w:rPr>
          <w:w w:val="103"/>
        </w:rPr>
        <w:t>seventeenth session</w:t>
      </w:r>
      <w:r w:rsidR="00BA605A">
        <w:t xml:space="preserve"> (November 2022) </w:t>
      </w:r>
      <w:r w:rsidR="00BA605A">
        <w:rPr>
          <w:w w:val="103"/>
        </w:rPr>
        <w:t>and</w:t>
      </w:r>
      <w:r w:rsidR="00BA605A">
        <w:t xml:space="preserve"> </w:t>
      </w:r>
      <w:r w:rsidR="00BA605A">
        <w:rPr>
          <w:w w:val="103"/>
        </w:rPr>
        <w:t>the</w:t>
      </w:r>
      <w:r w:rsidR="00BA605A">
        <w:t xml:space="preserve"> </w:t>
      </w:r>
      <w:r w:rsidR="00BA605A">
        <w:rPr>
          <w:w w:val="103"/>
        </w:rPr>
        <w:t>Conference</w:t>
      </w:r>
      <w:r w:rsidR="00BA605A">
        <w:t xml:space="preserve"> </w:t>
      </w:r>
      <w:r w:rsidR="00BA605A">
        <w:rPr>
          <w:w w:val="103"/>
        </w:rPr>
        <w:t>of</w:t>
      </w:r>
      <w:r w:rsidR="00BA605A">
        <w:t xml:space="preserve"> </w:t>
      </w:r>
      <w:r w:rsidR="00BA605A">
        <w:rPr>
          <w:w w:val="103"/>
        </w:rPr>
        <w:t>the</w:t>
      </w:r>
      <w:r w:rsidR="00BA605A">
        <w:t xml:space="preserve"> </w:t>
      </w:r>
      <w:r w:rsidR="00BA605A">
        <w:rPr>
          <w:w w:val="103"/>
        </w:rPr>
        <w:t>Parties</w:t>
      </w:r>
      <w:r w:rsidR="00BA605A">
        <w:t xml:space="preserve"> </w:t>
      </w:r>
      <w:r w:rsidR="00BA605A">
        <w:rPr>
          <w:w w:val="103"/>
        </w:rPr>
        <w:t>serving</w:t>
      </w:r>
      <w:r w:rsidR="00BA605A">
        <w:t xml:space="preserve"> </w:t>
      </w:r>
      <w:r w:rsidR="00BA605A">
        <w:rPr>
          <w:w w:val="103"/>
        </w:rPr>
        <w:t>as</w:t>
      </w:r>
      <w:r w:rsidR="00BA605A">
        <w:t xml:space="preserve"> </w:t>
      </w:r>
      <w:r w:rsidR="00BA605A">
        <w:rPr>
          <w:w w:val="103"/>
        </w:rPr>
        <w:t>the</w:t>
      </w:r>
      <w:r w:rsidR="00BA605A">
        <w:t xml:space="preserve"> </w:t>
      </w:r>
      <w:r w:rsidR="00BA605A">
        <w:rPr>
          <w:w w:val="103"/>
        </w:rPr>
        <w:t>meeting</w:t>
      </w:r>
      <w:r w:rsidR="00BA605A">
        <w:t xml:space="preserve"> </w:t>
      </w:r>
      <w:r w:rsidR="00BA605A">
        <w:rPr>
          <w:w w:val="103"/>
        </w:rPr>
        <w:t>of</w:t>
      </w:r>
      <w:r w:rsidR="00BA605A">
        <w:t xml:space="preserve"> </w:t>
      </w:r>
      <w:r w:rsidR="00BA605A">
        <w:rPr>
          <w:w w:val="103"/>
        </w:rPr>
        <w:t>the</w:t>
      </w:r>
      <w:r w:rsidR="00BA605A">
        <w:t xml:space="preserve"> </w:t>
      </w:r>
      <w:r w:rsidR="00BA605A">
        <w:rPr>
          <w:w w:val="103"/>
        </w:rPr>
        <w:t>Parties</w:t>
      </w:r>
      <w:r w:rsidR="00BA605A">
        <w:t xml:space="preserve"> </w:t>
      </w:r>
      <w:r w:rsidR="00BA605A">
        <w:rPr>
          <w:w w:val="103"/>
        </w:rPr>
        <w:t>to</w:t>
      </w:r>
      <w:r w:rsidR="00BA605A">
        <w:t xml:space="preserve"> </w:t>
      </w:r>
      <w:r w:rsidR="00BA605A">
        <w:rPr>
          <w:w w:val="103"/>
        </w:rPr>
        <w:t>the</w:t>
      </w:r>
      <w:r w:rsidR="00BA605A">
        <w:t xml:space="preserve"> </w:t>
      </w:r>
      <w:r w:rsidR="00BA605A">
        <w:rPr>
          <w:w w:val="103"/>
        </w:rPr>
        <w:t>Paris Agreement</w:t>
      </w:r>
      <w:r w:rsidR="00BA605A">
        <w:t xml:space="preserve"> </w:t>
      </w:r>
      <w:r w:rsidR="00BA605A">
        <w:rPr>
          <w:w w:val="103"/>
        </w:rPr>
        <w:t>at</w:t>
      </w:r>
      <w:r w:rsidR="00BA605A">
        <w:t xml:space="preserve"> </w:t>
      </w:r>
      <w:r w:rsidR="00BA605A">
        <w:rPr>
          <w:w w:val="103"/>
        </w:rPr>
        <w:t>its</w:t>
      </w:r>
      <w:r w:rsidR="00BA605A">
        <w:t xml:space="preserve"> </w:t>
      </w:r>
      <w:r w:rsidR="00BA605A">
        <w:rPr>
          <w:w w:val="103"/>
        </w:rPr>
        <w:t>fourth</w:t>
      </w:r>
      <w:r w:rsidR="00BA605A">
        <w:t xml:space="preserve"> </w:t>
      </w:r>
      <w:r w:rsidR="00BA605A">
        <w:rPr>
          <w:w w:val="103"/>
        </w:rPr>
        <w:t>session</w:t>
      </w:r>
      <w:r w:rsidR="00BA605A">
        <w:t xml:space="preserve"> </w:t>
      </w:r>
      <w:r w:rsidR="00BA605A">
        <w:rPr>
          <w:w w:val="103"/>
        </w:rPr>
        <w:t>(November</w:t>
      </w:r>
      <w:r w:rsidR="00BA605A">
        <w:t xml:space="preserve"> </w:t>
      </w:r>
      <w:r w:rsidR="00BA605A">
        <w:rPr>
          <w:w w:val="103"/>
        </w:rPr>
        <w:t>2022)</w:t>
      </w:r>
      <w:r w:rsidR="00BA605A">
        <w:t xml:space="preserve"> </w:t>
      </w:r>
      <w:r w:rsidR="00BA605A">
        <w:rPr>
          <w:w w:val="103"/>
        </w:rPr>
        <w:t>information</w:t>
      </w:r>
      <w:r w:rsidR="00BA605A">
        <w:t xml:space="preserve"> </w:t>
      </w:r>
      <w:r w:rsidR="00BA605A">
        <w:rPr>
          <w:w w:val="103"/>
        </w:rPr>
        <w:t>on</w:t>
      </w:r>
      <w:r w:rsidR="00BA605A">
        <w:t xml:space="preserve"> </w:t>
      </w:r>
      <w:r w:rsidR="00BA605A">
        <w:rPr>
          <w:w w:val="103"/>
        </w:rPr>
        <w:t>the</w:t>
      </w:r>
      <w:r w:rsidR="00BA605A">
        <w:t xml:space="preserve"> </w:t>
      </w:r>
      <w:r w:rsidR="00BA605A">
        <w:rPr>
          <w:w w:val="103"/>
        </w:rPr>
        <w:t>financial</w:t>
      </w:r>
      <w:r w:rsidR="00BA605A">
        <w:t xml:space="preserve"> </w:t>
      </w:r>
      <w:r w:rsidR="00BA605A">
        <w:rPr>
          <w:w w:val="103"/>
        </w:rPr>
        <w:t>status</w:t>
      </w:r>
      <w:r w:rsidR="00BA605A">
        <w:t xml:space="preserve"> </w:t>
      </w:r>
      <w:r w:rsidR="00BA605A">
        <w:rPr>
          <w:w w:val="103"/>
        </w:rPr>
        <w:t>of</w:t>
      </w:r>
      <w:r w:rsidR="00BA605A">
        <w:t xml:space="preserve"> </w:t>
      </w:r>
      <w:r w:rsidR="00BA605A">
        <w:rPr>
          <w:w w:val="103"/>
        </w:rPr>
        <w:t>the Adaptation</w:t>
      </w:r>
      <w:r w:rsidR="00BA605A">
        <w:t xml:space="preserve"> </w:t>
      </w:r>
      <w:r w:rsidR="00BA605A">
        <w:rPr>
          <w:w w:val="103"/>
        </w:rPr>
        <w:t>Fund,</w:t>
      </w:r>
      <w:r w:rsidR="00BA605A">
        <w:t xml:space="preserve"> </w:t>
      </w:r>
      <w:r w:rsidR="00BA605A">
        <w:rPr>
          <w:w w:val="103"/>
        </w:rPr>
        <w:t>including</w:t>
      </w:r>
      <w:r w:rsidR="00BA605A">
        <w:t xml:space="preserve"> </w:t>
      </w:r>
      <w:r w:rsidR="00BA605A">
        <w:rPr>
          <w:w w:val="103"/>
        </w:rPr>
        <w:t>information</w:t>
      </w:r>
      <w:r w:rsidR="00BA605A">
        <w:t xml:space="preserve"> </w:t>
      </w:r>
      <w:r w:rsidR="00BA605A">
        <w:rPr>
          <w:w w:val="103"/>
        </w:rPr>
        <w:t>on</w:t>
      </w:r>
      <w:r w:rsidR="00BA605A">
        <w:t xml:space="preserve"> </w:t>
      </w:r>
      <w:r w:rsidR="00BA605A">
        <w:rPr>
          <w:w w:val="103"/>
        </w:rPr>
        <w:t>the</w:t>
      </w:r>
      <w:r w:rsidR="00BA605A">
        <w:t xml:space="preserve"> </w:t>
      </w:r>
      <w:r w:rsidR="00BA605A">
        <w:rPr>
          <w:w w:val="103"/>
        </w:rPr>
        <w:t>share</w:t>
      </w:r>
      <w:r w:rsidR="00BA605A">
        <w:t xml:space="preserve"> </w:t>
      </w:r>
      <w:r w:rsidR="00BA605A">
        <w:rPr>
          <w:w w:val="103"/>
        </w:rPr>
        <w:t>of</w:t>
      </w:r>
      <w:r w:rsidR="00BA605A">
        <w:t xml:space="preserve"> </w:t>
      </w:r>
      <w:r w:rsidR="00BA605A">
        <w:rPr>
          <w:w w:val="103"/>
        </w:rPr>
        <w:t>proceeds</w:t>
      </w:r>
      <w:r w:rsidR="00BA605A">
        <w:t xml:space="preserve"> </w:t>
      </w:r>
      <w:r w:rsidR="00BA605A">
        <w:rPr>
          <w:w w:val="103"/>
        </w:rPr>
        <w:t>levied</w:t>
      </w:r>
      <w:r w:rsidR="00BA605A">
        <w:t xml:space="preserve"> </w:t>
      </w:r>
      <w:r w:rsidR="00BA605A">
        <w:rPr>
          <w:w w:val="103"/>
        </w:rPr>
        <w:t>on</w:t>
      </w:r>
      <w:r w:rsidR="00BA605A">
        <w:t xml:space="preserve"> </w:t>
      </w:r>
      <w:r w:rsidR="00BA605A">
        <w:rPr>
          <w:w w:val="103"/>
        </w:rPr>
        <w:t>first</w:t>
      </w:r>
      <w:r w:rsidR="00BA605A">
        <w:t xml:space="preserve"> </w:t>
      </w:r>
      <w:r w:rsidR="00BA605A">
        <w:rPr>
          <w:w w:val="103"/>
        </w:rPr>
        <w:t>international transfers</w:t>
      </w:r>
      <w:r w:rsidR="00BA605A">
        <w:t xml:space="preserve"> </w:t>
      </w:r>
      <w:r w:rsidR="00BA605A">
        <w:rPr>
          <w:w w:val="103"/>
        </w:rPr>
        <w:t>of</w:t>
      </w:r>
      <w:r w:rsidR="00BA605A">
        <w:t xml:space="preserve"> </w:t>
      </w:r>
      <w:r w:rsidR="00BA605A">
        <w:rPr>
          <w:w w:val="103"/>
        </w:rPr>
        <w:t>assigned</w:t>
      </w:r>
      <w:r w:rsidR="00BA605A">
        <w:t xml:space="preserve"> </w:t>
      </w:r>
      <w:r w:rsidR="00BA605A">
        <w:rPr>
          <w:w w:val="103"/>
        </w:rPr>
        <w:t>amount</w:t>
      </w:r>
      <w:r w:rsidR="00BA605A">
        <w:t xml:space="preserve"> </w:t>
      </w:r>
      <w:r w:rsidR="00BA605A">
        <w:rPr>
          <w:w w:val="103"/>
        </w:rPr>
        <w:t>units</w:t>
      </w:r>
      <w:r w:rsidR="00BA605A">
        <w:t xml:space="preserve"> </w:t>
      </w:r>
      <w:r w:rsidR="00BA605A">
        <w:rPr>
          <w:w w:val="103"/>
        </w:rPr>
        <w:t>and</w:t>
      </w:r>
      <w:r w:rsidR="00BA605A">
        <w:t xml:space="preserve"> </w:t>
      </w:r>
      <w:r w:rsidR="00BA605A">
        <w:rPr>
          <w:w w:val="103"/>
        </w:rPr>
        <w:t>emission</w:t>
      </w:r>
      <w:r w:rsidR="00BA605A">
        <w:t xml:space="preserve"> </w:t>
      </w:r>
      <w:r w:rsidR="00BA605A">
        <w:rPr>
          <w:w w:val="103"/>
        </w:rPr>
        <w:t>reduction</w:t>
      </w:r>
      <w:r w:rsidR="00BA605A">
        <w:t xml:space="preserve"> </w:t>
      </w:r>
      <w:r w:rsidR="00BA605A">
        <w:rPr>
          <w:w w:val="103"/>
        </w:rPr>
        <w:t>units</w:t>
      </w:r>
      <w:r w:rsidR="00BA605A">
        <w:t xml:space="preserve"> </w:t>
      </w:r>
      <w:r w:rsidR="00BA605A">
        <w:rPr>
          <w:w w:val="103"/>
        </w:rPr>
        <w:t>for</w:t>
      </w:r>
      <w:r w:rsidR="00BA605A">
        <w:t xml:space="preserve"> </w:t>
      </w:r>
      <w:r w:rsidR="00BA605A">
        <w:rPr>
          <w:w w:val="103"/>
        </w:rPr>
        <w:t>Article</w:t>
      </w:r>
      <w:r w:rsidR="00BA605A">
        <w:t xml:space="preserve"> </w:t>
      </w:r>
      <w:r w:rsidR="00BA605A">
        <w:rPr>
          <w:w w:val="103"/>
        </w:rPr>
        <w:t>6</w:t>
      </w:r>
      <w:r w:rsidR="00BA605A">
        <w:t xml:space="preserve"> </w:t>
      </w:r>
      <w:r w:rsidR="00BA605A">
        <w:rPr>
          <w:w w:val="103"/>
        </w:rPr>
        <w:t>projects</w:t>
      </w:r>
      <w:r w:rsidR="00BA605A">
        <w:t xml:space="preserve"> </w:t>
      </w:r>
      <w:r w:rsidR="00BA605A">
        <w:rPr>
          <w:w w:val="103"/>
        </w:rPr>
        <w:t>of</w:t>
      </w:r>
      <w:r w:rsidR="00BA605A">
        <w:t xml:space="preserve"> </w:t>
      </w:r>
      <w:r w:rsidR="00BA605A">
        <w:rPr>
          <w:w w:val="103"/>
        </w:rPr>
        <w:t>the Kyoto</w:t>
      </w:r>
      <w:r w:rsidR="00BA605A">
        <w:t xml:space="preserve"> </w:t>
      </w:r>
      <w:r w:rsidR="00BA605A">
        <w:rPr>
          <w:w w:val="103"/>
        </w:rPr>
        <w:t>Protocol,</w:t>
      </w:r>
      <w:r w:rsidR="00BA605A">
        <w:t xml:space="preserve"> </w:t>
      </w:r>
      <w:r w:rsidR="00BA605A">
        <w:rPr>
          <w:w w:val="103"/>
        </w:rPr>
        <w:t>in</w:t>
      </w:r>
      <w:r w:rsidR="00BA605A">
        <w:t xml:space="preserve"> </w:t>
      </w:r>
      <w:r w:rsidR="00BA605A">
        <w:rPr>
          <w:w w:val="103"/>
        </w:rPr>
        <w:t>accordance</w:t>
      </w:r>
      <w:r w:rsidR="00BA605A">
        <w:t xml:space="preserve"> </w:t>
      </w:r>
      <w:r w:rsidR="00BA605A">
        <w:rPr>
          <w:w w:val="103"/>
        </w:rPr>
        <w:t>with</w:t>
      </w:r>
      <w:r w:rsidR="00BA605A">
        <w:t xml:space="preserve"> </w:t>
      </w:r>
      <w:r w:rsidR="00BA605A">
        <w:rPr>
          <w:w w:val="103"/>
        </w:rPr>
        <w:t>decision</w:t>
      </w:r>
      <w:r w:rsidR="00BA605A">
        <w:t xml:space="preserve"> </w:t>
      </w:r>
      <w:r w:rsidR="00BA605A">
        <w:rPr>
          <w:w w:val="103"/>
        </w:rPr>
        <w:t>1/CMP.8,</w:t>
      </w:r>
      <w:r w:rsidR="00BA605A">
        <w:t xml:space="preserve"> </w:t>
      </w:r>
      <w:r w:rsidR="00BA605A">
        <w:rPr>
          <w:w w:val="103"/>
        </w:rPr>
        <w:t>paragraph</w:t>
      </w:r>
      <w:r w:rsidR="00BA605A">
        <w:t xml:space="preserve"> </w:t>
      </w:r>
      <w:r w:rsidR="00BA605A">
        <w:rPr>
          <w:w w:val="103"/>
        </w:rPr>
        <w:t>21,</w:t>
      </w:r>
      <w:r w:rsidR="00BA605A">
        <w:t xml:space="preserve"> </w:t>
      </w:r>
      <w:r w:rsidR="00BA605A">
        <w:rPr>
          <w:w w:val="103"/>
        </w:rPr>
        <w:t>with</w:t>
      </w:r>
      <w:r w:rsidR="00BA605A">
        <w:t xml:space="preserve"> </w:t>
      </w:r>
      <w:r w:rsidR="00BA605A">
        <w:rPr>
          <w:w w:val="103"/>
        </w:rPr>
        <w:t>a</w:t>
      </w:r>
      <w:r w:rsidR="00BA605A">
        <w:t xml:space="preserve"> </w:t>
      </w:r>
      <w:r w:rsidR="00BA605A">
        <w:rPr>
          <w:w w:val="103"/>
        </w:rPr>
        <w:t>view</w:t>
      </w:r>
      <w:r w:rsidR="00BA605A">
        <w:t xml:space="preserve"> </w:t>
      </w:r>
      <w:r w:rsidR="00BA605A">
        <w:rPr>
          <w:w w:val="103"/>
        </w:rPr>
        <w:t>to</w:t>
      </w:r>
      <w:r w:rsidR="00BA605A">
        <w:t xml:space="preserve"> </w:t>
      </w:r>
      <w:r w:rsidR="00BA605A">
        <w:rPr>
          <w:w w:val="103"/>
        </w:rPr>
        <w:t>the fourth</w:t>
      </w:r>
      <w:r w:rsidR="00BA605A">
        <w:t xml:space="preserve"> </w:t>
      </w:r>
      <w:r w:rsidR="00BA605A">
        <w:rPr>
          <w:w w:val="103"/>
        </w:rPr>
        <w:t>review</w:t>
      </w:r>
      <w:r w:rsidR="00BA605A">
        <w:t xml:space="preserve"> </w:t>
      </w:r>
      <w:r w:rsidR="00BA605A">
        <w:rPr>
          <w:w w:val="103"/>
        </w:rPr>
        <w:t>of</w:t>
      </w:r>
      <w:r w:rsidR="00BA605A">
        <w:t xml:space="preserve"> </w:t>
      </w:r>
      <w:r w:rsidR="00BA605A">
        <w:rPr>
          <w:w w:val="103"/>
        </w:rPr>
        <w:t>the</w:t>
      </w:r>
      <w:r w:rsidR="00BA605A">
        <w:t xml:space="preserve"> </w:t>
      </w:r>
      <w:r w:rsidR="00BA605A">
        <w:rPr>
          <w:w w:val="103"/>
        </w:rPr>
        <w:t>Adaptation</w:t>
      </w:r>
      <w:r w:rsidR="00BA605A">
        <w:t xml:space="preserve"> </w:t>
      </w:r>
      <w:r w:rsidR="00BA605A">
        <w:rPr>
          <w:w w:val="103"/>
        </w:rPr>
        <w:t>Fund</w:t>
      </w:r>
      <w:r w:rsidR="00BA605A">
        <w:t xml:space="preserve"> </w:t>
      </w:r>
      <w:r w:rsidR="00BA605A">
        <w:rPr>
          <w:w w:val="103"/>
        </w:rPr>
        <w:t>being</w:t>
      </w:r>
      <w:r w:rsidR="00BA605A">
        <w:t xml:space="preserve"> </w:t>
      </w:r>
      <w:r w:rsidR="00BA605A">
        <w:rPr>
          <w:w w:val="103"/>
        </w:rPr>
        <w:t>finalized</w:t>
      </w:r>
      <w:r w:rsidR="00BA605A">
        <w:t xml:space="preserve"> </w:t>
      </w:r>
      <w:r w:rsidR="00BA605A">
        <w:rPr>
          <w:w w:val="103"/>
        </w:rPr>
        <w:t>at</w:t>
      </w:r>
      <w:r w:rsidR="00BA605A">
        <w:t xml:space="preserve"> </w:t>
      </w:r>
      <w:r w:rsidR="00BA605A">
        <w:rPr>
          <w:w w:val="103"/>
        </w:rPr>
        <w:t>the</w:t>
      </w:r>
      <w:r w:rsidR="00BA605A">
        <w:t xml:space="preserve"> </w:t>
      </w:r>
      <w:r w:rsidR="00BA605A">
        <w:rPr>
          <w:w w:val="103"/>
        </w:rPr>
        <w:t>same</w:t>
      </w:r>
      <w:r w:rsidR="00BA605A">
        <w:t xml:space="preserve"> </w:t>
      </w:r>
      <w:r w:rsidR="00BA605A">
        <w:rPr>
          <w:w w:val="103"/>
        </w:rPr>
        <w:t>session;</w:t>
      </w:r>
    </w:p>
    <w:p w14:paraId="28324231" w14:textId="11A089E0" w:rsidR="00BA605A" w:rsidRDefault="00D23317" w:rsidP="00D23317">
      <w:pPr>
        <w:pStyle w:val="RegSingleTxtG"/>
        <w:numPr>
          <w:ilvl w:val="0"/>
          <w:numId w:val="0"/>
        </w:numPr>
        <w:ind w:left="1134"/>
      </w:pPr>
      <w:bookmarkStart w:id="13" w:name="_Ref89180430"/>
      <w:r>
        <w:t>3.</w:t>
      </w:r>
      <w:r>
        <w:tab/>
      </w:r>
      <w:r w:rsidR="00BA605A">
        <w:rPr>
          <w:i/>
          <w:iCs/>
          <w:w w:val="103"/>
        </w:rPr>
        <w:t>Invites</w:t>
      </w:r>
      <w:r w:rsidR="00BA605A">
        <w:t xml:space="preserve"> </w:t>
      </w:r>
      <w:r w:rsidR="00BA605A">
        <w:rPr>
          <w:w w:val="103"/>
        </w:rPr>
        <w:t>Parties to the Kyoto Protocol, Parties to the Paris Agreement and</w:t>
      </w:r>
      <w:r w:rsidR="00BA605A">
        <w:t xml:space="preserve"> </w:t>
      </w:r>
      <w:r w:rsidR="00BA605A">
        <w:rPr>
          <w:w w:val="103"/>
        </w:rPr>
        <w:t>observer</w:t>
      </w:r>
      <w:r w:rsidR="00BA605A">
        <w:t xml:space="preserve"> </w:t>
      </w:r>
      <w:r w:rsidR="00BA605A">
        <w:rPr>
          <w:w w:val="103"/>
        </w:rPr>
        <w:t>organizations,</w:t>
      </w:r>
      <w:r w:rsidR="00BA605A">
        <w:t xml:space="preserve"> </w:t>
      </w:r>
      <w:r w:rsidR="00BA605A">
        <w:rPr>
          <w:w w:val="103"/>
        </w:rPr>
        <w:t>as</w:t>
      </w:r>
      <w:r w:rsidR="00BA605A">
        <w:t xml:space="preserve"> </w:t>
      </w:r>
      <w:r w:rsidR="00BA605A">
        <w:rPr>
          <w:w w:val="103"/>
        </w:rPr>
        <w:t>well</w:t>
      </w:r>
      <w:r w:rsidR="00BA605A">
        <w:t xml:space="preserve"> </w:t>
      </w:r>
      <w:r w:rsidR="00BA605A">
        <w:rPr>
          <w:w w:val="103"/>
        </w:rPr>
        <w:t>as</w:t>
      </w:r>
      <w:r w:rsidR="00BA605A">
        <w:t xml:space="preserve"> </w:t>
      </w:r>
      <w:r w:rsidR="00BA605A">
        <w:rPr>
          <w:w w:val="103"/>
        </w:rPr>
        <w:t>other</w:t>
      </w:r>
      <w:r w:rsidR="00BA605A">
        <w:t xml:space="preserve"> </w:t>
      </w:r>
      <w:r w:rsidR="00BA605A">
        <w:rPr>
          <w:w w:val="103"/>
        </w:rPr>
        <w:t>interested</w:t>
      </w:r>
      <w:r w:rsidR="00BA605A">
        <w:t xml:space="preserve"> </w:t>
      </w:r>
      <w:r w:rsidR="00BA605A">
        <w:rPr>
          <w:w w:val="103"/>
        </w:rPr>
        <w:t>international organizations,</w:t>
      </w:r>
      <w:r w:rsidR="00BA605A">
        <w:t xml:space="preserve"> </w:t>
      </w:r>
      <w:r w:rsidR="00BA605A">
        <w:rPr>
          <w:w w:val="103"/>
        </w:rPr>
        <w:t>stakeholders</w:t>
      </w:r>
      <w:r w:rsidR="00BA605A">
        <w:t xml:space="preserve"> </w:t>
      </w:r>
      <w:r w:rsidR="00BA605A">
        <w:rPr>
          <w:w w:val="103"/>
        </w:rPr>
        <w:t>and</w:t>
      </w:r>
      <w:r w:rsidR="00BA605A">
        <w:t xml:space="preserve"> </w:t>
      </w:r>
      <w:r w:rsidR="00BA605A">
        <w:rPr>
          <w:w w:val="103"/>
        </w:rPr>
        <w:t>non-governmental</w:t>
      </w:r>
      <w:r w:rsidR="00BA605A">
        <w:t xml:space="preserve"> </w:t>
      </w:r>
      <w:r w:rsidR="00BA605A">
        <w:rPr>
          <w:w w:val="103"/>
        </w:rPr>
        <w:t>organizations</w:t>
      </w:r>
      <w:r w:rsidR="00BA605A">
        <w:t xml:space="preserve"> </w:t>
      </w:r>
      <w:r w:rsidR="00BA605A">
        <w:rPr>
          <w:w w:val="103"/>
        </w:rPr>
        <w:t>involved</w:t>
      </w:r>
      <w:r w:rsidR="00BA605A">
        <w:t xml:space="preserve"> </w:t>
      </w:r>
      <w:r w:rsidR="00BA605A">
        <w:rPr>
          <w:w w:val="103"/>
        </w:rPr>
        <w:t>in</w:t>
      </w:r>
      <w:r w:rsidR="00BA605A">
        <w:t xml:space="preserve"> </w:t>
      </w:r>
      <w:r w:rsidR="00BA605A">
        <w:rPr>
          <w:w w:val="103"/>
        </w:rPr>
        <w:t>the</w:t>
      </w:r>
      <w:r w:rsidR="00BA605A">
        <w:t xml:space="preserve"> </w:t>
      </w:r>
      <w:r w:rsidR="00BA605A">
        <w:rPr>
          <w:w w:val="103"/>
        </w:rPr>
        <w:t>activities</w:t>
      </w:r>
      <w:r w:rsidR="00BA605A">
        <w:t xml:space="preserve"> </w:t>
      </w:r>
      <w:r w:rsidR="00BA605A">
        <w:rPr>
          <w:w w:val="103"/>
        </w:rPr>
        <w:t>of the</w:t>
      </w:r>
      <w:r w:rsidR="00BA605A">
        <w:t xml:space="preserve"> </w:t>
      </w:r>
      <w:r w:rsidR="00BA605A">
        <w:rPr>
          <w:w w:val="103"/>
        </w:rPr>
        <w:t>Adaptation</w:t>
      </w:r>
      <w:r w:rsidR="00BA605A">
        <w:t xml:space="preserve"> </w:t>
      </w:r>
      <w:r w:rsidR="00BA605A">
        <w:rPr>
          <w:w w:val="103"/>
        </w:rPr>
        <w:t>Fund,</w:t>
      </w:r>
      <w:r w:rsidR="00BA605A">
        <w:t xml:space="preserve"> </w:t>
      </w:r>
      <w:r w:rsidR="00BA605A">
        <w:rPr>
          <w:w w:val="103"/>
        </w:rPr>
        <w:t>and</w:t>
      </w:r>
      <w:r w:rsidR="00BA605A">
        <w:t xml:space="preserve"> </w:t>
      </w:r>
      <w:r w:rsidR="00BA605A">
        <w:rPr>
          <w:w w:val="103"/>
        </w:rPr>
        <w:t>implementing</w:t>
      </w:r>
      <w:r w:rsidR="00BA605A">
        <w:t xml:space="preserve"> </w:t>
      </w:r>
      <w:r w:rsidR="00BA605A">
        <w:rPr>
          <w:w w:val="103"/>
        </w:rPr>
        <w:t>entities</w:t>
      </w:r>
      <w:r w:rsidR="00BA605A">
        <w:t xml:space="preserve"> </w:t>
      </w:r>
      <w:r w:rsidR="00BA605A">
        <w:rPr>
          <w:w w:val="103"/>
        </w:rPr>
        <w:t>accredited</w:t>
      </w:r>
      <w:r w:rsidR="00BA605A">
        <w:t xml:space="preserve"> </w:t>
      </w:r>
      <w:r w:rsidR="00BA605A">
        <w:rPr>
          <w:w w:val="103"/>
        </w:rPr>
        <w:t>by</w:t>
      </w:r>
      <w:r w:rsidR="00BA605A">
        <w:t xml:space="preserve"> </w:t>
      </w:r>
      <w:r w:rsidR="00BA605A">
        <w:rPr>
          <w:w w:val="103"/>
        </w:rPr>
        <w:t>the</w:t>
      </w:r>
      <w:r w:rsidR="00BA605A">
        <w:t xml:space="preserve"> </w:t>
      </w:r>
      <w:r w:rsidR="00BA605A">
        <w:rPr>
          <w:w w:val="103"/>
        </w:rPr>
        <w:t>Adaptation</w:t>
      </w:r>
      <w:r w:rsidR="00BA605A">
        <w:t xml:space="preserve"> </w:t>
      </w:r>
      <w:r w:rsidR="00BA605A">
        <w:rPr>
          <w:w w:val="103"/>
        </w:rPr>
        <w:t>Fund Board,</w:t>
      </w:r>
      <w:r w:rsidR="00BA605A">
        <w:t xml:space="preserve"> </w:t>
      </w:r>
      <w:r w:rsidR="00BA605A">
        <w:rPr>
          <w:w w:val="103"/>
        </w:rPr>
        <w:t>to</w:t>
      </w:r>
      <w:r w:rsidR="00BA605A">
        <w:t xml:space="preserve"> </w:t>
      </w:r>
      <w:r w:rsidR="00BA605A">
        <w:rPr>
          <w:w w:val="103"/>
        </w:rPr>
        <w:t>submit</w:t>
      </w:r>
      <w:r w:rsidR="00BA605A">
        <w:t xml:space="preserve"> </w:t>
      </w:r>
      <w:r w:rsidR="00BA605A">
        <w:rPr>
          <w:w w:val="103"/>
        </w:rPr>
        <w:t>their</w:t>
      </w:r>
      <w:r w:rsidR="00BA605A">
        <w:t xml:space="preserve"> </w:t>
      </w:r>
      <w:r w:rsidR="00BA605A">
        <w:rPr>
          <w:w w:val="103"/>
        </w:rPr>
        <w:t>views</w:t>
      </w:r>
      <w:r w:rsidR="00BA605A">
        <w:t xml:space="preserve"> </w:t>
      </w:r>
      <w:r w:rsidR="00BA605A">
        <w:rPr>
          <w:w w:val="103"/>
        </w:rPr>
        <w:t>on</w:t>
      </w:r>
      <w:r w:rsidR="00BA605A">
        <w:t xml:space="preserve"> </w:t>
      </w:r>
      <w:r w:rsidR="00BA605A">
        <w:rPr>
          <w:w w:val="103"/>
        </w:rPr>
        <w:t>the</w:t>
      </w:r>
      <w:r w:rsidR="00BA605A">
        <w:t xml:space="preserve"> </w:t>
      </w:r>
      <w:r w:rsidR="00BA605A">
        <w:rPr>
          <w:w w:val="103"/>
        </w:rPr>
        <w:t>fourth</w:t>
      </w:r>
      <w:r w:rsidR="00BA605A">
        <w:t xml:space="preserve"> </w:t>
      </w:r>
      <w:r w:rsidR="00BA605A">
        <w:rPr>
          <w:w w:val="103"/>
        </w:rPr>
        <w:t>review</w:t>
      </w:r>
      <w:r w:rsidR="00BA605A">
        <w:t xml:space="preserve"> </w:t>
      </w:r>
      <w:r w:rsidR="00BA605A">
        <w:rPr>
          <w:w w:val="103"/>
        </w:rPr>
        <w:t>of</w:t>
      </w:r>
      <w:r w:rsidR="00BA605A">
        <w:t xml:space="preserve"> </w:t>
      </w:r>
      <w:r w:rsidR="00BA605A">
        <w:rPr>
          <w:w w:val="103"/>
        </w:rPr>
        <w:t>the</w:t>
      </w:r>
      <w:r w:rsidR="00BA605A">
        <w:t xml:space="preserve"> </w:t>
      </w:r>
      <w:r w:rsidR="00BA605A">
        <w:rPr>
          <w:w w:val="103"/>
        </w:rPr>
        <w:t>Adaptation</w:t>
      </w:r>
      <w:r w:rsidR="00BA605A">
        <w:t xml:space="preserve"> </w:t>
      </w:r>
      <w:r w:rsidR="00BA605A">
        <w:rPr>
          <w:w w:val="103"/>
        </w:rPr>
        <w:t>Fund</w:t>
      </w:r>
      <w:r w:rsidR="00BA605A">
        <w:t xml:space="preserve"> </w:t>
      </w:r>
      <w:r w:rsidR="00BA605A">
        <w:rPr>
          <w:w w:val="103"/>
        </w:rPr>
        <w:t>based</w:t>
      </w:r>
      <w:r w:rsidR="00BA605A">
        <w:t xml:space="preserve"> </w:t>
      </w:r>
      <w:r w:rsidR="00BA605A">
        <w:rPr>
          <w:w w:val="103"/>
        </w:rPr>
        <w:t>on</w:t>
      </w:r>
      <w:r w:rsidR="00BA605A">
        <w:t xml:space="preserve"> </w:t>
      </w:r>
      <w:r w:rsidR="00BA605A">
        <w:rPr>
          <w:w w:val="103"/>
        </w:rPr>
        <w:t>the</w:t>
      </w:r>
      <w:r w:rsidR="00BA605A">
        <w:t xml:space="preserve"> </w:t>
      </w:r>
      <w:r w:rsidR="00BA605A">
        <w:rPr>
          <w:w w:val="103"/>
        </w:rPr>
        <w:t>terms of</w:t>
      </w:r>
      <w:r w:rsidR="00BA605A">
        <w:t xml:space="preserve"> </w:t>
      </w:r>
      <w:r w:rsidR="00BA605A">
        <w:rPr>
          <w:w w:val="103"/>
        </w:rPr>
        <w:t>reference</w:t>
      </w:r>
      <w:r w:rsidR="00BA605A">
        <w:t xml:space="preserve"> </w:t>
      </w:r>
      <w:r w:rsidR="00BA605A">
        <w:rPr>
          <w:w w:val="103"/>
        </w:rPr>
        <w:t>set</w:t>
      </w:r>
      <w:r w:rsidR="00BA605A">
        <w:t xml:space="preserve"> </w:t>
      </w:r>
      <w:r w:rsidR="00BA605A">
        <w:rPr>
          <w:w w:val="103"/>
        </w:rPr>
        <w:t>out</w:t>
      </w:r>
      <w:r w:rsidR="00BA605A">
        <w:t xml:space="preserve"> </w:t>
      </w:r>
      <w:r w:rsidR="00BA605A">
        <w:rPr>
          <w:w w:val="103"/>
        </w:rPr>
        <w:t>in</w:t>
      </w:r>
      <w:r w:rsidR="00BA605A">
        <w:t xml:space="preserve"> </w:t>
      </w:r>
      <w:r w:rsidR="00BA605A">
        <w:rPr>
          <w:w w:val="103"/>
        </w:rPr>
        <w:t>the</w:t>
      </w:r>
      <w:r w:rsidR="00BA605A">
        <w:t xml:space="preserve"> </w:t>
      </w:r>
      <w:r w:rsidR="00BA605A">
        <w:rPr>
          <w:w w:val="103"/>
        </w:rPr>
        <w:t>annex</w:t>
      </w:r>
      <w:r w:rsidR="00BA605A">
        <w:t xml:space="preserve"> </w:t>
      </w:r>
      <w:r w:rsidR="00BA605A">
        <w:rPr>
          <w:w w:val="103"/>
        </w:rPr>
        <w:t>via</w:t>
      </w:r>
      <w:r w:rsidR="00BA605A">
        <w:t xml:space="preserve"> </w:t>
      </w:r>
      <w:r w:rsidR="00BA605A">
        <w:rPr>
          <w:w w:val="103"/>
        </w:rPr>
        <w:t>the</w:t>
      </w:r>
      <w:r w:rsidR="00BA605A">
        <w:t xml:space="preserve"> </w:t>
      </w:r>
      <w:r w:rsidR="00BA605A">
        <w:rPr>
          <w:w w:val="103"/>
        </w:rPr>
        <w:t>submission</w:t>
      </w:r>
      <w:r w:rsidR="00BA605A">
        <w:t xml:space="preserve"> </w:t>
      </w:r>
      <w:r w:rsidR="00BA605A">
        <w:rPr>
          <w:w w:val="103"/>
        </w:rPr>
        <w:t>portal</w:t>
      </w:r>
      <w:r w:rsidR="00BA605A">
        <w:rPr>
          <w:rStyle w:val="FootnoteReference"/>
        </w:rPr>
        <w:footnoteReference w:id="18"/>
      </w:r>
      <w:r w:rsidR="00BA605A">
        <w:t xml:space="preserve"> </w:t>
      </w:r>
      <w:r w:rsidR="00BA605A">
        <w:rPr>
          <w:w w:val="103"/>
        </w:rPr>
        <w:t>by</w:t>
      </w:r>
      <w:r w:rsidR="00BA605A">
        <w:t xml:space="preserve"> </w:t>
      </w:r>
      <w:r w:rsidR="00BA605A">
        <w:rPr>
          <w:w w:val="103"/>
        </w:rPr>
        <w:t>31</w:t>
      </w:r>
      <w:r w:rsidR="00BA605A">
        <w:t xml:space="preserve"> </w:t>
      </w:r>
      <w:r w:rsidR="00BA605A">
        <w:rPr>
          <w:w w:val="103"/>
        </w:rPr>
        <w:t>March</w:t>
      </w:r>
      <w:r w:rsidR="00BA605A">
        <w:t xml:space="preserve"> </w:t>
      </w:r>
      <w:r w:rsidR="00BA605A">
        <w:rPr>
          <w:w w:val="103"/>
        </w:rPr>
        <w:t>2022</w:t>
      </w:r>
      <w:r w:rsidR="00BA605A">
        <w:t xml:space="preserve"> </w:t>
      </w:r>
      <w:r w:rsidR="00BA605A">
        <w:rPr>
          <w:w w:val="103"/>
        </w:rPr>
        <w:t>for consideration</w:t>
      </w:r>
      <w:r w:rsidR="00BA605A">
        <w:t xml:space="preserve"> </w:t>
      </w:r>
      <w:r w:rsidR="00BA605A">
        <w:rPr>
          <w:w w:val="103"/>
        </w:rPr>
        <w:t>by</w:t>
      </w:r>
      <w:r w:rsidR="00BA605A">
        <w:t xml:space="preserve"> t</w:t>
      </w:r>
      <w:r w:rsidR="00BA605A">
        <w:rPr>
          <w:w w:val="103"/>
        </w:rPr>
        <w:t>he</w:t>
      </w:r>
      <w:r w:rsidR="00BA605A">
        <w:t xml:space="preserve"> </w:t>
      </w:r>
      <w:r w:rsidR="00BA605A">
        <w:rPr>
          <w:w w:val="103"/>
        </w:rPr>
        <w:t>Subsidiary</w:t>
      </w:r>
      <w:r w:rsidR="00BA605A">
        <w:t xml:space="preserve"> </w:t>
      </w:r>
      <w:r w:rsidR="00BA605A">
        <w:rPr>
          <w:w w:val="103"/>
        </w:rPr>
        <w:t>Body</w:t>
      </w:r>
      <w:r w:rsidR="00BA605A">
        <w:t xml:space="preserve"> </w:t>
      </w:r>
      <w:r w:rsidR="00BA605A">
        <w:rPr>
          <w:w w:val="103"/>
        </w:rPr>
        <w:t>for</w:t>
      </w:r>
      <w:r w:rsidR="00BA605A">
        <w:t xml:space="preserve"> </w:t>
      </w:r>
      <w:r w:rsidR="00BA605A">
        <w:rPr>
          <w:w w:val="103"/>
        </w:rPr>
        <w:t>Implementation</w:t>
      </w:r>
      <w:r w:rsidR="00BA605A">
        <w:t xml:space="preserve"> </w:t>
      </w:r>
      <w:r w:rsidR="00BA605A">
        <w:rPr>
          <w:w w:val="103"/>
        </w:rPr>
        <w:t>at</w:t>
      </w:r>
      <w:r w:rsidR="00BA605A">
        <w:t xml:space="preserve"> </w:t>
      </w:r>
      <w:r w:rsidR="00BA605A">
        <w:rPr>
          <w:w w:val="103"/>
        </w:rPr>
        <w:t>its</w:t>
      </w:r>
      <w:r w:rsidR="00BA605A">
        <w:t xml:space="preserve"> </w:t>
      </w:r>
      <w:r w:rsidR="00BA605A">
        <w:rPr>
          <w:w w:val="103"/>
        </w:rPr>
        <w:t>fifty-sixth</w:t>
      </w:r>
      <w:r w:rsidR="00BA605A">
        <w:t xml:space="preserve"> </w:t>
      </w:r>
      <w:r w:rsidR="00BA605A">
        <w:rPr>
          <w:w w:val="103"/>
        </w:rPr>
        <w:t>session</w:t>
      </w:r>
      <w:r w:rsidR="00BA605A">
        <w:t xml:space="preserve"> </w:t>
      </w:r>
      <w:r w:rsidR="00BA605A">
        <w:rPr>
          <w:w w:val="103"/>
        </w:rPr>
        <w:t>(June 2022);</w:t>
      </w:r>
      <w:bookmarkEnd w:id="13"/>
    </w:p>
    <w:p w14:paraId="2B22098D" w14:textId="384030E5" w:rsidR="00BA605A" w:rsidRDefault="00D23317" w:rsidP="00D23317">
      <w:pPr>
        <w:pStyle w:val="RegSingleTxtG"/>
        <w:numPr>
          <w:ilvl w:val="0"/>
          <w:numId w:val="0"/>
        </w:numPr>
        <w:ind w:left="1134"/>
      </w:pPr>
      <w:r>
        <w:t>4.</w:t>
      </w:r>
      <w:r>
        <w:tab/>
      </w:r>
      <w:r w:rsidR="00BA605A">
        <w:rPr>
          <w:i/>
          <w:iCs/>
          <w:w w:val="103"/>
        </w:rPr>
        <w:t>Takes</w:t>
      </w:r>
      <w:r w:rsidR="00BA605A">
        <w:rPr>
          <w:i/>
          <w:iCs/>
        </w:rPr>
        <w:t xml:space="preserve"> </w:t>
      </w:r>
      <w:r w:rsidR="00BA605A">
        <w:rPr>
          <w:i/>
          <w:iCs/>
          <w:w w:val="103"/>
        </w:rPr>
        <w:t>note</w:t>
      </w:r>
      <w:r w:rsidR="00BA605A">
        <w:t xml:space="preserve"> </w:t>
      </w:r>
      <w:r w:rsidR="00BA605A">
        <w:rPr>
          <w:w w:val="103"/>
        </w:rPr>
        <w:t>of</w:t>
      </w:r>
      <w:r w:rsidR="00BA605A">
        <w:t xml:space="preserve"> </w:t>
      </w:r>
      <w:r w:rsidR="00BA605A">
        <w:rPr>
          <w:w w:val="103"/>
        </w:rPr>
        <w:t>decision</w:t>
      </w:r>
      <w:r w:rsidR="00BA605A">
        <w:t xml:space="preserve"> </w:t>
      </w:r>
      <w:r w:rsidR="00BA605A">
        <w:rPr>
          <w:w w:val="103"/>
        </w:rPr>
        <w:t>13/CMA.1, stating that</w:t>
      </w:r>
      <w:r w:rsidR="00BA605A">
        <w:t xml:space="preserve"> </w:t>
      </w:r>
      <w:r w:rsidR="00BA605A">
        <w:rPr>
          <w:w w:val="103"/>
        </w:rPr>
        <w:t>the</w:t>
      </w:r>
      <w:r w:rsidR="00BA605A">
        <w:t xml:space="preserve"> </w:t>
      </w:r>
      <w:r w:rsidR="00BA605A">
        <w:rPr>
          <w:w w:val="103"/>
        </w:rPr>
        <w:t>Adaptation</w:t>
      </w:r>
      <w:r w:rsidR="00BA605A">
        <w:t xml:space="preserve"> </w:t>
      </w:r>
      <w:r w:rsidR="00BA605A">
        <w:rPr>
          <w:w w:val="103"/>
        </w:rPr>
        <w:t>Fund</w:t>
      </w:r>
      <w:r w:rsidR="00BA605A">
        <w:t xml:space="preserve"> </w:t>
      </w:r>
      <w:r w:rsidR="00BA605A">
        <w:rPr>
          <w:w w:val="103"/>
        </w:rPr>
        <w:t>shall</w:t>
      </w:r>
      <w:r w:rsidR="00BA605A">
        <w:t xml:space="preserve"> </w:t>
      </w:r>
      <w:r w:rsidR="00BA605A">
        <w:rPr>
          <w:w w:val="103"/>
        </w:rPr>
        <w:t>serve</w:t>
      </w:r>
      <w:r w:rsidR="00BA605A">
        <w:t xml:space="preserve"> </w:t>
      </w:r>
      <w:r w:rsidR="00BA605A">
        <w:rPr>
          <w:w w:val="103"/>
        </w:rPr>
        <w:t>under</w:t>
      </w:r>
      <w:r w:rsidR="00BA605A">
        <w:t xml:space="preserve"> </w:t>
      </w:r>
      <w:r w:rsidR="00BA605A">
        <w:rPr>
          <w:w w:val="103"/>
        </w:rPr>
        <w:t>the guidance</w:t>
      </w:r>
      <w:r w:rsidR="00BA605A">
        <w:t xml:space="preserve"> </w:t>
      </w:r>
      <w:r w:rsidR="00BA605A">
        <w:rPr>
          <w:w w:val="103"/>
        </w:rPr>
        <w:t>of,</w:t>
      </w:r>
      <w:r w:rsidR="00BA605A">
        <w:t xml:space="preserve"> </w:t>
      </w:r>
      <w:r w:rsidR="00BA605A">
        <w:rPr>
          <w:w w:val="103"/>
        </w:rPr>
        <w:t>and</w:t>
      </w:r>
      <w:r w:rsidR="00BA605A">
        <w:t xml:space="preserve"> </w:t>
      </w:r>
      <w:r w:rsidR="00BA605A">
        <w:rPr>
          <w:w w:val="103"/>
        </w:rPr>
        <w:t>be</w:t>
      </w:r>
      <w:r w:rsidR="00BA605A">
        <w:t xml:space="preserve"> </w:t>
      </w:r>
      <w:r w:rsidR="00BA605A">
        <w:rPr>
          <w:w w:val="103"/>
        </w:rPr>
        <w:t>accountable</w:t>
      </w:r>
      <w:r w:rsidR="00BA605A">
        <w:t xml:space="preserve"> </w:t>
      </w:r>
      <w:r w:rsidR="00BA605A">
        <w:rPr>
          <w:w w:val="103"/>
        </w:rPr>
        <w:t>to,</w:t>
      </w:r>
      <w:r w:rsidR="00BA605A">
        <w:t xml:space="preserve"> </w:t>
      </w:r>
      <w:r w:rsidR="00BA605A">
        <w:rPr>
          <w:w w:val="103"/>
        </w:rPr>
        <w:t>the</w:t>
      </w:r>
      <w:r w:rsidR="00BA605A">
        <w:t xml:space="preserve"> </w:t>
      </w:r>
      <w:r w:rsidR="00BA605A">
        <w:rPr>
          <w:w w:val="103"/>
        </w:rPr>
        <w:t>Conference</w:t>
      </w:r>
      <w:r w:rsidR="00BA605A">
        <w:t xml:space="preserve"> </w:t>
      </w:r>
      <w:r w:rsidR="00BA605A">
        <w:rPr>
          <w:w w:val="103"/>
        </w:rPr>
        <w:t>of</w:t>
      </w:r>
      <w:r w:rsidR="00BA605A">
        <w:t xml:space="preserve"> </w:t>
      </w:r>
      <w:r w:rsidR="00BA605A">
        <w:rPr>
          <w:w w:val="103"/>
        </w:rPr>
        <w:t>the</w:t>
      </w:r>
      <w:r w:rsidR="00BA605A">
        <w:t xml:space="preserve"> </w:t>
      </w:r>
      <w:r w:rsidR="00BA605A">
        <w:rPr>
          <w:w w:val="103"/>
        </w:rPr>
        <w:t>Parties</w:t>
      </w:r>
      <w:r w:rsidR="00BA605A">
        <w:t xml:space="preserve"> </w:t>
      </w:r>
      <w:r w:rsidR="00BA605A">
        <w:rPr>
          <w:w w:val="103"/>
        </w:rPr>
        <w:t>serving</w:t>
      </w:r>
      <w:r w:rsidR="00BA605A">
        <w:t xml:space="preserve"> </w:t>
      </w:r>
      <w:r w:rsidR="00BA605A">
        <w:rPr>
          <w:w w:val="103"/>
        </w:rPr>
        <w:t>as</w:t>
      </w:r>
      <w:r w:rsidR="00BA605A">
        <w:t xml:space="preserve"> </w:t>
      </w:r>
      <w:r w:rsidR="00BA605A">
        <w:rPr>
          <w:w w:val="103"/>
        </w:rPr>
        <w:t>the</w:t>
      </w:r>
      <w:r w:rsidR="00BA605A">
        <w:t xml:space="preserve"> </w:t>
      </w:r>
      <w:r w:rsidR="00BA605A">
        <w:rPr>
          <w:w w:val="103"/>
        </w:rPr>
        <w:t>meeting</w:t>
      </w:r>
      <w:r w:rsidR="00BA605A">
        <w:t xml:space="preserve"> </w:t>
      </w:r>
      <w:r w:rsidR="00BA605A">
        <w:rPr>
          <w:w w:val="103"/>
        </w:rPr>
        <w:t>of</w:t>
      </w:r>
      <w:r w:rsidR="00BA605A">
        <w:t xml:space="preserve"> </w:t>
      </w:r>
      <w:r w:rsidR="00BA605A">
        <w:rPr>
          <w:w w:val="103"/>
        </w:rPr>
        <w:t>the</w:t>
      </w:r>
      <w:r w:rsidR="00BA605A">
        <w:t xml:space="preserve"> </w:t>
      </w:r>
      <w:r w:rsidR="00BA605A">
        <w:rPr>
          <w:w w:val="103"/>
        </w:rPr>
        <w:t>Parties</w:t>
      </w:r>
      <w:r w:rsidR="00BA605A">
        <w:t xml:space="preserve"> </w:t>
      </w:r>
      <w:r w:rsidR="00BA605A">
        <w:rPr>
          <w:w w:val="103"/>
        </w:rPr>
        <w:t>to</w:t>
      </w:r>
      <w:r w:rsidR="00BA605A">
        <w:t xml:space="preserve"> </w:t>
      </w:r>
      <w:r w:rsidR="00BA605A">
        <w:rPr>
          <w:w w:val="103"/>
        </w:rPr>
        <w:t>the</w:t>
      </w:r>
      <w:r w:rsidR="00BA605A">
        <w:t xml:space="preserve"> </w:t>
      </w:r>
      <w:r w:rsidR="00BA605A">
        <w:rPr>
          <w:w w:val="103"/>
        </w:rPr>
        <w:t>Paris Agreement</w:t>
      </w:r>
      <w:r w:rsidR="00BA605A">
        <w:t xml:space="preserve"> </w:t>
      </w:r>
      <w:r w:rsidR="00BA605A">
        <w:rPr>
          <w:w w:val="103"/>
        </w:rPr>
        <w:t>with</w:t>
      </w:r>
      <w:r w:rsidR="00BA605A">
        <w:t xml:space="preserve"> </w:t>
      </w:r>
      <w:r w:rsidR="00BA605A">
        <w:rPr>
          <w:w w:val="103"/>
        </w:rPr>
        <w:t>respect</w:t>
      </w:r>
      <w:r w:rsidR="00BA605A">
        <w:t xml:space="preserve"> </w:t>
      </w:r>
      <w:r w:rsidR="00BA605A">
        <w:rPr>
          <w:w w:val="103"/>
        </w:rPr>
        <w:t>to</w:t>
      </w:r>
      <w:r w:rsidR="00BA605A">
        <w:t xml:space="preserve"> </w:t>
      </w:r>
      <w:r w:rsidR="00BA605A">
        <w:rPr>
          <w:w w:val="103"/>
        </w:rPr>
        <w:t>all</w:t>
      </w:r>
      <w:r w:rsidR="00BA605A">
        <w:t xml:space="preserve"> </w:t>
      </w:r>
      <w:r w:rsidR="00BA605A">
        <w:rPr>
          <w:w w:val="103"/>
        </w:rPr>
        <w:t>matters</w:t>
      </w:r>
      <w:r w:rsidR="00BA605A">
        <w:t xml:space="preserve"> </w:t>
      </w:r>
      <w:r w:rsidR="00BA605A">
        <w:rPr>
          <w:w w:val="103"/>
        </w:rPr>
        <w:t>relating</w:t>
      </w:r>
      <w:r w:rsidR="00BA605A">
        <w:t xml:space="preserve"> </w:t>
      </w:r>
      <w:r w:rsidR="00BA605A">
        <w:rPr>
          <w:w w:val="103"/>
        </w:rPr>
        <w:t>to</w:t>
      </w:r>
      <w:r w:rsidR="00BA605A">
        <w:t xml:space="preserve"> </w:t>
      </w:r>
      <w:r w:rsidR="00BA605A">
        <w:rPr>
          <w:w w:val="103"/>
        </w:rPr>
        <w:t>the</w:t>
      </w:r>
      <w:r w:rsidR="00BA605A">
        <w:t xml:space="preserve"> </w:t>
      </w:r>
      <w:r w:rsidR="00BA605A">
        <w:rPr>
          <w:w w:val="103"/>
        </w:rPr>
        <w:t>Paris Agreement,</w:t>
      </w:r>
      <w:r w:rsidR="00BA605A">
        <w:t xml:space="preserve"> </w:t>
      </w:r>
      <w:r w:rsidR="00BA605A">
        <w:rPr>
          <w:w w:val="103"/>
        </w:rPr>
        <w:t>effective</w:t>
      </w:r>
      <w:r w:rsidR="00BA605A">
        <w:t xml:space="preserve"> </w:t>
      </w:r>
      <w:r w:rsidR="00BA605A">
        <w:rPr>
          <w:w w:val="103"/>
        </w:rPr>
        <w:t>1</w:t>
      </w:r>
      <w:r w:rsidR="00BA605A">
        <w:t xml:space="preserve"> </w:t>
      </w:r>
      <w:r w:rsidR="00BA605A">
        <w:rPr>
          <w:w w:val="103"/>
        </w:rPr>
        <w:t>January</w:t>
      </w:r>
      <w:r w:rsidR="00BA605A">
        <w:t xml:space="preserve"> </w:t>
      </w:r>
      <w:r w:rsidR="00BA605A">
        <w:rPr>
          <w:w w:val="103"/>
        </w:rPr>
        <w:t>2019,</w:t>
      </w:r>
      <w:r w:rsidR="00BA605A">
        <w:t xml:space="preserve"> </w:t>
      </w:r>
      <w:r w:rsidR="00BA605A">
        <w:rPr>
          <w:w w:val="103"/>
        </w:rPr>
        <w:t>subject</w:t>
      </w:r>
      <w:r w:rsidR="00BA605A">
        <w:t xml:space="preserve"> </w:t>
      </w:r>
      <w:r w:rsidR="00BA605A">
        <w:rPr>
          <w:w w:val="103"/>
        </w:rPr>
        <w:t>to</w:t>
      </w:r>
      <w:r w:rsidR="00BA605A">
        <w:t xml:space="preserve"> </w:t>
      </w:r>
      <w:r w:rsidR="00BA605A">
        <w:rPr>
          <w:w w:val="103"/>
        </w:rPr>
        <w:t>the</w:t>
      </w:r>
      <w:r w:rsidR="00BA605A">
        <w:t xml:space="preserve"> </w:t>
      </w:r>
      <w:r w:rsidR="00BA605A">
        <w:rPr>
          <w:w w:val="103"/>
        </w:rPr>
        <w:t>decision</w:t>
      </w:r>
      <w:r w:rsidR="00BA605A">
        <w:rPr>
          <w:rStyle w:val="FootnoteReference"/>
          <w:w w:val="103"/>
        </w:rPr>
        <w:footnoteReference w:id="19"/>
      </w:r>
      <w:r w:rsidR="00BA605A">
        <w:rPr>
          <w:position w:val="6"/>
        </w:rPr>
        <w:t xml:space="preserve"> </w:t>
      </w:r>
      <w:r w:rsidR="00BA605A">
        <w:rPr>
          <w:w w:val="103"/>
        </w:rPr>
        <w:t>on</w:t>
      </w:r>
      <w:r w:rsidR="00BA605A">
        <w:t xml:space="preserve"> </w:t>
      </w:r>
      <w:r w:rsidR="00BA605A">
        <w:rPr>
          <w:w w:val="103"/>
        </w:rPr>
        <w:t>this</w:t>
      </w:r>
      <w:r w:rsidR="00BA605A">
        <w:t xml:space="preserve"> </w:t>
      </w:r>
      <w:r w:rsidR="00BA605A">
        <w:rPr>
          <w:w w:val="103"/>
        </w:rPr>
        <w:t>matter</w:t>
      </w:r>
      <w:r w:rsidR="00BA605A">
        <w:t xml:space="preserve"> </w:t>
      </w:r>
      <w:r w:rsidR="00BA605A">
        <w:rPr>
          <w:w w:val="103"/>
        </w:rPr>
        <w:t>made</w:t>
      </w:r>
      <w:r w:rsidR="00BA605A">
        <w:t xml:space="preserve"> </w:t>
      </w:r>
      <w:r w:rsidR="00BA605A">
        <w:rPr>
          <w:w w:val="103"/>
        </w:rPr>
        <w:t>by</w:t>
      </w:r>
      <w:r w:rsidR="00BA605A">
        <w:t xml:space="preserve"> </w:t>
      </w:r>
      <w:r w:rsidR="00BA605A">
        <w:rPr>
          <w:w w:val="103"/>
        </w:rPr>
        <w:t>the Conference of</w:t>
      </w:r>
      <w:r w:rsidR="00BA605A">
        <w:t xml:space="preserve"> </w:t>
      </w:r>
      <w:r w:rsidR="00BA605A">
        <w:rPr>
          <w:w w:val="103"/>
        </w:rPr>
        <w:t>the</w:t>
      </w:r>
      <w:r w:rsidR="00BA605A">
        <w:t xml:space="preserve"> </w:t>
      </w:r>
      <w:r w:rsidR="00BA605A">
        <w:rPr>
          <w:w w:val="103"/>
        </w:rPr>
        <w:t>Parties</w:t>
      </w:r>
      <w:r w:rsidR="00BA605A">
        <w:t xml:space="preserve"> </w:t>
      </w:r>
      <w:r w:rsidR="00BA605A">
        <w:rPr>
          <w:w w:val="103"/>
        </w:rPr>
        <w:t>serving</w:t>
      </w:r>
      <w:r w:rsidR="00BA605A">
        <w:t xml:space="preserve"> </w:t>
      </w:r>
      <w:r w:rsidR="00BA605A">
        <w:rPr>
          <w:w w:val="103"/>
        </w:rPr>
        <w:t>as</w:t>
      </w:r>
      <w:r w:rsidR="00BA605A">
        <w:t xml:space="preserve"> </w:t>
      </w:r>
      <w:r w:rsidR="00BA605A">
        <w:rPr>
          <w:w w:val="103"/>
        </w:rPr>
        <w:t>the</w:t>
      </w:r>
      <w:r w:rsidR="00BA605A">
        <w:t xml:space="preserve"> </w:t>
      </w:r>
      <w:r w:rsidR="00BA605A">
        <w:rPr>
          <w:w w:val="103"/>
        </w:rPr>
        <w:t>meeting</w:t>
      </w:r>
      <w:r w:rsidR="00BA605A">
        <w:t xml:space="preserve"> </w:t>
      </w:r>
      <w:r w:rsidR="00BA605A">
        <w:rPr>
          <w:w w:val="103"/>
        </w:rPr>
        <w:t>of</w:t>
      </w:r>
      <w:r w:rsidR="00BA605A">
        <w:t xml:space="preserve"> </w:t>
      </w:r>
      <w:r w:rsidR="00BA605A">
        <w:rPr>
          <w:w w:val="103"/>
        </w:rPr>
        <w:t>the</w:t>
      </w:r>
      <w:r w:rsidR="00BA605A">
        <w:t xml:space="preserve"> </w:t>
      </w:r>
      <w:r w:rsidR="00BA605A">
        <w:rPr>
          <w:w w:val="103"/>
        </w:rPr>
        <w:t>Parties</w:t>
      </w:r>
      <w:r w:rsidR="00BA605A">
        <w:t xml:space="preserve"> </w:t>
      </w:r>
      <w:r w:rsidR="00BA605A">
        <w:rPr>
          <w:w w:val="103"/>
        </w:rPr>
        <w:t>to</w:t>
      </w:r>
      <w:r w:rsidR="00BA605A">
        <w:t xml:space="preserve"> </w:t>
      </w:r>
      <w:r w:rsidR="00BA605A">
        <w:rPr>
          <w:w w:val="103"/>
        </w:rPr>
        <w:t>the</w:t>
      </w:r>
      <w:r w:rsidR="00BA605A">
        <w:t xml:space="preserve"> </w:t>
      </w:r>
      <w:r w:rsidR="00BA605A">
        <w:rPr>
          <w:w w:val="103"/>
        </w:rPr>
        <w:t>Kyoto</w:t>
      </w:r>
      <w:r w:rsidR="00BA605A">
        <w:t xml:space="preserve"> </w:t>
      </w:r>
      <w:r w:rsidR="00BA605A">
        <w:rPr>
          <w:w w:val="103"/>
        </w:rPr>
        <w:t>Protocol and</w:t>
      </w:r>
      <w:r w:rsidR="00BA605A">
        <w:t xml:space="preserve"> </w:t>
      </w:r>
      <w:r w:rsidR="00BA605A">
        <w:rPr>
          <w:i/>
          <w:w w:val="103"/>
        </w:rPr>
        <w:t>notes</w:t>
      </w:r>
      <w:r w:rsidR="00BA605A">
        <w:t xml:space="preserve"> </w:t>
      </w:r>
      <w:r w:rsidR="00BA605A">
        <w:rPr>
          <w:w w:val="103"/>
        </w:rPr>
        <w:t>decision 1/CMP.14, in which it decided, inter alia,</w:t>
      </w:r>
      <w:r w:rsidR="00BA605A">
        <w:t xml:space="preserve"> </w:t>
      </w:r>
      <w:r w:rsidR="00BA605A">
        <w:rPr>
          <w:w w:val="103"/>
        </w:rPr>
        <w:t>to</w:t>
      </w:r>
      <w:r w:rsidR="00BA605A">
        <w:t xml:space="preserve"> </w:t>
      </w:r>
      <w:r w:rsidR="00BA605A">
        <w:rPr>
          <w:w w:val="103"/>
        </w:rPr>
        <w:t>ensure</w:t>
      </w:r>
      <w:r w:rsidR="00BA605A">
        <w:t xml:space="preserve"> </w:t>
      </w:r>
      <w:r w:rsidR="00BA605A">
        <w:rPr>
          <w:w w:val="103"/>
        </w:rPr>
        <w:t>that</w:t>
      </w:r>
      <w:r w:rsidR="00BA605A">
        <w:t xml:space="preserve"> </w:t>
      </w:r>
      <w:r w:rsidR="00BA605A">
        <w:rPr>
          <w:w w:val="103"/>
        </w:rPr>
        <w:t>developing</w:t>
      </w:r>
      <w:r w:rsidR="00BA605A">
        <w:t xml:space="preserve"> country Parties and developed </w:t>
      </w:r>
      <w:r w:rsidR="00BA605A">
        <w:rPr>
          <w:w w:val="103"/>
        </w:rPr>
        <w:t>country</w:t>
      </w:r>
      <w:r w:rsidR="00BA605A">
        <w:t xml:space="preserve"> </w:t>
      </w:r>
      <w:r w:rsidR="00BA605A">
        <w:rPr>
          <w:w w:val="103"/>
        </w:rPr>
        <w:t>Parties</w:t>
      </w:r>
      <w:r w:rsidR="00BA605A">
        <w:t xml:space="preserve"> </w:t>
      </w:r>
      <w:r w:rsidR="00BA605A">
        <w:rPr>
          <w:w w:val="103"/>
        </w:rPr>
        <w:t>that</w:t>
      </w:r>
      <w:r w:rsidR="00BA605A">
        <w:t xml:space="preserve"> </w:t>
      </w:r>
      <w:r w:rsidR="00BA605A">
        <w:rPr>
          <w:w w:val="103"/>
        </w:rPr>
        <w:t>are</w:t>
      </w:r>
      <w:r w:rsidR="00BA605A">
        <w:t xml:space="preserve"> </w:t>
      </w:r>
      <w:r w:rsidR="00BA605A">
        <w:rPr>
          <w:w w:val="103"/>
        </w:rPr>
        <w:t>Parties</w:t>
      </w:r>
      <w:r w:rsidR="00BA605A">
        <w:t xml:space="preserve"> </w:t>
      </w:r>
      <w:r w:rsidR="00BA605A">
        <w:rPr>
          <w:w w:val="103"/>
        </w:rPr>
        <w:t>to</w:t>
      </w:r>
      <w:r w:rsidR="00BA605A">
        <w:t xml:space="preserve"> </w:t>
      </w:r>
      <w:r w:rsidR="00BA605A">
        <w:rPr>
          <w:w w:val="103"/>
        </w:rPr>
        <w:t>the Paris</w:t>
      </w:r>
      <w:r w:rsidR="00BA605A">
        <w:t xml:space="preserve"> </w:t>
      </w:r>
      <w:r w:rsidR="00BA605A">
        <w:rPr>
          <w:w w:val="103"/>
        </w:rPr>
        <w:t>Agreement</w:t>
      </w:r>
      <w:r w:rsidR="00BA605A">
        <w:t xml:space="preserve"> </w:t>
      </w:r>
      <w:r w:rsidR="00BA605A">
        <w:rPr>
          <w:w w:val="103"/>
        </w:rPr>
        <w:t>are</w:t>
      </w:r>
      <w:r w:rsidR="00BA605A">
        <w:t xml:space="preserve"> </w:t>
      </w:r>
      <w:r w:rsidR="00BA605A">
        <w:rPr>
          <w:w w:val="103"/>
        </w:rPr>
        <w:t>eligible</w:t>
      </w:r>
      <w:r w:rsidR="00BA605A">
        <w:t xml:space="preserve"> </w:t>
      </w:r>
      <w:r w:rsidR="00BA605A">
        <w:rPr>
          <w:w w:val="103"/>
        </w:rPr>
        <w:t>for</w:t>
      </w:r>
      <w:r w:rsidR="00BA605A">
        <w:t xml:space="preserve"> </w:t>
      </w:r>
      <w:r w:rsidR="00BA605A">
        <w:rPr>
          <w:w w:val="103"/>
        </w:rPr>
        <w:t>membership</w:t>
      </w:r>
      <w:r w:rsidR="00BA605A">
        <w:t xml:space="preserve"> </w:t>
      </w:r>
      <w:r w:rsidR="00BA605A">
        <w:rPr>
          <w:w w:val="103"/>
        </w:rPr>
        <w:t>on</w:t>
      </w:r>
      <w:r w:rsidR="00BA605A">
        <w:t xml:space="preserve"> </w:t>
      </w:r>
      <w:r w:rsidR="00BA605A">
        <w:rPr>
          <w:w w:val="103"/>
        </w:rPr>
        <w:t>the</w:t>
      </w:r>
      <w:r w:rsidR="00BA605A">
        <w:t xml:space="preserve"> </w:t>
      </w:r>
      <w:r w:rsidR="00BA605A">
        <w:rPr>
          <w:w w:val="103"/>
        </w:rPr>
        <w:t>Adaptation</w:t>
      </w:r>
      <w:r w:rsidR="00BA605A">
        <w:t xml:space="preserve"> </w:t>
      </w:r>
      <w:r w:rsidR="00BA605A">
        <w:rPr>
          <w:w w:val="103"/>
        </w:rPr>
        <w:t>Fund</w:t>
      </w:r>
      <w:r w:rsidR="00BA605A">
        <w:t xml:space="preserve"> </w:t>
      </w:r>
      <w:r w:rsidR="00BA605A">
        <w:rPr>
          <w:w w:val="103"/>
        </w:rPr>
        <w:t>Board;</w:t>
      </w:r>
    </w:p>
    <w:p w14:paraId="53D51F18" w14:textId="55EE7660" w:rsidR="00BA605A" w:rsidRDefault="00D23317" w:rsidP="00D23317">
      <w:pPr>
        <w:pStyle w:val="RegSingleTxtG"/>
        <w:numPr>
          <w:ilvl w:val="0"/>
          <w:numId w:val="0"/>
        </w:numPr>
        <w:ind w:left="1134"/>
        <w:rPr>
          <w:w w:val="103"/>
        </w:rPr>
      </w:pPr>
      <w:r>
        <w:rPr>
          <w:w w:val="103"/>
        </w:rPr>
        <w:t>5.</w:t>
      </w:r>
      <w:r>
        <w:rPr>
          <w:w w:val="103"/>
        </w:rPr>
        <w:tab/>
      </w:r>
      <w:r w:rsidR="00BA605A">
        <w:rPr>
          <w:i/>
          <w:iCs/>
          <w:w w:val="103"/>
        </w:rPr>
        <w:t>Requests</w:t>
      </w:r>
      <w:r w:rsidR="00BA605A">
        <w:t xml:space="preserve"> </w:t>
      </w:r>
      <w:r w:rsidR="00BA605A">
        <w:rPr>
          <w:w w:val="103"/>
        </w:rPr>
        <w:t>the</w:t>
      </w:r>
      <w:r w:rsidR="00BA605A">
        <w:t xml:space="preserve"> </w:t>
      </w:r>
      <w:r w:rsidR="00BA605A">
        <w:rPr>
          <w:w w:val="103"/>
        </w:rPr>
        <w:t>secretariat,</w:t>
      </w:r>
      <w:r w:rsidR="00BA605A">
        <w:t xml:space="preserve"> </w:t>
      </w:r>
      <w:r w:rsidR="00BA605A">
        <w:rPr>
          <w:w w:val="103"/>
        </w:rPr>
        <w:t>in</w:t>
      </w:r>
      <w:r w:rsidR="00BA605A">
        <w:t xml:space="preserve"> </w:t>
      </w:r>
      <w:r w:rsidR="00BA605A">
        <w:rPr>
          <w:w w:val="103"/>
        </w:rPr>
        <w:t>collaboration</w:t>
      </w:r>
      <w:r w:rsidR="00BA605A">
        <w:t xml:space="preserve"> </w:t>
      </w:r>
      <w:r w:rsidR="00BA605A">
        <w:rPr>
          <w:w w:val="103"/>
        </w:rPr>
        <w:t>with</w:t>
      </w:r>
      <w:r w:rsidR="00BA605A">
        <w:t xml:space="preserve"> </w:t>
      </w:r>
      <w:r w:rsidR="00BA605A">
        <w:rPr>
          <w:w w:val="103"/>
        </w:rPr>
        <w:t>the</w:t>
      </w:r>
      <w:r w:rsidR="00BA605A">
        <w:t xml:space="preserve"> </w:t>
      </w:r>
      <w:r w:rsidR="00BA605A">
        <w:rPr>
          <w:w w:val="103"/>
        </w:rPr>
        <w:t>Adaptation</w:t>
      </w:r>
      <w:r w:rsidR="00BA605A">
        <w:t xml:space="preserve"> </w:t>
      </w:r>
      <w:r w:rsidR="00BA605A">
        <w:rPr>
          <w:w w:val="103"/>
        </w:rPr>
        <w:t>Fund</w:t>
      </w:r>
      <w:r w:rsidR="00BA605A">
        <w:t xml:space="preserve"> </w:t>
      </w:r>
      <w:r w:rsidR="00BA605A">
        <w:rPr>
          <w:w w:val="103"/>
        </w:rPr>
        <w:t>Board</w:t>
      </w:r>
      <w:r w:rsidR="00BA605A">
        <w:t xml:space="preserve"> </w:t>
      </w:r>
      <w:r w:rsidR="00BA605A">
        <w:rPr>
          <w:w w:val="103"/>
        </w:rPr>
        <w:t>secretariat, to</w:t>
      </w:r>
      <w:r w:rsidR="00BA605A">
        <w:t xml:space="preserve"> </w:t>
      </w:r>
      <w:r w:rsidR="00BA605A">
        <w:rPr>
          <w:w w:val="103"/>
        </w:rPr>
        <w:t>prepare</w:t>
      </w:r>
      <w:r w:rsidR="00BA605A">
        <w:t xml:space="preserve"> </w:t>
      </w:r>
      <w:r w:rsidR="00BA605A">
        <w:rPr>
          <w:w w:val="103"/>
        </w:rPr>
        <w:t>a</w:t>
      </w:r>
      <w:r w:rsidR="00BA605A">
        <w:t xml:space="preserve"> </w:t>
      </w:r>
      <w:r w:rsidR="00BA605A">
        <w:rPr>
          <w:w w:val="103"/>
        </w:rPr>
        <w:t>technical</w:t>
      </w:r>
      <w:r w:rsidR="00BA605A">
        <w:t xml:space="preserve"> </w:t>
      </w:r>
      <w:r w:rsidR="00BA605A">
        <w:rPr>
          <w:w w:val="103"/>
        </w:rPr>
        <w:t>paper</w:t>
      </w:r>
      <w:r w:rsidR="00BA605A">
        <w:t xml:space="preserve"> </w:t>
      </w:r>
      <w:r w:rsidR="00BA605A">
        <w:rPr>
          <w:w w:val="103"/>
        </w:rPr>
        <w:t>on</w:t>
      </w:r>
      <w:r w:rsidR="00BA605A">
        <w:t xml:space="preserve"> </w:t>
      </w:r>
      <w:r w:rsidR="00BA605A">
        <w:rPr>
          <w:w w:val="103"/>
        </w:rPr>
        <w:t>the</w:t>
      </w:r>
      <w:r w:rsidR="00BA605A">
        <w:t xml:space="preserve"> </w:t>
      </w:r>
      <w:r w:rsidR="00BA605A">
        <w:rPr>
          <w:w w:val="103"/>
        </w:rPr>
        <w:t>fourth</w:t>
      </w:r>
      <w:r w:rsidR="00BA605A">
        <w:t xml:space="preserve"> </w:t>
      </w:r>
      <w:r w:rsidR="00BA605A">
        <w:rPr>
          <w:w w:val="103"/>
        </w:rPr>
        <w:t>review</w:t>
      </w:r>
      <w:r w:rsidR="00BA605A">
        <w:t xml:space="preserve"> </w:t>
      </w:r>
      <w:r w:rsidR="00BA605A">
        <w:rPr>
          <w:w w:val="103"/>
        </w:rPr>
        <w:t>of</w:t>
      </w:r>
      <w:r w:rsidR="00BA605A">
        <w:t xml:space="preserve"> </w:t>
      </w:r>
      <w:r w:rsidR="00BA605A">
        <w:rPr>
          <w:w w:val="103"/>
        </w:rPr>
        <w:t>the</w:t>
      </w:r>
      <w:r w:rsidR="00BA605A">
        <w:t xml:space="preserve"> </w:t>
      </w:r>
      <w:r w:rsidR="00BA605A">
        <w:rPr>
          <w:w w:val="103"/>
        </w:rPr>
        <w:t>Adaptation</w:t>
      </w:r>
      <w:r w:rsidR="00BA605A">
        <w:t xml:space="preserve"> </w:t>
      </w:r>
      <w:r w:rsidR="00BA605A">
        <w:rPr>
          <w:w w:val="103"/>
        </w:rPr>
        <w:t>Fund,</w:t>
      </w:r>
      <w:r w:rsidR="00BA605A">
        <w:t xml:space="preserve"> </w:t>
      </w:r>
      <w:r w:rsidR="00BA605A">
        <w:rPr>
          <w:w w:val="103"/>
        </w:rPr>
        <w:t>in</w:t>
      </w:r>
      <w:r w:rsidR="00BA605A">
        <w:t xml:space="preserve"> </w:t>
      </w:r>
      <w:r w:rsidR="00BA605A">
        <w:rPr>
          <w:w w:val="103"/>
        </w:rPr>
        <w:t>accordance</w:t>
      </w:r>
      <w:r w:rsidR="00BA605A">
        <w:t xml:space="preserve"> </w:t>
      </w:r>
      <w:r w:rsidR="00BA605A">
        <w:rPr>
          <w:w w:val="103"/>
        </w:rPr>
        <w:t>with the</w:t>
      </w:r>
      <w:r w:rsidR="00BA605A">
        <w:t xml:space="preserve"> </w:t>
      </w:r>
      <w:r w:rsidR="00BA605A">
        <w:rPr>
          <w:w w:val="103"/>
        </w:rPr>
        <w:t>terms</w:t>
      </w:r>
      <w:r w:rsidR="00BA605A">
        <w:t xml:space="preserve"> </w:t>
      </w:r>
      <w:r w:rsidR="00BA605A">
        <w:rPr>
          <w:w w:val="103"/>
        </w:rPr>
        <w:t>of</w:t>
      </w:r>
      <w:r w:rsidR="00BA605A">
        <w:t xml:space="preserve"> </w:t>
      </w:r>
      <w:r w:rsidR="00BA605A">
        <w:rPr>
          <w:w w:val="103"/>
        </w:rPr>
        <w:t>reference</w:t>
      </w:r>
      <w:r w:rsidR="00BA605A">
        <w:t xml:space="preserve"> </w:t>
      </w:r>
      <w:r w:rsidR="00BA605A">
        <w:rPr>
          <w:w w:val="103"/>
        </w:rPr>
        <w:t>set</w:t>
      </w:r>
      <w:r w:rsidR="00BA605A">
        <w:t xml:space="preserve"> </w:t>
      </w:r>
      <w:r w:rsidR="00BA605A">
        <w:rPr>
          <w:w w:val="103"/>
        </w:rPr>
        <w:t>out</w:t>
      </w:r>
      <w:r w:rsidR="00BA605A">
        <w:t xml:space="preserve"> </w:t>
      </w:r>
      <w:r w:rsidR="00BA605A">
        <w:rPr>
          <w:w w:val="103"/>
        </w:rPr>
        <w:t>in the</w:t>
      </w:r>
      <w:r w:rsidR="00BA605A">
        <w:t xml:space="preserve"> </w:t>
      </w:r>
      <w:r w:rsidR="00BA605A">
        <w:rPr>
          <w:w w:val="103"/>
        </w:rPr>
        <w:t>annex,</w:t>
      </w:r>
      <w:r w:rsidR="00BA605A">
        <w:t xml:space="preserve"> </w:t>
      </w:r>
      <w:r w:rsidR="00BA605A">
        <w:rPr>
          <w:w w:val="103"/>
        </w:rPr>
        <w:t>taking</w:t>
      </w:r>
      <w:r w:rsidR="00BA605A">
        <w:t xml:space="preserve"> </w:t>
      </w:r>
      <w:r w:rsidR="00BA605A">
        <w:rPr>
          <w:w w:val="103"/>
        </w:rPr>
        <w:t>into</w:t>
      </w:r>
      <w:r w:rsidR="00BA605A">
        <w:t xml:space="preserve"> </w:t>
      </w:r>
      <w:r w:rsidR="00BA605A">
        <w:rPr>
          <w:w w:val="103"/>
        </w:rPr>
        <w:t>account</w:t>
      </w:r>
      <w:r w:rsidR="00BA605A">
        <w:t xml:space="preserve"> </w:t>
      </w:r>
      <w:r w:rsidR="00BA605A">
        <w:rPr>
          <w:w w:val="103"/>
        </w:rPr>
        <w:t>the</w:t>
      </w:r>
      <w:r w:rsidR="00BA605A">
        <w:t xml:space="preserve"> </w:t>
      </w:r>
      <w:r w:rsidR="00BA605A">
        <w:rPr>
          <w:w w:val="103"/>
        </w:rPr>
        <w:t>deliberations</w:t>
      </w:r>
      <w:r w:rsidR="00BA605A">
        <w:t xml:space="preserve"> </w:t>
      </w:r>
      <w:r w:rsidR="00BA605A">
        <w:rPr>
          <w:w w:val="103"/>
        </w:rPr>
        <w:t>and conclusions</w:t>
      </w:r>
      <w:r w:rsidR="00BA605A">
        <w:t xml:space="preserve"> </w:t>
      </w:r>
      <w:r w:rsidR="00BA605A">
        <w:rPr>
          <w:w w:val="103"/>
        </w:rPr>
        <w:t>of</w:t>
      </w:r>
      <w:r w:rsidR="00BA605A">
        <w:t xml:space="preserve"> </w:t>
      </w:r>
      <w:r w:rsidR="00BA605A">
        <w:rPr>
          <w:w w:val="103"/>
        </w:rPr>
        <w:t>the</w:t>
      </w:r>
      <w:r w:rsidR="00BA605A">
        <w:t xml:space="preserve"> </w:t>
      </w:r>
      <w:r w:rsidR="00BA605A">
        <w:rPr>
          <w:w w:val="103"/>
        </w:rPr>
        <w:t>Subsidiary</w:t>
      </w:r>
      <w:r w:rsidR="00BA605A">
        <w:t xml:space="preserve"> </w:t>
      </w:r>
      <w:r w:rsidR="00BA605A">
        <w:rPr>
          <w:w w:val="103"/>
        </w:rPr>
        <w:t>Body</w:t>
      </w:r>
      <w:r w:rsidR="00BA605A">
        <w:t xml:space="preserve"> </w:t>
      </w:r>
      <w:r w:rsidR="00BA605A">
        <w:rPr>
          <w:w w:val="103"/>
        </w:rPr>
        <w:t>for</w:t>
      </w:r>
      <w:r w:rsidR="00BA605A">
        <w:t xml:space="preserve"> </w:t>
      </w:r>
      <w:r w:rsidR="00BA605A">
        <w:rPr>
          <w:w w:val="103"/>
        </w:rPr>
        <w:t>Implementation</w:t>
      </w:r>
      <w:r w:rsidR="00BA605A">
        <w:t xml:space="preserve"> </w:t>
      </w:r>
      <w:r w:rsidR="00BA605A">
        <w:rPr>
          <w:w w:val="103"/>
        </w:rPr>
        <w:t>at</w:t>
      </w:r>
      <w:r w:rsidR="00BA605A">
        <w:t xml:space="preserve"> </w:t>
      </w:r>
      <w:r w:rsidR="00BA605A">
        <w:rPr>
          <w:w w:val="103"/>
        </w:rPr>
        <w:t>its</w:t>
      </w:r>
      <w:r w:rsidR="00BA605A">
        <w:t xml:space="preserve"> </w:t>
      </w:r>
      <w:r w:rsidR="00BA605A">
        <w:rPr>
          <w:w w:val="103"/>
        </w:rPr>
        <w:t>fifty-sixth</w:t>
      </w:r>
      <w:r w:rsidR="00BA605A">
        <w:t xml:space="preserve"> </w:t>
      </w:r>
      <w:r w:rsidR="00BA605A">
        <w:rPr>
          <w:w w:val="103"/>
        </w:rPr>
        <w:t>session</w:t>
      </w:r>
      <w:r w:rsidR="00BA605A">
        <w:t xml:space="preserve"> </w:t>
      </w:r>
      <w:r w:rsidR="00BA605A">
        <w:rPr>
          <w:w w:val="103"/>
        </w:rPr>
        <w:t>and</w:t>
      </w:r>
      <w:r w:rsidR="00BA605A">
        <w:t xml:space="preserve"> </w:t>
      </w:r>
      <w:r w:rsidR="00BA605A">
        <w:rPr>
          <w:w w:val="103"/>
        </w:rPr>
        <w:t>the submissions</w:t>
      </w:r>
      <w:r w:rsidR="00BA605A">
        <w:t xml:space="preserve"> </w:t>
      </w:r>
      <w:r w:rsidR="00BA605A">
        <w:rPr>
          <w:w w:val="103"/>
        </w:rPr>
        <w:t>referred</w:t>
      </w:r>
      <w:r w:rsidR="00BA605A">
        <w:t xml:space="preserve"> </w:t>
      </w:r>
      <w:r w:rsidR="00BA605A">
        <w:rPr>
          <w:w w:val="103"/>
        </w:rPr>
        <w:t>to</w:t>
      </w:r>
      <w:r w:rsidR="00BA605A">
        <w:t xml:space="preserve"> </w:t>
      </w:r>
      <w:r w:rsidR="00BA605A">
        <w:rPr>
          <w:w w:val="103"/>
        </w:rPr>
        <w:t>in</w:t>
      </w:r>
      <w:r w:rsidR="00BA605A">
        <w:t xml:space="preserve"> </w:t>
      </w:r>
      <w:r w:rsidR="00BA605A">
        <w:rPr>
          <w:w w:val="103"/>
        </w:rPr>
        <w:t>paragraph</w:t>
      </w:r>
      <w:r w:rsidR="00BA605A">
        <w:t xml:space="preserve"> </w:t>
      </w:r>
      <w:r w:rsidR="0085297A">
        <w:rPr>
          <w:w w:val="103"/>
        </w:rPr>
        <w:fldChar w:fldCharType="begin"/>
      </w:r>
      <w:r w:rsidR="0085297A">
        <w:instrText xml:space="preserve"> REF _Ref89180430 \n \p \h </w:instrText>
      </w:r>
      <w:r w:rsidR="0085297A">
        <w:rPr>
          <w:w w:val="103"/>
        </w:rPr>
      </w:r>
      <w:r w:rsidR="0085297A">
        <w:rPr>
          <w:w w:val="103"/>
        </w:rPr>
        <w:fldChar w:fldCharType="separate"/>
      </w:r>
      <w:r w:rsidR="0085297A">
        <w:t>3 above</w:t>
      </w:r>
      <w:r w:rsidR="0085297A">
        <w:rPr>
          <w:w w:val="103"/>
        </w:rPr>
        <w:fldChar w:fldCharType="end"/>
      </w:r>
      <w:r w:rsidR="00BA605A">
        <w:rPr>
          <w:w w:val="103"/>
        </w:rPr>
        <w:t>,</w:t>
      </w:r>
      <w:r w:rsidR="00BA605A">
        <w:t xml:space="preserve"> </w:t>
      </w:r>
      <w:r w:rsidR="00BA605A">
        <w:rPr>
          <w:w w:val="103"/>
        </w:rPr>
        <w:t>for</w:t>
      </w:r>
      <w:r w:rsidR="00BA605A">
        <w:t xml:space="preserve"> </w:t>
      </w:r>
      <w:r w:rsidR="00BA605A">
        <w:rPr>
          <w:w w:val="103"/>
        </w:rPr>
        <w:t>consideration</w:t>
      </w:r>
      <w:r w:rsidR="00BA605A">
        <w:t xml:space="preserve"> </w:t>
      </w:r>
      <w:r w:rsidR="00BA605A">
        <w:rPr>
          <w:w w:val="103"/>
        </w:rPr>
        <w:t>by</w:t>
      </w:r>
      <w:r w:rsidR="00BA605A">
        <w:t xml:space="preserve"> </w:t>
      </w:r>
      <w:r w:rsidR="00BA605A">
        <w:rPr>
          <w:w w:val="103"/>
        </w:rPr>
        <w:t>the</w:t>
      </w:r>
      <w:r w:rsidR="00BA605A">
        <w:t xml:space="preserve"> </w:t>
      </w:r>
      <w:r w:rsidR="00BA605A">
        <w:rPr>
          <w:w w:val="103"/>
        </w:rPr>
        <w:t>Subsidiary</w:t>
      </w:r>
      <w:r w:rsidR="00BA605A">
        <w:t xml:space="preserve"> </w:t>
      </w:r>
      <w:r w:rsidR="00BA605A">
        <w:rPr>
          <w:w w:val="103"/>
        </w:rPr>
        <w:t>Body</w:t>
      </w:r>
      <w:r w:rsidR="00BA605A">
        <w:t xml:space="preserve"> </w:t>
      </w:r>
      <w:r w:rsidR="00BA605A">
        <w:rPr>
          <w:w w:val="103"/>
        </w:rPr>
        <w:t>for Implementation</w:t>
      </w:r>
      <w:r w:rsidR="00BA605A">
        <w:t xml:space="preserve"> </w:t>
      </w:r>
      <w:r w:rsidR="00BA605A">
        <w:rPr>
          <w:w w:val="103"/>
        </w:rPr>
        <w:t>at</w:t>
      </w:r>
      <w:r w:rsidR="00BA605A">
        <w:t xml:space="preserve"> </w:t>
      </w:r>
      <w:r w:rsidR="00BA605A">
        <w:rPr>
          <w:w w:val="103"/>
        </w:rPr>
        <w:t>its</w:t>
      </w:r>
      <w:r w:rsidR="00BA605A">
        <w:t xml:space="preserve"> </w:t>
      </w:r>
      <w:r w:rsidR="00BA605A">
        <w:rPr>
          <w:w w:val="103"/>
        </w:rPr>
        <w:t>fifty-seventh</w:t>
      </w:r>
      <w:r w:rsidR="00BA605A">
        <w:t xml:space="preserve"> </w:t>
      </w:r>
      <w:r w:rsidR="00BA605A">
        <w:rPr>
          <w:w w:val="103"/>
        </w:rPr>
        <w:t>session</w:t>
      </w:r>
      <w:r w:rsidR="00BA605A">
        <w:t xml:space="preserve"> </w:t>
      </w:r>
      <w:r w:rsidR="00BA605A">
        <w:rPr>
          <w:w w:val="103"/>
        </w:rPr>
        <w:t>(November</w:t>
      </w:r>
      <w:r w:rsidR="00BA605A">
        <w:t xml:space="preserve"> </w:t>
      </w:r>
      <w:r w:rsidR="00BA605A">
        <w:rPr>
          <w:w w:val="103"/>
        </w:rPr>
        <w:t>2022);</w:t>
      </w:r>
    </w:p>
    <w:p w14:paraId="3216B064" w14:textId="3ED03E2F" w:rsidR="00BA605A" w:rsidRDefault="00D23317" w:rsidP="00D23317">
      <w:pPr>
        <w:pStyle w:val="RegSingleTxtG"/>
        <w:numPr>
          <w:ilvl w:val="0"/>
          <w:numId w:val="0"/>
        </w:numPr>
        <w:ind w:left="1134"/>
        <w:rPr>
          <w:w w:val="103"/>
        </w:rPr>
      </w:pPr>
      <w:r>
        <w:rPr>
          <w:w w:val="103"/>
        </w:rPr>
        <w:t>6.</w:t>
      </w:r>
      <w:r>
        <w:rPr>
          <w:w w:val="103"/>
        </w:rPr>
        <w:tab/>
      </w:r>
      <w:r w:rsidR="00BA605A">
        <w:rPr>
          <w:i/>
          <w:iCs/>
          <w:w w:val="103"/>
        </w:rPr>
        <w:t>Also</w:t>
      </w:r>
      <w:r w:rsidR="00BA605A">
        <w:rPr>
          <w:i/>
          <w:iCs/>
        </w:rPr>
        <w:t xml:space="preserve"> </w:t>
      </w:r>
      <w:r w:rsidR="00BA605A">
        <w:rPr>
          <w:i/>
          <w:iCs/>
          <w:w w:val="103"/>
        </w:rPr>
        <w:t>requests</w:t>
      </w:r>
      <w:r w:rsidR="00BA605A">
        <w:t xml:space="preserve"> </w:t>
      </w:r>
      <w:r w:rsidR="00BA605A">
        <w:rPr>
          <w:w w:val="103"/>
        </w:rPr>
        <w:t>the</w:t>
      </w:r>
      <w:r w:rsidR="00BA605A">
        <w:t xml:space="preserve"> </w:t>
      </w:r>
      <w:r w:rsidR="00BA605A">
        <w:rPr>
          <w:w w:val="103"/>
        </w:rPr>
        <w:t>Subsidiary</w:t>
      </w:r>
      <w:r w:rsidR="00BA605A">
        <w:t xml:space="preserve"> </w:t>
      </w:r>
      <w:r w:rsidR="00BA605A">
        <w:rPr>
          <w:w w:val="103"/>
        </w:rPr>
        <w:t>Body</w:t>
      </w:r>
      <w:r w:rsidR="00BA605A">
        <w:t xml:space="preserve"> </w:t>
      </w:r>
      <w:r w:rsidR="00BA605A">
        <w:rPr>
          <w:w w:val="103"/>
        </w:rPr>
        <w:t>for</w:t>
      </w:r>
      <w:r w:rsidR="00BA605A">
        <w:t xml:space="preserve"> </w:t>
      </w:r>
      <w:r w:rsidR="00BA605A">
        <w:rPr>
          <w:w w:val="103"/>
        </w:rPr>
        <w:t>Implementation</w:t>
      </w:r>
      <w:r w:rsidR="00BA605A">
        <w:t xml:space="preserve"> </w:t>
      </w:r>
      <w:r w:rsidR="00BA605A">
        <w:rPr>
          <w:w w:val="103"/>
        </w:rPr>
        <w:t>to</w:t>
      </w:r>
      <w:r w:rsidR="00BA605A">
        <w:t xml:space="preserve"> </w:t>
      </w:r>
      <w:r w:rsidR="00BA605A">
        <w:rPr>
          <w:w w:val="103"/>
        </w:rPr>
        <w:t>complete</w:t>
      </w:r>
      <w:r w:rsidR="00BA605A">
        <w:t xml:space="preserve"> </w:t>
      </w:r>
      <w:r w:rsidR="00BA605A">
        <w:rPr>
          <w:w w:val="103"/>
        </w:rPr>
        <w:t>its</w:t>
      </w:r>
      <w:r w:rsidR="00BA605A">
        <w:t xml:space="preserve"> </w:t>
      </w:r>
      <w:r w:rsidR="00BA605A">
        <w:rPr>
          <w:w w:val="103"/>
        </w:rPr>
        <w:t>work</w:t>
      </w:r>
      <w:r w:rsidR="00BA605A">
        <w:t xml:space="preserve"> </w:t>
      </w:r>
      <w:r w:rsidR="00BA605A">
        <w:rPr>
          <w:w w:val="103"/>
        </w:rPr>
        <w:t>on</w:t>
      </w:r>
      <w:r w:rsidR="00BA605A">
        <w:t xml:space="preserve"> </w:t>
      </w:r>
      <w:r w:rsidR="00BA605A">
        <w:rPr>
          <w:w w:val="103"/>
        </w:rPr>
        <w:t>the fourth</w:t>
      </w:r>
      <w:r w:rsidR="00BA605A">
        <w:t xml:space="preserve"> </w:t>
      </w:r>
      <w:r w:rsidR="00BA605A">
        <w:rPr>
          <w:w w:val="103"/>
        </w:rPr>
        <w:t>review</w:t>
      </w:r>
      <w:r w:rsidR="00BA605A">
        <w:t xml:space="preserve"> </w:t>
      </w:r>
      <w:r w:rsidR="00BA605A">
        <w:rPr>
          <w:w w:val="103"/>
        </w:rPr>
        <w:t>of</w:t>
      </w:r>
      <w:r w:rsidR="00BA605A">
        <w:t xml:space="preserve"> </w:t>
      </w:r>
      <w:r w:rsidR="00BA605A">
        <w:rPr>
          <w:w w:val="103"/>
        </w:rPr>
        <w:t>the</w:t>
      </w:r>
      <w:r w:rsidR="00BA605A">
        <w:t xml:space="preserve"> </w:t>
      </w:r>
      <w:r w:rsidR="00BA605A">
        <w:rPr>
          <w:w w:val="103"/>
        </w:rPr>
        <w:t>Adaptation</w:t>
      </w:r>
      <w:r w:rsidR="00BA605A">
        <w:t xml:space="preserve"> </w:t>
      </w:r>
      <w:r w:rsidR="00BA605A">
        <w:rPr>
          <w:w w:val="103"/>
        </w:rPr>
        <w:t>Fund</w:t>
      </w:r>
      <w:r w:rsidR="00BA605A">
        <w:t xml:space="preserve"> </w:t>
      </w:r>
      <w:r w:rsidR="00BA605A">
        <w:rPr>
          <w:w w:val="103"/>
        </w:rPr>
        <w:t>at</w:t>
      </w:r>
      <w:r w:rsidR="00BA605A">
        <w:t xml:space="preserve"> </w:t>
      </w:r>
      <w:r w:rsidR="00BA605A">
        <w:rPr>
          <w:w w:val="103"/>
        </w:rPr>
        <w:t>its</w:t>
      </w:r>
      <w:r w:rsidR="00BA605A">
        <w:t xml:space="preserve"> </w:t>
      </w:r>
      <w:r w:rsidR="00BA605A">
        <w:rPr>
          <w:w w:val="103"/>
        </w:rPr>
        <w:t>fifty-seventh</w:t>
      </w:r>
      <w:r w:rsidR="00BA605A">
        <w:t xml:space="preserve"> </w:t>
      </w:r>
      <w:r w:rsidR="00BA605A">
        <w:rPr>
          <w:w w:val="103"/>
        </w:rPr>
        <w:t>session, while welcoming the participation of Parties to the Paris Agreement,</w:t>
      </w:r>
      <w:r w:rsidR="00BA605A">
        <w:t xml:space="preserve"> </w:t>
      </w:r>
      <w:r w:rsidR="00BA605A">
        <w:rPr>
          <w:w w:val="103"/>
        </w:rPr>
        <w:t>with</w:t>
      </w:r>
      <w:r w:rsidR="00BA605A">
        <w:t xml:space="preserve"> </w:t>
      </w:r>
      <w:r w:rsidR="00BA605A">
        <w:rPr>
          <w:w w:val="103"/>
        </w:rPr>
        <w:t>a</w:t>
      </w:r>
      <w:r w:rsidR="00BA605A">
        <w:t xml:space="preserve"> </w:t>
      </w:r>
      <w:r w:rsidR="00BA605A">
        <w:rPr>
          <w:w w:val="103"/>
        </w:rPr>
        <w:t>view</w:t>
      </w:r>
      <w:r w:rsidR="00BA605A">
        <w:t xml:space="preserve"> </w:t>
      </w:r>
      <w:r w:rsidR="00BA605A">
        <w:rPr>
          <w:w w:val="103"/>
        </w:rPr>
        <w:t>to recommending</w:t>
      </w:r>
      <w:r w:rsidR="00BA605A">
        <w:t xml:space="preserve"> </w:t>
      </w:r>
      <w:r w:rsidR="00BA605A">
        <w:rPr>
          <w:w w:val="103"/>
        </w:rPr>
        <w:t>a</w:t>
      </w:r>
      <w:r w:rsidR="00BA605A">
        <w:t xml:space="preserve"> </w:t>
      </w:r>
      <w:r w:rsidR="00BA605A">
        <w:rPr>
          <w:w w:val="103"/>
        </w:rPr>
        <w:t>draft</w:t>
      </w:r>
      <w:r w:rsidR="00BA605A">
        <w:t xml:space="preserve"> </w:t>
      </w:r>
      <w:r w:rsidR="00BA605A">
        <w:rPr>
          <w:w w:val="103"/>
        </w:rPr>
        <w:t>decision</w:t>
      </w:r>
      <w:r w:rsidR="00BA605A">
        <w:t xml:space="preserve"> </w:t>
      </w:r>
      <w:r w:rsidR="00BA605A">
        <w:rPr>
          <w:w w:val="103"/>
        </w:rPr>
        <w:t>on</w:t>
      </w:r>
      <w:r w:rsidR="00BA605A">
        <w:t xml:space="preserve"> </w:t>
      </w:r>
      <w:r w:rsidR="00BA605A">
        <w:rPr>
          <w:w w:val="103"/>
        </w:rPr>
        <w:t>the</w:t>
      </w:r>
      <w:r w:rsidR="00BA605A">
        <w:t xml:space="preserve"> </w:t>
      </w:r>
      <w:r w:rsidR="00BA605A">
        <w:rPr>
          <w:w w:val="103"/>
        </w:rPr>
        <w:t>matter</w:t>
      </w:r>
      <w:r w:rsidR="00BA605A">
        <w:t xml:space="preserve"> </w:t>
      </w:r>
      <w:r w:rsidR="00BA605A">
        <w:rPr>
          <w:w w:val="103"/>
        </w:rPr>
        <w:t>for</w:t>
      </w:r>
      <w:r w:rsidR="00BA605A">
        <w:t xml:space="preserve"> </w:t>
      </w:r>
      <w:r w:rsidR="00BA605A">
        <w:rPr>
          <w:w w:val="103"/>
        </w:rPr>
        <w:t>consideration</w:t>
      </w:r>
      <w:r w:rsidR="00BA605A">
        <w:t xml:space="preserve"> </w:t>
      </w:r>
      <w:r w:rsidR="00BA605A">
        <w:rPr>
          <w:w w:val="103"/>
        </w:rPr>
        <w:t>and</w:t>
      </w:r>
      <w:r w:rsidR="00BA605A">
        <w:t xml:space="preserve"> </w:t>
      </w:r>
      <w:r w:rsidR="00BA605A">
        <w:rPr>
          <w:w w:val="103"/>
        </w:rPr>
        <w:t>adoption</w:t>
      </w:r>
      <w:r w:rsidR="00BA605A">
        <w:t xml:space="preserve"> </w:t>
      </w:r>
      <w:r w:rsidR="00BA605A">
        <w:rPr>
          <w:w w:val="103"/>
        </w:rPr>
        <w:t>by</w:t>
      </w:r>
      <w:r w:rsidR="00BA605A">
        <w:t xml:space="preserve"> </w:t>
      </w:r>
      <w:r w:rsidR="00BA605A">
        <w:rPr>
          <w:w w:val="103"/>
        </w:rPr>
        <w:t>the Conference</w:t>
      </w:r>
      <w:r w:rsidR="00BA605A">
        <w:t xml:space="preserve"> </w:t>
      </w:r>
      <w:r w:rsidR="00BA605A">
        <w:rPr>
          <w:w w:val="103"/>
        </w:rPr>
        <w:t>of</w:t>
      </w:r>
      <w:r w:rsidR="00BA605A">
        <w:t xml:space="preserve"> </w:t>
      </w:r>
      <w:r w:rsidR="00BA605A">
        <w:rPr>
          <w:w w:val="103"/>
        </w:rPr>
        <w:t>the</w:t>
      </w:r>
      <w:r w:rsidR="00BA605A">
        <w:t xml:space="preserve"> </w:t>
      </w:r>
      <w:r w:rsidR="00BA605A">
        <w:rPr>
          <w:w w:val="103"/>
        </w:rPr>
        <w:t>Parties</w:t>
      </w:r>
      <w:r w:rsidR="00BA605A">
        <w:t xml:space="preserve"> </w:t>
      </w:r>
      <w:r w:rsidR="00BA605A">
        <w:rPr>
          <w:w w:val="103"/>
        </w:rPr>
        <w:t>serving</w:t>
      </w:r>
      <w:r w:rsidR="00BA605A">
        <w:t xml:space="preserve"> </w:t>
      </w:r>
      <w:r w:rsidR="00BA605A">
        <w:rPr>
          <w:w w:val="103"/>
        </w:rPr>
        <w:t>as</w:t>
      </w:r>
      <w:r w:rsidR="00BA605A">
        <w:t xml:space="preserve"> </w:t>
      </w:r>
      <w:r w:rsidR="00BA605A">
        <w:rPr>
          <w:w w:val="103"/>
        </w:rPr>
        <w:t>the</w:t>
      </w:r>
      <w:r w:rsidR="00BA605A">
        <w:t xml:space="preserve"> </w:t>
      </w:r>
      <w:r w:rsidR="00BA605A">
        <w:rPr>
          <w:w w:val="103"/>
        </w:rPr>
        <w:t>meeting</w:t>
      </w:r>
      <w:r w:rsidR="00BA605A">
        <w:t xml:space="preserve"> </w:t>
      </w:r>
      <w:r w:rsidR="00BA605A">
        <w:rPr>
          <w:w w:val="103"/>
        </w:rPr>
        <w:t>of</w:t>
      </w:r>
      <w:r w:rsidR="00BA605A">
        <w:t xml:space="preserve"> </w:t>
      </w:r>
      <w:r w:rsidR="00BA605A">
        <w:rPr>
          <w:w w:val="103"/>
        </w:rPr>
        <w:t>the</w:t>
      </w:r>
      <w:r w:rsidR="00BA605A">
        <w:t xml:space="preserve"> </w:t>
      </w:r>
      <w:r w:rsidR="00BA605A">
        <w:rPr>
          <w:w w:val="103"/>
        </w:rPr>
        <w:t>Parties</w:t>
      </w:r>
      <w:r w:rsidR="00BA605A">
        <w:t xml:space="preserve"> </w:t>
      </w:r>
      <w:r w:rsidR="00BA605A">
        <w:rPr>
          <w:w w:val="103"/>
        </w:rPr>
        <w:t>to</w:t>
      </w:r>
      <w:r w:rsidR="00BA605A">
        <w:t xml:space="preserve"> </w:t>
      </w:r>
      <w:r w:rsidR="00BA605A">
        <w:rPr>
          <w:w w:val="103"/>
        </w:rPr>
        <w:t>the</w:t>
      </w:r>
      <w:r w:rsidR="00BA605A">
        <w:t xml:space="preserve"> </w:t>
      </w:r>
      <w:r w:rsidR="00BA605A">
        <w:rPr>
          <w:w w:val="103"/>
        </w:rPr>
        <w:t>Kyoto</w:t>
      </w:r>
      <w:r w:rsidR="00BA605A">
        <w:t xml:space="preserve"> </w:t>
      </w:r>
      <w:r w:rsidR="00BA605A">
        <w:rPr>
          <w:w w:val="103"/>
        </w:rPr>
        <w:t>Protocol</w:t>
      </w:r>
      <w:r w:rsidR="00BA605A">
        <w:t xml:space="preserve"> </w:t>
      </w:r>
      <w:r w:rsidR="00BA605A">
        <w:rPr>
          <w:w w:val="103"/>
        </w:rPr>
        <w:t>at</w:t>
      </w:r>
      <w:r w:rsidR="00BA605A">
        <w:t xml:space="preserve"> </w:t>
      </w:r>
      <w:r w:rsidR="00BA605A">
        <w:rPr>
          <w:w w:val="103"/>
        </w:rPr>
        <w:t>its seventeenth</w:t>
      </w:r>
      <w:r w:rsidR="00BA605A">
        <w:t xml:space="preserve"> </w:t>
      </w:r>
      <w:r w:rsidR="00BA605A">
        <w:rPr>
          <w:w w:val="103"/>
        </w:rPr>
        <w:t>session;</w:t>
      </w:r>
    </w:p>
    <w:p w14:paraId="737A2A19" w14:textId="1DE394CD" w:rsidR="00750A21" w:rsidRDefault="00D23317" w:rsidP="00D23317">
      <w:pPr>
        <w:pStyle w:val="RegSingleTxtG"/>
        <w:numPr>
          <w:ilvl w:val="0"/>
          <w:numId w:val="0"/>
        </w:numPr>
        <w:suppressAutoHyphens w:val="0"/>
        <w:spacing w:after="0" w:line="240" w:lineRule="auto"/>
        <w:ind w:left="1134"/>
        <w:rPr>
          <w:w w:val="103"/>
        </w:rPr>
        <w:sectPr w:rsidR="00750A21" w:rsidSect="001B0963">
          <w:headerReference w:type="default" r:id="rId30"/>
          <w:footerReference w:type="default" r:id="rId31"/>
          <w:footerReference w:type="first" r:id="rId32"/>
          <w:footnotePr>
            <w:numRestart w:val="eachSect"/>
          </w:footnotePr>
          <w:pgSz w:w="11906" w:h="16838" w:code="9"/>
          <w:pgMar w:top="1417" w:right="1134" w:bottom="1134" w:left="1134" w:header="850" w:footer="567" w:gutter="0"/>
          <w:cols w:space="708"/>
          <w:docGrid w:linePitch="360"/>
        </w:sectPr>
      </w:pPr>
      <w:r>
        <w:rPr>
          <w:w w:val="103"/>
        </w:rPr>
        <w:t>7.</w:t>
      </w:r>
      <w:r>
        <w:rPr>
          <w:w w:val="103"/>
        </w:rPr>
        <w:tab/>
      </w:r>
      <w:r w:rsidR="00BA605A" w:rsidRPr="00BA605A">
        <w:rPr>
          <w:i/>
          <w:iCs/>
          <w:w w:val="103"/>
        </w:rPr>
        <w:t>Invites</w:t>
      </w:r>
      <w:r w:rsidR="00BA605A" w:rsidRPr="00BA605A">
        <w:rPr>
          <w:w w:val="103"/>
        </w:rPr>
        <w:t xml:space="preserve"> the Conference of the Parties serving as the meeting of the Parties to the Paris Agreement to consider the outcomes of the review at its fourth session.</w:t>
      </w:r>
    </w:p>
    <w:p w14:paraId="3FF1050F" w14:textId="77777777" w:rsidR="00BA605A" w:rsidRDefault="00BA605A" w:rsidP="00750A21">
      <w:pPr>
        <w:pStyle w:val="HChG"/>
      </w:pPr>
      <w:r>
        <w:t>Annex</w:t>
      </w:r>
    </w:p>
    <w:p w14:paraId="1C5BE5B8" w14:textId="77777777" w:rsidR="00BA605A" w:rsidRDefault="00BA605A" w:rsidP="00BA605A">
      <w:pPr>
        <w:pStyle w:val="HChG"/>
      </w:pPr>
      <w:r>
        <w:tab/>
      </w:r>
      <w:r>
        <w:tab/>
        <w:t>Terms of reference for the fourth review of the Adaptation Fund</w:t>
      </w:r>
    </w:p>
    <w:p w14:paraId="0C889272" w14:textId="6937D497" w:rsidR="00BA605A" w:rsidRDefault="00D23317" w:rsidP="00D23317">
      <w:pPr>
        <w:pStyle w:val="RegHChG"/>
        <w:numPr>
          <w:ilvl w:val="0"/>
          <w:numId w:val="0"/>
        </w:numPr>
        <w:tabs>
          <w:tab w:val="left" w:pos="1135"/>
        </w:tabs>
        <w:ind w:left="1135" w:hanging="454"/>
      </w:pPr>
      <w:r>
        <w:t>I.</w:t>
      </w:r>
      <w:r>
        <w:tab/>
      </w:r>
      <w:r w:rsidR="00BA605A" w:rsidRPr="00BA605A">
        <w:rPr>
          <w:w w:val="101"/>
        </w:rPr>
        <w:t>Objective</w:t>
      </w:r>
    </w:p>
    <w:p w14:paraId="6E66E7A4" w14:textId="0A89F2E4" w:rsidR="00BA605A" w:rsidRDefault="00D23317" w:rsidP="00D23317">
      <w:pPr>
        <w:pStyle w:val="RegSingleTxtG"/>
        <w:numPr>
          <w:ilvl w:val="0"/>
          <w:numId w:val="0"/>
        </w:numPr>
        <w:ind w:left="1134"/>
      </w:pPr>
      <w:r>
        <w:t>1.</w:t>
      </w:r>
      <w:r>
        <w:tab/>
      </w:r>
      <w:r w:rsidR="00BA605A" w:rsidRPr="00BA605A">
        <w:rPr>
          <w:w w:val="103"/>
        </w:rPr>
        <w:t>The</w:t>
      </w:r>
      <w:r w:rsidR="00BA605A">
        <w:t xml:space="preserve"> </w:t>
      </w:r>
      <w:r w:rsidR="00BA605A" w:rsidRPr="00BA605A">
        <w:rPr>
          <w:w w:val="103"/>
        </w:rPr>
        <w:t>objective</w:t>
      </w:r>
      <w:r w:rsidR="00BA605A">
        <w:t xml:space="preserve"> </w:t>
      </w:r>
      <w:r w:rsidR="00BA605A" w:rsidRPr="00BA605A">
        <w:rPr>
          <w:w w:val="103"/>
        </w:rPr>
        <w:t>of</w:t>
      </w:r>
      <w:r w:rsidR="00BA605A">
        <w:t xml:space="preserve"> </w:t>
      </w:r>
      <w:r w:rsidR="00BA605A" w:rsidRPr="00BA605A">
        <w:rPr>
          <w:w w:val="103"/>
        </w:rPr>
        <w:t>the</w:t>
      </w:r>
      <w:r w:rsidR="00BA605A">
        <w:t xml:space="preserve"> </w:t>
      </w:r>
      <w:r w:rsidR="00BA605A" w:rsidRPr="00BA605A">
        <w:rPr>
          <w:w w:val="103"/>
        </w:rPr>
        <w:t>fourth</w:t>
      </w:r>
      <w:r w:rsidR="00BA605A">
        <w:t xml:space="preserve"> </w:t>
      </w:r>
      <w:r w:rsidR="00BA605A" w:rsidRPr="00BA605A">
        <w:rPr>
          <w:w w:val="103"/>
        </w:rPr>
        <w:t>review</w:t>
      </w:r>
      <w:r w:rsidR="00BA605A">
        <w:t xml:space="preserve"> </w:t>
      </w:r>
      <w:r w:rsidR="00BA605A" w:rsidRPr="00BA605A">
        <w:rPr>
          <w:w w:val="103"/>
        </w:rPr>
        <w:t>of</w:t>
      </w:r>
      <w:r w:rsidR="00BA605A">
        <w:t xml:space="preserve"> </w:t>
      </w:r>
      <w:r w:rsidR="00BA605A" w:rsidRPr="00BA605A">
        <w:rPr>
          <w:w w:val="103"/>
        </w:rPr>
        <w:t>the</w:t>
      </w:r>
      <w:r w:rsidR="00BA605A">
        <w:t xml:space="preserve"> </w:t>
      </w:r>
      <w:r w:rsidR="00BA605A" w:rsidRPr="00BA605A">
        <w:rPr>
          <w:w w:val="103"/>
        </w:rPr>
        <w:t>Adaptation</w:t>
      </w:r>
      <w:r w:rsidR="00BA605A">
        <w:t xml:space="preserve"> </w:t>
      </w:r>
      <w:r w:rsidR="00BA605A" w:rsidRPr="00BA605A">
        <w:rPr>
          <w:w w:val="103"/>
        </w:rPr>
        <w:t>Fund</w:t>
      </w:r>
      <w:r w:rsidR="00BA605A">
        <w:t xml:space="preserve"> </w:t>
      </w:r>
      <w:r w:rsidR="00BA605A" w:rsidRPr="00BA605A">
        <w:rPr>
          <w:w w:val="103"/>
        </w:rPr>
        <w:t>is</w:t>
      </w:r>
      <w:r w:rsidR="00BA605A">
        <w:t xml:space="preserve"> </w:t>
      </w:r>
      <w:r w:rsidR="00BA605A" w:rsidRPr="00BA605A">
        <w:rPr>
          <w:w w:val="103"/>
        </w:rPr>
        <w:t>to</w:t>
      </w:r>
      <w:r w:rsidR="00BA605A">
        <w:t xml:space="preserve"> </w:t>
      </w:r>
      <w:r w:rsidR="00BA605A" w:rsidRPr="00BA605A">
        <w:rPr>
          <w:w w:val="103"/>
        </w:rPr>
        <w:t>ensure</w:t>
      </w:r>
      <w:r w:rsidR="00BA605A">
        <w:t xml:space="preserve"> </w:t>
      </w:r>
      <w:r w:rsidR="00BA605A" w:rsidRPr="00BA605A">
        <w:rPr>
          <w:w w:val="103"/>
        </w:rPr>
        <w:t>the effectiveness,</w:t>
      </w:r>
      <w:r w:rsidR="00BA605A">
        <w:t xml:space="preserve"> </w:t>
      </w:r>
      <w:r w:rsidR="00BA605A" w:rsidRPr="00BA605A">
        <w:rPr>
          <w:w w:val="103"/>
        </w:rPr>
        <w:t>sustainability</w:t>
      </w:r>
      <w:r w:rsidR="00BA605A">
        <w:t xml:space="preserve"> </w:t>
      </w:r>
      <w:r w:rsidR="00BA605A" w:rsidRPr="00BA605A">
        <w:rPr>
          <w:w w:val="103"/>
        </w:rPr>
        <w:t>and</w:t>
      </w:r>
      <w:r w:rsidR="00BA605A">
        <w:t xml:space="preserve"> </w:t>
      </w:r>
      <w:r w:rsidR="00BA605A" w:rsidRPr="00BA605A">
        <w:rPr>
          <w:w w:val="103"/>
        </w:rPr>
        <w:t>adequacy</w:t>
      </w:r>
      <w:r w:rsidR="00BA605A">
        <w:t xml:space="preserve"> </w:t>
      </w:r>
      <w:r w:rsidR="00BA605A" w:rsidRPr="00BA605A">
        <w:rPr>
          <w:w w:val="103"/>
        </w:rPr>
        <w:t>of</w:t>
      </w:r>
      <w:r w:rsidR="00BA605A">
        <w:t xml:space="preserve"> </w:t>
      </w:r>
      <w:r w:rsidR="00BA605A" w:rsidRPr="00BA605A">
        <w:rPr>
          <w:w w:val="103"/>
        </w:rPr>
        <w:t>the</w:t>
      </w:r>
      <w:r w:rsidR="00BA605A">
        <w:t xml:space="preserve"> </w:t>
      </w:r>
      <w:r w:rsidR="00BA605A" w:rsidRPr="00BA605A">
        <w:rPr>
          <w:w w:val="103"/>
        </w:rPr>
        <w:t>Fund</w:t>
      </w:r>
      <w:r w:rsidR="00BA605A">
        <w:t xml:space="preserve"> </w:t>
      </w:r>
      <w:r w:rsidR="00BA605A" w:rsidRPr="00BA605A">
        <w:rPr>
          <w:w w:val="103"/>
        </w:rPr>
        <w:t>and</w:t>
      </w:r>
      <w:r w:rsidR="00BA605A">
        <w:t xml:space="preserve"> </w:t>
      </w:r>
      <w:r w:rsidR="00BA605A" w:rsidRPr="00BA605A">
        <w:rPr>
          <w:w w:val="103"/>
        </w:rPr>
        <w:t>its</w:t>
      </w:r>
      <w:r w:rsidR="00BA605A">
        <w:t xml:space="preserve"> </w:t>
      </w:r>
      <w:r w:rsidR="00BA605A" w:rsidRPr="00BA605A">
        <w:rPr>
          <w:w w:val="103"/>
        </w:rPr>
        <w:t>operations.</w:t>
      </w:r>
      <w:r w:rsidR="00BA605A">
        <w:t xml:space="preserve"> </w:t>
      </w:r>
    </w:p>
    <w:p w14:paraId="7CD182AC" w14:textId="189E4356" w:rsidR="00BA605A" w:rsidRDefault="00D23317" w:rsidP="00D23317">
      <w:pPr>
        <w:pStyle w:val="RegHChG"/>
        <w:numPr>
          <w:ilvl w:val="0"/>
          <w:numId w:val="0"/>
        </w:numPr>
        <w:tabs>
          <w:tab w:val="left" w:pos="1135"/>
        </w:tabs>
        <w:ind w:left="1135" w:hanging="454"/>
        <w:rPr>
          <w:b w:val="0"/>
        </w:rPr>
      </w:pPr>
      <w:r>
        <w:t>II.</w:t>
      </w:r>
      <w:r>
        <w:tab/>
      </w:r>
      <w:r w:rsidR="00BA605A">
        <w:rPr>
          <w:w w:val="101"/>
        </w:rPr>
        <w:t>Scope</w:t>
      </w:r>
    </w:p>
    <w:p w14:paraId="0C8F09AE" w14:textId="392341C0" w:rsidR="00BA605A" w:rsidRDefault="00D23317" w:rsidP="00D23317">
      <w:pPr>
        <w:pStyle w:val="RegSingleTxtG"/>
        <w:numPr>
          <w:ilvl w:val="0"/>
          <w:numId w:val="0"/>
        </w:numPr>
        <w:ind w:left="1134"/>
      </w:pPr>
      <w:r>
        <w:t>2.</w:t>
      </w:r>
      <w:r>
        <w:tab/>
      </w:r>
      <w:r w:rsidR="00BA605A">
        <w:rPr>
          <w:w w:val="103"/>
        </w:rPr>
        <w:t>The</w:t>
      </w:r>
      <w:r w:rsidR="00BA605A">
        <w:t xml:space="preserve"> </w:t>
      </w:r>
      <w:r w:rsidR="00BA605A">
        <w:rPr>
          <w:w w:val="103"/>
        </w:rPr>
        <w:t>scope</w:t>
      </w:r>
      <w:r w:rsidR="00BA605A">
        <w:t xml:space="preserve"> </w:t>
      </w:r>
      <w:r w:rsidR="00BA605A">
        <w:rPr>
          <w:w w:val="103"/>
        </w:rPr>
        <w:t>of</w:t>
      </w:r>
      <w:r w:rsidR="00BA605A">
        <w:t xml:space="preserve"> </w:t>
      </w:r>
      <w:r w:rsidR="00BA605A">
        <w:rPr>
          <w:w w:val="103"/>
        </w:rPr>
        <w:t>the</w:t>
      </w:r>
      <w:r w:rsidR="00BA605A">
        <w:t xml:space="preserve"> </w:t>
      </w:r>
      <w:r w:rsidR="00BA605A">
        <w:rPr>
          <w:w w:val="103"/>
        </w:rPr>
        <w:t>review</w:t>
      </w:r>
      <w:r w:rsidR="00BA605A">
        <w:t xml:space="preserve"> </w:t>
      </w:r>
      <w:r w:rsidR="00BA605A">
        <w:rPr>
          <w:w w:val="103"/>
        </w:rPr>
        <w:t>will</w:t>
      </w:r>
      <w:r w:rsidR="00BA605A">
        <w:t xml:space="preserve"> </w:t>
      </w:r>
      <w:r w:rsidR="00BA605A">
        <w:rPr>
          <w:w w:val="103"/>
        </w:rPr>
        <w:t>cover</w:t>
      </w:r>
      <w:r w:rsidR="00BA605A">
        <w:t xml:space="preserve"> </w:t>
      </w:r>
      <w:r w:rsidR="00BA605A">
        <w:rPr>
          <w:w w:val="103"/>
        </w:rPr>
        <w:t>the</w:t>
      </w:r>
      <w:r w:rsidR="00BA605A">
        <w:t xml:space="preserve"> </w:t>
      </w:r>
      <w:r w:rsidR="00BA605A">
        <w:rPr>
          <w:w w:val="103"/>
        </w:rPr>
        <w:t>progress</w:t>
      </w:r>
      <w:r w:rsidR="00BA605A">
        <w:t xml:space="preserve"> </w:t>
      </w:r>
      <w:r w:rsidR="00BA605A">
        <w:rPr>
          <w:w w:val="103"/>
        </w:rPr>
        <w:t>made</w:t>
      </w:r>
      <w:r w:rsidR="00BA605A">
        <w:t xml:space="preserve"> </w:t>
      </w:r>
      <w:r w:rsidR="00BA605A">
        <w:rPr>
          <w:w w:val="103"/>
        </w:rPr>
        <w:t>to</w:t>
      </w:r>
      <w:r w:rsidR="00BA605A">
        <w:t xml:space="preserve"> </w:t>
      </w:r>
      <w:r w:rsidR="00BA605A">
        <w:rPr>
          <w:w w:val="103"/>
        </w:rPr>
        <w:t>date</w:t>
      </w:r>
      <w:r w:rsidR="00BA605A">
        <w:t xml:space="preserve"> </w:t>
      </w:r>
      <w:r w:rsidR="00BA605A">
        <w:rPr>
          <w:w w:val="103"/>
        </w:rPr>
        <w:t>and</w:t>
      </w:r>
      <w:r w:rsidR="00BA605A">
        <w:t xml:space="preserve"> </w:t>
      </w:r>
      <w:r w:rsidR="00BA605A">
        <w:rPr>
          <w:w w:val="103"/>
        </w:rPr>
        <w:t>lessons</w:t>
      </w:r>
      <w:r w:rsidR="00BA605A">
        <w:t xml:space="preserve"> </w:t>
      </w:r>
      <w:r w:rsidR="00BA605A">
        <w:rPr>
          <w:w w:val="103"/>
        </w:rPr>
        <w:t>learned</w:t>
      </w:r>
      <w:r w:rsidR="00BA605A">
        <w:t xml:space="preserve"> </w:t>
      </w:r>
      <w:r w:rsidR="00BA605A">
        <w:rPr>
          <w:w w:val="103"/>
        </w:rPr>
        <w:t>in the</w:t>
      </w:r>
      <w:r w:rsidR="00BA605A">
        <w:t xml:space="preserve"> </w:t>
      </w:r>
      <w:r w:rsidR="00BA605A">
        <w:rPr>
          <w:w w:val="103"/>
        </w:rPr>
        <w:t>operationalization</w:t>
      </w:r>
      <w:r w:rsidR="00BA605A">
        <w:t xml:space="preserve"> </w:t>
      </w:r>
      <w:r w:rsidR="00BA605A">
        <w:rPr>
          <w:w w:val="103"/>
        </w:rPr>
        <w:t>and</w:t>
      </w:r>
      <w:r w:rsidR="00BA605A">
        <w:t xml:space="preserve"> </w:t>
      </w:r>
      <w:r w:rsidR="00BA605A">
        <w:rPr>
          <w:w w:val="103"/>
        </w:rPr>
        <w:t>implementation</w:t>
      </w:r>
      <w:r w:rsidR="00BA605A">
        <w:t xml:space="preserve"> </w:t>
      </w:r>
      <w:r w:rsidR="00BA605A">
        <w:rPr>
          <w:w w:val="103"/>
        </w:rPr>
        <w:t>of</w:t>
      </w:r>
      <w:r w:rsidR="00BA605A">
        <w:t xml:space="preserve"> </w:t>
      </w:r>
      <w:r w:rsidR="00BA605A">
        <w:rPr>
          <w:w w:val="103"/>
        </w:rPr>
        <w:t>the</w:t>
      </w:r>
      <w:r w:rsidR="00BA605A">
        <w:t xml:space="preserve"> </w:t>
      </w:r>
      <w:r w:rsidR="00BA605A">
        <w:rPr>
          <w:w w:val="103"/>
        </w:rPr>
        <w:t>Fund</w:t>
      </w:r>
      <w:r w:rsidR="00BA605A">
        <w:t xml:space="preserve"> </w:t>
      </w:r>
      <w:r w:rsidR="00BA605A">
        <w:rPr>
          <w:w w:val="103"/>
        </w:rPr>
        <w:t>and</w:t>
      </w:r>
      <w:r w:rsidR="00BA605A">
        <w:t xml:space="preserve"> it </w:t>
      </w:r>
      <w:r w:rsidR="00BA605A">
        <w:rPr>
          <w:w w:val="103"/>
        </w:rPr>
        <w:t>will</w:t>
      </w:r>
      <w:r w:rsidR="00BA605A">
        <w:t xml:space="preserve"> </w:t>
      </w:r>
      <w:r w:rsidR="00BA605A">
        <w:rPr>
          <w:w w:val="103"/>
        </w:rPr>
        <w:t>focus</w:t>
      </w:r>
      <w:r w:rsidR="00BA605A">
        <w:t xml:space="preserve"> </w:t>
      </w:r>
      <w:r w:rsidR="00BA605A">
        <w:rPr>
          <w:w w:val="103"/>
        </w:rPr>
        <w:t>on,</w:t>
      </w:r>
      <w:r w:rsidR="00BA605A">
        <w:t xml:space="preserve"> </w:t>
      </w:r>
      <w:r w:rsidR="00BA605A">
        <w:rPr>
          <w:w w:val="103"/>
        </w:rPr>
        <w:t>inter</w:t>
      </w:r>
      <w:r w:rsidR="00BA605A">
        <w:t xml:space="preserve"> </w:t>
      </w:r>
      <w:r w:rsidR="00BA605A">
        <w:rPr>
          <w:w w:val="103"/>
        </w:rPr>
        <w:t>alia:</w:t>
      </w:r>
    </w:p>
    <w:p w14:paraId="6673222A" w14:textId="5788E0C1" w:rsidR="00BA605A" w:rsidRDefault="00D23317" w:rsidP="00D23317">
      <w:pPr>
        <w:pStyle w:val="RegSingleTxtG2"/>
        <w:numPr>
          <w:ilvl w:val="0"/>
          <w:numId w:val="0"/>
        </w:numPr>
        <w:tabs>
          <w:tab w:val="left" w:pos="720"/>
          <w:tab w:val="left" w:pos="1702"/>
        </w:tabs>
        <w:ind w:left="1134" w:firstLine="567"/>
      </w:pPr>
      <w:r>
        <w:rPr>
          <w:szCs w:val="28"/>
        </w:rPr>
        <w:t>(a)</w:t>
      </w:r>
      <w:r>
        <w:rPr>
          <w:szCs w:val="28"/>
        </w:rPr>
        <w:tab/>
      </w:r>
      <w:r w:rsidR="00BA605A">
        <w:rPr>
          <w:w w:val="103"/>
        </w:rPr>
        <w:t>The</w:t>
      </w:r>
      <w:r w:rsidR="00BA605A">
        <w:t xml:space="preserve"> provision </w:t>
      </w:r>
      <w:r w:rsidR="00BA605A">
        <w:rPr>
          <w:w w:val="103"/>
        </w:rPr>
        <w:t>of</w:t>
      </w:r>
      <w:r w:rsidR="00BA605A">
        <w:t xml:space="preserve"> </w:t>
      </w:r>
      <w:r w:rsidR="00BA605A">
        <w:rPr>
          <w:w w:val="103"/>
        </w:rPr>
        <w:t>sustainable,</w:t>
      </w:r>
      <w:r w:rsidR="00BA605A">
        <w:t xml:space="preserve"> </w:t>
      </w:r>
      <w:r w:rsidR="00BA605A">
        <w:rPr>
          <w:w w:val="103"/>
        </w:rPr>
        <w:t>predictable,</w:t>
      </w:r>
      <w:r w:rsidR="00BA605A">
        <w:t xml:space="preserve"> </w:t>
      </w:r>
      <w:r w:rsidR="00BA605A">
        <w:rPr>
          <w:w w:val="103"/>
        </w:rPr>
        <w:t>accessible</w:t>
      </w:r>
      <w:r w:rsidR="00BA605A">
        <w:t xml:space="preserve"> </w:t>
      </w:r>
      <w:r w:rsidR="00BA605A">
        <w:rPr>
          <w:w w:val="103"/>
        </w:rPr>
        <w:t>and</w:t>
      </w:r>
      <w:r w:rsidR="00BA605A">
        <w:t xml:space="preserve"> </w:t>
      </w:r>
      <w:r w:rsidR="00BA605A">
        <w:rPr>
          <w:w w:val="103"/>
        </w:rPr>
        <w:t>adequate</w:t>
      </w:r>
      <w:r w:rsidR="00BA605A">
        <w:t xml:space="preserve"> </w:t>
      </w:r>
      <w:r w:rsidR="00BA605A">
        <w:rPr>
          <w:w w:val="103"/>
        </w:rPr>
        <w:t>financial resources</w:t>
      </w:r>
      <w:r w:rsidR="00BA605A">
        <w:t xml:space="preserve"> </w:t>
      </w:r>
      <w:r w:rsidR="00BA605A">
        <w:rPr>
          <w:w w:val="103"/>
        </w:rPr>
        <w:t>and</w:t>
      </w:r>
      <w:r w:rsidR="00BA605A">
        <w:t xml:space="preserve"> </w:t>
      </w:r>
      <w:r w:rsidR="00BA605A">
        <w:rPr>
          <w:w w:val="103"/>
        </w:rPr>
        <w:t>the</w:t>
      </w:r>
      <w:r w:rsidR="00BA605A">
        <w:t xml:space="preserve"> </w:t>
      </w:r>
      <w:r w:rsidR="00BA605A">
        <w:rPr>
          <w:w w:val="103"/>
        </w:rPr>
        <w:t>mobilization</w:t>
      </w:r>
      <w:r w:rsidR="00BA605A">
        <w:t xml:space="preserve"> </w:t>
      </w:r>
      <w:r w:rsidR="00BA605A">
        <w:rPr>
          <w:w w:val="103"/>
        </w:rPr>
        <w:t>of</w:t>
      </w:r>
      <w:r w:rsidR="00BA605A">
        <w:t xml:space="preserve"> </w:t>
      </w:r>
      <w:r w:rsidR="00BA605A">
        <w:rPr>
          <w:w w:val="103"/>
        </w:rPr>
        <w:t>financial</w:t>
      </w:r>
      <w:r w:rsidR="00BA605A">
        <w:t xml:space="preserve"> </w:t>
      </w:r>
      <w:r w:rsidR="00BA605A">
        <w:rPr>
          <w:w w:val="103"/>
        </w:rPr>
        <w:t>resources</w:t>
      </w:r>
      <w:r w:rsidR="00BA605A">
        <w:t xml:space="preserve"> </w:t>
      </w:r>
      <w:r w:rsidR="00BA605A">
        <w:rPr>
          <w:w w:val="103"/>
        </w:rPr>
        <w:t>to</w:t>
      </w:r>
      <w:r w:rsidR="00BA605A">
        <w:t xml:space="preserve"> </w:t>
      </w:r>
      <w:r w:rsidR="00BA605A">
        <w:rPr>
          <w:w w:val="103"/>
        </w:rPr>
        <w:t>fund</w:t>
      </w:r>
      <w:r w:rsidR="00BA605A">
        <w:t xml:space="preserve"> </w:t>
      </w:r>
      <w:r w:rsidR="00BA605A">
        <w:rPr>
          <w:w w:val="103"/>
        </w:rPr>
        <w:t>concrete</w:t>
      </w:r>
      <w:r w:rsidR="00BA605A">
        <w:t xml:space="preserve"> </w:t>
      </w:r>
      <w:r w:rsidR="00BA605A">
        <w:rPr>
          <w:w w:val="103"/>
        </w:rPr>
        <w:t>adaptation</w:t>
      </w:r>
      <w:r w:rsidR="00BA605A">
        <w:t xml:space="preserve"> </w:t>
      </w:r>
      <w:r w:rsidR="00BA605A">
        <w:rPr>
          <w:w w:val="103"/>
        </w:rPr>
        <w:t>projects</w:t>
      </w:r>
      <w:r w:rsidR="00BA605A">
        <w:t xml:space="preserve"> </w:t>
      </w:r>
      <w:r w:rsidR="00BA605A">
        <w:rPr>
          <w:w w:val="103"/>
        </w:rPr>
        <w:t>and programmes</w:t>
      </w:r>
      <w:r w:rsidR="00BA605A">
        <w:t xml:space="preserve"> </w:t>
      </w:r>
      <w:r w:rsidR="00BA605A">
        <w:rPr>
          <w:w w:val="103"/>
        </w:rPr>
        <w:t>that</w:t>
      </w:r>
      <w:r w:rsidR="00BA605A">
        <w:t xml:space="preserve"> </w:t>
      </w:r>
      <w:r w:rsidR="00BA605A">
        <w:rPr>
          <w:w w:val="103"/>
        </w:rPr>
        <w:t>are</w:t>
      </w:r>
      <w:r w:rsidR="00BA605A">
        <w:t xml:space="preserve"> </w:t>
      </w:r>
      <w:r w:rsidR="00BA605A">
        <w:rPr>
          <w:w w:val="103"/>
        </w:rPr>
        <w:t>country driven</w:t>
      </w:r>
      <w:r w:rsidR="00BA605A">
        <w:t xml:space="preserve"> </w:t>
      </w:r>
      <w:r w:rsidR="00BA605A">
        <w:rPr>
          <w:w w:val="103"/>
        </w:rPr>
        <w:t>and</w:t>
      </w:r>
      <w:r w:rsidR="00BA605A">
        <w:t xml:space="preserve"> </w:t>
      </w:r>
      <w:r w:rsidR="00BA605A">
        <w:rPr>
          <w:w w:val="103"/>
        </w:rPr>
        <w:t>based</w:t>
      </w:r>
      <w:r w:rsidR="00BA605A">
        <w:t xml:space="preserve"> </w:t>
      </w:r>
      <w:r w:rsidR="00BA605A">
        <w:rPr>
          <w:w w:val="103"/>
        </w:rPr>
        <w:t>on</w:t>
      </w:r>
      <w:r w:rsidR="00BA605A">
        <w:t xml:space="preserve"> </w:t>
      </w:r>
      <w:r w:rsidR="00BA605A">
        <w:rPr>
          <w:w w:val="103"/>
        </w:rPr>
        <w:t>the</w:t>
      </w:r>
      <w:r w:rsidR="00BA605A">
        <w:t xml:space="preserve"> </w:t>
      </w:r>
      <w:r w:rsidR="00BA605A">
        <w:rPr>
          <w:w w:val="103"/>
        </w:rPr>
        <w:t>needs,</w:t>
      </w:r>
      <w:r w:rsidR="00BA605A">
        <w:t xml:space="preserve"> </w:t>
      </w:r>
      <w:r w:rsidR="00BA605A">
        <w:rPr>
          <w:w w:val="103"/>
        </w:rPr>
        <w:t>views</w:t>
      </w:r>
      <w:r w:rsidR="00BA605A">
        <w:t xml:space="preserve"> </w:t>
      </w:r>
      <w:r w:rsidR="00BA605A">
        <w:rPr>
          <w:w w:val="103"/>
        </w:rPr>
        <w:t>and</w:t>
      </w:r>
      <w:r w:rsidR="00BA605A">
        <w:t xml:space="preserve"> </w:t>
      </w:r>
      <w:r w:rsidR="00BA605A">
        <w:rPr>
          <w:w w:val="103"/>
        </w:rPr>
        <w:t>priorities</w:t>
      </w:r>
      <w:r w:rsidR="00BA605A">
        <w:t xml:space="preserve"> </w:t>
      </w:r>
      <w:r w:rsidR="00BA605A">
        <w:rPr>
          <w:w w:val="103"/>
        </w:rPr>
        <w:t>of developing</w:t>
      </w:r>
      <w:r w:rsidR="00BA605A">
        <w:t xml:space="preserve"> </w:t>
      </w:r>
      <w:r w:rsidR="00BA605A">
        <w:rPr>
          <w:w w:val="103"/>
        </w:rPr>
        <w:t>country</w:t>
      </w:r>
      <w:r w:rsidR="00BA605A">
        <w:t xml:space="preserve"> </w:t>
      </w:r>
      <w:r w:rsidR="00BA605A">
        <w:rPr>
          <w:w w:val="103"/>
        </w:rPr>
        <w:t>Parties;</w:t>
      </w:r>
    </w:p>
    <w:p w14:paraId="69F289CF" w14:textId="54F86007" w:rsidR="00BA605A" w:rsidRDefault="00D23317" w:rsidP="00D23317">
      <w:pPr>
        <w:pStyle w:val="RegSingleTxtG2"/>
        <w:numPr>
          <w:ilvl w:val="0"/>
          <w:numId w:val="0"/>
        </w:numPr>
        <w:tabs>
          <w:tab w:val="left" w:pos="720"/>
          <w:tab w:val="left" w:pos="1702"/>
        </w:tabs>
        <w:ind w:left="1134" w:firstLine="567"/>
      </w:pPr>
      <w:r>
        <w:rPr>
          <w:szCs w:val="28"/>
        </w:rPr>
        <w:t>(b)</w:t>
      </w:r>
      <w:r>
        <w:rPr>
          <w:szCs w:val="28"/>
        </w:rPr>
        <w:tab/>
      </w:r>
      <w:r w:rsidR="00BA605A">
        <w:t xml:space="preserve">Lessons </w:t>
      </w:r>
      <w:r w:rsidR="00BA605A">
        <w:rPr>
          <w:w w:val="103"/>
        </w:rPr>
        <w:t>learned</w:t>
      </w:r>
      <w:r w:rsidR="00BA605A">
        <w:t xml:space="preserve"> </w:t>
      </w:r>
      <w:r w:rsidR="00BA605A">
        <w:rPr>
          <w:w w:val="103"/>
        </w:rPr>
        <w:t>from:</w:t>
      </w:r>
    </w:p>
    <w:p w14:paraId="189DC143" w14:textId="13F5BA4A" w:rsidR="00BA605A" w:rsidRDefault="00D23317" w:rsidP="00D23317">
      <w:pPr>
        <w:pStyle w:val="RegSingleTxtG3"/>
        <w:numPr>
          <w:ilvl w:val="0"/>
          <w:numId w:val="0"/>
        </w:numPr>
        <w:ind w:left="1701"/>
      </w:pPr>
      <w:r>
        <w:t>(i)</w:t>
      </w:r>
      <w:r>
        <w:tab/>
      </w:r>
      <w:r w:rsidR="00BA605A">
        <w:rPr>
          <w:w w:val="103"/>
        </w:rPr>
        <w:t>The</w:t>
      </w:r>
      <w:r w:rsidR="00BA605A">
        <w:t xml:space="preserve"> application </w:t>
      </w:r>
      <w:r w:rsidR="00BA605A">
        <w:rPr>
          <w:w w:val="103"/>
        </w:rPr>
        <w:t>of</w:t>
      </w:r>
      <w:r w:rsidR="00BA605A">
        <w:t xml:space="preserve"> </w:t>
      </w:r>
      <w:r w:rsidR="00BA605A">
        <w:rPr>
          <w:w w:val="103"/>
        </w:rPr>
        <w:t>the</w:t>
      </w:r>
      <w:r w:rsidR="00BA605A">
        <w:t xml:space="preserve"> </w:t>
      </w:r>
      <w:r w:rsidR="00BA605A">
        <w:rPr>
          <w:w w:val="103"/>
        </w:rPr>
        <w:t>access</w:t>
      </w:r>
      <w:r w:rsidR="00BA605A">
        <w:t xml:space="preserve"> </w:t>
      </w:r>
      <w:r w:rsidR="00BA605A">
        <w:rPr>
          <w:w w:val="103"/>
        </w:rPr>
        <w:t>modalities</w:t>
      </w:r>
      <w:r w:rsidR="00BA605A">
        <w:t xml:space="preserve"> </w:t>
      </w:r>
      <w:r w:rsidR="00BA605A">
        <w:rPr>
          <w:w w:val="103"/>
        </w:rPr>
        <w:t>of</w:t>
      </w:r>
      <w:r w:rsidR="00BA605A">
        <w:t xml:space="preserve"> </w:t>
      </w:r>
      <w:r w:rsidR="00BA605A">
        <w:rPr>
          <w:w w:val="103"/>
        </w:rPr>
        <w:t>the</w:t>
      </w:r>
      <w:r w:rsidR="00BA605A">
        <w:t xml:space="preserve"> </w:t>
      </w:r>
      <w:r w:rsidR="00BA605A">
        <w:rPr>
          <w:w w:val="103"/>
        </w:rPr>
        <w:t>Adaptation</w:t>
      </w:r>
      <w:r w:rsidR="00BA605A">
        <w:t xml:space="preserve"> </w:t>
      </w:r>
      <w:r w:rsidR="00BA605A">
        <w:rPr>
          <w:w w:val="103"/>
        </w:rPr>
        <w:t>Fund,</w:t>
      </w:r>
      <w:r w:rsidR="00BA605A">
        <w:t xml:space="preserve"> </w:t>
      </w:r>
      <w:r w:rsidR="00BA605A">
        <w:rPr>
          <w:w w:val="103"/>
        </w:rPr>
        <w:t>including</w:t>
      </w:r>
      <w:r w:rsidR="00BA605A">
        <w:t xml:space="preserve"> </w:t>
      </w:r>
      <w:r w:rsidR="00BA605A">
        <w:rPr>
          <w:w w:val="103"/>
        </w:rPr>
        <w:t>its operational</w:t>
      </w:r>
      <w:r w:rsidR="00BA605A">
        <w:t xml:space="preserve"> </w:t>
      </w:r>
      <w:r w:rsidR="00BA605A">
        <w:rPr>
          <w:w w:val="103"/>
        </w:rPr>
        <w:t>policies</w:t>
      </w:r>
      <w:r w:rsidR="00BA605A">
        <w:t xml:space="preserve"> </w:t>
      </w:r>
      <w:r w:rsidR="00BA605A">
        <w:rPr>
          <w:w w:val="103"/>
        </w:rPr>
        <w:t>and</w:t>
      </w:r>
      <w:r w:rsidR="00BA605A">
        <w:t xml:space="preserve"> </w:t>
      </w:r>
      <w:r w:rsidR="00BA605A">
        <w:rPr>
          <w:w w:val="103"/>
        </w:rPr>
        <w:t>guidelines,</w:t>
      </w:r>
      <w:r w:rsidR="00BA605A">
        <w:t xml:space="preserve"> </w:t>
      </w:r>
      <w:r w:rsidR="00BA605A">
        <w:rPr>
          <w:w w:val="103"/>
        </w:rPr>
        <w:t>including</w:t>
      </w:r>
      <w:r w:rsidR="00BA605A">
        <w:t xml:space="preserve"> </w:t>
      </w:r>
      <w:r w:rsidR="00BA605A">
        <w:rPr>
          <w:w w:val="103"/>
        </w:rPr>
        <w:t>its</w:t>
      </w:r>
      <w:r w:rsidR="00BA605A">
        <w:t xml:space="preserve"> </w:t>
      </w:r>
      <w:r w:rsidR="00BA605A">
        <w:rPr>
          <w:w w:val="103"/>
        </w:rPr>
        <w:t>Streamlined</w:t>
      </w:r>
      <w:r w:rsidR="00BA605A">
        <w:t xml:space="preserve"> </w:t>
      </w:r>
      <w:r w:rsidR="00BA605A">
        <w:rPr>
          <w:w w:val="103"/>
        </w:rPr>
        <w:t>Accreditation</w:t>
      </w:r>
      <w:r w:rsidR="00BA605A">
        <w:t xml:space="preserve"> </w:t>
      </w:r>
      <w:r w:rsidR="00BA605A">
        <w:rPr>
          <w:w w:val="103"/>
        </w:rPr>
        <w:t>Process;</w:t>
      </w:r>
    </w:p>
    <w:p w14:paraId="770BF2DD" w14:textId="2EB5EA99" w:rsidR="00BA605A" w:rsidRDefault="00D23317" w:rsidP="00D23317">
      <w:pPr>
        <w:pStyle w:val="RegSingleTxtG3"/>
        <w:numPr>
          <w:ilvl w:val="0"/>
          <w:numId w:val="0"/>
        </w:numPr>
        <w:ind w:left="1701"/>
      </w:pPr>
      <w:r>
        <w:t>(ii)</w:t>
      </w:r>
      <w:r>
        <w:tab/>
      </w:r>
      <w:r w:rsidR="00BA605A">
        <w:rPr>
          <w:w w:val="103"/>
        </w:rPr>
        <w:t>The</w:t>
      </w:r>
      <w:r w:rsidR="00BA605A">
        <w:t xml:space="preserve"> project </w:t>
      </w:r>
      <w:r w:rsidR="00BA605A">
        <w:rPr>
          <w:w w:val="103"/>
        </w:rPr>
        <w:t>approval</w:t>
      </w:r>
      <w:r w:rsidR="00BA605A">
        <w:t xml:space="preserve"> </w:t>
      </w:r>
      <w:r w:rsidR="00BA605A">
        <w:rPr>
          <w:w w:val="103"/>
        </w:rPr>
        <w:t>procedures</w:t>
      </w:r>
      <w:r w:rsidR="00BA605A">
        <w:t xml:space="preserve"> </w:t>
      </w:r>
      <w:r w:rsidR="00BA605A">
        <w:rPr>
          <w:w w:val="103"/>
        </w:rPr>
        <w:t>of</w:t>
      </w:r>
      <w:r w:rsidR="00BA605A">
        <w:t xml:space="preserve"> </w:t>
      </w:r>
      <w:r w:rsidR="00BA605A">
        <w:rPr>
          <w:w w:val="103"/>
        </w:rPr>
        <w:t>the</w:t>
      </w:r>
      <w:r w:rsidR="00BA605A">
        <w:t xml:space="preserve"> </w:t>
      </w:r>
      <w:r w:rsidR="00BA605A">
        <w:rPr>
          <w:w w:val="103"/>
        </w:rPr>
        <w:t>Adaptation</w:t>
      </w:r>
      <w:r w:rsidR="00BA605A">
        <w:t xml:space="preserve"> </w:t>
      </w:r>
      <w:r w:rsidR="00BA605A">
        <w:rPr>
          <w:w w:val="103"/>
        </w:rPr>
        <w:t>Fund</w:t>
      </w:r>
      <w:r w:rsidR="00BA605A">
        <w:t xml:space="preserve"> </w:t>
      </w:r>
      <w:r w:rsidR="00BA605A">
        <w:rPr>
          <w:w w:val="103"/>
        </w:rPr>
        <w:t>and</w:t>
      </w:r>
      <w:r w:rsidR="00BA605A">
        <w:t xml:space="preserve"> </w:t>
      </w:r>
      <w:r w:rsidR="00BA605A">
        <w:rPr>
          <w:w w:val="103"/>
        </w:rPr>
        <w:t>timeliness</w:t>
      </w:r>
      <w:r w:rsidR="00BA605A">
        <w:t xml:space="preserve"> </w:t>
      </w:r>
      <w:r w:rsidR="00BA605A">
        <w:rPr>
          <w:w w:val="103"/>
        </w:rPr>
        <w:t>of disbursement</w:t>
      </w:r>
      <w:r w:rsidR="00BA605A">
        <w:t xml:space="preserve"> </w:t>
      </w:r>
      <w:r w:rsidR="00BA605A">
        <w:rPr>
          <w:w w:val="103"/>
        </w:rPr>
        <w:t>of</w:t>
      </w:r>
      <w:r w:rsidR="00BA605A">
        <w:t xml:space="preserve"> </w:t>
      </w:r>
      <w:r w:rsidR="00BA605A">
        <w:rPr>
          <w:w w:val="103"/>
        </w:rPr>
        <w:t>approved</w:t>
      </w:r>
      <w:r w:rsidR="00BA605A">
        <w:t xml:space="preserve"> </w:t>
      </w:r>
      <w:r w:rsidR="00BA605A">
        <w:rPr>
          <w:w w:val="103"/>
        </w:rPr>
        <w:t>adaptation</w:t>
      </w:r>
      <w:r w:rsidR="00BA605A">
        <w:t xml:space="preserve"> </w:t>
      </w:r>
      <w:r w:rsidR="00BA605A">
        <w:rPr>
          <w:w w:val="103"/>
        </w:rPr>
        <w:t>grants;</w:t>
      </w:r>
    </w:p>
    <w:p w14:paraId="20710C16" w14:textId="7B600BE9" w:rsidR="00BA605A" w:rsidRDefault="00D23317" w:rsidP="00D23317">
      <w:pPr>
        <w:pStyle w:val="RegSingleTxtG3"/>
        <w:numPr>
          <w:ilvl w:val="0"/>
          <w:numId w:val="0"/>
        </w:numPr>
        <w:ind w:left="1701"/>
      </w:pPr>
      <w:r>
        <w:t>(iii)</w:t>
      </w:r>
      <w:r>
        <w:tab/>
      </w:r>
      <w:r w:rsidR="00BA605A">
        <w:rPr>
          <w:w w:val="103"/>
        </w:rPr>
        <w:t>The</w:t>
      </w:r>
      <w:r w:rsidR="00BA605A">
        <w:t xml:space="preserve"> results </w:t>
      </w:r>
      <w:r w:rsidR="00BA605A">
        <w:rPr>
          <w:w w:val="103"/>
        </w:rPr>
        <w:t>and</w:t>
      </w:r>
      <w:r w:rsidR="00BA605A">
        <w:t xml:space="preserve"> </w:t>
      </w:r>
      <w:r w:rsidR="00BA605A">
        <w:rPr>
          <w:w w:val="103"/>
        </w:rPr>
        <w:t>impacts</w:t>
      </w:r>
      <w:r w:rsidR="00BA605A">
        <w:t xml:space="preserve"> </w:t>
      </w:r>
      <w:r w:rsidR="00BA605A">
        <w:rPr>
          <w:w w:val="103"/>
        </w:rPr>
        <w:t>of</w:t>
      </w:r>
      <w:r w:rsidR="00BA605A">
        <w:t xml:space="preserve"> </w:t>
      </w:r>
      <w:r w:rsidR="00BA605A">
        <w:rPr>
          <w:w w:val="103"/>
        </w:rPr>
        <w:t>approved</w:t>
      </w:r>
      <w:r w:rsidR="00BA605A">
        <w:t xml:space="preserve"> </w:t>
      </w:r>
      <w:r w:rsidR="00BA605A">
        <w:rPr>
          <w:w w:val="103"/>
        </w:rPr>
        <w:t>adaptation</w:t>
      </w:r>
      <w:r w:rsidR="00BA605A">
        <w:t xml:space="preserve"> </w:t>
      </w:r>
      <w:r w:rsidR="00BA605A">
        <w:rPr>
          <w:w w:val="103"/>
        </w:rPr>
        <w:t>projects</w:t>
      </w:r>
      <w:r w:rsidR="00BA605A">
        <w:t xml:space="preserve"> </w:t>
      </w:r>
      <w:r w:rsidR="00BA605A">
        <w:rPr>
          <w:w w:val="103"/>
        </w:rPr>
        <w:t>and</w:t>
      </w:r>
      <w:r w:rsidR="00BA605A">
        <w:t xml:space="preserve"> </w:t>
      </w:r>
      <w:r w:rsidR="00BA605A">
        <w:rPr>
          <w:w w:val="103"/>
        </w:rPr>
        <w:t>programmes;</w:t>
      </w:r>
    </w:p>
    <w:p w14:paraId="2BE96EF3" w14:textId="060B5246" w:rsidR="00BA605A" w:rsidRDefault="00D23317" w:rsidP="00D23317">
      <w:pPr>
        <w:pStyle w:val="RegSingleTxtG3"/>
        <w:numPr>
          <w:ilvl w:val="0"/>
          <w:numId w:val="0"/>
        </w:numPr>
        <w:ind w:left="1701"/>
      </w:pPr>
      <w:r>
        <w:t>(iv)</w:t>
      </w:r>
      <w:r>
        <w:tab/>
      </w:r>
      <w:r w:rsidR="00BA605A">
        <w:rPr>
          <w:w w:val="103"/>
        </w:rPr>
        <w:t>The</w:t>
      </w:r>
      <w:r w:rsidR="00BA605A">
        <w:t xml:space="preserve"> readiness </w:t>
      </w:r>
      <w:r w:rsidR="00BA605A">
        <w:rPr>
          <w:w w:val="103"/>
        </w:rPr>
        <w:t>programme</w:t>
      </w:r>
      <w:r w:rsidR="00BA605A">
        <w:t xml:space="preserve"> </w:t>
      </w:r>
      <w:r w:rsidR="00BA605A">
        <w:rPr>
          <w:w w:val="103"/>
        </w:rPr>
        <w:t>for</w:t>
      </w:r>
      <w:r w:rsidR="00BA605A">
        <w:t xml:space="preserve"> </w:t>
      </w:r>
      <w:r w:rsidR="00BA605A">
        <w:rPr>
          <w:w w:val="103"/>
        </w:rPr>
        <w:t>direct</w:t>
      </w:r>
      <w:r w:rsidR="00BA605A">
        <w:t xml:space="preserve"> </w:t>
      </w:r>
      <w:r w:rsidR="00BA605A">
        <w:rPr>
          <w:w w:val="103"/>
        </w:rPr>
        <w:t>access</w:t>
      </w:r>
      <w:r w:rsidR="00BA605A">
        <w:t xml:space="preserve"> </w:t>
      </w:r>
      <w:r w:rsidR="00BA605A">
        <w:rPr>
          <w:w w:val="103"/>
        </w:rPr>
        <w:t>to</w:t>
      </w:r>
      <w:r w:rsidR="00BA605A">
        <w:t xml:space="preserve"> </w:t>
      </w:r>
      <w:r w:rsidR="00BA605A">
        <w:rPr>
          <w:w w:val="103"/>
        </w:rPr>
        <w:t>climate</w:t>
      </w:r>
      <w:r w:rsidR="00BA605A">
        <w:t xml:space="preserve"> </w:t>
      </w:r>
      <w:r w:rsidR="00BA605A">
        <w:rPr>
          <w:w w:val="103"/>
        </w:rPr>
        <w:t>finance,</w:t>
      </w:r>
      <w:r w:rsidR="00BA605A">
        <w:t xml:space="preserve"> </w:t>
      </w:r>
      <w:r w:rsidR="00BA605A">
        <w:rPr>
          <w:w w:val="103"/>
        </w:rPr>
        <w:t>including lessons</w:t>
      </w:r>
      <w:r w:rsidR="00BA605A">
        <w:t xml:space="preserve"> </w:t>
      </w:r>
      <w:r w:rsidR="00BA605A">
        <w:rPr>
          <w:w w:val="103"/>
        </w:rPr>
        <w:t>learned</w:t>
      </w:r>
      <w:r w:rsidR="00BA605A">
        <w:t xml:space="preserve"> </w:t>
      </w:r>
      <w:r w:rsidR="00BA605A">
        <w:rPr>
          <w:w w:val="103"/>
        </w:rPr>
        <w:t>from</w:t>
      </w:r>
      <w:r w:rsidR="00BA605A">
        <w:t xml:space="preserve"> </w:t>
      </w:r>
      <w:r w:rsidR="00BA605A">
        <w:rPr>
          <w:w w:val="103"/>
        </w:rPr>
        <w:t>South–South</w:t>
      </w:r>
      <w:r w:rsidR="00BA605A">
        <w:t xml:space="preserve"> </w:t>
      </w:r>
      <w:r w:rsidR="00BA605A">
        <w:rPr>
          <w:w w:val="103"/>
        </w:rPr>
        <w:t>cooperation</w:t>
      </w:r>
      <w:r w:rsidR="00BA605A">
        <w:t xml:space="preserve"> </w:t>
      </w:r>
      <w:r w:rsidR="00BA605A">
        <w:rPr>
          <w:w w:val="103"/>
        </w:rPr>
        <w:t>and</w:t>
      </w:r>
      <w:r w:rsidR="00BA605A">
        <w:t xml:space="preserve"> </w:t>
      </w:r>
      <w:r w:rsidR="00BA605A">
        <w:rPr>
          <w:w w:val="103"/>
        </w:rPr>
        <w:t>enhanced</w:t>
      </w:r>
      <w:r w:rsidR="00BA605A">
        <w:t xml:space="preserve"> </w:t>
      </w:r>
      <w:r w:rsidR="00BA605A">
        <w:rPr>
          <w:w w:val="103"/>
        </w:rPr>
        <w:t>direct</w:t>
      </w:r>
      <w:r w:rsidR="00BA605A">
        <w:t xml:space="preserve"> </w:t>
      </w:r>
      <w:r w:rsidR="00BA605A">
        <w:rPr>
          <w:w w:val="103"/>
        </w:rPr>
        <w:t>access</w:t>
      </w:r>
      <w:r w:rsidR="00BA605A">
        <w:t xml:space="preserve"> g</w:t>
      </w:r>
      <w:r w:rsidR="00BA605A">
        <w:rPr>
          <w:w w:val="103"/>
        </w:rPr>
        <w:t>rants;</w:t>
      </w:r>
    </w:p>
    <w:p w14:paraId="35523AA4" w14:textId="3D3A70EF" w:rsidR="00BA605A" w:rsidRDefault="00D23317" w:rsidP="00D23317">
      <w:pPr>
        <w:pStyle w:val="RegSingleTxtG3"/>
        <w:numPr>
          <w:ilvl w:val="0"/>
          <w:numId w:val="0"/>
        </w:numPr>
        <w:ind w:left="1701"/>
      </w:pPr>
      <w:r>
        <w:t>(v)</w:t>
      </w:r>
      <w:r>
        <w:tab/>
      </w:r>
      <w:r w:rsidR="00BA605A">
        <w:rPr>
          <w:w w:val="103"/>
        </w:rPr>
        <w:t>The</w:t>
      </w:r>
      <w:r w:rsidR="00BA605A">
        <w:t xml:space="preserve"> programme </w:t>
      </w:r>
      <w:r w:rsidR="00BA605A">
        <w:rPr>
          <w:w w:val="103"/>
        </w:rPr>
        <w:t>for</w:t>
      </w:r>
      <w:r w:rsidR="00BA605A">
        <w:t xml:space="preserve"> </w:t>
      </w:r>
      <w:r w:rsidR="00BA605A">
        <w:rPr>
          <w:w w:val="103"/>
        </w:rPr>
        <w:t xml:space="preserve">regional projects; </w:t>
      </w:r>
    </w:p>
    <w:p w14:paraId="2EA081AB" w14:textId="75579D4C" w:rsidR="00BA605A" w:rsidRDefault="00D23317" w:rsidP="00D23317">
      <w:pPr>
        <w:pStyle w:val="RegSingleTxtG3"/>
        <w:numPr>
          <w:ilvl w:val="0"/>
          <w:numId w:val="0"/>
        </w:numPr>
        <w:ind w:left="1701"/>
      </w:pPr>
      <w:r>
        <w:t>(vi)</w:t>
      </w:r>
      <w:r>
        <w:tab/>
      </w:r>
      <w:r w:rsidR="00BA605A">
        <w:rPr>
          <w:w w:val="103"/>
        </w:rPr>
        <w:t>The</w:t>
      </w:r>
      <w:r w:rsidR="00BA605A">
        <w:t xml:space="preserve"> Innovation </w:t>
      </w:r>
      <w:r w:rsidR="00BA605A">
        <w:rPr>
          <w:w w:val="103"/>
        </w:rPr>
        <w:t>Facility;</w:t>
      </w:r>
    </w:p>
    <w:p w14:paraId="5E9B39A9" w14:textId="07DE4707" w:rsidR="00BA605A" w:rsidRDefault="00D23317" w:rsidP="00D23317">
      <w:pPr>
        <w:pStyle w:val="RegSingleTxtG2"/>
        <w:numPr>
          <w:ilvl w:val="0"/>
          <w:numId w:val="0"/>
        </w:numPr>
        <w:tabs>
          <w:tab w:val="left" w:pos="720"/>
          <w:tab w:val="left" w:pos="1702"/>
        </w:tabs>
        <w:ind w:left="1134" w:firstLine="567"/>
      </w:pPr>
      <w:r>
        <w:rPr>
          <w:szCs w:val="28"/>
        </w:rPr>
        <w:t>(c)</w:t>
      </w:r>
      <w:r>
        <w:rPr>
          <w:szCs w:val="28"/>
        </w:rPr>
        <w:tab/>
      </w:r>
      <w:r w:rsidR="00BA605A">
        <w:t xml:space="preserve">Programming </w:t>
      </w:r>
      <w:r w:rsidR="00BA605A">
        <w:rPr>
          <w:w w:val="103"/>
        </w:rPr>
        <w:t>and</w:t>
      </w:r>
      <w:r w:rsidR="00BA605A">
        <w:t xml:space="preserve"> </w:t>
      </w:r>
      <w:r w:rsidR="00BA605A">
        <w:rPr>
          <w:w w:val="103"/>
        </w:rPr>
        <w:t>project</w:t>
      </w:r>
      <w:r w:rsidR="00BA605A">
        <w:t xml:space="preserve"> </w:t>
      </w:r>
      <w:r w:rsidR="00BA605A">
        <w:rPr>
          <w:w w:val="103"/>
        </w:rPr>
        <w:t>coherence</w:t>
      </w:r>
      <w:r w:rsidR="00BA605A">
        <w:t xml:space="preserve"> </w:t>
      </w:r>
      <w:r w:rsidR="00BA605A">
        <w:rPr>
          <w:w w:val="103"/>
        </w:rPr>
        <w:t>and</w:t>
      </w:r>
      <w:r w:rsidR="00BA605A">
        <w:t xml:space="preserve"> </w:t>
      </w:r>
      <w:r w:rsidR="00BA605A">
        <w:rPr>
          <w:w w:val="103"/>
        </w:rPr>
        <w:t>complementarity</w:t>
      </w:r>
      <w:r w:rsidR="00BA605A">
        <w:t xml:space="preserve"> </w:t>
      </w:r>
      <w:r w:rsidR="00BA605A">
        <w:rPr>
          <w:w w:val="103"/>
        </w:rPr>
        <w:t>between</w:t>
      </w:r>
      <w:r w:rsidR="00BA605A">
        <w:t xml:space="preserve"> </w:t>
      </w:r>
      <w:r w:rsidR="00BA605A">
        <w:rPr>
          <w:w w:val="103"/>
        </w:rPr>
        <w:t>the Adaptation</w:t>
      </w:r>
      <w:r w:rsidR="00BA605A">
        <w:t xml:space="preserve"> </w:t>
      </w:r>
      <w:r w:rsidR="00BA605A">
        <w:rPr>
          <w:w w:val="103"/>
        </w:rPr>
        <w:t>Fund</w:t>
      </w:r>
      <w:r w:rsidR="00BA605A">
        <w:t xml:space="preserve"> </w:t>
      </w:r>
      <w:r w:rsidR="00BA605A">
        <w:rPr>
          <w:w w:val="103"/>
        </w:rPr>
        <w:t>and</w:t>
      </w:r>
      <w:r w:rsidR="00BA605A">
        <w:t xml:space="preserve"> </w:t>
      </w:r>
      <w:r w:rsidR="00BA605A">
        <w:rPr>
          <w:w w:val="103"/>
        </w:rPr>
        <w:t>other</w:t>
      </w:r>
      <w:r w:rsidR="00BA605A">
        <w:t xml:space="preserve"> </w:t>
      </w:r>
      <w:r w:rsidR="00BA605A">
        <w:rPr>
          <w:w w:val="103"/>
        </w:rPr>
        <w:t>institutions</w:t>
      </w:r>
      <w:r w:rsidR="00BA605A">
        <w:t xml:space="preserve"> </w:t>
      </w:r>
      <w:r w:rsidR="00BA605A">
        <w:rPr>
          <w:w w:val="103"/>
        </w:rPr>
        <w:t>funding</w:t>
      </w:r>
      <w:r w:rsidR="00BA605A">
        <w:t xml:space="preserve"> </w:t>
      </w:r>
      <w:r w:rsidR="00BA605A">
        <w:rPr>
          <w:w w:val="103"/>
        </w:rPr>
        <w:t>adaptation</w:t>
      </w:r>
      <w:r w:rsidR="00BA605A">
        <w:t xml:space="preserve"> </w:t>
      </w:r>
      <w:r w:rsidR="00BA605A">
        <w:rPr>
          <w:w w:val="103"/>
        </w:rPr>
        <w:t>projects</w:t>
      </w:r>
      <w:r w:rsidR="00BA605A">
        <w:t xml:space="preserve"> </w:t>
      </w:r>
      <w:r w:rsidR="00BA605A">
        <w:rPr>
          <w:w w:val="103"/>
        </w:rPr>
        <w:t>and</w:t>
      </w:r>
      <w:r w:rsidR="00BA605A">
        <w:t xml:space="preserve"> </w:t>
      </w:r>
      <w:r w:rsidR="00BA605A">
        <w:rPr>
          <w:w w:val="103"/>
        </w:rPr>
        <w:t>programmes,</w:t>
      </w:r>
      <w:r w:rsidR="00BA605A">
        <w:t xml:space="preserve"> </w:t>
      </w:r>
      <w:r w:rsidR="00BA605A">
        <w:rPr>
          <w:w w:val="103"/>
        </w:rPr>
        <w:t>in particular</w:t>
      </w:r>
      <w:r w:rsidR="00BA605A">
        <w:t xml:space="preserve"> </w:t>
      </w:r>
      <w:r w:rsidR="00BA605A">
        <w:rPr>
          <w:w w:val="103"/>
        </w:rPr>
        <w:t>institutions</w:t>
      </w:r>
      <w:r w:rsidR="00BA605A">
        <w:t xml:space="preserve"> </w:t>
      </w:r>
      <w:r w:rsidR="00BA605A">
        <w:rPr>
          <w:w w:val="103"/>
        </w:rPr>
        <w:t>under</w:t>
      </w:r>
      <w:r w:rsidR="00BA605A">
        <w:t xml:space="preserve"> </w:t>
      </w:r>
      <w:r w:rsidR="00BA605A">
        <w:rPr>
          <w:w w:val="103"/>
        </w:rPr>
        <w:t>the</w:t>
      </w:r>
      <w:r w:rsidR="00BA605A">
        <w:t xml:space="preserve"> </w:t>
      </w:r>
      <w:r w:rsidR="00BA605A">
        <w:rPr>
          <w:w w:val="103"/>
        </w:rPr>
        <w:t>Convention</w:t>
      </w:r>
      <w:r w:rsidR="00BA605A">
        <w:t xml:space="preserve"> </w:t>
      </w:r>
      <w:r w:rsidR="00BA605A">
        <w:rPr>
          <w:w w:val="103"/>
        </w:rPr>
        <w:t>and</w:t>
      </w:r>
      <w:r w:rsidR="00BA605A">
        <w:t xml:space="preserve"> </w:t>
      </w:r>
      <w:r w:rsidR="00BA605A">
        <w:rPr>
          <w:w w:val="103"/>
        </w:rPr>
        <w:t>the</w:t>
      </w:r>
      <w:r w:rsidR="00BA605A">
        <w:t xml:space="preserve"> </w:t>
      </w:r>
      <w:r w:rsidR="00BA605A">
        <w:rPr>
          <w:w w:val="103"/>
        </w:rPr>
        <w:t>operating</w:t>
      </w:r>
      <w:r w:rsidR="00BA605A">
        <w:t xml:space="preserve"> </w:t>
      </w:r>
      <w:r w:rsidR="00BA605A">
        <w:rPr>
          <w:w w:val="103"/>
        </w:rPr>
        <w:t>entities</w:t>
      </w:r>
      <w:r w:rsidR="00BA605A">
        <w:t xml:space="preserve"> </w:t>
      </w:r>
      <w:r w:rsidR="00BA605A">
        <w:rPr>
          <w:w w:val="103"/>
        </w:rPr>
        <w:t>of</w:t>
      </w:r>
      <w:r w:rsidR="00BA605A">
        <w:t xml:space="preserve"> </w:t>
      </w:r>
      <w:r w:rsidR="00BA605A">
        <w:rPr>
          <w:w w:val="103"/>
        </w:rPr>
        <w:t>the</w:t>
      </w:r>
      <w:r w:rsidR="00BA605A">
        <w:t xml:space="preserve"> </w:t>
      </w:r>
      <w:r w:rsidR="00BA605A">
        <w:rPr>
          <w:w w:val="103"/>
        </w:rPr>
        <w:t>Financial Mechanism</w:t>
      </w:r>
      <w:r w:rsidR="00BA605A">
        <w:t xml:space="preserve"> </w:t>
      </w:r>
      <w:r w:rsidR="00BA605A">
        <w:rPr>
          <w:w w:val="103"/>
        </w:rPr>
        <w:t>and</w:t>
      </w:r>
      <w:r w:rsidR="00BA605A">
        <w:t xml:space="preserve"> </w:t>
      </w:r>
      <w:r w:rsidR="00BA605A">
        <w:rPr>
          <w:w w:val="103"/>
        </w:rPr>
        <w:t>its</w:t>
      </w:r>
      <w:r w:rsidR="00BA605A">
        <w:t xml:space="preserve"> </w:t>
      </w:r>
      <w:r w:rsidR="00BA605A">
        <w:rPr>
          <w:w w:val="103"/>
        </w:rPr>
        <w:t>specialized</w:t>
      </w:r>
      <w:r w:rsidR="00BA605A">
        <w:t xml:space="preserve"> </w:t>
      </w:r>
      <w:r w:rsidR="00BA605A">
        <w:rPr>
          <w:w w:val="103"/>
        </w:rPr>
        <w:t>funds;</w:t>
      </w:r>
    </w:p>
    <w:p w14:paraId="03FFFF9C" w14:textId="1FD34A83" w:rsidR="00BA605A" w:rsidRDefault="00D23317" w:rsidP="00D23317">
      <w:pPr>
        <w:pStyle w:val="RegSingleTxtG2"/>
        <w:numPr>
          <w:ilvl w:val="0"/>
          <w:numId w:val="0"/>
        </w:numPr>
        <w:tabs>
          <w:tab w:val="left" w:pos="720"/>
          <w:tab w:val="left" w:pos="1702"/>
        </w:tabs>
        <w:ind w:left="1134" w:firstLine="567"/>
      </w:pPr>
      <w:r>
        <w:rPr>
          <w:szCs w:val="28"/>
        </w:rPr>
        <w:t>(d)</w:t>
      </w:r>
      <w:r>
        <w:rPr>
          <w:szCs w:val="28"/>
        </w:rPr>
        <w:tab/>
      </w:r>
      <w:r w:rsidR="00BA605A">
        <w:rPr>
          <w:w w:val="103"/>
        </w:rPr>
        <w:t>The</w:t>
      </w:r>
      <w:r w:rsidR="00BA605A">
        <w:t xml:space="preserve"> institutional </w:t>
      </w:r>
      <w:r w:rsidR="00BA605A">
        <w:rPr>
          <w:w w:val="103"/>
        </w:rPr>
        <w:t>arrangements</w:t>
      </w:r>
      <w:r w:rsidR="00BA605A">
        <w:t xml:space="preserve"> </w:t>
      </w:r>
      <w:r w:rsidR="00BA605A">
        <w:rPr>
          <w:w w:val="103"/>
        </w:rPr>
        <w:t>for</w:t>
      </w:r>
      <w:r w:rsidR="00BA605A">
        <w:t xml:space="preserve"> </w:t>
      </w:r>
      <w:r w:rsidR="00BA605A">
        <w:rPr>
          <w:w w:val="103"/>
        </w:rPr>
        <w:t>the</w:t>
      </w:r>
      <w:r w:rsidR="00BA605A">
        <w:t xml:space="preserve"> </w:t>
      </w:r>
      <w:r w:rsidR="00BA605A">
        <w:rPr>
          <w:w w:val="103"/>
        </w:rPr>
        <w:t>Adaptation</w:t>
      </w:r>
      <w:r w:rsidR="00BA605A">
        <w:t xml:space="preserve"> </w:t>
      </w:r>
      <w:r w:rsidR="00BA605A">
        <w:rPr>
          <w:w w:val="103"/>
        </w:rPr>
        <w:t>Fund,</w:t>
      </w:r>
      <w:r w:rsidR="00BA605A">
        <w:t xml:space="preserve"> </w:t>
      </w:r>
      <w:r w:rsidR="00BA605A">
        <w:rPr>
          <w:w w:val="103"/>
        </w:rPr>
        <w:t>in</w:t>
      </w:r>
      <w:r w:rsidR="00BA605A">
        <w:t xml:space="preserve"> </w:t>
      </w:r>
      <w:r w:rsidR="00BA605A">
        <w:rPr>
          <w:w w:val="103"/>
        </w:rPr>
        <w:t>particular</w:t>
      </w:r>
      <w:r w:rsidR="00BA605A">
        <w:t xml:space="preserve"> </w:t>
      </w:r>
      <w:r w:rsidR="00BA605A">
        <w:rPr>
          <w:w w:val="103"/>
        </w:rPr>
        <w:t>the arrangements</w:t>
      </w:r>
      <w:r w:rsidR="00BA605A">
        <w:t xml:space="preserve"> </w:t>
      </w:r>
      <w:r w:rsidR="00BA605A">
        <w:rPr>
          <w:w w:val="103"/>
        </w:rPr>
        <w:t>with</w:t>
      </w:r>
      <w:r w:rsidR="00BA605A">
        <w:t xml:space="preserve"> </w:t>
      </w:r>
      <w:r w:rsidR="00BA605A">
        <w:rPr>
          <w:w w:val="103"/>
        </w:rPr>
        <w:t>the</w:t>
      </w:r>
      <w:r w:rsidR="00BA605A">
        <w:t xml:space="preserve"> </w:t>
      </w:r>
      <w:r w:rsidR="00BA605A">
        <w:rPr>
          <w:w w:val="103"/>
        </w:rPr>
        <w:t>interim</w:t>
      </w:r>
      <w:r w:rsidR="00BA605A">
        <w:t xml:space="preserve"> </w:t>
      </w:r>
      <w:r w:rsidR="00BA605A">
        <w:rPr>
          <w:w w:val="103"/>
        </w:rPr>
        <w:t>secretariat</w:t>
      </w:r>
      <w:r w:rsidR="00BA605A">
        <w:t xml:space="preserve"> </w:t>
      </w:r>
      <w:r w:rsidR="00BA605A">
        <w:rPr>
          <w:w w:val="103"/>
        </w:rPr>
        <w:t>and</w:t>
      </w:r>
      <w:r w:rsidR="00BA605A">
        <w:t xml:space="preserve"> </w:t>
      </w:r>
      <w:r w:rsidR="00BA605A">
        <w:rPr>
          <w:w w:val="103"/>
        </w:rPr>
        <w:t>the</w:t>
      </w:r>
      <w:r w:rsidR="00BA605A">
        <w:t xml:space="preserve"> </w:t>
      </w:r>
      <w:r w:rsidR="00BA605A">
        <w:rPr>
          <w:w w:val="103"/>
        </w:rPr>
        <w:t>interim</w:t>
      </w:r>
      <w:r w:rsidR="00BA605A">
        <w:t xml:space="preserve"> </w:t>
      </w:r>
      <w:r w:rsidR="00BA605A">
        <w:rPr>
          <w:w w:val="103"/>
        </w:rPr>
        <w:t>trustee.</w:t>
      </w:r>
    </w:p>
    <w:p w14:paraId="0EFDB6C7" w14:textId="13397F3F" w:rsidR="00BA605A" w:rsidRDefault="00D23317" w:rsidP="00D23317">
      <w:pPr>
        <w:pStyle w:val="RegHChG"/>
        <w:numPr>
          <w:ilvl w:val="0"/>
          <w:numId w:val="0"/>
        </w:numPr>
        <w:tabs>
          <w:tab w:val="left" w:pos="1135"/>
        </w:tabs>
        <w:ind w:left="1135" w:hanging="454"/>
        <w:rPr>
          <w:b w:val="0"/>
        </w:rPr>
      </w:pPr>
      <w:r>
        <w:t>III.</w:t>
      </w:r>
      <w:r>
        <w:tab/>
      </w:r>
      <w:r w:rsidR="00BA605A">
        <w:rPr>
          <w:w w:val="101"/>
        </w:rPr>
        <w:t>Sources</w:t>
      </w:r>
      <w:r w:rsidR="00BA605A">
        <w:t xml:space="preserve"> of information</w:t>
      </w:r>
    </w:p>
    <w:p w14:paraId="36599F20" w14:textId="0FC8538A" w:rsidR="00BA605A" w:rsidRDefault="00D23317" w:rsidP="00D23317">
      <w:pPr>
        <w:pStyle w:val="RegSingleTxtG"/>
        <w:numPr>
          <w:ilvl w:val="0"/>
          <w:numId w:val="0"/>
        </w:numPr>
        <w:ind w:left="1134"/>
      </w:pPr>
      <w:r>
        <w:t>3.</w:t>
      </w:r>
      <w:r>
        <w:tab/>
      </w:r>
      <w:r w:rsidR="00BA605A">
        <w:rPr>
          <w:w w:val="103"/>
        </w:rPr>
        <w:t>The</w:t>
      </w:r>
      <w:r w:rsidR="00BA605A">
        <w:t xml:space="preserve"> </w:t>
      </w:r>
      <w:r w:rsidR="00BA605A">
        <w:rPr>
          <w:w w:val="103"/>
        </w:rPr>
        <w:t>review</w:t>
      </w:r>
      <w:r w:rsidR="00BA605A">
        <w:t xml:space="preserve"> </w:t>
      </w:r>
      <w:r w:rsidR="00BA605A">
        <w:rPr>
          <w:w w:val="103"/>
        </w:rPr>
        <w:t>shall</w:t>
      </w:r>
      <w:r w:rsidR="00BA605A">
        <w:t xml:space="preserve"> </w:t>
      </w:r>
      <w:r w:rsidR="00BA605A">
        <w:rPr>
          <w:w w:val="103"/>
        </w:rPr>
        <w:t>draw</w:t>
      </w:r>
      <w:r w:rsidR="00BA605A">
        <w:t xml:space="preserve"> </w:t>
      </w:r>
      <w:r w:rsidR="00BA605A">
        <w:rPr>
          <w:w w:val="103"/>
        </w:rPr>
        <w:t>upon,</w:t>
      </w:r>
      <w:r w:rsidR="00BA605A">
        <w:t xml:space="preserve"> </w:t>
      </w:r>
      <w:r w:rsidR="00BA605A">
        <w:rPr>
          <w:w w:val="103"/>
        </w:rPr>
        <w:t>inter</w:t>
      </w:r>
      <w:r w:rsidR="00BA605A">
        <w:t xml:space="preserve"> </w:t>
      </w:r>
      <w:r w:rsidR="00BA605A">
        <w:rPr>
          <w:w w:val="103"/>
        </w:rPr>
        <w:t>alia,</w:t>
      </w:r>
      <w:r w:rsidR="00BA605A">
        <w:t xml:space="preserve"> </w:t>
      </w:r>
      <w:r w:rsidR="00BA605A">
        <w:rPr>
          <w:w w:val="103"/>
        </w:rPr>
        <w:t>the</w:t>
      </w:r>
      <w:r w:rsidR="00BA605A">
        <w:t xml:space="preserve"> </w:t>
      </w:r>
      <w:r w:rsidR="00BA605A">
        <w:rPr>
          <w:w w:val="103"/>
        </w:rPr>
        <w:t>following</w:t>
      </w:r>
      <w:r w:rsidR="00BA605A">
        <w:t xml:space="preserve"> </w:t>
      </w:r>
      <w:r w:rsidR="00BA605A">
        <w:rPr>
          <w:w w:val="103"/>
        </w:rPr>
        <w:t>sources</w:t>
      </w:r>
      <w:r w:rsidR="00BA605A">
        <w:t xml:space="preserve"> </w:t>
      </w:r>
      <w:r w:rsidR="00BA605A">
        <w:rPr>
          <w:w w:val="103"/>
        </w:rPr>
        <w:t>of</w:t>
      </w:r>
      <w:r w:rsidR="00BA605A">
        <w:t xml:space="preserve"> </w:t>
      </w:r>
      <w:r w:rsidR="00BA605A">
        <w:rPr>
          <w:w w:val="103"/>
        </w:rPr>
        <w:t>information:</w:t>
      </w:r>
    </w:p>
    <w:p w14:paraId="273A5642" w14:textId="084D126B" w:rsidR="00BA605A" w:rsidRDefault="00D23317" w:rsidP="00D23317">
      <w:pPr>
        <w:pStyle w:val="RegSingleTxtG2"/>
        <w:numPr>
          <w:ilvl w:val="0"/>
          <w:numId w:val="0"/>
        </w:numPr>
        <w:tabs>
          <w:tab w:val="left" w:pos="720"/>
          <w:tab w:val="left" w:pos="1702"/>
        </w:tabs>
        <w:ind w:left="1134" w:firstLine="567"/>
      </w:pPr>
      <w:r>
        <w:rPr>
          <w:szCs w:val="28"/>
        </w:rPr>
        <w:t>(a)</w:t>
      </w:r>
      <w:r>
        <w:rPr>
          <w:szCs w:val="28"/>
        </w:rPr>
        <w:tab/>
      </w:r>
      <w:r w:rsidR="00BA605A">
        <w:t xml:space="preserve">Submissions </w:t>
      </w:r>
      <w:r w:rsidR="00BA605A">
        <w:rPr>
          <w:w w:val="103"/>
        </w:rPr>
        <w:t>from</w:t>
      </w:r>
      <w:r w:rsidR="00BA605A">
        <w:t xml:space="preserve"> </w:t>
      </w:r>
      <w:r w:rsidR="00BA605A">
        <w:rPr>
          <w:w w:val="103"/>
        </w:rPr>
        <w:t>Parties</w:t>
      </w:r>
      <w:r w:rsidR="00BA605A">
        <w:t xml:space="preserve"> </w:t>
      </w:r>
      <w:r w:rsidR="00BA605A">
        <w:rPr>
          <w:w w:val="103"/>
        </w:rPr>
        <w:t>to</w:t>
      </w:r>
      <w:r w:rsidR="00BA605A">
        <w:t xml:space="preserve"> </w:t>
      </w:r>
      <w:r w:rsidR="00BA605A">
        <w:rPr>
          <w:w w:val="103"/>
        </w:rPr>
        <w:t>the</w:t>
      </w:r>
      <w:r w:rsidR="00BA605A">
        <w:t xml:space="preserve"> </w:t>
      </w:r>
      <w:r w:rsidR="00BA605A">
        <w:rPr>
          <w:w w:val="103"/>
        </w:rPr>
        <w:t>Kyoto</w:t>
      </w:r>
      <w:r w:rsidR="00BA605A">
        <w:t xml:space="preserve"> </w:t>
      </w:r>
      <w:r w:rsidR="00BA605A">
        <w:rPr>
          <w:w w:val="103"/>
        </w:rPr>
        <w:t>Protocol,</w:t>
      </w:r>
      <w:r w:rsidR="00BA605A">
        <w:t xml:space="preserve"> </w:t>
      </w:r>
      <w:r w:rsidR="00BA605A">
        <w:rPr>
          <w:w w:val="103"/>
        </w:rPr>
        <w:t>Parties</w:t>
      </w:r>
      <w:r w:rsidR="00BA605A">
        <w:t xml:space="preserve"> </w:t>
      </w:r>
      <w:r w:rsidR="00BA605A">
        <w:rPr>
          <w:w w:val="103"/>
        </w:rPr>
        <w:t>to</w:t>
      </w:r>
      <w:r w:rsidR="00BA605A">
        <w:t xml:space="preserve"> </w:t>
      </w:r>
      <w:r w:rsidR="00BA605A">
        <w:rPr>
          <w:w w:val="103"/>
        </w:rPr>
        <w:t>the</w:t>
      </w:r>
      <w:r w:rsidR="00BA605A">
        <w:t xml:space="preserve"> </w:t>
      </w:r>
      <w:r w:rsidR="00BA605A">
        <w:rPr>
          <w:w w:val="103"/>
        </w:rPr>
        <w:t>Paris Agreement,</w:t>
      </w:r>
      <w:r w:rsidR="00BA605A">
        <w:t xml:space="preserve"> </w:t>
      </w:r>
      <w:r w:rsidR="00BA605A">
        <w:rPr>
          <w:w w:val="103"/>
        </w:rPr>
        <w:t>observer</w:t>
      </w:r>
      <w:r w:rsidR="00BA605A">
        <w:t xml:space="preserve"> </w:t>
      </w:r>
      <w:r w:rsidR="00BA605A">
        <w:rPr>
          <w:w w:val="103"/>
        </w:rPr>
        <w:t>organizations,</w:t>
      </w:r>
      <w:r w:rsidR="00BA605A">
        <w:t xml:space="preserve"> </w:t>
      </w:r>
      <w:r w:rsidR="00BA605A">
        <w:rPr>
          <w:w w:val="103"/>
        </w:rPr>
        <w:t>other</w:t>
      </w:r>
      <w:r w:rsidR="00BA605A">
        <w:t xml:space="preserve"> </w:t>
      </w:r>
      <w:r w:rsidR="00BA605A">
        <w:rPr>
          <w:w w:val="103"/>
        </w:rPr>
        <w:t>interested</w:t>
      </w:r>
      <w:r w:rsidR="00BA605A">
        <w:t xml:space="preserve"> </w:t>
      </w:r>
      <w:r w:rsidR="00BA605A">
        <w:rPr>
          <w:w w:val="103"/>
        </w:rPr>
        <w:t>international</w:t>
      </w:r>
      <w:r w:rsidR="00BA605A">
        <w:t xml:space="preserve"> </w:t>
      </w:r>
      <w:r w:rsidR="00BA605A">
        <w:rPr>
          <w:w w:val="103"/>
        </w:rPr>
        <w:t>organizations, stakeholders</w:t>
      </w:r>
      <w:r w:rsidR="00BA605A">
        <w:t xml:space="preserve"> </w:t>
      </w:r>
      <w:r w:rsidR="00BA605A">
        <w:rPr>
          <w:w w:val="103"/>
        </w:rPr>
        <w:t>and</w:t>
      </w:r>
      <w:r w:rsidR="00BA605A">
        <w:t xml:space="preserve"> </w:t>
      </w:r>
      <w:r w:rsidR="00BA605A">
        <w:rPr>
          <w:w w:val="103"/>
        </w:rPr>
        <w:t>non-governmental</w:t>
      </w:r>
      <w:r w:rsidR="00BA605A">
        <w:t xml:space="preserve"> </w:t>
      </w:r>
      <w:r w:rsidR="00BA605A">
        <w:rPr>
          <w:w w:val="103"/>
        </w:rPr>
        <w:t>organizations</w:t>
      </w:r>
      <w:r w:rsidR="00BA605A">
        <w:t xml:space="preserve"> </w:t>
      </w:r>
      <w:r w:rsidR="00BA605A">
        <w:rPr>
          <w:w w:val="103"/>
        </w:rPr>
        <w:t>involved</w:t>
      </w:r>
      <w:r w:rsidR="00BA605A">
        <w:t xml:space="preserve"> </w:t>
      </w:r>
      <w:r w:rsidR="00BA605A">
        <w:rPr>
          <w:w w:val="103"/>
        </w:rPr>
        <w:t>in</w:t>
      </w:r>
      <w:r w:rsidR="00BA605A">
        <w:t xml:space="preserve"> </w:t>
      </w:r>
      <w:r w:rsidR="00BA605A">
        <w:rPr>
          <w:w w:val="103"/>
        </w:rPr>
        <w:t>the</w:t>
      </w:r>
      <w:r w:rsidR="00BA605A">
        <w:t xml:space="preserve"> </w:t>
      </w:r>
      <w:r w:rsidR="00BA605A">
        <w:rPr>
          <w:w w:val="103"/>
        </w:rPr>
        <w:t>activities</w:t>
      </w:r>
      <w:r w:rsidR="00BA605A">
        <w:t xml:space="preserve"> </w:t>
      </w:r>
      <w:r w:rsidR="00BA605A">
        <w:rPr>
          <w:w w:val="103"/>
        </w:rPr>
        <w:t>of</w:t>
      </w:r>
      <w:r w:rsidR="00BA605A">
        <w:t xml:space="preserve"> </w:t>
      </w:r>
      <w:r w:rsidR="00BA605A">
        <w:rPr>
          <w:w w:val="103"/>
        </w:rPr>
        <w:t>the</w:t>
      </w:r>
      <w:r w:rsidR="00BA605A">
        <w:t xml:space="preserve"> </w:t>
      </w:r>
      <w:r w:rsidR="00BA605A">
        <w:rPr>
          <w:w w:val="103"/>
        </w:rPr>
        <w:t>Adaptation Fund,</w:t>
      </w:r>
      <w:r w:rsidR="00BA605A">
        <w:t xml:space="preserve"> </w:t>
      </w:r>
      <w:r w:rsidR="00BA605A">
        <w:rPr>
          <w:w w:val="103"/>
        </w:rPr>
        <w:t>as</w:t>
      </w:r>
      <w:r w:rsidR="00BA605A">
        <w:t xml:space="preserve"> </w:t>
      </w:r>
      <w:r w:rsidR="00BA605A">
        <w:rPr>
          <w:w w:val="103"/>
        </w:rPr>
        <w:t>well</w:t>
      </w:r>
      <w:r w:rsidR="00BA605A">
        <w:t xml:space="preserve"> </w:t>
      </w:r>
      <w:r w:rsidR="00BA605A">
        <w:rPr>
          <w:w w:val="103"/>
        </w:rPr>
        <w:t>as</w:t>
      </w:r>
      <w:r w:rsidR="00BA605A">
        <w:t xml:space="preserve"> </w:t>
      </w:r>
      <w:r w:rsidR="00BA605A">
        <w:rPr>
          <w:w w:val="103"/>
        </w:rPr>
        <w:t>implementing</w:t>
      </w:r>
      <w:r w:rsidR="00BA605A">
        <w:t xml:space="preserve"> </w:t>
      </w:r>
      <w:r w:rsidR="00BA605A">
        <w:rPr>
          <w:w w:val="103"/>
        </w:rPr>
        <w:t>entities</w:t>
      </w:r>
      <w:r w:rsidR="00BA605A">
        <w:t xml:space="preserve"> </w:t>
      </w:r>
      <w:r w:rsidR="00BA605A">
        <w:rPr>
          <w:w w:val="103"/>
        </w:rPr>
        <w:t>accredited</w:t>
      </w:r>
      <w:r w:rsidR="00BA605A">
        <w:t xml:space="preserve"> </w:t>
      </w:r>
      <w:r w:rsidR="00BA605A">
        <w:rPr>
          <w:w w:val="103"/>
        </w:rPr>
        <w:t>by</w:t>
      </w:r>
      <w:r w:rsidR="00BA605A">
        <w:t xml:space="preserve"> </w:t>
      </w:r>
      <w:r w:rsidR="00BA605A">
        <w:rPr>
          <w:w w:val="103"/>
        </w:rPr>
        <w:t>the</w:t>
      </w:r>
      <w:r w:rsidR="00BA605A">
        <w:t xml:space="preserve"> </w:t>
      </w:r>
      <w:r w:rsidR="00BA605A">
        <w:rPr>
          <w:w w:val="103"/>
        </w:rPr>
        <w:t>Adaptation</w:t>
      </w:r>
      <w:r w:rsidR="00BA605A">
        <w:t xml:space="preserve"> </w:t>
      </w:r>
      <w:r w:rsidR="00BA605A">
        <w:rPr>
          <w:w w:val="103"/>
        </w:rPr>
        <w:t>Fund</w:t>
      </w:r>
      <w:r w:rsidR="00BA605A">
        <w:t xml:space="preserve"> </w:t>
      </w:r>
      <w:r w:rsidR="00BA605A">
        <w:rPr>
          <w:w w:val="103"/>
        </w:rPr>
        <w:t>Board,</w:t>
      </w:r>
      <w:r w:rsidR="00BA605A">
        <w:t xml:space="preserve"> </w:t>
      </w:r>
      <w:r w:rsidR="00BA605A">
        <w:rPr>
          <w:w w:val="103"/>
        </w:rPr>
        <w:t>on</w:t>
      </w:r>
      <w:r w:rsidR="00BA605A">
        <w:t xml:space="preserve"> </w:t>
      </w:r>
      <w:r w:rsidR="00BA605A">
        <w:rPr>
          <w:w w:val="103"/>
        </w:rPr>
        <w:t>their experience</w:t>
      </w:r>
      <w:r w:rsidR="00BA605A">
        <w:t xml:space="preserve"> </w:t>
      </w:r>
      <w:r w:rsidR="00BA605A">
        <w:rPr>
          <w:w w:val="103"/>
        </w:rPr>
        <w:t>regarding</w:t>
      </w:r>
      <w:r w:rsidR="00BA605A">
        <w:t xml:space="preserve"> </w:t>
      </w:r>
      <w:r w:rsidR="00BA605A">
        <w:rPr>
          <w:w w:val="103"/>
        </w:rPr>
        <w:t>the</w:t>
      </w:r>
      <w:r w:rsidR="00BA605A">
        <w:t xml:space="preserve"> </w:t>
      </w:r>
      <w:r w:rsidR="00BA605A">
        <w:rPr>
          <w:w w:val="103"/>
        </w:rPr>
        <w:t>Adaptation</w:t>
      </w:r>
      <w:r w:rsidR="00BA605A">
        <w:t xml:space="preserve"> </w:t>
      </w:r>
      <w:r w:rsidR="00BA605A">
        <w:rPr>
          <w:w w:val="103"/>
        </w:rPr>
        <w:t>Fund;</w:t>
      </w:r>
    </w:p>
    <w:p w14:paraId="040BEE55" w14:textId="073145BD" w:rsidR="00BA605A" w:rsidRDefault="00D23317" w:rsidP="00D23317">
      <w:pPr>
        <w:pStyle w:val="RegSingleTxtG2"/>
        <w:numPr>
          <w:ilvl w:val="0"/>
          <w:numId w:val="0"/>
        </w:numPr>
        <w:tabs>
          <w:tab w:val="left" w:pos="720"/>
          <w:tab w:val="left" w:pos="1702"/>
        </w:tabs>
        <w:spacing w:before="91" w:line="259" w:lineRule="auto"/>
        <w:ind w:left="1134" w:right="1152" w:firstLine="567"/>
        <w:rPr>
          <w:w w:val="103"/>
        </w:rPr>
      </w:pPr>
      <w:r>
        <w:rPr>
          <w:w w:val="103"/>
          <w:szCs w:val="28"/>
        </w:rPr>
        <w:t>(b)</w:t>
      </w:r>
      <w:r>
        <w:rPr>
          <w:w w:val="103"/>
          <w:szCs w:val="28"/>
        </w:rPr>
        <w:tab/>
      </w:r>
      <w:r w:rsidR="00BA605A">
        <w:rPr>
          <w:w w:val="103"/>
        </w:rPr>
        <w:t>The</w:t>
      </w:r>
      <w:r w:rsidR="00BA605A">
        <w:t xml:space="preserve"> </w:t>
      </w:r>
      <w:r w:rsidR="00BA605A">
        <w:rPr>
          <w:w w:val="103"/>
        </w:rPr>
        <w:t>annual</w:t>
      </w:r>
      <w:r w:rsidR="00BA605A">
        <w:t xml:space="preserve"> </w:t>
      </w:r>
      <w:r w:rsidR="00BA605A">
        <w:rPr>
          <w:w w:val="103"/>
        </w:rPr>
        <w:t>reports</w:t>
      </w:r>
      <w:r w:rsidR="00BA605A">
        <w:t xml:space="preserve"> </w:t>
      </w:r>
      <w:r w:rsidR="00BA605A">
        <w:rPr>
          <w:w w:val="103"/>
        </w:rPr>
        <w:t>of</w:t>
      </w:r>
      <w:r w:rsidR="00BA605A">
        <w:t xml:space="preserve"> </w:t>
      </w:r>
      <w:r w:rsidR="00BA605A">
        <w:rPr>
          <w:w w:val="103"/>
        </w:rPr>
        <w:t>the</w:t>
      </w:r>
      <w:r w:rsidR="00BA605A">
        <w:t xml:space="preserve"> </w:t>
      </w:r>
      <w:r w:rsidR="00BA605A">
        <w:rPr>
          <w:w w:val="103"/>
        </w:rPr>
        <w:t>Global</w:t>
      </w:r>
      <w:r w:rsidR="00BA605A">
        <w:t xml:space="preserve"> </w:t>
      </w:r>
      <w:r w:rsidR="00BA605A">
        <w:rPr>
          <w:w w:val="103"/>
        </w:rPr>
        <w:t>Environment</w:t>
      </w:r>
      <w:r w:rsidR="00BA605A">
        <w:t xml:space="preserve"> </w:t>
      </w:r>
      <w:r w:rsidR="00BA605A">
        <w:rPr>
          <w:w w:val="103"/>
        </w:rPr>
        <w:t>Facility</w:t>
      </w:r>
      <w:r w:rsidR="00BA605A">
        <w:t xml:space="preserve"> </w:t>
      </w:r>
      <w:r w:rsidR="00BA605A">
        <w:rPr>
          <w:w w:val="103"/>
        </w:rPr>
        <w:t>(GEF)</w:t>
      </w:r>
      <w:r w:rsidR="00BA605A">
        <w:t xml:space="preserve"> </w:t>
      </w:r>
      <w:r w:rsidR="00BA605A">
        <w:rPr>
          <w:w w:val="103"/>
        </w:rPr>
        <w:t>to</w:t>
      </w:r>
      <w:r w:rsidR="00BA605A">
        <w:t xml:space="preserve"> </w:t>
      </w:r>
      <w:r w:rsidR="00BA605A">
        <w:rPr>
          <w:w w:val="103"/>
        </w:rPr>
        <w:t>the Conference</w:t>
      </w:r>
      <w:r w:rsidR="00BA605A">
        <w:t xml:space="preserve"> </w:t>
      </w:r>
      <w:r w:rsidR="00BA605A">
        <w:rPr>
          <w:w w:val="103"/>
        </w:rPr>
        <w:t>of</w:t>
      </w:r>
      <w:r w:rsidR="00BA605A">
        <w:t xml:space="preserve"> </w:t>
      </w:r>
      <w:r w:rsidR="00BA605A">
        <w:rPr>
          <w:w w:val="103"/>
        </w:rPr>
        <w:t>the</w:t>
      </w:r>
      <w:r w:rsidR="00BA605A">
        <w:t xml:space="preserve"> </w:t>
      </w:r>
      <w:r w:rsidR="00BA605A">
        <w:rPr>
          <w:w w:val="103"/>
        </w:rPr>
        <w:t>Parties</w:t>
      </w:r>
      <w:r w:rsidR="00BA605A">
        <w:t xml:space="preserve"> </w:t>
      </w:r>
      <w:r w:rsidR="00BA605A">
        <w:rPr>
          <w:w w:val="103"/>
        </w:rPr>
        <w:t>(COP)</w:t>
      </w:r>
      <w:r w:rsidR="00BA605A">
        <w:t xml:space="preserve"> </w:t>
      </w:r>
      <w:r w:rsidR="00BA605A">
        <w:rPr>
          <w:w w:val="103"/>
        </w:rPr>
        <w:t>on</w:t>
      </w:r>
      <w:r w:rsidR="00BA605A">
        <w:t xml:space="preserve"> </w:t>
      </w:r>
      <w:r w:rsidR="00BA605A">
        <w:rPr>
          <w:w w:val="103"/>
        </w:rPr>
        <w:t>its</w:t>
      </w:r>
      <w:r w:rsidR="00BA605A">
        <w:t xml:space="preserve"> </w:t>
      </w:r>
      <w:r w:rsidR="00BA605A">
        <w:rPr>
          <w:w w:val="103"/>
        </w:rPr>
        <w:t>activities</w:t>
      </w:r>
      <w:r w:rsidR="00BA605A">
        <w:t xml:space="preserve"> </w:t>
      </w:r>
      <w:r w:rsidR="00BA605A">
        <w:rPr>
          <w:w w:val="103"/>
        </w:rPr>
        <w:t>as</w:t>
      </w:r>
      <w:r w:rsidR="00BA605A">
        <w:t xml:space="preserve"> </w:t>
      </w:r>
      <w:r w:rsidR="00BA605A">
        <w:rPr>
          <w:w w:val="103"/>
        </w:rPr>
        <w:t>an</w:t>
      </w:r>
      <w:r w:rsidR="00BA605A">
        <w:t xml:space="preserve"> </w:t>
      </w:r>
      <w:r w:rsidR="00BA605A">
        <w:rPr>
          <w:w w:val="103"/>
        </w:rPr>
        <w:t>operating</w:t>
      </w:r>
      <w:r w:rsidR="00BA605A">
        <w:t xml:space="preserve"> </w:t>
      </w:r>
      <w:r w:rsidR="00BA605A">
        <w:rPr>
          <w:w w:val="103"/>
        </w:rPr>
        <w:t>entity</w:t>
      </w:r>
      <w:r w:rsidR="00BA605A">
        <w:t xml:space="preserve"> </w:t>
      </w:r>
      <w:r w:rsidR="00BA605A">
        <w:rPr>
          <w:w w:val="103"/>
        </w:rPr>
        <w:t>of</w:t>
      </w:r>
      <w:r w:rsidR="00BA605A">
        <w:t xml:space="preserve"> </w:t>
      </w:r>
      <w:r w:rsidR="00BA605A">
        <w:rPr>
          <w:w w:val="103"/>
        </w:rPr>
        <w:t>the</w:t>
      </w:r>
      <w:r w:rsidR="00BA605A">
        <w:t xml:space="preserve"> </w:t>
      </w:r>
      <w:r w:rsidR="00BA605A">
        <w:rPr>
          <w:w w:val="103"/>
        </w:rPr>
        <w:t>Financial Mechanism,</w:t>
      </w:r>
      <w:r w:rsidR="00BA605A">
        <w:t xml:space="preserve"> </w:t>
      </w:r>
      <w:r w:rsidR="00BA605A">
        <w:rPr>
          <w:w w:val="103"/>
        </w:rPr>
        <w:t>including</w:t>
      </w:r>
      <w:r w:rsidR="00BA605A">
        <w:t xml:space="preserve"> </w:t>
      </w:r>
      <w:r w:rsidR="00BA605A">
        <w:rPr>
          <w:w w:val="103"/>
        </w:rPr>
        <w:t>the</w:t>
      </w:r>
      <w:r w:rsidR="00BA605A">
        <w:t xml:space="preserve"> </w:t>
      </w:r>
      <w:r w:rsidR="00BA605A">
        <w:rPr>
          <w:w w:val="103"/>
        </w:rPr>
        <w:t>information</w:t>
      </w:r>
      <w:r w:rsidR="00BA605A">
        <w:t xml:space="preserve"> </w:t>
      </w:r>
      <w:r w:rsidR="00BA605A">
        <w:rPr>
          <w:w w:val="103"/>
        </w:rPr>
        <w:t>on</w:t>
      </w:r>
      <w:r w:rsidR="00BA605A">
        <w:t xml:space="preserve"> </w:t>
      </w:r>
      <w:r w:rsidR="00BA605A">
        <w:rPr>
          <w:w w:val="103"/>
        </w:rPr>
        <w:t>the</w:t>
      </w:r>
      <w:r w:rsidR="00BA605A">
        <w:t xml:space="preserve"> </w:t>
      </w:r>
      <w:r w:rsidR="00BA605A">
        <w:rPr>
          <w:w w:val="103"/>
        </w:rPr>
        <w:t>Least</w:t>
      </w:r>
      <w:r w:rsidR="00BA605A">
        <w:t xml:space="preserve"> </w:t>
      </w:r>
      <w:r w:rsidR="00BA605A">
        <w:rPr>
          <w:w w:val="103"/>
        </w:rPr>
        <w:t>Developed</w:t>
      </w:r>
      <w:r w:rsidR="00BA605A">
        <w:t xml:space="preserve"> </w:t>
      </w:r>
      <w:r w:rsidR="00BA605A">
        <w:rPr>
          <w:w w:val="103"/>
        </w:rPr>
        <w:t>Countries</w:t>
      </w:r>
      <w:r w:rsidR="00BA605A">
        <w:t xml:space="preserve"> </w:t>
      </w:r>
      <w:r w:rsidR="00BA605A">
        <w:rPr>
          <w:w w:val="103"/>
        </w:rPr>
        <w:t>Fund</w:t>
      </w:r>
      <w:r w:rsidR="00BA605A">
        <w:t xml:space="preserve"> </w:t>
      </w:r>
      <w:r w:rsidR="00BA605A">
        <w:rPr>
          <w:w w:val="103"/>
        </w:rPr>
        <w:t>and</w:t>
      </w:r>
      <w:r w:rsidR="00BA605A">
        <w:t xml:space="preserve"> </w:t>
      </w:r>
      <w:r w:rsidR="00BA605A">
        <w:rPr>
          <w:w w:val="103"/>
        </w:rPr>
        <w:t>the Special</w:t>
      </w:r>
      <w:r w:rsidR="00BA605A">
        <w:t xml:space="preserve"> </w:t>
      </w:r>
      <w:r w:rsidR="00BA605A">
        <w:rPr>
          <w:w w:val="103"/>
        </w:rPr>
        <w:t>Climate</w:t>
      </w:r>
      <w:r w:rsidR="00BA605A">
        <w:t xml:space="preserve"> </w:t>
      </w:r>
      <w:r w:rsidR="00BA605A">
        <w:rPr>
          <w:w w:val="103"/>
        </w:rPr>
        <w:t>Change</w:t>
      </w:r>
      <w:r w:rsidR="00BA605A">
        <w:t xml:space="preserve"> </w:t>
      </w:r>
      <w:r w:rsidR="00BA605A">
        <w:rPr>
          <w:w w:val="103"/>
        </w:rPr>
        <w:t>Fund,</w:t>
      </w:r>
      <w:r w:rsidR="00BA605A">
        <w:t xml:space="preserve"> </w:t>
      </w:r>
      <w:r w:rsidR="00BA605A">
        <w:rPr>
          <w:w w:val="103"/>
        </w:rPr>
        <w:t>and</w:t>
      </w:r>
      <w:r w:rsidR="00BA605A">
        <w:t xml:space="preserve"> </w:t>
      </w:r>
      <w:r w:rsidR="00BA605A">
        <w:rPr>
          <w:w w:val="103"/>
        </w:rPr>
        <w:t>other</w:t>
      </w:r>
      <w:r w:rsidR="00BA605A">
        <w:t xml:space="preserve"> </w:t>
      </w:r>
      <w:r w:rsidR="00BA605A">
        <w:rPr>
          <w:w w:val="103"/>
        </w:rPr>
        <w:t>relevant</w:t>
      </w:r>
      <w:r w:rsidR="00BA605A">
        <w:t xml:space="preserve"> </w:t>
      </w:r>
      <w:r w:rsidR="00BA605A">
        <w:rPr>
          <w:w w:val="103"/>
        </w:rPr>
        <w:t>GEF</w:t>
      </w:r>
      <w:r w:rsidR="00BA605A">
        <w:t xml:space="preserve"> </w:t>
      </w:r>
      <w:r w:rsidR="00BA605A">
        <w:rPr>
          <w:w w:val="103"/>
        </w:rPr>
        <w:t>policy,</w:t>
      </w:r>
      <w:r w:rsidR="00BA605A">
        <w:t xml:space="preserve"> </w:t>
      </w:r>
      <w:r w:rsidR="00BA605A">
        <w:rPr>
          <w:w w:val="103"/>
        </w:rPr>
        <w:t>information</w:t>
      </w:r>
      <w:r w:rsidR="00BA605A">
        <w:t xml:space="preserve"> </w:t>
      </w:r>
      <w:r w:rsidR="00BA605A">
        <w:rPr>
          <w:w w:val="103"/>
        </w:rPr>
        <w:t>and</w:t>
      </w:r>
      <w:r w:rsidR="00BA605A">
        <w:t xml:space="preserve"> </w:t>
      </w:r>
      <w:r w:rsidR="00BA605A">
        <w:rPr>
          <w:w w:val="103"/>
        </w:rPr>
        <w:t>evaluation documents;</w:t>
      </w:r>
    </w:p>
    <w:p w14:paraId="58C2E9E0" w14:textId="54CE3E1A" w:rsidR="00BA605A" w:rsidRDefault="00D23317" w:rsidP="00D23317">
      <w:pPr>
        <w:pStyle w:val="RegSingleTxtG2"/>
        <w:numPr>
          <w:ilvl w:val="0"/>
          <w:numId w:val="0"/>
        </w:numPr>
        <w:tabs>
          <w:tab w:val="left" w:pos="720"/>
          <w:tab w:val="left" w:pos="1702"/>
        </w:tabs>
        <w:ind w:left="1134" w:firstLine="567"/>
      </w:pPr>
      <w:r>
        <w:rPr>
          <w:szCs w:val="28"/>
        </w:rPr>
        <w:t>(c)</w:t>
      </w:r>
      <w:r>
        <w:rPr>
          <w:szCs w:val="28"/>
        </w:rPr>
        <w:tab/>
      </w:r>
      <w:r w:rsidR="00BA605A">
        <w:rPr>
          <w:w w:val="103"/>
        </w:rPr>
        <w:t>The</w:t>
      </w:r>
      <w:r w:rsidR="00BA605A">
        <w:t xml:space="preserve"> annual </w:t>
      </w:r>
      <w:r w:rsidR="00BA605A">
        <w:rPr>
          <w:w w:val="103"/>
        </w:rPr>
        <w:t>reports</w:t>
      </w:r>
      <w:r w:rsidR="00BA605A">
        <w:t xml:space="preserve"> </w:t>
      </w:r>
      <w:r w:rsidR="00BA605A">
        <w:rPr>
          <w:w w:val="103"/>
        </w:rPr>
        <w:t>of</w:t>
      </w:r>
      <w:r w:rsidR="00BA605A">
        <w:t xml:space="preserve"> </w:t>
      </w:r>
      <w:r w:rsidR="00BA605A">
        <w:rPr>
          <w:w w:val="103"/>
        </w:rPr>
        <w:t>the</w:t>
      </w:r>
      <w:r w:rsidR="00BA605A">
        <w:t xml:space="preserve"> </w:t>
      </w:r>
      <w:r w:rsidR="00BA605A">
        <w:rPr>
          <w:w w:val="103"/>
        </w:rPr>
        <w:t>Green</w:t>
      </w:r>
      <w:r w:rsidR="00BA605A">
        <w:t xml:space="preserve"> </w:t>
      </w:r>
      <w:r w:rsidR="00BA605A">
        <w:rPr>
          <w:w w:val="103"/>
        </w:rPr>
        <w:t>Climate</w:t>
      </w:r>
      <w:r w:rsidR="00BA605A">
        <w:t xml:space="preserve"> </w:t>
      </w:r>
      <w:r w:rsidR="00BA605A">
        <w:rPr>
          <w:w w:val="103"/>
        </w:rPr>
        <w:t>Fund</w:t>
      </w:r>
      <w:r w:rsidR="00BA605A">
        <w:t xml:space="preserve"> </w:t>
      </w:r>
      <w:r w:rsidR="00BA605A">
        <w:rPr>
          <w:w w:val="103"/>
        </w:rPr>
        <w:t>(GCF)</w:t>
      </w:r>
      <w:r w:rsidR="00BA605A">
        <w:t xml:space="preserve"> </w:t>
      </w:r>
      <w:r w:rsidR="00BA605A">
        <w:rPr>
          <w:w w:val="103"/>
        </w:rPr>
        <w:t>to</w:t>
      </w:r>
      <w:r w:rsidR="00BA605A">
        <w:t xml:space="preserve"> </w:t>
      </w:r>
      <w:r w:rsidR="00BA605A">
        <w:rPr>
          <w:w w:val="103"/>
        </w:rPr>
        <w:t>the</w:t>
      </w:r>
      <w:r w:rsidR="00BA605A">
        <w:t xml:space="preserve"> </w:t>
      </w:r>
      <w:r w:rsidR="00BA605A">
        <w:rPr>
          <w:w w:val="103"/>
        </w:rPr>
        <w:t>COP</w:t>
      </w:r>
      <w:r w:rsidR="00BA605A">
        <w:t xml:space="preserve"> </w:t>
      </w:r>
      <w:r w:rsidR="00BA605A">
        <w:rPr>
          <w:w w:val="103"/>
        </w:rPr>
        <w:t>on</w:t>
      </w:r>
      <w:r w:rsidR="00BA605A">
        <w:t xml:space="preserve"> </w:t>
      </w:r>
      <w:r w:rsidR="00BA605A">
        <w:rPr>
          <w:w w:val="103"/>
        </w:rPr>
        <w:t>its activities</w:t>
      </w:r>
      <w:r w:rsidR="00BA605A">
        <w:t xml:space="preserve"> </w:t>
      </w:r>
      <w:r w:rsidR="00BA605A">
        <w:rPr>
          <w:w w:val="103"/>
        </w:rPr>
        <w:t>as</w:t>
      </w:r>
      <w:r w:rsidR="00BA605A">
        <w:t xml:space="preserve"> </w:t>
      </w:r>
      <w:r w:rsidR="00BA605A">
        <w:rPr>
          <w:w w:val="103"/>
        </w:rPr>
        <w:t>an</w:t>
      </w:r>
      <w:r w:rsidR="00BA605A">
        <w:t xml:space="preserve"> </w:t>
      </w:r>
      <w:r w:rsidR="00BA605A">
        <w:rPr>
          <w:w w:val="103"/>
        </w:rPr>
        <w:t>operating</w:t>
      </w:r>
      <w:r w:rsidR="00BA605A">
        <w:t xml:space="preserve"> </w:t>
      </w:r>
      <w:r w:rsidR="00BA605A">
        <w:rPr>
          <w:w w:val="103"/>
        </w:rPr>
        <w:t>entity</w:t>
      </w:r>
      <w:r w:rsidR="00BA605A">
        <w:t xml:space="preserve"> </w:t>
      </w:r>
      <w:r w:rsidR="00BA605A">
        <w:rPr>
          <w:w w:val="103"/>
        </w:rPr>
        <w:t>of</w:t>
      </w:r>
      <w:r w:rsidR="00BA605A">
        <w:t xml:space="preserve"> </w:t>
      </w:r>
      <w:r w:rsidR="00BA605A">
        <w:rPr>
          <w:w w:val="103"/>
        </w:rPr>
        <w:t>the</w:t>
      </w:r>
      <w:r w:rsidR="00BA605A">
        <w:t xml:space="preserve"> </w:t>
      </w:r>
      <w:r w:rsidR="00BA605A">
        <w:rPr>
          <w:w w:val="103"/>
        </w:rPr>
        <w:t>Financial</w:t>
      </w:r>
      <w:r w:rsidR="00BA605A">
        <w:t xml:space="preserve"> </w:t>
      </w:r>
      <w:r w:rsidR="00BA605A">
        <w:rPr>
          <w:w w:val="103"/>
        </w:rPr>
        <w:t>Mechanism</w:t>
      </w:r>
      <w:r w:rsidR="00BA605A">
        <w:t xml:space="preserve"> </w:t>
      </w:r>
      <w:r w:rsidR="00BA605A">
        <w:rPr>
          <w:w w:val="103"/>
        </w:rPr>
        <w:t>and</w:t>
      </w:r>
      <w:r w:rsidR="00BA605A">
        <w:t xml:space="preserve"> </w:t>
      </w:r>
      <w:r w:rsidR="00BA605A">
        <w:rPr>
          <w:w w:val="103"/>
        </w:rPr>
        <w:t>other</w:t>
      </w:r>
      <w:r w:rsidR="00BA605A">
        <w:t xml:space="preserve"> </w:t>
      </w:r>
      <w:r w:rsidR="00BA605A">
        <w:rPr>
          <w:w w:val="103"/>
        </w:rPr>
        <w:t>relevant</w:t>
      </w:r>
      <w:r w:rsidR="00BA605A">
        <w:t xml:space="preserve"> </w:t>
      </w:r>
      <w:r w:rsidR="00BA605A">
        <w:rPr>
          <w:w w:val="103"/>
        </w:rPr>
        <w:t>GCF</w:t>
      </w:r>
      <w:r w:rsidR="00BA605A">
        <w:t xml:space="preserve"> </w:t>
      </w:r>
      <w:r w:rsidR="00BA605A">
        <w:rPr>
          <w:w w:val="103"/>
        </w:rPr>
        <w:t>policy and</w:t>
      </w:r>
      <w:r w:rsidR="00BA605A">
        <w:t xml:space="preserve"> </w:t>
      </w:r>
      <w:r w:rsidR="00BA605A">
        <w:rPr>
          <w:w w:val="103"/>
        </w:rPr>
        <w:t>information</w:t>
      </w:r>
      <w:r w:rsidR="00BA605A">
        <w:t xml:space="preserve"> </w:t>
      </w:r>
      <w:r w:rsidR="00BA605A">
        <w:rPr>
          <w:w w:val="103"/>
        </w:rPr>
        <w:t>documents;</w:t>
      </w:r>
    </w:p>
    <w:p w14:paraId="48931CA7" w14:textId="5D5D0679" w:rsidR="00BA605A" w:rsidRDefault="00D23317" w:rsidP="00D23317">
      <w:pPr>
        <w:pStyle w:val="RegSingleTxtG2"/>
        <w:numPr>
          <w:ilvl w:val="0"/>
          <w:numId w:val="0"/>
        </w:numPr>
        <w:tabs>
          <w:tab w:val="left" w:pos="720"/>
          <w:tab w:val="left" w:pos="1702"/>
        </w:tabs>
        <w:ind w:left="1134" w:firstLine="567"/>
      </w:pPr>
      <w:r>
        <w:rPr>
          <w:szCs w:val="28"/>
        </w:rPr>
        <w:t>(d)</w:t>
      </w:r>
      <w:r>
        <w:rPr>
          <w:szCs w:val="28"/>
        </w:rPr>
        <w:tab/>
      </w:r>
      <w:r w:rsidR="00BA605A">
        <w:rPr>
          <w:w w:val="103"/>
        </w:rPr>
        <w:t>The</w:t>
      </w:r>
      <w:r w:rsidR="00BA605A">
        <w:t xml:space="preserve"> report </w:t>
      </w:r>
      <w:r w:rsidR="00BA605A">
        <w:rPr>
          <w:w w:val="103"/>
        </w:rPr>
        <w:t>of</w:t>
      </w:r>
      <w:r w:rsidR="00BA605A">
        <w:t xml:space="preserve"> </w:t>
      </w:r>
      <w:r w:rsidR="00BA605A">
        <w:rPr>
          <w:w w:val="103"/>
        </w:rPr>
        <w:t>the</w:t>
      </w:r>
      <w:r w:rsidR="00BA605A">
        <w:t xml:space="preserve"> </w:t>
      </w:r>
      <w:r w:rsidR="00BA605A">
        <w:rPr>
          <w:w w:val="103"/>
        </w:rPr>
        <w:t>Adaptation</w:t>
      </w:r>
      <w:r w:rsidR="00BA605A">
        <w:t xml:space="preserve"> </w:t>
      </w:r>
      <w:r w:rsidR="00BA605A">
        <w:rPr>
          <w:w w:val="103"/>
        </w:rPr>
        <w:t>Fund</w:t>
      </w:r>
      <w:r w:rsidR="00BA605A">
        <w:t xml:space="preserve"> </w:t>
      </w:r>
      <w:r w:rsidR="00BA605A">
        <w:rPr>
          <w:w w:val="103"/>
        </w:rPr>
        <w:t>Board</w:t>
      </w:r>
      <w:r w:rsidR="00BA605A">
        <w:t xml:space="preserve"> </w:t>
      </w:r>
      <w:r w:rsidR="00BA605A">
        <w:rPr>
          <w:w w:val="103"/>
        </w:rPr>
        <w:t>to</w:t>
      </w:r>
      <w:r w:rsidR="00BA605A">
        <w:t xml:space="preserve"> </w:t>
      </w:r>
      <w:r w:rsidR="00BA605A">
        <w:rPr>
          <w:w w:val="103"/>
        </w:rPr>
        <w:t>the</w:t>
      </w:r>
      <w:r w:rsidR="00BA605A">
        <w:t xml:space="preserve"> </w:t>
      </w:r>
      <w:r w:rsidR="00BA605A">
        <w:rPr>
          <w:w w:val="103"/>
        </w:rPr>
        <w:t>Conference of</w:t>
      </w:r>
      <w:r w:rsidR="00BA605A">
        <w:t xml:space="preserve"> </w:t>
      </w:r>
      <w:r w:rsidR="00BA605A">
        <w:rPr>
          <w:w w:val="103"/>
        </w:rPr>
        <w:t>the</w:t>
      </w:r>
      <w:r w:rsidR="00BA605A">
        <w:t xml:space="preserve"> </w:t>
      </w:r>
      <w:r w:rsidR="00BA605A">
        <w:rPr>
          <w:w w:val="103"/>
        </w:rPr>
        <w:t>Parties</w:t>
      </w:r>
      <w:r w:rsidR="00BA605A">
        <w:t xml:space="preserve"> </w:t>
      </w:r>
      <w:r w:rsidR="00BA605A">
        <w:rPr>
          <w:w w:val="103"/>
        </w:rPr>
        <w:t>serving</w:t>
      </w:r>
      <w:r w:rsidR="00BA605A">
        <w:t xml:space="preserve"> </w:t>
      </w:r>
      <w:r w:rsidR="00BA605A">
        <w:rPr>
          <w:w w:val="103"/>
        </w:rPr>
        <w:t>as</w:t>
      </w:r>
      <w:r w:rsidR="00BA605A">
        <w:t xml:space="preserve"> </w:t>
      </w:r>
      <w:r w:rsidR="00BA605A">
        <w:rPr>
          <w:w w:val="103"/>
        </w:rPr>
        <w:t>the</w:t>
      </w:r>
      <w:r w:rsidR="00BA605A">
        <w:t xml:space="preserve"> </w:t>
      </w:r>
      <w:r w:rsidR="00BA605A">
        <w:rPr>
          <w:w w:val="103"/>
        </w:rPr>
        <w:t>meeting</w:t>
      </w:r>
      <w:r w:rsidR="00BA605A">
        <w:t xml:space="preserve"> </w:t>
      </w:r>
      <w:r w:rsidR="00BA605A">
        <w:rPr>
          <w:w w:val="103"/>
        </w:rPr>
        <w:t>of</w:t>
      </w:r>
      <w:r w:rsidR="00BA605A">
        <w:t xml:space="preserve"> </w:t>
      </w:r>
      <w:r w:rsidR="00BA605A">
        <w:rPr>
          <w:w w:val="103"/>
        </w:rPr>
        <w:t>the</w:t>
      </w:r>
      <w:r w:rsidR="00BA605A">
        <w:t xml:space="preserve"> </w:t>
      </w:r>
      <w:r w:rsidR="00BA605A">
        <w:rPr>
          <w:w w:val="103"/>
        </w:rPr>
        <w:t>Parties</w:t>
      </w:r>
      <w:r w:rsidR="00BA605A">
        <w:t xml:space="preserve"> </w:t>
      </w:r>
      <w:r w:rsidR="00BA605A">
        <w:rPr>
          <w:w w:val="103"/>
        </w:rPr>
        <w:t>to</w:t>
      </w:r>
      <w:r w:rsidR="00BA605A">
        <w:t xml:space="preserve"> </w:t>
      </w:r>
      <w:r w:rsidR="00BA605A">
        <w:rPr>
          <w:w w:val="103"/>
        </w:rPr>
        <w:t>the</w:t>
      </w:r>
      <w:r w:rsidR="00BA605A">
        <w:t xml:space="preserve"> </w:t>
      </w:r>
      <w:r w:rsidR="00BA605A">
        <w:rPr>
          <w:w w:val="103"/>
        </w:rPr>
        <w:t>Kyoto</w:t>
      </w:r>
      <w:r w:rsidR="00BA605A">
        <w:t xml:space="preserve"> </w:t>
      </w:r>
      <w:r w:rsidR="00BA605A">
        <w:rPr>
          <w:w w:val="103"/>
        </w:rPr>
        <w:t>Protocol,</w:t>
      </w:r>
      <w:r w:rsidR="00BA605A">
        <w:t xml:space="preserve"> </w:t>
      </w:r>
      <w:r w:rsidR="00BA605A">
        <w:rPr>
          <w:w w:val="103"/>
        </w:rPr>
        <w:t>the</w:t>
      </w:r>
      <w:r w:rsidR="00BA605A">
        <w:t xml:space="preserve"> </w:t>
      </w:r>
      <w:r w:rsidR="00BA605A">
        <w:rPr>
          <w:w w:val="103"/>
        </w:rPr>
        <w:t>Adaptation</w:t>
      </w:r>
      <w:r w:rsidR="00BA605A">
        <w:t xml:space="preserve"> </w:t>
      </w:r>
      <w:r w:rsidR="00BA605A">
        <w:rPr>
          <w:w w:val="103"/>
        </w:rPr>
        <w:t>Fund annual</w:t>
      </w:r>
      <w:r w:rsidR="00BA605A">
        <w:t xml:space="preserve"> </w:t>
      </w:r>
      <w:r w:rsidR="00BA605A">
        <w:rPr>
          <w:w w:val="103"/>
        </w:rPr>
        <w:t>performance</w:t>
      </w:r>
      <w:r w:rsidR="00BA605A">
        <w:t xml:space="preserve"> </w:t>
      </w:r>
      <w:r w:rsidR="00BA605A">
        <w:rPr>
          <w:w w:val="103"/>
        </w:rPr>
        <w:t>report</w:t>
      </w:r>
      <w:r w:rsidR="00BA605A">
        <w:t xml:space="preserve"> </w:t>
      </w:r>
      <w:r w:rsidR="00BA605A">
        <w:rPr>
          <w:w w:val="103"/>
        </w:rPr>
        <w:t>for</w:t>
      </w:r>
      <w:r w:rsidR="00BA605A">
        <w:t xml:space="preserve"> </w:t>
      </w:r>
      <w:r w:rsidR="00BA605A">
        <w:rPr>
          <w:w w:val="103"/>
        </w:rPr>
        <w:t>the</w:t>
      </w:r>
      <w:r w:rsidR="00BA605A">
        <w:t xml:space="preserve"> </w:t>
      </w:r>
      <w:r w:rsidR="00BA605A">
        <w:rPr>
          <w:w w:val="103"/>
        </w:rPr>
        <w:t>most</w:t>
      </w:r>
      <w:r w:rsidR="00BA605A">
        <w:t xml:space="preserve"> </w:t>
      </w:r>
      <w:r w:rsidR="00BA605A">
        <w:rPr>
          <w:w w:val="103"/>
        </w:rPr>
        <w:t>recent</w:t>
      </w:r>
      <w:r w:rsidR="00BA605A">
        <w:t xml:space="preserve"> </w:t>
      </w:r>
      <w:r w:rsidR="00BA605A">
        <w:rPr>
          <w:w w:val="103"/>
        </w:rPr>
        <w:t>fiscal</w:t>
      </w:r>
      <w:r w:rsidR="00BA605A">
        <w:t xml:space="preserve"> </w:t>
      </w:r>
      <w:r w:rsidR="00BA605A">
        <w:rPr>
          <w:w w:val="103"/>
        </w:rPr>
        <w:t>year</w:t>
      </w:r>
      <w:r w:rsidR="00BA605A">
        <w:t xml:space="preserve"> </w:t>
      </w:r>
      <w:r w:rsidR="00BA605A">
        <w:rPr>
          <w:w w:val="103"/>
        </w:rPr>
        <w:t>and</w:t>
      </w:r>
      <w:r w:rsidR="00BA605A">
        <w:t xml:space="preserve"> </w:t>
      </w:r>
      <w:r w:rsidR="00BA605A">
        <w:rPr>
          <w:w w:val="103"/>
        </w:rPr>
        <w:t>the</w:t>
      </w:r>
      <w:r w:rsidR="00BA605A">
        <w:t xml:space="preserve"> </w:t>
      </w:r>
      <w:r w:rsidR="00BA605A">
        <w:rPr>
          <w:w w:val="103"/>
        </w:rPr>
        <w:t>outcomes</w:t>
      </w:r>
      <w:r w:rsidR="00BA605A">
        <w:t xml:space="preserve"> </w:t>
      </w:r>
      <w:r w:rsidR="00BA605A">
        <w:rPr>
          <w:w w:val="103"/>
        </w:rPr>
        <w:t>of</w:t>
      </w:r>
      <w:r w:rsidR="00BA605A">
        <w:t xml:space="preserve"> </w:t>
      </w:r>
      <w:r w:rsidR="00BA605A">
        <w:rPr>
          <w:w w:val="103"/>
        </w:rPr>
        <w:t>previous reviews</w:t>
      </w:r>
      <w:r w:rsidR="00BA605A">
        <w:t xml:space="preserve"> </w:t>
      </w:r>
      <w:r w:rsidR="00BA605A">
        <w:rPr>
          <w:w w:val="103"/>
        </w:rPr>
        <w:t>of</w:t>
      </w:r>
      <w:r w:rsidR="00BA605A">
        <w:t xml:space="preserve"> </w:t>
      </w:r>
      <w:r w:rsidR="00BA605A">
        <w:rPr>
          <w:w w:val="103"/>
        </w:rPr>
        <w:t>the</w:t>
      </w:r>
      <w:r w:rsidR="00BA605A">
        <w:t xml:space="preserve"> </w:t>
      </w:r>
      <w:r w:rsidR="00BA605A">
        <w:rPr>
          <w:w w:val="103"/>
        </w:rPr>
        <w:t>Adaptation</w:t>
      </w:r>
      <w:r w:rsidR="00BA605A">
        <w:t xml:space="preserve"> </w:t>
      </w:r>
      <w:r w:rsidR="00BA605A">
        <w:rPr>
          <w:w w:val="103"/>
        </w:rPr>
        <w:t>Fund;</w:t>
      </w:r>
    </w:p>
    <w:p w14:paraId="4EBF0A2F" w14:textId="1FE633C6" w:rsidR="00BA605A" w:rsidRDefault="00D23317" w:rsidP="00D23317">
      <w:pPr>
        <w:pStyle w:val="RegSingleTxtG2"/>
        <w:numPr>
          <w:ilvl w:val="0"/>
          <w:numId w:val="0"/>
        </w:numPr>
        <w:tabs>
          <w:tab w:val="left" w:pos="720"/>
          <w:tab w:val="left" w:pos="1702"/>
        </w:tabs>
        <w:ind w:left="1134" w:firstLine="567"/>
      </w:pPr>
      <w:r>
        <w:rPr>
          <w:szCs w:val="28"/>
        </w:rPr>
        <w:t>(e)</w:t>
      </w:r>
      <w:r>
        <w:rPr>
          <w:szCs w:val="28"/>
        </w:rPr>
        <w:tab/>
      </w:r>
      <w:r w:rsidR="00BA605A">
        <w:rPr>
          <w:w w:val="103"/>
        </w:rPr>
        <w:t>The</w:t>
      </w:r>
      <w:r w:rsidR="00BA605A">
        <w:t xml:space="preserve"> outcomes </w:t>
      </w:r>
      <w:r w:rsidR="00BA605A">
        <w:rPr>
          <w:w w:val="103"/>
        </w:rPr>
        <w:t>and</w:t>
      </w:r>
      <w:r w:rsidR="00BA605A">
        <w:t xml:space="preserve"> </w:t>
      </w:r>
      <w:r w:rsidR="00BA605A">
        <w:rPr>
          <w:w w:val="103"/>
        </w:rPr>
        <w:t>reports</w:t>
      </w:r>
      <w:r w:rsidR="00BA605A">
        <w:t xml:space="preserve"> </w:t>
      </w:r>
      <w:r w:rsidR="00BA605A">
        <w:rPr>
          <w:w w:val="103"/>
        </w:rPr>
        <w:t>emanating</w:t>
      </w:r>
      <w:r w:rsidR="00BA605A">
        <w:t xml:space="preserve"> </w:t>
      </w:r>
      <w:r w:rsidR="00BA605A">
        <w:rPr>
          <w:w w:val="103"/>
        </w:rPr>
        <w:t>from</w:t>
      </w:r>
      <w:r w:rsidR="00BA605A">
        <w:t xml:space="preserve"> </w:t>
      </w:r>
      <w:r w:rsidR="00BA605A">
        <w:rPr>
          <w:w w:val="103"/>
        </w:rPr>
        <w:t>United</w:t>
      </w:r>
      <w:r w:rsidR="00BA605A">
        <w:t xml:space="preserve"> </w:t>
      </w:r>
      <w:r w:rsidR="00BA605A">
        <w:rPr>
          <w:w w:val="103"/>
        </w:rPr>
        <w:t>Nations</w:t>
      </w:r>
      <w:r w:rsidR="00BA605A">
        <w:t xml:space="preserve"> </w:t>
      </w:r>
      <w:r w:rsidR="00BA605A">
        <w:rPr>
          <w:w w:val="103"/>
        </w:rPr>
        <w:t>processes,</w:t>
      </w:r>
      <w:r w:rsidR="00BA605A">
        <w:t xml:space="preserve"> </w:t>
      </w:r>
      <w:r w:rsidR="00BA605A">
        <w:rPr>
          <w:w w:val="103"/>
        </w:rPr>
        <w:t>relevant bilateral</w:t>
      </w:r>
      <w:r w:rsidR="00BA605A">
        <w:t xml:space="preserve"> </w:t>
      </w:r>
      <w:r w:rsidR="00BA605A">
        <w:rPr>
          <w:w w:val="103"/>
        </w:rPr>
        <w:t>and</w:t>
      </w:r>
      <w:r w:rsidR="00BA605A">
        <w:t xml:space="preserve"> </w:t>
      </w:r>
      <w:r w:rsidR="00BA605A">
        <w:rPr>
          <w:w w:val="103"/>
        </w:rPr>
        <w:t>multilateral</w:t>
      </w:r>
      <w:r w:rsidR="00BA605A">
        <w:t xml:space="preserve"> </w:t>
      </w:r>
      <w:r w:rsidR="00BA605A">
        <w:rPr>
          <w:w w:val="103"/>
        </w:rPr>
        <w:t>funding</w:t>
      </w:r>
      <w:r w:rsidR="00BA605A">
        <w:t xml:space="preserve"> </w:t>
      </w:r>
      <w:r w:rsidR="00BA605A">
        <w:rPr>
          <w:w w:val="103"/>
        </w:rPr>
        <w:t>institutions</w:t>
      </w:r>
      <w:r w:rsidR="00BA605A">
        <w:t xml:space="preserve"> </w:t>
      </w:r>
      <w:r w:rsidR="00BA605A">
        <w:rPr>
          <w:w w:val="103"/>
        </w:rPr>
        <w:t>and</w:t>
      </w:r>
      <w:r w:rsidR="00BA605A">
        <w:t xml:space="preserve"> </w:t>
      </w:r>
      <w:r w:rsidR="00BA605A">
        <w:rPr>
          <w:w w:val="103"/>
        </w:rPr>
        <w:t>other</w:t>
      </w:r>
      <w:r w:rsidR="00BA605A">
        <w:t xml:space="preserve"> </w:t>
      </w:r>
      <w:r w:rsidR="00BA605A">
        <w:rPr>
          <w:w w:val="103"/>
        </w:rPr>
        <w:t>intergovernmental</w:t>
      </w:r>
      <w:r w:rsidR="00BA605A">
        <w:t xml:space="preserve"> </w:t>
      </w:r>
      <w:r w:rsidR="00BA605A">
        <w:rPr>
          <w:w w:val="103"/>
        </w:rPr>
        <w:t>and</w:t>
      </w:r>
      <w:r w:rsidR="00BA605A">
        <w:t xml:space="preserve"> </w:t>
      </w:r>
      <w:r w:rsidR="00BA605A">
        <w:rPr>
          <w:w w:val="103"/>
        </w:rPr>
        <w:t>non-governmental</w:t>
      </w:r>
      <w:r w:rsidR="00BA605A">
        <w:t xml:space="preserve"> </w:t>
      </w:r>
      <w:r w:rsidR="00BA605A">
        <w:rPr>
          <w:w w:val="103"/>
        </w:rPr>
        <w:t>organizations</w:t>
      </w:r>
      <w:r w:rsidR="00BA605A">
        <w:t xml:space="preserve"> </w:t>
      </w:r>
      <w:r w:rsidR="00BA605A">
        <w:rPr>
          <w:w w:val="103"/>
        </w:rPr>
        <w:t>dealing</w:t>
      </w:r>
      <w:r w:rsidR="00BA605A">
        <w:t xml:space="preserve"> </w:t>
      </w:r>
      <w:r w:rsidR="00BA605A">
        <w:rPr>
          <w:w w:val="103"/>
        </w:rPr>
        <w:t>with</w:t>
      </w:r>
      <w:r w:rsidR="00BA605A">
        <w:t xml:space="preserve"> </w:t>
      </w:r>
      <w:r w:rsidR="00BA605A">
        <w:rPr>
          <w:w w:val="103"/>
        </w:rPr>
        <w:t>climate</w:t>
      </w:r>
      <w:r w:rsidR="00BA605A">
        <w:t xml:space="preserve"> </w:t>
      </w:r>
      <w:r w:rsidR="00BA605A">
        <w:rPr>
          <w:w w:val="103"/>
        </w:rPr>
        <w:t>change</w:t>
      </w:r>
      <w:r w:rsidR="00BA605A">
        <w:t xml:space="preserve"> </w:t>
      </w:r>
      <w:r w:rsidR="00BA605A">
        <w:rPr>
          <w:w w:val="103"/>
        </w:rPr>
        <w:t>financing;</w:t>
      </w:r>
    </w:p>
    <w:p w14:paraId="11F68CE9" w14:textId="3DCDEC12" w:rsidR="00BA605A" w:rsidRDefault="00D23317" w:rsidP="00D23317">
      <w:pPr>
        <w:pStyle w:val="RegSingleTxtG2"/>
        <w:numPr>
          <w:ilvl w:val="0"/>
          <w:numId w:val="0"/>
        </w:numPr>
        <w:tabs>
          <w:tab w:val="left" w:pos="720"/>
          <w:tab w:val="left" w:pos="1702"/>
        </w:tabs>
        <w:ind w:left="1134" w:firstLine="567"/>
      </w:pPr>
      <w:r>
        <w:rPr>
          <w:szCs w:val="28"/>
        </w:rPr>
        <w:t>(f)</w:t>
      </w:r>
      <w:r>
        <w:rPr>
          <w:szCs w:val="28"/>
        </w:rPr>
        <w:tab/>
      </w:r>
      <w:r w:rsidR="00BA605A">
        <w:rPr>
          <w:w w:val="103"/>
        </w:rPr>
        <w:t>The</w:t>
      </w:r>
      <w:r w:rsidR="00BA605A">
        <w:t xml:space="preserve"> </w:t>
      </w:r>
      <w:r w:rsidR="00BA605A">
        <w:rPr>
          <w:w w:val="103"/>
        </w:rPr>
        <w:t>reports</w:t>
      </w:r>
      <w:r w:rsidR="00BA605A">
        <w:t xml:space="preserve"> </w:t>
      </w:r>
      <w:r w:rsidR="00BA605A">
        <w:rPr>
          <w:w w:val="103"/>
        </w:rPr>
        <w:t>of</w:t>
      </w:r>
      <w:r w:rsidR="00BA605A">
        <w:t xml:space="preserve"> </w:t>
      </w:r>
      <w:r w:rsidR="00BA605A">
        <w:rPr>
          <w:w w:val="103"/>
        </w:rPr>
        <w:t>the</w:t>
      </w:r>
      <w:r w:rsidR="00BA605A">
        <w:t xml:space="preserve"> </w:t>
      </w:r>
      <w:r w:rsidR="00BA605A">
        <w:rPr>
          <w:w w:val="103"/>
        </w:rPr>
        <w:t>relevant</w:t>
      </w:r>
      <w:r w:rsidR="00BA605A">
        <w:t xml:space="preserve"> </w:t>
      </w:r>
      <w:r w:rsidR="00BA605A">
        <w:rPr>
          <w:w w:val="103"/>
        </w:rPr>
        <w:t>constituted</w:t>
      </w:r>
      <w:r w:rsidR="00BA605A">
        <w:t xml:space="preserve"> </w:t>
      </w:r>
      <w:r w:rsidR="00BA605A">
        <w:rPr>
          <w:w w:val="103"/>
        </w:rPr>
        <w:t>bodies;</w:t>
      </w:r>
      <w:r w:rsidR="00BA605A">
        <w:t xml:space="preserve"> </w:t>
      </w:r>
    </w:p>
    <w:p w14:paraId="3A888656" w14:textId="492C2681" w:rsidR="00BA605A" w:rsidRPr="00D37563" w:rsidRDefault="00D23317" w:rsidP="00D23317">
      <w:pPr>
        <w:pStyle w:val="RegSingleTxtG2"/>
        <w:numPr>
          <w:ilvl w:val="0"/>
          <w:numId w:val="0"/>
        </w:numPr>
        <w:tabs>
          <w:tab w:val="left" w:pos="720"/>
          <w:tab w:val="left" w:pos="1702"/>
        </w:tabs>
        <w:ind w:left="1134" w:firstLine="567"/>
        <w:rPr>
          <w:rStyle w:val="FootnoteReference"/>
          <w:sz w:val="20"/>
          <w:vertAlign w:val="baseline"/>
        </w:rPr>
      </w:pPr>
      <w:r w:rsidRPr="00D37563">
        <w:rPr>
          <w:rStyle w:val="FootnoteReference"/>
          <w:sz w:val="20"/>
          <w:szCs w:val="28"/>
          <w:vertAlign w:val="baseline"/>
        </w:rPr>
        <w:t>(g)</w:t>
      </w:r>
      <w:r w:rsidRPr="00D37563">
        <w:rPr>
          <w:rStyle w:val="FootnoteReference"/>
          <w:sz w:val="20"/>
          <w:szCs w:val="28"/>
          <w:vertAlign w:val="baseline"/>
        </w:rPr>
        <w:tab/>
      </w:r>
      <w:r w:rsidR="00BA605A" w:rsidRPr="00D37563">
        <w:rPr>
          <w:w w:val="103"/>
        </w:rPr>
        <w:t>The</w:t>
      </w:r>
      <w:r w:rsidR="00BA605A">
        <w:t xml:space="preserve"> reports </w:t>
      </w:r>
      <w:r w:rsidR="00BA605A" w:rsidRPr="00D37563">
        <w:rPr>
          <w:w w:val="103"/>
        </w:rPr>
        <w:t>on</w:t>
      </w:r>
      <w:r w:rsidR="00BA605A">
        <w:t xml:space="preserve"> </w:t>
      </w:r>
      <w:r w:rsidR="00BA605A" w:rsidRPr="00D37563">
        <w:rPr>
          <w:w w:val="103"/>
        </w:rPr>
        <w:t>the</w:t>
      </w:r>
      <w:r w:rsidR="00BA605A">
        <w:t xml:space="preserve"> </w:t>
      </w:r>
      <w:r w:rsidR="00BA605A" w:rsidRPr="00D37563">
        <w:rPr>
          <w:w w:val="103"/>
        </w:rPr>
        <w:t>work</w:t>
      </w:r>
      <w:r w:rsidR="00BA605A">
        <w:t xml:space="preserve"> </w:t>
      </w:r>
      <w:r w:rsidR="00BA605A" w:rsidRPr="00D37563">
        <w:rPr>
          <w:w w:val="103"/>
        </w:rPr>
        <w:t>programme</w:t>
      </w:r>
      <w:r w:rsidR="00BA605A">
        <w:t xml:space="preserve"> </w:t>
      </w:r>
      <w:r w:rsidR="00BA605A" w:rsidRPr="00D37563">
        <w:rPr>
          <w:w w:val="103"/>
        </w:rPr>
        <w:t>on</w:t>
      </w:r>
      <w:r w:rsidR="00BA605A">
        <w:t xml:space="preserve"> </w:t>
      </w:r>
      <w:r w:rsidR="00BA605A" w:rsidRPr="00D37563">
        <w:rPr>
          <w:w w:val="103"/>
        </w:rPr>
        <w:t>long-term</w:t>
      </w:r>
      <w:r w:rsidR="00BA605A">
        <w:t xml:space="preserve"> </w:t>
      </w:r>
      <w:r w:rsidR="00BA605A" w:rsidRPr="00D37563">
        <w:rPr>
          <w:w w:val="103"/>
        </w:rPr>
        <w:t>finance;</w:t>
      </w:r>
      <w:r w:rsidR="00BA605A">
        <w:rPr>
          <w:rStyle w:val="FootnoteReference"/>
          <w:w w:val="103"/>
        </w:rPr>
        <w:footnoteReference w:id="20"/>
      </w:r>
    </w:p>
    <w:p w14:paraId="229653DB" w14:textId="2309C736" w:rsidR="00BA605A" w:rsidRDefault="00D23317" w:rsidP="00D23317">
      <w:pPr>
        <w:pStyle w:val="RegSingleTxtG2"/>
        <w:numPr>
          <w:ilvl w:val="0"/>
          <w:numId w:val="0"/>
        </w:numPr>
        <w:tabs>
          <w:tab w:val="left" w:pos="720"/>
          <w:tab w:val="left" w:pos="1702"/>
        </w:tabs>
        <w:ind w:left="1134" w:firstLine="567"/>
      </w:pPr>
      <w:r>
        <w:rPr>
          <w:szCs w:val="28"/>
        </w:rPr>
        <w:t>(h)</w:t>
      </w:r>
      <w:r>
        <w:rPr>
          <w:szCs w:val="28"/>
        </w:rPr>
        <w:tab/>
      </w:r>
      <w:r w:rsidR="00BA605A">
        <w:t>The technical paper and summary for policymakers arising from the technical examination process on adaptation in 2020;</w:t>
      </w:r>
    </w:p>
    <w:p w14:paraId="3392117D" w14:textId="25540327" w:rsidR="00D37563" w:rsidRDefault="00D23317" w:rsidP="00D23317">
      <w:pPr>
        <w:pStyle w:val="RegSingleTxtG2"/>
        <w:numPr>
          <w:ilvl w:val="0"/>
          <w:numId w:val="0"/>
        </w:numPr>
        <w:tabs>
          <w:tab w:val="left" w:pos="720"/>
          <w:tab w:val="left" w:pos="1702"/>
        </w:tabs>
        <w:ind w:left="1134" w:firstLine="567"/>
      </w:pPr>
      <w:r>
        <w:rPr>
          <w:szCs w:val="28"/>
        </w:rPr>
        <w:t>(i)</w:t>
      </w:r>
      <w:r>
        <w:rPr>
          <w:szCs w:val="28"/>
        </w:rPr>
        <w:tab/>
      </w:r>
      <w:r w:rsidR="00BA605A">
        <w:t>The reports on the independent evaluation of the Adaptation Fund (phase two) and the midterm review of the implementation of the Medium-</w:t>
      </w:r>
      <w:r w:rsidR="00504826">
        <w:t>T</w:t>
      </w:r>
      <w:r w:rsidR="00BA605A">
        <w:t>erm Strategy of the Adaptation Fund</w:t>
      </w:r>
      <w:r w:rsidR="00E76B7C">
        <w:t xml:space="preserve"> for 2018–2022</w:t>
      </w:r>
      <w:r w:rsidR="00BA605A">
        <w:t>.</w:t>
      </w:r>
      <w:r w:rsidR="00BA605A">
        <w:rPr>
          <w:rStyle w:val="FootnoteReference"/>
          <w:w w:val="103"/>
        </w:rPr>
        <w:footnoteReference w:id="21"/>
      </w:r>
      <w:r w:rsidR="00BA605A" w:rsidRPr="00D37563">
        <w:rPr>
          <w:rFonts w:eastAsia="Times New Roman"/>
          <w:sz w:val="24"/>
          <w:szCs w:val="24"/>
          <w:lang w:val="en-US" w:eastAsia="en-US"/>
        </w:rPr>
        <w:t xml:space="preserve"> </w:t>
      </w:r>
    </w:p>
    <w:p w14:paraId="5EF4D1A4" w14:textId="44F4ABDA" w:rsidR="00D37563" w:rsidRPr="00D37563" w:rsidRDefault="00D61E08" w:rsidP="00D37563">
      <w:pPr>
        <w:ind w:right="1133"/>
        <w:jc w:val="right"/>
        <w:rPr>
          <w:i/>
        </w:rPr>
        <w:sectPr w:rsidR="00D37563" w:rsidRPr="00D37563" w:rsidSect="001B0963">
          <w:headerReference w:type="even" r:id="rId33"/>
          <w:headerReference w:type="default" r:id="rId34"/>
          <w:footerReference w:type="even" r:id="rId35"/>
          <w:footerReference w:type="default" r:id="rId36"/>
          <w:footerReference w:type="first" r:id="rId37"/>
          <w:footnotePr>
            <w:numRestart w:val="eachSect"/>
          </w:footnotePr>
          <w:pgSz w:w="11906" w:h="16838" w:code="9"/>
          <w:pgMar w:top="1417" w:right="1134" w:bottom="1134" w:left="1134" w:header="850" w:footer="567" w:gutter="0"/>
          <w:cols w:space="708"/>
          <w:docGrid w:linePitch="360"/>
        </w:sectPr>
      </w:pPr>
      <w:r>
        <w:rPr>
          <w:i/>
        </w:rPr>
        <w:t>10</w:t>
      </w:r>
      <w:r w:rsidRPr="00D61E08">
        <w:rPr>
          <w:i/>
          <w:vertAlign w:val="superscript"/>
        </w:rPr>
        <w:t>th</w:t>
      </w:r>
      <w:r>
        <w:rPr>
          <w:i/>
        </w:rPr>
        <w:t xml:space="preserve"> </w:t>
      </w:r>
      <w:r w:rsidR="00D37563" w:rsidRPr="00D37563">
        <w:rPr>
          <w:i/>
        </w:rPr>
        <w:t>plenary meeting</w:t>
      </w:r>
      <w:r w:rsidR="00D37563" w:rsidRPr="00D37563">
        <w:rPr>
          <w:i/>
        </w:rPr>
        <w:br/>
      </w:r>
      <w:r w:rsidR="00C33883">
        <w:rPr>
          <w:i/>
        </w:rPr>
        <w:t>13</w:t>
      </w:r>
      <w:r w:rsidR="00D37563" w:rsidRPr="00D37563">
        <w:rPr>
          <w:i/>
        </w:rPr>
        <w:t xml:space="preserve"> November 2021</w:t>
      </w:r>
    </w:p>
    <w:p w14:paraId="2722C818" w14:textId="6C43F349" w:rsidR="00D37563" w:rsidRDefault="00D37563" w:rsidP="00D23317">
      <w:pPr>
        <w:pStyle w:val="RegHChG"/>
        <w:numPr>
          <w:ilvl w:val="0"/>
          <w:numId w:val="0"/>
        </w:numPr>
        <w:tabs>
          <w:tab w:val="left" w:pos="720"/>
        </w:tabs>
        <w:ind w:left="1135" w:hanging="454"/>
      </w:pPr>
      <w:bookmarkStart w:id="14" w:name="Decision5"/>
      <w:bookmarkStart w:id="15" w:name="_Hlk88579506"/>
      <w:r>
        <w:t>Decision 5/CMP.16</w:t>
      </w:r>
    </w:p>
    <w:bookmarkEnd w:id="14"/>
    <w:p w14:paraId="7C62F624" w14:textId="26624EE6" w:rsidR="00D37563" w:rsidRDefault="00D37563" w:rsidP="00D23317">
      <w:pPr>
        <w:pStyle w:val="RegHChG"/>
        <w:numPr>
          <w:ilvl w:val="0"/>
          <w:numId w:val="0"/>
        </w:numPr>
        <w:tabs>
          <w:tab w:val="left" w:pos="720"/>
        </w:tabs>
        <w:ind w:left="1135" w:hanging="454"/>
      </w:pPr>
      <w:r>
        <w:t>Fourth comprehensive review of the implementation of the framework for capacity</w:t>
      </w:r>
      <w:bookmarkEnd w:id="15"/>
      <w:r>
        <w:t>-building in developing countries under the Kyoto Protocol</w:t>
      </w:r>
    </w:p>
    <w:p w14:paraId="3753A6A7" w14:textId="77777777" w:rsidR="00D37563" w:rsidRDefault="00D37563" w:rsidP="00D37563">
      <w:pPr>
        <w:pStyle w:val="SingleTxtG"/>
        <w:ind w:firstLine="567"/>
        <w:rPr>
          <w:i/>
          <w:lang w:val="en-US"/>
        </w:rPr>
      </w:pPr>
      <w:r>
        <w:rPr>
          <w:i/>
          <w:lang w:val="en-US"/>
        </w:rPr>
        <w:t>The Conference of the Parties serving as the meeting of the Parties to the Kyoto Protocol</w:t>
      </w:r>
      <w:r>
        <w:rPr>
          <w:lang w:val="en-US"/>
        </w:rPr>
        <w:t>,</w:t>
      </w:r>
      <w:r>
        <w:rPr>
          <w:i/>
          <w:lang w:val="en-US"/>
        </w:rPr>
        <w:t xml:space="preserve"> </w:t>
      </w:r>
    </w:p>
    <w:p w14:paraId="1F2D2511" w14:textId="617D1589" w:rsidR="00D37563" w:rsidRDefault="00D37563" w:rsidP="00D37563">
      <w:pPr>
        <w:pStyle w:val="SingleTxtG"/>
        <w:rPr>
          <w:lang w:val="en-US"/>
        </w:rPr>
      </w:pPr>
      <w:r>
        <w:rPr>
          <w:lang w:val="en-US"/>
        </w:rPr>
        <w:tab/>
      </w:r>
      <w:r>
        <w:rPr>
          <w:lang w:val="en-US"/>
        </w:rPr>
        <w:tab/>
      </w:r>
      <w:r w:rsidRPr="00D37563">
        <w:rPr>
          <w:i/>
          <w:lang w:val="en-US"/>
        </w:rPr>
        <w:t>Recalling</w:t>
      </w:r>
      <w:r>
        <w:rPr>
          <w:lang w:val="en-US"/>
        </w:rPr>
        <w:t xml:space="preserve"> decisions 29/CMP.1, 6/CMP.4, 15/CMP.7, 6/CMP.12, 2/CP.7, 2/CP.17 and 10/CP.25,</w:t>
      </w:r>
    </w:p>
    <w:p w14:paraId="21F9ECB9" w14:textId="310198E9" w:rsidR="00D37563" w:rsidRDefault="00D23317" w:rsidP="00D23317">
      <w:pPr>
        <w:tabs>
          <w:tab w:val="left" w:pos="568"/>
          <w:tab w:val="left" w:pos="1701"/>
        </w:tabs>
        <w:spacing w:after="120"/>
        <w:ind w:left="1135" w:right="1134"/>
        <w:jc w:val="both"/>
      </w:pPr>
      <w:r>
        <w:t>1.</w:t>
      </w:r>
      <w:r>
        <w:tab/>
      </w:r>
      <w:r w:rsidR="00D37563">
        <w:rPr>
          <w:lang w:val="en-US"/>
        </w:rPr>
        <w:tab/>
      </w:r>
      <w:r w:rsidR="00D37563">
        <w:rPr>
          <w:i/>
          <w:iCs/>
        </w:rPr>
        <w:t>Notes with appreciation</w:t>
      </w:r>
      <w:r w:rsidR="00D37563">
        <w:rPr>
          <w:iCs/>
        </w:rPr>
        <w:t xml:space="preserve"> </w:t>
      </w:r>
      <w:r w:rsidR="00D37563">
        <w:t>the continued progress in the implementation of the framework for capacity-building in developing countries established under decision 2/CP.7 (hereinafter referred to as the capacity-building framework), demonstrated by the increase in capacity-building activities undertaken by a growing range of bodies and practitioners under and outside the Convention during the period covered by the fourth comprehensive review of the implementation of the capacity-building framework under the Kyoto Protocol (2017–2021);</w:t>
      </w:r>
    </w:p>
    <w:p w14:paraId="0BFB3A98" w14:textId="436FBF10" w:rsidR="00D37563" w:rsidRDefault="00D23317" w:rsidP="00D23317">
      <w:pPr>
        <w:tabs>
          <w:tab w:val="left" w:pos="568"/>
          <w:tab w:val="left" w:pos="1701"/>
        </w:tabs>
        <w:spacing w:after="120"/>
        <w:ind w:left="1135" w:right="1134"/>
        <w:jc w:val="both"/>
      </w:pPr>
      <w:r>
        <w:t>2.</w:t>
      </w:r>
      <w:r>
        <w:tab/>
      </w:r>
      <w:r w:rsidR="00D37563">
        <w:rPr>
          <w:i/>
          <w:iCs/>
        </w:rPr>
        <w:t>Recognizes</w:t>
      </w:r>
      <w:r w:rsidR="00D37563">
        <w:rPr>
          <w:iCs/>
        </w:rPr>
        <w:t xml:space="preserve"> </w:t>
      </w:r>
      <w:r w:rsidR="00D37563">
        <w:t xml:space="preserve">that, while the objective and scope of capacity-building in developing countries as set out in decision 2/CP.7 and the priority areas as contained in decision 29/CMP.1 are still relevant, current and emerging areas in the context of the Kyoto Protocol should also be taken into account in the further implementation of the capacity-building framework under the Kyoto Protocol; </w:t>
      </w:r>
    </w:p>
    <w:p w14:paraId="40039456" w14:textId="162FD0F3" w:rsidR="00D37563" w:rsidRDefault="00D23317" w:rsidP="00D23317">
      <w:pPr>
        <w:tabs>
          <w:tab w:val="left" w:pos="568"/>
          <w:tab w:val="left" w:pos="1701"/>
        </w:tabs>
        <w:spacing w:after="120"/>
        <w:ind w:left="1135" w:right="1134"/>
        <w:jc w:val="both"/>
      </w:pPr>
      <w:r>
        <w:t>3.</w:t>
      </w:r>
      <w:r>
        <w:tab/>
      </w:r>
      <w:r w:rsidR="00D37563">
        <w:rPr>
          <w:i/>
          <w:iCs/>
        </w:rPr>
        <w:t>Welcomes</w:t>
      </w:r>
      <w:r w:rsidR="00D37563">
        <w:rPr>
          <w:iCs/>
        </w:rPr>
        <w:t xml:space="preserve"> </w:t>
      </w:r>
      <w:r w:rsidR="00D37563">
        <w:t>the Durban Forum on capacity-building as one of the key modalities that have enhanced progress in implementing the capacity-building framework under the Kyoto Protocol;</w:t>
      </w:r>
    </w:p>
    <w:p w14:paraId="645E8D25" w14:textId="2B37C93C" w:rsidR="00D37563" w:rsidRDefault="00D23317" w:rsidP="00D23317">
      <w:pPr>
        <w:tabs>
          <w:tab w:val="left" w:pos="568"/>
          <w:tab w:val="left" w:pos="1701"/>
        </w:tabs>
        <w:spacing w:after="120"/>
        <w:ind w:left="1135" w:right="1134"/>
        <w:jc w:val="both"/>
      </w:pPr>
      <w:r>
        <w:t>4.</w:t>
      </w:r>
      <w:r>
        <w:tab/>
      </w:r>
      <w:r w:rsidR="00D37563">
        <w:rPr>
          <w:i/>
          <w:iCs/>
        </w:rPr>
        <w:t>Also welcomes</w:t>
      </w:r>
      <w:r w:rsidR="00D37563">
        <w:rPr>
          <w:iCs/>
        </w:rPr>
        <w:t xml:space="preserve"> </w:t>
      </w:r>
      <w:r w:rsidR="00D37563">
        <w:t xml:space="preserve">the wide range of capacity-building activities undertaken by constituted bodies under the Kyoto Protocol, the increased coherence and collaboration between bodies, the practice of building and improving on previous work where useful, and the collaboration with relevant stakeholders; </w:t>
      </w:r>
    </w:p>
    <w:p w14:paraId="1A599F7B" w14:textId="757F2EEA" w:rsidR="00D37563" w:rsidRDefault="00D23317" w:rsidP="00D23317">
      <w:pPr>
        <w:tabs>
          <w:tab w:val="left" w:pos="568"/>
          <w:tab w:val="left" w:pos="1701"/>
        </w:tabs>
        <w:spacing w:after="120"/>
        <w:ind w:left="1135" w:right="1134"/>
        <w:jc w:val="both"/>
      </w:pPr>
      <w:r>
        <w:t>5.</w:t>
      </w:r>
      <w:r>
        <w:tab/>
      </w:r>
      <w:r w:rsidR="00D37563">
        <w:rPr>
          <w:i/>
          <w:iCs/>
        </w:rPr>
        <w:t>Emphasizes</w:t>
      </w:r>
      <w:r w:rsidR="00D37563">
        <w:rPr>
          <w:iCs/>
        </w:rPr>
        <w:t xml:space="preserve"> </w:t>
      </w:r>
      <w:r w:rsidR="00D37563">
        <w:t>the value of strengthening the participation of relevant stakeholders, including non-State actors, in undertaking capacity-building activities;</w:t>
      </w:r>
    </w:p>
    <w:p w14:paraId="7B47FFC1" w14:textId="33B9AF19" w:rsidR="00D37563" w:rsidRDefault="00D23317" w:rsidP="00D23317">
      <w:pPr>
        <w:tabs>
          <w:tab w:val="left" w:pos="568"/>
          <w:tab w:val="left" w:pos="1701"/>
        </w:tabs>
        <w:spacing w:after="120"/>
        <w:ind w:left="1135" w:right="1134"/>
        <w:jc w:val="both"/>
      </w:pPr>
      <w:r>
        <w:t>6.</w:t>
      </w:r>
      <w:r>
        <w:tab/>
      </w:r>
      <w:r w:rsidR="00D37563">
        <w:rPr>
          <w:i/>
          <w:iCs/>
        </w:rPr>
        <w:t>Notes</w:t>
      </w:r>
      <w:r w:rsidR="00D37563">
        <w:rPr>
          <w:iCs/>
        </w:rPr>
        <w:t xml:space="preserve"> </w:t>
      </w:r>
      <w:r w:rsidR="00D37563">
        <w:t xml:space="preserve">that, while progress has been made, gaps and needs remain in addressing the priority areas as contained in decision 29/CMP.1; </w:t>
      </w:r>
    </w:p>
    <w:p w14:paraId="142B99A9" w14:textId="7AC35C52" w:rsidR="00D37563" w:rsidRDefault="00D23317" w:rsidP="00D23317">
      <w:pPr>
        <w:tabs>
          <w:tab w:val="left" w:pos="568"/>
          <w:tab w:val="left" w:pos="1701"/>
        </w:tabs>
        <w:spacing w:after="120"/>
        <w:ind w:left="1135" w:right="1134"/>
        <w:jc w:val="both"/>
      </w:pPr>
      <w:r>
        <w:t>7.</w:t>
      </w:r>
      <w:r>
        <w:tab/>
      </w:r>
      <w:r w:rsidR="00D37563">
        <w:rPr>
          <w:i/>
          <w:iCs/>
        </w:rPr>
        <w:t xml:space="preserve">Invites </w:t>
      </w:r>
      <w:r w:rsidR="00D37563">
        <w:rPr>
          <w:iCs/>
        </w:rPr>
        <w:t xml:space="preserve">Parties to foster networking and enhance their collaboration with academia and research centres with a view to promoting individual, </w:t>
      </w:r>
      <w:r w:rsidR="00D37563">
        <w:t>institutional</w:t>
      </w:r>
      <w:r w:rsidR="00D37563">
        <w:rPr>
          <w:iCs/>
        </w:rPr>
        <w:t xml:space="preserve"> and systemic capacity-building through education, training and public awareness; </w:t>
      </w:r>
    </w:p>
    <w:p w14:paraId="67B29653" w14:textId="6114EC8A" w:rsidR="00D37563" w:rsidRDefault="00D23317" w:rsidP="00D23317">
      <w:pPr>
        <w:tabs>
          <w:tab w:val="left" w:pos="568"/>
          <w:tab w:val="left" w:pos="1701"/>
        </w:tabs>
        <w:spacing w:after="120"/>
        <w:ind w:left="1135" w:right="1134"/>
        <w:jc w:val="both"/>
      </w:pPr>
      <w:r>
        <w:t>8.</w:t>
      </w:r>
      <w:r>
        <w:tab/>
      </w:r>
      <w:r w:rsidR="00D37563">
        <w:rPr>
          <w:i/>
          <w:iCs/>
        </w:rPr>
        <w:t xml:space="preserve">Notes </w:t>
      </w:r>
      <w:r w:rsidR="00D37563">
        <w:rPr>
          <w:iCs/>
        </w:rPr>
        <w:t xml:space="preserve">the importance of sharing examples of </w:t>
      </w:r>
      <w:r w:rsidR="00D37563">
        <w:t>best</w:t>
      </w:r>
      <w:r w:rsidR="00D37563">
        <w:rPr>
          <w:iCs/>
        </w:rPr>
        <w:t xml:space="preserve"> practices and lessons learned among Parties and capacity-building practitioners; </w:t>
      </w:r>
    </w:p>
    <w:p w14:paraId="493DD541" w14:textId="134BE174" w:rsidR="00D37563" w:rsidRDefault="00D23317" w:rsidP="00D23317">
      <w:pPr>
        <w:tabs>
          <w:tab w:val="left" w:pos="568"/>
          <w:tab w:val="left" w:pos="1701"/>
        </w:tabs>
        <w:spacing w:after="120"/>
        <w:ind w:left="1135" w:right="1134"/>
        <w:jc w:val="both"/>
        <w:rPr>
          <w:iCs/>
        </w:rPr>
      </w:pPr>
      <w:r>
        <w:rPr>
          <w:iCs/>
        </w:rPr>
        <w:t>9.</w:t>
      </w:r>
      <w:r>
        <w:rPr>
          <w:iCs/>
        </w:rPr>
        <w:tab/>
      </w:r>
      <w:r w:rsidR="00D37563">
        <w:rPr>
          <w:i/>
          <w:iCs/>
        </w:rPr>
        <w:t xml:space="preserve">Emphasizes </w:t>
      </w:r>
      <w:r w:rsidR="00D37563">
        <w:rPr>
          <w:iCs/>
        </w:rPr>
        <w:t>the importance of building long-</w:t>
      </w:r>
      <w:r w:rsidR="00D37563">
        <w:t>term</w:t>
      </w:r>
      <w:r w:rsidR="00D37563">
        <w:rPr>
          <w:iCs/>
        </w:rPr>
        <w:t xml:space="preserve"> capacity in developing countries, including by promoting strong domestic enabling environments; </w:t>
      </w:r>
    </w:p>
    <w:p w14:paraId="642AF60D" w14:textId="418B2D0B" w:rsidR="00D37563" w:rsidRDefault="00D23317" w:rsidP="00D23317">
      <w:pPr>
        <w:tabs>
          <w:tab w:val="left" w:pos="568"/>
          <w:tab w:val="left" w:pos="1701"/>
        </w:tabs>
        <w:spacing w:after="120"/>
        <w:ind w:left="1135" w:right="1134"/>
        <w:jc w:val="both"/>
      </w:pPr>
      <w:r>
        <w:t>10.</w:t>
      </w:r>
      <w:r>
        <w:tab/>
      </w:r>
      <w:r w:rsidR="00D37563">
        <w:rPr>
          <w:i/>
          <w:iCs/>
        </w:rPr>
        <w:t>Notes</w:t>
      </w:r>
      <w:r w:rsidR="00D37563">
        <w:rPr>
          <w:iCs/>
        </w:rPr>
        <w:t xml:space="preserve"> that monitoring and reviewing the impacts of capacity-building remains challenging and needs to be conducted in specific contexts to better assess progress and evaluate the effectiveness of capacity-building activities</w:t>
      </w:r>
      <w:r w:rsidR="00D37563">
        <w:t xml:space="preserve">; </w:t>
      </w:r>
    </w:p>
    <w:p w14:paraId="5F2E4FF3" w14:textId="262055E0" w:rsidR="00D37563" w:rsidRDefault="00D23317" w:rsidP="00D23317">
      <w:pPr>
        <w:tabs>
          <w:tab w:val="left" w:pos="568"/>
          <w:tab w:val="left" w:pos="1701"/>
        </w:tabs>
        <w:spacing w:after="120"/>
        <w:ind w:left="1135" w:right="1134"/>
        <w:jc w:val="both"/>
      </w:pPr>
      <w:r>
        <w:t>11.</w:t>
      </w:r>
      <w:r>
        <w:tab/>
      </w:r>
      <w:r w:rsidR="00D37563">
        <w:rPr>
          <w:i/>
          <w:iCs/>
        </w:rPr>
        <w:t xml:space="preserve">Recognizes </w:t>
      </w:r>
      <w:r w:rsidR="00D37563">
        <w:t xml:space="preserve">the importance of continuing to identify and disseminate lessons learned to enhance the implementation of capacity-building activities, including through the Durban Forum; </w:t>
      </w:r>
    </w:p>
    <w:p w14:paraId="0EBE0774" w14:textId="2F568B07" w:rsidR="00D37563" w:rsidRDefault="00D23317" w:rsidP="00D23317">
      <w:pPr>
        <w:tabs>
          <w:tab w:val="left" w:pos="568"/>
          <w:tab w:val="left" w:pos="1701"/>
        </w:tabs>
        <w:spacing w:after="120"/>
        <w:ind w:left="1135" w:right="1134"/>
        <w:jc w:val="both"/>
      </w:pPr>
      <w:r>
        <w:t>12.</w:t>
      </w:r>
      <w:r>
        <w:tab/>
      </w:r>
      <w:r w:rsidR="00D37563">
        <w:rPr>
          <w:i/>
          <w:iCs/>
        </w:rPr>
        <w:t>Invites</w:t>
      </w:r>
      <w:r w:rsidR="00D37563">
        <w:rPr>
          <w:iCs/>
        </w:rPr>
        <w:t xml:space="preserve"> Parties to cooperate </w:t>
      </w:r>
      <w:r w:rsidR="00D37563">
        <w:t xml:space="preserve">in order to enhance the capacity of developing countries to implement the Kyoto Protocol and </w:t>
      </w:r>
      <w:r w:rsidR="00D37563">
        <w:rPr>
          <w:i/>
        </w:rPr>
        <w:t>also invites</w:t>
      </w:r>
      <w:r w:rsidR="00D37563">
        <w:t xml:space="preserve"> Parties, as appropriate, and other stakeholders to continue to provide support for capacity-building actions in developing countries; </w:t>
      </w:r>
    </w:p>
    <w:p w14:paraId="2B30AF61" w14:textId="5D9EC774" w:rsidR="00D37563" w:rsidRDefault="00D23317" w:rsidP="00D23317">
      <w:pPr>
        <w:tabs>
          <w:tab w:val="left" w:pos="568"/>
          <w:tab w:val="left" w:pos="1701"/>
        </w:tabs>
        <w:spacing w:after="120"/>
        <w:ind w:left="1135" w:right="1134"/>
        <w:jc w:val="both"/>
      </w:pPr>
      <w:r>
        <w:t>13.</w:t>
      </w:r>
      <w:r>
        <w:tab/>
      </w:r>
      <w:r w:rsidR="00D37563">
        <w:rPr>
          <w:i/>
          <w:iCs/>
        </w:rPr>
        <w:t xml:space="preserve">Concludes </w:t>
      </w:r>
      <w:r w:rsidR="00D37563">
        <w:rPr>
          <w:iCs/>
        </w:rPr>
        <w:t xml:space="preserve">the fourth comprehensive review of the </w:t>
      </w:r>
      <w:r w:rsidR="00D37563">
        <w:t>implementation</w:t>
      </w:r>
      <w:r w:rsidR="00D37563">
        <w:rPr>
          <w:iCs/>
        </w:rPr>
        <w:t xml:space="preserve"> of the capacity-building</w:t>
      </w:r>
      <w:r w:rsidR="0002295F">
        <w:rPr>
          <w:iCs/>
        </w:rPr>
        <w:t xml:space="preserve"> </w:t>
      </w:r>
      <w:r w:rsidR="00044A59">
        <w:rPr>
          <w:iCs/>
        </w:rPr>
        <w:t>framework</w:t>
      </w:r>
      <w:r w:rsidR="00D37563">
        <w:rPr>
          <w:iCs/>
        </w:rPr>
        <w:t xml:space="preserve"> under the Kyoto Protocol;</w:t>
      </w:r>
    </w:p>
    <w:p w14:paraId="05C4E599" w14:textId="517A586A" w:rsidR="00D37563" w:rsidRDefault="00D23317" w:rsidP="00D23317">
      <w:pPr>
        <w:tabs>
          <w:tab w:val="left" w:pos="568"/>
          <w:tab w:val="left" w:pos="1701"/>
        </w:tabs>
        <w:spacing w:after="120"/>
        <w:ind w:left="1135" w:right="1134"/>
        <w:jc w:val="both"/>
      </w:pPr>
      <w:r>
        <w:t>14.</w:t>
      </w:r>
      <w:r>
        <w:tab/>
      </w:r>
      <w:r w:rsidR="00D37563">
        <w:rPr>
          <w:i/>
          <w:iCs/>
        </w:rPr>
        <w:t xml:space="preserve">Requests </w:t>
      </w:r>
      <w:r w:rsidR="00D37563">
        <w:t xml:space="preserve">the Subsidiary Body for Implementation to develop terms of reference for the fifth comprehensive review of the implementation of the capacity-building </w:t>
      </w:r>
      <w:r w:rsidR="000E1FE2">
        <w:t>framework</w:t>
      </w:r>
      <w:r w:rsidR="00D37563">
        <w:t xml:space="preserve"> under the Kyoto Protocol at its sixty-second session (2025) for consideration and adoption by the Conference of the Parties </w:t>
      </w:r>
      <w:r w:rsidR="00D37563">
        <w:rPr>
          <w:iCs/>
        </w:rPr>
        <w:t>serving as the meeting of the Parties to the Kyoto Protocol</w:t>
      </w:r>
      <w:r w:rsidR="00D37563">
        <w:t xml:space="preserve"> at its twentieth session (2025); </w:t>
      </w:r>
    </w:p>
    <w:p w14:paraId="6DA8CB63" w14:textId="04E49D7C" w:rsidR="00D37563" w:rsidRDefault="00D23317" w:rsidP="00D23317">
      <w:pPr>
        <w:tabs>
          <w:tab w:val="left" w:pos="568"/>
          <w:tab w:val="left" w:pos="1701"/>
        </w:tabs>
        <w:spacing w:after="120"/>
        <w:ind w:left="1135" w:right="1134"/>
        <w:jc w:val="both"/>
      </w:pPr>
      <w:r>
        <w:t>15.</w:t>
      </w:r>
      <w:r>
        <w:tab/>
      </w:r>
      <w:r w:rsidR="00D37563">
        <w:rPr>
          <w:i/>
          <w:iCs/>
        </w:rPr>
        <w:t>Also requests</w:t>
      </w:r>
      <w:r w:rsidR="00D37563">
        <w:rPr>
          <w:iCs/>
        </w:rPr>
        <w:t xml:space="preserve"> </w:t>
      </w:r>
      <w:r w:rsidR="00D37563">
        <w:t xml:space="preserve">the Subsidiary Body for Implementation to initiate the fifth comprehensive review of the implementation of the capacity-building </w:t>
      </w:r>
      <w:r w:rsidR="00CB0EA6">
        <w:t>framework</w:t>
      </w:r>
      <w:r w:rsidR="00D37563">
        <w:t xml:space="preserve"> under the Kyoto Protocol at its sixty-fourth session (2026) with a view to the Conference of the Parties </w:t>
      </w:r>
      <w:r w:rsidR="00D37563">
        <w:rPr>
          <w:iCs/>
        </w:rPr>
        <w:t>serving as the meeting of the Parties to the Kyoto Protocol</w:t>
      </w:r>
      <w:r w:rsidR="00D37563">
        <w:t xml:space="preserve"> concluding it at its twenty-first session (2026). </w:t>
      </w:r>
    </w:p>
    <w:p w14:paraId="2C6CFBAF" w14:textId="7E2D3134" w:rsidR="00F002B9" w:rsidRPr="00F002B9" w:rsidRDefault="00D61E08" w:rsidP="00F002B9">
      <w:pPr>
        <w:pStyle w:val="ListParagraph"/>
        <w:ind w:left="1135" w:right="1133"/>
        <w:jc w:val="right"/>
        <w:rPr>
          <w:i/>
        </w:rPr>
        <w:sectPr w:rsidR="00F002B9" w:rsidRPr="00F002B9" w:rsidSect="001B0963">
          <w:headerReference w:type="even" r:id="rId38"/>
          <w:headerReference w:type="default" r:id="rId39"/>
          <w:footerReference w:type="even" r:id="rId40"/>
          <w:footerReference w:type="default" r:id="rId41"/>
          <w:footerReference w:type="first" r:id="rId42"/>
          <w:footnotePr>
            <w:numRestart w:val="eachSect"/>
          </w:footnotePr>
          <w:pgSz w:w="11906" w:h="16838" w:code="9"/>
          <w:pgMar w:top="1417" w:right="1134" w:bottom="1134" w:left="1134" w:header="850" w:footer="567" w:gutter="0"/>
          <w:cols w:space="708"/>
          <w:docGrid w:linePitch="360"/>
        </w:sectPr>
      </w:pPr>
      <w:r>
        <w:rPr>
          <w:i/>
        </w:rPr>
        <w:t>9</w:t>
      </w:r>
      <w:r w:rsidRPr="00D61E08">
        <w:rPr>
          <w:i/>
          <w:vertAlign w:val="superscript"/>
        </w:rPr>
        <w:t>th</w:t>
      </w:r>
      <w:r>
        <w:rPr>
          <w:i/>
        </w:rPr>
        <w:t xml:space="preserve"> </w:t>
      </w:r>
      <w:r w:rsidR="00F002B9" w:rsidRPr="00F002B9">
        <w:rPr>
          <w:i/>
        </w:rPr>
        <w:t>plenary meeting</w:t>
      </w:r>
      <w:r w:rsidR="00F002B9" w:rsidRPr="00F002B9">
        <w:rPr>
          <w:i/>
        </w:rPr>
        <w:br/>
      </w:r>
      <w:r>
        <w:rPr>
          <w:i/>
        </w:rPr>
        <w:t>11</w:t>
      </w:r>
      <w:r w:rsidR="00F002B9" w:rsidRPr="00F002B9">
        <w:rPr>
          <w:i/>
        </w:rPr>
        <w:t xml:space="preserve"> November 2021</w:t>
      </w:r>
    </w:p>
    <w:p w14:paraId="049D1726" w14:textId="36FE6FAC" w:rsidR="00F002B9" w:rsidRDefault="00F002B9" w:rsidP="00D23317">
      <w:pPr>
        <w:pStyle w:val="RegHChG"/>
        <w:numPr>
          <w:ilvl w:val="0"/>
          <w:numId w:val="0"/>
        </w:numPr>
        <w:tabs>
          <w:tab w:val="left" w:pos="720"/>
        </w:tabs>
        <w:ind w:left="1135" w:hanging="454"/>
      </w:pPr>
      <w:bookmarkStart w:id="16" w:name="Decision6"/>
      <w:r>
        <w:t>Decision 6/CMP.16</w:t>
      </w:r>
    </w:p>
    <w:bookmarkEnd w:id="16"/>
    <w:p w14:paraId="44CAA01B" w14:textId="3D3AA5F6" w:rsidR="00F002B9" w:rsidRDefault="00F002B9" w:rsidP="00D23317">
      <w:pPr>
        <w:pStyle w:val="RegHChG"/>
        <w:numPr>
          <w:ilvl w:val="0"/>
          <w:numId w:val="0"/>
        </w:numPr>
        <w:tabs>
          <w:tab w:val="left" w:pos="720"/>
        </w:tabs>
        <w:ind w:left="1135" w:hanging="454"/>
      </w:pPr>
      <w:r>
        <w:t>Fifth review of the implementation of the framework for capacity-building in countries with economies in transition under the Kyoto Protocol</w:t>
      </w:r>
    </w:p>
    <w:p w14:paraId="1B4763B5" w14:textId="77777777" w:rsidR="00F002B9" w:rsidRDefault="00F002B9" w:rsidP="00F002B9">
      <w:pPr>
        <w:pStyle w:val="SingleTxtG"/>
        <w:ind w:firstLine="567"/>
        <w:rPr>
          <w:i/>
          <w:lang w:val="en-US"/>
        </w:rPr>
      </w:pPr>
      <w:r>
        <w:rPr>
          <w:i/>
          <w:lang w:val="en-US"/>
        </w:rPr>
        <w:t>The Conference of the Parties serving as the meeting of the Parties to the Kyoto Protocol</w:t>
      </w:r>
      <w:r>
        <w:rPr>
          <w:lang w:val="en-US"/>
        </w:rPr>
        <w:t>,</w:t>
      </w:r>
      <w:r>
        <w:rPr>
          <w:i/>
          <w:lang w:val="en-US"/>
        </w:rPr>
        <w:t xml:space="preserve"> </w:t>
      </w:r>
    </w:p>
    <w:p w14:paraId="1CC8CEBA" w14:textId="6C4A90CF" w:rsidR="00F002B9" w:rsidRDefault="00F002B9" w:rsidP="00F002B9">
      <w:pPr>
        <w:pStyle w:val="SingleTxtG"/>
        <w:rPr>
          <w:lang w:val="en-US"/>
        </w:rPr>
      </w:pPr>
      <w:r>
        <w:rPr>
          <w:lang w:val="en-US"/>
        </w:rPr>
        <w:tab/>
      </w:r>
      <w:r>
        <w:rPr>
          <w:lang w:val="en-US"/>
        </w:rPr>
        <w:tab/>
      </w:r>
      <w:r w:rsidRPr="00F002B9">
        <w:rPr>
          <w:i/>
          <w:lang w:val="en-US"/>
        </w:rPr>
        <w:t>Recalling</w:t>
      </w:r>
      <w:r>
        <w:rPr>
          <w:lang w:val="en-US"/>
        </w:rPr>
        <w:t xml:space="preserve"> decisions 3/CP.7, 3/CP.10, 30/CMP.1, 11/CMP.8 and 4/CMP.13,</w:t>
      </w:r>
    </w:p>
    <w:p w14:paraId="5EAF8358" w14:textId="29F6F8A3" w:rsidR="00F002B9" w:rsidRDefault="00F002B9" w:rsidP="00F002B9">
      <w:pPr>
        <w:pStyle w:val="SingleTxtG"/>
        <w:rPr>
          <w:lang w:val="en-US"/>
        </w:rPr>
      </w:pPr>
      <w:r>
        <w:rPr>
          <w:lang w:val="en-US"/>
        </w:rPr>
        <w:tab/>
      </w:r>
      <w:r>
        <w:rPr>
          <w:lang w:val="en-US"/>
        </w:rPr>
        <w:tab/>
      </w:r>
      <w:r w:rsidRPr="00F002B9">
        <w:rPr>
          <w:i/>
          <w:lang w:val="en-US"/>
        </w:rPr>
        <w:t>Acknowledging</w:t>
      </w:r>
      <w:r>
        <w:rPr>
          <w:lang w:val="en-US"/>
        </w:rPr>
        <w:t xml:space="preserve"> that capacity-building for countries with economies in transition is essential to enabling them to implement effectively their commitments under the Kyoto Protocol</w:t>
      </w:r>
      <w:r w:rsidR="00AA3B49">
        <w:rPr>
          <w:lang w:val="en-US"/>
        </w:rPr>
        <w:t>,</w:t>
      </w:r>
    </w:p>
    <w:p w14:paraId="0E4EB5A4" w14:textId="1F290D01" w:rsidR="00F002B9" w:rsidRDefault="00D23317" w:rsidP="00D23317">
      <w:pPr>
        <w:tabs>
          <w:tab w:val="left" w:pos="568"/>
          <w:tab w:val="left" w:pos="1701"/>
        </w:tabs>
        <w:spacing w:after="120"/>
        <w:ind w:left="1135" w:right="1134"/>
        <w:jc w:val="both"/>
        <w:rPr>
          <w:iCs/>
        </w:rPr>
      </w:pPr>
      <w:r>
        <w:rPr>
          <w:iCs/>
        </w:rPr>
        <w:t>1.</w:t>
      </w:r>
      <w:r>
        <w:rPr>
          <w:iCs/>
        </w:rPr>
        <w:tab/>
      </w:r>
      <w:r w:rsidR="00F002B9">
        <w:rPr>
          <w:i/>
          <w:iCs/>
        </w:rPr>
        <w:t>Recognizes</w:t>
      </w:r>
      <w:r w:rsidR="00F002B9">
        <w:rPr>
          <w:iCs/>
        </w:rPr>
        <w:t xml:space="preserve"> </w:t>
      </w:r>
      <w:r w:rsidR="00F002B9">
        <w:t>that</w:t>
      </w:r>
      <w:r w:rsidR="00F002B9">
        <w:rPr>
          <w:iCs/>
        </w:rPr>
        <w:t>:</w:t>
      </w:r>
    </w:p>
    <w:p w14:paraId="7C9B12EA" w14:textId="034F958E" w:rsidR="00F002B9" w:rsidRDefault="00D23317" w:rsidP="00D23317">
      <w:pPr>
        <w:tabs>
          <w:tab w:val="left" w:pos="1701"/>
          <w:tab w:val="left" w:pos="2269"/>
        </w:tabs>
        <w:spacing w:after="120"/>
        <w:ind w:left="1135" w:right="1134" w:firstLine="567"/>
        <w:jc w:val="both"/>
        <w:rPr>
          <w:iCs/>
        </w:rPr>
      </w:pPr>
      <w:r>
        <w:rPr>
          <w:iCs/>
        </w:rPr>
        <w:t>(a)</w:t>
      </w:r>
      <w:r>
        <w:rPr>
          <w:iCs/>
        </w:rPr>
        <w:tab/>
      </w:r>
      <w:r w:rsidR="00F002B9">
        <w:rPr>
          <w:iCs/>
        </w:rPr>
        <w:t xml:space="preserve">Significant progress has been made in building the capacity of countries with economies in </w:t>
      </w:r>
      <w:r w:rsidR="00F002B9">
        <w:t>transition</w:t>
      </w:r>
      <w:r w:rsidR="00F002B9">
        <w:rPr>
          <w:iCs/>
        </w:rPr>
        <w:t xml:space="preserve"> to mitigate climate change, and that some recipients of assistance have started to transfer their own expertise, knowledge and lessons learned on capacity-building to Parties not included in Annex I to the Convention; </w:t>
      </w:r>
    </w:p>
    <w:p w14:paraId="6431A001" w14:textId="3DCD2D4C" w:rsidR="00F002B9" w:rsidRDefault="00D23317" w:rsidP="00D23317">
      <w:pPr>
        <w:tabs>
          <w:tab w:val="left" w:pos="1701"/>
          <w:tab w:val="left" w:pos="2269"/>
        </w:tabs>
        <w:spacing w:after="120"/>
        <w:ind w:left="1135" w:right="1134" w:firstLine="567"/>
        <w:jc w:val="both"/>
        <w:rPr>
          <w:iCs/>
        </w:rPr>
      </w:pPr>
      <w:r>
        <w:rPr>
          <w:iCs/>
        </w:rPr>
        <w:t>(b)</w:t>
      </w:r>
      <w:r>
        <w:rPr>
          <w:iCs/>
        </w:rPr>
        <w:tab/>
      </w:r>
      <w:r w:rsidR="00F002B9">
        <w:rPr>
          <w:iCs/>
        </w:rPr>
        <w:t xml:space="preserve">Parties included in Annex I to the Convention and the Global Environment Facility, within its mandate, have </w:t>
      </w:r>
      <w:r w:rsidR="00F002B9">
        <w:t>provided</w:t>
      </w:r>
      <w:r w:rsidR="00F002B9">
        <w:rPr>
          <w:iCs/>
        </w:rPr>
        <w:t xml:space="preserve"> adequate resources and assistance for the implementation of the framework for capacity-building in countries with economies in transition established under decision 3/CP.7 and reaffirmed by decision 30/CMP.1; </w:t>
      </w:r>
    </w:p>
    <w:p w14:paraId="5ED43016" w14:textId="65D52A85" w:rsidR="00F002B9" w:rsidRDefault="00D23317" w:rsidP="00D23317">
      <w:pPr>
        <w:tabs>
          <w:tab w:val="left" w:pos="1701"/>
          <w:tab w:val="left" w:pos="2269"/>
        </w:tabs>
        <w:spacing w:after="120"/>
        <w:ind w:left="1135" w:right="1134" w:firstLine="567"/>
        <w:jc w:val="both"/>
      </w:pPr>
      <w:r>
        <w:t>(c)</w:t>
      </w:r>
      <w:r>
        <w:tab/>
      </w:r>
      <w:r w:rsidR="00F002B9">
        <w:t xml:space="preserve">Support </w:t>
      </w:r>
      <w:r w:rsidR="00F002B9">
        <w:rPr>
          <w:iCs/>
        </w:rPr>
        <w:t>was</w:t>
      </w:r>
      <w:r w:rsidR="00F002B9">
        <w:t xml:space="preserve"> also provided to countries with economies in transition by multilateral development banks and international financial institutions; </w:t>
      </w:r>
    </w:p>
    <w:p w14:paraId="0D45A126" w14:textId="36FB6818" w:rsidR="00F002B9" w:rsidRDefault="00D23317" w:rsidP="00D23317">
      <w:pPr>
        <w:tabs>
          <w:tab w:val="left" w:pos="1701"/>
          <w:tab w:val="left" w:pos="2269"/>
        </w:tabs>
        <w:spacing w:after="120"/>
        <w:ind w:left="1135" w:right="1134" w:firstLine="567"/>
        <w:jc w:val="both"/>
        <w:rPr>
          <w:iCs/>
        </w:rPr>
      </w:pPr>
      <w:r>
        <w:rPr>
          <w:iCs/>
        </w:rPr>
        <w:t>(d)</w:t>
      </w:r>
      <w:r>
        <w:rPr>
          <w:iCs/>
        </w:rPr>
        <w:tab/>
      </w:r>
      <w:r w:rsidR="00F002B9">
        <w:rPr>
          <w:iCs/>
        </w:rPr>
        <w:t xml:space="preserve">Countries with economies in transition that are currently receiving support, notwithstanding the progress made, are in need of further capacity-building, in particular for regularly updating and implementing their emission reduction targets, and for developing and implementing national long-term low-emission development strategies consistently with their national priorities; </w:t>
      </w:r>
    </w:p>
    <w:p w14:paraId="4343EA86" w14:textId="5A096F30" w:rsidR="00F002B9" w:rsidRDefault="00D23317" w:rsidP="00D23317">
      <w:pPr>
        <w:tabs>
          <w:tab w:val="left" w:pos="568"/>
          <w:tab w:val="left" w:pos="1701"/>
        </w:tabs>
        <w:spacing w:after="120"/>
        <w:ind w:left="1135" w:right="1134"/>
        <w:jc w:val="both"/>
        <w:rPr>
          <w:iCs/>
        </w:rPr>
      </w:pPr>
      <w:r>
        <w:rPr>
          <w:iCs/>
        </w:rPr>
        <w:t>2.</w:t>
      </w:r>
      <w:r>
        <w:rPr>
          <w:iCs/>
        </w:rPr>
        <w:tab/>
      </w:r>
      <w:r w:rsidR="00F002B9">
        <w:rPr>
          <w:i/>
          <w:iCs/>
        </w:rPr>
        <w:t>Reaffirms</w:t>
      </w:r>
      <w:r w:rsidR="00F002B9">
        <w:rPr>
          <w:iCs/>
        </w:rPr>
        <w:t xml:space="preserve"> that the scope of the needs identified in the framework for capacity-building in countries with economies in </w:t>
      </w:r>
      <w:r w:rsidR="00F002B9">
        <w:t>transition</w:t>
      </w:r>
      <w:r w:rsidR="00F002B9">
        <w:rPr>
          <w:iCs/>
        </w:rPr>
        <w:t xml:space="preserve"> established under decision 3/CP.7 and 30/CMP.1 and the key factors identified in decision 3/CP.10 remain relevant and continue to be the basis for, and guide the implementation of, capacity-building activities in countries with economies in transition;</w:t>
      </w:r>
    </w:p>
    <w:p w14:paraId="1F88E79B" w14:textId="6A33A337" w:rsidR="00F002B9" w:rsidRDefault="00D23317" w:rsidP="00D23317">
      <w:pPr>
        <w:tabs>
          <w:tab w:val="left" w:pos="568"/>
          <w:tab w:val="left" w:pos="1701"/>
        </w:tabs>
        <w:spacing w:after="120"/>
        <w:ind w:left="1135" w:right="1134"/>
        <w:jc w:val="both"/>
        <w:rPr>
          <w:iCs/>
        </w:rPr>
      </w:pPr>
      <w:r>
        <w:rPr>
          <w:iCs/>
        </w:rPr>
        <w:t>3.</w:t>
      </w:r>
      <w:r>
        <w:rPr>
          <w:iCs/>
        </w:rPr>
        <w:tab/>
      </w:r>
      <w:r w:rsidR="00F002B9">
        <w:rPr>
          <w:i/>
          <w:iCs/>
        </w:rPr>
        <w:t>Encourages</w:t>
      </w:r>
      <w:r w:rsidR="00F002B9">
        <w:rPr>
          <w:iCs/>
        </w:rPr>
        <w:t xml:space="preserve"> the engagement of countries with economies in transition in future discussions at the Durban Forum, as appropriate, to explore </w:t>
      </w:r>
      <w:r w:rsidR="00F002B9">
        <w:t>potential</w:t>
      </w:r>
      <w:r w:rsidR="00F002B9">
        <w:rPr>
          <w:iCs/>
        </w:rPr>
        <w:t xml:space="preserve"> ways for enhancing capacity-building in countries with economies in transition by sharing examples of best practices and lessons learned;</w:t>
      </w:r>
    </w:p>
    <w:p w14:paraId="6229DF60" w14:textId="28F8C1E8" w:rsidR="00F002B9" w:rsidRDefault="00D23317" w:rsidP="00D23317">
      <w:pPr>
        <w:tabs>
          <w:tab w:val="left" w:pos="568"/>
          <w:tab w:val="left" w:pos="1701"/>
        </w:tabs>
        <w:spacing w:after="120"/>
        <w:ind w:left="1135" w:right="1134"/>
        <w:jc w:val="both"/>
        <w:rPr>
          <w:iCs/>
        </w:rPr>
      </w:pPr>
      <w:r>
        <w:rPr>
          <w:iCs/>
        </w:rPr>
        <w:t>4.</w:t>
      </w:r>
      <w:r>
        <w:rPr>
          <w:iCs/>
        </w:rPr>
        <w:tab/>
      </w:r>
      <w:r w:rsidR="00F002B9">
        <w:rPr>
          <w:i/>
          <w:iCs/>
        </w:rPr>
        <w:t>Invites</w:t>
      </w:r>
      <w:r w:rsidR="00F002B9">
        <w:rPr>
          <w:iCs/>
        </w:rPr>
        <w:t xml:space="preserve"> Parties to enhance reporting on best practices related to capacity-building in their national communications, biennial reports, submissions and other relevant documents with a view to furthering learning and broadening the impact of capacity-building activities in countries with economies in transition;</w:t>
      </w:r>
    </w:p>
    <w:p w14:paraId="7B6B5D4F" w14:textId="1BA5213C" w:rsidR="00F002B9" w:rsidRDefault="00D23317" w:rsidP="00D23317">
      <w:pPr>
        <w:tabs>
          <w:tab w:val="left" w:pos="568"/>
          <w:tab w:val="left" w:pos="1701"/>
        </w:tabs>
        <w:spacing w:after="120"/>
        <w:ind w:left="1135" w:right="1134"/>
        <w:jc w:val="both"/>
      </w:pPr>
      <w:r>
        <w:t>5.</w:t>
      </w:r>
      <w:r>
        <w:tab/>
      </w:r>
      <w:r w:rsidR="00F002B9">
        <w:rPr>
          <w:i/>
          <w:iCs/>
        </w:rPr>
        <w:t>Also invites</w:t>
      </w:r>
      <w:r w:rsidR="00F002B9">
        <w:t xml:space="preserve"> Parties included in Annex II to the Convention and other Parties in a position to do so, the Global Environment Facility, multilateral and bilateral agencies, international organizations, multilateral development banks, international financial institutions and the private sector or any further arrangements, as appropriate and within their mandates, to continue to provide support for capacity-building activities in countries with economies in transition; </w:t>
      </w:r>
    </w:p>
    <w:p w14:paraId="60E78E11" w14:textId="2809D109" w:rsidR="00F002B9" w:rsidRDefault="00D23317" w:rsidP="00D23317">
      <w:pPr>
        <w:tabs>
          <w:tab w:val="left" w:pos="568"/>
          <w:tab w:val="left" w:pos="1701"/>
        </w:tabs>
        <w:spacing w:after="120"/>
        <w:ind w:left="1135" w:right="1134"/>
        <w:jc w:val="both"/>
        <w:rPr>
          <w:iCs/>
        </w:rPr>
      </w:pPr>
      <w:r>
        <w:rPr>
          <w:iCs/>
        </w:rPr>
        <w:t>6.</w:t>
      </w:r>
      <w:r>
        <w:rPr>
          <w:iCs/>
        </w:rPr>
        <w:tab/>
      </w:r>
      <w:r w:rsidR="00F002B9">
        <w:rPr>
          <w:i/>
        </w:rPr>
        <w:t>Further invites</w:t>
      </w:r>
      <w:r w:rsidR="00F002B9">
        <w:rPr>
          <w:iCs/>
        </w:rPr>
        <w:t xml:space="preserve"> Parties and relevant institutions to provide information on capacity-building activities in countries with economies in transition to the secretariat for inclusion </w:t>
      </w:r>
      <w:r w:rsidR="007A3E6F">
        <w:rPr>
          <w:iCs/>
        </w:rPr>
        <w:t>o</w:t>
      </w:r>
      <w:r w:rsidR="00F002B9">
        <w:rPr>
          <w:iCs/>
        </w:rPr>
        <w:t>n the capacity-building portal;</w:t>
      </w:r>
      <w:r w:rsidR="00F002B9">
        <w:rPr>
          <w:rStyle w:val="FootnoteReference"/>
          <w:iCs/>
        </w:rPr>
        <w:footnoteReference w:id="22"/>
      </w:r>
    </w:p>
    <w:p w14:paraId="2E421172" w14:textId="50C1709B" w:rsidR="00F002B9" w:rsidRDefault="00D23317" w:rsidP="00D23317">
      <w:pPr>
        <w:tabs>
          <w:tab w:val="left" w:pos="568"/>
          <w:tab w:val="left" w:pos="1701"/>
        </w:tabs>
        <w:spacing w:after="120"/>
        <w:ind w:left="1135" w:right="1134"/>
        <w:jc w:val="both"/>
        <w:rPr>
          <w:iCs/>
        </w:rPr>
      </w:pPr>
      <w:r>
        <w:rPr>
          <w:iCs/>
        </w:rPr>
        <w:t>7.</w:t>
      </w:r>
      <w:r>
        <w:rPr>
          <w:iCs/>
        </w:rPr>
        <w:tab/>
      </w:r>
      <w:r w:rsidR="00F002B9">
        <w:rPr>
          <w:i/>
          <w:iCs/>
        </w:rPr>
        <w:t xml:space="preserve">Decides </w:t>
      </w:r>
      <w:r w:rsidR="00F002B9">
        <w:rPr>
          <w:iCs/>
        </w:rPr>
        <w:t xml:space="preserve">to conclude the fifth review of the implementation of the framework for capacity-building in countries with economies in transition </w:t>
      </w:r>
      <w:r w:rsidR="00CD05E3">
        <w:rPr>
          <w:iCs/>
        </w:rPr>
        <w:t xml:space="preserve">under the Kyoto Protocol </w:t>
      </w:r>
      <w:r w:rsidR="00F002B9">
        <w:rPr>
          <w:iCs/>
        </w:rPr>
        <w:t>and</w:t>
      </w:r>
      <w:r w:rsidR="00F002B9">
        <w:rPr>
          <w:i/>
          <w:iCs/>
        </w:rPr>
        <w:t xml:space="preserve"> requests</w:t>
      </w:r>
      <w:r w:rsidR="00F002B9">
        <w:rPr>
          <w:iCs/>
        </w:rPr>
        <w:t xml:space="preserve"> the Subsidiary Body for Implementation, at its sixty-fourth session (2026), to initiate the </w:t>
      </w:r>
      <w:r w:rsidR="00F002B9">
        <w:t>sixth</w:t>
      </w:r>
      <w:r w:rsidR="00F002B9">
        <w:rPr>
          <w:iCs/>
        </w:rPr>
        <w:t xml:space="preserve"> review </w:t>
      </w:r>
      <w:r w:rsidR="00FB2AB7">
        <w:rPr>
          <w:iCs/>
        </w:rPr>
        <w:t>thereof</w:t>
      </w:r>
      <w:r w:rsidR="00F002B9">
        <w:rPr>
          <w:iCs/>
        </w:rPr>
        <w:t xml:space="preserve"> with a view to the Conference of the Parties serving as the meeting of the Parties to the Kyoto Protocol concluding it at its twenty-first session (2026);</w:t>
      </w:r>
    </w:p>
    <w:p w14:paraId="37A41223" w14:textId="7348F3E4" w:rsidR="00F002B9" w:rsidRDefault="00D23317" w:rsidP="00D23317">
      <w:pPr>
        <w:tabs>
          <w:tab w:val="left" w:pos="568"/>
          <w:tab w:val="left" w:pos="1701"/>
        </w:tabs>
        <w:spacing w:after="120"/>
        <w:ind w:left="1135" w:right="1134"/>
        <w:jc w:val="both"/>
        <w:rPr>
          <w:rFonts w:eastAsia="Times New Roman"/>
          <w:sz w:val="24"/>
          <w:szCs w:val="24"/>
          <w:lang w:val="en-US" w:eastAsia="en-US"/>
        </w:rPr>
      </w:pPr>
      <w:r>
        <w:rPr>
          <w:rFonts w:eastAsia="Times New Roman"/>
          <w:szCs w:val="24"/>
          <w:lang w:val="en-US" w:eastAsia="en-US"/>
        </w:rPr>
        <w:t>8.</w:t>
      </w:r>
      <w:r>
        <w:rPr>
          <w:rFonts w:eastAsia="Times New Roman"/>
          <w:szCs w:val="24"/>
          <w:lang w:val="en-US" w:eastAsia="en-US"/>
        </w:rPr>
        <w:tab/>
      </w:r>
      <w:r w:rsidR="00EB5C32">
        <w:rPr>
          <w:i/>
          <w:iCs/>
        </w:rPr>
        <w:t>Also r</w:t>
      </w:r>
      <w:r w:rsidR="00F002B9">
        <w:rPr>
          <w:i/>
          <w:iCs/>
        </w:rPr>
        <w:t xml:space="preserve">equests </w:t>
      </w:r>
      <w:r w:rsidR="00F002B9">
        <w:rPr>
          <w:iCs/>
        </w:rPr>
        <w:t>the secretariat to prepare a synthesis report on</w:t>
      </w:r>
      <w:r w:rsidR="00762ED8">
        <w:rPr>
          <w:iCs/>
        </w:rPr>
        <w:t xml:space="preserve"> the</w:t>
      </w:r>
      <w:r w:rsidR="00F002B9">
        <w:rPr>
          <w:iCs/>
        </w:rPr>
        <w:t xml:space="preserve"> implementation of the framework for capacity-building in countries with economies in transition to support the sixth review </w:t>
      </w:r>
      <w:r w:rsidR="00604BA2">
        <w:rPr>
          <w:iCs/>
        </w:rPr>
        <w:t>there</w:t>
      </w:r>
      <w:r w:rsidR="00F002B9">
        <w:rPr>
          <w:iCs/>
        </w:rPr>
        <w:t xml:space="preserve">of </w:t>
      </w:r>
      <w:r w:rsidR="00F002B9">
        <w:t>for consideration by the Subsidiary Body for Implementation at its sixty-fourth session</w:t>
      </w:r>
      <w:r w:rsidR="00F002B9">
        <w:rPr>
          <w:iCs/>
        </w:rPr>
        <w:t>.</w:t>
      </w:r>
      <w:r w:rsidR="00F002B9">
        <w:rPr>
          <w:rFonts w:eastAsia="Times New Roman"/>
          <w:sz w:val="24"/>
          <w:szCs w:val="24"/>
          <w:lang w:val="en-US" w:eastAsia="en-US"/>
        </w:rPr>
        <w:t xml:space="preserve"> </w:t>
      </w:r>
    </w:p>
    <w:p w14:paraId="736FB4D5" w14:textId="11D16575" w:rsidR="00F002B9" w:rsidRPr="00F002B9" w:rsidRDefault="00C40CDA" w:rsidP="00F002B9">
      <w:pPr>
        <w:pStyle w:val="ListParagraph"/>
        <w:ind w:left="1135" w:right="1133"/>
        <w:jc w:val="right"/>
        <w:rPr>
          <w:i/>
        </w:rPr>
        <w:sectPr w:rsidR="00F002B9" w:rsidRPr="00F002B9" w:rsidSect="001B0963">
          <w:headerReference w:type="even" r:id="rId43"/>
          <w:headerReference w:type="default" r:id="rId44"/>
          <w:footerReference w:type="even" r:id="rId45"/>
          <w:footerReference w:type="default" r:id="rId46"/>
          <w:footerReference w:type="first" r:id="rId47"/>
          <w:footnotePr>
            <w:numRestart w:val="eachSect"/>
          </w:footnotePr>
          <w:pgSz w:w="11906" w:h="16838" w:code="9"/>
          <w:pgMar w:top="1417" w:right="1134" w:bottom="1134" w:left="1134" w:header="850" w:footer="567" w:gutter="0"/>
          <w:cols w:space="708"/>
          <w:docGrid w:linePitch="360"/>
        </w:sectPr>
      </w:pPr>
      <w:r>
        <w:rPr>
          <w:i/>
        </w:rPr>
        <w:t>9</w:t>
      </w:r>
      <w:r w:rsidRPr="00C40CDA">
        <w:rPr>
          <w:i/>
          <w:vertAlign w:val="superscript"/>
        </w:rPr>
        <w:t>th</w:t>
      </w:r>
      <w:r>
        <w:rPr>
          <w:i/>
        </w:rPr>
        <w:t xml:space="preserve"> </w:t>
      </w:r>
      <w:r w:rsidR="00F002B9" w:rsidRPr="00F002B9">
        <w:rPr>
          <w:i/>
        </w:rPr>
        <w:t>plenary meeting</w:t>
      </w:r>
      <w:r w:rsidR="00F002B9" w:rsidRPr="00F002B9">
        <w:rPr>
          <w:i/>
        </w:rPr>
        <w:br/>
      </w:r>
      <w:r>
        <w:rPr>
          <w:i/>
        </w:rPr>
        <w:t>11</w:t>
      </w:r>
      <w:r w:rsidR="00F002B9" w:rsidRPr="00F002B9">
        <w:rPr>
          <w:i/>
        </w:rPr>
        <w:t xml:space="preserve"> November 2021</w:t>
      </w:r>
    </w:p>
    <w:p w14:paraId="690EEC12" w14:textId="22D7BCE5" w:rsidR="00F002B9" w:rsidRDefault="00F002B9" w:rsidP="00D23317">
      <w:pPr>
        <w:pStyle w:val="RegHChG"/>
        <w:numPr>
          <w:ilvl w:val="0"/>
          <w:numId w:val="0"/>
        </w:numPr>
        <w:tabs>
          <w:tab w:val="left" w:pos="720"/>
        </w:tabs>
        <w:ind w:left="1135" w:hanging="454"/>
      </w:pPr>
      <w:bookmarkStart w:id="17" w:name="Decision7"/>
      <w:r>
        <w:t>Decision 7/CMP.16</w:t>
      </w:r>
    </w:p>
    <w:bookmarkEnd w:id="17"/>
    <w:p w14:paraId="7C836FA3" w14:textId="1CFA3C1E" w:rsidR="00F002B9" w:rsidRDefault="00F002B9" w:rsidP="00D23317">
      <w:pPr>
        <w:pStyle w:val="RegHChG"/>
        <w:numPr>
          <w:ilvl w:val="0"/>
          <w:numId w:val="0"/>
        </w:numPr>
        <w:tabs>
          <w:tab w:val="left" w:pos="720"/>
        </w:tabs>
        <w:ind w:left="1135" w:hanging="454"/>
      </w:pPr>
      <w:r>
        <w:t>Matters relating to the forum on the impact of the implementation of response measures</w:t>
      </w:r>
    </w:p>
    <w:p w14:paraId="29C39634" w14:textId="77777777" w:rsidR="00F002B9" w:rsidRDefault="00F002B9" w:rsidP="00D23ACC">
      <w:pPr>
        <w:spacing w:after="120"/>
        <w:ind w:left="1134" w:right="1133" w:firstLine="567"/>
        <w:jc w:val="both"/>
        <w:rPr>
          <w:i/>
          <w:iCs/>
        </w:rPr>
      </w:pPr>
      <w:r>
        <w:rPr>
          <w:i/>
        </w:rPr>
        <w:t>The Conference of the Parties and the Conference of the Parties serving as the meeting of the Parties to the Kyoto Protocol</w:t>
      </w:r>
      <w:r>
        <w:t>,</w:t>
      </w:r>
    </w:p>
    <w:p w14:paraId="4F661B16" w14:textId="77777777" w:rsidR="00F002B9" w:rsidRDefault="00F002B9" w:rsidP="00D23ACC">
      <w:pPr>
        <w:spacing w:after="120"/>
        <w:ind w:left="1134" w:right="1133" w:firstLine="567"/>
        <w:jc w:val="both"/>
      </w:pPr>
      <w:r>
        <w:rPr>
          <w:i/>
          <w:iCs/>
        </w:rPr>
        <w:t>Recalling</w:t>
      </w:r>
      <w:r>
        <w:t xml:space="preserve"> decisions 7/CP.24, 4/CP.25, 3/CMP.14, 4/CMP.15 and 7/CMA.1,</w:t>
      </w:r>
    </w:p>
    <w:p w14:paraId="1B2A0D2F" w14:textId="210FB96B" w:rsidR="00F002B9" w:rsidRDefault="00D23317" w:rsidP="00D23317">
      <w:pPr>
        <w:tabs>
          <w:tab w:val="left" w:pos="360"/>
          <w:tab w:val="num" w:pos="1702"/>
        </w:tabs>
        <w:spacing w:after="120"/>
        <w:ind w:left="1134" w:right="1134"/>
        <w:jc w:val="both"/>
      </w:pPr>
      <w:r>
        <w:t>1.</w:t>
      </w:r>
      <w:r>
        <w:tab/>
      </w:r>
      <w:r w:rsidR="00F002B9">
        <w:rPr>
          <w:i/>
        </w:rPr>
        <w:t>Welcome</w:t>
      </w:r>
      <w:r w:rsidR="00F002B9">
        <w:t xml:space="preserve"> </w:t>
      </w:r>
      <w:r w:rsidR="00F002B9">
        <w:rPr>
          <w:i/>
        </w:rPr>
        <w:t>with appreciation</w:t>
      </w:r>
      <w:r w:rsidR="00F002B9">
        <w:t xml:space="preserve"> the annual report of the Katowice Committee of Experts on the Impacts of the Implementation of Response Measures (hereinafter referred to as the Katowice Committee on Impacts) for 2020–2021</w:t>
      </w:r>
      <w:r w:rsidR="00F002B9">
        <w:rPr>
          <w:sz w:val="18"/>
          <w:vertAlign w:val="superscript"/>
        </w:rPr>
        <w:footnoteReference w:id="23"/>
      </w:r>
      <w:r w:rsidR="00F002B9">
        <w:rPr>
          <w:vertAlign w:val="superscript"/>
        </w:rPr>
        <w:t xml:space="preserve"> </w:t>
      </w:r>
      <w:r w:rsidR="00F002B9">
        <w:t>and the progress of the Katowice Committee on Impacts in supporting the work of the forum on the impact of the implementation of response measures (hereinafter referred to as the forum)</w:t>
      </w:r>
      <w:r w:rsidR="001D6549">
        <w:t>,</w:t>
      </w:r>
      <w:r w:rsidR="00F002B9">
        <w:t xml:space="preserve"> noting that, on an exceptional basis, the 2020–2021 annual report was considered before consideration of the 2020 annual report and continuation of consideration of the 2019 annual report;</w:t>
      </w:r>
    </w:p>
    <w:p w14:paraId="37489705" w14:textId="0962742E" w:rsidR="00F002B9" w:rsidRDefault="00D23317" w:rsidP="00D23317">
      <w:pPr>
        <w:tabs>
          <w:tab w:val="left" w:pos="360"/>
          <w:tab w:val="num" w:pos="1702"/>
        </w:tabs>
        <w:spacing w:after="120"/>
        <w:ind w:left="1134" w:right="1134"/>
        <w:jc w:val="both"/>
        <w:rPr>
          <w:color w:val="000000" w:themeColor="text1"/>
        </w:rPr>
      </w:pPr>
      <w:r>
        <w:rPr>
          <w:color w:val="000000" w:themeColor="text1"/>
        </w:rPr>
        <w:t>2.</w:t>
      </w:r>
      <w:r>
        <w:rPr>
          <w:color w:val="000000" w:themeColor="text1"/>
        </w:rPr>
        <w:tab/>
      </w:r>
      <w:r w:rsidR="00F002B9">
        <w:rPr>
          <w:i/>
          <w:color w:val="000000" w:themeColor="text1"/>
        </w:rPr>
        <w:t xml:space="preserve">Welcome </w:t>
      </w:r>
      <w:r w:rsidR="00F002B9">
        <w:rPr>
          <w:color w:val="000000" w:themeColor="text1"/>
        </w:rPr>
        <w:t>the informal event and technical expert meetings held virtually in 2020 and 2021</w:t>
      </w:r>
      <w:r w:rsidR="00F002B9">
        <w:rPr>
          <w:color w:val="000000" w:themeColor="text1"/>
          <w:sz w:val="18"/>
          <w:vertAlign w:val="superscript"/>
        </w:rPr>
        <w:footnoteReference w:id="24"/>
      </w:r>
      <w:r w:rsidR="00F002B9">
        <w:rPr>
          <w:color w:val="000000" w:themeColor="text1"/>
        </w:rPr>
        <w:t xml:space="preserve"> by the Chairs of the Subsidiary Body for Scientific and Technological Advice and the Subsidiary Body for Implementation, which served as input to the forum’s work on implementing the relevant activities in the workplan of the forum and its Katowice Committee on Impacts</w:t>
      </w:r>
      <w:r w:rsidR="009E48A0">
        <w:rPr>
          <w:color w:val="000000" w:themeColor="text1"/>
        </w:rPr>
        <w:t>,</w:t>
      </w:r>
      <w:r w:rsidR="00F002B9">
        <w:rPr>
          <w:color w:val="000000" w:themeColor="text1"/>
          <w:sz w:val="18"/>
          <w:vertAlign w:val="superscript"/>
        </w:rPr>
        <w:footnoteReference w:id="25"/>
      </w:r>
      <w:r w:rsidR="00F002B9">
        <w:rPr>
          <w:color w:val="000000" w:themeColor="text1"/>
        </w:rPr>
        <w:t xml:space="preserve"> and </w:t>
      </w:r>
      <w:r w:rsidR="00F002B9">
        <w:rPr>
          <w:i/>
          <w:color w:val="000000" w:themeColor="text1"/>
        </w:rPr>
        <w:t>underscore</w:t>
      </w:r>
      <w:r w:rsidR="00F002B9">
        <w:rPr>
          <w:color w:val="000000" w:themeColor="text1"/>
        </w:rPr>
        <w:t xml:space="preserve"> the challenges experienced with participating in meetings in a virtual setting in 2020 and 2021;</w:t>
      </w:r>
    </w:p>
    <w:p w14:paraId="76D67793" w14:textId="7DE3AD8F" w:rsidR="00F002B9" w:rsidRDefault="00D23317" w:rsidP="00D23317">
      <w:pPr>
        <w:tabs>
          <w:tab w:val="left" w:pos="360"/>
          <w:tab w:val="num" w:pos="1702"/>
        </w:tabs>
        <w:spacing w:after="120"/>
        <w:ind w:left="1134" w:right="1134"/>
        <w:jc w:val="both"/>
        <w:rPr>
          <w:color w:val="000000" w:themeColor="text1"/>
        </w:rPr>
      </w:pPr>
      <w:bookmarkStart w:id="18" w:name="_Ref89184410"/>
      <w:r>
        <w:rPr>
          <w:color w:val="000000" w:themeColor="text1"/>
        </w:rPr>
        <w:t>3.</w:t>
      </w:r>
      <w:r>
        <w:rPr>
          <w:color w:val="000000" w:themeColor="text1"/>
        </w:rPr>
        <w:tab/>
      </w:r>
      <w:r w:rsidR="00F002B9">
        <w:rPr>
          <w:i/>
          <w:iCs/>
          <w:color w:val="000000" w:themeColor="text1"/>
        </w:rPr>
        <w:t>Note</w:t>
      </w:r>
      <w:r w:rsidR="00F002B9">
        <w:rPr>
          <w:color w:val="000000" w:themeColor="text1"/>
        </w:rPr>
        <w:t xml:space="preserve"> the limitations to progress and limited progress in the implementation of the functions and modalities of the forum and of certain activities in the workplan by the forum, including due to the exceptional circumstances, and therefore </w:t>
      </w:r>
      <w:r w:rsidR="00F002B9">
        <w:rPr>
          <w:i/>
          <w:iCs/>
          <w:color w:val="000000" w:themeColor="text1"/>
        </w:rPr>
        <w:t>request</w:t>
      </w:r>
      <w:r w:rsidR="00F002B9">
        <w:rPr>
          <w:color w:val="000000" w:themeColor="text1"/>
        </w:rPr>
        <w:t xml:space="preserve"> the secretariat to hold a two-day workshop in conjunction with the </w:t>
      </w:r>
      <w:r w:rsidR="00F002B9">
        <w:t>fifty-sixth sessions of the subsidiary bodies (June 2022)</w:t>
      </w:r>
      <w:r w:rsidR="00F002B9">
        <w:rPr>
          <w:color w:val="000000" w:themeColor="text1"/>
        </w:rPr>
        <w:t xml:space="preserve"> to further advance the implementation of workplan activities 3, 4 and 11;</w:t>
      </w:r>
      <w:bookmarkEnd w:id="18"/>
    </w:p>
    <w:p w14:paraId="1CB63DA9" w14:textId="6478806C" w:rsidR="00F002B9" w:rsidRDefault="00D23317" w:rsidP="00D23317">
      <w:pPr>
        <w:tabs>
          <w:tab w:val="left" w:pos="360"/>
          <w:tab w:val="num" w:pos="1702"/>
        </w:tabs>
        <w:spacing w:after="120"/>
        <w:ind w:left="1134" w:right="1134"/>
        <w:jc w:val="both"/>
      </w:pPr>
      <w:r>
        <w:t>4.</w:t>
      </w:r>
      <w:r>
        <w:tab/>
      </w:r>
      <w:r w:rsidR="00F002B9">
        <w:rPr>
          <w:i/>
          <w:color w:val="000000" w:themeColor="text1"/>
        </w:rPr>
        <w:t>Welcome</w:t>
      </w:r>
      <w:r w:rsidR="00F002B9">
        <w:rPr>
          <w:color w:val="000000" w:themeColor="text1"/>
        </w:rPr>
        <w:t xml:space="preserve"> the progress made by the Katowice Committee on Impacts in implementing the workplan and the inputs of experts, practitioners and relevant organizations to the work of the forum and its Katowice Committee on Impacts;</w:t>
      </w:r>
    </w:p>
    <w:p w14:paraId="16684E98" w14:textId="486EF9F8" w:rsidR="00F002B9" w:rsidRDefault="00D23317" w:rsidP="00D23317">
      <w:pPr>
        <w:tabs>
          <w:tab w:val="left" w:pos="360"/>
          <w:tab w:val="num" w:pos="1702"/>
        </w:tabs>
        <w:spacing w:after="120"/>
        <w:ind w:left="1134" w:right="1134"/>
        <w:jc w:val="both"/>
      </w:pPr>
      <w:r>
        <w:t>5.</w:t>
      </w:r>
      <w:r>
        <w:tab/>
      </w:r>
      <w:r w:rsidR="00F002B9">
        <w:rPr>
          <w:i/>
        </w:rPr>
        <w:t xml:space="preserve">Adopt </w:t>
      </w:r>
      <w:r w:rsidR="00F002B9">
        <w:t>the</w:t>
      </w:r>
      <w:r w:rsidR="00F002B9">
        <w:rPr>
          <w:i/>
        </w:rPr>
        <w:t xml:space="preserve"> </w:t>
      </w:r>
      <w:r w:rsidR="00F002B9">
        <w:t xml:space="preserve">recommendations pertaining to activity 1 of the workplan contained in annex I, forwarded by the forum in the 2020–2021 annual report of the </w:t>
      </w:r>
      <w:r w:rsidR="00F002B9">
        <w:rPr>
          <w:color w:val="000000" w:themeColor="text1"/>
        </w:rPr>
        <w:t>Katowice Committee on Impacts</w:t>
      </w:r>
      <w:r w:rsidR="007877D7">
        <w:rPr>
          <w:color w:val="000000" w:themeColor="text1"/>
        </w:rPr>
        <w:t>,</w:t>
      </w:r>
      <w:r w:rsidR="00F002B9">
        <w:t xml:space="preserve"> and</w:t>
      </w:r>
      <w:r w:rsidR="00F002B9">
        <w:rPr>
          <w:i/>
        </w:rPr>
        <w:t xml:space="preserve"> invite </w:t>
      </w:r>
      <w:r w:rsidR="00F002B9">
        <w:t>Parties to implement them, as applicable;</w:t>
      </w:r>
    </w:p>
    <w:p w14:paraId="3A9BDAA9" w14:textId="49E3EFAF" w:rsidR="00F002B9" w:rsidRDefault="00D23317" w:rsidP="00D23317">
      <w:pPr>
        <w:tabs>
          <w:tab w:val="left" w:pos="360"/>
          <w:tab w:val="num" w:pos="1702"/>
        </w:tabs>
        <w:spacing w:after="120"/>
        <w:ind w:left="1134" w:right="1134"/>
        <w:jc w:val="both"/>
      </w:pPr>
      <w:r>
        <w:t>6.</w:t>
      </w:r>
      <w:r>
        <w:tab/>
      </w:r>
      <w:r w:rsidR="00F002B9">
        <w:rPr>
          <w:i/>
        </w:rPr>
        <w:t>Adopt</w:t>
      </w:r>
      <w:r w:rsidR="00F002B9">
        <w:t xml:space="preserve"> the revised rules of procedure of the </w:t>
      </w:r>
      <w:r w:rsidR="00F002B9">
        <w:rPr>
          <w:color w:val="000000" w:themeColor="text1"/>
        </w:rPr>
        <w:t>Katowice Committee on Impacts</w:t>
      </w:r>
      <w:r w:rsidR="00F002B9">
        <w:t xml:space="preserve"> contained in annex II;</w:t>
      </w:r>
    </w:p>
    <w:p w14:paraId="08205D24" w14:textId="0F29991F" w:rsidR="00F002B9" w:rsidRDefault="00D23317" w:rsidP="00D23317">
      <w:pPr>
        <w:tabs>
          <w:tab w:val="left" w:pos="360"/>
          <w:tab w:val="num" w:pos="1702"/>
        </w:tabs>
        <w:spacing w:after="120"/>
        <w:ind w:left="1134" w:right="1134"/>
        <w:jc w:val="both"/>
      </w:pPr>
      <w:r>
        <w:t>7.</w:t>
      </w:r>
      <w:r>
        <w:tab/>
      </w:r>
      <w:r w:rsidR="00F002B9">
        <w:rPr>
          <w:bCs/>
          <w:i/>
          <w:iCs/>
        </w:rPr>
        <w:t>Recall</w:t>
      </w:r>
      <w:r w:rsidR="00F002B9">
        <w:rPr>
          <w:b/>
        </w:rPr>
        <w:t xml:space="preserve"> </w:t>
      </w:r>
      <w:r w:rsidR="00F002B9">
        <w:t xml:space="preserve">decision </w:t>
      </w:r>
      <w:r w:rsidR="00F002B9">
        <w:rPr>
          <w:bCs/>
        </w:rPr>
        <w:t xml:space="preserve">7/CMA.1 and the functions of the forum and </w:t>
      </w:r>
      <w:r w:rsidR="00F002B9">
        <w:rPr>
          <w:bCs/>
          <w:i/>
        </w:rPr>
        <w:t>note</w:t>
      </w:r>
      <w:r w:rsidR="00F002B9">
        <w:rPr>
          <w:bCs/>
        </w:rPr>
        <w:t xml:space="preserve"> that </w:t>
      </w:r>
      <w:r w:rsidR="00F002B9">
        <w:rPr>
          <w:bCs/>
          <w:color w:val="000000" w:themeColor="text1"/>
        </w:rPr>
        <w:t xml:space="preserve">the forum, when considering </w:t>
      </w:r>
      <w:r w:rsidR="00F002B9">
        <w:rPr>
          <w:bCs/>
        </w:rPr>
        <w:t xml:space="preserve">the annual reports of the </w:t>
      </w:r>
      <w:r w:rsidR="00F002B9">
        <w:rPr>
          <w:color w:val="000000" w:themeColor="text1"/>
        </w:rPr>
        <w:t>Katowice Committee on Impacts</w:t>
      </w:r>
      <w:r w:rsidR="00F002B9">
        <w:rPr>
          <w:bCs/>
        </w:rPr>
        <w:t xml:space="preserve"> </w:t>
      </w:r>
      <w:r w:rsidR="00F002B9">
        <w:rPr>
          <w:bCs/>
          <w:color w:val="000000" w:themeColor="text1"/>
        </w:rPr>
        <w:t xml:space="preserve">and the recommendations contained therein, should consider </w:t>
      </w:r>
      <w:r w:rsidR="00F002B9">
        <w:rPr>
          <w:bCs/>
        </w:rPr>
        <w:t xml:space="preserve">ways to </w:t>
      </w:r>
      <w:r w:rsidR="00F002B9">
        <w:rPr>
          <w:bCs/>
          <w:lang w:val="en-US"/>
        </w:rPr>
        <w:t>promote actions to minimize the adverse impacts and maximize the positive impacts of the implementation of response measures</w:t>
      </w:r>
      <w:r w:rsidR="00F002B9">
        <w:rPr>
          <w:bCs/>
          <w:color w:val="000000" w:themeColor="text1"/>
          <w:lang w:val="en-US"/>
        </w:rPr>
        <w:t>;</w:t>
      </w:r>
    </w:p>
    <w:p w14:paraId="5CA1D617" w14:textId="7AFE7709" w:rsidR="00F002B9" w:rsidRDefault="00D23317" w:rsidP="00D23317">
      <w:pPr>
        <w:tabs>
          <w:tab w:val="left" w:pos="360"/>
          <w:tab w:val="num" w:pos="1702"/>
        </w:tabs>
        <w:spacing w:after="120"/>
        <w:ind w:left="1134" w:right="1134"/>
        <w:jc w:val="both"/>
      </w:pPr>
      <w:r>
        <w:t>8.</w:t>
      </w:r>
      <w:r>
        <w:tab/>
      </w:r>
      <w:r w:rsidR="00F002B9">
        <w:rPr>
          <w:bCs/>
          <w:i/>
          <w:color w:val="000000" w:themeColor="text1"/>
          <w:lang w:val="en-US"/>
        </w:rPr>
        <w:t>Request</w:t>
      </w:r>
      <w:r w:rsidR="00F002B9">
        <w:rPr>
          <w:bCs/>
          <w:color w:val="000000" w:themeColor="text1"/>
          <w:lang w:val="en-US"/>
        </w:rPr>
        <w:t xml:space="preserve"> the forum, at the </w:t>
      </w:r>
      <w:r w:rsidR="00F002B9">
        <w:t>fifty-sixth sessions of the subsidiary bodies,</w:t>
      </w:r>
      <w:r w:rsidR="00F002B9">
        <w:rPr>
          <w:bCs/>
          <w:color w:val="000000" w:themeColor="text1"/>
          <w:lang w:val="en-US"/>
        </w:rPr>
        <w:t xml:space="preserve"> to consider ways to promote actions </w:t>
      </w:r>
      <w:r w:rsidR="00F002B9">
        <w:rPr>
          <w:bCs/>
          <w:lang w:val="en-US"/>
        </w:rPr>
        <w:t>to minimize the adverse impacts and maximize the positive impacts of the implementation of response measures</w:t>
      </w:r>
      <w:r w:rsidR="00F002B9">
        <w:rPr>
          <w:bCs/>
          <w:color w:val="000000" w:themeColor="text1"/>
          <w:lang w:val="en-US"/>
        </w:rPr>
        <w:t xml:space="preserve"> on the recommendations contained in annex I;</w:t>
      </w:r>
    </w:p>
    <w:p w14:paraId="479F0A0B" w14:textId="16C76871" w:rsidR="00F002B9" w:rsidRDefault="00D23317" w:rsidP="00D23317">
      <w:pPr>
        <w:tabs>
          <w:tab w:val="left" w:pos="360"/>
          <w:tab w:val="num" w:pos="1702"/>
        </w:tabs>
        <w:spacing w:after="120"/>
        <w:ind w:left="1134" w:right="1134"/>
        <w:jc w:val="both"/>
        <w:rPr>
          <w:color w:val="000000" w:themeColor="text1"/>
        </w:rPr>
      </w:pPr>
      <w:r>
        <w:rPr>
          <w:color w:val="000000" w:themeColor="text1"/>
        </w:rPr>
        <w:t>9.</w:t>
      </w:r>
      <w:r>
        <w:rPr>
          <w:color w:val="000000" w:themeColor="text1"/>
        </w:rPr>
        <w:tab/>
      </w:r>
      <w:r w:rsidR="00F002B9">
        <w:rPr>
          <w:i/>
          <w:color w:val="000000" w:themeColor="text1"/>
        </w:rPr>
        <w:t>Recall</w:t>
      </w:r>
      <w:r w:rsidR="00F002B9">
        <w:rPr>
          <w:color w:val="000000" w:themeColor="text1"/>
        </w:rPr>
        <w:t xml:space="preserve"> the rules of procedure of the Katowice Committee on Impacts</w:t>
      </w:r>
      <w:r w:rsidR="00F002B9">
        <w:rPr>
          <w:color w:val="000000" w:themeColor="text1"/>
          <w:sz w:val="18"/>
          <w:vertAlign w:val="superscript"/>
        </w:rPr>
        <w:footnoteReference w:id="26"/>
      </w:r>
      <w:r w:rsidR="00F002B9">
        <w:rPr>
          <w:color w:val="000000" w:themeColor="text1"/>
        </w:rPr>
        <w:t xml:space="preserve"> and </w:t>
      </w:r>
      <w:r w:rsidR="00F002B9">
        <w:rPr>
          <w:i/>
          <w:color w:val="000000" w:themeColor="text1"/>
        </w:rPr>
        <w:t>encourage</w:t>
      </w:r>
      <w:r w:rsidR="00F002B9">
        <w:rPr>
          <w:color w:val="000000" w:themeColor="text1"/>
        </w:rPr>
        <w:t xml:space="preserve"> groups to nominate members to the Katowice Committee on Impacts taking into account the goal of achieving gender balance;</w:t>
      </w:r>
    </w:p>
    <w:p w14:paraId="3B513218" w14:textId="4F554F13" w:rsidR="00F002B9" w:rsidRDefault="00D23317" w:rsidP="00D23317">
      <w:pPr>
        <w:tabs>
          <w:tab w:val="left" w:pos="360"/>
          <w:tab w:val="num" w:pos="1702"/>
        </w:tabs>
        <w:spacing w:after="120"/>
        <w:ind w:left="1134" w:right="1134"/>
        <w:jc w:val="both"/>
        <w:rPr>
          <w:color w:val="000000" w:themeColor="text1"/>
        </w:rPr>
      </w:pPr>
      <w:r>
        <w:rPr>
          <w:color w:val="000000" w:themeColor="text1"/>
        </w:rPr>
        <w:t>10.</w:t>
      </w:r>
      <w:r>
        <w:rPr>
          <w:color w:val="000000" w:themeColor="text1"/>
        </w:rPr>
        <w:tab/>
      </w:r>
      <w:r w:rsidR="00F002B9">
        <w:rPr>
          <w:i/>
          <w:color w:val="000000" w:themeColor="text1"/>
        </w:rPr>
        <w:t>Request</w:t>
      </w:r>
      <w:r w:rsidR="00F002B9">
        <w:rPr>
          <w:color w:val="000000" w:themeColor="text1"/>
        </w:rPr>
        <w:t xml:space="preserve"> the secretariat to organize a regional workshop on activity 3 of the workplan before the </w:t>
      </w:r>
      <w:r w:rsidR="00F002B9">
        <w:t>fifty-sixth sessions of the subsidiary bodies</w:t>
      </w:r>
      <w:r w:rsidR="00F002B9">
        <w:rPr>
          <w:color w:val="000000" w:themeColor="text1"/>
        </w:rPr>
        <w:t xml:space="preserve"> in collaboration with relevant organizations and stakeholders to address regional needs and acknowledge the work that is being carried out by the Katowice Committee on Impacts and </w:t>
      </w:r>
      <w:r w:rsidR="00F002B9">
        <w:rPr>
          <w:i/>
          <w:color w:val="000000" w:themeColor="text1"/>
        </w:rPr>
        <w:t>note</w:t>
      </w:r>
      <w:r w:rsidR="00F002B9">
        <w:rPr>
          <w:color w:val="000000" w:themeColor="text1"/>
        </w:rPr>
        <w:t xml:space="preserve"> that further regional workshops on activity 3 could be decided by the forum;</w:t>
      </w:r>
    </w:p>
    <w:p w14:paraId="34FBA45A" w14:textId="41199B7D" w:rsidR="00F002B9" w:rsidRDefault="00D23317" w:rsidP="00D23317">
      <w:pPr>
        <w:tabs>
          <w:tab w:val="left" w:pos="360"/>
          <w:tab w:val="num" w:pos="1702"/>
        </w:tabs>
        <w:spacing w:after="120"/>
        <w:ind w:left="1134" w:right="1134"/>
        <w:jc w:val="both"/>
      </w:pPr>
      <w:bookmarkStart w:id="19" w:name="_Ref89184460"/>
      <w:r>
        <w:t>11.</w:t>
      </w:r>
      <w:r>
        <w:tab/>
      </w:r>
      <w:r w:rsidR="00F002B9">
        <w:rPr>
          <w:i/>
        </w:rPr>
        <w:t>Invite</w:t>
      </w:r>
      <w:r w:rsidR="00F002B9">
        <w:t xml:space="preserve"> Parties and observers to submit via the submission portal</w:t>
      </w:r>
      <w:r w:rsidR="00F002B9">
        <w:rPr>
          <w:sz w:val="18"/>
          <w:vertAlign w:val="superscript"/>
        </w:rPr>
        <w:footnoteReference w:id="27"/>
      </w:r>
      <w:r w:rsidR="00F002B9">
        <w:t xml:space="preserve"> by April 2022 their views on the elements of the midterm review of the workplan of the forum and its </w:t>
      </w:r>
      <w:r w:rsidR="00F002B9">
        <w:rPr>
          <w:color w:val="000000" w:themeColor="text1"/>
        </w:rPr>
        <w:t>Katowice Committee on Impacts</w:t>
      </w:r>
      <w:r w:rsidR="00F002B9">
        <w:t xml:space="preserve"> and </w:t>
      </w:r>
      <w:r w:rsidR="00F002B9">
        <w:rPr>
          <w:i/>
        </w:rPr>
        <w:t>request</w:t>
      </w:r>
      <w:r w:rsidR="00F002B9">
        <w:t xml:space="preserve"> the secretariat to prepare a summary o</w:t>
      </w:r>
      <w:r w:rsidR="00D6552D">
        <w:t>f</w:t>
      </w:r>
      <w:r w:rsidR="00F002B9">
        <w:t xml:space="preserve"> the submissions with a view to informing Parties’ discussion on the midterm review starting at the fifty-sixth sessions of the subsidiary bodies;</w:t>
      </w:r>
      <w:r w:rsidR="00F002B9">
        <w:rPr>
          <w:color w:val="000000" w:themeColor="text1"/>
          <w:sz w:val="18"/>
          <w:vertAlign w:val="superscript"/>
        </w:rPr>
        <w:footnoteReference w:id="28"/>
      </w:r>
      <w:bookmarkEnd w:id="19"/>
    </w:p>
    <w:p w14:paraId="34DCDE2C" w14:textId="20D5B1FB" w:rsidR="00F002B9" w:rsidRDefault="00D23317" w:rsidP="00D23317">
      <w:pPr>
        <w:tabs>
          <w:tab w:val="left" w:pos="360"/>
          <w:tab w:val="num" w:pos="1702"/>
        </w:tabs>
        <w:spacing w:after="120"/>
        <w:ind w:left="1134" w:right="1134"/>
        <w:jc w:val="both"/>
      </w:pPr>
      <w:r>
        <w:t>12.</w:t>
      </w:r>
      <w:r>
        <w:tab/>
      </w:r>
      <w:r w:rsidR="00F002B9">
        <w:rPr>
          <w:i/>
        </w:rPr>
        <w:t>Take</w:t>
      </w:r>
      <w:r w:rsidR="00F002B9">
        <w:t xml:space="preserve"> </w:t>
      </w:r>
      <w:r w:rsidR="00F002B9">
        <w:rPr>
          <w:i/>
        </w:rPr>
        <w:t xml:space="preserve">note </w:t>
      </w:r>
      <w:r w:rsidR="00F002B9">
        <w:t xml:space="preserve">of the estimated budgetary implications of the activities to be undertaken by the secretariat referred to in paragraphs </w:t>
      </w:r>
      <w:r w:rsidR="008A2C19">
        <w:fldChar w:fldCharType="begin"/>
      </w:r>
      <w:r w:rsidR="008A2C19">
        <w:instrText xml:space="preserve"> REF _Ref89184410 \n \h </w:instrText>
      </w:r>
      <w:r w:rsidR="008A2C19">
        <w:fldChar w:fldCharType="separate"/>
      </w:r>
      <w:r w:rsidR="008A2C19">
        <w:t>3</w:t>
      </w:r>
      <w:r w:rsidR="008A2C19">
        <w:fldChar w:fldCharType="end"/>
      </w:r>
      <w:r w:rsidR="00F002B9">
        <w:t xml:space="preserve"> and </w:t>
      </w:r>
      <w:r w:rsidR="008A2C19">
        <w:fldChar w:fldCharType="begin"/>
      </w:r>
      <w:r w:rsidR="008A2C19">
        <w:instrText xml:space="preserve"> REF _Ref89184460 \n \p \h </w:instrText>
      </w:r>
      <w:r w:rsidR="008A2C19">
        <w:fldChar w:fldCharType="separate"/>
      </w:r>
      <w:r w:rsidR="008A2C19">
        <w:t>11 above</w:t>
      </w:r>
      <w:r w:rsidR="008A2C19">
        <w:fldChar w:fldCharType="end"/>
      </w:r>
      <w:r w:rsidR="00F002B9">
        <w:t>;</w:t>
      </w:r>
    </w:p>
    <w:p w14:paraId="184410C8" w14:textId="38AB5B2D" w:rsidR="00F002B9" w:rsidRDefault="00D23317" w:rsidP="00D23317">
      <w:pPr>
        <w:tabs>
          <w:tab w:val="left" w:pos="360"/>
          <w:tab w:val="num" w:pos="1702"/>
        </w:tabs>
        <w:spacing w:after="120"/>
        <w:ind w:left="1134" w:right="1134"/>
        <w:jc w:val="both"/>
      </w:pPr>
      <w:r>
        <w:t>13.</w:t>
      </w:r>
      <w:r>
        <w:tab/>
      </w:r>
      <w:r w:rsidR="00F002B9">
        <w:rPr>
          <w:i/>
        </w:rPr>
        <w:t>Request</w:t>
      </w:r>
      <w:r w:rsidR="00F002B9">
        <w:t xml:space="preserve"> that the actions of the secretariat called for in this decision be undertaken subject to the availability of financial resources.</w:t>
      </w:r>
    </w:p>
    <w:p w14:paraId="739C398A" w14:textId="4B584763" w:rsidR="00750A21" w:rsidRDefault="00750A21" w:rsidP="00F002B9">
      <w:pPr>
        <w:suppressAutoHyphens w:val="0"/>
        <w:spacing w:line="240" w:lineRule="auto"/>
        <w:sectPr w:rsidR="00750A21" w:rsidSect="001B3D02">
          <w:headerReference w:type="even" r:id="rId48"/>
          <w:headerReference w:type="default" r:id="rId49"/>
          <w:footerReference w:type="even" r:id="rId50"/>
          <w:footerReference w:type="default" r:id="rId51"/>
          <w:footerReference w:type="first" r:id="rId52"/>
          <w:footnotePr>
            <w:numRestart w:val="eachSect"/>
          </w:footnotePr>
          <w:pgSz w:w="11906" w:h="16838"/>
          <w:pgMar w:top="1417" w:right="1134" w:bottom="1134" w:left="1134" w:header="850" w:footer="567" w:gutter="0"/>
          <w:cols w:space="720"/>
          <w:docGrid w:linePitch="272"/>
        </w:sectPr>
      </w:pPr>
    </w:p>
    <w:p w14:paraId="107426D3" w14:textId="77777777" w:rsidR="00F002B9" w:rsidRDefault="00F002B9" w:rsidP="00750A21">
      <w:pPr>
        <w:keepNext/>
        <w:keepLines/>
        <w:tabs>
          <w:tab w:val="right" w:pos="851"/>
        </w:tabs>
        <w:spacing w:before="360" w:after="240" w:line="300" w:lineRule="exact"/>
        <w:ind w:left="1134" w:right="1134" w:hanging="1134"/>
        <w:rPr>
          <w:b/>
          <w:sz w:val="28"/>
        </w:rPr>
      </w:pPr>
      <w:r>
        <w:rPr>
          <w:b/>
          <w:sz w:val="28"/>
        </w:rPr>
        <w:t>Annex I</w:t>
      </w:r>
    </w:p>
    <w:p w14:paraId="530217A9" w14:textId="77777777" w:rsidR="00F002B9" w:rsidRDefault="00F002B9" w:rsidP="00F002B9">
      <w:pPr>
        <w:keepNext/>
        <w:keepLines/>
        <w:spacing w:before="360" w:after="240" w:line="300" w:lineRule="exact"/>
        <w:ind w:left="1134" w:right="1134"/>
        <w:rPr>
          <w:b/>
          <w:sz w:val="28"/>
        </w:rPr>
      </w:pPr>
      <w:r>
        <w:rPr>
          <w:b/>
          <w:sz w:val="28"/>
        </w:rPr>
        <w:t>Recommendations forwarded by the forum pertaining to activity 1 of the workplan: exploring approaches to inform the development and implementation of climate change mitigation strategies, plans, policies and programmes that maximize the positive and minimize the negative impacts of response measures</w:t>
      </w:r>
    </w:p>
    <w:p w14:paraId="12529247" w14:textId="7D62217B" w:rsidR="00F002B9" w:rsidRDefault="00D23317" w:rsidP="00D23317">
      <w:pPr>
        <w:pStyle w:val="RegSingleTxtG"/>
        <w:numPr>
          <w:ilvl w:val="0"/>
          <w:numId w:val="0"/>
        </w:numPr>
        <w:ind w:left="1134"/>
      </w:pPr>
      <w:r>
        <w:t>1.</w:t>
      </w:r>
      <w:r>
        <w:tab/>
      </w:r>
      <w:r w:rsidR="00F002B9">
        <w:t>Encourage Parties to engage relevant stakeholders at each step of the process of designing and implementing climate mitigation policies and policies to achieve sustainable development</w:t>
      </w:r>
      <w:r w:rsidR="00761ED4">
        <w:t>,</w:t>
      </w:r>
      <w:r w:rsidR="00F002B9">
        <w:t xml:space="preserve"> including through social dialogue, when possible and subject to national circumstances. The relevant stakeholders among others include workers, employers, organizations, academia,</w:t>
      </w:r>
      <w:r w:rsidR="001224FB">
        <w:t xml:space="preserve"> the</w:t>
      </w:r>
      <w:r w:rsidR="00F002B9">
        <w:t xml:space="preserve"> public and private sectors, women and civil society.</w:t>
      </w:r>
    </w:p>
    <w:p w14:paraId="04C26625" w14:textId="08CEB77E" w:rsidR="00F002B9" w:rsidRDefault="00D23317" w:rsidP="00D23317">
      <w:pPr>
        <w:pStyle w:val="RegSingleTxtG"/>
        <w:numPr>
          <w:ilvl w:val="0"/>
          <w:numId w:val="0"/>
        </w:numPr>
        <w:ind w:left="1134"/>
      </w:pPr>
      <w:r>
        <w:t>2.</w:t>
      </w:r>
      <w:r>
        <w:tab/>
      </w:r>
      <w:r w:rsidR="00F002B9">
        <w:t>Encourage Parties to explore complementary policies, such as economic policies, social protection and labour policies, to help strengthen the outcomes of the implementation of mitigation strategies, plans, policies and programmes</w:t>
      </w:r>
      <w:r w:rsidR="001224FB">
        <w:t>,</w:t>
      </w:r>
      <w:r w:rsidR="00F002B9">
        <w:t xml:space="preserve"> including nationally determined contributions and low-emission development strategies.</w:t>
      </w:r>
    </w:p>
    <w:p w14:paraId="30D53D55" w14:textId="18517A54" w:rsidR="00F002B9" w:rsidRDefault="00D23317" w:rsidP="00D23317">
      <w:pPr>
        <w:pStyle w:val="RegSingleTxtG"/>
        <w:numPr>
          <w:ilvl w:val="0"/>
          <w:numId w:val="0"/>
        </w:numPr>
        <w:ind w:left="1134"/>
      </w:pPr>
      <w:r>
        <w:t>3.</w:t>
      </w:r>
      <w:r>
        <w:tab/>
      </w:r>
      <w:r w:rsidR="00F002B9">
        <w:t>Encourage Parties to strengthen international and regional cooperation as it contributes to planning and implementation of mitigation policies with environmental and socioeconomic benefits, for example to help facilitate technology development and transfer in accordance with Article 10 of the Paris Agreement, and strive towards harmonized regional approaches.</w:t>
      </w:r>
    </w:p>
    <w:p w14:paraId="7F9EBFF0" w14:textId="44309F06" w:rsidR="00F002B9" w:rsidRDefault="00D23317" w:rsidP="00D23317">
      <w:pPr>
        <w:pStyle w:val="RegSingleTxtG"/>
        <w:numPr>
          <w:ilvl w:val="0"/>
          <w:numId w:val="0"/>
        </w:numPr>
        <w:ind w:left="1134"/>
      </w:pPr>
      <w:r>
        <w:t>4.</w:t>
      </w:r>
      <w:r>
        <w:tab/>
      </w:r>
      <w:r w:rsidR="00F002B9">
        <w:t>Encourage Parties to use existing qualitative and quantitative assessment methodologies and tools to understand social, economic and employment effects of proposed mitigation measures as a way to inform and guide climate policies and to maximize the positive and minimize the negative effects of the implementation of response measures. More analysis of impacts, including, inter alia, sectoral, national, subnational, domestic and cross border, would be useful for informing climate policies and understanding how to maximize the positive and minimize the negative effects of the implementation of response measures.</w:t>
      </w:r>
    </w:p>
    <w:p w14:paraId="08366722" w14:textId="559EB272" w:rsidR="00F002B9" w:rsidRDefault="00D23317" w:rsidP="00D23317">
      <w:pPr>
        <w:pStyle w:val="RegSingleTxtG"/>
        <w:numPr>
          <w:ilvl w:val="0"/>
          <w:numId w:val="0"/>
        </w:numPr>
        <w:ind w:left="1134"/>
      </w:pPr>
      <w:r>
        <w:t>5.</w:t>
      </w:r>
      <w:r>
        <w:tab/>
      </w:r>
      <w:r w:rsidR="00F002B9">
        <w:t xml:space="preserve">Encourage the forum and its Katowice Committee </w:t>
      </w:r>
      <w:r w:rsidR="00B361CE">
        <w:t xml:space="preserve">of Experts </w:t>
      </w:r>
      <w:r w:rsidR="00F002B9">
        <w:t>on</w:t>
      </w:r>
      <w:r w:rsidR="00B361CE">
        <w:t xml:space="preserve"> the</w:t>
      </w:r>
      <w:r w:rsidR="00F002B9">
        <w:t xml:space="preserve"> Impacts </w:t>
      </w:r>
      <w:r w:rsidR="00B361CE">
        <w:t>of the Implementation of Response Measures</w:t>
      </w:r>
      <w:r w:rsidR="00B361CE">
        <w:rPr>
          <w:color w:val="000000" w:themeColor="text1"/>
        </w:rPr>
        <w:t xml:space="preserve"> </w:t>
      </w:r>
      <w:r w:rsidR="00F002B9">
        <w:t>to enhance the capacity of Parties, particularly developing country Parties, through training and capacity-building efforts, including existing initiatives. This will enable Parties to carry out their own assessments and analyses of the impacts of response measures.</w:t>
      </w:r>
    </w:p>
    <w:p w14:paraId="2A1F2A17" w14:textId="77777777" w:rsidR="00F002B9" w:rsidRDefault="00F002B9" w:rsidP="00F002B9">
      <w:pPr>
        <w:suppressAutoHyphens w:val="0"/>
        <w:spacing w:line="240" w:lineRule="auto"/>
        <w:sectPr w:rsidR="00F002B9" w:rsidSect="001B3D02">
          <w:headerReference w:type="even" r:id="rId53"/>
          <w:footerReference w:type="even" r:id="rId54"/>
          <w:footerReference w:type="first" r:id="rId55"/>
          <w:footnotePr>
            <w:numRestart w:val="eachSect"/>
          </w:footnotePr>
          <w:pgSz w:w="11906" w:h="16838"/>
          <w:pgMar w:top="1417" w:right="1134" w:bottom="1134" w:left="1134" w:header="850" w:footer="567" w:gutter="0"/>
          <w:cols w:space="720"/>
          <w:docGrid w:linePitch="272"/>
        </w:sectPr>
      </w:pPr>
    </w:p>
    <w:p w14:paraId="089E8AAD" w14:textId="77777777" w:rsidR="00F002B9" w:rsidRDefault="00F002B9" w:rsidP="00750A21">
      <w:pPr>
        <w:keepNext/>
        <w:keepLines/>
        <w:tabs>
          <w:tab w:val="right" w:pos="851"/>
        </w:tabs>
        <w:spacing w:before="360" w:after="240" w:line="300" w:lineRule="exact"/>
        <w:ind w:left="1134" w:right="1134" w:hanging="1134"/>
        <w:rPr>
          <w:b/>
          <w:sz w:val="28"/>
        </w:rPr>
      </w:pPr>
      <w:r>
        <w:rPr>
          <w:b/>
          <w:sz w:val="28"/>
        </w:rPr>
        <w:t>Annex II</w:t>
      </w:r>
    </w:p>
    <w:p w14:paraId="453ACBEA" w14:textId="77777777" w:rsidR="00F002B9" w:rsidRDefault="00F002B9" w:rsidP="00F002B9">
      <w:pPr>
        <w:keepNext/>
        <w:keepLines/>
        <w:spacing w:before="360" w:after="240" w:line="300" w:lineRule="exact"/>
        <w:ind w:left="1135" w:right="1134"/>
        <w:rPr>
          <w:b/>
          <w:sz w:val="28"/>
        </w:rPr>
      </w:pPr>
      <w:r>
        <w:rPr>
          <w:b/>
          <w:sz w:val="28"/>
        </w:rPr>
        <w:t>Revised rules of procedure of the Katowice Committee of Experts on the Impacts of the Implementation of Response Measures</w:t>
      </w:r>
    </w:p>
    <w:p w14:paraId="5090590C" w14:textId="6D486617" w:rsidR="00F002B9" w:rsidRDefault="00D23317" w:rsidP="00D23317">
      <w:pPr>
        <w:keepNext/>
        <w:keepLines/>
        <w:tabs>
          <w:tab w:val="left" w:pos="1135"/>
        </w:tabs>
        <w:spacing w:before="360" w:after="240" w:line="300" w:lineRule="exact"/>
        <w:ind w:left="1135" w:right="1134" w:hanging="284"/>
        <w:rPr>
          <w:b/>
          <w:sz w:val="28"/>
        </w:rPr>
      </w:pPr>
      <w:bookmarkStart w:id="20" w:name="_Toc73717157"/>
      <w:bookmarkStart w:id="21" w:name="_Toc73716066"/>
      <w:bookmarkStart w:id="22" w:name="_Toc73714982"/>
      <w:r>
        <w:rPr>
          <w:b/>
          <w:sz w:val="28"/>
        </w:rPr>
        <w:t>I.</w:t>
      </w:r>
      <w:r>
        <w:rPr>
          <w:b/>
          <w:sz w:val="28"/>
        </w:rPr>
        <w:tab/>
      </w:r>
      <w:r w:rsidR="00F002B9">
        <w:rPr>
          <w:b/>
          <w:sz w:val="28"/>
        </w:rPr>
        <w:t>Scope</w:t>
      </w:r>
      <w:bookmarkEnd w:id="20"/>
      <w:bookmarkEnd w:id="21"/>
      <w:bookmarkEnd w:id="22"/>
    </w:p>
    <w:p w14:paraId="4CB4F940" w14:textId="341A3AA4" w:rsidR="00F002B9" w:rsidRDefault="00D23317" w:rsidP="00D23317">
      <w:pPr>
        <w:pStyle w:val="RegSingleTxtG"/>
        <w:numPr>
          <w:ilvl w:val="0"/>
          <w:numId w:val="0"/>
        </w:numPr>
        <w:ind w:left="1134"/>
      </w:pPr>
      <w:r>
        <w:t>1.</w:t>
      </w:r>
      <w:r>
        <w:tab/>
      </w:r>
      <w:r w:rsidR="00F002B9">
        <w:t>These rules of procedure shall apply to the Katowice Committee of Experts on the Impacts of the Implementation of Response Measures (KCI) in accordance with decision 7/CMA.1 and its annex.</w:t>
      </w:r>
    </w:p>
    <w:p w14:paraId="55CAE890" w14:textId="1E71773B" w:rsidR="00F002B9" w:rsidRDefault="00D23317" w:rsidP="00D23317">
      <w:pPr>
        <w:keepNext/>
        <w:keepLines/>
        <w:tabs>
          <w:tab w:val="left" w:pos="1135"/>
        </w:tabs>
        <w:spacing w:before="360" w:after="240" w:line="300" w:lineRule="exact"/>
        <w:ind w:left="1135" w:right="1134" w:hanging="284"/>
        <w:rPr>
          <w:b/>
          <w:sz w:val="28"/>
        </w:rPr>
      </w:pPr>
      <w:bookmarkStart w:id="23" w:name="_Toc73717158"/>
      <w:bookmarkStart w:id="24" w:name="_Toc73716067"/>
      <w:bookmarkStart w:id="25" w:name="_Toc73714983"/>
      <w:r>
        <w:rPr>
          <w:b/>
          <w:sz w:val="28"/>
        </w:rPr>
        <w:t>II.</w:t>
      </w:r>
      <w:r>
        <w:rPr>
          <w:b/>
          <w:sz w:val="28"/>
        </w:rPr>
        <w:tab/>
      </w:r>
      <w:r w:rsidR="00F002B9">
        <w:rPr>
          <w:b/>
          <w:sz w:val="28"/>
        </w:rPr>
        <w:t>Mandate</w:t>
      </w:r>
      <w:bookmarkEnd w:id="23"/>
      <w:bookmarkEnd w:id="24"/>
      <w:bookmarkEnd w:id="25"/>
    </w:p>
    <w:p w14:paraId="6448ADC2" w14:textId="75A38D52" w:rsidR="00F002B9" w:rsidRDefault="00D23317" w:rsidP="00D23317">
      <w:pPr>
        <w:pStyle w:val="RegSingleTxtG"/>
        <w:numPr>
          <w:ilvl w:val="0"/>
          <w:numId w:val="0"/>
        </w:numPr>
        <w:ind w:left="1134"/>
      </w:pPr>
      <w:r>
        <w:t>2.</w:t>
      </w:r>
      <w:r>
        <w:tab/>
      </w:r>
      <w:r w:rsidR="00F002B9">
        <w:t xml:space="preserve">The Conference of the Parties serving as the meeting of the Parties to the Paris Agreement (CMA), by decision 7/CMA.1, decided to establish the KCI to support the work of the forum on the impact of the implementation of response measures in implementing its work programme and operating in accordance with the terms of reference contained in the annex to that decision. </w:t>
      </w:r>
    </w:p>
    <w:p w14:paraId="533ED653" w14:textId="274AA4DE" w:rsidR="00F002B9" w:rsidRDefault="00D23317" w:rsidP="00D23317">
      <w:pPr>
        <w:pStyle w:val="RegSingleTxtG"/>
        <w:numPr>
          <w:ilvl w:val="0"/>
          <w:numId w:val="0"/>
        </w:numPr>
        <w:ind w:left="1134"/>
      </w:pPr>
      <w:r>
        <w:t>3.</w:t>
      </w:r>
      <w:r>
        <w:tab/>
      </w:r>
      <w:r w:rsidR="00F002B9">
        <w:t>The forum and the KCI may use the following modalities, as appropriate and as decided on a case-by-case basis, to carry out the work programme of the forum:</w:t>
      </w:r>
    </w:p>
    <w:p w14:paraId="2CB108BE" w14:textId="79FE2E7F" w:rsidR="00F002B9" w:rsidRDefault="00D23317" w:rsidP="00D23317">
      <w:pPr>
        <w:pStyle w:val="RegSingleTxtG2"/>
        <w:numPr>
          <w:ilvl w:val="0"/>
          <w:numId w:val="0"/>
        </w:numPr>
        <w:tabs>
          <w:tab w:val="left" w:pos="1702"/>
        </w:tabs>
        <w:ind w:left="1134" w:firstLine="567"/>
      </w:pPr>
      <w:r>
        <w:rPr>
          <w:szCs w:val="28"/>
        </w:rPr>
        <w:t>(a)</w:t>
      </w:r>
      <w:r>
        <w:rPr>
          <w:szCs w:val="28"/>
        </w:rPr>
        <w:tab/>
      </w:r>
      <w:r w:rsidR="00F002B9">
        <w:t>Building awareness and enhancing information-sharing through the exchange and sharing of experience and best practices;</w:t>
      </w:r>
    </w:p>
    <w:p w14:paraId="1EA92BA8" w14:textId="2BBC8319" w:rsidR="00F002B9" w:rsidRDefault="00D23317" w:rsidP="00D23317">
      <w:pPr>
        <w:pStyle w:val="RegSingleTxtG2"/>
        <w:numPr>
          <w:ilvl w:val="0"/>
          <w:numId w:val="0"/>
        </w:numPr>
        <w:tabs>
          <w:tab w:val="left" w:pos="1702"/>
        </w:tabs>
        <w:ind w:left="1134" w:firstLine="567"/>
      </w:pPr>
      <w:r>
        <w:rPr>
          <w:szCs w:val="28"/>
        </w:rPr>
        <w:t>(b)</w:t>
      </w:r>
      <w:r>
        <w:rPr>
          <w:szCs w:val="28"/>
        </w:rPr>
        <w:tab/>
      </w:r>
      <w:r w:rsidR="00F002B9">
        <w:t>Preparing technical papers, case studies, specific examples and guidelines;</w:t>
      </w:r>
    </w:p>
    <w:p w14:paraId="5AFC7C35" w14:textId="22FBAA2F" w:rsidR="00F002B9" w:rsidRDefault="00D23317" w:rsidP="00D23317">
      <w:pPr>
        <w:pStyle w:val="RegSingleTxtG2"/>
        <w:numPr>
          <w:ilvl w:val="0"/>
          <w:numId w:val="0"/>
        </w:numPr>
        <w:tabs>
          <w:tab w:val="left" w:pos="1702"/>
        </w:tabs>
        <w:ind w:left="1134" w:firstLine="567"/>
      </w:pPr>
      <w:r>
        <w:rPr>
          <w:szCs w:val="28"/>
        </w:rPr>
        <w:t>(c)</w:t>
      </w:r>
      <w:r>
        <w:rPr>
          <w:szCs w:val="28"/>
        </w:rPr>
        <w:tab/>
      </w:r>
      <w:r w:rsidR="00F002B9">
        <w:t>Receiving inputs from experts, practitioners and relevant organizations;</w:t>
      </w:r>
    </w:p>
    <w:p w14:paraId="2335F597" w14:textId="374D13C1" w:rsidR="00F002B9" w:rsidRDefault="00D23317" w:rsidP="00D23317">
      <w:pPr>
        <w:pStyle w:val="RegSingleTxtG2"/>
        <w:numPr>
          <w:ilvl w:val="0"/>
          <w:numId w:val="0"/>
        </w:numPr>
        <w:tabs>
          <w:tab w:val="left" w:pos="1702"/>
        </w:tabs>
        <w:ind w:left="1134" w:firstLine="567"/>
      </w:pPr>
      <w:r>
        <w:rPr>
          <w:szCs w:val="28"/>
        </w:rPr>
        <w:t>(d)</w:t>
      </w:r>
      <w:r>
        <w:rPr>
          <w:szCs w:val="28"/>
        </w:rPr>
        <w:tab/>
      </w:r>
      <w:r w:rsidR="00F002B9">
        <w:t>Organizing workshops.</w:t>
      </w:r>
    </w:p>
    <w:p w14:paraId="681B70C1" w14:textId="59848A94" w:rsidR="00F002B9" w:rsidRDefault="00D23317" w:rsidP="00D23317">
      <w:pPr>
        <w:keepNext/>
        <w:keepLines/>
        <w:tabs>
          <w:tab w:val="left" w:pos="1135"/>
        </w:tabs>
        <w:spacing w:before="360" w:after="240" w:line="300" w:lineRule="exact"/>
        <w:ind w:left="1135" w:right="1134" w:hanging="284"/>
        <w:rPr>
          <w:b/>
          <w:sz w:val="28"/>
        </w:rPr>
      </w:pPr>
      <w:bookmarkStart w:id="26" w:name="_Toc73717159"/>
      <w:bookmarkStart w:id="27" w:name="_Toc73716068"/>
      <w:bookmarkStart w:id="28" w:name="_Toc73714984"/>
      <w:r>
        <w:rPr>
          <w:b/>
          <w:sz w:val="28"/>
        </w:rPr>
        <w:t>III.</w:t>
      </w:r>
      <w:r>
        <w:rPr>
          <w:b/>
          <w:sz w:val="28"/>
        </w:rPr>
        <w:tab/>
      </w:r>
      <w:r w:rsidR="00F002B9">
        <w:rPr>
          <w:b/>
          <w:sz w:val="28"/>
        </w:rPr>
        <w:t>Members</w:t>
      </w:r>
      <w:bookmarkEnd w:id="26"/>
      <w:bookmarkEnd w:id="27"/>
      <w:bookmarkEnd w:id="28"/>
    </w:p>
    <w:p w14:paraId="7FC18037" w14:textId="418D01A2" w:rsidR="00F002B9" w:rsidRDefault="00D23317" w:rsidP="00D23317">
      <w:pPr>
        <w:pStyle w:val="RegSingleTxtG"/>
        <w:numPr>
          <w:ilvl w:val="0"/>
          <w:numId w:val="0"/>
        </w:numPr>
        <w:ind w:left="1134"/>
      </w:pPr>
      <w:r>
        <w:t>4.</w:t>
      </w:r>
      <w:r>
        <w:tab/>
      </w:r>
      <w:r w:rsidR="00F002B9">
        <w:t>The CMA, by decision 7/CMA.1, decided that the KCI shall be composed of 14 members, of which:</w:t>
      </w:r>
    </w:p>
    <w:p w14:paraId="3D60B198" w14:textId="5E74CA98" w:rsidR="00F002B9" w:rsidRDefault="00D23317" w:rsidP="00D23317">
      <w:pPr>
        <w:pStyle w:val="RegSingleTxtG2"/>
        <w:numPr>
          <w:ilvl w:val="0"/>
          <w:numId w:val="0"/>
        </w:numPr>
        <w:tabs>
          <w:tab w:val="left" w:pos="1702"/>
        </w:tabs>
        <w:ind w:left="1134" w:firstLine="567"/>
      </w:pPr>
      <w:r>
        <w:rPr>
          <w:szCs w:val="28"/>
        </w:rPr>
        <w:t>(a)</w:t>
      </w:r>
      <w:r>
        <w:rPr>
          <w:szCs w:val="28"/>
        </w:rPr>
        <w:tab/>
      </w:r>
      <w:r w:rsidR="00F002B9">
        <w:t>Two members from each of the five United Nations regional groups;</w:t>
      </w:r>
    </w:p>
    <w:p w14:paraId="4189F88C" w14:textId="46AFB9B9" w:rsidR="00F002B9" w:rsidRDefault="00D23317" w:rsidP="00D23317">
      <w:pPr>
        <w:pStyle w:val="RegSingleTxtG2"/>
        <w:numPr>
          <w:ilvl w:val="0"/>
          <w:numId w:val="0"/>
        </w:numPr>
        <w:tabs>
          <w:tab w:val="left" w:pos="1702"/>
        </w:tabs>
        <w:ind w:left="1134" w:firstLine="567"/>
      </w:pPr>
      <w:r>
        <w:rPr>
          <w:szCs w:val="28"/>
        </w:rPr>
        <w:t>(b)</w:t>
      </w:r>
      <w:r>
        <w:rPr>
          <w:szCs w:val="28"/>
        </w:rPr>
        <w:tab/>
      </w:r>
      <w:r w:rsidR="00F002B9">
        <w:t>One member from the least developed countries;</w:t>
      </w:r>
    </w:p>
    <w:p w14:paraId="6510F503" w14:textId="6B0C01D8" w:rsidR="00F002B9" w:rsidRDefault="00D23317" w:rsidP="00D23317">
      <w:pPr>
        <w:pStyle w:val="RegSingleTxtG2"/>
        <w:numPr>
          <w:ilvl w:val="0"/>
          <w:numId w:val="0"/>
        </w:numPr>
        <w:tabs>
          <w:tab w:val="left" w:pos="1702"/>
        </w:tabs>
        <w:ind w:left="1134" w:firstLine="567"/>
      </w:pPr>
      <w:r>
        <w:rPr>
          <w:szCs w:val="28"/>
        </w:rPr>
        <w:t>(c)</w:t>
      </w:r>
      <w:r>
        <w:rPr>
          <w:szCs w:val="28"/>
        </w:rPr>
        <w:tab/>
      </w:r>
      <w:r w:rsidR="00F002B9">
        <w:t>One member from the small island developing States;</w:t>
      </w:r>
    </w:p>
    <w:p w14:paraId="56947258" w14:textId="0B162166" w:rsidR="00F002B9" w:rsidRDefault="00D23317" w:rsidP="00D23317">
      <w:pPr>
        <w:pStyle w:val="RegSingleTxtG2"/>
        <w:numPr>
          <w:ilvl w:val="0"/>
          <w:numId w:val="0"/>
        </w:numPr>
        <w:tabs>
          <w:tab w:val="left" w:pos="1702"/>
        </w:tabs>
        <w:ind w:left="1134" w:firstLine="567"/>
      </w:pPr>
      <w:r>
        <w:rPr>
          <w:szCs w:val="28"/>
        </w:rPr>
        <w:t>(d)</w:t>
      </w:r>
      <w:r>
        <w:rPr>
          <w:szCs w:val="28"/>
        </w:rPr>
        <w:tab/>
      </w:r>
      <w:r w:rsidR="00F002B9">
        <w:t>Two members from relevant intergovernmental organizations.</w:t>
      </w:r>
      <w:r w:rsidR="00F002B9">
        <w:rPr>
          <w:sz w:val="18"/>
          <w:vertAlign w:val="superscript"/>
        </w:rPr>
        <w:footnoteReference w:id="29"/>
      </w:r>
      <w:r w:rsidR="00F002B9">
        <w:t xml:space="preserve"> </w:t>
      </w:r>
    </w:p>
    <w:p w14:paraId="17F37648" w14:textId="61801E45" w:rsidR="00F002B9" w:rsidRDefault="00D23317" w:rsidP="00D23317">
      <w:pPr>
        <w:pStyle w:val="RegSingleTxtG"/>
        <w:numPr>
          <w:ilvl w:val="0"/>
          <w:numId w:val="0"/>
        </w:numPr>
        <w:ind w:left="1134"/>
      </w:pPr>
      <w:r>
        <w:t>5.</w:t>
      </w:r>
      <w:r>
        <w:tab/>
      </w:r>
      <w:r w:rsidR="00F002B9">
        <w:t>By the same decision, the CMA also decided that members shall be nominated by their respective groups. Groups are encouraged to nominate members taking into account the goal of achieving gender balance. The Chairs of the Subsidiary Body for Scientific and Technological Advice (SBSTA) and the Subsidiary Body for Implementation (SBI) shall be notified of these appointments.</w:t>
      </w:r>
      <w:r w:rsidR="00F002B9">
        <w:rPr>
          <w:sz w:val="18"/>
          <w:vertAlign w:val="superscript"/>
        </w:rPr>
        <w:footnoteReference w:id="30"/>
      </w:r>
      <w:r w:rsidR="00F002B9">
        <w:t xml:space="preserve"> </w:t>
      </w:r>
    </w:p>
    <w:p w14:paraId="720D799A" w14:textId="70DCCBB7" w:rsidR="00F002B9" w:rsidRDefault="00D23317" w:rsidP="00D23317">
      <w:pPr>
        <w:pStyle w:val="RegSingleTxtG"/>
        <w:numPr>
          <w:ilvl w:val="0"/>
          <w:numId w:val="0"/>
        </w:numPr>
        <w:ind w:left="1134"/>
      </w:pPr>
      <w:r>
        <w:t>6.</w:t>
      </w:r>
      <w:r>
        <w:tab/>
      </w:r>
      <w:r w:rsidR="00F002B9">
        <w:t xml:space="preserve">The CMA </w:t>
      </w:r>
      <w:r w:rsidR="00F25B71">
        <w:t>further</w:t>
      </w:r>
      <w:r w:rsidR="00F002B9">
        <w:t xml:space="preserve"> decided that members shall serve in their expert capacity and should have relevant qualifications and expertise in the technical and socioeconomic fields related to the areas of the work programme of the forum.</w:t>
      </w:r>
      <w:r w:rsidR="00F002B9">
        <w:rPr>
          <w:sz w:val="18"/>
          <w:vertAlign w:val="superscript"/>
        </w:rPr>
        <w:footnoteReference w:id="31"/>
      </w:r>
    </w:p>
    <w:p w14:paraId="09FEF3CC" w14:textId="101AD7FD" w:rsidR="00F002B9" w:rsidRDefault="00D23317" w:rsidP="00D23317">
      <w:pPr>
        <w:pStyle w:val="RegSingleTxtG"/>
        <w:numPr>
          <w:ilvl w:val="0"/>
          <w:numId w:val="0"/>
        </w:numPr>
        <w:ind w:left="1134"/>
      </w:pPr>
      <w:r>
        <w:t>7.</w:t>
      </w:r>
      <w:r>
        <w:tab/>
      </w:r>
      <w:r w:rsidR="00F002B9">
        <w:t>Further, the CMA decided that members shall serve a term of two years and be eligible to serve a maximum of two consecutive terms in office.</w:t>
      </w:r>
      <w:r w:rsidR="00F002B9">
        <w:rPr>
          <w:sz w:val="18"/>
          <w:vertAlign w:val="superscript"/>
        </w:rPr>
        <w:footnoteReference w:id="32"/>
      </w:r>
      <w:r w:rsidR="00F002B9">
        <w:t xml:space="preserve"> The following rules shall apply: </w:t>
      </w:r>
    </w:p>
    <w:p w14:paraId="14DB8D7D" w14:textId="616F9102" w:rsidR="00F002B9" w:rsidRDefault="00D23317" w:rsidP="00D23317">
      <w:pPr>
        <w:pStyle w:val="RegSingleTxtG2"/>
        <w:numPr>
          <w:ilvl w:val="0"/>
          <w:numId w:val="0"/>
        </w:numPr>
        <w:tabs>
          <w:tab w:val="left" w:pos="1702"/>
        </w:tabs>
        <w:ind w:left="1134" w:firstLine="567"/>
      </w:pPr>
      <w:r>
        <w:rPr>
          <w:szCs w:val="28"/>
        </w:rPr>
        <w:t>(a)</w:t>
      </w:r>
      <w:r>
        <w:rPr>
          <w:szCs w:val="28"/>
        </w:rPr>
        <w:tab/>
      </w:r>
      <w:r w:rsidR="00F002B9">
        <w:t xml:space="preserve">Half of the members shall be nominated initially for a term of three years and half of the members for a term of two years; </w:t>
      </w:r>
    </w:p>
    <w:p w14:paraId="45CFA69D" w14:textId="15EA87FC" w:rsidR="00F002B9" w:rsidRDefault="00D23317" w:rsidP="00D23317">
      <w:pPr>
        <w:pStyle w:val="RegSingleTxtG2"/>
        <w:numPr>
          <w:ilvl w:val="0"/>
          <w:numId w:val="0"/>
        </w:numPr>
        <w:tabs>
          <w:tab w:val="left" w:pos="1702"/>
        </w:tabs>
        <w:ind w:left="1134" w:firstLine="567"/>
      </w:pPr>
      <w:r>
        <w:rPr>
          <w:szCs w:val="28"/>
        </w:rPr>
        <w:t>(b)</w:t>
      </w:r>
      <w:r>
        <w:rPr>
          <w:szCs w:val="28"/>
        </w:rPr>
        <w:tab/>
      </w:r>
      <w:r w:rsidR="00F002B9">
        <w:t xml:space="preserve">Thereafter, members are nominated for a term of two years; </w:t>
      </w:r>
    </w:p>
    <w:p w14:paraId="4A37A356" w14:textId="7D969BF9" w:rsidR="00F002B9" w:rsidRDefault="00D23317" w:rsidP="00D23317">
      <w:pPr>
        <w:pStyle w:val="RegSingleTxtG2"/>
        <w:numPr>
          <w:ilvl w:val="0"/>
          <w:numId w:val="0"/>
        </w:numPr>
        <w:tabs>
          <w:tab w:val="left" w:pos="1702"/>
        </w:tabs>
        <w:ind w:left="1134" w:firstLine="567"/>
      </w:pPr>
      <w:r>
        <w:rPr>
          <w:szCs w:val="28"/>
        </w:rPr>
        <w:t>(c)</w:t>
      </w:r>
      <w:r>
        <w:rPr>
          <w:szCs w:val="28"/>
        </w:rPr>
        <w:tab/>
      </w:r>
      <w:r w:rsidR="00F002B9">
        <w:t>The members shall remain in office until their successors are nominated. In such a case, the KCI shall notify the Chairs of the SBSTA and the SBI</w:t>
      </w:r>
      <w:r w:rsidR="008111D0">
        <w:t>.</w:t>
      </w:r>
    </w:p>
    <w:p w14:paraId="5381ECF6" w14:textId="7EF44F64" w:rsidR="00F002B9" w:rsidRDefault="00D23317" w:rsidP="00D23317">
      <w:pPr>
        <w:pStyle w:val="RegSingleTxtG"/>
        <w:numPr>
          <w:ilvl w:val="0"/>
          <w:numId w:val="0"/>
        </w:numPr>
        <w:ind w:left="1134"/>
      </w:pPr>
      <w:r>
        <w:t>8.</w:t>
      </w:r>
      <w:r>
        <w:tab/>
      </w:r>
      <w:r w:rsidR="00F002B9">
        <w:t>The term of office of a member shall commence at the first meeting of the KCI in the calendar year of their appointment and end immediately before the first meeting of the KCI in the calendar year after their second calendar year</w:t>
      </w:r>
      <w:r w:rsidR="00C706CE">
        <w:rPr>
          <w:rStyle w:val="FootnoteReference"/>
        </w:rPr>
        <w:footnoteReference w:id="33"/>
      </w:r>
      <w:r w:rsidR="00F002B9">
        <w:t xml:space="preserve"> in office.</w:t>
      </w:r>
    </w:p>
    <w:p w14:paraId="3A6C8796" w14:textId="67E60901" w:rsidR="00F002B9" w:rsidRDefault="00D23317" w:rsidP="00D23317">
      <w:pPr>
        <w:pStyle w:val="RegSingleTxtG"/>
        <w:numPr>
          <w:ilvl w:val="0"/>
          <w:numId w:val="0"/>
        </w:numPr>
        <w:ind w:left="1134"/>
      </w:pPr>
      <w:r>
        <w:t>9.</w:t>
      </w:r>
      <w:r>
        <w:tab/>
      </w:r>
      <w:r w:rsidR="00F002B9">
        <w:t>If a member of the KCI resigns or is otherwise unable to complete the assigned term of office or to perform the functions of that office, the KCI shall request the group that nominated the member to nominate another member for the remainder of the unexpired term, in which case the appointment shall count as one term. In such a case, the KCI shall notify the Chairs of the SBSTA and the SBI.</w:t>
      </w:r>
    </w:p>
    <w:p w14:paraId="709A66BF" w14:textId="429EF9E8" w:rsidR="00F002B9" w:rsidRDefault="00D23317" w:rsidP="00D23317">
      <w:pPr>
        <w:pStyle w:val="RegSingleTxtG"/>
        <w:numPr>
          <w:ilvl w:val="0"/>
          <w:numId w:val="0"/>
        </w:numPr>
        <w:ind w:left="1134"/>
      </w:pPr>
      <w:r>
        <w:t>10.</w:t>
      </w:r>
      <w:r>
        <w:tab/>
      </w:r>
      <w:r w:rsidR="00F002B9">
        <w:t>If a member is unable to participate in two consecutive meetings of the KCI or unable to perform the functions and tasks set by the KCI, the Co-Chairs of the KCI will bring this matter to the attention of the KCI and seek clarification from the group that nominated that member on the status of their membership.</w:t>
      </w:r>
    </w:p>
    <w:p w14:paraId="6E64A4BF" w14:textId="11C7FB66" w:rsidR="00F002B9" w:rsidRDefault="00D23317" w:rsidP="00D23317">
      <w:pPr>
        <w:keepNext/>
        <w:keepLines/>
        <w:tabs>
          <w:tab w:val="left" w:pos="1135"/>
        </w:tabs>
        <w:spacing w:before="360" w:after="240" w:line="300" w:lineRule="exact"/>
        <w:ind w:left="1135" w:right="1134" w:hanging="284"/>
        <w:rPr>
          <w:b/>
          <w:sz w:val="28"/>
        </w:rPr>
      </w:pPr>
      <w:bookmarkStart w:id="29" w:name="_Toc73717160"/>
      <w:bookmarkStart w:id="30" w:name="_Toc73716069"/>
      <w:bookmarkStart w:id="31" w:name="_Toc73714985"/>
      <w:r>
        <w:rPr>
          <w:b/>
          <w:sz w:val="28"/>
        </w:rPr>
        <w:t>IV.</w:t>
      </w:r>
      <w:r>
        <w:rPr>
          <w:b/>
          <w:sz w:val="28"/>
        </w:rPr>
        <w:tab/>
      </w:r>
      <w:r w:rsidR="00F002B9">
        <w:rPr>
          <w:b/>
          <w:sz w:val="28"/>
        </w:rPr>
        <w:t>Conflict of interest</w:t>
      </w:r>
      <w:bookmarkEnd w:id="29"/>
      <w:bookmarkEnd w:id="30"/>
      <w:bookmarkEnd w:id="31"/>
    </w:p>
    <w:p w14:paraId="26111ADD" w14:textId="7C743952" w:rsidR="00F002B9" w:rsidRDefault="00D23317" w:rsidP="00D23317">
      <w:pPr>
        <w:pStyle w:val="RegSingleTxtG"/>
        <w:numPr>
          <w:ilvl w:val="0"/>
          <w:numId w:val="0"/>
        </w:numPr>
        <w:ind w:left="1134"/>
      </w:pPr>
      <w:r>
        <w:t>11.</w:t>
      </w:r>
      <w:r>
        <w:tab/>
      </w:r>
      <w:r w:rsidR="00F002B9">
        <w:t xml:space="preserve">The KCI members must promptly disclose, and recuse themselves from, any deliberations or decision-making </w:t>
      </w:r>
      <w:r w:rsidR="004761B2">
        <w:t>that</w:t>
      </w:r>
      <w:r w:rsidR="00F002B9">
        <w:t xml:space="preserve"> could have a bearing on their personal or financial interests, in order to avoid a conflict of interest or the appearance of one. Further, KCI members shall not disclose any information deemed by the </w:t>
      </w:r>
      <w:r w:rsidR="0038507E">
        <w:t>KCI</w:t>
      </w:r>
      <w:r w:rsidR="00F002B9">
        <w:t xml:space="preserve"> as confidential </w:t>
      </w:r>
      <w:r w:rsidR="007C5C6D">
        <w:t>that</w:t>
      </w:r>
      <w:r w:rsidR="00F002B9">
        <w:t xml:space="preserve"> they receive in the course of their duties, even after leaving the </w:t>
      </w:r>
      <w:r w:rsidR="0038507E">
        <w:t>KCI</w:t>
      </w:r>
      <w:r w:rsidR="00F002B9">
        <w:t>.</w:t>
      </w:r>
    </w:p>
    <w:p w14:paraId="79406447" w14:textId="18924D7F" w:rsidR="00F002B9" w:rsidRDefault="00D23317" w:rsidP="00D23317">
      <w:pPr>
        <w:keepNext/>
        <w:keepLines/>
        <w:tabs>
          <w:tab w:val="left" w:pos="1135"/>
        </w:tabs>
        <w:spacing w:before="360" w:after="240" w:line="300" w:lineRule="exact"/>
        <w:ind w:left="1135" w:right="1134" w:hanging="284"/>
        <w:rPr>
          <w:b/>
          <w:sz w:val="28"/>
        </w:rPr>
      </w:pPr>
      <w:bookmarkStart w:id="32" w:name="_Toc73717161"/>
      <w:bookmarkStart w:id="33" w:name="_Toc73716070"/>
      <w:bookmarkStart w:id="34" w:name="_Toc73714986"/>
      <w:r>
        <w:rPr>
          <w:b/>
          <w:sz w:val="28"/>
        </w:rPr>
        <w:t>V.</w:t>
      </w:r>
      <w:r>
        <w:rPr>
          <w:b/>
          <w:sz w:val="28"/>
        </w:rPr>
        <w:tab/>
      </w:r>
      <w:r w:rsidR="00F002B9">
        <w:rPr>
          <w:b/>
          <w:sz w:val="28"/>
        </w:rPr>
        <w:t>Co-Chairs</w:t>
      </w:r>
      <w:bookmarkEnd w:id="32"/>
      <w:bookmarkEnd w:id="33"/>
      <w:bookmarkEnd w:id="34"/>
      <w:r w:rsidR="00F002B9">
        <w:rPr>
          <w:b/>
          <w:sz w:val="28"/>
        </w:rPr>
        <w:t xml:space="preserve"> </w:t>
      </w:r>
    </w:p>
    <w:p w14:paraId="3653E963" w14:textId="4762137C" w:rsidR="00F002B9" w:rsidRDefault="00D23317" w:rsidP="00D23317">
      <w:pPr>
        <w:pStyle w:val="RegSingleTxtG"/>
        <w:numPr>
          <w:ilvl w:val="0"/>
          <w:numId w:val="0"/>
        </w:numPr>
        <w:ind w:left="1134"/>
      </w:pPr>
      <w:r>
        <w:t>12.</w:t>
      </w:r>
      <w:r>
        <w:tab/>
      </w:r>
      <w:r w:rsidR="00F002B9">
        <w:t>The CMA decided that the KCI shall elect, on a consensus basis, two members from among its members to serve as Co-Chairs for a term of two years each, taking into account the need to ensure equitable geographical representation.</w:t>
      </w:r>
      <w:r w:rsidR="00F002B9">
        <w:rPr>
          <w:sz w:val="18"/>
          <w:vertAlign w:val="superscript"/>
        </w:rPr>
        <w:footnoteReference w:id="34"/>
      </w:r>
    </w:p>
    <w:p w14:paraId="4C2D3C87" w14:textId="3FDAC91C" w:rsidR="00F002B9" w:rsidRDefault="00D23317" w:rsidP="00D23317">
      <w:pPr>
        <w:pStyle w:val="RegSingleTxtG"/>
        <w:numPr>
          <w:ilvl w:val="0"/>
          <w:numId w:val="0"/>
        </w:numPr>
        <w:ind w:left="1134"/>
      </w:pPr>
      <w:r>
        <w:t>13.</w:t>
      </w:r>
      <w:r>
        <w:tab/>
      </w:r>
      <w:r w:rsidR="00F002B9">
        <w:t>The CMA also decided that if one of the Co-Chairs is temporarily unable to fulfil the obligations of the office, another member designated by the KCI shall serve as Co-Chair.</w:t>
      </w:r>
      <w:r w:rsidR="00F002B9">
        <w:rPr>
          <w:sz w:val="18"/>
          <w:vertAlign w:val="superscript"/>
        </w:rPr>
        <w:footnoteReference w:id="35"/>
      </w:r>
    </w:p>
    <w:p w14:paraId="7E77DE68" w14:textId="2C8D3298" w:rsidR="00F002B9" w:rsidRDefault="00D23317" w:rsidP="00D23317">
      <w:pPr>
        <w:pStyle w:val="RegSingleTxtG"/>
        <w:numPr>
          <w:ilvl w:val="0"/>
          <w:numId w:val="0"/>
        </w:numPr>
        <w:ind w:left="1134"/>
      </w:pPr>
      <w:r>
        <w:t>14.</w:t>
      </w:r>
      <w:r>
        <w:tab/>
      </w:r>
      <w:r w:rsidR="00F002B9">
        <w:t>If one of the Co-Chairs is unable to complete the term of office, the KCI shall elect a replacement from among its members of the relevant group of the incumbent Co-Chair, if available, to complete that term of office.</w:t>
      </w:r>
    </w:p>
    <w:p w14:paraId="579C340A" w14:textId="07ADAB31" w:rsidR="00F002B9" w:rsidRDefault="00D23317" w:rsidP="00D23317">
      <w:pPr>
        <w:pStyle w:val="RegSingleTxtG"/>
        <w:numPr>
          <w:ilvl w:val="0"/>
          <w:numId w:val="0"/>
        </w:numPr>
        <w:ind w:left="1134"/>
      </w:pPr>
      <w:r>
        <w:t>15.</w:t>
      </w:r>
      <w:r>
        <w:tab/>
      </w:r>
      <w:r w:rsidR="00F002B9">
        <w:t>The Co-Chairs shall collaborate in chairing meetings of the KCI and in facilitating the work of the KCI throughout the year, in accordance with the workplan of the forum and its KCI, to ensure coherence between meetings.</w:t>
      </w:r>
    </w:p>
    <w:p w14:paraId="1E855201" w14:textId="5CE63C8C" w:rsidR="00F002B9" w:rsidRDefault="00D23317" w:rsidP="00D23317">
      <w:pPr>
        <w:pStyle w:val="RegSingleTxtG"/>
        <w:numPr>
          <w:ilvl w:val="0"/>
          <w:numId w:val="0"/>
        </w:numPr>
        <w:ind w:left="1134"/>
      </w:pPr>
      <w:r>
        <w:t>16.</w:t>
      </w:r>
      <w:r>
        <w:tab/>
      </w:r>
      <w:r w:rsidR="00F002B9">
        <w:t>Following the completion of the Co-Chairs’ two-year term of office, the KCI shall nominate two members as Co-Chairs to serve the next two-year term of office.</w:t>
      </w:r>
    </w:p>
    <w:p w14:paraId="7BA7B931" w14:textId="532210AA" w:rsidR="00F002B9" w:rsidRDefault="00D23317" w:rsidP="00D23317">
      <w:pPr>
        <w:pStyle w:val="RegSingleTxtG"/>
        <w:numPr>
          <w:ilvl w:val="0"/>
          <w:numId w:val="0"/>
        </w:numPr>
        <w:ind w:left="1134"/>
      </w:pPr>
      <w:r>
        <w:t>17.</w:t>
      </w:r>
      <w:r>
        <w:tab/>
      </w:r>
      <w:r w:rsidR="00F002B9">
        <w:t>The Co-Chairs shall declare the opening and closing of meetings of the KCI, ensure the observance of these rules of procedure and rule on points of order.</w:t>
      </w:r>
    </w:p>
    <w:p w14:paraId="6C787BEB" w14:textId="4B7E9B8B" w:rsidR="00F002B9" w:rsidRDefault="00D23317" w:rsidP="00D23317">
      <w:pPr>
        <w:pStyle w:val="RegSingleTxtG"/>
        <w:numPr>
          <w:ilvl w:val="0"/>
          <w:numId w:val="0"/>
        </w:numPr>
        <w:ind w:left="1134"/>
      </w:pPr>
      <w:r>
        <w:t>18.</w:t>
      </w:r>
      <w:r>
        <w:tab/>
      </w:r>
      <w:r w:rsidR="00F002B9">
        <w:t xml:space="preserve">The Co-Chairs shall call upon speakers at meetings of the KCI in the order in which they signify their desire to speak. The secretariat shall maintain a list of speakers. The Co-Chairs may call a speaker to order if their remarks are not relevant to the subject under discussion. </w:t>
      </w:r>
    </w:p>
    <w:p w14:paraId="6536CE98" w14:textId="156B2BDE" w:rsidR="00F002B9" w:rsidRDefault="00D23317" w:rsidP="00D23317">
      <w:pPr>
        <w:pStyle w:val="RegSingleTxtG"/>
        <w:numPr>
          <w:ilvl w:val="0"/>
          <w:numId w:val="0"/>
        </w:numPr>
        <w:ind w:left="1134"/>
      </w:pPr>
      <w:r>
        <w:t>19.</w:t>
      </w:r>
      <w:r>
        <w:tab/>
      </w:r>
      <w:r w:rsidR="00F002B9">
        <w:t>The KCI may further define additional roles and responsibilities for the Co-Chairs.</w:t>
      </w:r>
    </w:p>
    <w:p w14:paraId="02A0908A" w14:textId="25DFCA93" w:rsidR="00F002B9" w:rsidRDefault="00D23317" w:rsidP="00D23317">
      <w:pPr>
        <w:pStyle w:val="RegSingleTxtG"/>
        <w:numPr>
          <w:ilvl w:val="0"/>
          <w:numId w:val="0"/>
        </w:numPr>
        <w:ind w:left="1134"/>
      </w:pPr>
      <w:r>
        <w:t>20.</w:t>
      </w:r>
      <w:r>
        <w:tab/>
      </w:r>
      <w:r w:rsidR="00F002B9">
        <w:t>In exercising their functions, the Co-Chairs shall remain under the authority of the KCI.</w:t>
      </w:r>
    </w:p>
    <w:p w14:paraId="64D5A026" w14:textId="0409DC20" w:rsidR="00F002B9" w:rsidRDefault="00D23317" w:rsidP="00D23317">
      <w:pPr>
        <w:keepNext/>
        <w:keepLines/>
        <w:tabs>
          <w:tab w:val="left" w:pos="1135"/>
        </w:tabs>
        <w:spacing w:before="360" w:after="240" w:line="300" w:lineRule="exact"/>
        <w:ind w:left="1135" w:right="1134" w:hanging="284"/>
        <w:rPr>
          <w:b/>
          <w:sz w:val="28"/>
        </w:rPr>
      </w:pPr>
      <w:bookmarkStart w:id="35" w:name="_Toc73717162"/>
      <w:bookmarkStart w:id="36" w:name="_Toc73716071"/>
      <w:bookmarkStart w:id="37" w:name="_Toc73714987"/>
      <w:r>
        <w:rPr>
          <w:b/>
          <w:sz w:val="28"/>
        </w:rPr>
        <w:t>VI.</w:t>
      </w:r>
      <w:r>
        <w:rPr>
          <w:b/>
          <w:sz w:val="28"/>
        </w:rPr>
        <w:tab/>
      </w:r>
      <w:r w:rsidR="00F002B9">
        <w:rPr>
          <w:b/>
          <w:sz w:val="28"/>
        </w:rPr>
        <w:t>Secretariat</w:t>
      </w:r>
      <w:bookmarkEnd w:id="35"/>
      <w:bookmarkEnd w:id="36"/>
      <w:bookmarkEnd w:id="37"/>
    </w:p>
    <w:p w14:paraId="726DBD7A" w14:textId="08B0DC8E" w:rsidR="00F002B9" w:rsidRDefault="00D23317" w:rsidP="00D23317">
      <w:pPr>
        <w:pStyle w:val="RegSingleTxtG"/>
        <w:numPr>
          <w:ilvl w:val="0"/>
          <w:numId w:val="0"/>
        </w:numPr>
        <w:ind w:left="1134"/>
      </w:pPr>
      <w:r>
        <w:t>21.</w:t>
      </w:r>
      <w:r>
        <w:tab/>
      </w:r>
      <w:r w:rsidR="00F002B9">
        <w:t xml:space="preserve">The secretariat shall support and facilitate the work of the KCI, by: </w:t>
      </w:r>
    </w:p>
    <w:p w14:paraId="770AE2D5" w14:textId="5333E3A4" w:rsidR="00F002B9" w:rsidRDefault="00D23317" w:rsidP="00D23317">
      <w:pPr>
        <w:pStyle w:val="RegSingleTxtG2"/>
        <w:numPr>
          <w:ilvl w:val="0"/>
          <w:numId w:val="0"/>
        </w:numPr>
        <w:tabs>
          <w:tab w:val="left" w:pos="1702"/>
        </w:tabs>
        <w:ind w:left="1134" w:firstLine="567"/>
      </w:pPr>
      <w:r>
        <w:rPr>
          <w:szCs w:val="28"/>
        </w:rPr>
        <w:t>(a)</w:t>
      </w:r>
      <w:r>
        <w:rPr>
          <w:szCs w:val="28"/>
        </w:rPr>
        <w:tab/>
      </w:r>
      <w:r w:rsidR="00F002B9">
        <w:t>Making the necessary arrangements for the meetings of the KCI, including announcing meetings, issuing invitations, making the necessary travel arrangements for members eligible for funding for their participation in meetings and making available relevant documents for meetings;</w:t>
      </w:r>
    </w:p>
    <w:p w14:paraId="77AD0CC5" w14:textId="11A71DEE" w:rsidR="00F002B9" w:rsidRDefault="00D23317" w:rsidP="00D23317">
      <w:pPr>
        <w:pStyle w:val="RegSingleTxtG2"/>
        <w:numPr>
          <w:ilvl w:val="0"/>
          <w:numId w:val="0"/>
        </w:numPr>
        <w:tabs>
          <w:tab w:val="left" w:pos="1702"/>
        </w:tabs>
        <w:ind w:left="1134" w:firstLine="567"/>
      </w:pPr>
      <w:r>
        <w:rPr>
          <w:szCs w:val="28"/>
        </w:rPr>
        <w:t>(b)</w:t>
      </w:r>
      <w:r>
        <w:rPr>
          <w:szCs w:val="28"/>
        </w:rPr>
        <w:tab/>
      </w:r>
      <w:r w:rsidR="00F002B9">
        <w:t>Maintaining meeting records and arranging for the storage and preservation of documents of meetings of the KCI;</w:t>
      </w:r>
    </w:p>
    <w:p w14:paraId="44CFEA76" w14:textId="156653BC" w:rsidR="00F002B9" w:rsidRDefault="00D23317" w:rsidP="00D23317">
      <w:pPr>
        <w:pStyle w:val="RegSingleTxtG2"/>
        <w:numPr>
          <w:ilvl w:val="0"/>
          <w:numId w:val="0"/>
        </w:numPr>
        <w:tabs>
          <w:tab w:val="left" w:pos="1702"/>
        </w:tabs>
        <w:ind w:left="1134" w:firstLine="567"/>
      </w:pPr>
      <w:r>
        <w:rPr>
          <w:szCs w:val="28"/>
        </w:rPr>
        <w:t>(c)</w:t>
      </w:r>
      <w:r>
        <w:rPr>
          <w:szCs w:val="28"/>
        </w:rPr>
        <w:tab/>
      </w:r>
      <w:r w:rsidR="00F002B9">
        <w:t>Making documents of meetings of the KCI available to the public, unless otherwise decided by the KCI.</w:t>
      </w:r>
    </w:p>
    <w:p w14:paraId="7762854F" w14:textId="4DBAE169" w:rsidR="00F002B9" w:rsidRDefault="00D23317" w:rsidP="00D23317">
      <w:pPr>
        <w:pStyle w:val="RegSingleTxtG"/>
        <w:numPr>
          <w:ilvl w:val="0"/>
          <w:numId w:val="0"/>
        </w:numPr>
        <w:ind w:left="1134"/>
      </w:pPr>
      <w:r>
        <w:t>22.</w:t>
      </w:r>
      <w:r>
        <w:tab/>
      </w:r>
      <w:r w:rsidR="00F002B9">
        <w:t>The secretariat shall assist the KCI in tracking its actions, in accordance with the workplan of the forum and its KCI, in its annual report.</w:t>
      </w:r>
    </w:p>
    <w:p w14:paraId="19A11CBD" w14:textId="12E747D1" w:rsidR="00F002B9" w:rsidRDefault="00D23317" w:rsidP="00D23317">
      <w:pPr>
        <w:pStyle w:val="RegSingleTxtG"/>
        <w:numPr>
          <w:ilvl w:val="0"/>
          <w:numId w:val="0"/>
        </w:numPr>
        <w:ind w:left="1134"/>
      </w:pPr>
      <w:r>
        <w:t>23.</w:t>
      </w:r>
      <w:r>
        <w:tab/>
      </w:r>
      <w:r w:rsidR="00F002B9">
        <w:t xml:space="preserve">In addition, the secretariat shall perform any other functions assigned by the KCI, in accordance with the workplan of the forum and its KCI. </w:t>
      </w:r>
    </w:p>
    <w:p w14:paraId="54D84E02" w14:textId="2D08C709" w:rsidR="00F002B9" w:rsidRDefault="00D23317" w:rsidP="00D23317">
      <w:pPr>
        <w:keepNext/>
        <w:keepLines/>
        <w:tabs>
          <w:tab w:val="left" w:pos="1135"/>
        </w:tabs>
        <w:spacing w:before="360" w:after="240" w:line="300" w:lineRule="exact"/>
        <w:ind w:left="1135" w:right="1134" w:hanging="284"/>
        <w:rPr>
          <w:b/>
          <w:sz w:val="28"/>
        </w:rPr>
      </w:pPr>
      <w:bookmarkStart w:id="38" w:name="_Toc73717163"/>
      <w:bookmarkStart w:id="39" w:name="_Toc73716072"/>
      <w:bookmarkStart w:id="40" w:name="_Toc73714988"/>
      <w:r>
        <w:rPr>
          <w:b/>
          <w:sz w:val="28"/>
        </w:rPr>
        <w:t>VII.</w:t>
      </w:r>
      <w:r>
        <w:rPr>
          <w:b/>
          <w:sz w:val="28"/>
        </w:rPr>
        <w:tab/>
      </w:r>
      <w:r w:rsidR="00F002B9">
        <w:rPr>
          <w:b/>
          <w:sz w:val="28"/>
        </w:rPr>
        <w:t>Meetings</w:t>
      </w:r>
      <w:bookmarkEnd w:id="38"/>
      <w:bookmarkEnd w:id="39"/>
      <w:bookmarkEnd w:id="40"/>
    </w:p>
    <w:p w14:paraId="09358A48" w14:textId="25C90D1D" w:rsidR="00F002B9" w:rsidRDefault="00D23317" w:rsidP="00D23317">
      <w:pPr>
        <w:pStyle w:val="RegSingleTxtG"/>
        <w:numPr>
          <w:ilvl w:val="0"/>
          <w:numId w:val="0"/>
        </w:numPr>
        <w:ind w:left="1134"/>
      </w:pPr>
      <w:r>
        <w:t>24.</w:t>
      </w:r>
      <w:r>
        <w:tab/>
      </w:r>
      <w:r w:rsidR="00F002B9">
        <w:t>The KCI shall meet twice per year, for two days per meeting, in conjunction with the sessions of the subsidiary bodies.</w:t>
      </w:r>
    </w:p>
    <w:p w14:paraId="6606A0AE" w14:textId="5B4CA0FE" w:rsidR="00F002B9" w:rsidRDefault="00D23317" w:rsidP="00D23317">
      <w:pPr>
        <w:pStyle w:val="RegSingleTxtG"/>
        <w:numPr>
          <w:ilvl w:val="0"/>
          <w:numId w:val="0"/>
        </w:numPr>
        <w:ind w:left="1134"/>
      </w:pPr>
      <w:r>
        <w:t>25.</w:t>
      </w:r>
      <w:r>
        <w:tab/>
      </w:r>
      <w:r w:rsidR="00F002B9">
        <w:t>At least nine members of the KCI must be present to constitute a quorum.</w:t>
      </w:r>
    </w:p>
    <w:p w14:paraId="274F19B7" w14:textId="6B529C8C" w:rsidR="00F002B9" w:rsidRDefault="00D23317" w:rsidP="00D23317">
      <w:pPr>
        <w:pStyle w:val="RegSingleTxtG"/>
        <w:numPr>
          <w:ilvl w:val="0"/>
          <w:numId w:val="0"/>
        </w:numPr>
        <w:ind w:left="1134"/>
      </w:pPr>
      <w:r>
        <w:t>26.</w:t>
      </w:r>
      <w:r>
        <w:tab/>
      </w:r>
      <w:r w:rsidR="00F002B9">
        <w:t>Members are requested to confirm their attendance at meetings of the KCI as early as possible, and at least four weeks prior to a meeting for members eligible for funding for their participation, to enable sufficient time for the secretariat to make the necessary travel arrangements.</w:t>
      </w:r>
    </w:p>
    <w:p w14:paraId="209A478A" w14:textId="0866D052" w:rsidR="00F002B9" w:rsidRDefault="00D23317" w:rsidP="00D23317">
      <w:pPr>
        <w:pStyle w:val="RegSingleTxtG"/>
        <w:numPr>
          <w:ilvl w:val="0"/>
          <w:numId w:val="0"/>
        </w:numPr>
        <w:ind w:left="1134"/>
      </w:pPr>
      <w:r>
        <w:t>27.</w:t>
      </w:r>
      <w:r>
        <w:tab/>
      </w:r>
      <w:r w:rsidR="00F002B9">
        <w:t xml:space="preserve">Should technical and financial resources permit, open meetings of the KCI shall be webcast </w:t>
      </w:r>
      <w:r w:rsidR="00697A99">
        <w:t>on</w:t>
      </w:r>
      <w:r w:rsidR="00F002B9">
        <w:t xml:space="preserve"> the UNFCCC website.</w:t>
      </w:r>
    </w:p>
    <w:p w14:paraId="59B74C9A" w14:textId="7E61C8F1" w:rsidR="00F002B9" w:rsidRDefault="00D23317" w:rsidP="00D23317">
      <w:pPr>
        <w:pStyle w:val="RegSingleTxtG"/>
        <w:numPr>
          <w:ilvl w:val="0"/>
          <w:numId w:val="0"/>
        </w:numPr>
        <w:ind w:left="1134"/>
      </w:pPr>
      <w:r>
        <w:t>28.</w:t>
      </w:r>
      <w:r>
        <w:tab/>
      </w:r>
      <w:r w:rsidR="00F002B9">
        <w:t>At each of its meetings, the KCI shall propose the dates of its next meeting. The Co-Chairs will agree the dates of the next meeting in consultation with the secretariat.</w:t>
      </w:r>
    </w:p>
    <w:p w14:paraId="6802971F" w14:textId="4BBC4BFC" w:rsidR="00F002B9" w:rsidRDefault="00D23317" w:rsidP="00D23317">
      <w:pPr>
        <w:keepNext/>
        <w:keepLines/>
        <w:tabs>
          <w:tab w:val="left" w:pos="1135"/>
        </w:tabs>
        <w:spacing w:before="360" w:after="240" w:line="300" w:lineRule="exact"/>
        <w:ind w:left="1135" w:right="1134" w:hanging="284"/>
        <w:rPr>
          <w:b/>
          <w:sz w:val="28"/>
        </w:rPr>
      </w:pPr>
      <w:bookmarkStart w:id="41" w:name="_Toc73717164"/>
      <w:bookmarkStart w:id="42" w:name="_Toc73716073"/>
      <w:bookmarkStart w:id="43" w:name="_Toc73714989"/>
      <w:r>
        <w:rPr>
          <w:b/>
          <w:sz w:val="28"/>
        </w:rPr>
        <w:t>VIII.</w:t>
      </w:r>
      <w:r>
        <w:rPr>
          <w:b/>
          <w:sz w:val="28"/>
        </w:rPr>
        <w:tab/>
      </w:r>
      <w:r w:rsidR="00F002B9">
        <w:rPr>
          <w:b/>
          <w:sz w:val="28"/>
        </w:rPr>
        <w:t>Agenda and documentation for meetings</w:t>
      </w:r>
      <w:bookmarkEnd w:id="41"/>
      <w:bookmarkEnd w:id="42"/>
      <w:bookmarkEnd w:id="43"/>
    </w:p>
    <w:p w14:paraId="466C5EAC" w14:textId="2D8468FC" w:rsidR="00F002B9" w:rsidRDefault="00D23317" w:rsidP="00D23317">
      <w:pPr>
        <w:pStyle w:val="RegSingleTxtG"/>
        <w:numPr>
          <w:ilvl w:val="0"/>
          <w:numId w:val="0"/>
        </w:numPr>
        <w:ind w:left="1134"/>
      </w:pPr>
      <w:r>
        <w:t>29.</w:t>
      </w:r>
      <w:r>
        <w:tab/>
      </w:r>
      <w:r w:rsidR="00F002B9">
        <w:t xml:space="preserve">The Co-Chairs, assisted by the secretariat, shall prepare the provisional agenda and provisional annotated agenda for each meeting of the KCI in accordance with the workplan of the forum and its KCI. The Co-Chairs will prepare a report on the meeting, to be agreed by members, and this will be made available on the UNFCCC website. The Co-Chairs will report back to the forum on the meeting of the KCI. </w:t>
      </w:r>
    </w:p>
    <w:p w14:paraId="4678C13A" w14:textId="19D578B5" w:rsidR="00F002B9" w:rsidRDefault="00D23317" w:rsidP="00D23317">
      <w:pPr>
        <w:pStyle w:val="RegSingleTxtG"/>
        <w:numPr>
          <w:ilvl w:val="0"/>
          <w:numId w:val="0"/>
        </w:numPr>
        <w:ind w:left="1134"/>
      </w:pPr>
      <w:r>
        <w:t>30.</w:t>
      </w:r>
      <w:r>
        <w:tab/>
      </w:r>
      <w:r w:rsidR="00F002B9">
        <w:t xml:space="preserve">The provisional agenda and provisional annotated agenda for each meeting shall be transmitted to the members of the KCI at least four weeks in advance of the meeting. </w:t>
      </w:r>
    </w:p>
    <w:p w14:paraId="2199B89F" w14:textId="28532C41" w:rsidR="00F002B9" w:rsidRDefault="00D23317" w:rsidP="00D23317">
      <w:pPr>
        <w:pStyle w:val="RegSingleTxtG"/>
        <w:numPr>
          <w:ilvl w:val="0"/>
          <w:numId w:val="0"/>
        </w:numPr>
        <w:ind w:left="1134"/>
      </w:pPr>
      <w:r>
        <w:t>31.</w:t>
      </w:r>
      <w:r>
        <w:tab/>
      </w:r>
      <w:r w:rsidR="00F002B9">
        <w:t xml:space="preserve">Members may propose additions or changes to the provisional agenda and provisional annotated agenda, in writing, to the secretariat within one week of receiving the documents, and these additions or changes shall be considered for a revised provisional agenda and provisional annotated agenda by the secretariat in agreement with the Co-Chairs. </w:t>
      </w:r>
    </w:p>
    <w:p w14:paraId="214C6A7B" w14:textId="25FAF9F0" w:rsidR="00F002B9" w:rsidRDefault="00D23317" w:rsidP="00D23317">
      <w:pPr>
        <w:pStyle w:val="RegSingleTxtG"/>
        <w:numPr>
          <w:ilvl w:val="0"/>
          <w:numId w:val="0"/>
        </w:numPr>
        <w:ind w:left="1134"/>
      </w:pPr>
      <w:r>
        <w:t>32.</w:t>
      </w:r>
      <w:r>
        <w:tab/>
      </w:r>
      <w:r w:rsidR="00F002B9">
        <w:t xml:space="preserve">The secretariat shall transmit the provisional agenda and provisional annotated agenda and any supporting documentation to the members at least two weeks prior to a meeting. Documents may be transmitted after that date with the approval of the Co-Chairs. </w:t>
      </w:r>
    </w:p>
    <w:p w14:paraId="0B9DA570" w14:textId="6DE9309D" w:rsidR="00F002B9" w:rsidRDefault="00D23317" w:rsidP="00D23317">
      <w:pPr>
        <w:pStyle w:val="RegSingleTxtG"/>
        <w:numPr>
          <w:ilvl w:val="0"/>
          <w:numId w:val="0"/>
        </w:numPr>
        <w:ind w:left="1134"/>
      </w:pPr>
      <w:r>
        <w:t>33.</w:t>
      </w:r>
      <w:r>
        <w:tab/>
      </w:r>
      <w:r w:rsidR="00F002B9">
        <w:t xml:space="preserve">Documents for a meeting shall be published on the UNFCCC website at least two weeks prior to that meeting, to the extent possible. </w:t>
      </w:r>
    </w:p>
    <w:p w14:paraId="39E0685E" w14:textId="721D6CF0" w:rsidR="00F002B9" w:rsidRDefault="00D23317" w:rsidP="00D23317">
      <w:pPr>
        <w:pStyle w:val="RegSingleTxtG"/>
        <w:numPr>
          <w:ilvl w:val="0"/>
          <w:numId w:val="0"/>
        </w:numPr>
        <w:ind w:left="1134"/>
      </w:pPr>
      <w:r>
        <w:t>34.</w:t>
      </w:r>
      <w:r>
        <w:tab/>
      </w:r>
      <w:r w:rsidR="00F002B9">
        <w:t>The KCI shall, at the beginning of each meeting, adopt the agenda for that meeting.</w:t>
      </w:r>
    </w:p>
    <w:p w14:paraId="7110BE34" w14:textId="3D7FFD19" w:rsidR="00F002B9" w:rsidRDefault="00D23317" w:rsidP="00D23317">
      <w:pPr>
        <w:pStyle w:val="RegSingleTxtG"/>
        <w:numPr>
          <w:ilvl w:val="0"/>
          <w:numId w:val="0"/>
        </w:numPr>
        <w:ind w:left="1134"/>
      </w:pPr>
      <w:r>
        <w:t>35.</w:t>
      </w:r>
      <w:r>
        <w:tab/>
      </w:r>
      <w:r w:rsidR="00F002B9">
        <w:t>The CMA decided that members of the KCI shall prepare an annual report for consideration by the forum with a view to making recommendations for consideration by the SBSTA and the SBI, which, in turn, are to recommend actions to the Conference of the Parties (COP), the Conference of the Parties serving as the meeting of the Parties to the Kyoto Protocol (CMP) and the CMA for their consideration and adoption.</w:t>
      </w:r>
      <w:r w:rsidR="00F002B9">
        <w:rPr>
          <w:sz w:val="18"/>
          <w:vertAlign w:val="superscript"/>
        </w:rPr>
        <w:footnoteReference w:id="36"/>
      </w:r>
      <w:r w:rsidR="00F002B9">
        <w:rPr>
          <w:rFonts w:asciiTheme="minorHAnsi" w:eastAsiaTheme="minorHAnsi" w:hAnsiTheme="minorHAnsi" w:cstheme="minorBidi"/>
          <w:sz w:val="22"/>
          <w:szCs w:val="22"/>
          <w:lang w:eastAsia="en-US"/>
        </w:rPr>
        <w:t xml:space="preserve"> </w:t>
      </w:r>
    </w:p>
    <w:p w14:paraId="2A5DCBD9" w14:textId="7D4AE6AA" w:rsidR="00F002B9" w:rsidRDefault="00D23317" w:rsidP="00D23317">
      <w:pPr>
        <w:pStyle w:val="RegSingleTxtG"/>
        <w:numPr>
          <w:ilvl w:val="0"/>
          <w:numId w:val="0"/>
        </w:numPr>
        <w:ind w:left="1134"/>
      </w:pPr>
      <w:r>
        <w:t>36.</w:t>
      </w:r>
      <w:r>
        <w:tab/>
      </w:r>
      <w:r w:rsidR="00F002B9">
        <w:t>Th</w:t>
      </w:r>
      <w:r w:rsidR="00B0584F">
        <w:t>e</w:t>
      </w:r>
      <w:r w:rsidR="00F002B9">
        <w:t xml:space="preserve"> annual report shall be made available on the UNFCCC website before the relevant sessions of the COP, the CMP and the CMA.</w:t>
      </w:r>
    </w:p>
    <w:p w14:paraId="6B622084" w14:textId="163926E6" w:rsidR="00F002B9" w:rsidRDefault="00D23317" w:rsidP="00D23317">
      <w:pPr>
        <w:keepNext/>
        <w:keepLines/>
        <w:tabs>
          <w:tab w:val="left" w:pos="1135"/>
        </w:tabs>
        <w:spacing w:before="360" w:after="240" w:line="300" w:lineRule="exact"/>
        <w:ind w:left="1135" w:right="1134" w:hanging="284"/>
        <w:rPr>
          <w:b/>
          <w:sz w:val="28"/>
        </w:rPr>
      </w:pPr>
      <w:bookmarkStart w:id="44" w:name="_Toc73717165"/>
      <w:bookmarkStart w:id="45" w:name="_Toc73716074"/>
      <w:bookmarkStart w:id="46" w:name="_Toc73714990"/>
      <w:r>
        <w:rPr>
          <w:b/>
          <w:sz w:val="28"/>
        </w:rPr>
        <w:t>IX.</w:t>
      </w:r>
      <w:r>
        <w:rPr>
          <w:b/>
          <w:sz w:val="28"/>
        </w:rPr>
        <w:tab/>
      </w:r>
      <w:r w:rsidR="00F002B9">
        <w:rPr>
          <w:b/>
          <w:sz w:val="28"/>
        </w:rPr>
        <w:t>Decision-making</w:t>
      </w:r>
      <w:bookmarkEnd w:id="44"/>
      <w:bookmarkEnd w:id="45"/>
      <w:bookmarkEnd w:id="46"/>
    </w:p>
    <w:p w14:paraId="2E865C3E" w14:textId="751DE077" w:rsidR="00F002B9" w:rsidRDefault="00D23317" w:rsidP="00D23317">
      <w:pPr>
        <w:pStyle w:val="RegSingleTxtG"/>
        <w:numPr>
          <w:ilvl w:val="0"/>
          <w:numId w:val="0"/>
        </w:numPr>
        <w:ind w:left="1134"/>
      </w:pPr>
      <w:r>
        <w:t>37.</w:t>
      </w:r>
      <w:r>
        <w:tab/>
      </w:r>
      <w:r w:rsidR="00F002B9">
        <w:t>The CMA decided that the KCI shall operate on the basis of consensus of its members.</w:t>
      </w:r>
      <w:r w:rsidR="00F002B9">
        <w:rPr>
          <w:sz w:val="18"/>
          <w:vertAlign w:val="superscript"/>
        </w:rPr>
        <w:footnoteReference w:id="37"/>
      </w:r>
    </w:p>
    <w:p w14:paraId="738D8CC3" w14:textId="3E9855BC" w:rsidR="00F002B9" w:rsidRDefault="00D23317" w:rsidP="00D23317">
      <w:pPr>
        <w:pStyle w:val="RegSingleTxtG"/>
        <w:numPr>
          <w:ilvl w:val="0"/>
          <w:numId w:val="0"/>
        </w:numPr>
        <w:ind w:left="1134"/>
      </w:pPr>
      <w:r>
        <w:t>38.</w:t>
      </w:r>
      <w:r>
        <w:tab/>
      </w:r>
      <w:r w:rsidR="00F002B9">
        <w:t>The KCI may use electronic means to facilitate its work, as appropriate and in accordance with the workplan of the forum and its KCI.</w:t>
      </w:r>
    </w:p>
    <w:p w14:paraId="185E17AB" w14:textId="4E38A3FA" w:rsidR="00F002B9" w:rsidRDefault="00D23317" w:rsidP="00D23317">
      <w:pPr>
        <w:keepNext/>
        <w:keepLines/>
        <w:tabs>
          <w:tab w:val="left" w:pos="1135"/>
        </w:tabs>
        <w:spacing w:before="360" w:after="240" w:line="300" w:lineRule="exact"/>
        <w:ind w:left="1135" w:right="1134" w:hanging="284"/>
        <w:rPr>
          <w:b/>
          <w:sz w:val="28"/>
        </w:rPr>
      </w:pPr>
      <w:bookmarkStart w:id="47" w:name="_Toc73717166"/>
      <w:bookmarkStart w:id="48" w:name="_Toc73716075"/>
      <w:bookmarkStart w:id="49" w:name="_Toc73714991"/>
      <w:r>
        <w:rPr>
          <w:b/>
          <w:sz w:val="28"/>
        </w:rPr>
        <w:t>X.</w:t>
      </w:r>
      <w:r>
        <w:rPr>
          <w:b/>
          <w:sz w:val="28"/>
        </w:rPr>
        <w:tab/>
      </w:r>
      <w:r w:rsidR="00F002B9">
        <w:rPr>
          <w:b/>
          <w:sz w:val="28"/>
        </w:rPr>
        <w:t>Working language</w:t>
      </w:r>
      <w:bookmarkEnd w:id="47"/>
      <w:bookmarkEnd w:id="48"/>
      <w:bookmarkEnd w:id="49"/>
    </w:p>
    <w:p w14:paraId="6CBEB44A" w14:textId="48144F72" w:rsidR="00F002B9" w:rsidRDefault="00D23317" w:rsidP="00D23317">
      <w:pPr>
        <w:pStyle w:val="RegSingleTxtG"/>
        <w:numPr>
          <w:ilvl w:val="0"/>
          <w:numId w:val="0"/>
        </w:numPr>
        <w:ind w:left="1134"/>
        <w:rPr>
          <w:bCs/>
        </w:rPr>
      </w:pPr>
      <w:r>
        <w:rPr>
          <w:bCs/>
        </w:rPr>
        <w:t>39.</w:t>
      </w:r>
      <w:r>
        <w:rPr>
          <w:bCs/>
        </w:rPr>
        <w:tab/>
      </w:r>
      <w:r w:rsidR="00F002B9">
        <w:t>The working language of the KCI shall be English.</w:t>
      </w:r>
    </w:p>
    <w:p w14:paraId="6B176B6C" w14:textId="24E8A0CD" w:rsidR="00F002B9" w:rsidRDefault="00D23317" w:rsidP="00D23317">
      <w:pPr>
        <w:keepNext/>
        <w:keepLines/>
        <w:tabs>
          <w:tab w:val="left" w:pos="1135"/>
        </w:tabs>
        <w:spacing w:before="360" w:after="240" w:line="300" w:lineRule="exact"/>
        <w:ind w:left="1135" w:right="1134" w:hanging="284"/>
        <w:rPr>
          <w:b/>
          <w:sz w:val="28"/>
        </w:rPr>
      </w:pPr>
      <w:bookmarkStart w:id="50" w:name="_Toc73717167"/>
      <w:bookmarkStart w:id="51" w:name="_Toc73716076"/>
      <w:bookmarkStart w:id="52" w:name="_Toc73714992"/>
      <w:r>
        <w:rPr>
          <w:b/>
          <w:sz w:val="28"/>
        </w:rPr>
        <w:t>XI.</w:t>
      </w:r>
      <w:r>
        <w:rPr>
          <w:b/>
          <w:sz w:val="28"/>
        </w:rPr>
        <w:tab/>
      </w:r>
      <w:r w:rsidR="00F002B9">
        <w:rPr>
          <w:b/>
          <w:sz w:val="28"/>
        </w:rPr>
        <w:t>Participation of expert advisers in meetings</w:t>
      </w:r>
      <w:bookmarkEnd w:id="50"/>
      <w:bookmarkEnd w:id="51"/>
      <w:bookmarkEnd w:id="52"/>
    </w:p>
    <w:p w14:paraId="7C8107D7" w14:textId="2FE95181" w:rsidR="00F002B9" w:rsidRDefault="00D23317" w:rsidP="00D23317">
      <w:pPr>
        <w:pStyle w:val="RegSingleTxtG"/>
        <w:numPr>
          <w:ilvl w:val="0"/>
          <w:numId w:val="0"/>
        </w:numPr>
        <w:ind w:left="1134"/>
      </w:pPr>
      <w:r>
        <w:t>40.</w:t>
      </w:r>
      <w:r>
        <w:tab/>
      </w:r>
      <w:r w:rsidR="00F002B9">
        <w:t xml:space="preserve">The KCI, in </w:t>
      </w:r>
      <w:r w:rsidR="00B2665F">
        <w:t>fulfilling</w:t>
      </w:r>
      <w:r w:rsidR="00F002B9">
        <w:t xml:space="preserve"> its mandate, should draw </w:t>
      </w:r>
      <w:r w:rsidR="00F002B9" w:rsidDel="002F41AF">
        <w:t>up</w:t>
      </w:r>
      <w:r w:rsidR="00F002B9">
        <w:t>on outside expertise at its meetings.</w:t>
      </w:r>
    </w:p>
    <w:p w14:paraId="7D16BBD0" w14:textId="64B5DCED" w:rsidR="00F002B9" w:rsidRDefault="00D23317" w:rsidP="00D23317">
      <w:pPr>
        <w:pStyle w:val="RegSingleTxtG"/>
        <w:numPr>
          <w:ilvl w:val="0"/>
          <w:numId w:val="0"/>
        </w:numPr>
        <w:ind w:left="1134"/>
      </w:pPr>
      <w:r>
        <w:t>41.</w:t>
      </w:r>
      <w:r>
        <w:tab/>
      </w:r>
      <w:r w:rsidR="00F002B9">
        <w:t>The Co-Chairs may, in consultation with the KCI, invite representatives of international organizations, the private sector, academia and/or civil society to participate in a meeting of the KCI as expert advisers on specific issues under consideration at the meeting.</w:t>
      </w:r>
    </w:p>
    <w:p w14:paraId="6C300C60" w14:textId="08C7E38F" w:rsidR="00F002B9" w:rsidRDefault="00D23317" w:rsidP="00D23317">
      <w:pPr>
        <w:keepNext/>
        <w:keepLines/>
        <w:tabs>
          <w:tab w:val="left" w:pos="1135"/>
        </w:tabs>
        <w:spacing w:before="360" w:after="240" w:line="300" w:lineRule="exact"/>
        <w:ind w:left="1135" w:right="1134" w:hanging="284"/>
        <w:rPr>
          <w:b/>
          <w:sz w:val="28"/>
        </w:rPr>
      </w:pPr>
      <w:bookmarkStart w:id="53" w:name="_Toc73717168"/>
      <w:bookmarkStart w:id="54" w:name="_Toc73716077"/>
      <w:bookmarkStart w:id="55" w:name="_Toc73714993"/>
      <w:r>
        <w:rPr>
          <w:b/>
          <w:sz w:val="28"/>
        </w:rPr>
        <w:t>XII.</w:t>
      </w:r>
      <w:r>
        <w:rPr>
          <w:b/>
          <w:sz w:val="28"/>
        </w:rPr>
        <w:tab/>
      </w:r>
      <w:r w:rsidR="00F002B9">
        <w:rPr>
          <w:b/>
          <w:sz w:val="28"/>
        </w:rPr>
        <w:t>Participation of observers</w:t>
      </w:r>
      <w:bookmarkEnd w:id="53"/>
      <w:bookmarkEnd w:id="54"/>
      <w:bookmarkEnd w:id="55"/>
    </w:p>
    <w:p w14:paraId="0A57BBC9" w14:textId="3CC265CB" w:rsidR="00F002B9" w:rsidRDefault="00D23317" w:rsidP="00D23317">
      <w:pPr>
        <w:pStyle w:val="RegSingleTxtG"/>
        <w:numPr>
          <w:ilvl w:val="0"/>
          <w:numId w:val="0"/>
        </w:numPr>
        <w:ind w:left="1134"/>
      </w:pPr>
      <w:r>
        <w:t>42.</w:t>
      </w:r>
      <w:r>
        <w:tab/>
      </w:r>
      <w:r w:rsidR="00F002B9">
        <w:rPr>
          <w:rFonts w:eastAsia="Times New Roman"/>
        </w:rPr>
        <w:t>The CMA decided</w:t>
      </w:r>
      <w:r w:rsidR="00F002B9">
        <w:t xml:space="preserve"> that meetings of the KCI shall be open to attendance as observers by all Parties and accredited observer organizations, unless otherwise decided by the KCI.</w:t>
      </w:r>
      <w:r w:rsidR="00F002B9">
        <w:rPr>
          <w:sz w:val="18"/>
          <w:vertAlign w:val="superscript"/>
        </w:rPr>
        <w:footnoteReference w:id="38"/>
      </w:r>
      <w:r w:rsidR="00F002B9">
        <w:t xml:space="preserve"> </w:t>
      </w:r>
    </w:p>
    <w:p w14:paraId="62CBB9B3" w14:textId="2F431D28" w:rsidR="00F002B9" w:rsidRDefault="00D23317" w:rsidP="00D23317">
      <w:pPr>
        <w:pStyle w:val="RegSingleTxtG"/>
        <w:numPr>
          <w:ilvl w:val="0"/>
          <w:numId w:val="0"/>
        </w:numPr>
        <w:ind w:left="1134"/>
      </w:pPr>
      <w:r>
        <w:t>43.</w:t>
      </w:r>
      <w:r>
        <w:tab/>
      </w:r>
      <w:r w:rsidR="00F002B9">
        <w:t>The KCI may decide to close a meeting or part thereof to observers at any time.</w:t>
      </w:r>
    </w:p>
    <w:p w14:paraId="3CA00442" w14:textId="30C2765A" w:rsidR="00F002B9" w:rsidRDefault="00D23317" w:rsidP="00D23317">
      <w:pPr>
        <w:pStyle w:val="RegSingleTxtG"/>
        <w:numPr>
          <w:ilvl w:val="0"/>
          <w:numId w:val="0"/>
        </w:numPr>
        <w:ind w:left="1134"/>
      </w:pPr>
      <w:r>
        <w:t>44.</w:t>
      </w:r>
      <w:r>
        <w:tab/>
      </w:r>
      <w:r w:rsidR="00F002B9">
        <w:t xml:space="preserve">The secretariat shall make the dates and venues of the meetings available to the public to enable participation by observers. </w:t>
      </w:r>
    </w:p>
    <w:p w14:paraId="61D037F5" w14:textId="34CCD2DF" w:rsidR="00F002B9" w:rsidRDefault="00D23317" w:rsidP="00D23317">
      <w:pPr>
        <w:pStyle w:val="RegSingleTxtG"/>
        <w:numPr>
          <w:ilvl w:val="0"/>
          <w:numId w:val="0"/>
        </w:numPr>
        <w:ind w:left="1134"/>
      </w:pPr>
      <w:r>
        <w:t>45.</w:t>
      </w:r>
      <w:r>
        <w:tab/>
      </w:r>
      <w:r w:rsidR="00F002B9">
        <w:t>Observers may, with the agreement of the KCI, be invited to address the KCI on matters under consideration by the KCI. The Co-Chairs shall notify the KCI one week in advance of the meeting of any proposed interventions by observers.</w:t>
      </w:r>
    </w:p>
    <w:p w14:paraId="0BFFA5FF" w14:textId="65061126" w:rsidR="00F002B9" w:rsidRDefault="00D23317" w:rsidP="00D23317">
      <w:pPr>
        <w:pStyle w:val="RegSingleTxtG"/>
        <w:numPr>
          <w:ilvl w:val="0"/>
          <w:numId w:val="0"/>
        </w:numPr>
        <w:ind w:left="1134"/>
      </w:pPr>
      <w:r>
        <w:t>46.</w:t>
      </w:r>
      <w:r>
        <w:tab/>
      </w:r>
      <w:r w:rsidR="00F002B9">
        <w:t xml:space="preserve">The KCI may request interventions from observers throughout the meeting, as appropriate. </w:t>
      </w:r>
    </w:p>
    <w:p w14:paraId="698FE201" w14:textId="704F74DE" w:rsidR="00F002B9" w:rsidRDefault="00D23317" w:rsidP="00D23317">
      <w:pPr>
        <w:keepNext/>
        <w:keepLines/>
        <w:tabs>
          <w:tab w:val="left" w:pos="1135"/>
        </w:tabs>
        <w:spacing w:before="360" w:after="240" w:line="300" w:lineRule="exact"/>
        <w:ind w:left="1135" w:right="1134" w:hanging="284"/>
        <w:rPr>
          <w:b/>
          <w:sz w:val="28"/>
        </w:rPr>
      </w:pPr>
      <w:bookmarkStart w:id="56" w:name="_Toc73717169"/>
      <w:bookmarkStart w:id="57" w:name="_Toc73716078"/>
      <w:bookmarkStart w:id="58" w:name="_Toc73714994"/>
      <w:r>
        <w:rPr>
          <w:b/>
          <w:sz w:val="28"/>
        </w:rPr>
        <w:t>XIII.</w:t>
      </w:r>
      <w:r>
        <w:rPr>
          <w:b/>
          <w:sz w:val="28"/>
        </w:rPr>
        <w:tab/>
      </w:r>
      <w:r w:rsidR="00F002B9">
        <w:rPr>
          <w:b/>
          <w:sz w:val="28"/>
        </w:rPr>
        <w:t>Use of electronic means of communication</w:t>
      </w:r>
      <w:bookmarkEnd w:id="56"/>
      <w:bookmarkEnd w:id="57"/>
      <w:bookmarkEnd w:id="58"/>
    </w:p>
    <w:p w14:paraId="4FDE2D4F" w14:textId="1327936D" w:rsidR="00F002B9" w:rsidRDefault="00D23317" w:rsidP="00D23317">
      <w:pPr>
        <w:pStyle w:val="RegSingleTxtG"/>
        <w:numPr>
          <w:ilvl w:val="0"/>
          <w:numId w:val="0"/>
        </w:numPr>
        <w:ind w:left="1134"/>
      </w:pPr>
      <w:r>
        <w:t>47.</w:t>
      </w:r>
      <w:r>
        <w:tab/>
      </w:r>
      <w:r w:rsidR="00F002B9">
        <w:t>The KCI shall use electronic means of communication to facilitate intersessional work</w:t>
      </w:r>
      <w:r w:rsidR="00F002B9">
        <w:rPr>
          <w:rFonts w:eastAsia="Times New Roman"/>
        </w:rPr>
        <w:t xml:space="preserve">, as appropriate and in accordance with the </w:t>
      </w:r>
      <w:r w:rsidR="00F002B9" w:rsidRPr="00B8046B">
        <w:t>workplan</w:t>
      </w:r>
      <w:r w:rsidR="00F002B9">
        <w:rPr>
          <w:rFonts w:eastAsia="Times New Roman"/>
        </w:rPr>
        <w:t xml:space="preserve"> of the forum and its KCI</w:t>
      </w:r>
      <w:r w:rsidR="00F002B9">
        <w:t>. The secretariat shall ensure that a secure and dedicated web interface is established and maintained to facilitate the work of the KCI.</w:t>
      </w:r>
    </w:p>
    <w:p w14:paraId="197D0D96" w14:textId="690F9D37" w:rsidR="00F002B9" w:rsidRDefault="00D23317" w:rsidP="00D23317">
      <w:pPr>
        <w:keepNext/>
        <w:keepLines/>
        <w:tabs>
          <w:tab w:val="left" w:pos="1135"/>
        </w:tabs>
        <w:spacing w:before="360" w:after="240" w:line="300" w:lineRule="exact"/>
        <w:ind w:left="1135" w:right="1134" w:hanging="284"/>
        <w:rPr>
          <w:b/>
          <w:sz w:val="28"/>
        </w:rPr>
      </w:pPr>
      <w:bookmarkStart w:id="59" w:name="_Toc73717170"/>
      <w:bookmarkStart w:id="60" w:name="_Toc73716079"/>
      <w:bookmarkStart w:id="61" w:name="_Toc73714995"/>
      <w:r>
        <w:rPr>
          <w:b/>
          <w:sz w:val="28"/>
        </w:rPr>
        <w:t>XIV.</w:t>
      </w:r>
      <w:r>
        <w:rPr>
          <w:b/>
          <w:sz w:val="28"/>
        </w:rPr>
        <w:tab/>
      </w:r>
      <w:r w:rsidR="00F002B9">
        <w:rPr>
          <w:b/>
          <w:sz w:val="28"/>
        </w:rPr>
        <w:t>Working groups</w:t>
      </w:r>
      <w:bookmarkEnd w:id="59"/>
      <w:bookmarkEnd w:id="60"/>
      <w:bookmarkEnd w:id="61"/>
    </w:p>
    <w:p w14:paraId="6D7EFDD2" w14:textId="788D8AB8" w:rsidR="00F002B9" w:rsidRDefault="00D23317" w:rsidP="00D23317">
      <w:pPr>
        <w:pStyle w:val="RegSingleTxtG"/>
        <w:numPr>
          <w:ilvl w:val="0"/>
          <w:numId w:val="0"/>
        </w:numPr>
        <w:ind w:left="1134"/>
      </w:pPr>
      <w:r>
        <w:t>48.</w:t>
      </w:r>
      <w:r>
        <w:tab/>
      </w:r>
      <w:r w:rsidR="00F002B9">
        <w:t xml:space="preserve">The KCI may establish working groups among its members to support the forum in performing its functions. The working groups may receive inputs from experts, practitioners and relevant organizations in accordance with the workplan of the forum and its KCI and in line with paragraphs </w:t>
      </w:r>
      <w:r w:rsidR="001C5935">
        <w:t>40</w:t>
      </w:r>
      <w:r w:rsidR="00F002B9">
        <w:t>–</w:t>
      </w:r>
      <w:r w:rsidR="001C5935">
        <w:t xml:space="preserve">41 </w:t>
      </w:r>
      <w:r w:rsidR="00F002B9">
        <w:t>above.</w:t>
      </w:r>
    </w:p>
    <w:p w14:paraId="3BDC4252" w14:textId="495F2C50" w:rsidR="00F002B9" w:rsidRDefault="00D23317" w:rsidP="00D23317">
      <w:pPr>
        <w:keepNext/>
        <w:keepLines/>
        <w:tabs>
          <w:tab w:val="left" w:pos="1135"/>
        </w:tabs>
        <w:spacing w:before="360" w:after="240" w:line="300" w:lineRule="exact"/>
        <w:ind w:left="1135" w:right="1134" w:hanging="284"/>
        <w:rPr>
          <w:b/>
          <w:sz w:val="28"/>
        </w:rPr>
      </w:pPr>
      <w:bookmarkStart w:id="62" w:name="_Toc73717171"/>
      <w:bookmarkStart w:id="63" w:name="_Toc73716080"/>
      <w:bookmarkStart w:id="64" w:name="_Toc73714996"/>
      <w:r>
        <w:rPr>
          <w:b/>
          <w:sz w:val="28"/>
        </w:rPr>
        <w:t>XV.</w:t>
      </w:r>
      <w:r>
        <w:rPr>
          <w:b/>
          <w:sz w:val="28"/>
        </w:rPr>
        <w:tab/>
      </w:r>
      <w:r w:rsidR="00F002B9">
        <w:rPr>
          <w:b/>
          <w:sz w:val="28"/>
        </w:rPr>
        <w:t>Workplan</w:t>
      </w:r>
      <w:bookmarkEnd w:id="62"/>
      <w:bookmarkEnd w:id="63"/>
      <w:bookmarkEnd w:id="64"/>
    </w:p>
    <w:p w14:paraId="0BE92653" w14:textId="74325120" w:rsidR="00F002B9" w:rsidRDefault="00D23317" w:rsidP="00D23317">
      <w:pPr>
        <w:pStyle w:val="RegSingleTxtG"/>
        <w:numPr>
          <w:ilvl w:val="0"/>
          <w:numId w:val="0"/>
        </w:numPr>
        <w:ind w:left="1134"/>
      </w:pPr>
      <w:r>
        <w:t>49.</w:t>
      </w:r>
      <w:r>
        <w:tab/>
      </w:r>
      <w:r w:rsidR="00F002B9">
        <w:t>The KCI will support the work of the forum in line with the workplan of the forum and its KCI.</w:t>
      </w:r>
    </w:p>
    <w:p w14:paraId="0A6FEC29" w14:textId="637F13EA" w:rsidR="00F002B9" w:rsidRDefault="00D23317" w:rsidP="00D23317">
      <w:pPr>
        <w:keepNext/>
        <w:keepLines/>
        <w:tabs>
          <w:tab w:val="left" w:pos="1135"/>
        </w:tabs>
        <w:spacing w:before="360" w:after="240" w:line="300" w:lineRule="exact"/>
        <w:ind w:left="1135" w:right="1134" w:hanging="284"/>
        <w:rPr>
          <w:b/>
          <w:sz w:val="28"/>
        </w:rPr>
      </w:pPr>
      <w:bookmarkStart w:id="65" w:name="_Toc73717172"/>
      <w:bookmarkStart w:id="66" w:name="_Toc73716081"/>
      <w:bookmarkStart w:id="67" w:name="_Toc73714997"/>
      <w:r>
        <w:rPr>
          <w:b/>
          <w:sz w:val="28"/>
        </w:rPr>
        <w:t>XVI.</w:t>
      </w:r>
      <w:r>
        <w:rPr>
          <w:b/>
          <w:sz w:val="28"/>
        </w:rPr>
        <w:tab/>
      </w:r>
      <w:r w:rsidR="00F002B9">
        <w:rPr>
          <w:b/>
          <w:sz w:val="28"/>
        </w:rPr>
        <w:t>Amendments to the rules of procedure</w:t>
      </w:r>
      <w:bookmarkEnd w:id="65"/>
      <w:bookmarkEnd w:id="66"/>
      <w:bookmarkEnd w:id="67"/>
    </w:p>
    <w:p w14:paraId="02C3A89B" w14:textId="5A35F82F" w:rsidR="00F002B9" w:rsidRDefault="00D23317" w:rsidP="00D23317">
      <w:pPr>
        <w:pStyle w:val="RegSingleTxtG"/>
        <w:numPr>
          <w:ilvl w:val="0"/>
          <w:numId w:val="0"/>
        </w:numPr>
        <w:ind w:left="1134"/>
        <w:rPr>
          <w:rFonts w:eastAsiaTheme="minorHAnsi"/>
          <w:lang w:eastAsia="en-US"/>
        </w:rPr>
      </w:pPr>
      <w:r>
        <w:rPr>
          <w:rFonts w:eastAsiaTheme="minorHAnsi"/>
          <w:lang w:eastAsia="en-US"/>
        </w:rPr>
        <w:t>50.</w:t>
      </w:r>
      <w:r>
        <w:rPr>
          <w:rFonts w:eastAsiaTheme="minorHAnsi"/>
          <w:lang w:eastAsia="en-US"/>
        </w:rPr>
        <w:tab/>
      </w:r>
      <w:r w:rsidR="00F002B9">
        <w:t>The KCI may recommend amendments to these rules of procedure for consideration by the forum and approval by the subsidiary bodies.</w:t>
      </w:r>
    </w:p>
    <w:p w14:paraId="2727EF44" w14:textId="490B868F" w:rsidR="00F002B9" w:rsidRDefault="00D23317" w:rsidP="00D23317">
      <w:pPr>
        <w:pStyle w:val="RegSingleTxtG"/>
        <w:numPr>
          <w:ilvl w:val="0"/>
          <w:numId w:val="0"/>
        </w:numPr>
        <w:ind w:left="1134"/>
      </w:pPr>
      <w:r>
        <w:t>51.</w:t>
      </w:r>
      <w:r>
        <w:tab/>
      </w:r>
      <w:r w:rsidR="00F002B9">
        <w:t xml:space="preserve">Proposals and amendments to proposals for the rules of procedure may be introduced and submitted to the secretariat in writing by KCI members; such proposals and amendments shall be circulated for consideration by all members of the KCI. </w:t>
      </w:r>
    </w:p>
    <w:p w14:paraId="4212DCF2" w14:textId="6D53F5D9" w:rsidR="00F002B9" w:rsidRDefault="00D23317" w:rsidP="00D23317">
      <w:pPr>
        <w:pStyle w:val="RegSingleTxtG"/>
        <w:numPr>
          <w:ilvl w:val="0"/>
          <w:numId w:val="0"/>
        </w:numPr>
        <w:ind w:left="1134"/>
      </w:pPr>
      <w:r>
        <w:t>52.</w:t>
      </w:r>
      <w:r>
        <w:tab/>
      </w:r>
      <w:r w:rsidR="00F002B9">
        <w:t xml:space="preserve">No proposal for the rules of procedure shall be discussed or put forward for a decision at any meeting unless copies have been circulated to the KCI members no later than </w:t>
      </w:r>
      <w:r w:rsidR="00F002B9">
        <w:rPr>
          <w:rFonts w:eastAsia="Times New Roman"/>
        </w:rPr>
        <w:t xml:space="preserve">two weeks </w:t>
      </w:r>
      <w:r w:rsidR="00F002B9">
        <w:t>before the meeting.</w:t>
      </w:r>
    </w:p>
    <w:p w14:paraId="68B30734" w14:textId="142CD38A" w:rsidR="00F002B9" w:rsidRDefault="00D23317" w:rsidP="00D23317">
      <w:pPr>
        <w:keepNext/>
        <w:keepLines/>
        <w:tabs>
          <w:tab w:val="left" w:pos="1135"/>
        </w:tabs>
        <w:spacing w:before="360" w:after="240" w:line="300" w:lineRule="exact"/>
        <w:ind w:left="1135" w:right="1134" w:hanging="284"/>
        <w:rPr>
          <w:b/>
          <w:sz w:val="28"/>
        </w:rPr>
      </w:pPr>
      <w:bookmarkStart w:id="68" w:name="_Toc73717173"/>
      <w:bookmarkStart w:id="69" w:name="_Toc73716082"/>
      <w:bookmarkStart w:id="70" w:name="_Toc73714998"/>
      <w:r>
        <w:rPr>
          <w:b/>
          <w:sz w:val="28"/>
        </w:rPr>
        <w:t>XVII.</w:t>
      </w:r>
      <w:r>
        <w:rPr>
          <w:b/>
          <w:sz w:val="28"/>
        </w:rPr>
        <w:tab/>
      </w:r>
      <w:r w:rsidR="00F002B9">
        <w:rPr>
          <w:b/>
          <w:sz w:val="28"/>
        </w:rPr>
        <w:t>Overriding authority of the Convention, the Kyoto Protocol and the Paris Agreement</w:t>
      </w:r>
      <w:bookmarkEnd w:id="68"/>
      <w:bookmarkEnd w:id="69"/>
      <w:bookmarkEnd w:id="70"/>
    </w:p>
    <w:p w14:paraId="3728472F" w14:textId="7D71DCB4" w:rsidR="00F002B9" w:rsidRDefault="00D23317" w:rsidP="00D23317">
      <w:pPr>
        <w:pStyle w:val="RegSingleTxtG"/>
        <w:numPr>
          <w:ilvl w:val="0"/>
          <w:numId w:val="0"/>
        </w:numPr>
        <w:ind w:left="1134"/>
      </w:pPr>
      <w:r>
        <w:t>53.</w:t>
      </w:r>
      <w:r>
        <w:tab/>
      </w:r>
      <w:r w:rsidR="00F002B9">
        <w:rPr>
          <w:lang w:val="en-US" w:eastAsia="en-US"/>
        </w:rPr>
        <w:t xml:space="preserve">In the event of a conflict between any provision of these rules and any provision of the Convention, </w:t>
      </w:r>
      <w:r w:rsidR="00F002B9" w:rsidRPr="00CC0A78">
        <w:t>the</w:t>
      </w:r>
      <w:r w:rsidR="00F002B9">
        <w:rPr>
          <w:lang w:val="en-US" w:eastAsia="en-US"/>
        </w:rPr>
        <w:t xml:space="preserve"> Kyoto Protocol or the Paris Agreement, the provision of the Convention, the Kyoto Protocol or the Paris Agreement shall take precedence.</w:t>
      </w:r>
    </w:p>
    <w:p w14:paraId="673B8D79" w14:textId="366AB770" w:rsidR="00F002B9" w:rsidRPr="00B719E1" w:rsidRDefault="00F002B9" w:rsidP="00B719E1">
      <w:pPr>
        <w:spacing w:before="240" w:after="120"/>
        <w:ind w:left="1134"/>
        <w:rPr>
          <w:b/>
          <w:lang w:val="en-US" w:eastAsia="en-US"/>
        </w:rPr>
      </w:pPr>
      <w:r w:rsidRPr="00B719E1">
        <w:rPr>
          <w:b/>
          <w:lang w:val="en-US" w:eastAsia="en-US"/>
        </w:rPr>
        <w:t>Document information</w:t>
      </w:r>
    </w:p>
    <w:tbl>
      <w:tblPr>
        <w:tblStyle w:val="TableGrid"/>
        <w:tblW w:w="7513" w:type="dxa"/>
        <w:tblInd w:w="1134" w:type="dxa"/>
        <w:tblBorders>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829"/>
        <w:gridCol w:w="4684"/>
      </w:tblGrid>
      <w:tr w:rsidR="00F002B9" w14:paraId="020D91DB" w14:textId="77777777" w:rsidTr="00750A21">
        <w:trPr>
          <w:trHeight w:val="240"/>
          <w:tblHeader/>
        </w:trPr>
        <w:tc>
          <w:tcPr>
            <w:tcW w:w="2829" w:type="dxa"/>
            <w:tcBorders>
              <w:top w:val="single" w:sz="4" w:space="0" w:color="auto"/>
              <w:left w:val="nil"/>
              <w:bottom w:val="single" w:sz="12" w:space="0" w:color="auto"/>
              <w:right w:val="nil"/>
            </w:tcBorders>
            <w:vAlign w:val="bottom"/>
            <w:hideMark/>
          </w:tcPr>
          <w:p w14:paraId="72AF51B7" w14:textId="77777777" w:rsidR="00F002B9" w:rsidRDefault="00F002B9">
            <w:pPr>
              <w:suppressAutoHyphens w:val="0"/>
              <w:spacing w:before="40" w:after="40" w:line="180" w:lineRule="exact"/>
              <w:rPr>
                <w:i/>
                <w:sz w:val="16"/>
                <w:lang w:val="en-US"/>
              </w:rPr>
            </w:pPr>
            <w:r>
              <w:rPr>
                <w:i/>
                <w:sz w:val="16"/>
                <w:lang w:val="en-US"/>
              </w:rPr>
              <w:t>Version</w:t>
            </w:r>
          </w:p>
        </w:tc>
        <w:tc>
          <w:tcPr>
            <w:tcW w:w="4684" w:type="dxa"/>
            <w:tcBorders>
              <w:top w:val="single" w:sz="4" w:space="0" w:color="auto"/>
              <w:left w:val="nil"/>
              <w:bottom w:val="single" w:sz="12" w:space="0" w:color="auto"/>
              <w:right w:val="nil"/>
            </w:tcBorders>
            <w:vAlign w:val="bottom"/>
            <w:hideMark/>
          </w:tcPr>
          <w:p w14:paraId="61BF46D7" w14:textId="77777777" w:rsidR="00F002B9" w:rsidRDefault="00F002B9">
            <w:pPr>
              <w:suppressAutoHyphens w:val="0"/>
              <w:spacing w:before="40" w:after="40" w:line="180" w:lineRule="exact"/>
              <w:rPr>
                <w:i/>
                <w:sz w:val="16"/>
                <w:lang w:val="en-US"/>
              </w:rPr>
            </w:pPr>
            <w:r>
              <w:rPr>
                <w:i/>
                <w:sz w:val="16"/>
                <w:lang w:val="en-US"/>
              </w:rPr>
              <w:t>Description</w:t>
            </w:r>
          </w:p>
        </w:tc>
      </w:tr>
      <w:tr w:rsidR="00F002B9" w14:paraId="16AFAAC2" w14:textId="77777777" w:rsidTr="00750A21">
        <w:trPr>
          <w:trHeight w:val="240"/>
        </w:trPr>
        <w:tc>
          <w:tcPr>
            <w:tcW w:w="2829" w:type="dxa"/>
            <w:tcBorders>
              <w:top w:val="single" w:sz="12" w:space="0" w:color="auto"/>
              <w:left w:val="nil"/>
              <w:bottom w:val="nil"/>
              <w:right w:val="nil"/>
            </w:tcBorders>
            <w:hideMark/>
          </w:tcPr>
          <w:p w14:paraId="5DA139AD" w14:textId="77777777" w:rsidR="00F002B9" w:rsidRDefault="00F002B9" w:rsidP="00750A21">
            <w:pPr>
              <w:suppressAutoHyphens w:val="0"/>
              <w:spacing w:before="40" w:after="80" w:line="220" w:lineRule="exact"/>
              <w:rPr>
                <w:lang w:val="en-US"/>
              </w:rPr>
            </w:pPr>
            <w:r>
              <w:rPr>
                <w:lang w:val="en-US"/>
              </w:rPr>
              <w:t>Version 2</w:t>
            </w:r>
          </w:p>
        </w:tc>
        <w:tc>
          <w:tcPr>
            <w:tcW w:w="4684" w:type="dxa"/>
            <w:tcBorders>
              <w:top w:val="single" w:sz="12" w:space="0" w:color="auto"/>
              <w:left w:val="nil"/>
              <w:bottom w:val="nil"/>
              <w:right w:val="nil"/>
            </w:tcBorders>
            <w:hideMark/>
          </w:tcPr>
          <w:p w14:paraId="4D1AC2CA" w14:textId="77777777" w:rsidR="00F002B9" w:rsidRDefault="00F002B9" w:rsidP="00750A21">
            <w:pPr>
              <w:suppressAutoHyphens w:val="0"/>
              <w:spacing w:before="40" w:after="80" w:line="220" w:lineRule="exact"/>
              <w:rPr>
                <w:lang w:val="en-US"/>
              </w:rPr>
            </w:pPr>
            <w:r>
              <w:rPr>
                <w:lang w:val="en-US"/>
              </w:rPr>
              <w:t xml:space="preserve">Revision of paragraph 7 and addition of paragraph 11 </w:t>
            </w:r>
          </w:p>
        </w:tc>
      </w:tr>
      <w:tr w:rsidR="00F002B9" w14:paraId="76FE1172" w14:textId="77777777" w:rsidTr="00750A21">
        <w:trPr>
          <w:trHeight w:val="240"/>
        </w:trPr>
        <w:tc>
          <w:tcPr>
            <w:tcW w:w="2829" w:type="dxa"/>
            <w:tcBorders>
              <w:top w:val="nil"/>
              <w:left w:val="nil"/>
              <w:bottom w:val="single" w:sz="12" w:space="0" w:color="auto"/>
              <w:right w:val="nil"/>
            </w:tcBorders>
            <w:hideMark/>
          </w:tcPr>
          <w:p w14:paraId="6C36931D" w14:textId="77777777" w:rsidR="00F002B9" w:rsidRDefault="00F002B9" w:rsidP="00750A21">
            <w:pPr>
              <w:suppressAutoHyphens w:val="0"/>
              <w:spacing w:before="40" w:after="80" w:line="220" w:lineRule="exact"/>
              <w:rPr>
                <w:lang w:val="en-US"/>
              </w:rPr>
            </w:pPr>
            <w:r>
              <w:rPr>
                <w:lang w:val="en-US"/>
              </w:rPr>
              <w:t>Version 1</w:t>
            </w:r>
          </w:p>
        </w:tc>
        <w:tc>
          <w:tcPr>
            <w:tcW w:w="4684" w:type="dxa"/>
            <w:tcBorders>
              <w:top w:val="nil"/>
              <w:left w:val="nil"/>
              <w:bottom w:val="single" w:sz="12" w:space="0" w:color="auto"/>
              <w:right w:val="nil"/>
            </w:tcBorders>
            <w:hideMark/>
          </w:tcPr>
          <w:p w14:paraId="710C113C" w14:textId="77777777" w:rsidR="00F002B9" w:rsidRDefault="00F002B9" w:rsidP="00750A21">
            <w:pPr>
              <w:suppressAutoHyphens w:val="0"/>
              <w:spacing w:before="40" w:after="80" w:line="220" w:lineRule="exact"/>
              <w:rPr>
                <w:lang w:val="en-US"/>
              </w:rPr>
            </w:pPr>
            <w:r>
              <w:rPr>
                <w:lang w:val="en-US"/>
              </w:rPr>
              <w:t xml:space="preserve">Adopted by decisions </w:t>
            </w:r>
            <w:r>
              <w:rPr>
                <w:iCs/>
                <w:szCs w:val="17"/>
                <w:lang w:val="en-US"/>
              </w:rPr>
              <w:t>4/CP.25, 4/CMA.15 and 4/CMA.2</w:t>
            </w:r>
          </w:p>
        </w:tc>
      </w:tr>
    </w:tbl>
    <w:p w14:paraId="195FBBC1" w14:textId="0BE839A3" w:rsidR="00CC0A78" w:rsidRPr="00F002B9" w:rsidRDefault="00DB7ED0" w:rsidP="00CC0A78">
      <w:pPr>
        <w:pStyle w:val="ListParagraph"/>
        <w:spacing w:before="120"/>
        <w:ind w:left="1135" w:right="1133"/>
        <w:jc w:val="right"/>
        <w:rPr>
          <w:i/>
        </w:rPr>
        <w:sectPr w:rsidR="00CC0A78" w:rsidRPr="00F002B9" w:rsidSect="001B0963">
          <w:headerReference w:type="even" r:id="rId56"/>
          <w:headerReference w:type="default" r:id="rId57"/>
          <w:footerReference w:type="even" r:id="rId58"/>
          <w:footerReference w:type="default" r:id="rId59"/>
          <w:footerReference w:type="first" r:id="rId60"/>
          <w:footnotePr>
            <w:numRestart w:val="eachSect"/>
          </w:footnotePr>
          <w:pgSz w:w="11906" w:h="16838" w:code="9"/>
          <w:pgMar w:top="1417" w:right="1134" w:bottom="1134" w:left="1134" w:header="850" w:footer="567" w:gutter="0"/>
          <w:cols w:space="708"/>
          <w:docGrid w:linePitch="360"/>
        </w:sectPr>
      </w:pPr>
      <w:r>
        <w:rPr>
          <w:i/>
        </w:rPr>
        <w:t>10</w:t>
      </w:r>
      <w:r w:rsidRPr="00DB7ED0">
        <w:rPr>
          <w:i/>
          <w:vertAlign w:val="superscript"/>
        </w:rPr>
        <w:t>th</w:t>
      </w:r>
      <w:r>
        <w:rPr>
          <w:i/>
        </w:rPr>
        <w:t xml:space="preserve"> </w:t>
      </w:r>
      <w:r w:rsidR="00CC0A78" w:rsidRPr="00F002B9">
        <w:rPr>
          <w:i/>
        </w:rPr>
        <w:t>plenary meeting</w:t>
      </w:r>
      <w:r w:rsidR="00CC0A78" w:rsidRPr="00F002B9">
        <w:rPr>
          <w:i/>
        </w:rPr>
        <w:br/>
      </w:r>
      <w:r>
        <w:rPr>
          <w:i/>
        </w:rPr>
        <w:t>13</w:t>
      </w:r>
      <w:r w:rsidR="00CC0A78" w:rsidRPr="00F002B9">
        <w:rPr>
          <w:i/>
        </w:rPr>
        <w:t xml:space="preserve"> November 2021</w:t>
      </w:r>
    </w:p>
    <w:p w14:paraId="0821BEC4" w14:textId="73D01213" w:rsidR="00CC0A78" w:rsidRDefault="00CC0A78" w:rsidP="00D23317">
      <w:pPr>
        <w:pStyle w:val="RegHChG"/>
        <w:numPr>
          <w:ilvl w:val="0"/>
          <w:numId w:val="0"/>
        </w:numPr>
        <w:tabs>
          <w:tab w:val="left" w:pos="720"/>
        </w:tabs>
        <w:ind w:left="1135" w:hanging="454"/>
      </w:pPr>
      <w:bookmarkStart w:id="71" w:name="Decision8"/>
      <w:r>
        <w:t>Decision 8/CMP.16</w:t>
      </w:r>
    </w:p>
    <w:bookmarkEnd w:id="71"/>
    <w:p w14:paraId="11A00BF2" w14:textId="22EB7865" w:rsidR="00CC0A78" w:rsidRDefault="00CC0A78" w:rsidP="00D23317">
      <w:pPr>
        <w:pStyle w:val="RegHChG"/>
        <w:numPr>
          <w:ilvl w:val="0"/>
          <w:numId w:val="0"/>
        </w:numPr>
        <w:tabs>
          <w:tab w:val="left" w:pos="720"/>
        </w:tabs>
        <w:ind w:left="1135" w:hanging="454"/>
      </w:pPr>
      <w:r>
        <w:t>Programme budget for the biennium 2022</w:t>
      </w:r>
      <w:r w:rsidR="00AC4B90">
        <w:t>–</w:t>
      </w:r>
      <w:r>
        <w:t>2023</w:t>
      </w:r>
    </w:p>
    <w:p w14:paraId="679380B1" w14:textId="77777777" w:rsidR="00CC0A78" w:rsidRDefault="00CC0A78" w:rsidP="00CC0A78">
      <w:pPr>
        <w:spacing w:after="120"/>
        <w:ind w:left="1134" w:right="1174" w:firstLine="567"/>
        <w:jc w:val="both"/>
        <w:rPr>
          <w:rFonts w:eastAsia="Times New Roman"/>
          <w:i/>
          <w:lang w:eastAsia="en-US"/>
        </w:rPr>
      </w:pPr>
      <w:r>
        <w:rPr>
          <w:rFonts w:eastAsia="Times New Roman"/>
          <w:i/>
          <w:lang w:eastAsia="en-US"/>
        </w:rPr>
        <w:t>The Conference of the Parties</w:t>
      </w:r>
      <w:r>
        <w:t xml:space="preserve"> </w:t>
      </w:r>
      <w:r>
        <w:rPr>
          <w:i/>
          <w:iCs/>
        </w:rPr>
        <w:t xml:space="preserve">serving </w:t>
      </w:r>
      <w:r>
        <w:rPr>
          <w:rFonts w:eastAsia="Times New Roman"/>
          <w:i/>
          <w:lang w:eastAsia="en-US"/>
        </w:rPr>
        <w:t>as the meeting of the Parties to the Kyoto Protocol</w:t>
      </w:r>
      <w:r>
        <w:rPr>
          <w:rFonts w:eastAsia="Times New Roman"/>
          <w:lang w:eastAsia="en-US"/>
        </w:rPr>
        <w:t>,</w:t>
      </w:r>
    </w:p>
    <w:p w14:paraId="20BCF32C" w14:textId="77777777" w:rsidR="00CC0A78" w:rsidRDefault="00CC0A78" w:rsidP="00CC0A78">
      <w:pPr>
        <w:spacing w:after="120"/>
        <w:ind w:left="1134" w:right="1174" w:firstLine="567"/>
        <w:jc w:val="both"/>
        <w:rPr>
          <w:rFonts w:eastAsia="Times New Roman"/>
          <w:lang w:eastAsia="en-US"/>
        </w:rPr>
      </w:pPr>
      <w:r>
        <w:rPr>
          <w:rFonts w:eastAsia="Times New Roman"/>
          <w:i/>
          <w:iCs/>
          <w:lang w:eastAsia="en-US"/>
        </w:rPr>
        <w:t>Recalling</w:t>
      </w:r>
      <w:r>
        <w:rPr>
          <w:rFonts w:eastAsia="Times New Roman"/>
          <w:lang w:eastAsia="en-US"/>
        </w:rPr>
        <w:t xml:space="preserve"> Article 13, paragraph 5, of the Kyoto Protocol,</w:t>
      </w:r>
    </w:p>
    <w:p w14:paraId="0BC9B5E8" w14:textId="31BC9D14" w:rsidR="00CC0A78" w:rsidRDefault="00CC0A78" w:rsidP="00CC0A78">
      <w:pPr>
        <w:spacing w:after="120"/>
        <w:ind w:left="1134" w:right="1174" w:firstLine="567"/>
        <w:jc w:val="both"/>
        <w:rPr>
          <w:rFonts w:eastAsia="Times New Roman"/>
          <w:lang w:eastAsia="en-US"/>
        </w:rPr>
      </w:pPr>
      <w:r>
        <w:rPr>
          <w:rFonts w:eastAsia="Times New Roman"/>
          <w:i/>
          <w:iCs/>
          <w:lang w:eastAsia="en-US"/>
        </w:rPr>
        <w:t>Taking note</w:t>
      </w:r>
      <w:r>
        <w:rPr>
          <w:rFonts w:eastAsia="Times New Roman"/>
          <w:lang w:eastAsia="en-US"/>
        </w:rPr>
        <w:t xml:space="preserve"> of decision </w:t>
      </w:r>
      <w:r w:rsidR="00CA65A1" w:rsidRPr="00B719E1">
        <w:rPr>
          <w:rFonts w:eastAsia="Times New Roman"/>
          <w:lang w:eastAsia="en-US"/>
        </w:rPr>
        <w:t>22</w:t>
      </w:r>
      <w:r w:rsidRPr="00B719E1">
        <w:rPr>
          <w:rFonts w:eastAsia="Times New Roman"/>
          <w:lang w:eastAsia="en-US"/>
        </w:rPr>
        <w:t>/CP.26</w:t>
      </w:r>
      <w:r>
        <w:rPr>
          <w:rFonts w:eastAsia="Times New Roman"/>
          <w:lang w:eastAsia="en-US"/>
        </w:rPr>
        <w:t xml:space="preserve"> on the programme budget for the biennium 2022–2023, in particular paragraph 1,</w:t>
      </w:r>
    </w:p>
    <w:p w14:paraId="54542D5E" w14:textId="77777777" w:rsidR="00CC0A78" w:rsidRDefault="00CC0A78" w:rsidP="00CC0A78">
      <w:pPr>
        <w:spacing w:after="120"/>
        <w:ind w:left="1134" w:right="1174" w:firstLine="567"/>
        <w:jc w:val="both"/>
        <w:rPr>
          <w:rFonts w:eastAsia="Times New Roman"/>
          <w:lang w:eastAsia="en-US"/>
        </w:rPr>
      </w:pPr>
      <w:r>
        <w:rPr>
          <w:rFonts w:eastAsia="Times New Roman"/>
          <w:i/>
          <w:iCs/>
          <w:lang w:eastAsia="en-US"/>
        </w:rPr>
        <w:t>Having considered</w:t>
      </w:r>
      <w:r>
        <w:rPr>
          <w:rFonts w:eastAsia="Times New Roman"/>
          <w:lang w:eastAsia="en-US"/>
        </w:rPr>
        <w:t xml:space="preserve"> the proposed programme budget for the biennium 2022–2023 prepared by the Executive Secretary,</w:t>
      </w:r>
      <w:r>
        <w:rPr>
          <w:rStyle w:val="FootnoteReference"/>
          <w:rFonts w:eastAsia="Times New Roman"/>
          <w:lang w:eastAsia="en-US"/>
        </w:rPr>
        <w:footnoteReference w:id="39"/>
      </w:r>
    </w:p>
    <w:p w14:paraId="3C5D4FCE" w14:textId="607A7A5E" w:rsidR="00CC0A78" w:rsidRDefault="00D23317" w:rsidP="00D23317">
      <w:pPr>
        <w:pStyle w:val="RegSingleTxtG"/>
        <w:numPr>
          <w:ilvl w:val="0"/>
          <w:numId w:val="0"/>
        </w:numPr>
        <w:tabs>
          <w:tab w:val="left" w:pos="2269"/>
        </w:tabs>
        <w:ind w:left="1134"/>
        <w:rPr>
          <w:lang w:eastAsia="en-US"/>
        </w:rPr>
      </w:pPr>
      <w:bookmarkStart w:id="72" w:name="_Ref89205552"/>
      <w:r>
        <w:rPr>
          <w:lang w:eastAsia="en-US"/>
        </w:rPr>
        <w:t>1.</w:t>
      </w:r>
      <w:r>
        <w:rPr>
          <w:lang w:eastAsia="en-US"/>
        </w:rPr>
        <w:tab/>
      </w:r>
      <w:r w:rsidR="00CC0A78" w:rsidRPr="00CC0A78">
        <w:rPr>
          <w:i/>
          <w:iCs/>
          <w:lang w:eastAsia="en-US"/>
        </w:rPr>
        <w:t>Endorses</w:t>
      </w:r>
      <w:r w:rsidR="00CC0A78">
        <w:rPr>
          <w:lang w:eastAsia="en-US"/>
        </w:rPr>
        <w:t xml:space="preserve"> decision </w:t>
      </w:r>
      <w:r w:rsidR="0058155D" w:rsidRPr="00B719E1">
        <w:rPr>
          <w:lang w:eastAsia="en-US"/>
        </w:rPr>
        <w:t>22</w:t>
      </w:r>
      <w:r w:rsidR="00CC0A78" w:rsidRPr="00B719E1">
        <w:rPr>
          <w:lang w:eastAsia="en-US"/>
        </w:rPr>
        <w:t>/CP.26</w:t>
      </w:r>
      <w:r w:rsidR="00CC0A78">
        <w:rPr>
          <w:lang w:eastAsia="en-US"/>
        </w:rPr>
        <w:t xml:space="preserve"> on the programme budget for the biennium 2022–2023 as it applies to the Kyoto Protocol;</w:t>
      </w:r>
      <w:bookmarkEnd w:id="72"/>
    </w:p>
    <w:p w14:paraId="62CB77D0" w14:textId="43C46599" w:rsidR="00CC0A78" w:rsidRDefault="00D23317" w:rsidP="00D23317">
      <w:pPr>
        <w:pStyle w:val="RegSingleTxtG"/>
        <w:numPr>
          <w:ilvl w:val="0"/>
          <w:numId w:val="0"/>
        </w:numPr>
        <w:tabs>
          <w:tab w:val="left" w:pos="2269"/>
        </w:tabs>
        <w:ind w:left="1134"/>
        <w:rPr>
          <w:lang w:eastAsia="en-US"/>
        </w:rPr>
      </w:pPr>
      <w:r>
        <w:rPr>
          <w:lang w:eastAsia="en-US"/>
        </w:rPr>
        <w:t>2.</w:t>
      </w:r>
      <w:r>
        <w:rPr>
          <w:lang w:eastAsia="en-US"/>
        </w:rPr>
        <w:tab/>
      </w:r>
      <w:r w:rsidR="00CC0A78">
        <w:rPr>
          <w:i/>
          <w:iCs/>
          <w:lang w:eastAsia="en-US"/>
        </w:rPr>
        <w:t>Adopts</w:t>
      </w:r>
      <w:r w:rsidR="00CC0A78">
        <w:rPr>
          <w:lang w:eastAsia="en-US"/>
        </w:rPr>
        <w:t xml:space="preserve"> the indicative scale of contributions contained in the annex;</w:t>
      </w:r>
    </w:p>
    <w:p w14:paraId="32C04892" w14:textId="31EF48B0" w:rsidR="00CC0A78" w:rsidRDefault="00D23317" w:rsidP="00D23317">
      <w:pPr>
        <w:pStyle w:val="RegSingleTxtG"/>
        <w:numPr>
          <w:ilvl w:val="0"/>
          <w:numId w:val="0"/>
        </w:numPr>
        <w:tabs>
          <w:tab w:val="left" w:pos="2269"/>
        </w:tabs>
        <w:ind w:left="1134"/>
        <w:rPr>
          <w:lang w:eastAsia="en-US"/>
        </w:rPr>
      </w:pPr>
      <w:r>
        <w:rPr>
          <w:lang w:eastAsia="en-US"/>
        </w:rPr>
        <w:t>3.</w:t>
      </w:r>
      <w:r>
        <w:rPr>
          <w:lang w:eastAsia="en-US"/>
        </w:rPr>
        <w:tab/>
      </w:r>
      <w:r w:rsidR="00CC0A78">
        <w:rPr>
          <w:i/>
          <w:iCs/>
          <w:lang w:eastAsia="en-US"/>
        </w:rPr>
        <w:t>Notes</w:t>
      </w:r>
      <w:r w:rsidR="00CC0A78">
        <w:rPr>
          <w:lang w:eastAsia="en-US"/>
        </w:rPr>
        <w:t xml:space="preserve"> that the indicative scale of contributions covers 11 per cent of the contributions specified in table 1 of the decision referred to in paragraph </w:t>
      </w:r>
      <w:r w:rsidR="00BE3836">
        <w:rPr>
          <w:lang w:eastAsia="en-US"/>
        </w:rPr>
        <w:fldChar w:fldCharType="begin"/>
      </w:r>
      <w:r w:rsidR="00BE3836">
        <w:rPr>
          <w:lang w:eastAsia="en-US"/>
        </w:rPr>
        <w:instrText xml:space="preserve"> REF _Ref89205552 \n \p \h </w:instrText>
      </w:r>
      <w:r w:rsidR="00BE3836">
        <w:rPr>
          <w:lang w:eastAsia="en-US"/>
        </w:rPr>
      </w:r>
      <w:r w:rsidR="00BE3836">
        <w:rPr>
          <w:lang w:eastAsia="en-US"/>
        </w:rPr>
        <w:fldChar w:fldCharType="separate"/>
      </w:r>
      <w:r w:rsidR="00BE3836">
        <w:rPr>
          <w:lang w:eastAsia="en-US"/>
        </w:rPr>
        <w:t>1 above</w:t>
      </w:r>
      <w:r w:rsidR="00BE3836">
        <w:rPr>
          <w:lang w:eastAsia="en-US"/>
        </w:rPr>
        <w:fldChar w:fldCharType="end"/>
      </w:r>
      <w:r w:rsidR="00CC0A78">
        <w:rPr>
          <w:lang w:eastAsia="en-US"/>
        </w:rPr>
        <w:t>;</w:t>
      </w:r>
    </w:p>
    <w:p w14:paraId="15ACD2FF" w14:textId="2255000A" w:rsidR="00CC0A78" w:rsidRDefault="00D23317" w:rsidP="00D23317">
      <w:pPr>
        <w:pStyle w:val="RegSingleTxtG"/>
        <w:numPr>
          <w:ilvl w:val="0"/>
          <w:numId w:val="0"/>
        </w:numPr>
        <w:tabs>
          <w:tab w:val="left" w:pos="2269"/>
        </w:tabs>
        <w:ind w:left="1134"/>
        <w:rPr>
          <w:lang w:eastAsia="en-US"/>
        </w:rPr>
      </w:pPr>
      <w:r>
        <w:rPr>
          <w:lang w:eastAsia="en-US"/>
        </w:rPr>
        <w:t>4.</w:t>
      </w:r>
      <w:r>
        <w:rPr>
          <w:lang w:eastAsia="en-US"/>
        </w:rPr>
        <w:tab/>
      </w:r>
      <w:r w:rsidR="00CC0A78">
        <w:rPr>
          <w:i/>
          <w:iCs/>
          <w:lang w:eastAsia="en-US"/>
        </w:rPr>
        <w:t>Invites</w:t>
      </w:r>
      <w:r w:rsidR="00CC0A78">
        <w:rPr>
          <w:lang w:eastAsia="en-US"/>
        </w:rPr>
        <w:t xml:space="preserve"> all Parties to the Kyoto Protocol to note that each Party shall, prior to 1 January of each year, inform the secretariat of the contribution it intends to make that year and of the projected timing of that contribution in accordance with paragraph 8(a) of the </w:t>
      </w:r>
      <w:r w:rsidR="00A87A84">
        <w:rPr>
          <w:lang w:eastAsia="en-US"/>
        </w:rPr>
        <w:t xml:space="preserve">UNFCCC </w:t>
      </w:r>
      <w:r w:rsidR="00CC0A78">
        <w:rPr>
          <w:lang w:eastAsia="en-US"/>
        </w:rPr>
        <w:t>financial procedures,</w:t>
      </w:r>
      <w:r w:rsidR="00CC0A78">
        <w:rPr>
          <w:rStyle w:val="FootnoteReference"/>
          <w:lang w:eastAsia="en-US"/>
        </w:rPr>
        <w:footnoteReference w:id="40"/>
      </w:r>
      <w:r w:rsidR="00CC0A78">
        <w:rPr>
          <w:lang w:eastAsia="en-US"/>
        </w:rPr>
        <w:t xml:space="preserve"> and that contributions to the core budget are due on 1 January of each year in accordance with paragraph 8(b) of the financial procedures, and to pay promptly and in full, for each of the years 2022 and 2023, the contributions required to finance the expenditures approved in paragraph </w:t>
      </w:r>
      <w:r w:rsidR="00707D70">
        <w:rPr>
          <w:lang w:eastAsia="en-US"/>
        </w:rPr>
        <w:fldChar w:fldCharType="begin"/>
      </w:r>
      <w:r w:rsidR="00707D70">
        <w:rPr>
          <w:lang w:eastAsia="en-US"/>
        </w:rPr>
        <w:instrText xml:space="preserve"> REF _Ref89205552 \n \p \h </w:instrText>
      </w:r>
      <w:r w:rsidR="00707D70">
        <w:rPr>
          <w:lang w:eastAsia="en-US"/>
        </w:rPr>
      </w:r>
      <w:r w:rsidR="00707D70">
        <w:rPr>
          <w:lang w:eastAsia="en-US"/>
        </w:rPr>
        <w:fldChar w:fldCharType="separate"/>
      </w:r>
      <w:r w:rsidR="00707D70">
        <w:rPr>
          <w:lang w:eastAsia="en-US"/>
        </w:rPr>
        <w:t>1 above</w:t>
      </w:r>
      <w:r w:rsidR="00707D70">
        <w:rPr>
          <w:lang w:eastAsia="en-US"/>
        </w:rPr>
        <w:fldChar w:fldCharType="end"/>
      </w:r>
      <w:r w:rsidR="00CC0A78">
        <w:rPr>
          <w:lang w:eastAsia="en-US"/>
        </w:rPr>
        <w:t>;</w:t>
      </w:r>
    </w:p>
    <w:p w14:paraId="22273ED4" w14:textId="6DD86985" w:rsidR="00CC0A78" w:rsidRDefault="00D23317" w:rsidP="00D23317">
      <w:pPr>
        <w:pStyle w:val="RegSingleTxtG"/>
        <w:numPr>
          <w:ilvl w:val="0"/>
          <w:numId w:val="0"/>
        </w:numPr>
        <w:tabs>
          <w:tab w:val="left" w:pos="2269"/>
        </w:tabs>
        <w:ind w:left="1134"/>
      </w:pPr>
      <w:r>
        <w:t>5.</w:t>
      </w:r>
      <w:r>
        <w:tab/>
      </w:r>
      <w:r w:rsidR="00CC0A78">
        <w:rPr>
          <w:i/>
          <w:iCs/>
          <w:lang w:eastAsia="en-US"/>
        </w:rPr>
        <w:t>Takes note</w:t>
      </w:r>
      <w:r w:rsidR="00CC0A78">
        <w:rPr>
          <w:lang w:eastAsia="en-US"/>
        </w:rPr>
        <w:t xml:space="preserve"> of the funding arrangements for the clean development mechanism and joint implementation.</w:t>
      </w:r>
      <w:r w:rsidR="00CC0A78">
        <w:t xml:space="preserve"> </w:t>
      </w:r>
    </w:p>
    <w:p w14:paraId="5B361135" w14:textId="77777777" w:rsidR="00F67E89" w:rsidRDefault="00F67E89" w:rsidP="00CC0A78">
      <w:pPr>
        <w:suppressAutoHyphens w:val="0"/>
        <w:spacing w:line="240" w:lineRule="auto"/>
        <w:sectPr w:rsidR="00F67E89" w:rsidSect="001B0963">
          <w:headerReference w:type="even" r:id="rId61"/>
          <w:footerReference w:type="even" r:id="rId62"/>
          <w:footerReference w:type="first" r:id="rId63"/>
          <w:footnotePr>
            <w:numRestart w:val="eachSect"/>
          </w:footnotePr>
          <w:pgSz w:w="11906" w:h="16838" w:code="9"/>
          <w:pgMar w:top="1417" w:right="1134" w:bottom="1134" w:left="1134" w:header="850" w:footer="567" w:gutter="0"/>
          <w:cols w:space="708"/>
          <w:docGrid w:linePitch="360"/>
        </w:sectPr>
      </w:pPr>
    </w:p>
    <w:p w14:paraId="240E0703" w14:textId="77777777" w:rsidR="00CC0A78" w:rsidRPr="00F67E89" w:rsidRDefault="00CC0A78" w:rsidP="00F67E89">
      <w:pPr>
        <w:keepNext/>
        <w:keepLines/>
        <w:tabs>
          <w:tab w:val="right" w:pos="851"/>
        </w:tabs>
        <w:spacing w:before="360" w:after="240" w:line="300" w:lineRule="exact"/>
        <w:ind w:left="1134" w:right="1134" w:hanging="1134"/>
        <w:rPr>
          <w:b/>
          <w:sz w:val="28"/>
        </w:rPr>
      </w:pPr>
      <w:r w:rsidRPr="00F67E89">
        <w:rPr>
          <w:b/>
          <w:sz w:val="28"/>
        </w:rPr>
        <w:t>Annex</w:t>
      </w:r>
    </w:p>
    <w:p w14:paraId="492FB529" w14:textId="77777777" w:rsidR="00CC0A78" w:rsidRDefault="00CC0A78" w:rsidP="00CC0A78">
      <w:pPr>
        <w:keepNext/>
        <w:keepLines/>
        <w:spacing w:after="240" w:line="240" w:lineRule="auto"/>
        <w:ind w:left="1134" w:right="1134"/>
        <w:rPr>
          <w:lang w:eastAsia="en-US"/>
        </w:rPr>
      </w:pPr>
      <w:r>
        <w:rPr>
          <w:b/>
          <w:bCs/>
          <w:sz w:val="28"/>
          <w:szCs w:val="28"/>
        </w:rPr>
        <w:t>Indicative scale of contributions from Parties to the Kyoto Protocol for 2022–2023</w:t>
      </w:r>
    </w:p>
    <w:tbl>
      <w:tblPr>
        <w:tblW w:w="7371" w:type="dxa"/>
        <w:tblInd w:w="1134" w:type="dxa"/>
        <w:tblBorders>
          <w:top w:val="single" w:sz="2" w:space="0" w:color="auto"/>
          <w:bottom w:val="single" w:sz="12" w:space="0" w:color="auto"/>
        </w:tblBorders>
        <w:tblLayout w:type="fixed"/>
        <w:tblCellMar>
          <w:left w:w="0" w:type="dxa"/>
          <w:right w:w="113" w:type="dxa"/>
        </w:tblCellMar>
        <w:tblLook w:val="04A0" w:firstRow="1" w:lastRow="0" w:firstColumn="1" w:lastColumn="0" w:noHBand="0" w:noVBand="1"/>
      </w:tblPr>
      <w:tblGrid>
        <w:gridCol w:w="4111"/>
        <w:gridCol w:w="1701"/>
        <w:gridCol w:w="1559"/>
      </w:tblGrid>
      <w:tr w:rsidR="00CC0A78" w14:paraId="617DFEC9" w14:textId="77777777" w:rsidTr="00B719E1">
        <w:trPr>
          <w:trHeight w:val="240"/>
          <w:tblHeader/>
        </w:trPr>
        <w:tc>
          <w:tcPr>
            <w:tcW w:w="4111" w:type="dxa"/>
            <w:tcBorders>
              <w:top w:val="single" w:sz="4" w:space="0" w:color="auto"/>
              <w:left w:val="nil"/>
              <w:bottom w:val="single" w:sz="12" w:space="0" w:color="auto"/>
              <w:right w:val="nil"/>
            </w:tcBorders>
            <w:noWrap/>
            <w:vAlign w:val="bottom"/>
            <w:hideMark/>
          </w:tcPr>
          <w:p w14:paraId="4645D324" w14:textId="77777777" w:rsidR="00CC0A78" w:rsidRDefault="00CC0A78">
            <w:pPr>
              <w:suppressAutoHyphens w:val="0"/>
              <w:spacing w:before="40" w:after="40" w:line="180" w:lineRule="exact"/>
              <w:rPr>
                <w:rFonts w:eastAsia="Arial Unicode MS"/>
                <w:i/>
                <w:sz w:val="16"/>
                <w:szCs w:val="16"/>
                <w:lang w:eastAsia="de-DE"/>
              </w:rPr>
            </w:pPr>
            <w:r>
              <w:rPr>
                <w:rFonts w:eastAsia="MS Mincho"/>
                <w:i/>
                <w:sz w:val="16"/>
                <w:szCs w:val="16"/>
                <w:lang w:eastAsia="de-DE"/>
              </w:rPr>
              <w:t xml:space="preserve">Party </w:t>
            </w:r>
          </w:p>
        </w:tc>
        <w:tc>
          <w:tcPr>
            <w:tcW w:w="1701" w:type="dxa"/>
            <w:tcBorders>
              <w:top w:val="single" w:sz="4" w:space="0" w:color="auto"/>
              <w:left w:val="nil"/>
              <w:bottom w:val="single" w:sz="12" w:space="0" w:color="auto"/>
              <w:right w:val="nil"/>
            </w:tcBorders>
            <w:vAlign w:val="bottom"/>
            <w:hideMark/>
          </w:tcPr>
          <w:p w14:paraId="7FC1DF78" w14:textId="77777777" w:rsidR="00CC0A78" w:rsidRDefault="00CC0A78">
            <w:pPr>
              <w:suppressAutoHyphens w:val="0"/>
              <w:spacing w:before="40" w:after="40" w:line="180" w:lineRule="exact"/>
              <w:ind w:left="113" w:right="36"/>
              <w:jc w:val="right"/>
              <w:rPr>
                <w:rFonts w:eastAsia="Arial Unicode MS"/>
                <w:i/>
                <w:sz w:val="16"/>
                <w:szCs w:val="16"/>
                <w:lang w:eastAsia="de-DE"/>
              </w:rPr>
            </w:pPr>
            <w:r>
              <w:rPr>
                <w:rFonts w:eastAsia="MS Mincho"/>
                <w:i/>
                <w:sz w:val="16"/>
                <w:szCs w:val="16"/>
                <w:lang w:eastAsia="de-DE"/>
              </w:rPr>
              <w:t>United Nations scale of assessments for 2019–2021</w:t>
            </w:r>
          </w:p>
        </w:tc>
        <w:tc>
          <w:tcPr>
            <w:tcW w:w="1559" w:type="dxa"/>
            <w:tcBorders>
              <w:top w:val="single" w:sz="4" w:space="0" w:color="auto"/>
              <w:left w:val="nil"/>
              <w:bottom w:val="single" w:sz="12" w:space="0" w:color="auto"/>
              <w:right w:val="nil"/>
            </w:tcBorders>
            <w:vAlign w:val="bottom"/>
            <w:hideMark/>
          </w:tcPr>
          <w:p w14:paraId="4BA7052A" w14:textId="77777777" w:rsidR="00CC0A78" w:rsidRDefault="00CC0A78">
            <w:pPr>
              <w:suppressAutoHyphens w:val="0"/>
              <w:spacing w:before="40" w:after="40" w:line="180" w:lineRule="exact"/>
              <w:ind w:left="113"/>
              <w:jc w:val="right"/>
              <w:rPr>
                <w:rFonts w:eastAsia="Arial Unicode MS"/>
                <w:i/>
                <w:sz w:val="16"/>
                <w:szCs w:val="16"/>
                <w:lang w:eastAsia="de-DE"/>
              </w:rPr>
            </w:pPr>
            <w:r>
              <w:rPr>
                <w:rFonts w:eastAsia="MS Mincho"/>
                <w:i/>
                <w:sz w:val="16"/>
                <w:szCs w:val="16"/>
                <w:lang w:eastAsia="de-DE"/>
              </w:rPr>
              <w:t>Kyoto Protocol adjusted scale for 2022–2023</w:t>
            </w:r>
          </w:p>
        </w:tc>
      </w:tr>
      <w:tr w:rsidR="00CC0A78" w14:paraId="0EAFDEEA" w14:textId="77777777" w:rsidTr="00B719E1">
        <w:trPr>
          <w:trHeight w:val="240"/>
        </w:trPr>
        <w:tc>
          <w:tcPr>
            <w:tcW w:w="4111" w:type="dxa"/>
            <w:tcBorders>
              <w:top w:val="single" w:sz="12" w:space="0" w:color="auto"/>
              <w:left w:val="nil"/>
              <w:bottom w:val="nil"/>
              <w:right w:val="nil"/>
            </w:tcBorders>
            <w:noWrap/>
            <w:vAlign w:val="bottom"/>
            <w:hideMark/>
          </w:tcPr>
          <w:p w14:paraId="39A45FC1"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Afghanistan</w:t>
            </w:r>
          </w:p>
        </w:tc>
        <w:tc>
          <w:tcPr>
            <w:tcW w:w="1701" w:type="dxa"/>
            <w:tcBorders>
              <w:top w:val="single" w:sz="12" w:space="0" w:color="auto"/>
              <w:left w:val="nil"/>
              <w:bottom w:val="nil"/>
              <w:right w:val="nil"/>
            </w:tcBorders>
            <w:noWrap/>
            <w:vAlign w:val="bottom"/>
            <w:hideMark/>
          </w:tcPr>
          <w:p w14:paraId="71FA36D1" w14:textId="77777777" w:rsidR="00CC0A78" w:rsidRDefault="00CC0A78">
            <w:pPr>
              <w:suppressAutoHyphens w:val="0"/>
              <w:spacing w:line="240" w:lineRule="auto"/>
              <w:jc w:val="right"/>
              <w:rPr>
                <w:sz w:val="18"/>
                <w:szCs w:val="18"/>
              </w:rPr>
            </w:pPr>
            <w:r>
              <w:rPr>
                <w:sz w:val="18"/>
                <w:szCs w:val="18"/>
              </w:rPr>
              <w:t>0.007</w:t>
            </w:r>
          </w:p>
        </w:tc>
        <w:tc>
          <w:tcPr>
            <w:tcW w:w="1559" w:type="dxa"/>
            <w:tcBorders>
              <w:top w:val="single" w:sz="12" w:space="0" w:color="auto"/>
              <w:left w:val="nil"/>
              <w:bottom w:val="nil"/>
              <w:right w:val="nil"/>
            </w:tcBorders>
            <w:noWrap/>
            <w:vAlign w:val="bottom"/>
            <w:hideMark/>
          </w:tcPr>
          <w:p w14:paraId="2715E99C" w14:textId="77777777" w:rsidR="00CC0A78" w:rsidRDefault="00CC0A78">
            <w:pPr>
              <w:suppressAutoHyphens w:val="0"/>
              <w:spacing w:line="240" w:lineRule="auto"/>
              <w:jc w:val="right"/>
              <w:rPr>
                <w:sz w:val="18"/>
                <w:szCs w:val="18"/>
              </w:rPr>
            </w:pPr>
            <w:r>
              <w:rPr>
                <w:color w:val="000000"/>
                <w:sz w:val="18"/>
                <w:szCs w:val="18"/>
              </w:rPr>
              <w:t>0.009</w:t>
            </w:r>
          </w:p>
        </w:tc>
      </w:tr>
      <w:tr w:rsidR="00CC0A78" w14:paraId="25B0C2B2" w14:textId="77777777" w:rsidTr="00B719E1">
        <w:trPr>
          <w:trHeight w:val="240"/>
        </w:trPr>
        <w:tc>
          <w:tcPr>
            <w:tcW w:w="4111" w:type="dxa"/>
            <w:tcBorders>
              <w:top w:val="nil"/>
              <w:left w:val="nil"/>
              <w:bottom w:val="nil"/>
              <w:right w:val="nil"/>
            </w:tcBorders>
            <w:noWrap/>
            <w:vAlign w:val="bottom"/>
            <w:hideMark/>
          </w:tcPr>
          <w:p w14:paraId="0C07774D"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Albania</w:t>
            </w:r>
          </w:p>
        </w:tc>
        <w:tc>
          <w:tcPr>
            <w:tcW w:w="1701" w:type="dxa"/>
            <w:tcBorders>
              <w:top w:val="nil"/>
              <w:left w:val="nil"/>
              <w:bottom w:val="nil"/>
              <w:right w:val="nil"/>
            </w:tcBorders>
            <w:noWrap/>
            <w:vAlign w:val="bottom"/>
            <w:hideMark/>
          </w:tcPr>
          <w:p w14:paraId="1578729B" w14:textId="77777777" w:rsidR="00CC0A78" w:rsidRDefault="00CC0A78">
            <w:pPr>
              <w:suppressAutoHyphens w:val="0"/>
              <w:spacing w:line="240" w:lineRule="auto"/>
              <w:jc w:val="right"/>
              <w:rPr>
                <w:sz w:val="18"/>
                <w:szCs w:val="18"/>
              </w:rPr>
            </w:pPr>
            <w:r>
              <w:rPr>
                <w:sz w:val="18"/>
                <w:szCs w:val="18"/>
              </w:rPr>
              <w:t>0.008</w:t>
            </w:r>
          </w:p>
        </w:tc>
        <w:tc>
          <w:tcPr>
            <w:tcW w:w="1559" w:type="dxa"/>
            <w:tcBorders>
              <w:top w:val="nil"/>
              <w:left w:val="nil"/>
              <w:bottom w:val="nil"/>
              <w:right w:val="nil"/>
            </w:tcBorders>
            <w:noWrap/>
            <w:vAlign w:val="bottom"/>
            <w:hideMark/>
          </w:tcPr>
          <w:p w14:paraId="48D16F89" w14:textId="77777777" w:rsidR="00CC0A78" w:rsidRDefault="00CC0A78">
            <w:pPr>
              <w:suppressAutoHyphens w:val="0"/>
              <w:spacing w:line="240" w:lineRule="auto"/>
              <w:jc w:val="right"/>
              <w:rPr>
                <w:sz w:val="18"/>
                <w:szCs w:val="18"/>
              </w:rPr>
            </w:pPr>
            <w:r>
              <w:rPr>
                <w:color w:val="000000"/>
                <w:sz w:val="18"/>
                <w:szCs w:val="18"/>
              </w:rPr>
              <w:t>0.010</w:t>
            </w:r>
          </w:p>
        </w:tc>
      </w:tr>
      <w:tr w:rsidR="00CC0A78" w14:paraId="5DE0AF6D" w14:textId="77777777" w:rsidTr="00B719E1">
        <w:trPr>
          <w:trHeight w:val="240"/>
        </w:trPr>
        <w:tc>
          <w:tcPr>
            <w:tcW w:w="4111" w:type="dxa"/>
            <w:tcBorders>
              <w:top w:val="nil"/>
              <w:left w:val="nil"/>
              <w:bottom w:val="nil"/>
              <w:right w:val="nil"/>
            </w:tcBorders>
            <w:noWrap/>
            <w:vAlign w:val="bottom"/>
            <w:hideMark/>
          </w:tcPr>
          <w:p w14:paraId="0929FE09"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Algeria</w:t>
            </w:r>
          </w:p>
        </w:tc>
        <w:tc>
          <w:tcPr>
            <w:tcW w:w="1701" w:type="dxa"/>
            <w:tcBorders>
              <w:top w:val="nil"/>
              <w:left w:val="nil"/>
              <w:bottom w:val="nil"/>
              <w:right w:val="nil"/>
            </w:tcBorders>
            <w:noWrap/>
            <w:vAlign w:val="bottom"/>
            <w:hideMark/>
          </w:tcPr>
          <w:p w14:paraId="2B034ACE" w14:textId="77777777" w:rsidR="00CC0A78" w:rsidRDefault="00CC0A78">
            <w:pPr>
              <w:suppressAutoHyphens w:val="0"/>
              <w:spacing w:line="240" w:lineRule="auto"/>
              <w:jc w:val="right"/>
              <w:rPr>
                <w:sz w:val="18"/>
                <w:szCs w:val="18"/>
              </w:rPr>
            </w:pPr>
            <w:r>
              <w:rPr>
                <w:sz w:val="18"/>
                <w:szCs w:val="18"/>
              </w:rPr>
              <w:t>0.138</w:t>
            </w:r>
          </w:p>
        </w:tc>
        <w:tc>
          <w:tcPr>
            <w:tcW w:w="1559" w:type="dxa"/>
            <w:tcBorders>
              <w:top w:val="nil"/>
              <w:left w:val="nil"/>
              <w:bottom w:val="nil"/>
              <w:right w:val="nil"/>
            </w:tcBorders>
            <w:noWrap/>
            <w:vAlign w:val="bottom"/>
            <w:hideMark/>
          </w:tcPr>
          <w:p w14:paraId="385988C5" w14:textId="77777777" w:rsidR="00CC0A78" w:rsidRDefault="00CC0A78">
            <w:pPr>
              <w:suppressAutoHyphens w:val="0"/>
              <w:spacing w:line="240" w:lineRule="auto"/>
              <w:jc w:val="right"/>
              <w:rPr>
                <w:sz w:val="18"/>
                <w:szCs w:val="18"/>
              </w:rPr>
            </w:pPr>
            <w:r>
              <w:rPr>
                <w:color w:val="000000"/>
                <w:sz w:val="18"/>
                <w:szCs w:val="18"/>
              </w:rPr>
              <w:t>0.179</w:t>
            </w:r>
          </w:p>
        </w:tc>
      </w:tr>
      <w:tr w:rsidR="00CC0A78" w14:paraId="4D04BC86" w14:textId="77777777" w:rsidTr="00B719E1">
        <w:trPr>
          <w:trHeight w:val="240"/>
        </w:trPr>
        <w:tc>
          <w:tcPr>
            <w:tcW w:w="4111" w:type="dxa"/>
            <w:tcBorders>
              <w:top w:val="nil"/>
              <w:left w:val="nil"/>
              <w:bottom w:val="nil"/>
              <w:right w:val="nil"/>
            </w:tcBorders>
            <w:noWrap/>
            <w:vAlign w:val="bottom"/>
            <w:hideMark/>
          </w:tcPr>
          <w:p w14:paraId="0FB6DBD7"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Angola</w:t>
            </w:r>
          </w:p>
        </w:tc>
        <w:tc>
          <w:tcPr>
            <w:tcW w:w="1701" w:type="dxa"/>
            <w:tcBorders>
              <w:top w:val="nil"/>
              <w:left w:val="nil"/>
              <w:bottom w:val="nil"/>
              <w:right w:val="nil"/>
            </w:tcBorders>
            <w:noWrap/>
            <w:vAlign w:val="bottom"/>
            <w:hideMark/>
          </w:tcPr>
          <w:p w14:paraId="751C8884" w14:textId="77777777" w:rsidR="00CC0A78" w:rsidRDefault="00CC0A78">
            <w:pPr>
              <w:suppressAutoHyphens w:val="0"/>
              <w:spacing w:line="240" w:lineRule="auto"/>
              <w:jc w:val="right"/>
              <w:rPr>
                <w:sz w:val="18"/>
                <w:szCs w:val="18"/>
              </w:rPr>
            </w:pPr>
            <w:r>
              <w:rPr>
                <w:sz w:val="18"/>
                <w:szCs w:val="18"/>
              </w:rPr>
              <w:t>0.010</w:t>
            </w:r>
          </w:p>
        </w:tc>
        <w:tc>
          <w:tcPr>
            <w:tcW w:w="1559" w:type="dxa"/>
            <w:tcBorders>
              <w:top w:val="nil"/>
              <w:left w:val="nil"/>
              <w:bottom w:val="nil"/>
              <w:right w:val="nil"/>
            </w:tcBorders>
            <w:noWrap/>
            <w:vAlign w:val="bottom"/>
            <w:hideMark/>
          </w:tcPr>
          <w:p w14:paraId="62AE1FBF" w14:textId="77777777" w:rsidR="00CC0A78" w:rsidRDefault="00CC0A78">
            <w:pPr>
              <w:suppressAutoHyphens w:val="0"/>
              <w:spacing w:line="240" w:lineRule="auto"/>
              <w:jc w:val="right"/>
              <w:rPr>
                <w:sz w:val="18"/>
                <w:szCs w:val="18"/>
              </w:rPr>
            </w:pPr>
            <w:r>
              <w:rPr>
                <w:color w:val="000000"/>
                <w:sz w:val="18"/>
                <w:szCs w:val="18"/>
              </w:rPr>
              <w:t>0.013</w:t>
            </w:r>
          </w:p>
        </w:tc>
      </w:tr>
      <w:tr w:rsidR="00CC0A78" w14:paraId="17B0AD87" w14:textId="77777777" w:rsidTr="00B719E1">
        <w:trPr>
          <w:trHeight w:val="240"/>
        </w:trPr>
        <w:tc>
          <w:tcPr>
            <w:tcW w:w="4111" w:type="dxa"/>
            <w:tcBorders>
              <w:top w:val="nil"/>
              <w:left w:val="nil"/>
              <w:bottom w:val="nil"/>
              <w:right w:val="nil"/>
            </w:tcBorders>
            <w:noWrap/>
            <w:vAlign w:val="bottom"/>
            <w:hideMark/>
          </w:tcPr>
          <w:p w14:paraId="49C14E39"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Antigua and Barbuda</w:t>
            </w:r>
          </w:p>
        </w:tc>
        <w:tc>
          <w:tcPr>
            <w:tcW w:w="1701" w:type="dxa"/>
            <w:tcBorders>
              <w:top w:val="nil"/>
              <w:left w:val="nil"/>
              <w:bottom w:val="nil"/>
              <w:right w:val="nil"/>
            </w:tcBorders>
            <w:noWrap/>
            <w:vAlign w:val="bottom"/>
            <w:hideMark/>
          </w:tcPr>
          <w:p w14:paraId="17E2CFFA" w14:textId="77777777" w:rsidR="00CC0A78" w:rsidRDefault="00CC0A78">
            <w:pPr>
              <w:suppressAutoHyphens w:val="0"/>
              <w:spacing w:line="240" w:lineRule="auto"/>
              <w:jc w:val="right"/>
              <w:rPr>
                <w:sz w:val="18"/>
                <w:szCs w:val="18"/>
              </w:rPr>
            </w:pPr>
            <w:r>
              <w:rPr>
                <w:sz w:val="18"/>
                <w:szCs w:val="18"/>
              </w:rPr>
              <w:t>0.002</w:t>
            </w:r>
          </w:p>
        </w:tc>
        <w:tc>
          <w:tcPr>
            <w:tcW w:w="1559" w:type="dxa"/>
            <w:tcBorders>
              <w:top w:val="nil"/>
              <w:left w:val="nil"/>
              <w:bottom w:val="nil"/>
              <w:right w:val="nil"/>
            </w:tcBorders>
            <w:noWrap/>
            <w:vAlign w:val="bottom"/>
            <w:hideMark/>
          </w:tcPr>
          <w:p w14:paraId="7351798B" w14:textId="77777777" w:rsidR="00CC0A78" w:rsidRDefault="00CC0A78">
            <w:pPr>
              <w:suppressAutoHyphens w:val="0"/>
              <w:spacing w:line="240" w:lineRule="auto"/>
              <w:jc w:val="right"/>
              <w:rPr>
                <w:sz w:val="18"/>
                <w:szCs w:val="18"/>
              </w:rPr>
            </w:pPr>
            <w:r>
              <w:rPr>
                <w:color w:val="000000"/>
                <w:sz w:val="18"/>
                <w:szCs w:val="18"/>
              </w:rPr>
              <w:t>0.003</w:t>
            </w:r>
          </w:p>
        </w:tc>
      </w:tr>
      <w:tr w:rsidR="00CC0A78" w14:paraId="37C5BC1D" w14:textId="77777777" w:rsidTr="00B719E1">
        <w:trPr>
          <w:trHeight w:val="240"/>
        </w:trPr>
        <w:tc>
          <w:tcPr>
            <w:tcW w:w="4111" w:type="dxa"/>
            <w:tcBorders>
              <w:top w:val="nil"/>
              <w:left w:val="nil"/>
              <w:bottom w:val="nil"/>
              <w:right w:val="nil"/>
            </w:tcBorders>
            <w:noWrap/>
            <w:vAlign w:val="bottom"/>
            <w:hideMark/>
          </w:tcPr>
          <w:p w14:paraId="6FFDDA66"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Argentina</w:t>
            </w:r>
          </w:p>
        </w:tc>
        <w:tc>
          <w:tcPr>
            <w:tcW w:w="1701" w:type="dxa"/>
            <w:tcBorders>
              <w:top w:val="nil"/>
              <w:left w:val="nil"/>
              <w:bottom w:val="nil"/>
              <w:right w:val="nil"/>
            </w:tcBorders>
            <w:noWrap/>
            <w:vAlign w:val="bottom"/>
            <w:hideMark/>
          </w:tcPr>
          <w:p w14:paraId="78B06A65" w14:textId="77777777" w:rsidR="00CC0A78" w:rsidRDefault="00CC0A78">
            <w:pPr>
              <w:suppressAutoHyphens w:val="0"/>
              <w:spacing w:line="240" w:lineRule="auto"/>
              <w:jc w:val="right"/>
              <w:rPr>
                <w:sz w:val="18"/>
                <w:szCs w:val="18"/>
              </w:rPr>
            </w:pPr>
            <w:r>
              <w:rPr>
                <w:sz w:val="18"/>
                <w:szCs w:val="18"/>
              </w:rPr>
              <w:t>0.915</w:t>
            </w:r>
          </w:p>
        </w:tc>
        <w:tc>
          <w:tcPr>
            <w:tcW w:w="1559" w:type="dxa"/>
            <w:tcBorders>
              <w:top w:val="nil"/>
              <w:left w:val="nil"/>
              <w:bottom w:val="nil"/>
              <w:right w:val="nil"/>
            </w:tcBorders>
            <w:noWrap/>
            <w:vAlign w:val="bottom"/>
            <w:hideMark/>
          </w:tcPr>
          <w:p w14:paraId="22EEA1E6" w14:textId="77777777" w:rsidR="00CC0A78" w:rsidRDefault="00CC0A78">
            <w:pPr>
              <w:suppressAutoHyphens w:val="0"/>
              <w:spacing w:line="240" w:lineRule="auto"/>
              <w:jc w:val="right"/>
              <w:rPr>
                <w:sz w:val="18"/>
                <w:szCs w:val="18"/>
              </w:rPr>
            </w:pPr>
            <w:r>
              <w:rPr>
                <w:color w:val="000000"/>
                <w:sz w:val="18"/>
                <w:szCs w:val="18"/>
              </w:rPr>
              <w:t>1.186</w:t>
            </w:r>
          </w:p>
        </w:tc>
      </w:tr>
      <w:tr w:rsidR="00CC0A78" w14:paraId="64AF2C1E" w14:textId="77777777" w:rsidTr="00B719E1">
        <w:trPr>
          <w:trHeight w:val="240"/>
        </w:trPr>
        <w:tc>
          <w:tcPr>
            <w:tcW w:w="4111" w:type="dxa"/>
            <w:tcBorders>
              <w:top w:val="nil"/>
              <w:left w:val="nil"/>
              <w:bottom w:val="nil"/>
              <w:right w:val="nil"/>
            </w:tcBorders>
            <w:noWrap/>
            <w:vAlign w:val="bottom"/>
            <w:hideMark/>
          </w:tcPr>
          <w:p w14:paraId="37CE69EB"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Armenia</w:t>
            </w:r>
          </w:p>
        </w:tc>
        <w:tc>
          <w:tcPr>
            <w:tcW w:w="1701" w:type="dxa"/>
            <w:tcBorders>
              <w:top w:val="nil"/>
              <w:left w:val="nil"/>
              <w:bottom w:val="nil"/>
              <w:right w:val="nil"/>
            </w:tcBorders>
            <w:noWrap/>
            <w:vAlign w:val="bottom"/>
            <w:hideMark/>
          </w:tcPr>
          <w:p w14:paraId="04C23DDB" w14:textId="77777777" w:rsidR="00CC0A78" w:rsidRDefault="00CC0A78">
            <w:pPr>
              <w:suppressAutoHyphens w:val="0"/>
              <w:spacing w:line="240" w:lineRule="auto"/>
              <w:jc w:val="right"/>
              <w:rPr>
                <w:sz w:val="18"/>
                <w:szCs w:val="18"/>
              </w:rPr>
            </w:pPr>
            <w:r>
              <w:rPr>
                <w:sz w:val="18"/>
                <w:szCs w:val="18"/>
              </w:rPr>
              <w:t>0.007</w:t>
            </w:r>
          </w:p>
        </w:tc>
        <w:tc>
          <w:tcPr>
            <w:tcW w:w="1559" w:type="dxa"/>
            <w:tcBorders>
              <w:top w:val="nil"/>
              <w:left w:val="nil"/>
              <w:bottom w:val="nil"/>
              <w:right w:val="nil"/>
            </w:tcBorders>
            <w:noWrap/>
            <w:vAlign w:val="bottom"/>
            <w:hideMark/>
          </w:tcPr>
          <w:p w14:paraId="2ACBBA19" w14:textId="77777777" w:rsidR="00CC0A78" w:rsidRDefault="00CC0A78">
            <w:pPr>
              <w:suppressAutoHyphens w:val="0"/>
              <w:spacing w:line="240" w:lineRule="auto"/>
              <w:jc w:val="right"/>
              <w:rPr>
                <w:sz w:val="18"/>
                <w:szCs w:val="18"/>
              </w:rPr>
            </w:pPr>
            <w:r>
              <w:rPr>
                <w:color w:val="000000"/>
                <w:sz w:val="18"/>
                <w:szCs w:val="18"/>
              </w:rPr>
              <w:t>0.009</w:t>
            </w:r>
          </w:p>
        </w:tc>
      </w:tr>
      <w:tr w:rsidR="00CC0A78" w14:paraId="2B28C346" w14:textId="77777777" w:rsidTr="00B719E1">
        <w:trPr>
          <w:trHeight w:val="240"/>
        </w:trPr>
        <w:tc>
          <w:tcPr>
            <w:tcW w:w="4111" w:type="dxa"/>
            <w:tcBorders>
              <w:top w:val="nil"/>
              <w:left w:val="nil"/>
              <w:bottom w:val="nil"/>
              <w:right w:val="nil"/>
            </w:tcBorders>
            <w:noWrap/>
            <w:vAlign w:val="bottom"/>
            <w:hideMark/>
          </w:tcPr>
          <w:p w14:paraId="2F3C6F57"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Australia</w:t>
            </w:r>
          </w:p>
        </w:tc>
        <w:tc>
          <w:tcPr>
            <w:tcW w:w="1701" w:type="dxa"/>
            <w:tcBorders>
              <w:top w:val="nil"/>
              <w:left w:val="nil"/>
              <w:bottom w:val="nil"/>
              <w:right w:val="nil"/>
            </w:tcBorders>
            <w:noWrap/>
            <w:vAlign w:val="bottom"/>
            <w:hideMark/>
          </w:tcPr>
          <w:p w14:paraId="3C881A6C" w14:textId="77777777" w:rsidR="00CC0A78" w:rsidRDefault="00CC0A78">
            <w:pPr>
              <w:suppressAutoHyphens w:val="0"/>
              <w:spacing w:line="240" w:lineRule="auto"/>
              <w:jc w:val="right"/>
              <w:rPr>
                <w:sz w:val="18"/>
                <w:szCs w:val="18"/>
              </w:rPr>
            </w:pPr>
            <w:r>
              <w:rPr>
                <w:sz w:val="18"/>
                <w:szCs w:val="18"/>
              </w:rPr>
              <w:t>2.210</w:t>
            </w:r>
          </w:p>
        </w:tc>
        <w:tc>
          <w:tcPr>
            <w:tcW w:w="1559" w:type="dxa"/>
            <w:tcBorders>
              <w:top w:val="nil"/>
              <w:left w:val="nil"/>
              <w:bottom w:val="nil"/>
              <w:right w:val="nil"/>
            </w:tcBorders>
            <w:noWrap/>
            <w:vAlign w:val="bottom"/>
            <w:hideMark/>
          </w:tcPr>
          <w:p w14:paraId="4C6A7574" w14:textId="77777777" w:rsidR="00CC0A78" w:rsidRDefault="00CC0A78">
            <w:pPr>
              <w:suppressAutoHyphens w:val="0"/>
              <w:spacing w:line="240" w:lineRule="auto"/>
              <w:jc w:val="right"/>
              <w:rPr>
                <w:sz w:val="18"/>
                <w:szCs w:val="18"/>
              </w:rPr>
            </w:pPr>
            <w:r>
              <w:rPr>
                <w:color w:val="000000"/>
                <w:sz w:val="18"/>
                <w:szCs w:val="18"/>
              </w:rPr>
              <w:t>2.863</w:t>
            </w:r>
          </w:p>
        </w:tc>
      </w:tr>
      <w:tr w:rsidR="00CC0A78" w14:paraId="12463F9D" w14:textId="77777777" w:rsidTr="00B719E1">
        <w:trPr>
          <w:trHeight w:val="240"/>
        </w:trPr>
        <w:tc>
          <w:tcPr>
            <w:tcW w:w="4111" w:type="dxa"/>
            <w:tcBorders>
              <w:top w:val="nil"/>
              <w:left w:val="nil"/>
              <w:bottom w:val="nil"/>
              <w:right w:val="nil"/>
            </w:tcBorders>
            <w:noWrap/>
            <w:vAlign w:val="bottom"/>
            <w:hideMark/>
          </w:tcPr>
          <w:p w14:paraId="55D82FFE"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Austria</w:t>
            </w:r>
          </w:p>
        </w:tc>
        <w:tc>
          <w:tcPr>
            <w:tcW w:w="1701" w:type="dxa"/>
            <w:tcBorders>
              <w:top w:val="nil"/>
              <w:left w:val="nil"/>
              <w:bottom w:val="nil"/>
              <w:right w:val="nil"/>
            </w:tcBorders>
            <w:noWrap/>
            <w:vAlign w:val="bottom"/>
            <w:hideMark/>
          </w:tcPr>
          <w:p w14:paraId="61B5FBC3" w14:textId="77777777" w:rsidR="00CC0A78" w:rsidRDefault="00CC0A78">
            <w:pPr>
              <w:suppressAutoHyphens w:val="0"/>
              <w:spacing w:line="240" w:lineRule="auto"/>
              <w:jc w:val="right"/>
              <w:rPr>
                <w:sz w:val="18"/>
                <w:szCs w:val="18"/>
              </w:rPr>
            </w:pPr>
            <w:r>
              <w:rPr>
                <w:sz w:val="18"/>
                <w:szCs w:val="18"/>
              </w:rPr>
              <w:t>0.677</w:t>
            </w:r>
          </w:p>
        </w:tc>
        <w:tc>
          <w:tcPr>
            <w:tcW w:w="1559" w:type="dxa"/>
            <w:tcBorders>
              <w:top w:val="nil"/>
              <w:left w:val="nil"/>
              <w:bottom w:val="nil"/>
              <w:right w:val="nil"/>
            </w:tcBorders>
            <w:noWrap/>
            <w:vAlign w:val="bottom"/>
            <w:hideMark/>
          </w:tcPr>
          <w:p w14:paraId="1D88558A" w14:textId="77777777" w:rsidR="00CC0A78" w:rsidRDefault="00CC0A78">
            <w:pPr>
              <w:suppressAutoHyphens w:val="0"/>
              <w:spacing w:line="240" w:lineRule="auto"/>
              <w:jc w:val="right"/>
              <w:rPr>
                <w:sz w:val="18"/>
                <w:szCs w:val="18"/>
              </w:rPr>
            </w:pPr>
            <w:r>
              <w:rPr>
                <w:color w:val="000000"/>
                <w:sz w:val="18"/>
                <w:szCs w:val="18"/>
              </w:rPr>
              <w:t>0.877</w:t>
            </w:r>
          </w:p>
        </w:tc>
      </w:tr>
      <w:tr w:rsidR="00CC0A78" w14:paraId="08DBCD4D" w14:textId="77777777" w:rsidTr="00B719E1">
        <w:trPr>
          <w:trHeight w:val="240"/>
        </w:trPr>
        <w:tc>
          <w:tcPr>
            <w:tcW w:w="4111" w:type="dxa"/>
            <w:tcBorders>
              <w:top w:val="nil"/>
              <w:left w:val="nil"/>
              <w:bottom w:val="nil"/>
              <w:right w:val="nil"/>
            </w:tcBorders>
            <w:noWrap/>
            <w:vAlign w:val="bottom"/>
            <w:hideMark/>
          </w:tcPr>
          <w:p w14:paraId="2C033185"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Azerbaijan</w:t>
            </w:r>
          </w:p>
        </w:tc>
        <w:tc>
          <w:tcPr>
            <w:tcW w:w="1701" w:type="dxa"/>
            <w:tcBorders>
              <w:top w:val="nil"/>
              <w:left w:val="nil"/>
              <w:bottom w:val="nil"/>
              <w:right w:val="nil"/>
            </w:tcBorders>
            <w:noWrap/>
            <w:vAlign w:val="bottom"/>
            <w:hideMark/>
          </w:tcPr>
          <w:p w14:paraId="118F79BC" w14:textId="77777777" w:rsidR="00CC0A78" w:rsidRDefault="00CC0A78">
            <w:pPr>
              <w:suppressAutoHyphens w:val="0"/>
              <w:spacing w:line="240" w:lineRule="auto"/>
              <w:jc w:val="right"/>
              <w:rPr>
                <w:sz w:val="18"/>
                <w:szCs w:val="18"/>
              </w:rPr>
            </w:pPr>
            <w:r>
              <w:rPr>
                <w:sz w:val="18"/>
                <w:szCs w:val="18"/>
              </w:rPr>
              <w:t>0.049</w:t>
            </w:r>
          </w:p>
        </w:tc>
        <w:tc>
          <w:tcPr>
            <w:tcW w:w="1559" w:type="dxa"/>
            <w:tcBorders>
              <w:top w:val="nil"/>
              <w:left w:val="nil"/>
              <w:bottom w:val="nil"/>
              <w:right w:val="nil"/>
            </w:tcBorders>
            <w:noWrap/>
            <w:vAlign w:val="bottom"/>
            <w:hideMark/>
          </w:tcPr>
          <w:p w14:paraId="483DE089" w14:textId="77777777" w:rsidR="00CC0A78" w:rsidRDefault="00CC0A78">
            <w:pPr>
              <w:suppressAutoHyphens w:val="0"/>
              <w:spacing w:line="240" w:lineRule="auto"/>
              <w:jc w:val="right"/>
              <w:rPr>
                <w:sz w:val="18"/>
                <w:szCs w:val="18"/>
              </w:rPr>
            </w:pPr>
            <w:r>
              <w:rPr>
                <w:color w:val="000000"/>
                <w:sz w:val="18"/>
                <w:szCs w:val="18"/>
              </w:rPr>
              <w:t>0.063</w:t>
            </w:r>
          </w:p>
        </w:tc>
      </w:tr>
      <w:tr w:rsidR="00CC0A78" w14:paraId="7229407D" w14:textId="77777777" w:rsidTr="00B719E1">
        <w:trPr>
          <w:trHeight w:val="240"/>
        </w:trPr>
        <w:tc>
          <w:tcPr>
            <w:tcW w:w="4111" w:type="dxa"/>
            <w:tcBorders>
              <w:top w:val="nil"/>
              <w:left w:val="nil"/>
              <w:bottom w:val="nil"/>
              <w:right w:val="nil"/>
            </w:tcBorders>
            <w:noWrap/>
            <w:vAlign w:val="bottom"/>
            <w:hideMark/>
          </w:tcPr>
          <w:p w14:paraId="735FBB2B"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Bahamas</w:t>
            </w:r>
          </w:p>
        </w:tc>
        <w:tc>
          <w:tcPr>
            <w:tcW w:w="1701" w:type="dxa"/>
            <w:tcBorders>
              <w:top w:val="nil"/>
              <w:left w:val="nil"/>
              <w:bottom w:val="nil"/>
              <w:right w:val="nil"/>
            </w:tcBorders>
            <w:noWrap/>
            <w:vAlign w:val="bottom"/>
            <w:hideMark/>
          </w:tcPr>
          <w:p w14:paraId="3A9C434D" w14:textId="77777777" w:rsidR="00CC0A78" w:rsidRDefault="00CC0A78">
            <w:pPr>
              <w:suppressAutoHyphens w:val="0"/>
              <w:spacing w:line="240" w:lineRule="auto"/>
              <w:jc w:val="right"/>
              <w:rPr>
                <w:sz w:val="18"/>
                <w:szCs w:val="18"/>
              </w:rPr>
            </w:pPr>
            <w:r>
              <w:rPr>
                <w:sz w:val="18"/>
                <w:szCs w:val="18"/>
              </w:rPr>
              <w:t>0.018</w:t>
            </w:r>
          </w:p>
        </w:tc>
        <w:tc>
          <w:tcPr>
            <w:tcW w:w="1559" w:type="dxa"/>
            <w:tcBorders>
              <w:top w:val="nil"/>
              <w:left w:val="nil"/>
              <w:bottom w:val="nil"/>
              <w:right w:val="nil"/>
            </w:tcBorders>
            <w:noWrap/>
            <w:vAlign w:val="bottom"/>
            <w:hideMark/>
          </w:tcPr>
          <w:p w14:paraId="17CEC35B" w14:textId="77777777" w:rsidR="00CC0A78" w:rsidRDefault="00CC0A78">
            <w:pPr>
              <w:suppressAutoHyphens w:val="0"/>
              <w:spacing w:line="240" w:lineRule="auto"/>
              <w:jc w:val="right"/>
              <w:rPr>
                <w:sz w:val="18"/>
                <w:szCs w:val="18"/>
              </w:rPr>
            </w:pPr>
            <w:r>
              <w:rPr>
                <w:color w:val="000000"/>
                <w:sz w:val="18"/>
                <w:szCs w:val="18"/>
              </w:rPr>
              <w:t>0.023</w:t>
            </w:r>
          </w:p>
        </w:tc>
      </w:tr>
      <w:tr w:rsidR="00CC0A78" w14:paraId="2E1FDCCB" w14:textId="77777777" w:rsidTr="00B719E1">
        <w:trPr>
          <w:trHeight w:val="240"/>
        </w:trPr>
        <w:tc>
          <w:tcPr>
            <w:tcW w:w="4111" w:type="dxa"/>
            <w:tcBorders>
              <w:top w:val="nil"/>
              <w:left w:val="nil"/>
              <w:bottom w:val="nil"/>
              <w:right w:val="nil"/>
            </w:tcBorders>
            <w:noWrap/>
            <w:vAlign w:val="bottom"/>
            <w:hideMark/>
          </w:tcPr>
          <w:p w14:paraId="339BF1B9"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Bahrain</w:t>
            </w:r>
          </w:p>
        </w:tc>
        <w:tc>
          <w:tcPr>
            <w:tcW w:w="1701" w:type="dxa"/>
            <w:tcBorders>
              <w:top w:val="nil"/>
              <w:left w:val="nil"/>
              <w:bottom w:val="nil"/>
              <w:right w:val="nil"/>
            </w:tcBorders>
            <w:noWrap/>
            <w:vAlign w:val="bottom"/>
            <w:hideMark/>
          </w:tcPr>
          <w:p w14:paraId="009518DB" w14:textId="77777777" w:rsidR="00CC0A78" w:rsidRDefault="00CC0A78">
            <w:pPr>
              <w:suppressAutoHyphens w:val="0"/>
              <w:spacing w:line="240" w:lineRule="auto"/>
              <w:jc w:val="right"/>
              <w:rPr>
                <w:sz w:val="18"/>
                <w:szCs w:val="18"/>
              </w:rPr>
            </w:pPr>
            <w:r>
              <w:rPr>
                <w:sz w:val="18"/>
                <w:szCs w:val="18"/>
              </w:rPr>
              <w:t>0.050</w:t>
            </w:r>
          </w:p>
        </w:tc>
        <w:tc>
          <w:tcPr>
            <w:tcW w:w="1559" w:type="dxa"/>
            <w:tcBorders>
              <w:top w:val="nil"/>
              <w:left w:val="nil"/>
              <w:bottom w:val="nil"/>
              <w:right w:val="nil"/>
            </w:tcBorders>
            <w:noWrap/>
            <w:vAlign w:val="bottom"/>
            <w:hideMark/>
          </w:tcPr>
          <w:p w14:paraId="72E74A72" w14:textId="77777777" w:rsidR="00CC0A78" w:rsidRDefault="00CC0A78">
            <w:pPr>
              <w:suppressAutoHyphens w:val="0"/>
              <w:spacing w:line="240" w:lineRule="auto"/>
              <w:jc w:val="right"/>
              <w:rPr>
                <w:sz w:val="18"/>
                <w:szCs w:val="18"/>
              </w:rPr>
            </w:pPr>
            <w:r>
              <w:rPr>
                <w:color w:val="000000"/>
                <w:sz w:val="18"/>
                <w:szCs w:val="18"/>
              </w:rPr>
              <w:t>0.065</w:t>
            </w:r>
          </w:p>
        </w:tc>
      </w:tr>
      <w:tr w:rsidR="00CC0A78" w14:paraId="72156A04" w14:textId="77777777" w:rsidTr="00B719E1">
        <w:trPr>
          <w:trHeight w:val="240"/>
        </w:trPr>
        <w:tc>
          <w:tcPr>
            <w:tcW w:w="4111" w:type="dxa"/>
            <w:tcBorders>
              <w:top w:val="nil"/>
              <w:left w:val="nil"/>
              <w:bottom w:val="nil"/>
              <w:right w:val="nil"/>
            </w:tcBorders>
            <w:noWrap/>
            <w:vAlign w:val="bottom"/>
            <w:hideMark/>
          </w:tcPr>
          <w:p w14:paraId="176633FC"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Bangladesh</w:t>
            </w:r>
          </w:p>
        </w:tc>
        <w:tc>
          <w:tcPr>
            <w:tcW w:w="1701" w:type="dxa"/>
            <w:tcBorders>
              <w:top w:val="nil"/>
              <w:left w:val="nil"/>
              <w:bottom w:val="nil"/>
              <w:right w:val="nil"/>
            </w:tcBorders>
            <w:noWrap/>
            <w:vAlign w:val="bottom"/>
            <w:hideMark/>
          </w:tcPr>
          <w:p w14:paraId="46E51507" w14:textId="77777777" w:rsidR="00CC0A78" w:rsidRDefault="00CC0A78">
            <w:pPr>
              <w:suppressAutoHyphens w:val="0"/>
              <w:spacing w:line="240" w:lineRule="auto"/>
              <w:jc w:val="right"/>
              <w:rPr>
                <w:sz w:val="18"/>
                <w:szCs w:val="18"/>
              </w:rPr>
            </w:pPr>
            <w:r>
              <w:rPr>
                <w:sz w:val="18"/>
                <w:szCs w:val="18"/>
              </w:rPr>
              <w:t>0.010</w:t>
            </w:r>
          </w:p>
        </w:tc>
        <w:tc>
          <w:tcPr>
            <w:tcW w:w="1559" w:type="dxa"/>
            <w:tcBorders>
              <w:top w:val="nil"/>
              <w:left w:val="nil"/>
              <w:bottom w:val="nil"/>
              <w:right w:val="nil"/>
            </w:tcBorders>
            <w:noWrap/>
            <w:vAlign w:val="bottom"/>
            <w:hideMark/>
          </w:tcPr>
          <w:p w14:paraId="5D647626" w14:textId="77777777" w:rsidR="00CC0A78" w:rsidRDefault="00CC0A78">
            <w:pPr>
              <w:suppressAutoHyphens w:val="0"/>
              <w:spacing w:line="240" w:lineRule="auto"/>
              <w:jc w:val="right"/>
              <w:rPr>
                <w:sz w:val="18"/>
                <w:szCs w:val="18"/>
              </w:rPr>
            </w:pPr>
            <w:r>
              <w:rPr>
                <w:color w:val="000000"/>
                <w:sz w:val="18"/>
                <w:szCs w:val="18"/>
              </w:rPr>
              <w:t>0.013</w:t>
            </w:r>
          </w:p>
        </w:tc>
      </w:tr>
      <w:tr w:rsidR="00CC0A78" w14:paraId="6FDB9023" w14:textId="77777777" w:rsidTr="00B719E1">
        <w:trPr>
          <w:trHeight w:val="240"/>
        </w:trPr>
        <w:tc>
          <w:tcPr>
            <w:tcW w:w="4111" w:type="dxa"/>
            <w:tcBorders>
              <w:top w:val="nil"/>
              <w:left w:val="nil"/>
              <w:bottom w:val="nil"/>
              <w:right w:val="nil"/>
            </w:tcBorders>
            <w:noWrap/>
            <w:vAlign w:val="bottom"/>
            <w:hideMark/>
          </w:tcPr>
          <w:p w14:paraId="3A910FF8"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Barbados</w:t>
            </w:r>
          </w:p>
        </w:tc>
        <w:tc>
          <w:tcPr>
            <w:tcW w:w="1701" w:type="dxa"/>
            <w:tcBorders>
              <w:top w:val="nil"/>
              <w:left w:val="nil"/>
              <w:bottom w:val="nil"/>
              <w:right w:val="nil"/>
            </w:tcBorders>
            <w:noWrap/>
            <w:vAlign w:val="bottom"/>
            <w:hideMark/>
          </w:tcPr>
          <w:p w14:paraId="6A1E61F3" w14:textId="77777777" w:rsidR="00CC0A78" w:rsidRDefault="00CC0A78">
            <w:pPr>
              <w:suppressAutoHyphens w:val="0"/>
              <w:spacing w:line="240" w:lineRule="auto"/>
              <w:jc w:val="right"/>
              <w:rPr>
                <w:sz w:val="18"/>
                <w:szCs w:val="18"/>
              </w:rPr>
            </w:pPr>
            <w:r>
              <w:rPr>
                <w:sz w:val="18"/>
                <w:szCs w:val="18"/>
              </w:rPr>
              <w:t>0.007</w:t>
            </w:r>
          </w:p>
        </w:tc>
        <w:tc>
          <w:tcPr>
            <w:tcW w:w="1559" w:type="dxa"/>
            <w:tcBorders>
              <w:top w:val="nil"/>
              <w:left w:val="nil"/>
              <w:bottom w:val="nil"/>
              <w:right w:val="nil"/>
            </w:tcBorders>
            <w:noWrap/>
            <w:vAlign w:val="bottom"/>
            <w:hideMark/>
          </w:tcPr>
          <w:p w14:paraId="2AA0A4B5" w14:textId="77777777" w:rsidR="00CC0A78" w:rsidRDefault="00CC0A78">
            <w:pPr>
              <w:suppressAutoHyphens w:val="0"/>
              <w:spacing w:line="240" w:lineRule="auto"/>
              <w:jc w:val="right"/>
              <w:rPr>
                <w:sz w:val="18"/>
                <w:szCs w:val="18"/>
              </w:rPr>
            </w:pPr>
            <w:r>
              <w:rPr>
                <w:color w:val="000000"/>
                <w:sz w:val="18"/>
                <w:szCs w:val="18"/>
              </w:rPr>
              <w:t>0.009</w:t>
            </w:r>
          </w:p>
        </w:tc>
      </w:tr>
      <w:tr w:rsidR="00CC0A78" w14:paraId="68E7AA56" w14:textId="77777777" w:rsidTr="00B719E1">
        <w:trPr>
          <w:trHeight w:val="240"/>
        </w:trPr>
        <w:tc>
          <w:tcPr>
            <w:tcW w:w="4111" w:type="dxa"/>
            <w:tcBorders>
              <w:top w:val="nil"/>
              <w:left w:val="nil"/>
              <w:bottom w:val="nil"/>
              <w:right w:val="nil"/>
            </w:tcBorders>
            <w:noWrap/>
            <w:vAlign w:val="bottom"/>
            <w:hideMark/>
          </w:tcPr>
          <w:p w14:paraId="55358D7E"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Belarus</w:t>
            </w:r>
          </w:p>
        </w:tc>
        <w:tc>
          <w:tcPr>
            <w:tcW w:w="1701" w:type="dxa"/>
            <w:tcBorders>
              <w:top w:val="nil"/>
              <w:left w:val="nil"/>
              <w:bottom w:val="nil"/>
              <w:right w:val="nil"/>
            </w:tcBorders>
            <w:noWrap/>
            <w:vAlign w:val="bottom"/>
            <w:hideMark/>
          </w:tcPr>
          <w:p w14:paraId="02820181" w14:textId="77777777" w:rsidR="00CC0A78" w:rsidRDefault="00CC0A78">
            <w:pPr>
              <w:suppressAutoHyphens w:val="0"/>
              <w:spacing w:line="240" w:lineRule="auto"/>
              <w:jc w:val="right"/>
              <w:rPr>
                <w:sz w:val="18"/>
                <w:szCs w:val="18"/>
              </w:rPr>
            </w:pPr>
            <w:r>
              <w:rPr>
                <w:sz w:val="18"/>
                <w:szCs w:val="18"/>
              </w:rPr>
              <w:t>0.049</w:t>
            </w:r>
          </w:p>
        </w:tc>
        <w:tc>
          <w:tcPr>
            <w:tcW w:w="1559" w:type="dxa"/>
            <w:tcBorders>
              <w:top w:val="nil"/>
              <w:left w:val="nil"/>
              <w:bottom w:val="nil"/>
              <w:right w:val="nil"/>
            </w:tcBorders>
            <w:noWrap/>
            <w:vAlign w:val="bottom"/>
            <w:hideMark/>
          </w:tcPr>
          <w:p w14:paraId="50806676" w14:textId="77777777" w:rsidR="00CC0A78" w:rsidRDefault="00CC0A78">
            <w:pPr>
              <w:suppressAutoHyphens w:val="0"/>
              <w:spacing w:line="240" w:lineRule="auto"/>
              <w:jc w:val="right"/>
              <w:rPr>
                <w:sz w:val="18"/>
                <w:szCs w:val="18"/>
              </w:rPr>
            </w:pPr>
            <w:r>
              <w:rPr>
                <w:color w:val="000000"/>
                <w:sz w:val="18"/>
                <w:szCs w:val="18"/>
              </w:rPr>
              <w:t>0.063</w:t>
            </w:r>
          </w:p>
        </w:tc>
      </w:tr>
      <w:tr w:rsidR="00CC0A78" w14:paraId="5949C464" w14:textId="77777777" w:rsidTr="00B719E1">
        <w:trPr>
          <w:trHeight w:val="240"/>
        </w:trPr>
        <w:tc>
          <w:tcPr>
            <w:tcW w:w="4111" w:type="dxa"/>
            <w:tcBorders>
              <w:top w:val="nil"/>
              <w:left w:val="nil"/>
              <w:bottom w:val="nil"/>
              <w:right w:val="nil"/>
            </w:tcBorders>
            <w:noWrap/>
            <w:vAlign w:val="bottom"/>
            <w:hideMark/>
          </w:tcPr>
          <w:p w14:paraId="1A7EA48C"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Belgium</w:t>
            </w:r>
          </w:p>
        </w:tc>
        <w:tc>
          <w:tcPr>
            <w:tcW w:w="1701" w:type="dxa"/>
            <w:tcBorders>
              <w:top w:val="nil"/>
              <w:left w:val="nil"/>
              <w:bottom w:val="nil"/>
              <w:right w:val="nil"/>
            </w:tcBorders>
            <w:noWrap/>
            <w:vAlign w:val="bottom"/>
            <w:hideMark/>
          </w:tcPr>
          <w:p w14:paraId="077B59A4" w14:textId="77777777" w:rsidR="00CC0A78" w:rsidRDefault="00CC0A78">
            <w:pPr>
              <w:suppressAutoHyphens w:val="0"/>
              <w:spacing w:line="240" w:lineRule="auto"/>
              <w:jc w:val="right"/>
              <w:rPr>
                <w:sz w:val="18"/>
                <w:szCs w:val="18"/>
              </w:rPr>
            </w:pPr>
            <w:r>
              <w:rPr>
                <w:sz w:val="18"/>
                <w:szCs w:val="18"/>
              </w:rPr>
              <w:t>0.821</w:t>
            </w:r>
          </w:p>
        </w:tc>
        <w:tc>
          <w:tcPr>
            <w:tcW w:w="1559" w:type="dxa"/>
            <w:tcBorders>
              <w:top w:val="nil"/>
              <w:left w:val="nil"/>
              <w:bottom w:val="nil"/>
              <w:right w:val="nil"/>
            </w:tcBorders>
            <w:noWrap/>
            <w:vAlign w:val="bottom"/>
            <w:hideMark/>
          </w:tcPr>
          <w:p w14:paraId="222AA6B2" w14:textId="77777777" w:rsidR="00CC0A78" w:rsidRDefault="00CC0A78">
            <w:pPr>
              <w:suppressAutoHyphens w:val="0"/>
              <w:spacing w:line="240" w:lineRule="auto"/>
              <w:jc w:val="right"/>
              <w:rPr>
                <w:sz w:val="18"/>
                <w:szCs w:val="18"/>
              </w:rPr>
            </w:pPr>
            <w:r>
              <w:rPr>
                <w:color w:val="000000"/>
                <w:sz w:val="18"/>
                <w:szCs w:val="18"/>
              </w:rPr>
              <w:t>1.064</w:t>
            </w:r>
          </w:p>
        </w:tc>
      </w:tr>
      <w:tr w:rsidR="00CC0A78" w14:paraId="11AB926D" w14:textId="77777777" w:rsidTr="00B719E1">
        <w:trPr>
          <w:trHeight w:val="240"/>
        </w:trPr>
        <w:tc>
          <w:tcPr>
            <w:tcW w:w="4111" w:type="dxa"/>
            <w:tcBorders>
              <w:top w:val="nil"/>
              <w:left w:val="nil"/>
              <w:bottom w:val="nil"/>
              <w:right w:val="nil"/>
            </w:tcBorders>
            <w:noWrap/>
            <w:vAlign w:val="bottom"/>
            <w:hideMark/>
          </w:tcPr>
          <w:p w14:paraId="7E002656"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Belize</w:t>
            </w:r>
          </w:p>
        </w:tc>
        <w:tc>
          <w:tcPr>
            <w:tcW w:w="1701" w:type="dxa"/>
            <w:tcBorders>
              <w:top w:val="nil"/>
              <w:left w:val="nil"/>
              <w:bottom w:val="nil"/>
              <w:right w:val="nil"/>
            </w:tcBorders>
            <w:noWrap/>
            <w:vAlign w:val="bottom"/>
            <w:hideMark/>
          </w:tcPr>
          <w:p w14:paraId="66CBB4AA" w14:textId="77777777" w:rsidR="00CC0A78" w:rsidRDefault="00CC0A78">
            <w:pPr>
              <w:suppressAutoHyphens w:val="0"/>
              <w:spacing w:line="240" w:lineRule="auto"/>
              <w:jc w:val="right"/>
              <w:rPr>
                <w:sz w:val="18"/>
                <w:szCs w:val="18"/>
              </w:rPr>
            </w:pPr>
            <w:r>
              <w:rPr>
                <w:sz w:val="18"/>
                <w:szCs w:val="18"/>
              </w:rPr>
              <w:t>0.001</w:t>
            </w:r>
          </w:p>
        </w:tc>
        <w:tc>
          <w:tcPr>
            <w:tcW w:w="1559" w:type="dxa"/>
            <w:tcBorders>
              <w:top w:val="nil"/>
              <w:left w:val="nil"/>
              <w:bottom w:val="nil"/>
              <w:right w:val="nil"/>
            </w:tcBorders>
            <w:noWrap/>
            <w:vAlign w:val="bottom"/>
            <w:hideMark/>
          </w:tcPr>
          <w:p w14:paraId="2FDECEAD" w14:textId="77777777" w:rsidR="00CC0A78" w:rsidRDefault="00CC0A78">
            <w:pPr>
              <w:suppressAutoHyphens w:val="0"/>
              <w:spacing w:line="240" w:lineRule="auto"/>
              <w:jc w:val="right"/>
              <w:rPr>
                <w:sz w:val="18"/>
                <w:szCs w:val="18"/>
              </w:rPr>
            </w:pPr>
            <w:r>
              <w:rPr>
                <w:color w:val="000000"/>
                <w:sz w:val="18"/>
                <w:szCs w:val="18"/>
              </w:rPr>
              <w:t>0.001</w:t>
            </w:r>
          </w:p>
        </w:tc>
      </w:tr>
      <w:tr w:rsidR="00CC0A78" w14:paraId="7B66C8D4" w14:textId="77777777" w:rsidTr="00B719E1">
        <w:trPr>
          <w:trHeight w:val="240"/>
        </w:trPr>
        <w:tc>
          <w:tcPr>
            <w:tcW w:w="4111" w:type="dxa"/>
            <w:tcBorders>
              <w:top w:val="nil"/>
              <w:left w:val="nil"/>
              <w:bottom w:val="nil"/>
              <w:right w:val="nil"/>
            </w:tcBorders>
            <w:noWrap/>
            <w:vAlign w:val="bottom"/>
            <w:hideMark/>
          </w:tcPr>
          <w:p w14:paraId="7E1D0F53"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Benin</w:t>
            </w:r>
          </w:p>
        </w:tc>
        <w:tc>
          <w:tcPr>
            <w:tcW w:w="1701" w:type="dxa"/>
            <w:tcBorders>
              <w:top w:val="nil"/>
              <w:left w:val="nil"/>
              <w:bottom w:val="nil"/>
              <w:right w:val="nil"/>
            </w:tcBorders>
            <w:noWrap/>
            <w:vAlign w:val="bottom"/>
            <w:hideMark/>
          </w:tcPr>
          <w:p w14:paraId="3BE1D80B" w14:textId="77777777" w:rsidR="00CC0A78" w:rsidRDefault="00CC0A78">
            <w:pPr>
              <w:suppressAutoHyphens w:val="0"/>
              <w:spacing w:line="240" w:lineRule="auto"/>
              <w:jc w:val="right"/>
              <w:rPr>
                <w:sz w:val="18"/>
                <w:szCs w:val="18"/>
              </w:rPr>
            </w:pPr>
            <w:r>
              <w:rPr>
                <w:sz w:val="18"/>
                <w:szCs w:val="18"/>
              </w:rPr>
              <w:t>0.003</w:t>
            </w:r>
          </w:p>
        </w:tc>
        <w:tc>
          <w:tcPr>
            <w:tcW w:w="1559" w:type="dxa"/>
            <w:tcBorders>
              <w:top w:val="nil"/>
              <w:left w:val="nil"/>
              <w:bottom w:val="nil"/>
              <w:right w:val="nil"/>
            </w:tcBorders>
            <w:noWrap/>
            <w:vAlign w:val="bottom"/>
            <w:hideMark/>
          </w:tcPr>
          <w:p w14:paraId="6229DF42" w14:textId="77777777" w:rsidR="00CC0A78" w:rsidRDefault="00CC0A78">
            <w:pPr>
              <w:suppressAutoHyphens w:val="0"/>
              <w:spacing w:line="240" w:lineRule="auto"/>
              <w:jc w:val="right"/>
              <w:rPr>
                <w:sz w:val="18"/>
                <w:szCs w:val="18"/>
              </w:rPr>
            </w:pPr>
            <w:r>
              <w:rPr>
                <w:color w:val="000000"/>
                <w:sz w:val="18"/>
                <w:szCs w:val="18"/>
              </w:rPr>
              <w:t>0.004</w:t>
            </w:r>
          </w:p>
        </w:tc>
      </w:tr>
      <w:tr w:rsidR="00CC0A78" w14:paraId="04EC3EB4" w14:textId="77777777" w:rsidTr="00B719E1">
        <w:trPr>
          <w:trHeight w:val="240"/>
        </w:trPr>
        <w:tc>
          <w:tcPr>
            <w:tcW w:w="4111" w:type="dxa"/>
            <w:tcBorders>
              <w:top w:val="nil"/>
              <w:left w:val="nil"/>
              <w:bottom w:val="nil"/>
              <w:right w:val="nil"/>
            </w:tcBorders>
            <w:noWrap/>
            <w:vAlign w:val="bottom"/>
            <w:hideMark/>
          </w:tcPr>
          <w:p w14:paraId="313375C3"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Bhutan</w:t>
            </w:r>
          </w:p>
        </w:tc>
        <w:tc>
          <w:tcPr>
            <w:tcW w:w="1701" w:type="dxa"/>
            <w:tcBorders>
              <w:top w:val="nil"/>
              <w:left w:val="nil"/>
              <w:bottom w:val="nil"/>
              <w:right w:val="nil"/>
            </w:tcBorders>
            <w:noWrap/>
            <w:vAlign w:val="bottom"/>
            <w:hideMark/>
          </w:tcPr>
          <w:p w14:paraId="1E39805A" w14:textId="77777777" w:rsidR="00CC0A78" w:rsidRDefault="00CC0A78">
            <w:pPr>
              <w:suppressAutoHyphens w:val="0"/>
              <w:spacing w:line="240" w:lineRule="auto"/>
              <w:jc w:val="right"/>
              <w:rPr>
                <w:sz w:val="18"/>
                <w:szCs w:val="18"/>
              </w:rPr>
            </w:pPr>
            <w:r>
              <w:rPr>
                <w:sz w:val="18"/>
                <w:szCs w:val="18"/>
              </w:rPr>
              <w:t>0.001</w:t>
            </w:r>
          </w:p>
        </w:tc>
        <w:tc>
          <w:tcPr>
            <w:tcW w:w="1559" w:type="dxa"/>
            <w:tcBorders>
              <w:top w:val="nil"/>
              <w:left w:val="nil"/>
              <w:bottom w:val="nil"/>
              <w:right w:val="nil"/>
            </w:tcBorders>
            <w:noWrap/>
            <w:vAlign w:val="bottom"/>
            <w:hideMark/>
          </w:tcPr>
          <w:p w14:paraId="1EFDAD40" w14:textId="77777777" w:rsidR="00CC0A78" w:rsidRDefault="00CC0A78">
            <w:pPr>
              <w:suppressAutoHyphens w:val="0"/>
              <w:spacing w:line="240" w:lineRule="auto"/>
              <w:jc w:val="right"/>
              <w:rPr>
                <w:sz w:val="18"/>
                <w:szCs w:val="18"/>
              </w:rPr>
            </w:pPr>
            <w:r>
              <w:rPr>
                <w:color w:val="000000"/>
                <w:sz w:val="18"/>
                <w:szCs w:val="18"/>
              </w:rPr>
              <w:t>0.001</w:t>
            </w:r>
          </w:p>
        </w:tc>
      </w:tr>
      <w:tr w:rsidR="00CC0A78" w14:paraId="3DEF0C42" w14:textId="77777777" w:rsidTr="00B719E1">
        <w:trPr>
          <w:trHeight w:val="240"/>
        </w:trPr>
        <w:tc>
          <w:tcPr>
            <w:tcW w:w="4111" w:type="dxa"/>
            <w:tcBorders>
              <w:top w:val="nil"/>
              <w:left w:val="nil"/>
              <w:bottom w:val="nil"/>
              <w:right w:val="nil"/>
            </w:tcBorders>
            <w:noWrap/>
            <w:vAlign w:val="bottom"/>
            <w:hideMark/>
          </w:tcPr>
          <w:p w14:paraId="762E39AF"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Bolivia (Plurinational State of)</w:t>
            </w:r>
          </w:p>
        </w:tc>
        <w:tc>
          <w:tcPr>
            <w:tcW w:w="1701" w:type="dxa"/>
            <w:tcBorders>
              <w:top w:val="nil"/>
              <w:left w:val="nil"/>
              <w:bottom w:val="nil"/>
              <w:right w:val="nil"/>
            </w:tcBorders>
            <w:noWrap/>
            <w:vAlign w:val="bottom"/>
            <w:hideMark/>
          </w:tcPr>
          <w:p w14:paraId="6667D48D" w14:textId="77777777" w:rsidR="00CC0A78" w:rsidRDefault="00CC0A78">
            <w:pPr>
              <w:suppressAutoHyphens w:val="0"/>
              <w:spacing w:line="240" w:lineRule="auto"/>
              <w:jc w:val="right"/>
              <w:rPr>
                <w:sz w:val="18"/>
                <w:szCs w:val="18"/>
              </w:rPr>
            </w:pPr>
            <w:r>
              <w:rPr>
                <w:sz w:val="18"/>
                <w:szCs w:val="18"/>
              </w:rPr>
              <w:t>0.016</w:t>
            </w:r>
          </w:p>
        </w:tc>
        <w:tc>
          <w:tcPr>
            <w:tcW w:w="1559" w:type="dxa"/>
            <w:tcBorders>
              <w:top w:val="nil"/>
              <w:left w:val="nil"/>
              <w:bottom w:val="nil"/>
              <w:right w:val="nil"/>
            </w:tcBorders>
            <w:noWrap/>
            <w:vAlign w:val="bottom"/>
            <w:hideMark/>
          </w:tcPr>
          <w:p w14:paraId="3852074E" w14:textId="77777777" w:rsidR="00CC0A78" w:rsidRDefault="00CC0A78">
            <w:pPr>
              <w:suppressAutoHyphens w:val="0"/>
              <w:spacing w:line="240" w:lineRule="auto"/>
              <w:jc w:val="right"/>
              <w:rPr>
                <w:sz w:val="18"/>
                <w:szCs w:val="18"/>
              </w:rPr>
            </w:pPr>
            <w:r>
              <w:rPr>
                <w:color w:val="000000"/>
                <w:sz w:val="18"/>
                <w:szCs w:val="18"/>
              </w:rPr>
              <w:t>0.021</w:t>
            </w:r>
          </w:p>
        </w:tc>
      </w:tr>
      <w:tr w:rsidR="00CC0A78" w14:paraId="41659687" w14:textId="77777777" w:rsidTr="00B719E1">
        <w:trPr>
          <w:trHeight w:val="240"/>
        </w:trPr>
        <w:tc>
          <w:tcPr>
            <w:tcW w:w="4111" w:type="dxa"/>
            <w:tcBorders>
              <w:top w:val="nil"/>
              <w:left w:val="nil"/>
              <w:bottom w:val="nil"/>
              <w:right w:val="nil"/>
            </w:tcBorders>
            <w:noWrap/>
            <w:vAlign w:val="bottom"/>
            <w:hideMark/>
          </w:tcPr>
          <w:p w14:paraId="16B6206A"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Bosnia and Herzegovina</w:t>
            </w:r>
          </w:p>
        </w:tc>
        <w:tc>
          <w:tcPr>
            <w:tcW w:w="1701" w:type="dxa"/>
            <w:tcBorders>
              <w:top w:val="nil"/>
              <w:left w:val="nil"/>
              <w:bottom w:val="nil"/>
              <w:right w:val="nil"/>
            </w:tcBorders>
            <w:noWrap/>
            <w:vAlign w:val="bottom"/>
            <w:hideMark/>
          </w:tcPr>
          <w:p w14:paraId="64062D37" w14:textId="77777777" w:rsidR="00CC0A78" w:rsidRDefault="00CC0A78">
            <w:pPr>
              <w:suppressAutoHyphens w:val="0"/>
              <w:spacing w:line="240" w:lineRule="auto"/>
              <w:jc w:val="right"/>
              <w:rPr>
                <w:sz w:val="18"/>
                <w:szCs w:val="18"/>
              </w:rPr>
            </w:pPr>
            <w:r>
              <w:rPr>
                <w:sz w:val="18"/>
                <w:szCs w:val="18"/>
              </w:rPr>
              <w:t>0.012</w:t>
            </w:r>
          </w:p>
        </w:tc>
        <w:tc>
          <w:tcPr>
            <w:tcW w:w="1559" w:type="dxa"/>
            <w:tcBorders>
              <w:top w:val="nil"/>
              <w:left w:val="nil"/>
              <w:bottom w:val="nil"/>
              <w:right w:val="nil"/>
            </w:tcBorders>
            <w:noWrap/>
            <w:vAlign w:val="bottom"/>
            <w:hideMark/>
          </w:tcPr>
          <w:p w14:paraId="5C018559" w14:textId="77777777" w:rsidR="00CC0A78" w:rsidRDefault="00CC0A78">
            <w:pPr>
              <w:suppressAutoHyphens w:val="0"/>
              <w:spacing w:line="240" w:lineRule="auto"/>
              <w:jc w:val="right"/>
              <w:rPr>
                <w:sz w:val="18"/>
                <w:szCs w:val="18"/>
              </w:rPr>
            </w:pPr>
            <w:r>
              <w:rPr>
                <w:color w:val="000000"/>
                <w:sz w:val="18"/>
                <w:szCs w:val="18"/>
              </w:rPr>
              <w:t>0.016</w:t>
            </w:r>
          </w:p>
        </w:tc>
      </w:tr>
      <w:tr w:rsidR="00CC0A78" w14:paraId="17C0FB87" w14:textId="77777777" w:rsidTr="00B719E1">
        <w:trPr>
          <w:trHeight w:val="240"/>
        </w:trPr>
        <w:tc>
          <w:tcPr>
            <w:tcW w:w="4111" w:type="dxa"/>
            <w:tcBorders>
              <w:top w:val="nil"/>
              <w:left w:val="nil"/>
              <w:bottom w:val="nil"/>
              <w:right w:val="nil"/>
            </w:tcBorders>
            <w:noWrap/>
            <w:vAlign w:val="bottom"/>
            <w:hideMark/>
          </w:tcPr>
          <w:p w14:paraId="714C81CC"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Botswana</w:t>
            </w:r>
          </w:p>
        </w:tc>
        <w:tc>
          <w:tcPr>
            <w:tcW w:w="1701" w:type="dxa"/>
            <w:tcBorders>
              <w:top w:val="nil"/>
              <w:left w:val="nil"/>
              <w:bottom w:val="nil"/>
              <w:right w:val="nil"/>
            </w:tcBorders>
            <w:noWrap/>
            <w:vAlign w:val="bottom"/>
            <w:hideMark/>
          </w:tcPr>
          <w:p w14:paraId="1F1C5743" w14:textId="77777777" w:rsidR="00CC0A78" w:rsidRDefault="00CC0A78">
            <w:pPr>
              <w:suppressAutoHyphens w:val="0"/>
              <w:spacing w:line="240" w:lineRule="auto"/>
              <w:jc w:val="right"/>
              <w:rPr>
                <w:sz w:val="18"/>
                <w:szCs w:val="18"/>
              </w:rPr>
            </w:pPr>
            <w:r>
              <w:rPr>
                <w:sz w:val="18"/>
                <w:szCs w:val="18"/>
              </w:rPr>
              <w:t>0.014</w:t>
            </w:r>
          </w:p>
        </w:tc>
        <w:tc>
          <w:tcPr>
            <w:tcW w:w="1559" w:type="dxa"/>
            <w:tcBorders>
              <w:top w:val="nil"/>
              <w:left w:val="nil"/>
              <w:bottom w:val="nil"/>
              <w:right w:val="nil"/>
            </w:tcBorders>
            <w:noWrap/>
            <w:vAlign w:val="bottom"/>
            <w:hideMark/>
          </w:tcPr>
          <w:p w14:paraId="1D4C6B66" w14:textId="77777777" w:rsidR="00CC0A78" w:rsidRDefault="00CC0A78">
            <w:pPr>
              <w:suppressAutoHyphens w:val="0"/>
              <w:spacing w:line="240" w:lineRule="auto"/>
              <w:jc w:val="right"/>
              <w:rPr>
                <w:sz w:val="18"/>
                <w:szCs w:val="18"/>
              </w:rPr>
            </w:pPr>
            <w:r>
              <w:rPr>
                <w:color w:val="000000"/>
                <w:sz w:val="18"/>
                <w:szCs w:val="18"/>
              </w:rPr>
              <w:t>0.018</w:t>
            </w:r>
          </w:p>
        </w:tc>
      </w:tr>
      <w:tr w:rsidR="00CC0A78" w14:paraId="20627B4B" w14:textId="77777777" w:rsidTr="00B719E1">
        <w:trPr>
          <w:trHeight w:val="240"/>
        </w:trPr>
        <w:tc>
          <w:tcPr>
            <w:tcW w:w="4111" w:type="dxa"/>
            <w:tcBorders>
              <w:top w:val="nil"/>
              <w:left w:val="nil"/>
              <w:bottom w:val="nil"/>
              <w:right w:val="nil"/>
            </w:tcBorders>
            <w:noWrap/>
            <w:vAlign w:val="bottom"/>
            <w:hideMark/>
          </w:tcPr>
          <w:p w14:paraId="617E2ADB"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Brazil</w:t>
            </w:r>
          </w:p>
        </w:tc>
        <w:tc>
          <w:tcPr>
            <w:tcW w:w="1701" w:type="dxa"/>
            <w:tcBorders>
              <w:top w:val="nil"/>
              <w:left w:val="nil"/>
              <w:bottom w:val="nil"/>
              <w:right w:val="nil"/>
            </w:tcBorders>
            <w:noWrap/>
            <w:vAlign w:val="bottom"/>
            <w:hideMark/>
          </w:tcPr>
          <w:p w14:paraId="403EF1F8" w14:textId="77777777" w:rsidR="00CC0A78" w:rsidRDefault="00CC0A78">
            <w:pPr>
              <w:suppressAutoHyphens w:val="0"/>
              <w:spacing w:line="240" w:lineRule="auto"/>
              <w:jc w:val="right"/>
              <w:rPr>
                <w:sz w:val="18"/>
                <w:szCs w:val="18"/>
              </w:rPr>
            </w:pPr>
            <w:r>
              <w:rPr>
                <w:sz w:val="18"/>
                <w:szCs w:val="18"/>
              </w:rPr>
              <w:t>2.948</w:t>
            </w:r>
          </w:p>
        </w:tc>
        <w:tc>
          <w:tcPr>
            <w:tcW w:w="1559" w:type="dxa"/>
            <w:tcBorders>
              <w:top w:val="nil"/>
              <w:left w:val="nil"/>
              <w:bottom w:val="nil"/>
              <w:right w:val="nil"/>
            </w:tcBorders>
            <w:noWrap/>
            <w:vAlign w:val="bottom"/>
            <w:hideMark/>
          </w:tcPr>
          <w:p w14:paraId="49D58BD6" w14:textId="77777777" w:rsidR="00CC0A78" w:rsidRDefault="00CC0A78">
            <w:pPr>
              <w:suppressAutoHyphens w:val="0"/>
              <w:spacing w:line="240" w:lineRule="auto"/>
              <w:jc w:val="right"/>
              <w:rPr>
                <w:sz w:val="18"/>
                <w:szCs w:val="18"/>
              </w:rPr>
            </w:pPr>
            <w:r>
              <w:rPr>
                <w:color w:val="000000"/>
                <w:sz w:val="18"/>
                <w:szCs w:val="18"/>
              </w:rPr>
              <w:t>3.820</w:t>
            </w:r>
          </w:p>
        </w:tc>
      </w:tr>
      <w:tr w:rsidR="00CC0A78" w14:paraId="04CAE0A2" w14:textId="77777777" w:rsidTr="00B719E1">
        <w:trPr>
          <w:trHeight w:val="240"/>
        </w:trPr>
        <w:tc>
          <w:tcPr>
            <w:tcW w:w="4111" w:type="dxa"/>
            <w:tcBorders>
              <w:top w:val="nil"/>
              <w:left w:val="nil"/>
              <w:bottom w:val="nil"/>
              <w:right w:val="nil"/>
            </w:tcBorders>
            <w:noWrap/>
            <w:vAlign w:val="bottom"/>
            <w:hideMark/>
          </w:tcPr>
          <w:p w14:paraId="7D20AAF5"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Brunei Darussalam</w:t>
            </w:r>
          </w:p>
        </w:tc>
        <w:tc>
          <w:tcPr>
            <w:tcW w:w="1701" w:type="dxa"/>
            <w:tcBorders>
              <w:top w:val="nil"/>
              <w:left w:val="nil"/>
              <w:bottom w:val="nil"/>
              <w:right w:val="nil"/>
            </w:tcBorders>
            <w:noWrap/>
            <w:vAlign w:val="bottom"/>
            <w:hideMark/>
          </w:tcPr>
          <w:p w14:paraId="694B7A7A" w14:textId="77777777" w:rsidR="00CC0A78" w:rsidRDefault="00CC0A78">
            <w:pPr>
              <w:suppressAutoHyphens w:val="0"/>
              <w:spacing w:line="240" w:lineRule="auto"/>
              <w:jc w:val="right"/>
              <w:rPr>
                <w:sz w:val="18"/>
                <w:szCs w:val="18"/>
              </w:rPr>
            </w:pPr>
            <w:r>
              <w:rPr>
                <w:sz w:val="18"/>
                <w:szCs w:val="18"/>
              </w:rPr>
              <w:t>0.025</w:t>
            </w:r>
          </w:p>
        </w:tc>
        <w:tc>
          <w:tcPr>
            <w:tcW w:w="1559" w:type="dxa"/>
            <w:tcBorders>
              <w:top w:val="nil"/>
              <w:left w:val="nil"/>
              <w:bottom w:val="nil"/>
              <w:right w:val="nil"/>
            </w:tcBorders>
            <w:noWrap/>
            <w:vAlign w:val="bottom"/>
            <w:hideMark/>
          </w:tcPr>
          <w:p w14:paraId="0FA695BB" w14:textId="77777777" w:rsidR="00CC0A78" w:rsidRDefault="00CC0A78">
            <w:pPr>
              <w:suppressAutoHyphens w:val="0"/>
              <w:spacing w:line="240" w:lineRule="auto"/>
              <w:jc w:val="right"/>
              <w:rPr>
                <w:sz w:val="18"/>
                <w:szCs w:val="18"/>
              </w:rPr>
            </w:pPr>
            <w:r>
              <w:rPr>
                <w:color w:val="000000"/>
                <w:sz w:val="18"/>
                <w:szCs w:val="18"/>
              </w:rPr>
              <w:t>0.032</w:t>
            </w:r>
          </w:p>
        </w:tc>
      </w:tr>
      <w:tr w:rsidR="00CC0A78" w14:paraId="2796B10D" w14:textId="77777777" w:rsidTr="00B719E1">
        <w:trPr>
          <w:trHeight w:val="240"/>
        </w:trPr>
        <w:tc>
          <w:tcPr>
            <w:tcW w:w="4111" w:type="dxa"/>
            <w:tcBorders>
              <w:top w:val="nil"/>
              <w:left w:val="nil"/>
              <w:bottom w:val="nil"/>
              <w:right w:val="nil"/>
            </w:tcBorders>
            <w:noWrap/>
            <w:vAlign w:val="bottom"/>
            <w:hideMark/>
          </w:tcPr>
          <w:p w14:paraId="76185514"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Bulgaria</w:t>
            </w:r>
          </w:p>
        </w:tc>
        <w:tc>
          <w:tcPr>
            <w:tcW w:w="1701" w:type="dxa"/>
            <w:tcBorders>
              <w:top w:val="nil"/>
              <w:left w:val="nil"/>
              <w:bottom w:val="nil"/>
              <w:right w:val="nil"/>
            </w:tcBorders>
            <w:noWrap/>
            <w:vAlign w:val="bottom"/>
            <w:hideMark/>
          </w:tcPr>
          <w:p w14:paraId="1E84E33E" w14:textId="77777777" w:rsidR="00CC0A78" w:rsidRDefault="00CC0A78">
            <w:pPr>
              <w:suppressAutoHyphens w:val="0"/>
              <w:spacing w:line="240" w:lineRule="auto"/>
              <w:jc w:val="right"/>
              <w:rPr>
                <w:sz w:val="18"/>
                <w:szCs w:val="18"/>
              </w:rPr>
            </w:pPr>
            <w:r>
              <w:rPr>
                <w:sz w:val="18"/>
                <w:szCs w:val="18"/>
              </w:rPr>
              <w:t>0.046</w:t>
            </w:r>
          </w:p>
        </w:tc>
        <w:tc>
          <w:tcPr>
            <w:tcW w:w="1559" w:type="dxa"/>
            <w:tcBorders>
              <w:top w:val="nil"/>
              <w:left w:val="nil"/>
              <w:bottom w:val="nil"/>
              <w:right w:val="nil"/>
            </w:tcBorders>
            <w:noWrap/>
            <w:vAlign w:val="bottom"/>
            <w:hideMark/>
          </w:tcPr>
          <w:p w14:paraId="6B0E887A" w14:textId="77777777" w:rsidR="00CC0A78" w:rsidRDefault="00CC0A78">
            <w:pPr>
              <w:suppressAutoHyphens w:val="0"/>
              <w:spacing w:line="240" w:lineRule="auto"/>
              <w:jc w:val="right"/>
              <w:rPr>
                <w:sz w:val="18"/>
                <w:szCs w:val="18"/>
              </w:rPr>
            </w:pPr>
            <w:r>
              <w:rPr>
                <w:color w:val="000000"/>
                <w:sz w:val="18"/>
                <w:szCs w:val="18"/>
              </w:rPr>
              <w:t>0.060</w:t>
            </w:r>
          </w:p>
        </w:tc>
      </w:tr>
      <w:tr w:rsidR="00CC0A78" w14:paraId="2C1EDA16" w14:textId="77777777" w:rsidTr="00B719E1">
        <w:trPr>
          <w:trHeight w:val="240"/>
        </w:trPr>
        <w:tc>
          <w:tcPr>
            <w:tcW w:w="4111" w:type="dxa"/>
            <w:tcBorders>
              <w:top w:val="nil"/>
              <w:left w:val="nil"/>
              <w:bottom w:val="nil"/>
              <w:right w:val="nil"/>
            </w:tcBorders>
            <w:noWrap/>
            <w:vAlign w:val="bottom"/>
            <w:hideMark/>
          </w:tcPr>
          <w:p w14:paraId="5B12F598"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Burkina Faso</w:t>
            </w:r>
          </w:p>
        </w:tc>
        <w:tc>
          <w:tcPr>
            <w:tcW w:w="1701" w:type="dxa"/>
            <w:tcBorders>
              <w:top w:val="nil"/>
              <w:left w:val="nil"/>
              <w:bottom w:val="nil"/>
              <w:right w:val="nil"/>
            </w:tcBorders>
            <w:noWrap/>
            <w:vAlign w:val="bottom"/>
            <w:hideMark/>
          </w:tcPr>
          <w:p w14:paraId="0164B911" w14:textId="77777777" w:rsidR="00CC0A78" w:rsidRDefault="00CC0A78">
            <w:pPr>
              <w:suppressAutoHyphens w:val="0"/>
              <w:spacing w:line="240" w:lineRule="auto"/>
              <w:jc w:val="right"/>
              <w:rPr>
                <w:sz w:val="18"/>
                <w:szCs w:val="18"/>
              </w:rPr>
            </w:pPr>
            <w:r>
              <w:rPr>
                <w:sz w:val="18"/>
                <w:szCs w:val="18"/>
              </w:rPr>
              <w:t>0.003</w:t>
            </w:r>
          </w:p>
        </w:tc>
        <w:tc>
          <w:tcPr>
            <w:tcW w:w="1559" w:type="dxa"/>
            <w:tcBorders>
              <w:top w:val="nil"/>
              <w:left w:val="nil"/>
              <w:bottom w:val="nil"/>
              <w:right w:val="nil"/>
            </w:tcBorders>
            <w:noWrap/>
            <w:vAlign w:val="bottom"/>
            <w:hideMark/>
          </w:tcPr>
          <w:p w14:paraId="101C636C" w14:textId="77777777" w:rsidR="00CC0A78" w:rsidRDefault="00CC0A78">
            <w:pPr>
              <w:suppressAutoHyphens w:val="0"/>
              <w:spacing w:line="240" w:lineRule="auto"/>
              <w:jc w:val="right"/>
              <w:rPr>
                <w:sz w:val="18"/>
                <w:szCs w:val="18"/>
              </w:rPr>
            </w:pPr>
            <w:r>
              <w:rPr>
                <w:color w:val="000000"/>
                <w:sz w:val="18"/>
                <w:szCs w:val="18"/>
              </w:rPr>
              <w:t>0.004</w:t>
            </w:r>
          </w:p>
        </w:tc>
      </w:tr>
      <w:tr w:rsidR="00CC0A78" w14:paraId="0C412252" w14:textId="77777777" w:rsidTr="00B719E1">
        <w:trPr>
          <w:trHeight w:val="240"/>
        </w:trPr>
        <w:tc>
          <w:tcPr>
            <w:tcW w:w="4111" w:type="dxa"/>
            <w:tcBorders>
              <w:top w:val="nil"/>
              <w:left w:val="nil"/>
              <w:bottom w:val="nil"/>
              <w:right w:val="nil"/>
            </w:tcBorders>
            <w:noWrap/>
            <w:vAlign w:val="bottom"/>
            <w:hideMark/>
          </w:tcPr>
          <w:p w14:paraId="36A157A5"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Burundi</w:t>
            </w:r>
          </w:p>
        </w:tc>
        <w:tc>
          <w:tcPr>
            <w:tcW w:w="1701" w:type="dxa"/>
            <w:tcBorders>
              <w:top w:val="nil"/>
              <w:left w:val="nil"/>
              <w:bottom w:val="nil"/>
              <w:right w:val="nil"/>
            </w:tcBorders>
            <w:noWrap/>
            <w:vAlign w:val="bottom"/>
            <w:hideMark/>
          </w:tcPr>
          <w:p w14:paraId="66AC285F" w14:textId="77777777" w:rsidR="00CC0A78" w:rsidRDefault="00CC0A78">
            <w:pPr>
              <w:suppressAutoHyphens w:val="0"/>
              <w:spacing w:line="240" w:lineRule="auto"/>
              <w:jc w:val="right"/>
              <w:rPr>
                <w:sz w:val="18"/>
                <w:szCs w:val="18"/>
              </w:rPr>
            </w:pPr>
            <w:r>
              <w:rPr>
                <w:sz w:val="18"/>
                <w:szCs w:val="18"/>
              </w:rPr>
              <w:t>0.001</w:t>
            </w:r>
          </w:p>
        </w:tc>
        <w:tc>
          <w:tcPr>
            <w:tcW w:w="1559" w:type="dxa"/>
            <w:tcBorders>
              <w:top w:val="nil"/>
              <w:left w:val="nil"/>
              <w:bottom w:val="nil"/>
              <w:right w:val="nil"/>
            </w:tcBorders>
            <w:noWrap/>
            <w:vAlign w:val="bottom"/>
            <w:hideMark/>
          </w:tcPr>
          <w:p w14:paraId="7595BB58" w14:textId="77777777" w:rsidR="00CC0A78" w:rsidRDefault="00CC0A78">
            <w:pPr>
              <w:suppressAutoHyphens w:val="0"/>
              <w:spacing w:line="240" w:lineRule="auto"/>
              <w:jc w:val="right"/>
              <w:rPr>
                <w:sz w:val="18"/>
                <w:szCs w:val="18"/>
              </w:rPr>
            </w:pPr>
            <w:r>
              <w:rPr>
                <w:color w:val="000000"/>
                <w:sz w:val="18"/>
                <w:szCs w:val="18"/>
              </w:rPr>
              <w:t>0.001</w:t>
            </w:r>
          </w:p>
        </w:tc>
      </w:tr>
      <w:tr w:rsidR="00CC0A78" w14:paraId="0A391B53" w14:textId="77777777" w:rsidTr="00B719E1">
        <w:trPr>
          <w:trHeight w:val="240"/>
        </w:trPr>
        <w:tc>
          <w:tcPr>
            <w:tcW w:w="4111" w:type="dxa"/>
            <w:tcBorders>
              <w:top w:val="nil"/>
              <w:left w:val="nil"/>
              <w:bottom w:val="nil"/>
              <w:right w:val="nil"/>
            </w:tcBorders>
            <w:noWrap/>
            <w:vAlign w:val="bottom"/>
            <w:hideMark/>
          </w:tcPr>
          <w:p w14:paraId="39CE674D"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Cabo Verde</w:t>
            </w:r>
          </w:p>
        </w:tc>
        <w:tc>
          <w:tcPr>
            <w:tcW w:w="1701" w:type="dxa"/>
            <w:tcBorders>
              <w:top w:val="nil"/>
              <w:left w:val="nil"/>
              <w:bottom w:val="nil"/>
              <w:right w:val="nil"/>
            </w:tcBorders>
            <w:noWrap/>
            <w:vAlign w:val="bottom"/>
            <w:hideMark/>
          </w:tcPr>
          <w:p w14:paraId="3E5DC1B3" w14:textId="77777777" w:rsidR="00CC0A78" w:rsidRDefault="00CC0A78">
            <w:pPr>
              <w:suppressAutoHyphens w:val="0"/>
              <w:spacing w:line="240" w:lineRule="auto"/>
              <w:jc w:val="right"/>
              <w:rPr>
                <w:sz w:val="18"/>
                <w:szCs w:val="18"/>
              </w:rPr>
            </w:pPr>
            <w:r>
              <w:rPr>
                <w:sz w:val="18"/>
                <w:szCs w:val="18"/>
              </w:rPr>
              <w:t>0.001</w:t>
            </w:r>
          </w:p>
        </w:tc>
        <w:tc>
          <w:tcPr>
            <w:tcW w:w="1559" w:type="dxa"/>
            <w:tcBorders>
              <w:top w:val="nil"/>
              <w:left w:val="nil"/>
              <w:bottom w:val="nil"/>
              <w:right w:val="nil"/>
            </w:tcBorders>
            <w:noWrap/>
            <w:vAlign w:val="bottom"/>
            <w:hideMark/>
          </w:tcPr>
          <w:p w14:paraId="2DDCC9DE" w14:textId="77777777" w:rsidR="00CC0A78" w:rsidRDefault="00CC0A78">
            <w:pPr>
              <w:suppressAutoHyphens w:val="0"/>
              <w:spacing w:line="240" w:lineRule="auto"/>
              <w:jc w:val="right"/>
              <w:rPr>
                <w:sz w:val="18"/>
                <w:szCs w:val="18"/>
              </w:rPr>
            </w:pPr>
            <w:r>
              <w:rPr>
                <w:color w:val="000000"/>
                <w:sz w:val="18"/>
                <w:szCs w:val="18"/>
              </w:rPr>
              <w:t>0.001</w:t>
            </w:r>
          </w:p>
        </w:tc>
      </w:tr>
      <w:tr w:rsidR="00CC0A78" w14:paraId="09E5DF89" w14:textId="77777777" w:rsidTr="00B719E1">
        <w:trPr>
          <w:trHeight w:val="240"/>
        </w:trPr>
        <w:tc>
          <w:tcPr>
            <w:tcW w:w="4111" w:type="dxa"/>
            <w:tcBorders>
              <w:top w:val="nil"/>
              <w:left w:val="nil"/>
              <w:bottom w:val="nil"/>
              <w:right w:val="nil"/>
            </w:tcBorders>
            <w:noWrap/>
            <w:vAlign w:val="bottom"/>
            <w:hideMark/>
          </w:tcPr>
          <w:p w14:paraId="4BD9F22E"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Cambodia</w:t>
            </w:r>
          </w:p>
        </w:tc>
        <w:tc>
          <w:tcPr>
            <w:tcW w:w="1701" w:type="dxa"/>
            <w:tcBorders>
              <w:top w:val="nil"/>
              <w:left w:val="nil"/>
              <w:bottom w:val="nil"/>
              <w:right w:val="nil"/>
            </w:tcBorders>
            <w:noWrap/>
            <w:vAlign w:val="bottom"/>
            <w:hideMark/>
          </w:tcPr>
          <w:p w14:paraId="032C9CF1" w14:textId="77777777" w:rsidR="00CC0A78" w:rsidRDefault="00CC0A78">
            <w:pPr>
              <w:suppressAutoHyphens w:val="0"/>
              <w:spacing w:line="240" w:lineRule="auto"/>
              <w:jc w:val="right"/>
              <w:rPr>
                <w:sz w:val="18"/>
                <w:szCs w:val="18"/>
              </w:rPr>
            </w:pPr>
            <w:r>
              <w:rPr>
                <w:sz w:val="18"/>
                <w:szCs w:val="18"/>
              </w:rPr>
              <w:t>0.006</w:t>
            </w:r>
          </w:p>
        </w:tc>
        <w:tc>
          <w:tcPr>
            <w:tcW w:w="1559" w:type="dxa"/>
            <w:tcBorders>
              <w:top w:val="nil"/>
              <w:left w:val="nil"/>
              <w:bottom w:val="nil"/>
              <w:right w:val="nil"/>
            </w:tcBorders>
            <w:noWrap/>
            <w:vAlign w:val="bottom"/>
            <w:hideMark/>
          </w:tcPr>
          <w:p w14:paraId="618D6EF0" w14:textId="77777777" w:rsidR="00CC0A78" w:rsidRDefault="00CC0A78">
            <w:pPr>
              <w:suppressAutoHyphens w:val="0"/>
              <w:spacing w:line="240" w:lineRule="auto"/>
              <w:jc w:val="right"/>
              <w:rPr>
                <w:sz w:val="18"/>
                <w:szCs w:val="18"/>
              </w:rPr>
            </w:pPr>
            <w:r>
              <w:rPr>
                <w:color w:val="000000"/>
                <w:sz w:val="18"/>
                <w:szCs w:val="18"/>
              </w:rPr>
              <w:t>0.008</w:t>
            </w:r>
          </w:p>
        </w:tc>
      </w:tr>
      <w:tr w:rsidR="00CC0A78" w14:paraId="2056E453" w14:textId="77777777" w:rsidTr="00B719E1">
        <w:trPr>
          <w:trHeight w:val="240"/>
        </w:trPr>
        <w:tc>
          <w:tcPr>
            <w:tcW w:w="4111" w:type="dxa"/>
            <w:tcBorders>
              <w:top w:val="nil"/>
              <w:left w:val="nil"/>
              <w:bottom w:val="nil"/>
              <w:right w:val="nil"/>
            </w:tcBorders>
            <w:noWrap/>
            <w:vAlign w:val="bottom"/>
            <w:hideMark/>
          </w:tcPr>
          <w:p w14:paraId="52BD35ED"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Cameroon</w:t>
            </w:r>
          </w:p>
        </w:tc>
        <w:tc>
          <w:tcPr>
            <w:tcW w:w="1701" w:type="dxa"/>
            <w:tcBorders>
              <w:top w:val="nil"/>
              <w:left w:val="nil"/>
              <w:bottom w:val="nil"/>
              <w:right w:val="nil"/>
            </w:tcBorders>
            <w:noWrap/>
            <w:vAlign w:val="bottom"/>
            <w:hideMark/>
          </w:tcPr>
          <w:p w14:paraId="3FCAB6EA" w14:textId="77777777" w:rsidR="00CC0A78" w:rsidRDefault="00CC0A78">
            <w:pPr>
              <w:suppressAutoHyphens w:val="0"/>
              <w:spacing w:line="240" w:lineRule="auto"/>
              <w:jc w:val="right"/>
              <w:rPr>
                <w:sz w:val="18"/>
                <w:szCs w:val="18"/>
              </w:rPr>
            </w:pPr>
            <w:r>
              <w:rPr>
                <w:sz w:val="18"/>
                <w:szCs w:val="18"/>
              </w:rPr>
              <w:t>0.013</w:t>
            </w:r>
          </w:p>
        </w:tc>
        <w:tc>
          <w:tcPr>
            <w:tcW w:w="1559" w:type="dxa"/>
            <w:tcBorders>
              <w:top w:val="nil"/>
              <w:left w:val="nil"/>
              <w:bottom w:val="nil"/>
              <w:right w:val="nil"/>
            </w:tcBorders>
            <w:noWrap/>
            <w:vAlign w:val="bottom"/>
            <w:hideMark/>
          </w:tcPr>
          <w:p w14:paraId="5ED80579" w14:textId="77777777" w:rsidR="00CC0A78" w:rsidRDefault="00CC0A78">
            <w:pPr>
              <w:suppressAutoHyphens w:val="0"/>
              <w:spacing w:line="240" w:lineRule="auto"/>
              <w:jc w:val="right"/>
              <w:rPr>
                <w:sz w:val="18"/>
                <w:szCs w:val="18"/>
              </w:rPr>
            </w:pPr>
            <w:r>
              <w:rPr>
                <w:color w:val="000000"/>
                <w:sz w:val="18"/>
                <w:szCs w:val="18"/>
              </w:rPr>
              <w:t>0.017</w:t>
            </w:r>
          </w:p>
        </w:tc>
      </w:tr>
      <w:tr w:rsidR="00CC0A78" w14:paraId="345FBF1C" w14:textId="77777777" w:rsidTr="00B719E1">
        <w:trPr>
          <w:trHeight w:val="240"/>
        </w:trPr>
        <w:tc>
          <w:tcPr>
            <w:tcW w:w="4111" w:type="dxa"/>
            <w:tcBorders>
              <w:top w:val="nil"/>
              <w:left w:val="nil"/>
              <w:bottom w:val="nil"/>
              <w:right w:val="nil"/>
            </w:tcBorders>
            <w:noWrap/>
            <w:vAlign w:val="bottom"/>
            <w:hideMark/>
          </w:tcPr>
          <w:p w14:paraId="4082172C"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Central African Republic</w:t>
            </w:r>
          </w:p>
        </w:tc>
        <w:tc>
          <w:tcPr>
            <w:tcW w:w="1701" w:type="dxa"/>
            <w:tcBorders>
              <w:top w:val="nil"/>
              <w:left w:val="nil"/>
              <w:bottom w:val="nil"/>
              <w:right w:val="nil"/>
            </w:tcBorders>
            <w:noWrap/>
            <w:vAlign w:val="bottom"/>
            <w:hideMark/>
          </w:tcPr>
          <w:p w14:paraId="59BFD6B6" w14:textId="77777777" w:rsidR="00CC0A78" w:rsidRDefault="00CC0A78">
            <w:pPr>
              <w:suppressAutoHyphens w:val="0"/>
              <w:spacing w:line="240" w:lineRule="auto"/>
              <w:jc w:val="right"/>
              <w:rPr>
                <w:sz w:val="18"/>
                <w:szCs w:val="18"/>
              </w:rPr>
            </w:pPr>
            <w:r>
              <w:rPr>
                <w:sz w:val="18"/>
                <w:szCs w:val="18"/>
              </w:rPr>
              <w:t>0.001</w:t>
            </w:r>
          </w:p>
        </w:tc>
        <w:tc>
          <w:tcPr>
            <w:tcW w:w="1559" w:type="dxa"/>
            <w:tcBorders>
              <w:top w:val="nil"/>
              <w:left w:val="nil"/>
              <w:bottom w:val="nil"/>
              <w:right w:val="nil"/>
            </w:tcBorders>
            <w:noWrap/>
            <w:vAlign w:val="bottom"/>
            <w:hideMark/>
          </w:tcPr>
          <w:p w14:paraId="2F9CFB41" w14:textId="77777777" w:rsidR="00CC0A78" w:rsidRDefault="00CC0A78">
            <w:pPr>
              <w:suppressAutoHyphens w:val="0"/>
              <w:spacing w:line="240" w:lineRule="auto"/>
              <w:jc w:val="right"/>
              <w:rPr>
                <w:sz w:val="18"/>
                <w:szCs w:val="18"/>
              </w:rPr>
            </w:pPr>
            <w:r>
              <w:rPr>
                <w:color w:val="000000"/>
                <w:sz w:val="18"/>
                <w:szCs w:val="18"/>
              </w:rPr>
              <w:t>0.001</w:t>
            </w:r>
          </w:p>
        </w:tc>
      </w:tr>
      <w:tr w:rsidR="00CC0A78" w14:paraId="4A4B8D3D" w14:textId="77777777" w:rsidTr="00B719E1">
        <w:trPr>
          <w:trHeight w:val="240"/>
        </w:trPr>
        <w:tc>
          <w:tcPr>
            <w:tcW w:w="4111" w:type="dxa"/>
            <w:tcBorders>
              <w:top w:val="nil"/>
              <w:left w:val="nil"/>
              <w:bottom w:val="nil"/>
              <w:right w:val="nil"/>
            </w:tcBorders>
            <w:noWrap/>
            <w:vAlign w:val="bottom"/>
            <w:hideMark/>
          </w:tcPr>
          <w:p w14:paraId="58336E7C"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Chad</w:t>
            </w:r>
          </w:p>
        </w:tc>
        <w:tc>
          <w:tcPr>
            <w:tcW w:w="1701" w:type="dxa"/>
            <w:tcBorders>
              <w:top w:val="nil"/>
              <w:left w:val="nil"/>
              <w:bottom w:val="nil"/>
              <w:right w:val="nil"/>
            </w:tcBorders>
            <w:noWrap/>
            <w:vAlign w:val="bottom"/>
            <w:hideMark/>
          </w:tcPr>
          <w:p w14:paraId="482278AB" w14:textId="77777777" w:rsidR="00CC0A78" w:rsidRDefault="00CC0A78">
            <w:pPr>
              <w:suppressAutoHyphens w:val="0"/>
              <w:spacing w:line="240" w:lineRule="auto"/>
              <w:jc w:val="right"/>
              <w:rPr>
                <w:sz w:val="18"/>
                <w:szCs w:val="18"/>
              </w:rPr>
            </w:pPr>
            <w:r>
              <w:rPr>
                <w:sz w:val="18"/>
                <w:szCs w:val="18"/>
              </w:rPr>
              <w:t>0.004</w:t>
            </w:r>
          </w:p>
        </w:tc>
        <w:tc>
          <w:tcPr>
            <w:tcW w:w="1559" w:type="dxa"/>
            <w:tcBorders>
              <w:top w:val="nil"/>
              <w:left w:val="nil"/>
              <w:bottom w:val="nil"/>
              <w:right w:val="nil"/>
            </w:tcBorders>
            <w:noWrap/>
            <w:vAlign w:val="bottom"/>
            <w:hideMark/>
          </w:tcPr>
          <w:p w14:paraId="6D7C07FE" w14:textId="77777777" w:rsidR="00CC0A78" w:rsidRDefault="00CC0A78">
            <w:pPr>
              <w:suppressAutoHyphens w:val="0"/>
              <w:spacing w:line="240" w:lineRule="auto"/>
              <w:jc w:val="right"/>
              <w:rPr>
                <w:sz w:val="18"/>
                <w:szCs w:val="18"/>
              </w:rPr>
            </w:pPr>
            <w:r>
              <w:rPr>
                <w:color w:val="000000"/>
                <w:sz w:val="18"/>
                <w:szCs w:val="18"/>
              </w:rPr>
              <w:t>0.005</w:t>
            </w:r>
          </w:p>
        </w:tc>
      </w:tr>
      <w:tr w:rsidR="00CC0A78" w14:paraId="67C8CB64" w14:textId="77777777" w:rsidTr="00B719E1">
        <w:trPr>
          <w:trHeight w:val="240"/>
        </w:trPr>
        <w:tc>
          <w:tcPr>
            <w:tcW w:w="4111" w:type="dxa"/>
            <w:tcBorders>
              <w:top w:val="nil"/>
              <w:left w:val="nil"/>
              <w:bottom w:val="nil"/>
              <w:right w:val="nil"/>
            </w:tcBorders>
            <w:noWrap/>
            <w:vAlign w:val="bottom"/>
            <w:hideMark/>
          </w:tcPr>
          <w:p w14:paraId="4F7641A3"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Chile</w:t>
            </w:r>
          </w:p>
        </w:tc>
        <w:tc>
          <w:tcPr>
            <w:tcW w:w="1701" w:type="dxa"/>
            <w:tcBorders>
              <w:top w:val="nil"/>
              <w:left w:val="nil"/>
              <w:bottom w:val="nil"/>
              <w:right w:val="nil"/>
            </w:tcBorders>
            <w:noWrap/>
            <w:vAlign w:val="bottom"/>
            <w:hideMark/>
          </w:tcPr>
          <w:p w14:paraId="06C0FA50" w14:textId="77777777" w:rsidR="00CC0A78" w:rsidRDefault="00CC0A78">
            <w:pPr>
              <w:suppressAutoHyphens w:val="0"/>
              <w:spacing w:line="240" w:lineRule="auto"/>
              <w:jc w:val="right"/>
              <w:rPr>
                <w:sz w:val="18"/>
                <w:szCs w:val="18"/>
              </w:rPr>
            </w:pPr>
            <w:r>
              <w:rPr>
                <w:sz w:val="18"/>
                <w:szCs w:val="18"/>
              </w:rPr>
              <w:t>0.407</w:t>
            </w:r>
          </w:p>
        </w:tc>
        <w:tc>
          <w:tcPr>
            <w:tcW w:w="1559" w:type="dxa"/>
            <w:tcBorders>
              <w:top w:val="nil"/>
              <w:left w:val="nil"/>
              <w:bottom w:val="nil"/>
              <w:right w:val="nil"/>
            </w:tcBorders>
            <w:noWrap/>
            <w:vAlign w:val="bottom"/>
            <w:hideMark/>
          </w:tcPr>
          <w:p w14:paraId="344F7859" w14:textId="77777777" w:rsidR="00CC0A78" w:rsidRDefault="00CC0A78">
            <w:pPr>
              <w:suppressAutoHyphens w:val="0"/>
              <w:spacing w:line="240" w:lineRule="auto"/>
              <w:jc w:val="right"/>
              <w:rPr>
                <w:sz w:val="18"/>
                <w:szCs w:val="18"/>
              </w:rPr>
            </w:pPr>
            <w:r>
              <w:rPr>
                <w:color w:val="000000"/>
                <w:sz w:val="18"/>
                <w:szCs w:val="18"/>
              </w:rPr>
              <w:t>0.527</w:t>
            </w:r>
          </w:p>
        </w:tc>
      </w:tr>
      <w:tr w:rsidR="00CC0A78" w14:paraId="7C4D9B7C" w14:textId="77777777" w:rsidTr="00B719E1">
        <w:trPr>
          <w:trHeight w:val="240"/>
        </w:trPr>
        <w:tc>
          <w:tcPr>
            <w:tcW w:w="4111" w:type="dxa"/>
            <w:tcBorders>
              <w:top w:val="nil"/>
              <w:left w:val="nil"/>
              <w:bottom w:val="nil"/>
              <w:right w:val="nil"/>
            </w:tcBorders>
            <w:noWrap/>
            <w:vAlign w:val="bottom"/>
            <w:hideMark/>
          </w:tcPr>
          <w:p w14:paraId="1D2FAC19"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China</w:t>
            </w:r>
          </w:p>
        </w:tc>
        <w:tc>
          <w:tcPr>
            <w:tcW w:w="1701" w:type="dxa"/>
            <w:tcBorders>
              <w:top w:val="nil"/>
              <w:left w:val="nil"/>
              <w:bottom w:val="nil"/>
              <w:right w:val="nil"/>
            </w:tcBorders>
            <w:noWrap/>
            <w:vAlign w:val="bottom"/>
            <w:hideMark/>
          </w:tcPr>
          <w:p w14:paraId="48E9FCB8" w14:textId="77777777" w:rsidR="00CC0A78" w:rsidRDefault="00CC0A78">
            <w:pPr>
              <w:suppressAutoHyphens w:val="0"/>
              <w:spacing w:line="240" w:lineRule="auto"/>
              <w:jc w:val="right"/>
              <w:rPr>
                <w:sz w:val="18"/>
                <w:szCs w:val="18"/>
              </w:rPr>
            </w:pPr>
            <w:r>
              <w:rPr>
                <w:sz w:val="18"/>
                <w:szCs w:val="18"/>
              </w:rPr>
              <w:t>12.005</w:t>
            </w:r>
          </w:p>
        </w:tc>
        <w:tc>
          <w:tcPr>
            <w:tcW w:w="1559" w:type="dxa"/>
            <w:tcBorders>
              <w:top w:val="nil"/>
              <w:left w:val="nil"/>
              <w:bottom w:val="nil"/>
              <w:right w:val="nil"/>
            </w:tcBorders>
            <w:noWrap/>
            <w:vAlign w:val="bottom"/>
            <w:hideMark/>
          </w:tcPr>
          <w:p w14:paraId="5390FD2D" w14:textId="77777777" w:rsidR="00CC0A78" w:rsidRDefault="00CC0A78">
            <w:pPr>
              <w:suppressAutoHyphens w:val="0"/>
              <w:spacing w:line="240" w:lineRule="auto"/>
              <w:jc w:val="right"/>
              <w:rPr>
                <w:sz w:val="18"/>
                <w:szCs w:val="18"/>
              </w:rPr>
            </w:pPr>
            <w:r>
              <w:rPr>
                <w:color w:val="000000"/>
                <w:sz w:val="18"/>
                <w:szCs w:val="18"/>
              </w:rPr>
              <w:t>15.555</w:t>
            </w:r>
          </w:p>
        </w:tc>
      </w:tr>
      <w:tr w:rsidR="00CC0A78" w14:paraId="0D62CB4C" w14:textId="77777777" w:rsidTr="00B719E1">
        <w:trPr>
          <w:trHeight w:val="240"/>
        </w:trPr>
        <w:tc>
          <w:tcPr>
            <w:tcW w:w="4111" w:type="dxa"/>
            <w:tcBorders>
              <w:top w:val="nil"/>
              <w:left w:val="nil"/>
              <w:bottom w:val="nil"/>
              <w:right w:val="nil"/>
            </w:tcBorders>
            <w:noWrap/>
            <w:vAlign w:val="bottom"/>
            <w:hideMark/>
          </w:tcPr>
          <w:p w14:paraId="4852D2B7"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Colombia</w:t>
            </w:r>
          </w:p>
        </w:tc>
        <w:tc>
          <w:tcPr>
            <w:tcW w:w="1701" w:type="dxa"/>
            <w:tcBorders>
              <w:top w:val="nil"/>
              <w:left w:val="nil"/>
              <w:bottom w:val="nil"/>
              <w:right w:val="nil"/>
            </w:tcBorders>
            <w:noWrap/>
            <w:vAlign w:val="bottom"/>
            <w:hideMark/>
          </w:tcPr>
          <w:p w14:paraId="2C6A9B43" w14:textId="77777777" w:rsidR="00CC0A78" w:rsidRDefault="00CC0A78">
            <w:pPr>
              <w:suppressAutoHyphens w:val="0"/>
              <w:spacing w:line="240" w:lineRule="auto"/>
              <w:jc w:val="right"/>
              <w:rPr>
                <w:sz w:val="18"/>
                <w:szCs w:val="18"/>
              </w:rPr>
            </w:pPr>
            <w:r>
              <w:rPr>
                <w:sz w:val="18"/>
                <w:szCs w:val="18"/>
              </w:rPr>
              <w:t>0.288</w:t>
            </w:r>
          </w:p>
        </w:tc>
        <w:tc>
          <w:tcPr>
            <w:tcW w:w="1559" w:type="dxa"/>
            <w:tcBorders>
              <w:top w:val="nil"/>
              <w:left w:val="nil"/>
              <w:bottom w:val="nil"/>
              <w:right w:val="nil"/>
            </w:tcBorders>
            <w:noWrap/>
            <w:vAlign w:val="bottom"/>
            <w:hideMark/>
          </w:tcPr>
          <w:p w14:paraId="10D31895" w14:textId="77777777" w:rsidR="00CC0A78" w:rsidRDefault="00CC0A78">
            <w:pPr>
              <w:suppressAutoHyphens w:val="0"/>
              <w:spacing w:line="240" w:lineRule="auto"/>
              <w:jc w:val="right"/>
              <w:rPr>
                <w:sz w:val="18"/>
                <w:szCs w:val="18"/>
              </w:rPr>
            </w:pPr>
            <w:r>
              <w:rPr>
                <w:color w:val="000000"/>
                <w:sz w:val="18"/>
                <w:szCs w:val="18"/>
              </w:rPr>
              <w:t>0.373</w:t>
            </w:r>
          </w:p>
        </w:tc>
      </w:tr>
      <w:tr w:rsidR="00CC0A78" w14:paraId="1BED56CF" w14:textId="77777777" w:rsidTr="00B719E1">
        <w:trPr>
          <w:trHeight w:val="240"/>
        </w:trPr>
        <w:tc>
          <w:tcPr>
            <w:tcW w:w="4111" w:type="dxa"/>
            <w:tcBorders>
              <w:top w:val="nil"/>
              <w:left w:val="nil"/>
              <w:bottom w:val="nil"/>
              <w:right w:val="nil"/>
            </w:tcBorders>
            <w:noWrap/>
            <w:vAlign w:val="bottom"/>
            <w:hideMark/>
          </w:tcPr>
          <w:p w14:paraId="221DDACF"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Comoros</w:t>
            </w:r>
          </w:p>
        </w:tc>
        <w:tc>
          <w:tcPr>
            <w:tcW w:w="1701" w:type="dxa"/>
            <w:tcBorders>
              <w:top w:val="nil"/>
              <w:left w:val="nil"/>
              <w:bottom w:val="nil"/>
              <w:right w:val="nil"/>
            </w:tcBorders>
            <w:noWrap/>
            <w:vAlign w:val="bottom"/>
            <w:hideMark/>
          </w:tcPr>
          <w:p w14:paraId="6E5FF384" w14:textId="77777777" w:rsidR="00CC0A78" w:rsidRDefault="00CC0A78">
            <w:pPr>
              <w:suppressAutoHyphens w:val="0"/>
              <w:spacing w:line="240" w:lineRule="auto"/>
              <w:jc w:val="right"/>
              <w:rPr>
                <w:sz w:val="18"/>
                <w:szCs w:val="18"/>
              </w:rPr>
            </w:pPr>
            <w:r>
              <w:rPr>
                <w:sz w:val="18"/>
                <w:szCs w:val="18"/>
              </w:rPr>
              <w:t>0.001</w:t>
            </w:r>
          </w:p>
        </w:tc>
        <w:tc>
          <w:tcPr>
            <w:tcW w:w="1559" w:type="dxa"/>
            <w:tcBorders>
              <w:top w:val="nil"/>
              <w:left w:val="nil"/>
              <w:bottom w:val="nil"/>
              <w:right w:val="nil"/>
            </w:tcBorders>
            <w:noWrap/>
            <w:vAlign w:val="bottom"/>
            <w:hideMark/>
          </w:tcPr>
          <w:p w14:paraId="720DF142" w14:textId="77777777" w:rsidR="00CC0A78" w:rsidRDefault="00CC0A78">
            <w:pPr>
              <w:suppressAutoHyphens w:val="0"/>
              <w:spacing w:line="240" w:lineRule="auto"/>
              <w:jc w:val="right"/>
              <w:rPr>
                <w:sz w:val="18"/>
                <w:szCs w:val="18"/>
              </w:rPr>
            </w:pPr>
            <w:r>
              <w:rPr>
                <w:color w:val="000000"/>
                <w:sz w:val="18"/>
                <w:szCs w:val="18"/>
              </w:rPr>
              <w:t>0.001</w:t>
            </w:r>
          </w:p>
        </w:tc>
      </w:tr>
      <w:tr w:rsidR="00CC0A78" w14:paraId="68A1254F" w14:textId="77777777" w:rsidTr="00B719E1">
        <w:trPr>
          <w:trHeight w:val="240"/>
        </w:trPr>
        <w:tc>
          <w:tcPr>
            <w:tcW w:w="4111" w:type="dxa"/>
            <w:tcBorders>
              <w:top w:val="nil"/>
              <w:left w:val="nil"/>
              <w:bottom w:val="nil"/>
              <w:right w:val="nil"/>
            </w:tcBorders>
            <w:noWrap/>
            <w:vAlign w:val="bottom"/>
            <w:hideMark/>
          </w:tcPr>
          <w:p w14:paraId="7B27F0FA"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Congo</w:t>
            </w:r>
          </w:p>
        </w:tc>
        <w:tc>
          <w:tcPr>
            <w:tcW w:w="1701" w:type="dxa"/>
            <w:tcBorders>
              <w:top w:val="nil"/>
              <w:left w:val="nil"/>
              <w:bottom w:val="nil"/>
              <w:right w:val="nil"/>
            </w:tcBorders>
            <w:noWrap/>
            <w:vAlign w:val="bottom"/>
            <w:hideMark/>
          </w:tcPr>
          <w:p w14:paraId="4654A659" w14:textId="77777777" w:rsidR="00CC0A78" w:rsidRDefault="00CC0A78">
            <w:pPr>
              <w:suppressAutoHyphens w:val="0"/>
              <w:spacing w:line="240" w:lineRule="auto"/>
              <w:jc w:val="right"/>
              <w:rPr>
                <w:sz w:val="18"/>
                <w:szCs w:val="18"/>
              </w:rPr>
            </w:pPr>
            <w:r>
              <w:rPr>
                <w:sz w:val="18"/>
                <w:szCs w:val="18"/>
              </w:rPr>
              <w:t>0.006</w:t>
            </w:r>
          </w:p>
        </w:tc>
        <w:tc>
          <w:tcPr>
            <w:tcW w:w="1559" w:type="dxa"/>
            <w:tcBorders>
              <w:top w:val="nil"/>
              <w:left w:val="nil"/>
              <w:bottom w:val="nil"/>
              <w:right w:val="nil"/>
            </w:tcBorders>
            <w:noWrap/>
            <w:vAlign w:val="bottom"/>
            <w:hideMark/>
          </w:tcPr>
          <w:p w14:paraId="387E842B" w14:textId="77777777" w:rsidR="00CC0A78" w:rsidRDefault="00CC0A78">
            <w:pPr>
              <w:suppressAutoHyphens w:val="0"/>
              <w:spacing w:line="240" w:lineRule="auto"/>
              <w:jc w:val="right"/>
              <w:rPr>
                <w:sz w:val="18"/>
                <w:szCs w:val="18"/>
              </w:rPr>
            </w:pPr>
            <w:r>
              <w:rPr>
                <w:color w:val="000000"/>
                <w:sz w:val="18"/>
                <w:szCs w:val="18"/>
              </w:rPr>
              <w:t>0.008</w:t>
            </w:r>
          </w:p>
        </w:tc>
      </w:tr>
      <w:tr w:rsidR="00CC0A78" w14:paraId="1CFBFC42" w14:textId="77777777" w:rsidTr="00B719E1">
        <w:trPr>
          <w:trHeight w:val="240"/>
        </w:trPr>
        <w:tc>
          <w:tcPr>
            <w:tcW w:w="4111" w:type="dxa"/>
            <w:tcBorders>
              <w:top w:val="nil"/>
              <w:left w:val="nil"/>
              <w:bottom w:val="nil"/>
              <w:right w:val="nil"/>
            </w:tcBorders>
            <w:noWrap/>
            <w:vAlign w:val="bottom"/>
            <w:hideMark/>
          </w:tcPr>
          <w:p w14:paraId="092130AD"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Cook Islands</w:t>
            </w:r>
          </w:p>
        </w:tc>
        <w:tc>
          <w:tcPr>
            <w:tcW w:w="1701" w:type="dxa"/>
            <w:tcBorders>
              <w:top w:val="nil"/>
              <w:left w:val="nil"/>
              <w:bottom w:val="nil"/>
              <w:right w:val="nil"/>
            </w:tcBorders>
            <w:noWrap/>
            <w:vAlign w:val="bottom"/>
            <w:hideMark/>
          </w:tcPr>
          <w:p w14:paraId="595522AE" w14:textId="77777777" w:rsidR="00CC0A78" w:rsidRDefault="00CC0A78">
            <w:pPr>
              <w:suppressAutoHyphens w:val="0"/>
              <w:spacing w:line="240" w:lineRule="auto"/>
              <w:jc w:val="right"/>
              <w:rPr>
                <w:sz w:val="18"/>
                <w:szCs w:val="18"/>
              </w:rPr>
            </w:pPr>
            <w:r>
              <w:rPr>
                <w:sz w:val="18"/>
                <w:szCs w:val="18"/>
              </w:rPr>
              <w:t>0.000</w:t>
            </w:r>
          </w:p>
        </w:tc>
        <w:tc>
          <w:tcPr>
            <w:tcW w:w="1559" w:type="dxa"/>
            <w:tcBorders>
              <w:top w:val="nil"/>
              <w:left w:val="nil"/>
              <w:bottom w:val="nil"/>
              <w:right w:val="nil"/>
            </w:tcBorders>
            <w:noWrap/>
            <w:vAlign w:val="bottom"/>
            <w:hideMark/>
          </w:tcPr>
          <w:p w14:paraId="32205224" w14:textId="77777777" w:rsidR="00CC0A78" w:rsidRDefault="00CC0A78">
            <w:pPr>
              <w:suppressAutoHyphens w:val="0"/>
              <w:spacing w:line="240" w:lineRule="auto"/>
              <w:jc w:val="right"/>
              <w:rPr>
                <w:sz w:val="18"/>
                <w:szCs w:val="18"/>
              </w:rPr>
            </w:pPr>
            <w:r>
              <w:rPr>
                <w:color w:val="000000"/>
                <w:sz w:val="18"/>
                <w:szCs w:val="18"/>
              </w:rPr>
              <w:t>0.001</w:t>
            </w:r>
          </w:p>
        </w:tc>
      </w:tr>
      <w:tr w:rsidR="00CC0A78" w14:paraId="6C5FF631" w14:textId="77777777" w:rsidTr="00B719E1">
        <w:trPr>
          <w:trHeight w:val="240"/>
        </w:trPr>
        <w:tc>
          <w:tcPr>
            <w:tcW w:w="4111" w:type="dxa"/>
            <w:tcBorders>
              <w:top w:val="nil"/>
              <w:left w:val="nil"/>
              <w:bottom w:val="nil"/>
              <w:right w:val="nil"/>
            </w:tcBorders>
            <w:noWrap/>
            <w:vAlign w:val="bottom"/>
            <w:hideMark/>
          </w:tcPr>
          <w:p w14:paraId="0A0926E7"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Costa Rica</w:t>
            </w:r>
          </w:p>
        </w:tc>
        <w:tc>
          <w:tcPr>
            <w:tcW w:w="1701" w:type="dxa"/>
            <w:tcBorders>
              <w:top w:val="nil"/>
              <w:left w:val="nil"/>
              <w:bottom w:val="nil"/>
              <w:right w:val="nil"/>
            </w:tcBorders>
            <w:noWrap/>
            <w:vAlign w:val="bottom"/>
            <w:hideMark/>
          </w:tcPr>
          <w:p w14:paraId="1C2624DE" w14:textId="77777777" w:rsidR="00CC0A78" w:rsidRDefault="00CC0A78">
            <w:pPr>
              <w:suppressAutoHyphens w:val="0"/>
              <w:spacing w:line="240" w:lineRule="auto"/>
              <w:jc w:val="right"/>
              <w:rPr>
                <w:sz w:val="18"/>
                <w:szCs w:val="18"/>
              </w:rPr>
            </w:pPr>
            <w:r>
              <w:rPr>
                <w:sz w:val="18"/>
                <w:szCs w:val="18"/>
              </w:rPr>
              <w:t>0.062</w:t>
            </w:r>
          </w:p>
        </w:tc>
        <w:tc>
          <w:tcPr>
            <w:tcW w:w="1559" w:type="dxa"/>
            <w:tcBorders>
              <w:top w:val="nil"/>
              <w:left w:val="nil"/>
              <w:bottom w:val="nil"/>
              <w:right w:val="nil"/>
            </w:tcBorders>
            <w:noWrap/>
            <w:vAlign w:val="bottom"/>
            <w:hideMark/>
          </w:tcPr>
          <w:p w14:paraId="7E610DEB" w14:textId="77777777" w:rsidR="00CC0A78" w:rsidRDefault="00CC0A78">
            <w:pPr>
              <w:suppressAutoHyphens w:val="0"/>
              <w:spacing w:line="240" w:lineRule="auto"/>
              <w:jc w:val="right"/>
              <w:rPr>
                <w:sz w:val="18"/>
                <w:szCs w:val="18"/>
              </w:rPr>
            </w:pPr>
            <w:r>
              <w:rPr>
                <w:color w:val="000000"/>
                <w:sz w:val="18"/>
                <w:szCs w:val="18"/>
              </w:rPr>
              <w:t>0.080</w:t>
            </w:r>
          </w:p>
        </w:tc>
      </w:tr>
      <w:tr w:rsidR="00CC0A78" w14:paraId="3E50FED5" w14:textId="77777777" w:rsidTr="00B719E1">
        <w:trPr>
          <w:trHeight w:val="240"/>
        </w:trPr>
        <w:tc>
          <w:tcPr>
            <w:tcW w:w="4111" w:type="dxa"/>
            <w:tcBorders>
              <w:top w:val="nil"/>
              <w:left w:val="nil"/>
              <w:bottom w:val="nil"/>
              <w:right w:val="nil"/>
            </w:tcBorders>
            <w:noWrap/>
            <w:vAlign w:val="bottom"/>
            <w:hideMark/>
          </w:tcPr>
          <w:p w14:paraId="38749F87"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Côte d’Ivoire</w:t>
            </w:r>
          </w:p>
        </w:tc>
        <w:tc>
          <w:tcPr>
            <w:tcW w:w="1701" w:type="dxa"/>
            <w:tcBorders>
              <w:top w:val="nil"/>
              <w:left w:val="nil"/>
              <w:bottom w:val="nil"/>
              <w:right w:val="nil"/>
            </w:tcBorders>
            <w:noWrap/>
            <w:vAlign w:val="bottom"/>
            <w:hideMark/>
          </w:tcPr>
          <w:p w14:paraId="6D18BCE8" w14:textId="77777777" w:rsidR="00CC0A78" w:rsidRDefault="00CC0A78">
            <w:pPr>
              <w:suppressAutoHyphens w:val="0"/>
              <w:spacing w:line="240" w:lineRule="auto"/>
              <w:jc w:val="right"/>
              <w:rPr>
                <w:sz w:val="18"/>
                <w:szCs w:val="18"/>
              </w:rPr>
            </w:pPr>
            <w:r>
              <w:rPr>
                <w:sz w:val="18"/>
                <w:szCs w:val="18"/>
              </w:rPr>
              <w:t>0.013</w:t>
            </w:r>
          </w:p>
        </w:tc>
        <w:tc>
          <w:tcPr>
            <w:tcW w:w="1559" w:type="dxa"/>
            <w:tcBorders>
              <w:top w:val="nil"/>
              <w:left w:val="nil"/>
              <w:bottom w:val="nil"/>
              <w:right w:val="nil"/>
            </w:tcBorders>
            <w:noWrap/>
            <w:vAlign w:val="bottom"/>
            <w:hideMark/>
          </w:tcPr>
          <w:p w14:paraId="6913F954" w14:textId="77777777" w:rsidR="00CC0A78" w:rsidRDefault="00CC0A78">
            <w:pPr>
              <w:suppressAutoHyphens w:val="0"/>
              <w:spacing w:line="240" w:lineRule="auto"/>
              <w:jc w:val="right"/>
              <w:rPr>
                <w:sz w:val="18"/>
                <w:szCs w:val="18"/>
              </w:rPr>
            </w:pPr>
            <w:r>
              <w:rPr>
                <w:color w:val="000000"/>
                <w:sz w:val="18"/>
                <w:szCs w:val="18"/>
              </w:rPr>
              <w:t>0.017</w:t>
            </w:r>
          </w:p>
        </w:tc>
      </w:tr>
      <w:tr w:rsidR="00CC0A78" w14:paraId="3B253473" w14:textId="77777777" w:rsidTr="00B719E1">
        <w:trPr>
          <w:trHeight w:val="240"/>
        </w:trPr>
        <w:tc>
          <w:tcPr>
            <w:tcW w:w="4111" w:type="dxa"/>
            <w:tcBorders>
              <w:top w:val="nil"/>
              <w:left w:val="nil"/>
              <w:bottom w:val="nil"/>
              <w:right w:val="nil"/>
            </w:tcBorders>
            <w:noWrap/>
            <w:vAlign w:val="bottom"/>
            <w:hideMark/>
          </w:tcPr>
          <w:p w14:paraId="444CF9C2"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Croatia</w:t>
            </w:r>
          </w:p>
        </w:tc>
        <w:tc>
          <w:tcPr>
            <w:tcW w:w="1701" w:type="dxa"/>
            <w:tcBorders>
              <w:top w:val="nil"/>
              <w:left w:val="nil"/>
              <w:bottom w:val="nil"/>
              <w:right w:val="nil"/>
            </w:tcBorders>
            <w:noWrap/>
            <w:vAlign w:val="bottom"/>
            <w:hideMark/>
          </w:tcPr>
          <w:p w14:paraId="58167326" w14:textId="77777777" w:rsidR="00CC0A78" w:rsidRDefault="00CC0A78">
            <w:pPr>
              <w:suppressAutoHyphens w:val="0"/>
              <w:spacing w:line="240" w:lineRule="auto"/>
              <w:jc w:val="right"/>
              <w:rPr>
                <w:sz w:val="18"/>
                <w:szCs w:val="18"/>
              </w:rPr>
            </w:pPr>
            <w:r>
              <w:rPr>
                <w:sz w:val="18"/>
                <w:szCs w:val="18"/>
              </w:rPr>
              <w:t>0.077</w:t>
            </w:r>
          </w:p>
        </w:tc>
        <w:tc>
          <w:tcPr>
            <w:tcW w:w="1559" w:type="dxa"/>
            <w:tcBorders>
              <w:top w:val="nil"/>
              <w:left w:val="nil"/>
              <w:bottom w:val="nil"/>
              <w:right w:val="nil"/>
            </w:tcBorders>
            <w:noWrap/>
            <w:vAlign w:val="bottom"/>
            <w:hideMark/>
          </w:tcPr>
          <w:p w14:paraId="704C5351" w14:textId="77777777" w:rsidR="00CC0A78" w:rsidRDefault="00CC0A78">
            <w:pPr>
              <w:suppressAutoHyphens w:val="0"/>
              <w:spacing w:line="240" w:lineRule="auto"/>
              <w:jc w:val="right"/>
              <w:rPr>
                <w:sz w:val="18"/>
                <w:szCs w:val="18"/>
              </w:rPr>
            </w:pPr>
            <w:r>
              <w:rPr>
                <w:color w:val="000000"/>
                <w:sz w:val="18"/>
                <w:szCs w:val="18"/>
              </w:rPr>
              <w:t>0.100</w:t>
            </w:r>
          </w:p>
        </w:tc>
      </w:tr>
      <w:tr w:rsidR="00CC0A78" w14:paraId="00C04E20" w14:textId="77777777" w:rsidTr="00B719E1">
        <w:trPr>
          <w:trHeight w:val="240"/>
        </w:trPr>
        <w:tc>
          <w:tcPr>
            <w:tcW w:w="4111" w:type="dxa"/>
            <w:tcBorders>
              <w:top w:val="nil"/>
              <w:left w:val="nil"/>
              <w:bottom w:val="nil"/>
              <w:right w:val="nil"/>
            </w:tcBorders>
            <w:noWrap/>
            <w:vAlign w:val="bottom"/>
            <w:hideMark/>
          </w:tcPr>
          <w:p w14:paraId="1D59FA85"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Cuba</w:t>
            </w:r>
          </w:p>
        </w:tc>
        <w:tc>
          <w:tcPr>
            <w:tcW w:w="1701" w:type="dxa"/>
            <w:tcBorders>
              <w:top w:val="nil"/>
              <w:left w:val="nil"/>
              <w:bottom w:val="nil"/>
              <w:right w:val="nil"/>
            </w:tcBorders>
            <w:noWrap/>
            <w:vAlign w:val="bottom"/>
            <w:hideMark/>
          </w:tcPr>
          <w:p w14:paraId="1FEC7285" w14:textId="77777777" w:rsidR="00CC0A78" w:rsidRDefault="00CC0A78">
            <w:pPr>
              <w:suppressAutoHyphens w:val="0"/>
              <w:spacing w:line="240" w:lineRule="auto"/>
              <w:jc w:val="right"/>
              <w:rPr>
                <w:sz w:val="18"/>
                <w:szCs w:val="18"/>
              </w:rPr>
            </w:pPr>
            <w:r>
              <w:rPr>
                <w:sz w:val="18"/>
                <w:szCs w:val="18"/>
              </w:rPr>
              <w:t>0.080</w:t>
            </w:r>
          </w:p>
        </w:tc>
        <w:tc>
          <w:tcPr>
            <w:tcW w:w="1559" w:type="dxa"/>
            <w:tcBorders>
              <w:top w:val="nil"/>
              <w:left w:val="nil"/>
              <w:bottom w:val="nil"/>
              <w:right w:val="nil"/>
            </w:tcBorders>
            <w:noWrap/>
            <w:vAlign w:val="bottom"/>
            <w:hideMark/>
          </w:tcPr>
          <w:p w14:paraId="4CF2269E" w14:textId="77777777" w:rsidR="00CC0A78" w:rsidRDefault="00CC0A78">
            <w:pPr>
              <w:suppressAutoHyphens w:val="0"/>
              <w:spacing w:line="240" w:lineRule="auto"/>
              <w:jc w:val="right"/>
              <w:rPr>
                <w:sz w:val="18"/>
                <w:szCs w:val="18"/>
              </w:rPr>
            </w:pPr>
            <w:r>
              <w:rPr>
                <w:color w:val="000000"/>
                <w:sz w:val="18"/>
                <w:szCs w:val="18"/>
              </w:rPr>
              <w:t>0.104</w:t>
            </w:r>
          </w:p>
        </w:tc>
      </w:tr>
      <w:tr w:rsidR="00CC0A78" w14:paraId="29D03088" w14:textId="77777777" w:rsidTr="00B719E1">
        <w:trPr>
          <w:trHeight w:val="240"/>
        </w:trPr>
        <w:tc>
          <w:tcPr>
            <w:tcW w:w="4111" w:type="dxa"/>
            <w:tcBorders>
              <w:top w:val="nil"/>
              <w:left w:val="nil"/>
              <w:bottom w:val="nil"/>
              <w:right w:val="nil"/>
            </w:tcBorders>
            <w:noWrap/>
            <w:vAlign w:val="bottom"/>
            <w:hideMark/>
          </w:tcPr>
          <w:p w14:paraId="6C81C31E"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Cyprus</w:t>
            </w:r>
          </w:p>
        </w:tc>
        <w:tc>
          <w:tcPr>
            <w:tcW w:w="1701" w:type="dxa"/>
            <w:tcBorders>
              <w:top w:val="nil"/>
              <w:left w:val="nil"/>
              <w:bottom w:val="nil"/>
              <w:right w:val="nil"/>
            </w:tcBorders>
            <w:noWrap/>
            <w:vAlign w:val="bottom"/>
            <w:hideMark/>
          </w:tcPr>
          <w:p w14:paraId="49273728" w14:textId="77777777" w:rsidR="00CC0A78" w:rsidRDefault="00CC0A78">
            <w:pPr>
              <w:suppressAutoHyphens w:val="0"/>
              <w:spacing w:line="240" w:lineRule="auto"/>
              <w:jc w:val="right"/>
              <w:rPr>
                <w:sz w:val="18"/>
                <w:szCs w:val="18"/>
              </w:rPr>
            </w:pPr>
            <w:r>
              <w:rPr>
                <w:sz w:val="18"/>
                <w:szCs w:val="18"/>
              </w:rPr>
              <w:t>0.036</w:t>
            </w:r>
          </w:p>
        </w:tc>
        <w:tc>
          <w:tcPr>
            <w:tcW w:w="1559" w:type="dxa"/>
            <w:tcBorders>
              <w:top w:val="nil"/>
              <w:left w:val="nil"/>
              <w:bottom w:val="nil"/>
              <w:right w:val="nil"/>
            </w:tcBorders>
            <w:noWrap/>
            <w:vAlign w:val="bottom"/>
            <w:hideMark/>
          </w:tcPr>
          <w:p w14:paraId="007BD612" w14:textId="77777777" w:rsidR="00CC0A78" w:rsidRDefault="00CC0A78">
            <w:pPr>
              <w:suppressAutoHyphens w:val="0"/>
              <w:spacing w:line="240" w:lineRule="auto"/>
              <w:jc w:val="right"/>
              <w:rPr>
                <w:sz w:val="18"/>
                <w:szCs w:val="18"/>
              </w:rPr>
            </w:pPr>
            <w:r>
              <w:rPr>
                <w:color w:val="000000"/>
                <w:sz w:val="18"/>
                <w:szCs w:val="18"/>
              </w:rPr>
              <w:t>0.047</w:t>
            </w:r>
          </w:p>
        </w:tc>
      </w:tr>
      <w:tr w:rsidR="00CC0A78" w14:paraId="56644ED7" w14:textId="77777777" w:rsidTr="00B719E1">
        <w:trPr>
          <w:trHeight w:val="240"/>
        </w:trPr>
        <w:tc>
          <w:tcPr>
            <w:tcW w:w="4111" w:type="dxa"/>
            <w:tcBorders>
              <w:top w:val="nil"/>
              <w:left w:val="nil"/>
              <w:bottom w:val="nil"/>
              <w:right w:val="nil"/>
            </w:tcBorders>
            <w:noWrap/>
            <w:vAlign w:val="bottom"/>
            <w:hideMark/>
          </w:tcPr>
          <w:p w14:paraId="32E28988"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Czechia</w:t>
            </w:r>
          </w:p>
        </w:tc>
        <w:tc>
          <w:tcPr>
            <w:tcW w:w="1701" w:type="dxa"/>
            <w:tcBorders>
              <w:top w:val="nil"/>
              <w:left w:val="nil"/>
              <w:bottom w:val="nil"/>
              <w:right w:val="nil"/>
            </w:tcBorders>
            <w:noWrap/>
            <w:vAlign w:val="bottom"/>
            <w:hideMark/>
          </w:tcPr>
          <w:p w14:paraId="37C2E742" w14:textId="77777777" w:rsidR="00CC0A78" w:rsidRDefault="00CC0A78">
            <w:pPr>
              <w:suppressAutoHyphens w:val="0"/>
              <w:spacing w:line="240" w:lineRule="auto"/>
              <w:jc w:val="right"/>
              <w:rPr>
                <w:sz w:val="18"/>
                <w:szCs w:val="18"/>
              </w:rPr>
            </w:pPr>
            <w:r>
              <w:rPr>
                <w:sz w:val="18"/>
                <w:szCs w:val="18"/>
              </w:rPr>
              <w:t>0.311</w:t>
            </w:r>
          </w:p>
        </w:tc>
        <w:tc>
          <w:tcPr>
            <w:tcW w:w="1559" w:type="dxa"/>
            <w:tcBorders>
              <w:top w:val="nil"/>
              <w:left w:val="nil"/>
              <w:bottom w:val="nil"/>
              <w:right w:val="nil"/>
            </w:tcBorders>
            <w:noWrap/>
            <w:vAlign w:val="bottom"/>
            <w:hideMark/>
          </w:tcPr>
          <w:p w14:paraId="4B2E9DB0" w14:textId="77777777" w:rsidR="00CC0A78" w:rsidRDefault="00CC0A78">
            <w:pPr>
              <w:suppressAutoHyphens w:val="0"/>
              <w:spacing w:line="240" w:lineRule="auto"/>
              <w:jc w:val="right"/>
              <w:rPr>
                <w:sz w:val="18"/>
                <w:szCs w:val="18"/>
              </w:rPr>
            </w:pPr>
            <w:r>
              <w:rPr>
                <w:color w:val="000000"/>
                <w:sz w:val="18"/>
                <w:szCs w:val="18"/>
              </w:rPr>
              <w:t>0.403</w:t>
            </w:r>
          </w:p>
        </w:tc>
      </w:tr>
      <w:tr w:rsidR="00CC0A78" w14:paraId="0E945693" w14:textId="77777777" w:rsidTr="00B719E1">
        <w:trPr>
          <w:trHeight w:val="240"/>
        </w:trPr>
        <w:tc>
          <w:tcPr>
            <w:tcW w:w="4111" w:type="dxa"/>
            <w:tcBorders>
              <w:top w:val="nil"/>
              <w:left w:val="nil"/>
              <w:bottom w:val="nil"/>
              <w:right w:val="nil"/>
            </w:tcBorders>
            <w:noWrap/>
            <w:vAlign w:val="bottom"/>
            <w:hideMark/>
          </w:tcPr>
          <w:p w14:paraId="61316924"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Democratic People’s Republic of Korea</w:t>
            </w:r>
          </w:p>
        </w:tc>
        <w:tc>
          <w:tcPr>
            <w:tcW w:w="1701" w:type="dxa"/>
            <w:tcBorders>
              <w:top w:val="nil"/>
              <w:left w:val="nil"/>
              <w:bottom w:val="nil"/>
              <w:right w:val="nil"/>
            </w:tcBorders>
            <w:noWrap/>
            <w:vAlign w:val="bottom"/>
            <w:hideMark/>
          </w:tcPr>
          <w:p w14:paraId="3F9B7E84" w14:textId="77777777" w:rsidR="00CC0A78" w:rsidRDefault="00CC0A78">
            <w:pPr>
              <w:suppressAutoHyphens w:val="0"/>
              <w:spacing w:line="240" w:lineRule="auto"/>
              <w:jc w:val="right"/>
              <w:rPr>
                <w:sz w:val="18"/>
                <w:szCs w:val="18"/>
              </w:rPr>
            </w:pPr>
            <w:r>
              <w:rPr>
                <w:sz w:val="18"/>
                <w:szCs w:val="18"/>
              </w:rPr>
              <w:t>0.006</w:t>
            </w:r>
          </w:p>
        </w:tc>
        <w:tc>
          <w:tcPr>
            <w:tcW w:w="1559" w:type="dxa"/>
            <w:tcBorders>
              <w:top w:val="nil"/>
              <w:left w:val="nil"/>
              <w:bottom w:val="nil"/>
              <w:right w:val="nil"/>
            </w:tcBorders>
            <w:noWrap/>
            <w:vAlign w:val="bottom"/>
            <w:hideMark/>
          </w:tcPr>
          <w:p w14:paraId="4B517222" w14:textId="77777777" w:rsidR="00CC0A78" w:rsidRDefault="00CC0A78">
            <w:pPr>
              <w:suppressAutoHyphens w:val="0"/>
              <w:spacing w:line="240" w:lineRule="auto"/>
              <w:jc w:val="right"/>
              <w:rPr>
                <w:sz w:val="18"/>
                <w:szCs w:val="18"/>
              </w:rPr>
            </w:pPr>
            <w:r>
              <w:rPr>
                <w:color w:val="000000"/>
                <w:sz w:val="18"/>
                <w:szCs w:val="18"/>
              </w:rPr>
              <w:t>0.008</w:t>
            </w:r>
          </w:p>
        </w:tc>
      </w:tr>
      <w:tr w:rsidR="00CC0A78" w14:paraId="7E11F0C4" w14:textId="77777777" w:rsidTr="00B719E1">
        <w:trPr>
          <w:trHeight w:val="240"/>
        </w:trPr>
        <w:tc>
          <w:tcPr>
            <w:tcW w:w="4111" w:type="dxa"/>
            <w:tcBorders>
              <w:top w:val="nil"/>
              <w:left w:val="nil"/>
              <w:bottom w:val="nil"/>
              <w:right w:val="nil"/>
            </w:tcBorders>
            <w:noWrap/>
            <w:vAlign w:val="bottom"/>
            <w:hideMark/>
          </w:tcPr>
          <w:p w14:paraId="6BC9FF2B"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Democratic Republic of the Congo</w:t>
            </w:r>
          </w:p>
        </w:tc>
        <w:tc>
          <w:tcPr>
            <w:tcW w:w="1701" w:type="dxa"/>
            <w:tcBorders>
              <w:top w:val="nil"/>
              <w:left w:val="nil"/>
              <w:bottom w:val="nil"/>
              <w:right w:val="nil"/>
            </w:tcBorders>
            <w:noWrap/>
            <w:vAlign w:val="bottom"/>
            <w:hideMark/>
          </w:tcPr>
          <w:p w14:paraId="3F4F168C" w14:textId="77777777" w:rsidR="00CC0A78" w:rsidRDefault="00CC0A78">
            <w:pPr>
              <w:suppressAutoHyphens w:val="0"/>
              <w:spacing w:line="240" w:lineRule="auto"/>
              <w:jc w:val="right"/>
              <w:rPr>
                <w:sz w:val="18"/>
                <w:szCs w:val="18"/>
              </w:rPr>
            </w:pPr>
            <w:r>
              <w:rPr>
                <w:sz w:val="18"/>
                <w:szCs w:val="18"/>
              </w:rPr>
              <w:t>0.010</w:t>
            </w:r>
          </w:p>
        </w:tc>
        <w:tc>
          <w:tcPr>
            <w:tcW w:w="1559" w:type="dxa"/>
            <w:tcBorders>
              <w:top w:val="nil"/>
              <w:left w:val="nil"/>
              <w:bottom w:val="nil"/>
              <w:right w:val="nil"/>
            </w:tcBorders>
            <w:noWrap/>
            <w:vAlign w:val="bottom"/>
            <w:hideMark/>
          </w:tcPr>
          <w:p w14:paraId="5820D180" w14:textId="77777777" w:rsidR="00CC0A78" w:rsidRDefault="00CC0A78">
            <w:pPr>
              <w:suppressAutoHyphens w:val="0"/>
              <w:spacing w:line="240" w:lineRule="auto"/>
              <w:jc w:val="right"/>
              <w:rPr>
                <w:sz w:val="18"/>
                <w:szCs w:val="18"/>
              </w:rPr>
            </w:pPr>
            <w:r>
              <w:rPr>
                <w:color w:val="000000"/>
                <w:sz w:val="18"/>
                <w:szCs w:val="18"/>
              </w:rPr>
              <w:t>0.013</w:t>
            </w:r>
          </w:p>
        </w:tc>
      </w:tr>
      <w:tr w:rsidR="00CC0A78" w14:paraId="1F06B41C" w14:textId="77777777" w:rsidTr="00B719E1">
        <w:trPr>
          <w:trHeight w:val="240"/>
        </w:trPr>
        <w:tc>
          <w:tcPr>
            <w:tcW w:w="4111" w:type="dxa"/>
            <w:tcBorders>
              <w:top w:val="nil"/>
              <w:left w:val="nil"/>
              <w:bottom w:val="nil"/>
              <w:right w:val="nil"/>
            </w:tcBorders>
            <w:noWrap/>
            <w:vAlign w:val="bottom"/>
            <w:hideMark/>
          </w:tcPr>
          <w:p w14:paraId="114E842B"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Denmark</w:t>
            </w:r>
          </w:p>
        </w:tc>
        <w:tc>
          <w:tcPr>
            <w:tcW w:w="1701" w:type="dxa"/>
            <w:tcBorders>
              <w:top w:val="nil"/>
              <w:left w:val="nil"/>
              <w:bottom w:val="nil"/>
              <w:right w:val="nil"/>
            </w:tcBorders>
            <w:noWrap/>
            <w:vAlign w:val="bottom"/>
            <w:hideMark/>
          </w:tcPr>
          <w:p w14:paraId="0C312DEE" w14:textId="77777777" w:rsidR="00CC0A78" w:rsidRDefault="00CC0A78">
            <w:pPr>
              <w:suppressAutoHyphens w:val="0"/>
              <w:spacing w:line="240" w:lineRule="auto"/>
              <w:jc w:val="right"/>
              <w:rPr>
                <w:sz w:val="18"/>
                <w:szCs w:val="18"/>
              </w:rPr>
            </w:pPr>
            <w:r>
              <w:rPr>
                <w:sz w:val="18"/>
                <w:szCs w:val="18"/>
              </w:rPr>
              <w:t>0.554</w:t>
            </w:r>
          </w:p>
        </w:tc>
        <w:tc>
          <w:tcPr>
            <w:tcW w:w="1559" w:type="dxa"/>
            <w:tcBorders>
              <w:top w:val="nil"/>
              <w:left w:val="nil"/>
              <w:bottom w:val="nil"/>
              <w:right w:val="nil"/>
            </w:tcBorders>
            <w:noWrap/>
            <w:vAlign w:val="bottom"/>
            <w:hideMark/>
          </w:tcPr>
          <w:p w14:paraId="55BBC1CD" w14:textId="77777777" w:rsidR="00CC0A78" w:rsidRDefault="00CC0A78">
            <w:pPr>
              <w:suppressAutoHyphens w:val="0"/>
              <w:spacing w:line="240" w:lineRule="auto"/>
              <w:jc w:val="right"/>
              <w:rPr>
                <w:sz w:val="18"/>
                <w:szCs w:val="18"/>
              </w:rPr>
            </w:pPr>
            <w:r>
              <w:rPr>
                <w:color w:val="000000"/>
                <w:sz w:val="18"/>
                <w:szCs w:val="18"/>
              </w:rPr>
              <w:t>0.718</w:t>
            </w:r>
          </w:p>
        </w:tc>
      </w:tr>
      <w:tr w:rsidR="00CC0A78" w14:paraId="5F8876A0" w14:textId="77777777" w:rsidTr="00B719E1">
        <w:trPr>
          <w:trHeight w:val="240"/>
        </w:trPr>
        <w:tc>
          <w:tcPr>
            <w:tcW w:w="4111" w:type="dxa"/>
            <w:tcBorders>
              <w:top w:val="nil"/>
              <w:left w:val="nil"/>
              <w:bottom w:val="nil"/>
              <w:right w:val="nil"/>
            </w:tcBorders>
            <w:noWrap/>
            <w:vAlign w:val="bottom"/>
            <w:hideMark/>
          </w:tcPr>
          <w:p w14:paraId="5F385975"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Djibouti</w:t>
            </w:r>
          </w:p>
        </w:tc>
        <w:tc>
          <w:tcPr>
            <w:tcW w:w="1701" w:type="dxa"/>
            <w:tcBorders>
              <w:top w:val="nil"/>
              <w:left w:val="nil"/>
              <w:bottom w:val="nil"/>
              <w:right w:val="nil"/>
            </w:tcBorders>
            <w:noWrap/>
            <w:vAlign w:val="bottom"/>
            <w:hideMark/>
          </w:tcPr>
          <w:p w14:paraId="0FCCBBB1" w14:textId="77777777" w:rsidR="00CC0A78" w:rsidRDefault="00CC0A78">
            <w:pPr>
              <w:suppressAutoHyphens w:val="0"/>
              <w:spacing w:line="240" w:lineRule="auto"/>
              <w:jc w:val="right"/>
              <w:rPr>
                <w:sz w:val="18"/>
                <w:szCs w:val="18"/>
              </w:rPr>
            </w:pPr>
            <w:r>
              <w:rPr>
                <w:sz w:val="18"/>
                <w:szCs w:val="18"/>
              </w:rPr>
              <w:t>0.001</w:t>
            </w:r>
          </w:p>
        </w:tc>
        <w:tc>
          <w:tcPr>
            <w:tcW w:w="1559" w:type="dxa"/>
            <w:tcBorders>
              <w:top w:val="nil"/>
              <w:left w:val="nil"/>
              <w:bottom w:val="nil"/>
              <w:right w:val="nil"/>
            </w:tcBorders>
            <w:noWrap/>
            <w:vAlign w:val="bottom"/>
            <w:hideMark/>
          </w:tcPr>
          <w:p w14:paraId="3C493524" w14:textId="77777777" w:rsidR="00CC0A78" w:rsidRDefault="00CC0A78">
            <w:pPr>
              <w:suppressAutoHyphens w:val="0"/>
              <w:spacing w:line="240" w:lineRule="auto"/>
              <w:jc w:val="right"/>
              <w:rPr>
                <w:sz w:val="18"/>
                <w:szCs w:val="18"/>
              </w:rPr>
            </w:pPr>
            <w:r>
              <w:rPr>
                <w:color w:val="000000"/>
                <w:sz w:val="18"/>
                <w:szCs w:val="18"/>
              </w:rPr>
              <w:t>0.001</w:t>
            </w:r>
          </w:p>
        </w:tc>
      </w:tr>
      <w:tr w:rsidR="00CC0A78" w14:paraId="4F33F8CC" w14:textId="77777777" w:rsidTr="00B719E1">
        <w:trPr>
          <w:trHeight w:val="240"/>
        </w:trPr>
        <w:tc>
          <w:tcPr>
            <w:tcW w:w="4111" w:type="dxa"/>
            <w:tcBorders>
              <w:top w:val="nil"/>
              <w:left w:val="nil"/>
              <w:bottom w:val="nil"/>
              <w:right w:val="nil"/>
            </w:tcBorders>
            <w:noWrap/>
            <w:vAlign w:val="bottom"/>
            <w:hideMark/>
          </w:tcPr>
          <w:p w14:paraId="113BBC15"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Dominica</w:t>
            </w:r>
          </w:p>
        </w:tc>
        <w:tc>
          <w:tcPr>
            <w:tcW w:w="1701" w:type="dxa"/>
            <w:tcBorders>
              <w:top w:val="nil"/>
              <w:left w:val="nil"/>
              <w:bottom w:val="nil"/>
              <w:right w:val="nil"/>
            </w:tcBorders>
            <w:noWrap/>
            <w:vAlign w:val="bottom"/>
            <w:hideMark/>
          </w:tcPr>
          <w:p w14:paraId="3BAB30F2" w14:textId="77777777" w:rsidR="00CC0A78" w:rsidRDefault="00CC0A78">
            <w:pPr>
              <w:suppressAutoHyphens w:val="0"/>
              <w:spacing w:line="240" w:lineRule="auto"/>
              <w:jc w:val="right"/>
              <w:rPr>
                <w:sz w:val="18"/>
                <w:szCs w:val="18"/>
              </w:rPr>
            </w:pPr>
            <w:r>
              <w:rPr>
                <w:sz w:val="18"/>
                <w:szCs w:val="18"/>
              </w:rPr>
              <w:t>0.001</w:t>
            </w:r>
          </w:p>
        </w:tc>
        <w:tc>
          <w:tcPr>
            <w:tcW w:w="1559" w:type="dxa"/>
            <w:tcBorders>
              <w:top w:val="nil"/>
              <w:left w:val="nil"/>
              <w:bottom w:val="nil"/>
              <w:right w:val="nil"/>
            </w:tcBorders>
            <w:noWrap/>
            <w:vAlign w:val="bottom"/>
            <w:hideMark/>
          </w:tcPr>
          <w:p w14:paraId="31817A0C" w14:textId="77777777" w:rsidR="00CC0A78" w:rsidRDefault="00CC0A78">
            <w:pPr>
              <w:suppressAutoHyphens w:val="0"/>
              <w:spacing w:line="240" w:lineRule="auto"/>
              <w:jc w:val="right"/>
              <w:rPr>
                <w:sz w:val="18"/>
                <w:szCs w:val="18"/>
              </w:rPr>
            </w:pPr>
            <w:r>
              <w:rPr>
                <w:color w:val="000000"/>
                <w:sz w:val="18"/>
                <w:szCs w:val="18"/>
              </w:rPr>
              <w:t>0.001</w:t>
            </w:r>
          </w:p>
        </w:tc>
      </w:tr>
      <w:tr w:rsidR="00CC0A78" w14:paraId="4F85304A" w14:textId="77777777" w:rsidTr="00B719E1">
        <w:trPr>
          <w:trHeight w:val="240"/>
        </w:trPr>
        <w:tc>
          <w:tcPr>
            <w:tcW w:w="4111" w:type="dxa"/>
            <w:tcBorders>
              <w:top w:val="nil"/>
              <w:left w:val="nil"/>
              <w:bottom w:val="nil"/>
              <w:right w:val="nil"/>
            </w:tcBorders>
            <w:noWrap/>
            <w:vAlign w:val="bottom"/>
            <w:hideMark/>
          </w:tcPr>
          <w:p w14:paraId="17DC8D2B"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Dominican Republic</w:t>
            </w:r>
          </w:p>
        </w:tc>
        <w:tc>
          <w:tcPr>
            <w:tcW w:w="1701" w:type="dxa"/>
            <w:tcBorders>
              <w:top w:val="nil"/>
              <w:left w:val="nil"/>
              <w:bottom w:val="nil"/>
              <w:right w:val="nil"/>
            </w:tcBorders>
            <w:noWrap/>
            <w:vAlign w:val="bottom"/>
            <w:hideMark/>
          </w:tcPr>
          <w:p w14:paraId="0320630C" w14:textId="77777777" w:rsidR="00CC0A78" w:rsidRDefault="00CC0A78">
            <w:pPr>
              <w:suppressAutoHyphens w:val="0"/>
              <w:spacing w:line="240" w:lineRule="auto"/>
              <w:jc w:val="right"/>
              <w:rPr>
                <w:sz w:val="18"/>
                <w:szCs w:val="18"/>
              </w:rPr>
            </w:pPr>
            <w:r>
              <w:rPr>
                <w:sz w:val="18"/>
                <w:szCs w:val="18"/>
              </w:rPr>
              <w:t>0.053</w:t>
            </w:r>
          </w:p>
        </w:tc>
        <w:tc>
          <w:tcPr>
            <w:tcW w:w="1559" w:type="dxa"/>
            <w:tcBorders>
              <w:top w:val="nil"/>
              <w:left w:val="nil"/>
              <w:bottom w:val="nil"/>
              <w:right w:val="nil"/>
            </w:tcBorders>
            <w:noWrap/>
            <w:vAlign w:val="bottom"/>
            <w:hideMark/>
          </w:tcPr>
          <w:p w14:paraId="0C846E39" w14:textId="77777777" w:rsidR="00CC0A78" w:rsidRDefault="00CC0A78">
            <w:pPr>
              <w:suppressAutoHyphens w:val="0"/>
              <w:spacing w:line="240" w:lineRule="auto"/>
              <w:jc w:val="right"/>
              <w:rPr>
                <w:sz w:val="18"/>
                <w:szCs w:val="18"/>
              </w:rPr>
            </w:pPr>
            <w:r>
              <w:rPr>
                <w:color w:val="000000"/>
                <w:sz w:val="18"/>
                <w:szCs w:val="18"/>
              </w:rPr>
              <w:t>0.069</w:t>
            </w:r>
          </w:p>
        </w:tc>
      </w:tr>
      <w:tr w:rsidR="00CC0A78" w14:paraId="4B874F65" w14:textId="77777777" w:rsidTr="00B719E1">
        <w:trPr>
          <w:trHeight w:val="240"/>
        </w:trPr>
        <w:tc>
          <w:tcPr>
            <w:tcW w:w="4111" w:type="dxa"/>
            <w:tcBorders>
              <w:top w:val="nil"/>
              <w:left w:val="nil"/>
              <w:bottom w:val="nil"/>
              <w:right w:val="nil"/>
            </w:tcBorders>
            <w:noWrap/>
            <w:vAlign w:val="bottom"/>
            <w:hideMark/>
          </w:tcPr>
          <w:p w14:paraId="439A5E77"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Ecuador</w:t>
            </w:r>
          </w:p>
        </w:tc>
        <w:tc>
          <w:tcPr>
            <w:tcW w:w="1701" w:type="dxa"/>
            <w:tcBorders>
              <w:top w:val="nil"/>
              <w:left w:val="nil"/>
              <w:bottom w:val="nil"/>
              <w:right w:val="nil"/>
            </w:tcBorders>
            <w:noWrap/>
            <w:vAlign w:val="bottom"/>
            <w:hideMark/>
          </w:tcPr>
          <w:p w14:paraId="1426D2C0" w14:textId="77777777" w:rsidR="00CC0A78" w:rsidRDefault="00CC0A78">
            <w:pPr>
              <w:suppressAutoHyphens w:val="0"/>
              <w:spacing w:line="240" w:lineRule="auto"/>
              <w:jc w:val="right"/>
              <w:rPr>
                <w:sz w:val="18"/>
                <w:szCs w:val="18"/>
              </w:rPr>
            </w:pPr>
            <w:r>
              <w:rPr>
                <w:sz w:val="18"/>
                <w:szCs w:val="18"/>
              </w:rPr>
              <w:t>0.080</w:t>
            </w:r>
          </w:p>
        </w:tc>
        <w:tc>
          <w:tcPr>
            <w:tcW w:w="1559" w:type="dxa"/>
            <w:tcBorders>
              <w:top w:val="nil"/>
              <w:left w:val="nil"/>
              <w:bottom w:val="nil"/>
              <w:right w:val="nil"/>
            </w:tcBorders>
            <w:noWrap/>
            <w:vAlign w:val="bottom"/>
            <w:hideMark/>
          </w:tcPr>
          <w:p w14:paraId="306FC939" w14:textId="77777777" w:rsidR="00CC0A78" w:rsidRDefault="00CC0A78">
            <w:pPr>
              <w:suppressAutoHyphens w:val="0"/>
              <w:spacing w:line="240" w:lineRule="auto"/>
              <w:jc w:val="right"/>
              <w:rPr>
                <w:sz w:val="18"/>
                <w:szCs w:val="18"/>
              </w:rPr>
            </w:pPr>
            <w:r>
              <w:rPr>
                <w:color w:val="000000"/>
                <w:sz w:val="18"/>
                <w:szCs w:val="18"/>
              </w:rPr>
              <w:t>0.104</w:t>
            </w:r>
          </w:p>
        </w:tc>
      </w:tr>
      <w:tr w:rsidR="00CC0A78" w14:paraId="53933237" w14:textId="77777777" w:rsidTr="00B719E1">
        <w:trPr>
          <w:trHeight w:val="240"/>
        </w:trPr>
        <w:tc>
          <w:tcPr>
            <w:tcW w:w="4111" w:type="dxa"/>
            <w:tcBorders>
              <w:top w:val="nil"/>
              <w:left w:val="nil"/>
              <w:bottom w:val="nil"/>
              <w:right w:val="nil"/>
            </w:tcBorders>
            <w:noWrap/>
            <w:vAlign w:val="bottom"/>
            <w:hideMark/>
          </w:tcPr>
          <w:p w14:paraId="20FDBEAB"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Egypt</w:t>
            </w:r>
          </w:p>
        </w:tc>
        <w:tc>
          <w:tcPr>
            <w:tcW w:w="1701" w:type="dxa"/>
            <w:tcBorders>
              <w:top w:val="nil"/>
              <w:left w:val="nil"/>
              <w:bottom w:val="nil"/>
              <w:right w:val="nil"/>
            </w:tcBorders>
            <w:noWrap/>
            <w:vAlign w:val="bottom"/>
            <w:hideMark/>
          </w:tcPr>
          <w:p w14:paraId="41886BF4" w14:textId="77777777" w:rsidR="00CC0A78" w:rsidRDefault="00CC0A78">
            <w:pPr>
              <w:suppressAutoHyphens w:val="0"/>
              <w:spacing w:line="240" w:lineRule="auto"/>
              <w:jc w:val="right"/>
              <w:rPr>
                <w:sz w:val="18"/>
                <w:szCs w:val="18"/>
              </w:rPr>
            </w:pPr>
            <w:r>
              <w:rPr>
                <w:sz w:val="18"/>
                <w:szCs w:val="18"/>
              </w:rPr>
              <w:t>0.186</w:t>
            </w:r>
          </w:p>
        </w:tc>
        <w:tc>
          <w:tcPr>
            <w:tcW w:w="1559" w:type="dxa"/>
            <w:tcBorders>
              <w:top w:val="nil"/>
              <w:left w:val="nil"/>
              <w:bottom w:val="nil"/>
              <w:right w:val="nil"/>
            </w:tcBorders>
            <w:noWrap/>
            <w:vAlign w:val="bottom"/>
            <w:hideMark/>
          </w:tcPr>
          <w:p w14:paraId="29A25492" w14:textId="77777777" w:rsidR="00CC0A78" w:rsidRDefault="00CC0A78">
            <w:pPr>
              <w:suppressAutoHyphens w:val="0"/>
              <w:spacing w:line="240" w:lineRule="auto"/>
              <w:jc w:val="right"/>
              <w:rPr>
                <w:sz w:val="18"/>
                <w:szCs w:val="18"/>
              </w:rPr>
            </w:pPr>
            <w:r>
              <w:rPr>
                <w:color w:val="000000"/>
                <w:sz w:val="18"/>
                <w:szCs w:val="18"/>
              </w:rPr>
              <w:t>0.241</w:t>
            </w:r>
          </w:p>
        </w:tc>
      </w:tr>
      <w:tr w:rsidR="00CC0A78" w14:paraId="1E48FE08" w14:textId="77777777" w:rsidTr="00B719E1">
        <w:trPr>
          <w:trHeight w:val="240"/>
        </w:trPr>
        <w:tc>
          <w:tcPr>
            <w:tcW w:w="4111" w:type="dxa"/>
            <w:tcBorders>
              <w:top w:val="nil"/>
              <w:left w:val="nil"/>
              <w:bottom w:val="nil"/>
              <w:right w:val="nil"/>
            </w:tcBorders>
            <w:noWrap/>
            <w:vAlign w:val="bottom"/>
            <w:hideMark/>
          </w:tcPr>
          <w:p w14:paraId="50FA4544"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El Salvador</w:t>
            </w:r>
          </w:p>
        </w:tc>
        <w:tc>
          <w:tcPr>
            <w:tcW w:w="1701" w:type="dxa"/>
            <w:tcBorders>
              <w:top w:val="nil"/>
              <w:left w:val="nil"/>
              <w:bottom w:val="nil"/>
              <w:right w:val="nil"/>
            </w:tcBorders>
            <w:noWrap/>
            <w:vAlign w:val="bottom"/>
            <w:hideMark/>
          </w:tcPr>
          <w:p w14:paraId="2C402103" w14:textId="77777777" w:rsidR="00CC0A78" w:rsidRDefault="00CC0A78">
            <w:pPr>
              <w:suppressAutoHyphens w:val="0"/>
              <w:spacing w:line="240" w:lineRule="auto"/>
              <w:jc w:val="right"/>
              <w:rPr>
                <w:sz w:val="18"/>
                <w:szCs w:val="18"/>
              </w:rPr>
            </w:pPr>
            <w:r>
              <w:rPr>
                <w:sz w:val="18"/>
                <w:szCs w:val="18"/>
              </w:rPr>
              <w:t>0.012</w:t>
            </w:r>
          </w:p>
        </w:tc>
        <w:tc>
          <w:tcPr>
            <w:tcW w:w="1559" w:type="dxa"/>
            <w:tcBorders>
              <w:top w:val="nil"/>
              <w:left w:val="nil"/>
              <w:bottom w:val="nil"/>
              <w:right w:val="nil"/>
            </w:tcBorders>
            <w:noWrap/>
            <w:vAlign w:val="bottom"/>
            <w:hideMark/>
          </w:tcPr>
          <w:p w14:paraId="333F4BBA" w14:textId="77777777" w:rsidR="00CC0A78" w:rsidRDefault="00CC0A78">
            <w:pPr>
              <w:suppressAutoHyphens w:val="0"/>
              <w:spacing w:line="240" w:lineRule="auto"/>
              <w:jc w:val="right"/>
              <w:rPr>
                <w:sz w:val="18"/>
                <w:szCs w:val="18"/>
              </w:rPr>
            </w:pPr>
            <w:r>
              <w:rPr>
                <w:color w:val="000000"/>
                <w:sz w:val="18"/>
                <w:szCs w:val="18"/>
              </w:rPr>
              <w:t>0.016</w:t>
            </w:r>
          </w:p>
        </w:tc>
      </w:tr>
      <w:tr w:rsidR="00CC0A78" w14:paraId="40987418" w14:textId="77777777" w:rsidTr="00B719E1">
        <w:trPr>
          <w:trHeight w:val="240"/>
        </w:trPr>
        <w:tc>
          <w:tcPr>
            <w:tcW w:w="4111" w:type="dxa"/>
            <w:tcBorders>
              <w:top w:val="nil"/>
              <w:left w:val="nil"/>
              <w:bottom w:val="nil"/>
              <w:right w:val="nil"/>
            </w:tcBorders>
            <w:noWrap/>
            <w:vAlign w:val="bottom"/>
            <w:hideMark/>
          </w:tcPr>
          <w:p w14:paraId="71463C1D"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Equatorial Guinea</w:t>
            </w:r>
          </w:p>
        </w:tc>
        <w:tc>
          <w:tcPr>
            <w:tcW w:w="1701" w:type="dxa"/>
            <w:tcBorders>
              <w:top w:val="nil"/>
              <w:left w:val="nil"/>
              <w:bottom w:val="nil"/>
              <w:right w:val="nil"/>
            </w:tcBorders>
            <w:noWrap/>
            <w:vAlign w:val="bottom"/>
            <w:hideMark/>
          </w:tcPr>
          <w:p w14:paraId="2E7D221E" w14:textId="77777777" w:rsidR="00CC0A78" w:rsidRDefault="00CC0A78">
            <w:pPr>
              <w:suppressAutoHyphens w:val="0"/>
              <w:spacing w:line="240" w:lineRule="auto"/>
              <w:jc w:val="right"/>
              <w:rPr>
                <w:sz w:val="18"/>
                <w:szCs w:val="18"/>
              </w:rPr>
            </w:pPr>
            <w:r>
              <w:rPr>
                <w:sz w:val="18"/>
                <w:szCs w:val="18"/>
              </w:rPr>
              <w:t>0.016</w:t>
            </w:r>
          </w:p>
        </w:tc>
        <w:tc>
          <w:tcPr>
            <w:tcW w:w="1559" w:type="dxa"/>
            <w:tcBorders>
              <w:top w:val="nil"/>
              <w:left w:val="nil"/>
              <w:bottom w:val="nil"/>
              <w:right w:val="nil"/>
            </w:tcBorders>
            <w:noWrap/>
            <w:vAlign w:val="bottom"/>
            <w:hideMark/>
          </w:tcPr>
          <w:p w14:paraId="11929CDD" w14:textId="77777777" w:rsidR="00CC0A78" w:rsidRDefault="00CC0A78">
            <w:pPr>
              <w:suppressAutoHyphens w:val="0"/>
              <w:spacing w:line="240" w:lineRule="auto"/>
              <w:jc w:val="right"/>
              <w:rPr>
                <w:sz w:val="18"/>
                <w:szCs w:val="18"/>
              </w:rPr>
            </w:pPr>
            <w:r>
              <w:rPr>
                <w:color w:val="000000"/>
                <w:sz w:val="18"/>
                <w:szCs w:val="18"/>
              </w:rPr>
              <w:t>0.021</w:t>
            </w:r>
          </w:p>
        </w:tc>
      </w:tr>
      <w:tr w:rsidR="00CC0A78" w14:paraId="423FE94C" w14:textId="77777777" w:rsidTr="00B719E1">
        <w:trPr>
          <w:trHeight w:val="240"/>
        </w:trPr>
        <w:tc>
          <w:tcPr>
            <w:tcW w:w="4111" w:type="dxa"/>
            <w:tcBorders>
              <w:top w:val="nil"/>
              <w:left w:val="nil"/>
              <w:bottom w:val="nil"/>
              <w:right w:val="nil"/>
            </w:tcBorders>
            <w:noWrap/>
            <w:vAlign w:val="bottom"/>
            <w:hideMark/>
          </w:tcPr>
          <w:p w14:paraId="33AAA432"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Eritrea</w:t>
            </w:r>
          </w:p>
        </w:tc>
        <w:tc>
          <w:tcPr>
            <w:tcW w:w="1701" w:type="dxa"/>
            <w:tcBorders>
              <w:top w:val="nil"/>
              <w:left w:val="nil"/>
              <w:bottom w:val="nil"/>
              <w:right w:val="nil"/>
            </w:tcBorders>
            <w:noWrap/>
            <w:vAlign w:val="bottom"/>
            <w:hideMark/>
          </w:tcPr>
          <w:p w14:paraId="3469E616" w14:textId="77777777" w:rsidR="00CC0A78" w:rsidRDefault="00CC0A78">
            <w:pPr>
              <w:suppressAutoHyphens w:val="0"/>
              <w:spacing w:line="240" w:lineRule="auto"/>
              <w:jc w:val="right"/>
              <w:rPr>
                <w:sz w:val="18"/>
                <w:szCs w:val="18"/>
              </w:rPr>
            </w:pPr>
            <w:r>
              <w:rPr>
                <w:sz w:val="18"/>
                <w:szCs w:val="18"/>
              </w:rPr>
              <w:t>0.001</w:t>
            </w:r>
          </w:p>
        </w:tc>
        <w:tc>
          <w:tcPr>
            <w:tcW w:w="1559" w:type="dxa"/>
            <w:tcBorders>
              <w:top w:val="nil"/>
              <w:left w:val="nil"/>
              <w:bottom w:val="nil"/>
              <w:right w:val="nil"/>
            </w:tcBorders>
            <w:noWrap/>
            <w:vAlign w:val="bottom"/>
            <w:hideMark/>
          </w:tcPr>
          <w:p w14:paraId="5DAC9E40" w14:textId="77777777" w:rsidR="00CC0A78" w:rsidRDefault="00CC0A78">
            <w:pPr>
              <w:suppressAutoHyphens w:val="0"/>
              <w:spacing w:line="240" w:lineRule="auto"/>
              <w:jc w:val="right"/>
              <w:rPr>
                <w:sz w:val="18"/>
                <w:szCs w:val="18"/>
              </w:rPr>
            </w:pPr>
            <w:r>
              <w:rPr>
                <w:color w:val="000000"/>
                <w:sz w:val="18"/>
                <w:szCs w:val="18"/>
              </w:rPr>
              <w:t>0.001</w:t>
            </w:r>
          </w:p>
        </w:tc>
      </w:tr>
      <w:tr w:rsidR="00CC0A78" w14:paraId="47099824" w14:textId="77777777" w:rsidTr="00B719E1">
        <w:trPr>
          <w:trHeight w:val="240"/>
        </w:trPr>
        <w:tc>
          <w:tcPr>
            <w:tcW w:w="4111" w:type="dxa"/>
            <w:tcBorders>
              <w:top w:val="nil"/>
              <w:left w:val="nil"/>
              <w:bottom w:val="nil"/>
              <w:right w:val="nil"/>
            </w:tcBorders>
            <w:noWrap/>
            <w:vAlign w:val="bottom"/>
            <w:hideMark/>
          </w:tcPr>
          <w:p w14:paraId="28E5DF9A"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Estonia</w:t>
            </w:r>
          </w:p>
        </w:tc>
        <w:tc>
          <w:tcPr>
            <w:tcW w:w="1701" w:type="dxa"/>
            <w:tcBorders>
              <w:top w:val="nil"/>
              <w:left w:val="nil"/>
              <w:bottom w:val="nil"/>
              <w:right w:val="nil"/>
            </w:tcBorders>
            <w:noWrap/>
            <w:vAlign w:val="bottom"/>
            <w:hideMark/>
          </w:tcPr>
          <w:p w14:paraId="15BFEC5E" w14:textId="77777777" w:rsidR="00CC0A78" w:rsidRDefault="00CC0A78">
            <w:pPr>
              <w:suppressAutoHyphens w:val="0"/>
              <w:spacing w:line="240" w:lineRule="auto"/>
              <w:jc w:val="right"/>
              <w:rPr>
                <w:sz w:val="18"/>
                <w:szCs w:val="18"/>
              </w:rPr>
            </w:pPr>
            <w:r>
              <w:rPr>
                <w:sz w:val="18"/>
                <w:szCs w:val="18"/>
              </w:rPr>
              <w:t>0.039</w:t>
            </w:r>
          </w:p>
        </w:tc>
        <w:tc>
          <w:tcPr>
            <w:tcW w:w="1559" w:type="dxa"/>
            <w:tcBorders>
              <w:top w:val="nil"/>
              <w:left w:val="nil"/>
              <w:bottom w:val="nil"/>
              <w:right w:val="nil"/>
            </w:tcBorders>
            <w:noWrap/>
            <w:vAlign w:val="bottom"/>
            <w:hideMark/>
          </w:tcPr>
          <w:p w14:paraId="7EDB8851" w14:textId="77777777" w:rsidR="00CC0A78" w:rsidRDefault="00CC0A78">
            <w:pPr>
              <w:suppressAutoHyphens w:val="0"/>
              <w:spacing w:line="240" w:lineRule="auto"/>
              <w:jc w:val="right"/>
              <w:rPr>
                <w:sz w:val="18"/>
                <w:szCs w:val="18"/>
              </w:rPr>
            </w:pPr>
            <w:r>
              <w:rPr>
                <w:color w:val="000000"/>
                <w:sz w:val="18"/>
                <w:szCs w:val="18"/>
              </w:rPr>
              <w:t>0.051</w:t>
            </w:r>
          </w:p>
        </w:tc>
      </w:tr>
      <w:tr w:rsidR="00CC0A78" w14:paraId="2C72332B" w14:textId="77777777" w:rsidTr="00B719E1">
        <w:trPr>
          <w:trHeight w:val="240"/>
        </w:trPr>
        <w:tc>
          <w:tcPr>
            <w:tcW w:w="4111" w:type="dxa"/>
            <w:tcBorders>
              <w:top w:val="nil"/>
              <w:left w:val="nil"/>
              <w:bottom w:val="nil"/>
              <w:right w:val="nil"/>
            </w:tcBorders>
            <w:noWrap/>
            <w:vAlign w:val="bottom"/>
            <w:hideMark/>
          </w:tcPr>
          <w:p w14:paraId="561E7BB6"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Eswatini</w:t>
            </w:r>
          </w:p>
        </w:tc>
        <w:tc>
          <w:tcPr>
            <w:tcW w:w="1701" w:type="dxa"/>
            <w:tcBorders>
              <w:top w:val="nil"/>
              <w:left w:val="nil"/>
              <w:bottom w:val="nil"/>
              <w:right w:val="nil"/>
            </w:tcBorders>
            <w:noWrap/>
            <w:vAlign w:val="bottom"/>
            <w:hideMark/>
          </w:tcPr>
          <w:p w14:paraId="6A7CDEC4" w14:textId="77777777" w:rsidR="00CC0A78" w:rsidRDefault="00CC0A78">
            <w:pPr>
              <w:suppressAutoHyphens w:val="0"/>
              <w:spacing w:line="240" w:lineRule="auto"/>
              <w:jc w:val="right"/>
              <w:rPr>
                <w:sz w:val="18"/>
                <w:szCs w:val="18"/>
              </w:rPr>
            </w:pPr>
            <w:r>
              <w:rPr>
                <w:sz w:val="18"/>
                <w:szCs w:val="18"/>
              </w:rPr>
              <w:t>0.002</w:t>
            </w:r>
          </w:p>
        </w:tc>
        <w:tc>
          <w:tcPr>
            <w:tcW w:w="1559" w:type="dxa"/>
            <w:tcBorders>
              <w:top w:val="nil"/>
              <w:left w:val="nil"/>
              <w:bottom w:val="nil"/>
              <w:right w:val="nil"/>
            </w:tcBorders>
            <w:noWrap/>
            <w:vAlign w:val="bottom"/>
            <w:hideMark/>
          </w:tcPr>
          <w:p w14:paraId="537AE363" w14:textId="77777777" w:rsidR="00CC0A78" w:rsidRDefault="00CC0A78">
            <w:pPr>
              <w:suppressAutoHyphens w:val="0"/>
              <w:spacing w:line="240" w:lineRule="auto"/>
              <w:jc w:val="right"/>
              <w:rPr>
                <w:sz w:val="18"/>
                <w:szCs w:val="18"/>
              </w:rPr>
            </w:pPr>
            <w:r>
              <w:rPr>
                <w:color w:val="000000"/>
                <w:sz w:val="18"/>
                <w:szCs w:val="18"/>
              </w:rPr>
              <w:t>0.003</w:t>
            </w:r>
          </w:p>
        </w:tc>
      </w:tr>
      <w:tr w:rsidR="00CC0A78" w14:paraId="2D8DAEC3" w14:textId="77777777" w:rsidTr="00B719E1">
        <w:trPr>
          <w:trHeight w:val="240"/>
        </w:trPr>
        <w:tc>
          <w:tcPr>
            <w:tcW w:w="4111" w:type="dxa"/>
            <w:tcBorders>
              <w:top w:val="nil"/>
              <w:left w:val="nil"/>
              <w:bottom w:val="nil"/>
              <w:right w:val="nil"/>
            </w:tcBorders>
            <w:noWrap/>
            <w:vAlign w:val="bottom"/>
            <w:hideMark/>
          </w:tcPr>
          <w:p w14:paraId="3421C92C"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Ethiopia</w:t>
            </w:r>
          </w:p>
        </w:tc>
        <w:tc>
          <w:tcPr>
            <w:tcW w:w="1701" w:type="dxa"/>
            <w:tcBorders>
              <w:top w:val="nil"/>
              <w:left w:val="nil"/>
              <w:bottom w:val="nil"/>
              <w:right w:val="nil"/>
            </w:tcBorders>
            <w:noWrap/>
            <w:vAlign w:val="bottom"/>
            <w:hideMark/>
          </w:tcPr>
          <w:p w14:paraId="0F2F5A94" w14:textId="77777777" w:rsidR="00CC0A78" w:rsidRDefault="00CC0A78">
            <w:pPr>
              <w:suppressAutoHyphens w:val="0"/>
              <w:spacing w:line="240" w:lineRule="auto"/>
              <w:jc w:val="right"/>
              <w:rPr>
                <w:sz w:val="18"/>
                <w:szCs w:val="18"/>
              </w:rPr>
            </w:pPr>
            <w:r>
              <w:rPr>
                <w:sz w:val="18"/>
                <w:szCs w:val="18"/>
              </w:rPr>
              <w:t>0.010</w:t>
            </w:r>
          </w:p>
        </w:tc>
        <w:tc>
          <w:tcPr>
            <w:tcW w:w="1559" w:type="dxa"/>
            <w:tcBorders>
              <w:top w:val="nil"/>
              <w:left w:val="nil"/>
              <w:bottom w:val="nil"/>
              <w:right w:val="nil"/>
            </w:tcBorders>
            <w:noWrap/>
            <w:vAlign w:val="bottom"/>
            <w:hideMark/>
          </w:tcPr>
          <w:p w14:paraId="26B29F15" w14:textId="77777777" w:rsidR="00CC0A78" w:rsidRDefault="00CC0A78">
            <w:pPr>
              <w:suppressAutoHyphens w:val="0"/>
              <w:spacing w:line="240" w:lineRule="auto"/>
              <w:jc w:val="right"/>
              <w:rPr>
                <w:sz w:val="18"/>
                <w:szCs w:val="18"/>
              </w:rPr>
            </w:pPr>
            <w:r>
              <w:rPr>
                <w:color w:val="000000"/>
                <w:sz w:val="18"/>
                <w:szCs w:val="18"/>
              </w:rPr>
              <w:t>0.013</w:t>
            </w:r>
          </w:p>
        </w:tc>
      </w:tr>
      <w:tr w:rsidR="00CC0A78" w14:paraId="5611189F" w14:textId="77777777" w:rsidTr="00B719E1">
        <w:trPr>
          <w:trHeight w:val="240"/>
        </w:trPr>
        <w:tc>
          <w:tcPr>
            <w:tcW w:w="4111" w:type="dxa"/>
            <w:tcBorders>
              <w:top w:val="nil"/>
              <w:left w:val="nil"/>
              <w:bottom w:val="nil"/>
              <w:right w:val="nil"/>
            </w:tcBorders>
            <w:noWrap/>
            <w:vAlign w:val="bottom"/>
            <w:hideMark/>
          </w:tcPr>
          <w:p w14:paraId="2F764948"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European Union</w:t>
            </w:r>
          </w:p>
        </w:tc>
        <w:tc>
          <w:tcPr>
            <w:tcW w:w="1701" w:type="dxa"/>
            <w:tcBorders>
              <w:top w:val="nil"/>
              <w:left w:val="nil"/>
              <w:bottom w:val="nil"/>
              <w:right w:val="nil"/>
            </w:tcBorders>
            <w:noWrap/>
            <w:vAlign w:val="bottom"/>
            <w:hideMark/>
          </w:tcPr>
          <w:p w14:paraId="67E60BD9" w14:textId="77777777" w:rsidR="00CC0A78" w:rsidRDefault="00CC0A78">
            <w:pPr>
              <w:suppressAutoHyphens w:val="0"/>
              <w:spacing w:line="240" w:lineRule="auto"/>
              <w:jc w:val="right"/>
              <w:rPr>
                <w:sz w:val="18"/>
                <w:szCs w:val="18"/>
              </w:rPr>
            </w:pPr>
            <w:r>
              <w:rPr>
                <w:sz w:val="18"/>
                <w:szCs w:val="18"/>
              </w:rPr>
              <w:t>0.000</w:t>
            </w:r>
          </w:p>
        </w:tc>
        <w:tc>
          <w:tcPr>
            <w:tcW w:w="1559" w:type="dxa"/>
            <w:tcBorders>
              <w:top w:val="nil"/>
              <w:left w:val="nil"/>
              <w:bottom w:val="nil"/>
              <w:right w:val="nil"/>
            </w:tcBorders>
            <w:noWrap/>
            <w:vAlign w:val="bottom"/>
            <w:hideMark/>
          </w:tcPr>
          <w:p w14:paraId="7F61629D" w14:textId="77777777" w:rsidR="00CC0A78" w:rsidRDefault="00CC0A78">
            <w:pPr>
              <w:suppressAutoHyphens w:val="0"/>
              <w:spacing w:line="240" w:lineRule="auto"/>
              <w:jc w:val="right"/>
              <w:rPr>
                <w:sz w:val="18"/>
                <w:szCs w:val="18"/>
              </w:rPr>
            </w:pPr>
            <w:r>
              <w:rPr>
                <w:color w:val="000000"/>
                <w:sz w:val="18"/>
                <w:szCs w:val="18"/>
              </w:rPr>
              <w:t>2.500</w:t>
            </w:r>
          </w:p>
        </w:tc>
      </w:tr>
      <w:tr w:rsidR="00CC0A78" w14:paraId="4C8F3D11" w14:textId="77777777" w:rsidTr="00B719E1">
        <w:trPr>
          <w:trHeight w:val="240"/>
        </w:trPr>
        <w:tc>
          <w:tcPr>
            <w:tcW w:w="4111" w:type="dxa"/>
            <w:tcBorders>
              <w:top w:val="nil"/>
              <w:left w:val="nil"/>
              <w:bottom w:val="nil"/>
              <w:right w:val="nil"/>
            </w:tcBorders>
            <w:noWrap/>
            <w:vAlign w:val="bottom"/>
            <w:hideMark/>
          </w:tcPr>
          <w:p w14:paraId="68EA61B4"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Fiji</w:t>
            </w:r>
          </w:p>
        </w:tc>
        <w:tc>
          <w:tcPr>
            <w:tcW w:w="1701" w:type="dxa"/>
            <w:tcBorders>
              <w:top w:val="nil"/>
              <w:left w:val="nil"/>
              <w:bottom w:val="nil"/>
              <w:right w:val="nil"/>
            </w:tcBorders>
            <w:noWrap/>
            <w:vAlign w:val="bottom"/>
            <w:hideMark/>
          </w:tcPr>
          <w:p w14:paraId="02B31D59" w14:textId="77777777" w:rsidR="00CC0A78" w:rsidRDefault="00CC0A78">
            <w:pPr>
              <w:suppressAutoHyphens w:val="0"/>
              <w:spacing w:line="240" w:lineRule="auto"/>
              <w:jc w:val="right"/>
              <w:rPr>
                <w:sz w:val="18"/>
                <w:szCs w:val="18"/>
              </w:rPr>
            </w:pPr>
            <w:r>
              <w:rPr>
                <w:sz w:val="18"/>
                <w:szCs w:val="18"/>
              </w:rPr>
              <w:t>0.003</w:t>
            </w:r>
          </w:p>
        </w:tc>
        <w:tc>
          <w:tcPr>
            <w:tcW w:w="1559" w:type="dxa"/>
            <w:tcBorders>
              <w:top w:val="nil"/>
              <w:left w:val="nil"/>
              <w:bottom w:val="nil"/>
              <w:right w:val="nil"/>
            </w:tcBorders>
            <w:noWrap/>
            <w:vAlign w:val="bottom"/>
            <w:hideMark/>
          </w:tcPr>
          <w:p w14:paraId="2C79827A" w14:textId="77777777" w:rsidR="00CC0A78" w:rsidRDefault="00CC0A78">
            <w:pPr>
              <w:suppressAutoHyphens w:val="0"/>
              <w:spacing w:line="240" w:lineRule="auto"/>
              <w:jc w:val="right"/>
              <w:rPr>
                <w:sz w:val="18"/>
                <w:szCs w:val="18"/>
              </w:rPr>
            </w:pPr>
            <w:r>
              <w:rPr>
                <w:color w:val="000000"/>
                <w:sz w:val="18"/>
                <w:szCs w:val="18"/>
              </w:rPr>
              <w:t>0.004</w:t>
            </w:r>
          </w:p>
        </w:tc>
      </w:tr>
      <w:tr w:rsidR="00CC0A78" w14:paraId="76DA1749" w14:textId="77777777" w:rsidTr="00B719E1">
        <w:trPr>
          <w:trHeight w:val="240"/>
        </w:trPr>
        <w:tc>
          <w:tcPr>
            <w:tcW w:w="4111" w:type="dxa"/>
            <w:tcBorders>
              <w:top w:val="nil"/>
              <w:left w:val="nil"/>
              <w:bottom w:val="nil"/>
              <w:right w:val="nil"/>
            </w:tcBorders>
            <w:noWrap/>
            <w:vAlign w:val="bottom"/>
            <w:hideMark/>
          </w:tcPr>
          <w:p w14:paraId="2E268F3E"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Finland</w:t>
            </w:r>
          </w:p>
        </w:tc>
        <w:tc>
          <w:tcPr>
            <w:tcW w:w="1701" w:type="dxa"/>
            <w:tcBorders>
              <w:top w:val="nil"/>
              <w:left w:val="nil"/>
              <w:bottom w:val="nil"/>
              <w:right w:val="nil"/>
            </w:tcBorders>
            <w:noWrap/>
            <w:vAlign w:val="bottom"/>
            <w:hideMark/>
          </w:tcPr>
          <w:p w14:paraId="1851FDBD" w14:textId="77777777" w:rsidR="00CC0A78" w:rsidRDefault="00CC0A78">
            <w:pPr>
              <w:suppressAutoHyphens w:val="0"/>
              <w:spacing w:line="240" w:lineRule="auto"/>
              <w:jc w:val="right"/>
              <w:rPr>
                <w:sz w:val="18"/>
                <w:szCs w:val="18"/>
              </w:rPr>
            </w:pPr>
            <w:r>
              <w:rPr>
                <w:sz w:val="18"/>
                <w:szCs w:val="18"/>
              </w:rPr>
              <w:t>0.421</w:t>
            </w:r>
          </w:p>
        </w:tc>
        <w:tc>
          <w:tcPr>
            <w:tcW w:w="1559" w:type="dxa"/>
            <w:tcBorders>
              <w:top w:val="nil"/>
              <w:left w:val="nil"/>
              <w:bottom w:val="nil"/>
              <w:right w:val="nil"/>
            </w:tcBorders>
            <w:noWrap/>
            <w:vAlign w:val="bottom"/>
            <w:hideMark/>
          </w:tcPr>
          <w:p w14:paraId="1C8008B0" w14:textId="77777777" w:rsidR="00CC0A78" w:rsidRDefault="00CC0A78">
            <w:pPr>
              <w:suppressAutoHyphens w:val="0"/>
              <w:spacing w:line="240" w:lineRule="auto"/>
              <w:jc w:val="right"/>
              <w:rPr>
                <w:sz w:val="18"/>
                <w:szCs w:val="18"/>
              </w:rPr>
            </w:pPr>
            <w:r>
              <w:rPr>
                <w:color w:val="000000"/>
                <w:sz w:val="18"/>
                <w:szCs w:val="18"/>
              </w:rPr>
              <w:t>0.545</w:t>
            </w:r>
          </w:p>
        </w:tc>
      </w:tr>
      <w:tr w:rsidR="00CC0A78" w14:paraId="6CF7FF6F" w14:textId="77777777" w:rsidTr="00B719E1">
        <w:trPr>
          <w:trHeight w:val="240"/>
        </w:trPr>
        <w:tc>
          <w:tcPr>
            <w:tcW w:w="4111" w:type="dxa"/>
            <w:tcBorders>
              <w:top w:val="nil"/>
              <w:left w:val="nil"/>
              <w:bottom w:val="nil"/>
              <w:right w:val="nil"/>
            </w:tcBorders>
            <w:noWrap/>
            <w:vAlign w:val="bottom"/>
            <w:hideMark/>
          </w:tcPr>
          <w:p w14:paraId="27BC3312"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France</w:t>
            </w:r>
          </w:p>
        </w:tc>
        <w:tc>
          <w:tcPr>
            <w:tcW w:w="1701" w:type="dxa"/>
            <w:tcBorders>
              <w:top w:val="nil"/>
              <w:left w:val="nil"/>
              <w:bottom w:val="nil"/>
              <w:right w:val="nil"/>
            </w:tcBorders>
            <w:noWrap/>
            <w:vAlign w:val="bottom"/>
            <w:hideMark/>
          </w:tcPr>
          <w:p w14:paraId="7A001493" w14:textId="77777777" w:rsidR="00CC0A78" w:rsidRDefault="00CC0A78">
            <w:pPr>
              <w:suppressAutoHyphens w:val="0"/>
              <w:spacing w:line="240" w:lineRule="auto"/>
              <w:jc w:val="right"/>
              <w:rPr>
                <w:sz w:val="18"/>
                <w:szCs w:val="18"/>
              </w:rPr>
            </w:pPr>
            <w:r>
              <w:rPr>
                <w:sz w:val="18"/>
                <w:szCs w:val="18"/>
              </w:rPr>
              <w:t>4.427</w:t>
            </w:r>
          </w:p>
        </w:tc>
        <w:tc>
          <w:tcPr>
            <w:tcW w:w="1559" w:type="dxa"/>
            <w:tcBorders>
              <w:top w:val="nil"/>
              <w:left w:val="nil"/>
              <w:bottom w:val="nil"/>
              <w:right w:val="nil"/>
            </w:tcBorders>
            <w:noWrap/>
            <w:vAlign w:val="bottom"/>
            <w:hideMark/>
          </w:tcPr>
          <w:p w14:paraId="70223FD7" w14:textId="77777777" w:rsidR="00CC0A78" w:rsidRDefault="00CC0A78">
            <w:pPr>
              <w:suppressAutoHyphens w:val="0"/>
              <w:spacing w:line="240" w:lineRule="auto"/>
              <w:jc w:val="right"/>
              <w:rPr>
                <w:sz w:val="18"/>
                <w:szCs w:val="18"/>
              </w:rPr>
            </w:pPr>
            <w:r>
              <w:rPr>
                <w:color w:val="000000"/>
                <w:sz w:val="18"/>
                <w:szCs w:val="18"/>
              </w:rPr>
              <w:t>5.736</w:t>
            </w:r>
          </w:p>
        </w:tc>
      </w:tr>
      <w:tr w:rsidR="00CC0A78" w14:paraId="3319337C" w14:textId="77777777" w:rsidTr="00B719E1">
        <w:trPr>
          <w:trHeight w:val="240"/>
        </w:trPr>
        <w:tc>
          <w:tcPr>
            <w:tcW w:w="4111" w:type="dxa"/>
            <w:tcBorders>
              <w:top w:val="nil"/>
              <w:left w:val="nil"/>
              <w:bottom w:val="nil"/>
              <w:right w:val="nil"/>
            </w:tcBorders>
            <w:noWrap/>
            <w:vAlign w:val="bottom"/>
            <w:hideMark/>
          </w:tcPr>
          <w:p w14:paraId="010F278F"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Gabon</w:t>
            </w:r>
          </w:p>
        </w:tc>
        <w:tc>
          <w:tcPr>
            <w:tcW w:w="1701" w:type="dxa"/>
            <w:tcBorders>
              <w:top w:val="nil"/>
              <w:left w:val="nil"/>
              <w:bottom w:val="nil"/>
              <w:right w:val="nil"/>
            </w:tcBorders>
            <w:noWrap/>
            <w:vAlign w:val="bottom"/>
            <w:hideMark/>
          </w:tcPr>
          <w:p w14:paraId="3D6D5185" w14:textId="77777777" w:rsidR="00CC0A78" w:rsidRDefault="00CC0A78">
            <w:pPr>
              <w:suppressAutoHyphens w:val="0"/>
              <w:spacing w:line="240" w:lineRule="auto"/>
              <w:jc w:val="right"/>
              <w:rPr>
                <w:sz w:val="18"/>
                <w:szCs w:val="18"/>
              </w:rPr>
            </w:pPr>
            <w:r>
              <w:rPr>
                <w:sz w:val="18"/>
                <w:szCs w:val="18"/>
              </w:rPr>
              <w:t>0.015</w:t>
            </w:r>
          </w:p>
        </w:tc>
        <w:tc>
          <w:tcPr>
            <w:tcW w:w="1559" w:type="dxa"/>
            <w:tcBorders>
              <w:top w:val="nil"/>
              <w:left w:val="nil"/>
              <w:bottom w:val="nil"/>
              <w:right w:val="nil"/>
            </w:tcBorders>
            <w:noWrap/>
            <w:vAlign w:val="bottom"/>
            <w:hideMark/>
          </w:tcPr>
          <w:p w14:paraId="25DD3A7A" w14:textId="77777777" w:rsidR="00CC0A78" w:rsidRDefault="00CC0A78">
            <w:pPr>
              <w:suppressAutoHyphens w:val="0"/>
              <w:spacing w:line="240" w:lineRule="auto"/>
              <w:jc w:val="right"/>
              <w:rPr>
                <w:sz w:val="18"/>
                <w:szCs w:val="18"/>
              </w:rPr>
            </w:pPr>
            <w:r>
              <w:rPr>
                <w:color w:val="000000"/>
                <w:sz w:val="18"/>
                <w:szCs w:val="18"/>
              </w:rPr>
              <w:t>0.019</w:t>
            </w:r>
          </w:p>
        </w:tc>
      </w:tr>
      <w:tr w:rsidR="00CC0A78" w14:paraId="31DCD0DA" w14:textId="77777777" w:rsidTr="00B719E1">
        <w:trPr>
          <w:trHeight w:val="240"/>
        </w:trPr>
        <w:tc>
          <w:tcPr>
            <w:tcW w:w="4111" w:type="dxa"/>
            <w:tcBorders>
              <w:top w:val="nil"/>
              <w:left w:val="nil"/>
              <w:bottom w:val="nil"/>
              <w:right w:val="nil"/>
            </w:tcBorders>
            <w:noWrap/>
            <w:vAlign w:val="bottom"/>
            <w:hideMark/>
          </w:tcPr>
          <w:p w14:paraId="68D8FBBA"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Gambia</w:t>
            </w:r>
          </w:p>
        </w:tc>
        <w:tc>
          <w:tcPr>
            <w:tcW w:w="1701" w:type="dxa"/>
            <w:tcBorders>
              <w:top w:val="nil"/>
              <w:left w:val="nil"/>
              <w:bottom w:val="nil"/>
              <w:right w:val="nil"/>
            </w:tcBorders>
            <w:noWrap/>
            <w:vAlign w:val="bottom"/>
            <w:hideMark/>
          </w:tcPr>
          <w:p w14:paraId="673E0D0C" w14:textId="77777777" w:rsidR="00CC0A78" w:rsidRDefault="00CC0A78">
            <w:pPr>
              <w:suppressAutoHyphens w:val="0"/>
              <w:spacing w:line="240" w:lineRule="auto"/>
              <w:jc w:val="right"/>
              <w:rPr>
                <w:sz w:val="18"/>
                <w:szCs w:val="18"/>
              </w:rPr>
            </w:pPr>
            <w:r>
              <w:rPr>
                <w:sz w:val="18"/>
                <w:szCs w:val="18"/>
              </w:rPr>
              <w:t>0.001</w:t>
            </w:r>
          </w:p>
        </w:tc>
        <w:tc>
          <w:tcPr>
            <w:tcW w:w="1559" w:type="dxa"/>
            <w:tcBorders>
              <w:top w:val="nil"/>
              <w:left w:val="nil"/>
              <w:bottom w:val="nil"/>
              <w:right w:val="nil"/>
            </w:tcBorders>
            <w:noWrap/>
            <w:vAlign w:val="bottom"/>
            <w:hideMark/>
          </w:tcPr>
          <w:p w14:paraId="52877693" w14:textId="77777777" w:rsidR="00CC0A78" w:rsidRDefault="00CC0A78">
            <w:pPr>
              <w:suppressAutoHyphens w:val="0"/>
              <w:spacing w:line="240" w:lineRule="auto"/>
              <w:jc w:val="right"/>
              <w:rPr>
                <w:sz w:val="18"/>
                <w:szCs w:val="18"/>
              </w:rPr>
            </w:pPr>
            <w:r>
              <w:rPr>
                <w:color w:val="000000"/>
                <w:sz w:val="18"/>
                <w:szCs w:val="18"/>
              </w:rPr>
              <w:t>0.001</w:t>
            </w:r>
          </w:p>
        </w:tc>
      </w:tr>
      <w:tr w:rsidR="00CC0A78" w14:paraId="12E41608" w14:textId="77777777" w:rsidTr="00B719E1">
        <w:trPr>
          <w:trHeight w:val="240"/>
        </w:trPr>
        <w:tc>
          <w:tcPr>
            <w:tcW w:w="4111" w:type="dxa"/>
            <w:tcBorders>
              <w:top w:val="nil"/>
              <w:left w:val="nil"/>
              <w:bottom w:val="nil"/>
              <w:right w:val="nil"/>
            </w:tcBorders>
            <w:noWrap/>
            <w:vAlign w:val="bottom"/>
            <w:hideMark/>
          </w:tcPr>
          <w:p w14:paraId="7F4500CD"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Georgia</w:t>
            </w:r>
          </w:p>
        </w:tc>
        <w:tc>
          <w:tcPr>
            <w:tcW w:w="1701" w:type="dxa"/>
            <w:tcBorders>
              <w:top w:val="nil"/>
              <w:left w:val="nil"/>
              <w:bottom w:val="nil"/>
              <w:right w:val="nil"/>
            </w:tcBorders>
            <w:noWrap/>
            <w:vAlign w:val="bottom"/>
            <w:hideMark/>
          </w:tcPr>
          <w:p w14:paraId="153CAEDD" w14:textId="77777777" w:rsidR="00CC0A78" w:rsidRDefault="00CC0A78">
            <w:pPr>
              <w:suppressAutoHyphens w:val="0"/>
              <w:spacing w:line="240" w:lineRule="auto"/>
              <w:jc w:val="right"/>
              <w:rPr>
                <w:sz w:val="18"/>
                <w:szCs w:val="18"/>
              </w:rPr>
            </w:pPr>
            <w:r>
              <w:rPr>
                <w:sz w:val="18"/>
                <w:szCs w:val="18"/>
              </w:rPr>
              <w:t>0.008</w:t>
            </w:r>
          </w:p>
        </w:tc>
        <w:tc>
          <w:tcPr>
            <w:tcW w:w="1559" w:type="dxa"/>
            <w:tcBorders>
              <w:top w:val="nil"/>
              <w:left w:val="nil"/>
              <w:bottom w:val="nil"/>
              <w:right w:val="nil"/>
            </w:tcBorders>
            <w:noWrap/>
            <w:vAlign w:val="bottom"/>
            <w:hideMark/>
          </w:tcPr>
          <w:p w14:paraId="540D0776" w14:textId="77777777" w:rsidR="00CC0A78" w:rsidRDefault="00CC0A78">
            <w:pPr>
              <w:suppressAutoHyphens w:val="0"/>
              <w:spacing w:line="240" w:lineRule="auto"/>
              <w:jc w:val="right"/>
              <w:rPr>
                <w:sz w:val="18"/>
                <w:szCs w:val="18"/>
              </w:rPr>
            </w:pPr>
            <w:r>
              <w:rPr>
                <w:color w:val="000000"/>
                <w:sz w:val="18"/>
                <w:szCs w:val="18"/>
              </w:rPr>
              <w:t>0.010</w:t>
            </w:r>
          </w:p>
        </w:tc>
      </w:tr>
      <w:tr w:rsidR="00CC0A78" w14:paraId="67104CE7" w14:textId="77777777" w:rsidTr="00B719E1">
        <w:trPr>
          <w:trHeight w:val="240"/>
        </w:trPr>
        <w:tc>
          <w:tcPr>
            <w:tcW w:w="4111" w:type="dxa"/>
            <w:tcBorders>
              <w:top w:val="nil"/>
              <w:left w:val="nil"/>
              <w:bottom w:val="nil"/>
              <w:right w:val="nil"/>
            </w:tcBorders>
            <w:noWrap/>
            <w:vAlign w:val="bottom"/>
            <w:hideMark/>
          </w:tcPr>
          <w:p w14:paraId="532DF46A"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Germany</w:t>
            </w:r>
          </w:p>
        </w:tc>
        <w:tc>
          <w:tcPr>
            <w:tcW w:w="1701" w:type="dxa"/>
            <w:tcBorders>
              <w:top w:val="nil"/>
              <w:left w:val="nil"/>
              <w:bottom w:val="nil"/>
              <w:right w:val="nil"/>
            </w:tcBorders>
            <w:noWrap/>
            <w:vAlign w:val="bottom"/>
            <w:hideMark/>
          </w:tcPr>
          <w:p w14:paraId="2506799A" w14:textId="77777777" w:rsidR="00CC0A78" w:rsidRDefault="00CC0A78">
            <w:pPr>
              <w:suppressAutoHyphens w:val="0"/>
              <w:spacing w:line="240" w:lineRule="auto"/>
              <w:jc w:val="right"/>
              <w:rPr>
                <w:sz w:val="18"/>
                <w:szCs w:val="18"/>
              </w:rPr>
            </w:pPr>
            <w:r>
              <w:rPr>
                <w:sz w:val="18"/>
                <w:szCs w:val="18"/>
              </w:rPr>
              <w:t>6.090</w:t>
            </w:r>
          </w:p>
        </w:tc>
        <w:tc>
          <w:tcPr>
            <w:tcW w:w="1559" w:type="dxa"/>
            <w:tcBorders>
              <w:top w:val="nil"/>
              <w:left w:val="nil"/>
              <w:bottom w:val="nil"/>
              <w:right w:val="nil"/>
            </w:tcBorders>
            <w:noWrap/>
            <w:vAlign w:val="bottom"/>
            <w:hideMark/>
          </w:tcPr>
          <w:p w14:paraId="0473BC6D" w14:textId="77777777" w:rsidR="00CC0A78" w:rsidRDefault="00CC0A78">
            <w:pPr>
              <w:suppressAutoHyphens w:val="0"/>
              <w:spacing w:line="240" w:lineRule="auto"/>
              <w:jc w:val="right"/>
              <w:rPr>
                <w:sz w:val="18"/>
                <w:szCs w:val="18"/>
              </w:rPr>
            </w:pPr>
            <w:r>
              <w:rPr>
                <w:color w:val="000000"/>
                <w:sz w:val="18"/>
                <w:szCs w:val="18"/>
              </w:rPr>
              <w:t>7.891</w:t>
            </w:r>
          </w:p>
        </w:tc>
      </w:tr>
      <w:tr w:rsidR="00CC0A78" w14:paraId="7848B4FC" w14:textId="77777777" w:rsidTr="00B719E1">
        <w:trPr>
          <w:trHeight w:val="240"/>
        </w:trPr>
        <w:tc>
          <w:tcPr>
            <w:tcW w:w="4111" w:type="dxa"/>
            <w:tcBorders>
              <w:top w:val="nil"/>
              <w:left w:val="nil"/>
              <w:bottom w:val="nil"/>
              <w:right w:val="nil"/>
            </w:tcBorders>
            <w:noWrap/>
            <w:vAlign w:val="bottom"/>
            <w:hideMark/>
          </w:tcPr>
          <w:p w14:paraId="776339AB"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Ghana</w:t>
            </w:r>
          </w:p>
        </w:tc>
        <w:tc>
          <w:tcPr>
            <w:tcW w:w="1701" w:type="dxa"/>
            <w:tcBorders>
              <w:top w:val="nil"/>
              <w:left w:val="nil"/>
              <w:bottom w:val="nil"/>
              <w:right w:val="nil"/>
            </w:tcBorders>
            <w:noWrap/>
            <w:vAlign w:val="bottom"/>
            <w:hideMark/>
          </w:tcPr>
          <w:p w14:paraId="34A849B6" w14:textId="77777777" w:rsidR="00CC0A78" w:rsidRDefault="00CC0A78">
            <w:pPr>
              <w:suppressAutoHyphens w:val="0"/>
              <w:spacing w:line="240" w:lineRule="auto"/>
              <w:jc w:val="right"/>
              <w:rPr>
                <w:sz w:val="18"/>
                <w:szCs w:val="18"/>
              </w:rPr>
            </w:pPr>
            <w:r>
              <w:rPr>
                <w:sz w:val="18"/>
                <w:szCs w:val="18"/>
              </w:rPr>
              <w:t>0.015</w:t>
            </w:r>
          </w:p>
        </w:tc>
        <w:tc>
          <w:tcPr>
            <w:tcW w:w="1559" w:type="dxa"/>
            <w:tcBorders>
              <w:top w:val="nil"/>
              <w:left w:val="nil"/>
              <w:bottom w:val="nil"/>
              <w:right w:val="nil"/>
            </w:tcBorders>
            <w:noWrap/>
            <w:vAlign w:val="bottom"/>
            <w:hideMark/>
          </w:tcPr>
          <w:p w14:paraId="372096DF" w14:textId="77777777" w:rsidR="00CC0A78" w:rsidRDefault="00CC0A78">
            <w:pPr>
              <w:suppressAutoHyphens w:val="0"/>
              <w:spacing w:line="240" w:lineRule="auto"/>
              <w:jc w:val="right"/>
              <w:rPr>
                <w:sz w:val="18"/>
                <w:szCs w:val="18"/>
              </w:rPr>
            </w:pPr>
            <w:r>
              <w:rPr>
                <w:color w:val="000000"/>
                <w:sz w:val="18"/>
                <w:szCs w:val="18"/>
              </w:rPr>
              <w:t>0.019</w:t>
            </w:r>
          </w:p>
        </w:tc>
      </w:tr>
      <w:tr w:rsidR="00CC0A78" w14:paraId="766BDF4C" w14:textId="77777777" w:rsidTr="00B719E1">
        <w:trPr>
          <w:trHeight w:val="240"/>
        </w:trPr>
        <w:tc>
          <w:tcPr>
            <w:tcW w:w="4111" w:type="dxa"/>
            <w:tcBorders>
              <w:top w:val="nil"/>
              <w:left w:val="nil"/>
              <w:bottom w:val="nil"/>
              <w:right w:val="nil"/>
            </w:tcBorders>
            <w:noWrap/>
            <w:vAlign w:val="bottom"/>
            <w:hideMark/>
          </w:tcPr>
          <w:p w14:paraId="18542ECC"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Greece</w:t>
            </w:r>
          </w:p>
        </w:tc>
        <w:tc>
          <w:tcPr>
            <w:tcW w:w="1701" w:type="dxa"/>
            <w:tcBorders>
              <w:top w:val="nil"/>
              <w:left w:val="nil"/>
              <w:bottom w:val="nil"/>
              <w:right w:val="nil"/>
            </w:tcBorders>
            <w:noWrap/>
            <w:vAlign w:val="bottom"/>
            <w:hideMark/>
          </w:tcPr>
          <w:p w14:paraId="7093F656" w14:textId="77777777" w:rsidR="00CC0A78" w:rsidRDefault="00CC0A78">
            <w:pPr>
              <w:suppressAutoHyphens w:val="0"/>
              <w:spacing w:line="240" w:lineRule="auto"/>
              <w:jc w:val="right"/>
              <w:rPr>
                <w:sz w:val="18"/>
                <w:szCs w:val="18"/>
              </w:rPr>
            </w:pPr>
            <w:r>
              <w:rPr>
                <w:sz w:val="18"/>
                <w:szCs w:val="18"/>
              </w:rPr>
              <w:t>0.366</w:t>
            </w:r>
          </w:p>
        </w:tc>
        <w:tc>
          <w:tcPr>
            <w:tcW w:w="1559" w:type="dxa"/>
            <w:tcBorders>
              <w:top w:val="nil"/>
              <w:left w:val="nil"/>
              <w:bottom w:val="nil"/>
              <w:right w:val="nil"/>
            </w:tcBorders>
            <w:noWrap/>
            <w:vAlign w:val="bottom"/>
            <w:hideMark/>
          </w:tcPr>
          <w:p w14:paraId="775E4437" w14:textId="77777777" w:rsidR="00CC0A78" w:rsidRDefault="00CC0A78">
            <w:pPr>
              <w:suppressAutoHyphens w:val="0"/>
              <w:spacing w:line="240" w:lineRule="auto"/>
              <w:jc w:val="right"/>
              <w:rPr>
                <w:sz w:val="18"/>
                <w:szCs w:val="18"/>
              </w:rPr>
            </w:pPr>
            <w:r>
              <w:rPr>
                <w:color w:val="000000"/>
                <w:sz w:val="18"/>
                <w:szCs w:val="18"/>
              </w:rPr>
              <w:t>0.474</w:t>
            </w:r>
          </w:p>
        </w:tc>
      </w:tr>
      <w:tr w:rsidR="00CC0A78" w14:paraId="6D84A92C" w14:textId="77777777" w:rsidTr="00B719E1">
        <w:trPr>
          <w:trHeight w:val="240"/>
        </w:trPr>
        <w:tc>
          <w:tcPr>
            <w:tcW w:w="4111" w:type="dxa"/>
            <w:tcBorders>
              <w:top w:val="nil"/>
              <w:left w:val="nil"/>
              <w:bottom w:val="nil"/>
              <w:right w:val="nil"/>
            </w:tcBorders>
            <w:noWrap/>
            <w:vAlign w:val="bottom"/>
            <w:hideMark/>
          </w:tcPr>
          <w:p w14:paraId="2362676A"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Grenada</w:t>
            </w:r>
          </w:p>
        </w:tc>
        <w:tc>
          <w:tcPr>
            <w:tcW w:w="1701" w:type="dxa"/>
            <w:tcBorders>
              <w:top w:val="nil"/>
              <w:left w:val="nil"/>
              <w:bottom w:val="nil"/>
              <w:right w:val="nil"/>
            </w:tcBorders>
            <w:noWrap/>
            <w:vAlign w:val="bottom"/>
            <w:hideMark/>
          </w:tcPr>
          <w:p w14:paraId="11260A47" w14:textId="77777777" w:rsidR="00CC0A78" w:rsidRDefault="00CC0A78">
            <w:pPr>
              <w:suppressAutoHyphens w:val="0"/>
              <w:spacing w:line="240" w:lineRule="auto"/>
              <w:jc w:val="right"/>
              <w:rPr>
                <w:sz w:val="18"/>
                <w:szCs w:val="18"/>
              </w:rPr>
            </w:pPr>
            <w:r>
              <w:rPr>
                <w:sz w:val="18"/>
                <w:szCs w:val="18"/>
              </w:rPr>
              <w:t>0.001</w:t>
            </w:r>
          </w:p>
        </w:tc>
        <w:tc>
          <w:tcPr>
            <w:tcW w:w="1559" w:type="dxa"/>
            <w:tcBorders>
              <w:top w:val="nil"/>
              <w:left w:val="nil"/>
              <w:bottom w:val="nil"/>
              <w:right w:val="nil"/>
            </w:tcBorders>
            <w:noWrap/>
            <w:vAlign w:val="bottom"/>
            <w:hideMark/>
          </w:tcPr>
          <w:p w14:paraId="7B65052E" w14:textId="77777777" w:rsidR="00CC0A78" w:rsidRDefault="00CC0A78">
            <w:pPr>
              <w:suppressAutoHyphens w:val="0"/>
              <w:spacing w:line="240" w:lineRule="auto"/>
              <w:jc w:val="right"/>
              <w:rPr>
                <w:sz w:val="18"/>
                <w:szCs w:val="18"/>
              </w:rPr>
            </w:pPr>
            <w:r>
              <w:rPr>
                <w:color w:val="000000"/>
                <w:sz w:val="18"/>
                <w:szCs w:val="18"/>
              </w:rPr>
              <w:t>0.001</w:t>
            </w:r>
          </w:p>
        </w:tc>
      </w:tr>
      <w:tr w:rsidR="00CC0A78" w14:paraId="1BE1AE1B" w14:textId="77777777" w:rsidTr="00B719E1">
        <w:trPr>
          <w:trHeight w:val="240"/>
        </w:trPr>
        <w:tc>
          <w:tcPr>
            <w:tcW w:w="4111" w:type="dxa"/>
            <w:tcBorders>
              <w:top w:val="nil"/>
              <w:left w:val="nil"/>
              <w:bottom w:val="nil"/>
              <w:right w:val="nil"/>
            </w:tcBorders>
            <w:noWrap/>
            <w:vAlign w:val="bottom"/>
            <w:hideMark/>
          </w:tcPr>
          <w:p w14:paraId="155AF9BE"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Guatemala</w:t>
            </w:r>
          </w:p>
        </w:tc>
        <w:tc>
          <w:tcPr>
            <w:tcW w:w="1701" w:type="dxa"/>
            <w:tcBorders>
              <w:top w:val="nil"/>
              <w:left w:val="nil"/>
              <w:bottom w:val="nil"/>
              <w:right w:val="nil"/>
            </w:tcBorders>
            <w:noWrap/>
            <w:vAlign w:val="bottom"/>
            <w:hideMark/>
          </w:tcPr>
          <w:p w14:paraId="5E2BB222" w14:textId="77777777" w:rsidR="00CC0A78" w:rsidRDefault="00CC0A78">
            <w:pPr>
              <w:suppressAutoHyphens w:val="0"/>
              <w:spacing w:line="240" w:lineRule="auto"/>
              <w:jc w:val="right"/>
              <w:rPr>
                <w:sz w:val="18"/>
                <w:szCs w:val="18"/>
              </w:rPr>
            </w:pPr>
            <w:r>
              <w:rPr>
                <w:sz w:val="18"/>
                <w:szCs w:val="18"/>
              </w:rPr>
              <w:t>0.036</w:t>
            </w:r>
          </w:p>
        </w:tc>
        <w:tc>
          <w:tcPr>
            <w:tcW w:w="1559" w:type="dxa"/>
            <w:tcBorders>
              <w:top w:val="nil"/>
              <w:left w:val="nil"/>
              <w:bottom w:val="nil"/>
              <w:right w:val="nil"/>
            </w:tcBorders>
            <w:noWrap/>
            <w:vAlign w:val="bottom"/>
            <w:hideMark/>
          </w:tcPr>
          <w:p w14:paraId="4D5DA076" w14:textId="77777777" w:rsidR="00CC0A78" w:rsidRDefault="00CC0A78">
            <w:pPr>
              <w:suppressAutoHyphens w:val="0"/>
              <w:spacing w:line="240" w:lineRule="auto"/>
              <w:jc w:val="right"/>
              <w:rPr>
                <w:sz w:val="18"/>
                <w:szCs w:val="18"/>
              </w:rPr>
            </w:pPr>
            <w:r>
              <w:rPr>
                <w:color w:val="000000"/>
                <w:sz w:val="18"/>
                <w:szCs w:val="18"/>
              </w:rPr>
              <w:t>0.047</w:t>
            </w:r>
          </w:p>
        </w:tc>
      </w:tr>
      <w:tr w:rsidR="00CC0A78" w14:paraId="74CC7008" w14:textId="77777777" w:rsidTr="00B719E1">
        <w:trPr>
          <w:trHeight w:val="240"/>
        </w:trPr>
        <w:tc>
          <w:tcPr>
            <w:tcW w:w="4111" w:type="dxa"/>
            <w:tcBorders>
              <w:top w:val="nil"/>
              <w:left w:val="nil"/>
              <w:bottom w:val="nil"/>
              <w:right w:val="nil"/>
            </w:tcBorders>
            <w:noWrap/>
            <w:vAlign w:val="bottom"/>
            <w:hideMark/>
          </w:tcPr>
          <w:p w14:paraId="3BE0F01D"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Guinea</w:t>
            </w:r>
          </w:p>
        </w:tc>
        <w:tc>
          <w:tcPr>
            <w:tcW w:w="1701" w:type="dxa"/>
            <w:tcBorders>
              <w:top w:val="nil"/>
              <w:left w:val="nil"/>
              <w:bottom w:val="nil"/>
              <w:right w:val="nil"/>
            </w:tcBorders>
            <w:noWrap/>
            <w:vAlign w:val="bottom"/>
            <w:hideMark/>
          </w:tcPr>
          <w:p w14:paraId="3F686C1D" w14:textId="77777777" w:rsidR="00CC0A78" w:rsidRDefault="00CC0A78">
            <w:pPr>
              <w:suppressAutoHyphens w:val="0"/>
              <w:spacing w:line="240" w:lineRule="auto"/>
              <w:jc w:val="right"/>
              <w:rPr>
                <w:sz w:val="18"/>
                <w:szCs w:val="18"/>
              </w:rPr>
            </w:pPr>
            <w:r>
              <w:rPr>
                <w:sz w:val="18"/>
                <w:szCs w:val="18"/>
              </w:rPr>
              <w:t>0.003</w:t>
            </w:r>
          </w:p>
        </w:tc>
        <w:tc>
          <w:tcPr>
            <w:tcW w:w="1559" w:type="dxa"/>
            <w:tcBorders>
              <w:top w:val="nil"/>
              <w:left w:val="nil"/>
              <w:bottom w:val="nil"/>
              <w:right w:val="nil"/>
            </w:tcBorders>
            <w:noWrap/>
            <w:vAlign w:val="bottom"/>
            <w:hideMark/>
          </w:tcPr>
          <w:p w14:paraId="24087DBD" w14:textId="77777777" w:rsidR="00CC0A78" w:rsidRDefault="00CC0A78">
            <w:pPr>
              <w:suppressAutoHyphens w:val="0"/>
              <w:spacing w:line="240" w:lineRule="auto"/>
              <w:jc w:val="right"/>
              <w:rPr>
                <w:sz w:val="18"/>
                <w:szCs w:val="18"/>
              </w:rPr>
            </w:pPr>
            <w:r>
              <w:rPr>
                <w:color w:val="000000"/>
                <w:sz w:val="18"/>
                <w:szCs w:val="18"/>
              </w:rPr>
              <w:t>0.004</w:t>
            </w:r>
          </w:p>
        </w:tc>
      </w:tr>
      <w:tr w:rsidR="00CC0A78" w14:paraId="25E90B7C" w14:textId="77777777" w:rsidTr="00B719E1">
        <w:trPr>
          <w:trHeight w:val="240"/>
        </w:trPr>
        <w:tc>
          <w:tcPr>
            <w:tcW w:w="4111" w:type="dxa"/>
            <w:tcBorders>
              <w:top w:val="nil"/>
              <w:left w:val="nil"/>
              <w:bottom w:val="nil"/>
              <w:right w:val="nil"/>
            </w:tcBorders>
            <w:noWrap/>
            <w:vAlign w:val="bottom"/>
            <w:hideMark/>
          </w:tcPr>
          <w:p w14:paraId="61F2E1D5"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Guinea-Bissau</w:t>
            </w:r>
          </w:p>
        </w:tc>
        <w:tc>
          <w:tcPr>
            <w:tcW w:w="1701" w:type="dxa"/>
            <w:tcBorders>
              <w:top w:val="nil"/>
              <w:left w:val="nil"/>
              <w:bottom w:val="nil"/>
              <w:right w:val="nil"/>
            </w:tcBorders>
            <w:noWrap/>
            <w:vAlign w:val="bottom"/>
            <w:hideMark/>
          </w:tcPr>
          <w:p w14:paraId="3DCE9D31" w14:textId="77777777" w:rsidR="00CC0A78" w:rsidRDefault="00CC0A78">
            <w:pPr>
              <w:suppressAutoHyphens w:val="0"/>
              <w:spacing w:line="240" w:lineRule="auto"/>
              <w:jc w:val="right"/>
              <w:rPr>
                <w:sz w:val="18"/>
                <w:szCs w:val="18"/>
              </w:rPr>
            </w:pPr>
            <w:r>
              <w:rPr>
                <w:sz w:val="18"/>
                <w:szCs w:val="18"/>
              </w:rPr>
              <w:t>0.001</w:t>
            </w:r>
          </w:p>
        </w:tc>
        <w:tc>
          <w:tcPr>
            <w:tcW w:w="1559" w:type="dxa"/>
            <w:tcBorders>
              <w:top w:val="nil"/>
              <w:left w:val="nil"/>
              <w:bottom w:val="nil"/>
              <w:right w:val="nil"/>
            </w:tcBorders>
            <w:noWrap/>
            <w:vAlign w:val="bottom"/>
            <w:hideMark/>
          </w:tcPr>
          <w:p w14:paraId="3A714175" w14:textId="77777777" w:rsidR="00CC0A78" w:rsidRDefault="00CC0A78">
            <w:pPr>
              <w:suppressAutoHyphens w:val="0"/>
              <w:spacing w:line="240" w:lineRule="auto"/>
              <w:jc w:val="right"/>
              <w:rPr>
                <w:sz w:val="18"/>
                <w:szCs w:val="18"/>
              </w:rPr>
            </w:pPr>
            <w:r>
              <w:rPr>
                <w:color w:val="000000"/>
                <w:sz w:val="18"/>
                <w:szCs w:val="18"/>
              </w:rPr>
              <w:t>0.001</w:t>
            </w:r>
          </w:p>
        </w:tc>
      </w:tr>
      <w:tr w:rsidR="00CC0A78" w14:paraId="5B145730" w14:textId="77777777" w:rsidTr="00B719E1">
        <w:trPr>
          <w:trHeight w:val="240"/>
        </w:trPr>
        <w:tc>
          <w:tcPr>
            <w:tcW w:w="4111" w:type="dxa"/>
            <w:tcBorders>
              <w:top w:val="nil"/>
              <w:left w:val="nil"/>
              <w:bottom w:val="nil"/>
              <w:right w:val="nil"/>
            </w:tcBorders>
            <w:noWrap/>
            <w:vAlign w:val="bottom"/>
            <w:hideMark/>
          </w:tcPr>
          <w:p w14:paraId="786A4FB0"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Guyana</w:t>
            </w:r>
          </w:p>
        </w:tc>
        <w:tc>
          <w:tcPr>
            <w:tcW w:w="1701" w:type="dxa"/>
            <w:tcBorders>
              <w:top w:val="nil"/>
              <w:left w:val="nil"/>
              <w:bottom w:val="nil"/>
              <w:right w:val="nil"/>
            </w:tcBorders>
            <w:noWrap/>
            <w:vAlign w:val="bottom"/>
            <w:hideMark/>
          </w:tcPr>
          <w:p w14:paraId="21800342" w14:textId="77777777" w:rsidR="00CC0A78" w:rsidRDefault="00CC0A78">
            <w:pPr>
              <w:suppressAutoHyphens w:val="0"/>
              <w:spacing w:line="240" w:lineRule="auto"/>
              <w:jc w:val="right"/>
              <w:rPr>
                <w:sz w:val="18"/>
                <w:szCs w:val="18"/>
              </w:rPr>
            </w:pPr>
            <w:r>
              <w:rPr>
                <w:sz w:val="18"/>
                <w:szCs w:val="18"/>
              </w:rPr>
              <w:t>0.002</w:t>
            </w:r>
          </w:p>
        </w:tc>
        <w:tc>
          <w:tcPr>
            <w:tcW w:w="1559" w:type="dxa"/>
            <w:tcBorders>
              <w:top w:val="nil"/>
              <w:left w:val="nil"/>
              <w:bottom w:val="nil"/>
              <w:right w:val="nil"/>
            </w:tcBorders>
            <w:noWrap/>
            <w:vAlign w:val="bottom"/>
            <w:hideMark/>
          </w:tcPr>
          <w:p w14:paraId="4709B93E" w14:textId="77777777" w:rsidR="00CC0A78" w:rsidRDefault="00CC0A78">
            <w:pPr>
              <w:suppressAutoHyphens w:val="0"/>
              <w:spacing w:line="240" w:lineRule="auto"/>
              <w:jc w:val="right"/>
              <w:rPr>
                <w:sz w:val="18"/>
                <w:szCs w:val="18"/>
              </w:rPr>
            </w:pPr>
            <w:r>
              <w:rPr>
                <w:color w:val="000000"/>
                <w:sz w:val="18"/>
                <w:szCs w:val="18"/>
              </w:rPr>
              <w:t>0.003</w:t>
            </w:r>
          </w:p>
        </w:tc>
      </w:tr>
      <w:tr w:rsidR="00CC0A78" w14:paraId="7DCD48EB" w14:textId="77777777" w:rsidTr="00B719E1">
        <w:trPr>
          <w:trHeight w:val="240"/>
        </w:trPr>
        <w:tc>
          <w:tcPr>
            <w:tcW w:w="4111" w:type="dxa"/>
            <w:tcBorders>
              <w:top w:val="nil"/>
              <w:left w:val="nil"/>
              <w:bottom w:val="nil"/>
              <w:right w:val="nil"/>
            </w:tcBorders>
            <w:noWrap/>
            <w:vAlign w:val="bottom"/>
            <w:hideMark/>
          </w:tcPr>
          <w:p w14:paraId="3661BA35"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Haiti</w:t>
            </w:r>
          </w:p>
        </w:tc>
        <w:tc>
          <w:tcPr>
            <w:tcW w:w="1701" w:type="dxa"/>
            <w:tcBorders>
              <w:top w:val="nil"/>
              <w:left w:val="nil"/>
              <w:bottom w:val="nil"/>
              <w:right w:val="nil"/>
            </w:tcBorders>
            <w:noWrap/>
            <w:vAlign w:val="bottom"/>
            <w:hideMark/>
          </w:tcPr>
          <w:p w14:paraId="5E316110" w14:textId="77777777" w:rsidR="00CC0A78" w:rsidRDefault="00CC0A78">
            <w:pPr>
              <w:suppressAutoHyphens w:val="0"/>
              <w:spacing w:line="240" w:lineRule="auto"/>
              <w:jc w:val="right"/>
              <w:rPr>
                <w:sz w:val="18"/>
                <w:szCs w:val="18"/>
              </w:rPr>
            </w:pPr>
            <w:r>
              <w:rPr>
                <w:sz w:val="18"/>
                <w:szCs w:val="18"/>
              </w:rPr>
              <w:t>0.003</w:t>
            </w:r>
          </w:p>
        </w:tc>
        <w:tc>
          <w:tcPr>
            <w:tcW w:w="1559" w:type="dxa"/>
            <w:tcBorders>
              <w:top w:val="nil"/>
              <w:left w:val="nil"/>
              <w:bottom w:val="nil"/>
              <w:right w:val="nil"/>
            </w:tcBorders>
            <w:noWrap/>
            <w:vAlign w:val="bottom"/>
            <w:hideMark/>
          </w:tcPr>
          <w:p w14:paraId="27658C8A" w14:textId="77777777" w:rsidR="00CC0A78" w:rsidRDefault="00CC0A78">
            <w:pPr>
              <w:suppressAutoHyphens w:val="0"/>
              <w:spacing w:line="240" w:lineRule="auto"/>
              <w:jc w:val="right"/>
              <w:rPr>
                <w:sz w:val="18"/>
                <w:szCs w:val="18"/>
              </w:rPr>
            </w:pPr>
            <w:r>
              <w:rPr>
                <w:color w:val="000000"/>
                <w:sz w:val="18"/>
                <w:szCs w:val="18"/>
              </w:rPr>
              <w:t>0.004</w:t>
            </w:r>
          </w:p>
        </w:tc>
      </w:tr>
      <w:tr w:rsidR="00CC0A78" w14:paraId="6152D1AA" w14:textId="77777777" w:rsidTr="00B719E1">
        <w:trPr>
          <w:trHeight w:val="240"/>
        </w:trPr>
        <w:tc>
          <w:tcPr>
            <w:tcW w:w="4111" w:type="dxa"/>
            <w:tcBorders>
              <w:top w:val="nil"/>
              <w:left w:val="nil"/>
              <w:bottom w:val="nil"/>
              <w:right w:val="nil"/>
            </w:tcBorders>
            <w:noWrap/>
            <w:vAlign w:val="bottom"/>
            <w:hideMark/>
          </w:tcPr>
          <w:p w14:paraId="477367D1"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Honduras</w:t>
            </w:r>
          </w:p>
        </w:tc>
        <w:tc>
          <w:tcPr>
            <w:tcW w:w="1701" w:type="dxa"/>
            <w:tcBorders>
              <w:top w:val="nil"/>
              <w:left w:val="nil"/>
              <w:bottom w:val="nil"/>
              <w:right w:val="nil"/>
            </w:tcBorders>
            <w:noWrap/>
            <w:vAlign w:val="bottom"/>
            <w:hideMark/>
          </w:tcPr>
          <w:p w14:paraId="31628DED" w14:textId="77777777" w:rsidR="00CC0A78" w:rsidRDefault="00CC0A78">
            <w:pPr>
              <w:suppressAutoHyphens w:val="0"/>
              <w:spacing w:line="240" w:lineRule="auto"/>
              <w:jc w:val="right"/>
              <w:rPr>
                <w:sz w:val="18"/>
                <w:szCs w:val="18"/>
              </w:rPr>
            </w:pPr>
            <w:r>
              <w:rPr>
                <w:sz w:val="18"/>
                <w:szCs w:val="18"/>
              </w:rPr>
              <w:t>0.009</w:t>
            </w:r>
          </w:p>
        </w:tc>
        <w:tc>
          <w:tcPr>
            <w:tcW w:w="1559" w:type="dxa"/>
            <w:tcBorders>
              <w:top w:val="nil"/>
              <w:left w:val="nil"/>
              <w:bottom w:val="nil"/>
              <w:right w:val="nil"/>
            </w:tcBorders>
            <w:noWrap/>
            <w:vAlign w:val="bottom"/>
            <w:hideMark/>
          </w:tcPr>
          <w:p w14:paraId="2CEB7E23" w14:textId="77777777" w:rsidR="00CC0A78" w:rsidRDefault="00CC0A78">
            <w:pPr>
              <w:suppressAutoHyphens w:val="0"/>
              <w:spacing w:line="240" w:lineRule="auto"/>
              <w:jc w:val="right"/>
              <w:rPr>
                <w:sz w:val="18"/>
                <w:szCs w:val="18"/>
              </w:rPr>
            </w:pPr>
            <w:r>
              <w:rPr>
                <w:color w:val="000000"/>
                <w:sz w:val="18"/>
                <w:szCs w:val="18"/>
              </w:rPr>
              <w:t>0.012</w:t>
            </w:r>
          </w:p>
        </w:tc>
      </w:tr>
      <w:tr w:rsidR="00CC0A78" w14:paraId="61366F29" w14:textId="77777777" w:rsidTr="00B719E1">
        <w:trPr>
          <w:trHeight w:val="240"/>
        </w:trPr>
        <w:tc>
          <w:tcPr>
            <w:tcW w:w="4111" w:type="dxa"/>
            <w:tcBorders>
              <w:top w:val="nil"/>
              <w:left w:val="nil"/>
              <w:bottom w:val="nil"/>
              <w:right w:val="nil"/>
            </w:tcBorders>
            <w:noWrap/>
            <w:vAlign w:val="bottom"/>
            <w:hideMark/>
          </w:tcPr>
          <w:p w14:paraId="41425581"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Hungary</w:t>
            </w:r>
          </w:p>
        </w:tc>
        <w:tc>
          <w:tcPr>
            <w:tcW w:w="1701" w:type="dxa"/>
            <w:tcBorders>
              <w:top w:val="nil"/>
              <w:left w:val="nil"/>
              <w:bottom w:val="nil"/>
              <w:right w:val="nil"/>
            </w:tcBorders>
            <w:noWrap/>
            <w:vAlign w:val="bottom"/>
            <w:hideMark/>
          </w:tcPr>
          <w:p w14:paraId="28D6FB2C" w14:textId="77777777" w:rsidR="00CC0A78" w:rsidRDefault="00CC0A78">
            <w:pPr>
              <w:suppressAutoHyphens w:val="0"/>
              <w:spacing w:line="240" w:lineRule="auto"/>
              <w:jc w:val="right"/>
              <w:rPr>
                <w:sz w:val="18"/>
                <w:szCs w:val="18"/>
              </w:rPr>
            </w:pPr>
            <w:r>
              <w:rPr>
                <w:sz w:val="18"/>
                <w:szCs w:val="18"/>
              </w:rPr>
              <w:t>0.206</w:t>
            </w:r>
          </w:p>
        </w:tc>
        <w:tc>
          <w:tcPr>
            <w:tcW w:w="1559" w:type="dxa"/>
            <w:tcBorders>
              <w:top w:val="nil"/>
              <w:left w:val="nil"/>
              <w:bottom w:val="nil"/>
              <w:right w:val="nil"/>
            </w:tcBorders>
            <w:noWrap/>
            <w:vAlign w:val="bottom"/>
            <w:hideMark/>
          </w:tcPr>
          <w:p w14:paraId="5A6EA17F" w14:textId="77777777" w:rsidR="00CC0A78" w:rsidRDefault="00CC0A78">
            <w:pPr>
              <w:suppressAutoHyphens w:val="0"/>
              <w:spacing w:line="240" w:lineRule="auto"/>
              <w:jc w:val="right"/>
              <w:rPr>
                <w:sz w:val="18"/>
                <w:szCs w:val="18"/>
              </w:rPr>
            </w:pPr>
            <w:r>
              <w:rPr>
                <w:color w:val="000000"/>
                <w:sz w:val="18"/>
                <w:szCs w:val="18"/>
              </w:rPr>
              <w:t>0.267</w:t>
            </w:r>
          </w:p>
        </w:tc>
      </w:tr>
      <w:tr w:rsidR="00CC0A78" w14:paraId="41E434DF" w14:textId="77777777" w:rsidTr="00B719E1">
        <w:trPr>
          <w:trHeight w:val="240"/>
        </w:trPr>
        <w:tc>
          <w:tcPr>
            <w:tcW w:w="4111" w:type="dxa"/>
            <w:tcBorders>
              <w:top w:val="nil"/>
              <w:left w:val="nil"/>
              <w:bottom w:val="nil"/>
              <w:right w:val="nil"/>
            </w:tcBorders>
            <w:noWrap/>
            <w:vAlign w:val="bottom"/>
            <w:hideMark/>
          </w:tcPr>
          <w:p w14:paraId="00535290"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Iceland</w:t>
            </w:r>
          </w:p>
        </w:tc>
        <w:tc>
          <w:tcPr>
            <w:tcW w:w="1701" w:type="dxa"/>
            <w:tcBorders>
              <w:top w:val="nil"/>
              <w:left w:val="nil"/>
              <w:bottom w:val="nil"/>
              <w:right w:val="nil"/>
            </w:tcBorders>
            <w:noWrap/>
            <w:vAlign w:val="bottom"/>
            <w:hideMark/>
          </w:tcPr>
          <w:p w14:paraId="1793098D" w14:textId="77777777" w:rsidR="00CC0A78" w:rsidRDefault="00CC0A78">
            <w:pPr>
              <w:suppressAutoHyphens w:val="0"/>
              <w:spacing w:line="240" w:lineRule="auto"/>
              <w:jc w:val="right"/>
              <w:rPr>
                <w:sz w:val="18"/>
                <w:szCs w:val="18"/>
              </w:rPr>
            </w:pPr>
            <w:r>
              <w:rPr>
                <w:sz w:val="18"/>
                <w:szCs w:val="18"/>
              </w:rPr>
              <w:t>0.028</w:t>
            </w:r>
          </w:p>
        </w:tc>
        <w:tc>
          <w:tcPr>
            <w:tcW w:w="1559" w:type="dxa"/>
            <w:tcBorders>
              <w:top w:val="nil"/>
              <w:left w:val="nil"/>
              <w:bottom w:val="nil"/>
              <w:right w:val="nil"/>
            </w:tcBorders>
            <w:noWrap/>
            <w:vAlign w:val="bottom"/>
            <w:hideMark/>
          </w:tcPr>
          <w:p w14:paraId="7EE21247" w14:textId="77777777" w:rsidR="00CC0A78" w:rsidRDefault="00CC0A78">
            <w:pPr>
              <w:suppressAutoHyphens w:val="0"/>
              <w:spacing w:line="240" w:lineRule="auto"/>
              <w:jc w:val="right"/>
              <w:rPr>
                <w:sz w:val="18"/>
                <w:szCs w:val="18"/>
              </w:rPr>
            </w:pPr>
            <w:r>
              <w:rPr>
                <w:color w:val="000000"/>
                <w:sz w:val="18"/>
                <w:szCs w:val="18"/>
              </w:rPr>
              <w:t>0.036</w:t>
            </w:r>
          </w:p>
        </w:tc>
      </w:tr>
      <w:tr w:rsidR="00CC0A78" w14:paraId="227D78C8" w14:textId="77777777" w:rsidTr="00B719E1">
        <w:trPr>
          <w:trHeight w:val="240"/>
        </w:trPr>
        <w:tc>
          <w:tcPr>
            <w:tcW w:w="4111" w:type="dxa"/>
            <w:tcBorders>
              <w:top w:val="nil"/>
              <w:left w:val="nil"/>
              <w:bottom w:val="nil"/>
              <w:right w:val="nil"/>
            </w:tcBorders>
            <w:noWrap/>
            <w:vAlign w:val="bottom"/>
            <w:hideMark/>
          </w:tcPr>
          <w:p w14:paraId="6ACD1D76"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India</w:t>
            </w:r>
          </w:p>
        </w:tc>
        <w:tc>
          <w:tcPr>
            <w:tcW w:w="1701" w:type="dxa"/>
            <w:tcBorders>
              <w:top w:val="nil"/>
              <w:left w:val="nil"/>
              <w:bottom w:val="nil"/>
              <w:right w:val="nil"/>
            </w:tcBorders>
            <w:noWrap/>
            <w:vAlign w:val="bottom"/>
            <w:hideMark/>
          </w:tcPr>
          <w:p w14:paraId="59F01886" w14:textId="77777777" w:rsidR="00CC0A78" w:rsidRDefault="00CC0A78">
            <w:pPr>
              <w:suppressAutoHyphens w:val="0"/>
              <w:spacing w:line="240" w:lineRule="auto"/>
              <w:jc w:val="right"/>
              <w:rPr>
                <w:sz w:val="18"/>
                <w:szCs w:val="18"/>
              </w:rPr>
            </w:pPr>
            <w:r>
              <w:rPr>
                <w:sz w:val="18"/>
                <w:szCs w:val="18"/>
              </w:rPr>
              <w:t>0.834</w:t>
            </w:r>
          </w:p>
        </w:tc>
        <w:tc>
          <w:tcPr>
            <w:tcW w:w="1559" w:type="dxa"/>
            <w:tcBorders>
              <w:top w:val="nil"/>
              <w:left w:val="nil"/>
              <w:bottom w:val="nil"/>
              <w:right w:val="nil"/>
            </w:tcBorders>
            <w:noWrap/>
            <w:vAlign w:val="bottom"/>
            <w:hideMark/>
          </w:tcPr>
          <w:p w14:paraId="6AE9B2CE" w14:textId="77777777" w:rsidR="00CC0A78" w:rsidRDefault="00CC0A78">
            <w:pPr>
              <w:suppressAutoHyphens w:val="0"/>
              <w:spacing w:line="240" w:lineRule="auto"/>
              <w:jc w:val="right"/>
              <w:rPr>
                <w:sz w:val="18"/>
                <w:szCs w:val="18"/>
              </w:rPr>
            </w:pPr>
            <w:r>
              <w:rPr>
                <w:color w:val="000000"/>
                <w:sz w:val="18"/>
                <w:szCs w:val="18"/>
              </w:rPr>
              <w:t>1.081</w:t>
            </w:r>
          </w:p>
        </w:tc>
      </w:tr>
      <w:tr w:rsidR="00CC0A78" w14:paraId="49764732" w14:textId="77777777" w:rsidTr="00B719E1">
        <w:trPr>
          <w:trHeight w:val="240"/>
        </w:trPr>
        <w:tc>
          <w:tcPr>
            <w:tcW w:w="4111" w:type="dxa"/>
            <w:tcBorders>
              <w:top w:val="nil"/>
              <w:left w:val="nil"/>
              <w:bottom w:val="nil"/>
              <w:right w:val="nil"/>
            </w:tcBorders>
            <w:noWrap/>
            <w:vAlign w:val="bottom"/>
            <w:hideMark/>
          </w:tcPr>
          <w:p w14:paraId="428F5285"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Indonesia</w:t>
            </w:r>
          </w:p>
        </w:tc>
        <w:tc>
          <w:tcPr>
            <w:tcW w:w="1701" w:type="dxa"/>
            <w:tcBorders>
              <w:top w:val="nil"/>
              <w:left w:val="nil"/>
              <w:bottom w:val="nil"/>
              <w:right w:val="nil"/>
            </w:tcBorders>
            <w:noWrap/>
            <w:vAlign w:val="bottom"/>
            <w:hideMark/>
          </w:tcPr>
          <w:p w14:paraId="0F5D8532" w14:textId="77777777" w:rsidR="00CC0A78" w:rsidRDefault="00CC0A78">
            <w:pPr>
              <w:suppressAutoHyphens w:val="0"/>
              <w:spacing w:line="240" w:lineRule="auto"/>
              <w:jc w:val="right"/>
              <w:rPr>
                <w:sz w:val="18"/>
                <w:szCs w:val="18"/>
              </w:rPr>
            </w:pPr>
            <w:r>
              <w:rPr>
                <w:sz w:val="18"/>
                <w:szCs w:val="18"/>
              </w:rPr>
              <w:t>0.543</w:t>
            </w:r>
          </w:p>
        </w:tc>
        <w:tc>
          <w:tcPr>
            <w:tcW w:w="1559" w:type="dxa"/>
            <w:tcBorders>
              <w:top w:val="nil"/>
              <w:left w:val="nil"/>
              <w:bottom w:val="nil"/>
              <w:right w:val="nil"/>
            </w:tcBorders>
            <w:noWrap/>
            <w:vAlign w:val="bottom"/>
            <w:hideMark/>
          </w:tcPr>
          <w:p w14:paraId="11CB9094" w14:textId="77777777" w:rsidR="00CC0A78" w:rsidRDefault="00CC0A78">
            <w:pPr>
              <w:suppressAutoHyphens w:val="0"/>
              <w:spacing w:line="240" w:lineRule="auto"/>
              <w:jc w:val="right"/>
              <w:rPr>
                <w:sz w:val="18"/>
                <w:szCs w:val="18"/>
              </w:rPr>
            </w:pPr>
            <w:r>
              <w:rPr>
                <w:color w:val="000000"/>
                <w:sz w:val="18"/>
                <w:szCs w:val="18"/>
              </w:rPr>
              <w:t>0.704</w:t>
            </w:r>
          </w:p>
        </w:tc>
      </w:tr>
      <w:tr w:rsidR="00CC0A78" w14:paraId="5478F381" w14:textId="77777777" w:rsidTr="00B719E1">
        <w:trPr>
          <w:trHeight w:val="240"/>
        </w:trPr>
        <w:tc>
          <w:tcPr>
            <w:tcW w:w="4111" w:type="dxa"/>
            <w:tcBorders>
              <w:top w:val="nil"/>
              <w:left w:val="nil"/>
              <w:bottom w:val="nil"/>
              <w:right w:val="nil"/>
            </w:tcBorders>
            <w:noWrap/>
            <w:vAlign w:val="bottom"/>
            <w:hideMark/>
          </w:tcPr>
          <w:p w14:paraId="5996234D"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Iran (Islamic Republic of)</w:t>
            </w:r>
          </w:p>
        </w:tc>
        <w:tc>
          <w:tcPr>
            <w:tcW w:w="1701" w:type="dxa"/>
            <w:tcBorders>
              <w:top w:val="nil"/>
              <w:left w:val="nil"/>
              <w:bottom w:val="nil"/>
              <w:right w:val="nil"/>
            </w:tcBorders>
            <w:noWrap/>
            <w:vAlign w:val="bottom"/>
            <w:hideMark/>
          </w:tcPr>
          <w:p w14:paraId="6FD52E84" w14:textId="77777777" w:rsidR="00CC0A78" w:rsidRDefault="00CC0A78">
            <w:pPr>
              <w:suppressAutoHyphens w:val="0"/>
              <w:spacing w:line="240" w:lineRule="auto"/>
              <w:jc w:val="right"/>
              <w:rPr>
                <w:sz w:val="18"/>
                <w:szCs w:val="18"/>
              </w:rPr>
            </w:pPr>
            <w:r>
              <w:rPr>
                <w:sz w:val="18"/>
                <w:szCs w:val="18"/>
              </w:rPr>
              <w:t>0.398</w:t>
            </w:r>
          </w:p>
        </w:tc>
        <w:tc>
          <w:tcPr>
            <w:tcW w:w="1559" w:type="dxa"/>
            <w:tcBorders>
              <w:top w:val="nil"/>
              <w:left w:val="nil"/>
              <w:bottom w:val="nil"/>
              <w:right w:val="nil"/>
            </w:tcBorders>
            <w:noWrap/>
            <w:vAlign w:val="bottom"/>
            <w:hideMark/>
          </w:tcPr>
          <w:p w14:paraId="60666D38" w14:textId="77777777" w:rsidR="00CC0A78" w:rsidRDefault="00CC0A78">
            <w:pPr>
              <w:suppressAutoHyphens w:val="0"/>
              <w:spacing w:line="240" w:lineRule="auto"/>
              <w:jc w:val="right"/>
              <w:rPr>
                <w:sz w:val="18"/>
                <w:szCs w:val="18"/>
              </w:rPr>
            </w:pPr>
            <w:r>
              <w:rPr>
                <w:color w:val="000000"/>
                <w:sz w:val="18"/>
                <w:szCs w:val="18"/>
              </w:rPr>
              <w:t>0.516</w:t>
            </w:r>
          </w:p>
        </w:tc>
      </w:tr>
      <w:tr w:rsidR="00CC0A78" w14:paraId="646DE68C" w14:textId="77777777" w:rsidTr="00B719E1">
        <w:trPr>
          <w:trHeight w:val="240"/>
        </w:trPr>
        <w:tc>
          <w:tcPr>
            <w:tcW w:w="4111" w:type="dxa"/>
            <w:tcBorders>
              <w:top w:val="nil"/>
              <w:left w:val="nil"/>
              <w:bottom w:val="nil"/>
              <w:right w:val="nil"/>
            </w:tcBorders>
            <w:noWrap/>
            <w:vAlign w:val="bottom"/>
            <w:hideMark/>
          </w:tcPr>
          <w:p w14:paraId="3F2286DC"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Iraq</w:t>
            </w:r>
          </w:p>
        </w:tc>
        <w:tc>
          <w:tcPr>
            <w:tcW w:w="1701" w:type="dxa"/>
            <w:tcBorders>
              <w:top w:val="nil"/>
              <w:left w:val="nil"/>
              <w:bottom w:val="nil"/>
              <w:right w:val="nil"/>
            </w:tcBorders>
            <w:noWrap/>
            <w:vAlign w:val="bottom"/>
            <w:hideMark/>
          </w:tcPr>
          <w:p w14:paraId="2A9C8E73" w14:textId="77777777" w:rsidR="00CC0A78" w:rsidRDefault="00CC0A78">
            <w:pPr>
              <w:suppressAutoHyphens w:val="0"/>
              <w:spacing w:line="240" w:lineRule="auto"/>
              <w:jc w:val="right"/>
              <w:rPr>
                <w:sz w:val="18"/>
                <w:szCs w:val="18"/>
              </w:rPr>
            </w:pPr>
            <w:r>
              <w:rPr>
                <w:sz w:val="18"/>
                <w:szCs w:val="18"/>
              </w:rPr>
              <w:t>0.129</w:t>
            </w:r>
          </w:p>
        </w:tc>
        <w:tc>
          <w:tcPr>
            <w:tcW w:w="1559" w:type="dxa"/>
            <w:tcBorders>
              <w:top w:val="nil"/>
              <w:left w:val="nil"/>
              <w:bottom w:val="nil"/>
              <w:right w:val="nil"/>
            </w:tcBorders>
            <w:noWrap/>
            <w:vAlign w:val="bottom"/>
            <w:hideMark/>
          </w:tcPr>
          <w:p w14:paraId="5311942A" w14:textId="77777777" w:rsidR="00CC0A78" w:rsidRDefault="00CC0A78">
            <w:pPr>
              <w:suppressAutoHyphens w:val="0"/>
              <w:spacing w:line="240" w:lineRule="auto"/>
              <w:jc w:val="right"/>
              <w:rPr>
                <w:sz w:val="18"/>
                <w:szCs w:val="18"/>
              </w:rPr>
            </w:pPr>
            <w:r>
              <w:rPr>
                <w:color w:val="000000"/>
                <w:sz w:val="18"/>
                <w:szCs w:val="18"/>
              </w:rPr>
              <w:t>0.167</w:t>
            </w:r>
          </w:p>
        </w:tc>
      </w:tr>
      <w:tr w:rsidR="00CC0A78" w14:paraId="7D1C108F" w14:textId="77777777" w:rsidTr="00B719E1">
        <w:trPr>
          <w:trHeight w:val="240"/>
        </w:trPr>
        <w:tc>
          <w:tcPr>
            <w:tcW w:w="4111" w:type="dxa"/>
            <w:tcBorders>
              <w:top w:val="nil"/>
              <w:left w:val="nil"/>
              <w:bottom w:val="nil"/>
              <w:right w:val="nil"/>
            </w:tcBorders>
            <w:noWrap/>
            <w:vAlign w:val="bottom"/>
            <w:hideMark/>
          </w:tcPr>
          <w:p w14:paraId="67327A26"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Ireland</w:t>
            </w:r>
          </w:p>
        </w:tc>
        <w:tc>
          <w:tcPr>
            <w:tcW w:w="1701" w:type="dxa"/>
            <w:tcBorders>
              <w:top w:val="nil"/>
              <w:left w:val="nil"/>
              <w:bottom w:val="nil"/>
              <w:right w:val="nil"/>
            </w:tcBorders>
            <w:noWrap/>
            <w:vAlign w:val="bottom"/>
            <w:hideMark/>
          </w:tcPr>
          <w:p w14:paraId="1684F639" w14:textId="77777777" w:rsidR="00CC0A78" w:rsidRDefault="00CC0A78">
            <w:pPr>
              <w:suppressAutoHyphens w:val="0"/>
              <w:spacing w:line="240" w:lineRule="auto"/>
              <w:jc w:val="right"/>
              <w:rPr>
                <w:sz w:val="18"/>
                <w:szCs w:val="18"/>
              </w:rPr>
            </w:pPr>
            <w:r>
              <w:rPr>
                <w:sz w:val="18"/>
                <w:szCs w:val="18"/>
              </w:rPr>
              <w:t>0.371</w:t>
            </w:r>
          </w:p>
        </w:tc>
        <w:tc>
          <w:tcPr>
            <w:tcW w:w="1559" w:type="dxa"/>
            <w:tcBorders>
              <w:top w:val="nil"/>
              <w:left w:val="nil"/>
              <w:bottom w:val="nil"/>
              <w:right w:val="nil"/>
            </w:tcBorders>
            <w:noWrap/>
            <w:vAlign w:val="bottom"/>
            <w:hideMark/>
          </w:tcPr>
          <w:p w14:paraId="05E6AA33" w14:textId="77777777" w:rsidR="00CC0A78" w:rsidRDefault="00CC0A78">
            <w:pPr>
              <w:suppressAutoHyphens w:val="0"/>
              <w:spacing w:line="240" w:lineRule="auto"/>
              <w:jc w:val="right"/>
              <w:rPr>
                <w:sz w:val="18"/>
                <w:szCs w:val="18"/>
              </w:rPr>
            </w:pPr>
            <w:r>
              <w:rPr>
                <w:color w:val="000000"/>
                <w:sz w:val="18"/>
                <w:szCs w:val="18"/>
              </w:rPr>
              <w:t>0.481</w:t>
            </w:r>
          </w:p>
        </w:tc>
      </w:tr>
      <w:tr w:rsidR="00CC0A78" w14:paraId="2831F02C" w14:textId="77777777" w:rsidTr="00B719E1">
        <w:trPr>
          <w:trHeight w:val="240"/>
        </w:trPr>
        <w:tc>
          <w:tcPr>
            <w:tcW w:w="4111" w:type="dxa"/>
            <w:tcBorders>
              <w:top w:val="nil"/>
              <w:left w:val="nil"/>
              <w:bottom w:val="nil"/>
              <w:right w:val="nil"/>
            </w:tcBorders>
            <w:noWrap/>
            <w:vAlign w:val="bottom"/>
            <w:hideMark/>
          </w:tcPr>
          <w:p w14:paraId="38B43A55"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Israel</w:t>
            </w:r>
          </w:p>
        </w:tc>
        <w:tc>
          <w:tcPr>
            <w:tcW w:w="1701" w:type="dxa"/>
            <w:tcBorders>
              <w:top w:val="nil"/>
              <w:left w:val="nil"/>
              <w:bottom w:val="nil"/>
              <w:right w:val="nil"/>
            </w:tcBorders>
            <w:noWrap/>
            <w:vAlign w:val="bottom"/>
            <w:hideMark/>
          </w:tcPr>
          <w:p w14:paraId="752E966F" w14:textId="77777777" w:rsidR="00CC0A78" w:rsidRDefault="00CC0A78">
            <w:pPr>
              <w:suppressAutoHyphens w:val="0"/>
              <w:spacing w:line="240" w:lineRule="auto"/>
              <w:jc w:val="right"/>
              <w:rPr>
                <w:sz w:val="18"/>
                <w:szCs w:val="18"/>
              </w:rPr>
            </w:pPr>
            <w:r>
              <w:rPr>
                <w:sz w:val="18"/>
                <w:szCs w:val="18"/>
              </w:rPr>
              <w:t>0.490</w:t>
            </w:r>
          </w:p>
        </w:tc>
        <w:tc>
          <w:tcPr>
            <w:tcW w:w="1559" w:type="dxa"/>
            <w:tcBorders>
              <w:top w:val="nil"/>
              <w:left w:val="nil"/>
              <w:bottom w:val="nil"/>
              <w:right w:val="nil"/>
            </w:tcBorders>
            <w:noWrap/>
            <w:vAlign w:val="bottom"/>
            <w:hideMark/>
          </w:tcPr>
          <w:p w14:paraId="174E0C13" w14:textId="77777777" w:rsidR="00CC0A78" w:rsidRDefault="00CC0A78">
            <w:pPr>
              <w:suppressAutoHyphens w:val="0"/>
              <w:spacing w:line="240" w:lineRule="auto"/>
              <w:jc w:val="right"/>
              <w:rPr>
                <w:sz w:val="18"/>
                <w:szCs w:val="18"/>
              </w:rPr>
            </w:pPr>
            <w:r>
              <w:rPr>
                <w:color w:val="000000"/>
                <w:sz w:val="18"/>
                <w:szCs w:val="18"/>
              </w:rPr>
              <w:t>0.635</w:t>
            </w:r>
          </w:p>
        </w:tc>
      </w:tr>
      <w:tr w:rsidR="00CC0A78" w14:paraId="0B898B45" w14:textId="77777777" w:rsidTr="00B719E1">
        <w:trPr>
          <w:trHeight w:val="240"/>
        </w:trPr>
        <w:tc>
          <w:tcPr>
            <w:tcW w:w="4111" w:type="dxa"/>
            <w:tcBorders>
              <w:top w:val="nil"/>
              <w:left w:val="nil"/>
              <w:bottom w:val="nil"/>
              <w:right w:val="nil"/>
            </w:tcBorders>
            <w:noWrap/>
            <w:vAlign w:val="bottom"/>
            <w:hideMark/>
          </w:tcPr>
          <w:p w14:paraId="1ED79576"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Italy</w:t>
            </w:r>
          </w:p>
        </w:tc>
        <w:tc>
          <w:tcPr>
            <w:tcW w:w="1701" w:type="dxa"/>
            <w:tcBorders>
              <w:top w:val="nil"/>
              <w:left w:val="nil"/>
              <w:bottom w:val="nil"/>
              <w:right w:val="nil"/>
            </w:tcBorders>
            <w:noWrap/>
            <w:vAlign w:val="bottom"/>
            <w:hideMark/>
          </w:tcPr>
          <w:p w14:paraId="4F8DA2AA" w14:textId="77777777" w:rsidR="00CC0A78" w:rsidRDefault="00CC0A78">
            <w:pPr>
              <w:suppressAutoHyphens w:val="0"/>
              <w:spacing w:line="240" w:lineRule="auto"/>
              <w:jc w:val="right"/>
              <w:rPr>
                <w:sz w:val="18"/>
                <w:szCs w:val="18"/>
              </w:rPr>
            </w:pPr>
            <w:r>
              <w:rPr>
                <w:sz w:val="18"/>
                <w:szCs w:val="18"/>
              </w:rPr>
              <w:t>3.307</w:t>
            </w:r>
          </w:p>
        </w:tc>
        <w:tc>
          <w:tcPr>
            <w:tcW w:w="1559" w:type="dxa"/>
            <w:tcBorders>
              <w:top w:val="nil"/>
              <w:left w:val="nil"/>
              <w:bottom w:val="nil"/>
              <w:right w:val="nil"/>
            </w:tcBorders>
            <w:noWrap/>
            <w:vAlign w:val="bottom"/>
            <w:hideMark/>
          </w:tcPr>
          <w:p w14:paraId="07A62296" w14:textId="77777777" w:rsidR="00CC0A78" w:rsidRDefault="00CC0A78">
            <w:pPr>
              <w:suppressAutoHyphens w:val="0"/>
              <w:spacing w:line="240" w:lineRule="auto"/>
              <w:jc w:val="right"/>
              <w:rPr>
                <w:sz w:val="18"/>
                <w:szCs w:val="18"/>
              </w:rPr>
            </w:pPr>
            <w:r>
              <w:rPr>
                <w:color w:val="000000"/>
                <w:sz w:val="18"/>
                <w:szCs w:val="18"/>
              </w:rPr>
              <w:t>4.285</w:t>
            </w:r>
          </w:p>
        </w:tc>
      </w:tr>
      <w:tr w:rsidR="00CC0A78" w14:paraId="3FF61C67" w14:textId="77777777" w:rsidTr="00B719E1">
        <w:trPr>
          <w:trHeight w:val="240"/>
        </w:trPr>
        <w:tc>
          <w:tcPr>
            <w:tcW w:w="4111" w:type="dxa"/>
            <w:tcBorders>
              <w:top w:val="nil"/>
              <w:left w:val="nil"/>
              <w:bottom w:val="nil"/>
              <w:right w:val="nil"/>
            </w:tcBorders>
            <w:noWrap/>
            <w:vAlign w:val="bottom"/>
            <w:hideMark/>
          </w:tcPr>
          <w:p w14:paraId="36B08113"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Jamaica</w:t>
            </w:r>
          </w:p>
        </w:tc>
        <w:tc>
          <w:tcPr>
            <w:tcW w:w="1701" w:type="dxa"/>
            <w:tcBorders>
              <w:top w:val="nil"/>
              <w:left w:val="nil"/>
              <w:bottom w:val="nil"/>
              <w:right w:val="nil"/>
            </w:tcBorders>
            <w:noWrap/>
            <w:vAlign w:val="bottom"/>
            <w:hideMark/>
          </w:tcPr>
          <w:p w14:paraId="2C5499C9" w14:textId="77777777" w:rsidR="00CC0A78" w:rsidRDefault="00CC0A78">
            <w:pPr>
              <w:suppressAutoHyphens w:val="0"/>
              <w:spacing w:line="240" w:lineRule="auto"/>
              <w:jc w:val="right"/>
              <w:rPr>
                <w:sz w:val="18"/>
                <w:szCs w:val="18"/>
              </w:rPr>
            </w:pPr>
            <w:r>
              <w:rPr>
                <w:sz w:val="18"/>
                <w:szCs w:val="18"/>
              </w:rPr>
              <w:t>0.008</w:t>
            </w:r>
          </w:p>
        </w:tc>
        <w:tc>
          <w:tcPr>
            <w:tcW w:w="1559" w:type="dxa"/>
            <w:tcBorders>
              <w:top w:val="nil"/>
              <w:left w:val="nil"/>
              <w:bottom w:val="nil"/>
              <w:right w:val="nil"/>
            </w:tcBorders>
            <w:noWrap/>
            <w:vAlign w:val="bottom"/>
            <w:hideMark/>
          </w:tcPr>
          <w:p w14:paraId="449C6C5E" w14:textId="77777777" w:rsidR="00CC0A78" w:rsidRDefault="00CC0A78">
            <w:pPr>
              <w:suppressAutoHyphens w:val="0"/>
              <w:spacing w:line="240" w:lineRule="auto"/>
              <w:jc w:val="right"/>
              <w:rPr>
                <w:sz w:val="18"/>
                <w:szCs w:val="18"/>
              </w:rPr>
            </w:pPr>
            <w:r>
              <w:rPr>
                <w:color w:val="000000"/>
                <w:sz w:val="18"/>
                <w:szCs w:val="18"/>
              </w:rPr>
              <w:t>0.010</w:t>
            </w:r>
          </w:p>
        </w:tc>
      </w:tr>
      <w:tr w:rsidR="00CC0A78" w14:paraId="37720680" w14:textId="77777777" w:rsidTr="00B719E1">
        <w:trPr>
          <w:trHeight w:val="240"/>
        </w:trPr>
        <w:tc>
          <w:tcPr>
            <w:tcW w:w="4111" w:type="dxa"/>
            <w:tcBorders>
              <w:top w:val="nil"/>
              <w:left w:val="nil"/>
              <w:bottom w:val="nil"/>
              <w:right w:val="nil"/>
            </w:tcBorders>
            <w:noWrap/>
            <w:vAlign w:val="bottom"/>
            <w:hideMark/>
          </w:tcPr>
          <w:p w14:paraId="5FAC757B"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Japan</w:t>
            </w:r>
          </w:p>
        </w:tc>
        <w:tc>
          <w:tcPr>
            <w:tcW w:w="1701" w:type="dxa"/>
            <w:tcBorders>
              <w:top w:val="nil"/>
              <w:left w:val="nil"/>
              <w:bottom w:val="nil"/>
              <w:right w:val="nil"/>
            </w:tcBorders>
            <w:noWrap/>
            <w:vAlign w:val="bottom"/>
            <w:hideMark/>
          </w:tcPr>
          <w:p w14:paraId="7623D642" w14:textId="77777777" w:rsidR="00CC0A78" w:rsidRDefault="00CC0A78">
            <w:pPr>
              <w:suppressAutoHyphens w:val="0"/>
              <w:spacing w:line="240" w:lineRule="auto"/>
              <w:jc w:val="right"/>
              <w:rPr>
                <w:sz w:val="18"/>
                <w:szCs w:val="18"/>
              </w:rPr>
            </w:pPr>
            <w:r>
              <w:rPr>
                <w:sz w:val="18"/>
                <w:szCs w:val="18"/>
              </w:rPr>
              <w:t>8.564</w:t>
            </w:r>
          </w:p>
        </w:tc>
        <w:tc>
          <w:tcPr>
            <w:tcW w:w="1559" w:type="dxa"/>
            <w:tcBorders>
              <w:top w:val="nil"/>
              <w:left w:val="nil"/>
              <w:bottom w:val="nil"/>
              <w:right w:val="nil"/>
            </w:tcBorders>
            <w:noWrap/>
            <w:vAlign w:val="bottom"/>
            <w:hideMark/>
          </w:tcPr>
          <w:p w14:paraId="57DF955D" w14:textId="77777777" w:rsidR="00CC0A78" w:rsidRDefault="00CC0A78">
            <w:pPr>
              <w:suppressAutoHyphens w:val="0"/>
              <w:spacing w:line="240" w:lineRule="auto"/>
              <w:jc w:val="right"/>
              <w:rPr>
                <w:sz w:val="18"/>
                <w:szCs w:val="18"/>
              </w:rPr>
            </w:pPr>
            <w:r>
              <w:rPr>
                <w:color w:val="000000"/>
                <w:sz w:val="18"/>
                <w:szCs w:val="18"/>
              </w:rPr>
              <w:t>11.096</w:t>
            </w:r>
          </w:p>
        </w:tc>
      </w:tr>
      <w:tr w:rsidR="00CC0A78" w14:paraId="7F743096" w14:textId="77777777" w:rsidTr="00B719E1">
        <w:trPr>
          <w:trHeight w:val="240"/>
        </w:trPr>
        <w:tc>
          <w:tcPr>
            <w:tcW w:w="4111" w:type="dxa"/>
            <w:tcBorders>
              <w:top w:val="nil"/>
              <w:left w:val="nil"/>
              <w:bottom w:val="nil"/>
              <w:right w:val="nil"/>
            </w:tcBorders>
            <w:noWrap/>
            <w:vAlign w:val="bottom"/>
            <w:hideMark/>
          </w:tcPr>
          <w:p w14:paraId="2C701DB0"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Jordan</w:t>
            </w:r>
          </w:p>
        </w:tc>
        <w:tc>
          <w:tcPr>
            <w:tcW w:w="1701" w:type="dxa"/>
            <w:tcBorders>
              <w:top w:val="nil"/>
              <w:left w:val="nil"/>
              <w:bottom w:val="nil"/>
              <w:right w:val="nil"/>
            </w:tcBorders>
            <w:noWrap/>
            <w:vAlign w:val="bottom"/>
            <w:hideMark/>
          </w:tcPr>
          <w:p w14:paraId="642FC3D3" w14:textId="77777777" w:rsidR="00CC0A78" w:rsidRDefault="00CC0A78">
            <w:pPr>
              <w:suppressAutoHyphens w:val="0"/>
              <w:spacing w:line="240" w:lineRule="auto"/>
              <w:jc w:val="right"/>
              <w:rPr>
                <w:sz w:val="18"/>
                <w:szCs w:val="18"/>
              </w:rPr>
            </w:pPr>
            <w:r>
              <w:rPr>
                <w:sz w:val="18"/>
                <w:szCs w:val="18"/>
              </w:rPr>
              <w:t>0.021</w:t>
            </w:r>
          </w:p>
        </w:tc>
        <w:tc>
          <w:tcPr>
            <w:tcW w:w="1559" w:type="dxa"/>
            <w:tcBorders>
              <w:top w:val="nil"/>
              <w:left w:val="nil"/>
              <w:bottom w:val="nil"/>
              <w:right w:val="nil"/>
            </w:tcBorders>
            <w:noWrap/>
            <w:vAlign w:val="bottom"/>
            <w:hideMark/>
          </w:tcPr>
          <w:p w14:paraId="17785C28" w14:textId="77777777" w:rsidR="00CC0A78" w:rsidRDefault="00CC0A78">
            <w:pPr>
              <w:suppressAutoHyphens w:val="0"/>
              <w:spacing w:line="240" w:lineRule="auto"/>
              <w:jc w:val="right"/>
              <w:rPr>
                <w:sz w:val="18"/>
                <w:szCs w:val="18"/>
              </w:rPr>
            </w:pPr>
            <w:r>
              <w:rPr>
                <w:color w:val="000000"/>
                <w:sz w:val="18"/>
                <w:szCs w:val="18"/>
              </w:rPr>
              <w:t>0.027</w:t>
            </w:r>
          </w:p>
        </w:tc>
      </w:tr>
      <w:tr w:rsidR="00CC0A78" w14:paraId="1FD113A0" w14:textId="77777777" w:rsidTr="00B719E1">
        <w:trPr>
          <w:trHeight w:val="240"/>
        </w:trPr>
        <w:tc>
          <w:tcPr>
            <w:tcW w:w="4111" w:type="dxa"/>
            <w:tcBorders>
              <w:top w:val="nil"/>
              <w:left w:val="nil"/>
              <w:bottom w:val="nil"/>
              <w:right w:val="nil"/>
            </w:tcBorders>
            <w:noWrap/>
            <w:vAlign w:val="bottom"/>
            <w:hideMark/>
          </w:tcPr>
          <w:p w14:paraId="2778E454"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Kazakhstan</w:t>
            </w:r>
          </w:p>
        </w:tc>
        <w:tc>
          <w:tcPr>
            <w:tcW w:w="1701" w:type="dxa"/>
            <w:tcBorders>
              <w:top w:val="nil"/>
              <w:left w:val="nil"/>
              <w:bottom w:val="nil"/>
              <w:right w:val="nil"/>
            </w:tcBorders>
            <w:noWrap/>
            <w:vAlign w:val="bottom"/>
            <w:hideMark/>
          </w:tcPr>
          <w:p w14:paraId="63DC2B7A" w14:textId="77777777" w:rsidR="00CC0A78" w:rsidRDefault="00CC0A78">
            <w:pPr>
              <w:suppressAutoHyphens w:val="0"/>
              <w:spacing w:line="240" w:lineRule="auto"/>
              <w:jc w:val="right"/>
              <w:rPr>
                <w:sz w:val="18"/>
                <w:szCs w:val="18"/>
              </w:rPr>
            </w:pPr>
            <w:r>
              <w:rPr>
                <w:sz w:val="18"/>
                <w:szCs w:val="18"/>
              </w:rPr>
              <w:t>0.178</w:t>
            </w:r>
          </w:p>
        </w:tc>
        <w:tc>
          <w:tcPr>
            <w:tcW w:w="1559" w:type="dxa"/>
            <w:tcBorders>
              <w:top w:val="nil"/>
              <w:left w:val="nil"/>
              <w:bottom w:val="nil"/>
              <w:right w:val="nil"/>
            </w:tcBorders>
            <w:noWrap/>
            <w:vAlign w:val="bottom"/>
            <w:hideMark/>
          </w:tcPr>
          <w:p w14:paraId="107CD3AB" w14:textId="77777777" w:rsidR="00CC0A78" w:rsidRDefault="00CC0A78">
            <w:pPr>
              <w:suppressAutoHyphens w:val="0"/>
              <w:spacing w:line="240" w:lineRule="auto"/>
              <w:jc w:val="right"/>
              <w:rPr>
                <w:sz w:val="18"/>
                <w:szCs w:val="18"/>
              </w:rPr>
            </w:pPr>
            <w:r>
              <w:rPr>
                <w:color w:val="000000"/>
                <w:sz w:val="18"/>
                <w:szCs w:val="18"/>
              </w:rPr>
              <w:t>0.231</w:t>
            </w:r>
          </w:p>
        </w:tc>
      </w:tr>
      <w:tr w:rsidR="00CC0A78" w14:paraId="4C3D7201" w14:textId="77777777" w:rsidTr="00B719E1">
        <w:trPr>
          <w:trHeight w:val="240"/>
        </w:trPr>
        <w:tc>
          <w:tcPr>
            <w:tcW w:w="4111" w:type="dxa"/>
            <w:tcBorders>
              <w:top w:val="nil"/>
              <w:left w:val="nil"/>
              <w:bottom w:val="nil"/>
              <w:right w:val="nil"/>
            </w:tcBorders>
            <w:noWrap/>
            <w:vAlign w:val="bottom"/>
            <w:hideMark/>
          </w:tcPr>
          <w:p w14:paraId="32EAA60F"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Kenya</w:t>
            </w:r>
          </w:p>
        </w:tc>
        <w:tc>
          <w:tcPr>
            <w:tcW w:w="1701" w:type="dxa"/>
            <w:tcBorders>
              <w:top w:val="nil"/>
              <w:left w:val="nil"/>
              <w:bottom w:val="nil"/>
              <w:right w:val="nil"/>
            </w:tcBorders>
            <w:noWrap/>
            <w:vAlign w:val="bottom"/>
            <w:hideMark/>
          </w:tcPr>
          <w:p w14:paraId="6EF16B7B" w14:textId="77777777" w:rsidR="00CC0A78" w:rsidRDefault="00CC0A78">
            <w:pPr>
              <w:suppressAutoHyphens w:val="0"/>
              <w:spacing w:line="240" w:lineRule="auto"/>
              <w:jc w:val="right"/>
              <w:rPr>
                <w:sz w:val="18"/>
                <w:szCs w:val="18"/>
              </w:rPr>
            </w:pPr>
            <w:r>
              <w:rPr>
                <w:sz w:val="18"/>
                <w:szCs w:val="18"/>
              </w:rPr>
              <w:t>0.024</w:t>
            </w:r>
          </w:p>
        </w:tc>
        <w:tc>
          <w:tcPr>
            <w:tcW w:w="1559" w:type="dxa"/>
            <w:tcBorders>
              <w:top w:val="nil"/>
              <w:left w:val="nil"/>
              <w:bottom w:val="nil"/>
              <w:right w:val="nil"/>
            </w:tcBorders>
            <w:noWrap/>
            <w:vAlign w:val="bottom"/>
            <w:hideMark/>
          </w:tcPr>
          <w:p w14:paraId="3EB54C50" w14:textId="77777777" w:rsidR="00CC0A78" w:rsidRDefault="00CC0A78">
            <w:pPr>
              <w:suppressAutoHyphens w:val="0"/>
              <w:spacing w:line="240" w:lineRule="auto"/>
              <w:jc w:val="right"/>
              <w:rPr>
                <w:sz w:val="18"/>
                <w:szCs w:val="18"/>
              </w:rPr>
            </w:pPr>
            <w:r>
              <w:rPr>
                <w:color w:val="000000"/>
                <w:sz w:val="18"/>
                <w:szCs w:val="18"/>
              </w:rPr>
              <w:t>0.031</w:t>
            </w:r>
          </w:p>
        </w:tc>
      </w:tr>
      <w:tr w:rsidR="00CC0A78" w14:paraId="4092D5BB" w14:textId="77777777" w:rsidTr="00B719E1">
        <w:trPr>
          <w:trHeight w:val="240"/>
        </w:trPr>
        <w:tc>
          <w:tcPr>
            <w:tcW w:w="4111" w:type="dxa"/>
            <w:tcBorders>
              <w:top w:val="nil"/>
              <w:left w:val="nil"/>
              <w:bottom w:val="nil"/>
              <w:right w:val="nil"/>
            </w:tcBorders>
            <w:noWrap/>
            <w:vAlign w:val="bottom"/>
            <w:hideMark/>
          </w:tcPr>
          <w:p w14:paraId="6C4B5B24"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Kiribati</w:t>
            </w:r>
          </w:p>
        </w:tc>
        <w:tc>
          <w:tcPr>
            <w:tcW w:w="1701" w:type="dxa"/>
            <w:tcBorders>
              <w:top w:val="nil"/>
              <w:left w:val="nil"/>
              <w:bottom w:val="nil"/>
              <w:right w:val="nil"/>
            </w:tcBorders>
            <w:noWrap/>
            <w:vAlign w:val="bottom"/>
            <w:hideMark/>
          </w:tcPr>
          <w:p w14:paraId="21F4588F" w14:textId="77777777" w:rsidR="00CC0A78" w:rsidRDefault="00CC0A78">
            <w:pPr>
              <w:suppressAutoHyphens w:val="0"/>
              <w:spacing w:line="240" w:lineRule="auto"/>
              <w:jc w:val="right"/>
              <w:rPr>
                <w:sz w:val="18"/>
                <w:szCs w:val="18"/>
              </w:rPr>
            </w:pPr>
            <w:r>
              <w:rPr>
                <w:sz w:val="18"/>
                <w:szCs w:val="18"/>
              </w:rPr>
              <w:t>0.001</w:t>
            </w:r>
          </w:p>
        </w:tc>
        <w:tc>
          <w:tcPr>
            <w:tcW w:w="1559" w:type="dxa"/>
            <w:tcBorders>
              <w:top w:val="nil"/>
              <w:left w:val="nil"/>
              <w:bottom w:val="nil"/>
              <w:right w:val="nil"/>
            </w:tcBorders>
            <w:noWrap/>
            <w:vAlign w:val="bottom"/>
            <w:hideMark/>
          </w:tcPr>
          <w:p w14:paraId="35F62FC1" w14:textId="77777777" w:rsidR="00CC0A78" w:rsidRDefault="00CC0A78">
            <w:pPr>
              <w:suppressAutoHyphens w:val="0"/>
              <w:spacing w:line="240" w:lineRule="auto"/>
              <w:jc w:val="right"/>
              <w:rPr>
                <w:sz w:val="18"/>
                <w:szCs w:val="18"/>
              </w:rPr>
            </w:pPr>
            <w:r>
              <w:rPr>
                <w:color w:val="000000"/>
                <w:sz w:val="18"/>
                <w:szCs w:val="18"/>
              </w:rPr>
              <w:t>0.001</w:t>
            </w:r>
          </w:p>
        </w:tc>
      </w:tr>
      <w:tr w:rsidR="00CC0A78" w14:paraId="48FD6D09" w14:textId="77777777" w:rsidTr="00B719E1">
        <w:trPr>
          <w:trHeight w:val="240"/>
        </w:trPr>
        <w:tc>
          <w:tcPr>
            <w:tcW w:w="4111" w:type="dxa"/>
            <w:tcBorders>
              <w:top w:val="nil"/>
              <w:left w:val="nil"/>
              <w:bottom w:val="nil"/>
              <w:right w:val="nil"/>
            </w:tcBorders>
            <w:noWrap/>
            <w:vAlign w:val="bottom"/>
            <w:hideMark/>
          </w:tcPr>
          <w:p w14:paraId="5C1E3FDF"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Kuwait</w:t>
            </w:r>
          </w:p>
        </w:tc>
        <w:tc>
          <w:tcPr>
            <w:tcW w:w="1701" w:type="dxa"/>
            <w:tcBorders>
              <w:top w:val="nil"/>
              <w:left w:val="nil"/>
              <w:bottom w:val="nil"/>
              <w:right w:val="nil"/>
            </w:tcBorders>
            <w:noWrap/>
            <w:vAlign w:val="bottom"/>
            <w:hideMark/>
          </w:tcPr>
          <w:p w14:paraId="0F853F28" w14:textId="77777777" w:rsidR="00CC0A78" w:rsidRDefault="00CC0A78">
            <w:pPr>
              <w:suppressAutoHyphens w:val="0"/>
              <w:spacing w:line="240" w:lineRule="auto"/>
              <w:jc w:val="right"/>
              <w:rPr>
                <w:sz w:val="18"/>
                <w:szCs w:val="18"/>
              </w:rPr>
            </w:pPr>
            <w:r>
              <w:rPr>
                <w:sz w:val="18"/>
                <w:szCs w:val="18"/>
              </w:rPr>
              <w:t>0.252</w:t>
            </w:r>
          </w:p>
        </w:tc>
        <w:tc>
          <w:tcPr>
            <w:tcW w:w="1559" w:type="dxa"/>
            <w:tcBorders>
              <w:top w:val="nil"/>
              <w:left w:val="nil"/>
              <w:bottom w:val="nil"/>
              <w:right w:val="nil"/>
            </w:tcBorders>
            <w:noWrap/>
            <w:vAlign w:val="bottom"/>
            <w:hideMark/>
          </w:tcPr>
          <w:p w14:paraId="05D49FA7" w14:textId="77777777" w:rsidR="00CC0A78" w:rsidRDefault="00CC0A78">
            <w:pPr>
              <w:suppressAutoHyphens w:val="0"/>
              <w:spacing w:line="240" w:lineRule="auto"/>
              <w:jc w:val="right"/>
              <w:rPr>
                <w:sz w:val="18"/>
                <w:szCs w:val="18"/>
              </w:rPr>
            </w:pPr>
            <w:r>
              <w:rPr>
                <w:color w:val="000000"/>
                <w:sz w:val="18"/>
                <w:szCs w:val="18"/>
              </w:rPr>
              <w:t>0.327</w:t>
            </w:r>
          </w:p>
        </w:tc>
      </w:tr>
      <w:tr w:rsidR="00CC0A78" w14:paraId="52AC7C92" w14:textId="77777777" w:rsidTr="00B719E1">
        <w:trPr>
          <w:trHeight w:val="240"/>
        </w:trPr>
        <w:tc>
          <w:tcPr>
            <w:tcW w:w="4111" w:type="dxa"/>
            <w:tcBorders>
              <w:top w:val="nil"/>
              <w:left w:val="nil"/>
              <w:bottom w:val="nil"/>
              <w:right w:val="nil"/>
            </w:tcBorders>
            <w:noWrap/>
            <w:vAlign w:val="bottom"/>
            <w:hideMark/>
          </w:tcPr>
          <w:p w14:paraId="3D4CC1EB"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Kyrgyzstan</w:t>
            </w:r>
          </w:p>
        </w:tc>
        <w:tc>
          <w:tcPr>
            <w:tcW w:w="1701" w:type="dxa"/>
            <w:tcBorders>
              <w:top w:val="nil"/>
              <w:left w:val="nil"/>
              <w:bottom w:val="nil"/>
              <w:right w:val="nil"/>
            </w:tcBorders>
            <w:noWrap/>
            <w:vAlign w:val="bottom"/>
            <w:hideMark/>
          </w:tcPr>
          <w:p w14:paraId="44B8316F" w14:textId="77777777" w:rsidR="00CC0A78" w:rsidRDefault="00CC0A78">
            <w:pPr>
              <w:suppressAutoHyphens w:val="0"/>
              <w:spacing w:line="240" w:lineRule="auto"/>
              <w:jc w:val="right"/>
              <w:rPr>
                <w:sz w:val="18"/>
                <w:szCs w:val="18"/>
              </w:rPr>
            </w:pPr>
            <w:r>
              <w:rPr>
                <w:sz w:val="18"/>
                <w:szCs w:val="18"/>
              </w:rPr>
              <w:t>0.002</w:t>
            </w:r>
          </w:p>
        </w:tc>
        <w:tc>
          <w:tcPr>
            <w:tcW w:w="1559" w:type="dxa"/>
            <w:tcBorders>
              <w:top w:val="nil"/>
              <w:left w:val="nil"/>
              <w:bottom w:val="nil"/>
              <w:right w:val="nil"/>
            </w:tcBorders>
            <w:noWrap/>
            <w:vAlign w:val="bottom"/>
            <w:hideMark/>
          </w:tcPr>
          <w:p w14:paraId="694D39BA" w14:textId="77777777" w:rsidR="00CC0A78" w:rsidRDefault="00CC0A78">
            <w:pPr>
              <w:suppressAutoHyphens w:val="0"/>
              <w:spacing w:line="240" w:lineRule="auto"/>
              <w:jc w:val="right"/>
              <w:rPr>
                <w:sz w:val="18"/>
                <w:szCs w:val="18"/>
              </w:rPr>
            </w:pPr>
            <w:r>
              <w:rPr>
                <w:color w:val="000000"/>
                <w:sz w:val="18"/>
                <w:szCs w:val="18"/>
              </w:rPr>
              <w:t>0.003</w:t>
            </w:r>
          </w:p>
        </w:tc>
      </w:tr>
      <w:tr w:rsidR="00CC0A78" w14:paraId="3DE5B229" w14:textId="77777777" w:rsidTr="00B719E1">
        <w:trPr>
          <w:trHeight w:val="240"/>
        </w:trPr>
        <w:tc>
          <w:tcPr>
            <w:tcW w:w="4111" w:type="dxa"/>
            <w:tcBorders>
              <w:top w:val="nil"/>
              <w:left w:val="nil"/>
              <w:bottom w:val="nil"/>
              <w:right w:val="nil"/>
            </w:tcBorders>
            <w:noWrap/>
            <w:vAlign w:val="bottom"/>
            <w:hideMark/>
          </w:tcPr>
          <w:p w14:paraId="3E33CB60"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Lao People’s Democratic Republic</w:t>
            </w:r>
          </w:p>
        </w:tc>
        <w:tc>
          <w:tcPr>
            <w:tcW w:w="1701" w:type="dxa"/>
            <w:tcBorders>
              <w:top w:val="nil"/>
              <w:left w:val="nil"/>
              <w:bottom w:val="nil"/>
              <w:right w:val="nil"/>
            </w:tcBorders>
            <w:noWrap/>
            <w:vAlign w:val="bottom"/>
            <w:hideMark/>
          </w:tcPr>
          <w:p w14:paraId="640DEFA6" w14:textId="77777777" w:rsidR="00CC0A78" w:rsidRDefault="00CC0A78">
            <w:pPr>
              <w:suppressAutoHyphens w:val="0"/>
              <w:spacing w:line="240" w:lineRule="auto"/>
              <w:jc w:val="right"/>
              <w:rPr>
                <w:sz w:val="18"/>
                <w:szCs w:val="18"/>
              </w:rPr>
            </w:pPr>
            <w:r>
              <w:rPr>
                <w:sz w:val="18"/>
                <w:szCs w:val="18"/>
              </w:rPr>
              <w:t>0.005</w:t>
            </w:r>
          </w:p>
        </w:tc>
        <w:tc>
          <w:tcPr>
            <w:tcW w:w="1559" w:type="dxa"/>
            <w:tcBorders>
              <w:top w:val="nil"/>
              <w:left w:val="nil"/>
              <w:bottom w:val="nil"/>
              <w:right w:val="nil"/>
            </w:tcBorders>
            <w:noWrap/>
            <w:vAlign w:val="bottom"/>
            <w:hideMark/>
          </w:tcPr>
          <w:p w14:paraId="05AFA1FA" w14:textId="77777777" w:rsidR="00CC0A78" w:rsidRDefault="00CC0A78">
            <w:pPr>
              <w:suppressAutoHyphens w:val="0"/>
              <w:spacing w:line="240" w:lineRule="auto"/>
              <w:jc w:val="right"/>
              <w:rPr>
                <w:sz w:val="18"/>
                <w:szCs w:val="18"/>
              </w:rPr>
            </w:pPr>
            <w:r>
              <w:rPr>
                <w:color w:val="000000"/>
                <w:sz w:val="18"/>
                <w:szCs w:val="18"/>
              </w:rPr>
              <w:t>0.006</w:t>
            </w:r>
          </w:p>
        </w:tc>
      </w:tr>
      <w:tr w:rsidR="00CC0A78" w14:paraId="7FBB743F" w14:textId="77777777" w:rsidTr="00B719E1">
        <w:trPr>
          <w:trHeight w:val="240"/>
        </w:trPr>
        <w:tc>
          <w:tcPr>
            <w:tcW w:w="4111" w:type="dxa"/>
            <w:tcBorders>
              <w:top w:val="nil"/>
              <w:left w:val="nil"/>
              <w:bottom w:val="nil"/>
              <w:right w:val="nil"/>
            </w:tcBorders>
            <w:noWrap/>
            <w:vAlign w:val="bottom"/>
            <w:hideMark/>
          </w:tcPr>
          <w:p w14:paraId="2FF0AD88"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Latvia</w:t>
            </w:r>
          </w:p>
        </w:tc>
        <w:tc>
          <w:tcPr>
            <w:tcW w:w="1701" w:type="dxa"/>
            <w:tcBorders>
              <w:top w:val="nil"/>
              <w:left w:val="nil"/>
              <w:bottom w:val="nil"/>
              <w:right w:val="nil"/>
            </w:tcBorders>
            <w:noWrap/>
            <w:vAlign w:val="bottom"/>
            <w:hideMark/>
          </w:tcPr>
          <w:p w14:paraId="3F3DFDB1" w14:textId="77777777" w:rsidR="00CC0A78" w:rsidRDefault="00CC0A78">
            <w:pPr>
              <w:suppressAutoHyphens w:val="0"/>
              <w:spacing w:line="240" w:lineRule="auto"/>
              <w:jc w:val="right"/>
              <w:rPr>
                <w:sz w:val="18"/>
                <w:szCs w:val="18"/>
              </w:rPr>
            </w:pPr>
            <w:r>
              <w:rPr>
                <w:sz w:val="18"/>
                <w:szCs w:val="18"/>
              </w:rPr>
              <w:t>0.047</w:t>
            </w:r>
          </w:p>
        </w:tc>
        <w:tc>
          <w:tcPr>
            <w:tcW w:w="1559" w:type="dxa"/>
            <w:tcBorders>
              <w:top w:val="nil"/>
              <w:left w:val="nil"/>
              <w:bottom w:val="nil"/>
              <w:right w:val="nil"/>
            </w:tcBorders>
            <w:noWrap/>
            <w:vAlign w:val="bottom"/>
            <w:hideMark/>
          </w:tcPr>
          <w:p w14:paraId="483A4D7C" w14:textId="77777777" w:rsidR="00CC0A78" w:rsidRDefault="00CC0A78">
            <w:pPr>
              <w:suppressAutoHyphens w:val="0"/>
              <w:spacing w:line="240" w:lineRule="auto"/>
              <w:jc w:val="right"/>
              <w:rPr>
                <w:sz w:val="18"/>
                <w:szCs w:val="18"/>
              </w:rPr>
            </w:pPr>
            <w:r>
              <w:rPr>
                <w:color w:val="000000"/>
                <w:sz w:val="18"/>
                <w:szCs w:val="18"/>
              </w:rPr>
              <w:t>0.061</w:t>
            </w:r>
          </w:p>
        </w:tc>
      </w:tr>
      <w:tr w:rsidR="00CC0A78" w14:paraId="38F1ADCD" w14:textId="77777777" w:rsidTr="00B719E1">
        <w:trPr>
          <w:trHeight w:val="240"/>
        </w:trPr>
        <w:tc>
          <w:tcPr>
            <w:tcW w:w="4111" w:type="dxa"/>
            <w:tcBorders>
              <w:top w:val="nil"/>
              <w:left w:val="nil"/>
              <w:bottom w:val="nil"/>
              <w:right w:val="nil"/>
            </w:tcBorders>
            <w:noWrap/>
            <w:vAlign w:val="bottom"/>
            <w:hideMark/>
          </w:tcPr>
          <w:p w14:paraId="55678BCC"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Lebanon</w:t>
            </w:r>
          </w:p>
        </w:tc>
        <w:tc>
          <w:tcPr>
            <w:tcW w:w="1701" w:type="dxa"/>
            <w:tcBorders>
              <w:top w:val="nil"/>
              <w:left w:val="nil"/>
              <w:bottom w:val="nil"/>
              <w:right w:val="nil"/>
            </w:tcBorders>
            <w:noWrap/>
            <w:vAlign w:val="bottom"/>
            <w:hideMark/>
          </w:tcPr>
          <w:p w14:paraId="006AF525" w14:textId="77777777" w:rsidR="00CC0A78" w:rsidRDefault="00CC0A78">
            <w:pPr>
              <w:suppressAutoHyphens w:val="0"/>
              <w:spacing w:line="240" w:lineRule="auto"/>
              <w:jc w:val="right"/>
              <w:rPr>
                <w:sz w:val="18"/>
                <w:szCs w:val="18"/>
              </w:rPr>
            </w:pPr>
            <w:r>
              <w:rPr>
                <w:sz w:val="18"/>
                <w:szCs w:val="18"/>
              </w:rPr>
              <w:t>0.047</w:t>
            </w:r>
          </w:p>
        </w:tc>
        <w:tc>
          <w:tcPr>
            <w:tcW w:w="1559" w:type="dxa"/>
            <w:tcBorders>
              <w:top w:val="nil"/>
              <w:left w:val="nil"/>
              <w:bottom w:val="nil"/>
              <w:right w:val="nil"/>
            </w:tcBorders>
            <w:noWrap/>
            <w:vAlign w:val="bottom"/>
            <w:hideMark/>
          </w:tcPr>
          <w:p w14:paraId="224B2C5D" w14:textId="77777777" w:rsidR="00CC0A78" w:rsidRDefault="00CC0A78">
            <w:pPr>
              <w:suppressAutoHyphens w:val="0"/>
              <w:spacing w:line="240" w:lineRule="auto"/>
              <w:jc w:val="right"/>
              <w:rPr>
                <w:sz w:val="18"/>
                <w:szCs w:val="18"/>
              </w:rPr>
            </w:pPr>
            <w:r>
              <w:rPr>
                <w:color w:val="000000"/>
                <w:sz w:val="18"/>
                <w:szCs w:val="18"/>
              </w:rPr>
              <w:t>0.061</w:t>
            </w:r>
          </w:p>
        </w:tc>
      </w:tr>
      <w:tr w:rsidR="00CC0A78" w14:paraId="2F8D612A" w14:textId="77777777" w:rsidTr="00B719E1">
        <w:trPr>
          <w:trHeight w:val="240"/>
        </w:trPr>
        <w:tc>
          <w:tcPr>
            <w:tcW w:w="4111" w:type="dxa"/>
            <w:tcBorders>
              <w:top w:val="nil"/>
              <w:left w:val="nil"/>
              <w:bottom w:val="nil"/>
              <w:right w:val="nil"/>
            </w:tcBorders>
            <w:noWrap/>
            <w:vAlign w:val="bottom"/>
            <w:hideMark/>
          </w:tcPr>
          <w:p w14:paraId="2AA5516D"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Lesotho</w:t>
            </w:r>
          </w:p>
        </w:tc>
        <w:tc>
          <w:tcPr>
            <w:tcW w:w="1701" w:type="dxa"/>
            <w:tcBorders>
              <w:top w:val="nil"/>
              <w:left w:val="nil"/>
              <w:bottom w:val="nil"/>
              <w:right w:val="nil"/>
            </w:tcBorders>
            <w:noWrap/>
            <w:vAlign w:val="bottom"/>
            <w:hideMark/>
          </w:tcPr>
          <w:p w14:paraId="23318A62" w14:textId="77777777" w:rsidR="00CC0A78" w:rsidRDefault="00CC0A78">
            <w:pPr>
              <w:suppressAutoHyphens w:val="0"/>
              <w:spacing w:line="240" w:lineRule="auto"/>
              <w:jc w:val="right"/>
              <w:rPr>
                <w:sz w:val="18"/>
                <w:szCs w:val="18"/>
              </w:rPr>
            </w:pPr>
            <w:r>
              <w:rPr>
                <w:sz w:val="18"/>
                <w:szCs w:val="18"/>
              </w:rPr>
              <w:t>0.001</w:t>
            </w:r>
          </w:p>
        </w:tc>
        <w:tc>
          <w:tcPr>
            <w:tcW w:w="1559" w:type="dxa"/>
            <w:tcBorders>
              <w:top w:val="nil"/>
              <w:left w:val="nil"/>
              <w:bottom w:val="nil"/>
              <w:right w:val="nil"/>
            </w:tcBorders>
            <w:noWrap/>
            <w:vAlign w:val="bottom"/>
            <w:hideMark/>
          </w:tcPr>
          <w:p w14:paraId="3E968587" w14:textId="77777777" w:rsidR="00CC0A78" w:rsidRDefault="00CC0A78">
            <w:pPr>
              <w:suppressAutoHyphens w:val="0"/>
              <w:spacing w:line="240" w:lineRule="auto"/>
              <w:jc w:val="right"/>
              <w:rPr>
                <w:sz w:val="18"/>
                <w:szCs w:val="18"/>
              </w:rPr>
            </w:pPr>
            <w:r>
              <w:rPr>
                <w:color w:val="000000"/>
                <w:sz w:val="18"/>
                <w:szCs w:val="18"/>
              </w:rPr>
              <w:t>0.001</w:t>
            </w:r>
          </w:p>
        </w:tc>
      </w:tr>
      <w:tr w:rsidR="00CC0A78" w14:paraId="126D69F6" w14:textId="77777777" w:rsidTr="00B719E1">
        <w:trPr>
          <w:trHeight w:val="240"/>
        </w:trPr>
        <w:tc>
          <w:tcPr>
            <w:tcW w:w="4111" w:type="dxa"/>
            <w:tcBorders>
              <w:top w:val="nil"/>
              <w:left w:val="nil"/>
              <w:bottom w:val="nil"/>
              <w:right w:val="nil"/>
            </w:tcBorders>
            <w:noWrap/>
            <w:vAlign w:val="bottom"/>
            <w:hideMark/>
          </w:tcPr>
          <w:p w14:paraId="5DD548EB"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Liberia</w:t>
            </w:r>
          </w:p>
        </w:tc>
        <w:tc>
          <w:tcPr>
            <w:tcW w:w="1701" w:type="dxa"/>
            <w:tcBorders>
              <w:top w:val="nil"/>
              <w:left w:val="nil"/>
              <w:bottom w:val="nil"/>
              <w:right w:val="nil"/>
            </w:tcBorders>
            <w:noWrap/>
            <w:vAlign w:val="bottom"/>
            <w:hideMark/>
          </w:tcPr>
          <w:p w14:paraId="5A5B5635" w14:textId="77777777" w:rsidR="00CC0A78" w:rsidRDefault="00CC0A78">
            <w:pPr>
              <w:suppressAutoHyphens w:val="0"/>
              <w:spacing w:line="240" w:lineRule="auto"/>
              <w:jc w:val="right"/>
              <w:rPr>
                <w:sz w:val="18"/>
                <w:szCs w:val="18"/>
              </w:rPr>
            </w:pPr>
            <w:r>
              <w:rPr>
                <w:sz w:val="18"/>
                <w:szCs w:val="18"/>
              </w:rPr>
              <w:t>0.001</w:t>
            </w:r>
          </w:p>
        </w:tc>
        <w:tc>
          <w:tcPr>
            <w:tcW w:w="1559" w:type="dxa"/>
            <w:tcBorders>
              <w:top w:val="nil"/>
              <w:left w:val="nil"/>
              <w:bottom w:val="nil"/>
              <w:right w:val="nil"/>
            </w:tcBorders>
            <w:noWrap/>
            <w:vAlign w:val="bottom"/>
            <w:hideMark/>
          </w:tcPr>
          <w:p w14:paraId="7D070C3D" w14:textId="77777777" w:rsidR="00CC0A78" w:rsidRDefault="00CC0A78">
            <w:pPr>
              <w:suppressAutoHyphens w:val="0"/>
              <w:spacing w:line="240" w:lineRule="auto"/>
              <w:jc w:val="right"/>
              <w:rPr>
                <w:sz w:val="18"/>
                <w:szCs w:val="18"/>
              </w:rPr>
            </w:pPr>
            <w:r>
              <w:rPr>
                <w:color w:val="000000"/>
                <w:sz w:val="18"/>
                <w:szCs w:val="18"/>
              </w:rPr>
              <w:t>0.001</w:t>
            </w:r>
          </w:p>
        </w:tc>
      </w:tr>
      <w:tr w:rsidR="00CC0A78" w14:paraId="6EA3FA5E" w14:textId="77777777" w:rsidTr="00B719E1">
        <w:trPr>
          <w:trHeight w:val="240"/>
        </w:trPr>
        <w:tc>
          <w:tcPr>
            <w:tcW w:w="4111" w:type="dxa"/>
            <w:tcBorders>
              <w:top w:val="nil"/>
              <w:left w:val="nil"/>
              <w:bottom w:val="nil"/>
              <w:right w:val="nil"/>
            </w:tcBorders>
            <w:noWrap/>
            <w:vAlign w:val="bottom"/>
            <w:hideMark/>
          </w:tcPr>
          <w:p w14:paraId="0A86C821"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Libya</w:t>
            </w:r>
          </w:p>
        </w:tc>
        <w:tc>
          <w:tcPr>
            <w:tcW w:w="1701" w:type="dxa"/>
            <w:tcBorders>
              <w:top w:val="nil"/>
              <w:left w:val="nil"/>
              <w:bottom w:val="nil"/>
              <w:right w:val="nil"/>
            </w:tcBorders>
            <w:noWrap/>
            <w:vAlign w:val="bottom"/>
            <w:hideMark/>
          </w:tcPr>
          <w:p w14:paraId="6FB85195" w14:textId="77777777" w:rsidR="00CC0A78" w:rsidRDefault="00CC0A78">
            <w:pPr>
              <w:suppressAutoHyphens w:val="0"/>
              <w:spacing w:line="240" w:lineRule="auto"/>
              <w:jc w:val="right"/>
              <w:rPr>
                <w:sz w:val="18"/>
                <w:szCs w:val="18"/>
              </w:rPr>
            </w:pPr>
            <w:r>
              <w:rPr>
                <w:sz w:val="18"/>
                <w:szCs w:val="18"/>
              </w:rPr>
              <w:t>0.030</w:t>
            </w:r>
          </w:p>
        </w:tc>
        <w:tc>
          <w:tcPr>
            <w:tcW w:w="1559" w:type="dxa"/>
            <w:tcBorders>
              <w:top w:val="nil"/>
              <w:left w:val="nil"/>
              <w:bottom w:val="nil"/>
              <w:right w:val="nil"/>
            </w:tcBorders>
            <w:noWrap/>
            <w:vAlign w:val="bottom"/>
            <w:hideMark/>
          </w:tcPr>
          <w:p w14:paraId="0D1EB8CB" w14:textId="77777777" w:rsidR="00CC0A78" w:rsidRDefault="00CC0A78">
            <w:pPr>
              <w:suppressAutoHyphens w:val="0"/>
              <w:spacing w:line="240" w:lineRule="auto"/>
              <w:jc w:val="right"/>
              <w:rPr>
                <w:sz w:val="18"/>
                <w:szCs w:val="18"/>
              </w:rPr>
            </w:pPr>
            <w:r>
              <w:rPr>
                <w:color w:val="000000"/>
                <w:sz w:val="18"/>
                <w:szCs w:val="18"/>
              </w:rPr>
              <w:t>0.039</w:t>
            </w:r>
          </w:p>
        </w:tc>
      </w:tr>
      <w:tr w:rsidR="00CC0A78" w14:paraId="5EAC68BB" w14:textId="77777777" w:rsidTr="00B719E1">
        <w:trPr>
          <w:trHeight w:val="240"/>
        </w:trPr>
        <w:tc>
          <w:tcPr>
            <w:tcW w:w="4111" w:type="dxa"/>
            <w:tcBorders>
              <w:top w:val="nil"/>
              <w:left w:val="nil"/>
              <w:bottom w:val="nil"/>
              <w:right w:val="nil"/>
            </w:tcBorders>
            <w:noWrap/>
            <w:vAlign w:val="bottom"/>
            <w:hideMark/>
          </w:tcPr>
          <w:p w14:paraId="23C8D1F3"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Liechtenstein</w:t>
            </w:r>
          </w:p>
        </w:tc>
        <w:tc>
          <w:tcPr>
            <w:tcW w:w="1701" w:type="dxa"/>
            <w:tcBorders>
              <w:top w:val="nil"/>
              <w:left w:val="nil"/>
              <w:bottom w:val="nil"/>
              <w:right w:val="nil"/>
            </w:tcBorders>
            <w:noWrap/>
            <w:vAlign w:val="bottom"/>
            <w:hideMark/>
          </w:tcPr>
          <w:p w14:paraId="6A2B1D09" w14:textId="77777777" w:rsidR="00CC0A78" w:rsidRDefault="00CC0A78">
            <w:pPr>
              <w:suppressAutoHyphens w:val="0"/>
              <w:spacing w:line="240" w:lineRule="auto"/>
              <w:jc w:val="right"/>
              <w:rPr>
                <w:sz w:val="18"/>
                <w:szCs w:val="18"/>
              </w:rPr>
            </w:pPr>
            <w:r>
              <w:rPr>
                <w:sz w:val="18"/>
                <w:szCs w:val="18"/>
              </w:rPr>
              <w:t>0.009</w:t>
            </w:r>
          </w:p>
        </w:tc>
        <w:tc>
          <w:tcPr>
            <w:tcW w:w="1559" w:type="dxa"/>
            <w:tcBorders>
              <w:top w:val="nil"/>
              <w:left w:val="nil"/>
              <w:bottom w:val="nil"/>
              <w:right w:val="nil"/>
            </w:tcBorders>
            <w:noWrap/>
            <w:vAlign w:val="bottom"/>
            <w:hideMark/>
          </w:tcPr>
          <w:p w14:paraId="1305C03C" w14:textId="77777777" w:rsidR="00CC0A78" w:rsidRDefault="00CC0A78">
            <w:pPr>
              <w:suppressAutoHyphens w:val="0"/>
              <w:spacing w:line="240" w:lineRule="auto"/>
              <w:jc w:val="right"/>
              <w:rPr>
                <w:sz w:val="18"/>
                <w:szCs w:val="18"/>
              </w:rPr>
            </w:pPr>
            <w:r>
              <w:rPr>
                <w:color w:val="000000"/>
                <w:sz w:val="18"/>
                <w:szCs w:val="18"/>
              </w:rPr>
              <w:t>0.012</w:t>
            </w:r>
          </w:p>
        </w:tc>
      </w:tr>
      <w:tr w:rsidR="00CC0A78" w14:paraId="34D00AC8" w14:textId="77777777" w:rsidTr="00B719E1">
        <w:trPr>
          <w:trHeight w:val="240"/>
        </w:trPr>
        <w:tc>
          <w:tcPr>
            <w:tcW w:w="4111" w:type="dxa"/>
            <w:tcBorders>
              <w:top w:val="nil"/>
              <w:left w:val="nil"/>
              <w:bottom w:val="nil"/>
              <w:right w:val="nil"/>
            </w:tcBorders>
            <w:noWrap/>
            <w:vAlign w:val="bottom"/>
            <w:hideMark/>
          </w:tcPr>
          <w:p w14:paraId="173AAAD9"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Lithuania</w:t>
            </w:r>
          </w:p>
        </w:tc>
        <w:tc>
          <w:tcPr>
            <w:tcW w:w="1701" w:type="dxa"/>
            <w:tcBorders>
              <w:top w:val="nil"/>
              <w:left w:val="nil"/>
              <w:bottom w:val="nil"/>
              <w:right w:val="nil"/>
            </w:tcBorders>
            <w:noWrap/>
            <w:vAlign w:val="bottom"/>
            <w:hideMark/>
          </w:tcPr>
          <w:p w14:paraId="40B9034D" w14:textId="77777777" w:rsidR="00CC0A78" w:rsidRDefault="00CC0A78">
            <w:pPr>
              <w:suppressAutoHyphens w:val="0"/>
              <w:spacing w:line="240" w:lineRule="auto"/>
              <w:jc w:val="right"/>
              <w:rPr>
                <w:sz w:val="18"/>
                <w:szCs w:val="18"/>
              </w:rPr>
            </w:pPr>
            <w:r>
              <w:rPr>
                <w:sz w:val="18"/>
                <w:szCs w:val="18"/>
              </w:rPr>
              <w:t>0.071</w:t>
            </w:r>
          </w:p>
        </w:tc>
        <w:tc>
          <w:tcPr>
            <w:tcW w:w="1559" w:type="dxa"/>
            <w:tcBorders>
              <w:top w:val="nil"/>
              <w:left w:val="nil"/>
              <w:bottom w:val="nil"/>
              <w:right w:val="nil"/>
            </w:tcBorders>
            <w:noWrap/>
            <w:vAlign w:val="bottom"/>
            <w:hideMark/>
          </w:tcPr>
          <w:p w14:paraId="14C06ADB" w14:textId="77777777" w:rsidR="00CC0A78" w:rsidRDefault="00CC0A78">
            <w:pPr>
              <w:suppressAutoHyphens w:val="0"/>
              <w:spacing w:line="240" w:lineRule="auto"/>
              <w:jc w:val="right"/>
              <w:rPr>
                <w:sz w:val="18"/>
                <w:szCs w:val="18"/>
              </w:rPr>
            </w:pPr>
            <w:r>
              <w:rPr>
                <w:color w:val="000000"/>
                <w:sz w:val="18"/>
                <w:szCs w:val="18"/>
              </w:rPr>
              <w:t>0.092</w:t>
            </w:r>
          </w:p>
        </w:tc>
      </w:tr>
      <w:tr w:rsidR="00CC0A78" w14:paraId="7A08BC7E" w14:textId="77777777" w:rsidTr="00B719E1">
        <w:trPr>
          <w:trHeight w:val="240"/>
        </w:trPr>
        <w:tc>
          <w:tcPr>
            <w:tcW w:w="4111" w:type="dxa"/>
            <w:tcBorders>
              <w:top w:val="nil"/>
              <w:left w:val="nil"/>
              <w:bottom w:val="nil"/>
              <w:right w:val="nil"/>
            </w:tcBorders>
            <w:noWrap/>
            <w:vAlign w:val="bottom"/>
            <w:hideMark/>
          </w:tcPr>
          <w:p w14:paraId="2C3A6F7A"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Luxembourg</w:t>
            </w:r>
          </w:p>
        </w:tc>
        <w:tc>
          <w:tcPr>
            <w:tcW w:w="1701" w:type="dxa"/>
            <w:tcBorders>
              <w:top w:val="nil"/>
              <w:left w:val="nil"/>
              <w:bottom w:val="nil"/>
              <w:right w:val="nil"/>
            </w:tcBorders>
            <w:noWrap/>
            <w:vAlign w:val="bottom"/>
            <w:hideMark/>
          </w:tcPr>
          <w:p w14:paraId="58D36679" w14:textId="77777777" w:rsidR="00CC0A78" w:rsidRDefault="00CC0A78">
            <w:pPr>
              <w:suppressAutoHyphens w:val="0"/>
              <w:spacing w:line="240" w:lineRule="auto"/>
              <w:jc w:val="right"/>
              <w:rPr>
                <w:sz w:val="18"/>
                <w:szCs w:val="18"/>
              </w:rPr>
            </w:pPr>
            <w:r>
              <w:rPr>
                <w:sz w:val="18"/>
                <w:szCs w:val="18"/>
              </w:rPr>
              <w:t>0.067</w:t>
            </w:r>
          </w:p>
        </w:tc>
        <w:tc>
          <w:tcPr>
            <w:tcW w:w="1559" w:type="dxa"/>
            <w:tcBorders>
              <w:top w:val="nil"/>
              <w:left w:val="nil"/>
              <w:bottom w:val="nil"/>
              <w:right w:val="nil"/>
            </w:tcBorders>
            <w:noWrap/>
            <w:vAlign w:val="bottom"/>
            <w:hideMark/>
          </w:tcPr>
          <w:p w14:paraId="410F10EA" w14:textId="77777777" w:rsidR="00CC0A78" w:rsidRDefault="00CC0A78">
            <w:pPr>
              <w:suppressAutoHyphens w:val="0"/>
              <w:spacing w:line="240" w:lineRule="auto"/>
              <w:jc w:val="right"/>
              <w:rPr>
                <w:sz w:val="18"/>
                <w:szCs w:val="18"/>
              </w:rPr>
            </w:pPr>
            <w:r>
              <w:rPr>
                <w:color w:val="000000"/>
                <w:sz w:val="18"/>
                <w:szCs w:val="18"/>
              </w:rPr>
              <w:t>0.087</w:t>
            </w:r>
          </w:p>
        </w:tc>
      </w:tr>
      <w:tr w:rsidR="00CC0A78" w14:paraId="7614AAF9" w14:textId="77777777" w:rsidTr="00B719E1">
        <w:trPr>
          <w:trHeight w:val="240"/>
        </w:trPr>
        <w:tc>
          <w:tcPr>
            <w:tcW w:w="4111" w:type="dxa"/>
            <w:tcBorders>
              <w:top w:val="nil"/>
              <w:left w:val="nil"/>
              <w:bottom w:val="nil"/>
              <w:right w:val="nil"/>
            </w:tcBorders>
            <w:noWrap/>
            <w:vAlign w:val="bottom"/>
            <w:hideMark/>
          </w:tcPr>
          <w:p w14:paraId="3C3425A9"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Madagascar</w:t>
            </w:r>
          </w:p>
        </w:tc>
        <w:tc>
          <w:tcPr>
            <w:tcW w:w="1701" w:type="dxa"/>
            <w:tcBorders>
              <w:top w:val="nil"/>
              <w:left w:val="nil"/>
              <w:bottom w:val="nil"/>
              <w:right w:val="nil"/>
            </w:tcBorders>
            <w:noWrap/>
            <w:vAlign w:val="bottom"/>
            <w:hideMark/>
          </w:tcPr>
          <w:p w14:paraId="37958FD9" w14:textId="77777777" w:rsidR="00CC0A78" w:rsidRDefault="00CC0A78">
            <w:pPr>
              <w:suppressAutoHyphens w:val="0"/>
              <w:spacing w:line="240" w:lineRule="auto"/>
              <w:jc w:val="right"/>
              <w:rPr>
                <w:sz w:val="18"/>
                <w:szCs w:val="18"/>
              </w:rPr>
            </w:pPr>
            <w:r>
              <w:rPr>
                <w:sz w:val="18"/>
                <w:szCs w:val="18"/>
              </w:rPr>
              <w:t>0.004</w:t>
            </w:r>
          </w:p>
        </w:tc>
        <w:tc>
          <w:tcPr>
            <w:tcW w:w="1559" w:type="dxa"/>
            <w:tcBorders>
              <w:top w:val="nil"/>
              <w:left w:val="nil"/>
              <w:bottom w:val="nil"/>
              <w:right w:val="nil"/>
            </w:tcBorders>
            <w:noWrap/>
            <w:vAlign w:val="bottom"/>
            <w:hideMark/>
          </w:tcPr>
          <w:p w14:paraId="7FBC4E4C" w14:textId="77777777" w:rsidR="00CC0A78" w:rsidRDefault="00CC0A78">
            <w:pPr>
              <w:suppressAutoHyphens w:val="0"/>
              <w:spacing w:line="240" w:lineRule="auto"/>
              <w:jc w:val="right"/>
              <w:rPr>
                <w:sz w:val="18"/>
                <w:szCs w:val="18"/>
              </w:rPr>
            </w:pPr>
            <w:r>
              <w:rPr>
                <w:color w:val="000000"/>
                <w:sz w:val="18"/>
                <w:szCs w:val="18"/>
              </w:rPr>
              <w:t>0.005</w:t>
            </w:r>
          </w:p>
        </w:tc>
      </w:tr>
      <w:tr w:rsidR="00CC0A78" w14:paraId="512ED88B" w14:textId="77777777" w:rsidTr="00B719E1">
        <w:trPr>
          <w:trHeight w:val="240"/>
        </w:trPr>
        <w:tc>
          <w:tcPr>
            <w:tcW w:w="4111" w:type="dxa"/>
            <w:tcBorders>
              <w:top w:val="nil"/>
              <w:left w:val="nil"/>
              <w:bottom w:val="nil"/>
              <w:right w:val="nil"/>
            </w:tcBorders>
            <w:noWrap/>
            <w:vAlign w:val="bottom"/>
            <w:hideMark/>
          </w:tcPr>
          <w:p w14:paraId="11F00BEB"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Malawi</w:t>
            </w:r>
          </w:p>
        </w:tc>
        <w:tc>
          <w:tcPr>
            <w:tcW w:w="1701" w:type="dxa"/>
            <w:tcBorders>
              <w:top w:val="nil"/>
              <w:left w:val="nil"/>
              <w:bottom w:val="nil"/>
              <w:right w:val="nil"/>
            </w:tcBorders>
            <w:noWrap/>
            <w:vAlign w:val="bottom"/>
            <w:hideMark/>
          </w:tcPr>
          <w:p w14:paraId="4105FAC8" w14:textId="77777777" w:rsidR="00CC0A78" w:rsidRDefault="00CC0A78">
            <w:pPr>
              <w:suppressAutoHyphens w:val="0"/>
              <w:spacing w:line="240" w:lineRule="auto"/>
              <w:jc w:val="right"/>
              <w:rPr>
                <w:sz w:val="18"/>
                <w:szCs w:val="18"/>
              </w:rPr>
            </w:pPr>
            <w:r>
              <w:rPr>
                <w:sz w:val="18"/>
                <w:szCs w:val="18"/>
              </w:rPr>
              <w:t>0.002</w:t>
            </w:r>
          </w:p>
        </w:tc>
        <w:tc>
          <w:tcPr>
            <w:tcW w:w="1559" w:type="dxa"/>
            <w:tcBorders>
              <w:top w:val="nil"/>
              <w:left w:val="nil"/>
              <w:bottom w:val="nil"/>
              <w:right w:val="nil"/>
            </w:tcBorders>
            <w:noWrap/>
            <w:vAlign w:val="bottom"/>
            <w:hideMark/>
          </w:tcPr>
          <w:p w14:paraId="1D729E47" w14:textId="77777777" w:rsidR="00CC0A78" w:rsidRDefault="00CC0A78">
            <w:pPr>
              <w:suppressAutoHyphens w:val="0"/>
              <w:spacing w:line="240" w:lineRule="auto"/>
              <w:jc w:val="right"/>
              <w:rPr>
                <w:sz w:val="18"/>
                <w:szCs w:val="18"/>
              </w:rPr>
            </w:pPr>
            <w:r>
              <w:rPr>
                <w:color w:val="000000"/>
                <w:sz w:val="18"/>
                <w:szCs w:val="18"/>
              </w:rPr>
              <w:t>0.003</w:t>
            </w:r>
          </w:p>
        </w:tc>
      </w:tr>
      <w:tr w:rsidR="00CC0A78" w14:paraId="6575D158" w14:textId="77777777" w:rsidTr="00B719E1">
        <w:trPr>
          <w:trHeight w:val="240"/>
        </w:trPr>
        <w:tc>
          <w:tcPr>
            <w:tcW w:w="4111" w:type="dxa"/>
            <w:tcBorders>
              <w:top w:val="nil"/>
              <w:left w:val="nil"/>
              <w:bottom w:val="nil"/>
              <w:right w:val="nil"/>
            </w:tcBorders>
            <w:noWrap/>
            <w:vAlign w:val="bottom"/>
            <w:hideMark/>
          </w:tcPr>
          <w:p w14:paraId="0D3622AB"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Malaysia</w:t>
            </w:r>
          </w:p>
        </w:tc>
        <w:tc>
          <w:tcPr>
            <w:tcW w:w="1701" w:type="dxa"/>
            <w:tcBorders>
              <w:top w:val="nil"/>
              <w:left w:val="nil"/>
              <w:bottom w:val="nil"/>
              <w:right w:val="nil"/>
            </w:tcBorders>
            <w:noWrap/>
            <w:vAlign w:val="bottom"/>
            <w:hideMark/>
          </w:tcPr>
          <w:p w14:paraId="70DCA940" w14:textId="77777777" w:rsidR="00CC0A78" w:rsidRDefault="00CC0A78">
            <w:pPr>
              <w:suppressAutoHyphens w:val="0"/>
              <w:spacing w:line="240" w:lineRule="auto"/>
              <w:jc w:val="right"/>
              <w:rPr>
                <w:sz w:val="18"/>
                <w:szCs w:val="18"/>
              </w:rPr>
            </w:pPr>
            <w:r>
              <w:rPr>
                <w:sz w:val="18"/>
                <w:szCs w:val="18"/>
              </w:rPr>
              <w:t>0.341</w:t>
            </w:r>
          </w:p>
        </w:tc>
        <w:tc>
          <w:tcPr>
            <w:tcW w:w="1559" w:type="dxa"/>
            <w:tcBorders>
              <w:top w:val="nil"/>
              <w:left w:val="nil"/>
              <w:bottom w:val="nil"/>
              <w:right w:val="nil"/>
            </w:tcBorders>
            <w:noWrap/>
            <w:vAlign w:val="bottom"/>
            <w:hideMark/>
          </w:tcPr>
          <w:p w14:paraId="5C55DFC1" w14:textId="77777777" w:rsidR="00CC0A78" w:rsidRDefault="00CC0A78">
            <w:pPr>
              <w:suppressAutoHyphens w:val="0"/>
              <w:spacing w:line="240" w:lineRule="auto"/>
              <w:jc w:val="right"/>
              <w:rPr>
                <w:sz w:val="18"/>
                <w:szCs w:val="18"/>
              </w:rPr>
            </w:pPr>
            <w:r>
              <w:rPr>
                <w:color w:val="000000"/>
                <w:sz w:val="18"/>
                <w:szCs w:val="18"/>
              </w:rPr>
              <w:t>0.442</w:t>
            </w:r>
          </w:p>
        </w:tc>
      </w:tr>
      <w:tr w:rsidR="00CC0A78" w14:paraId="3838A31A" w14:textId="77777777" w:rsidTr="00B719E1">
        <w:trPr>
          <w:trHeight w:val="240"/>
        </w:trPr>
        <w:tc>
          <w:tcPr>
            <w:tcW w:w="4111" w:type="dxa"/>
            <w:tcBorders>
              <w:top w:val="nil"/>
              <w:left w:val="nil"/>
              <w:bottom w:val="nil"/>
              <w:right w:val="nil"/>
            </w:tcBorders>
            <w:noWrap/>
            <w:vAlign w:val="bottom"/>
            <w:hideMark/>
          </w:tcPr>
          <w:p w14:paraId="73ECFBD3"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Maldives</w:t>
            </w:r>
          </w:p>
        </w:tc>
        <w:tc>
          <w:tcPr>
            <w:tcW w:w="1701" w:type="dxa"/>
            <w:tcBorders>
              <w:top w:val="nil"/>
              <w:left w:val="nil"/>
              <w:bottom w:val="nil"/>
              <w:right w:val="nil"/>
            </w:tcBorders>
            <w:noWrap/>
            <w:vAlign w:val="bottom"/>
            <w:hideMark/>
          </w:tcPr>
          <w:p w14:paraId="6585CC34" w14:textId="77777777" w:rsidR="00CC0A78" w:rsidRDefault="00CC0A78">
            <w:pPr>
              <w:suppressAutoHyphens w:val="0"/>
              <w:spacing w:line="240" w:lineRule="auto"/>
              <w:jc w:val="right"/>
              <w:rPr>
                <w:sz w:val="18"/>
                <w:szCs w:val="18"/>
              </w:rPr>
            </w:pPr>
            <w:r>
              <w:rPr>
                <w:sz w:val="18"/>
                <w:szCs w:val="18"/>
              </w:rPr>
              <w:t>0.004</w:t>
            </w:r>
          </w:p>
        </w:tc>
        <w:tc>
          <w:tcPr>
            <w:tcW w:w="1559" w:type="dxa"/>
            <w:tcBorders>
              <w:top w:val="nil"/>
              <w:left w:val="nil"/>
              <w:bottom w:val="nil"/>
              <w:right w:val="nil"/>
            </w:tcBorders>
            <w:noWrap/>
            <w:vAlign w:val="bottom"/>
            <w:hideMark/>
          </w:tcPr>
          <w:p w14:paraId="58F7DF26" w14:textId="77777777" w:rsidR="00CC0A78" w:rsidRDefault="00CC0A78">
            <w:pPr>
              <w:suppressAutoHyphens w:val="0"/>
              <w:spacing w:line="240" w:lineRule="auto"/>
              <w:jc w:val="right"/>
              <w:rPr>
                <w:sz w:val="18"/>
                <w:szCs w:val="18"/>
              </w:rPr>
            </w:pPr>
            <w:r>
              <w:rPr>
                <w:color w:val="000000"/>
                <w:sz w:val="18"/>
                <w:szCs w:val="18"/>
              </w:rPr>
              <w:t>0.005</w:t>
            </w:r>
          </w:p>
        </w:tc>
      </w:tr>
      <w:tr w:rsidR="00CC0A78" w14:paraId="789091F4" w14:textId="77777777" w:rsidTr="00B719E1">
        <w:trPr>
          <w:trHeight w:val="240"/>
        </w:trPr>
        <w:tc>
          <w:tcPr>
            <w:tcW w:w="4111" w:type="dxa"/>
            <w:tcBorders>
              <w:top w:val="nil"/>
              <w:left w:val="nil"/>
              <w:bottom w:val="nil"/>
              <w:right w:val="nil"/>
            </w:tcBorders>
            <w:noWrap/>
            <w:vAlign w:val="bottom"/>
            <w:hideMark/>
          </w:tcPr>
          <w:p w14:paraId="6FD5DE4E"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Mali</w:t>
            </w:r>
          </w:p>
        </w:tc>
        <w:tc>
          <w:tcPr>
            <w:tcW w:w="1701" w:type="dxa"/>
            <w:tcBorders>
              <w:top w:val="nil"/>
              <w:left w:val="nil"/>
              <w:bottom w:val="nil"/>
              <w:right w:val="nil"/>
            </w:tcBorders>
            <w:noWrap/>
            <w:vAlign w:val="bottom"/>
            <w:hideMark/>
          </w:tcPr>
          <w:p w14:paraId="7ABE4993" w14:textId="77777777" w:rsidR="00CC0A78" w:rsidRDefault="00CC0A78">
            <w:pPr>
              <w:suppressAutoHyphens w:val="0"/>
              <w:spacing w:line="240" w:lineRule="auto"/>
              <w:jc w:val="right"/>
              <w:rPr>
                <w:sz w:val="18"/>
                <w:szCs w:val="18"/>
              </w:rPr>
            </w:pPr>
            <w:r>
              <w:rPr>
                <w:sz w:val="18"/>
                <w:szCs w:val="18"/>
              </w:rPr>
              <w:t>0.004</w:t>
            </w:r>
          </w:p>
        </w:tc>
        <w:tc>
          <w:tcPr>
            <w:tcW w:w="1559" w:type="dxa"/>
            <w:tcBorders>
              <w:top w:val="nil"/>
              <w:left w:val="nil"/>
              <w:bottom w:val="nil"/>
              <w:right w:val="nil"/>
            </w:tcBorders>
            <w:noWrap/>
            <w:vAlign w:val="bottom"/>
            <w:hideMark/>
          </w:tcPr>
          <w:p w14:paraId="71197453" w14:textId="77777777" w:rsidR="00CC0A78" w:rsidRDefault="00CC0A78">
            <w:pPr>
              <w:suppressAutoHyphens w:val="0"/>
              <w:spacing w:line="240" w:lineRule="auto"/>
              <w:jc w:val="right"/>
              <w:rPr>
                <w:sz w:val="18"/>
                <w:szCs w:val="18"/>
              </w:rPr>
            </w:pPr>
            <w:r>
              <w:rPr>
                <w:color w:val="000000"/>
                <w:sz w:val="18"/>
                <w:szCs w:val="18"/>
              </w:rPr>
              <w:t>0.005</w:t>
            </w:r>
          </w:p>
        </w:tc>
      </w:tr>
      <w:tr w:rsidR="00CC0A78" w14:paraId="1865D86E" w14:textId="77777777" w:rsidTr="00B719E1">
        <w:trPr>
          <w:trHeight w:val="240"/>
        </w:trPr>
        <w:tc>
          <w:tcPr>
            <w:tcW w:w="4111" w:type="dxa"/>
            <w:tcBorders>
              <w:top w:val="nil"/>
              <w:left w:val="nil"/>
              <w:bottom w:val="nil"/>
              <w:right w:val="nil"/>
            </w:tcBorders>
            <w:noWrap/>
            <w:vAlign w:val="bottom"/>
            <w:hideMark/>
          </w:tcPr>
          <w:p w14:paraId="5D3C3CF1"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Malta</w:t>
            </w:r>
          </w:p>
        </w:tc>
        <w:tc>
          <w:tcPr>
            <w:tcW w:w="1701" w:type="dxa"/>
            <w:tcBorders>
              <w:top w:val="nil"/>
              <w:left w:val="nil"/>
              <w:bottom w:val="nil"/>
              <w:right w:val="nil"/>
            </w:tcBorders>
            <w:noWrap/>
            <w:vAlign w:val="bottom"/>
            <w:hideMark/>
          </w:tcPr>
          <w:p w14:paraId="6AFADAC4" w14:textId="77777777" w:rsidR="00CC0A78" w:rsidRDefault="00CC0A78">
            <w:pPr>
              <w:suppressAutoHyphens w:val="0"/>
              <w:spacing w:line="240" w:lineRule="auto"/>
              <w:jc w:val="right"/>
              <w:rPr>
                <w:sz w:val="18"/>
                <w:szCs w:val="18"/>
              </w:rPr>
            </w:pPr>
            <w:r>
              <w:rPr>
                <w:sz w:val="18"/>
                <w:szCs w:val="18"/>
              </w:rPr>
              <w:t>0.017</w:t>
            </w:r>
          </w:p>
        </w:tc>
        <w:tc>
          <w:tcPr>
            <w:tcW w:w="1559" w:type="dxa"/>
            <w:tcBorders>
              <w:top w:val="nil"/>
              <w:left w:val="nil"/>
              <w:bottom w:val="nil"/>
              <w:right w:val="nil"/>
            </w:tcBorders>
            <w:noWrap/>
            <w:vAlign w:val="bottom"/>
            <w:hideMark/>
          </w:tcPr>
          <w:p w14:paraId="34A77CA7" w14:textId="77777777" w:rsidR="00CC0A78" w:rsidRDefault="00CC0A78">
            <w:pPr>
              <w:suppressAutoHyphens w:val="0"/>
              <w:spacing w:line="240" w:lineRule="auto"/>
              <w:jc w:val="right"/>
              <w:rPr>
                <w:sz w:val="18"/>
                <w:szCs w:val="18"/>
              </w:rPr>
            </w:pPr>
            <w:r>
              <w:rPr>
                <w:color w:val="000000"/>
                <w:sz w:val="18"/>
                <w:szCs w:val="18"/>
              </w:rPr>
              <w:t>0.022</w:t>
            </w:r>
          </w:p>
        </w:tc>
      </w:tr>
      <w:tr w:rsidR="00CC0A78" w14:paraId="1E913BF1" w14:textId="77777777" w:rsidTr="00B719E1">
        <w:trPr>
          <w:trHeight w:val="240"/>
        </w:trPr>
        <w:tc>
          <w:tcPr>
            <w:tcW w:w="4111" w:type="dxa"/>
            <w:tcBorders>
              <w:top w:val="nil"/>
              <w:left w:val="nil"/>
              <w:bottom w:val="nil"/>
              <w:right w:val="nil"/>
            </w:tcBorders>
            <w:noWrap/>
            <w:vAlign w:val="bottom"/>
            <w:hideMark/>
          </w:tcPr>
          <w:p w14:paraId="162CAB90"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Marshall Islands</w:t>
            </w:r>
          </w:p>
        </w:tc>
        <w:tc>
          <w:tcPr>
            <w:tcW w:w="1701" w:type="dxa"/>
            <w:tcBorders>
              <w:top w:val="nil"/>
              <w:left w:val="nil"/>
              <w:bottom w:val="nil"/>
              <w:right w:val="nil"/>
            </w:tcBorders>
            <w:noWrap/>
            <w:vAlign w:val="bottom"/>
            <w:hideMark/>
          </w:tcPr>
          <w:p w14:paraId="4ABE5E3F" w14:textId="77777777" w:rsidR="00CC0A78" w:rsidRDefault="00CC0A78">
            <w:pPr>
              <w:suppressAutoHyphens w:val="0"/>
              <w:spacing w:line="240" w:lineRule="auto"/>
              <w:jc w:val="right"/>
              <w:rPr>
                <w:sz w:val="18"/>
                <w:szCs w:val="18"/>
              </w:rPr>
            </w:pPr>
            <w:r>
              <w:rPr>
                <w:sz w:val="18"/>
                <w:szCs w:val="18"/>
              </w:rPr>
              <w:t>0.001</w:t>
            </w:r>
          </w:p>
        </w:tc>
        <w:tc>
          <w:tcPr>
            <w:tcW w:w="1559" w:type="dxa"/>
            <w:tcBorders>
              <w:top w:val="nil"/>
              <w:left w:val="nil"/>
              <w:bottom w:val="nil"/>
              <w:right w:val="nil"/>
            </w:tcBorders>
            <w:noWrap/>
            <w:vAlign w:val="bottom"/>
            <w:hideMark/>
          </w:tcPr>
          <w:p w14:paraId="043273CD" w14:textId="77777777" w:rsidR="00CC0A78" w:rsidRDefault="00CC0A78">
            <w:pPr>
              <w:suppressAutoHyphens w:val="0"/>
              <w:spacing w:line="240" w:lineRule="auto"/>
              <w:jc w:val="right"/>
              <w:rPr>
                <w:sz w:val="18"/>
                <w:szCs w:val="18"/>
              </w:rPr>
            </w:pPr>
            <w:r>
              <w:rPr>
                <w:color w:val="000000"/>
                <w:sz w:val="18"/>
                <w:szCs w:val="18"/>
              </w:rPr>
              <w:t>0.001</w:t>
            </w:r>
          </w:p>
        </w:tc>
      </w:tr>
      <w:tr w:rsidR="00CC0A78" w14:paraId="3BA3A05D" w14:textId="77777777" w:rsidTr="00B719E1">
        <w:trPr>
          <w:trHeight w:val="240"/>
        </w:trPr>
        <w:tc>
          <w:tcPr>
            <w:tcW w:w="4111" w:type="dxa"/>
            <w:tcBorders>
              <w:top w:val="nil"/>
              <w:left w:val="nil"/>
              <w:bottom w:val="nil"/>
              <w:right w:val="nil"/>
            </w:tcBorders>
            <w:noWrap/>
            <w:vAlign w:val="bottom"/>
            <w:hideMark/>
          </w:tcPr>
          <w:p w14:paraId="44B5566E"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Mauritania</w:t>
            </w:r>
          </w:p>
        </w:tc>
        <w:tc>
          <w:tcPr>
            <w:tcW w:w="1701" w:type="dxa"/>
            <w:tcBorders>
              <w:top w:val="nil"/>
              <w:left w:val="nil"/>
              <w:bottom w:val="nil"/>
              <w:right w:val="nil"/>
            </w:tcBorders>
            <w:noWrap/>
            <w:vAlign w:val="bottom"/>
            <w:hideMark/>
          </w:tcPr>
          <w:p w14:paraId="7BC1978B" w14:textId="77777777" w:rsidR="00CC0A78" w:rsidRDefault="00CC0A78">
            <w:pPr>
              <w:suppressAutoHyphens w:val="0"/>
              <w:spacing w:line="240" w:lineRule="auto"/>
              <w:jc w:val="right"/>
              <w:rPr>
                <w:sz w:val="18"/>
                <w:szCs w:val="18"/>
              </w:rPr>
            </w:pPr>
            <w:r>
              <w:rPr>
                <w:sz w:val="18"/>
                <w:szCs w:val="18"/>
              </w:rPr>
              <w:t>0.002</w:t>
            </w:r>
          </w:p>
        </w:tc>
        <w:tc>
          <w:tcPr>
            <w:tcW w:w="1559" w:type="dxa"/>
            <w:tcBorders>
              <w:top w:val="nil"/>
              <w:left w:val="nil"/>
              <w:bottom w:val="nil"/>
              <w:right w:val="nil"/>
            </w:tcBorders>
            <w:noWrap/>
            <w:vAlign w:val="bottom"/>
            <w:hideMark/>
          </w:tcPr>
          <w:p w14:paraId="4CDFAAAE" w14:textId="77777777" w:rsidR="00CC0A78" w:rsidRDefault="00CC0A78">
            <w:pPr>
              <w:suppressAutoHyphens w:val="0"/>
              <w:spacing w:line="240" w:lineRule="auto"/>
              <w:jc w:val="right"/>
              <w:rPr>
                <w:sz w:val="18"/>
                <w:szCs w:val="18"/>
              </w:rPr>
            </w:pPr>
            <w:r>
              <w:rPr>
                <w:color w:val="000000"/>
                <w:sz w:val="18"/>
                <w:szCs w:val="18"/>
              </w:rPr>
              <w:t>0.003</w:t>
            </w:r>
          </w:p>
        </w:tc>
      </w:tr>
      <w:tr w:rsidR="00CC0A78" w14:paraId="395F8EFD" w14:textId="77777777" w:rsidTr="00B719E1">
        <w:trPr>
          <w:trHeight w:val="240"/>
        </w:trPr>
        <w:tc>
          <w:tcPr>
            <w:tcW w:w="4111" w:type="dxa"/>
            <w:tcBorders>
              <w:top w:val="nil"/>
              <w:left w:val="nil"/>
              <w:bottom w:val="nil"/>
              <w:right w:val="nil"/>
            </w:tcBorders>
            <w:noWrap/>
            <w:vAlign w:val="bottom"/>
            <w:hideMark/>
          </w:tcPr>
          <w:p w14:paraId="0F4BF0BF"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Mauritius</w:t>
            </w:r>
          </w:p>
        </w:tc>
        <w:tc>
          <w:tcPr>
            <w:tcW w:w="1701" w:type="dxa"/>
            <w:tcBorders>
              <w:top w:val="nil"/>
              <w:left w:val="nil"/>
              <w:bottom w:val="nil"/>
              <w:right w:val="nil"/>
            </w:tcBorders>
            <w:noWrap/>
            <w:vAlign w:val="bottom"/>
            <w:hideMark/>
          </w:tcPr>
          <w:p w14:paraId="6F5F8482" w14:textId="77777777" w:rsidR="00CC0A78" w:rsidRDefault="00CC0A78">
            <w:pPr>
              <w:suppressAutoHyphens w:val="0"/>
              <w:spacing w:line="240" w:lineRule="auto"/>
              <w:jc w:val="right"/>
              <w:rPr>
                <w:sz w:val="18"/>
                <w:szCs w:val="18"/>
              </w:rPr>
            </w:pPr>
            <w:r>
              <w:rPr>
                <w:sz w:val="18"/>
                <w:szCs w:val="18"/>
              </w:rPr>
              <w:t>0.011</w:t>
            </w:r>
          </w:p>
        </w:tc>
        <w:tc>
          <w:tcPr>
            <w:tcW w:w="1559" w:type="dxa"/>
            <w:tcBorders>
              <w:top w:val="nil"/>
              <w:left w:val="nil"/>
              <w:bottom w:val="nil"/>
              <w:right w:val="nil"/>
            </w:tcBorders>
            <w:noWrap/>
            <w:vAlign w:val="bottom"/>
            <w:hideMark/>
          </w:tcPr>
          <w:p w14:paraId="3E6B671D" w14:textId="77777777" w:rsidR="00CC0A78" w:rsidRDefault="00CC0A78">
            <w:pPr>
              <w:suppressAutoHyphens w:val="0"/>
              <w:spacing w:line="240" w:lineRule="auto"/>
              <w:jc w:val="right"/>
              <w:rPr>
                <w:sz w:val="18"/>
                <w:szCs w:val="18"/>
              </w:rPr>
            </w:pPr>
            <w:r>
              <w:rPr>
                <w:color w:val="000000"/>
                <w:sz w:val="18"/>
                <w:szCs w:val="18"/>
              </w:rPr>
              <w:t>0.014</w:t>
            </w:r>
          </w:p>
        </w:tc>
      </w:tr>
      <w:tr w:rsidR="00CC0A78" w14:paraId="5313E33A" w14:textId="77777777" w:rsidTr="00B719E1">
        <w:trPr>
          <w:trHeight w:val="240"/>
        </w:trPr>
        <w:tc>
          <w:tcPr>
            <w:tcW w:w="4111" w:type="dxa"/>
            <w:tcBorders>
              <w:top w:val="nil"/>
              <w:left w:val="nil"/>
              <w:bottom w:val="nil"/>
              <w:right w:val="nil"/>
            </w:tcBorders>
            <w:noWrap/>
            <w:vAlign w:val="bottom"/>
            <w:hideMark/>
          </w:tcPr>
          <w:p w14:paraId="21FD5661"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Mexico</w:t>
            </w:r>
          </w:p>
        </w:tc>
        <w:tc>
          <w:tcPr>
            <w:tcW w:w="1701" w:type="dxa"/>
            <w:tcBorders>
              <w:top w:val="nil"/>
              <w:left w:val="nil"/>
              <w:bottom w:val="nil"/>
              <w:right w:val="nil"/>
            </w:tcBorders>
            <w:noWrap/>
            <w:vAlign w:val="bottom"/>
            <w:hideMark/>
          </w:tcPr>
          <w:p w14:paraId="0EE7923F" w14:textId="77777777" w:rsidR="00CC0A78" w:rsidRDefault="00CC0A78">
            <w:pPr>
              <w:suppressAutoHyphens w:val="0"/>
              <w:spacing w:line="240" w:lineRule="auto"/>
              <w:jc w:val="right"/>
              <w:rPr>
                <w:sz w:val="18"/>
                <w:szCs w:val="18"/>
              </w:rPr>
            </w:pPr>
            <w:r>
              <w:rPr>
                <w:sz w:val="18"/>
                <w:szCs w:val="18"/>
              </w:rPr>
              <w:t>1.292</w:t>
            </w:r>
          </w:p>
        </w:tc>
        <w:tc>
          <w:tcPr>
            <w:tcW w:w="1559" w:type="dxa"/>
            <w:tcBorders>
              <w:top w:val="nil"/>
              <w:left w:val="nil"/>
              <w:bottom w:val="nil"/>
              <w:right w:val="nil"/>
            </w:tcBorders>
            <w:noWrap/>
            <w:vAlign w:val="bottom"/>
            <w:hideMark/>
          </w:tcPr>
          <w:p w14:paraId="64E2278B" w14:textId="77777777" w:rsidR="00CC0A78" w:rsidRDefault="00CC0A78">
            <w:pPr>
              <w:suppressAutoHyphens w:val="0"/>
              <w:spacing w:line="240" w:lineRule="auto"/>
              <w:jc w:val="right"/>
              <w:rPr>
                <w:sz w:val="18"/>
                <w:szCs w:val="18"/>
              </w:rPr>
            </w:pPr>
            <w:r>
              <w:rPr>
                <w:color w:val="000000"/>
                <w:sz w:val="18"/>
                <w:szCs w:val="18"/>
              </w:rPr>
              <w:t>1.674</w:t>
            </w:r>
          </w:p>
        </w:tc>
      </w:tr>
      <w:tr w:rsidR="00CC0A78" w14:paraId="40A9649E" w14:textId="77777777" w:rsidTr="00B719E1">
        <w:trPr>
          <w:trHeight w:val="240"/>
        </w:trPr>
        <w:tc>
          <w:tcPr>
            <w:tcW w:w="4111" w:type="dxa"/>
            <w:tcBorders>
              <w:top w:val="nil"/>
              <w:left w:val="nil"/>
              <w:bottom w:val="nil"/>
              <w:right w:val="nil"/>
            </w:tcBorders>
            <w:noWrap/>
            <w:vAlign w:val="bottom"/>
            <w:hideMark/>
          </w:tcPr>
          <w:p w14:paraId="3D00F8D8"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Micronesia (Federated States of)</w:t>
            </w:r>
          </w:p>
        </w:tc>
        <w:tc>
          <w:tcPr>
            <w:tcW w:w="1701" w:type="dxa"/>
            <w:tcBorders>
              <w:top w:val="nil"/>
              <w:left w:val="nil"/>
              <w:bottom w:val="nil"/>
              <w:right w:val="nil"/>
            </w:tcBorders>
            <w:noWrap/>
            <w:vAlign w:val="bottom"/>
            <w:hideMark/>
          </w:tcPr>
          <w:p w14:paraId="695748F6" w14:textId="77777777" w:rsidR="00CC0A78" w:rsidRDefault="00CC0A78">
            <w:pPr>
              <w:suppressAutoHyphens w:val="0"/>
              <w:spacing w:line="240" w:lineRule="auto"/>
              <w:jc w:val="right"/>
              <w:rPr>
                <w:sz w:val="18"/>
                <w:szCs w:val="18"/>
              </w:rPr>
            </w:pPr>
            <w:r>
              <w:rPr>
                <w:sz w:val="18"/>
                <w:szCs w:val="18"/>
              </w:rPr>
              <w:t>0.001</w:t>
            </w:r>
          </w:p>
        </w:tc>
        <w:tc>
          <w:tcPr>
            <w:tcW w:w="1559" w:type="dxa"/>
            <w:tcBorders>
              <w:top w:val="nil"/>
              <w:left w:val="nil"/>
              <w:bottom w:val="nil"/>
              <w:right w:val="nil"/>
            </w:tcBorders>
            <w:noWrap/>
            <w:vAlign w:val="bottom"/>
            <w:hideMark/>
          </w:tcPr>
          <w:p w14:paraId="5497050B" w14:textId="77777777" w:rsidR="00CC0A78" w:rsidRDefault="00CC0A78">
            <w:pPr>
              <w:suppressAutoHyphens w:val="0"/>
              <w:spacing w:line="240" w:lineRule="auto"/>
              <w:jc w:val="right"/>
              <w:rPr>
                <w:sz w:val="18"/>
                <w:szCs w:val="18"/>
              </w:rPr>
            </w:pPr>
            <w:r>
              <w:rPr>
                <w:color w:val="000000"/>
                <w:sz w:val="18"/>
                <w:szCs w:val="18"/>
              </w:rPr>
              <w:t>0.001</w:t>
            </w:r>
          </w:p>
        </w:tc>
      </w:tr>
      <w:tr w:rsidR="00CC0A78" w14:paraId="75B380D2" w14:textId="77777777" w:rsidTr="00B719E1">
        <w:trPr>
          <w:trHeight w:val="240"/>
        </w:trPr>
        <w:tc>
          <w:tcPr>
            <w:tcW w:w="4111" w:type="dxa"/>
            <w:tcBorders>
              <w:top w:val="nil"/>
              <w:left w:val="nil"/>
              <w:bottom w:val="nil"/>
              <w:right w:val="nil"/>
            </w:tcBorders>
            <w:noWrap/>
            <w:vAlign w:val="bottom"/>
            <w:hideMark/>
          </w:tcPr>
          <w:p w14:paraId="3D85D146"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Monaco</w:t>
            </w:r>
          </w:p>
        </w:tc>
        <w:tc>
          <w:tcPr>
            <w:tcW w:w="1701" w:type="dxa"/>
            <w:tcBorders>
              <w:top w:val="nil"/>
              <w:left w:val="nil"/>
              <w:bottom w:val="nil"/>
              <w:right w:val="nil"/>
            </w:tcBorders>
            <w:noWrap/>
            <w:vAlign w:val="bottom"/>
            <w:hideMark/>
          </w:tcPr>
          <w:p w14:paraId="51BA3608" w14:textId="77777777" w:rsidR="00CC0A78" w:rsidRDefault="00CC0A78">
            <w:pPr>
              <w:suppressAutoHyphens w:val="0"/>
              <w:spacing w:line="240" w:lineRule="auto"/>
              <w:jc w:val="right"/>
              <w:rPr>
                <w:sz w:val="18"/>
                <w:szCs w:val="18"/>
              </w:rPr>
            </w:pPr>
            <w:r>
              <w:rPr>
                <w:sz w:val="18"/>
                <w:szCs w:val="18"/>
              </w:rPr>
              <w:t>0.011</w:t>
            </w:r>
          </w:p>
        </w:tc>
        <w:tc>
          <w:tcPr>
            <w:tcW w:w="1559" w:type="dxa"/>
            <w:tcBorders>
              <w:top w:val="nil"/>
              <w:left w:val="nil"/>
              <w:bottom w:val="nil"/>
              <w:right w:val="nil"/>
            </w:tcBorders>
            <w:noWrap/>
            <w:vAlign w:val="bottom"/>
            <w:hideMark/>
          </w:tcPr>
          <w:p w14:paraId="6FB7B54F" w14:textId="77777777" w:rsidR="00CC0A78" w:rsidRDefault="00CC0A78">
            <w:pPr>
              <w:suppressAutoHyphens w:val="0"/>
              <w:spacing w:line="240" w:lineRule="auto"/>
              <w:jc w:val="right"/>
              <w:rPr>
                <w:sz w:val="18"/>
                <w:szCs w:val="18"/>
              </w:rPr>
            </w:pPr>
            <w:r>
              <w:rPr>
                <w:color w:val="000000"/>
                <w:sz w:val="18"/>
                <w:szCs w:val="18"/>
              </w:rPr>
              <w:t>0.014</w:t>
            </w:r>
          </w:p>
        </w:tc>
      </w:tr>
      <w:tr w:rsidR="00CC0A78" w14:paraId="0A80F6BB" w14:textId="77777777" w:rsidTr="00B719E1">
        <w:trPr>
          <w:trHeight w:val="240"/>
        </w:trPr>
        <w:tc>
          <w:tcPr>
            <w:tcW w:w="4111" w:type="dxa"/>
            <w:tcBorders>
              <w:top w:val="nil"/>
              <w:left w:val="nil"/>
              <w:bottom w:val="nil"/>
              <w:right w:val="nil"/>
            </w:tcBorders>
            <w:noWrap/>
            <w:vAlign w:val="bottom"/>
            <w:hideMark/>
          </w:tcPr>
          <w:p w14:paraId="0261F280"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Mongolia</w:t>
            </w:r>
          </w:p>
        </w:tc>
        <w:tc>
          <w:tcPr>
            <w:tcW w:w="1701" w:type="dxa"/>
            <w:tcBorders>
              <w:top w:val="nil"/>
              <w:left w:val="nil"/>
              <w:bottom w:val="nil"/>
              <w:right w:val="nil"/>
            </w:tcBorders>
            <w:noWrap/>
            <w:vAlign w:val="bottom"/>
            <w:hideMark/>
          </w:tcPr>
          <w:p w14:paraId="02A0D5DF" w14:textId="77777777" w:rsidR="00CC0A78" w:rsidRDefault="00CC0A78">
            <w:pPr>
              <w:suppressAutoHyphens w:val="0"/>
              <w:spacing w:line="240" w:lineRule="auto"/>
              <w:jc w:val="right"/>
              <w:rPr>
                <w:sz w:val="18"/>
                <w:szCs w:val="18"/>
              </w:rPr>
            </w:pPr>
            <w:r>
              <w:rPr>
                <w:sz w:val="18"/>
                <w:szCs w:val="18"/>
              </w:rPr>
              <w:t>0.005</w:t>
            </w:r>
          </w:p>
        </w:tc>
        <w:tc>
          <w:tcPr>
            <w:tcW w:w="1559" w:type="dxa"/>
            <w:tcBorders>
              <w:top w:val="nil"/>
              <w:left w:val="nil"/>
              <w:bottom w:val="nil"/>
              <w:right w:val="nil"/>
            </w:tcBorders>
            <w:noWrap/>
            <w:vAlign w:val="bottom"/>
            <w:hideMark/>
          </w:tcPr>
          <w:p w14:paraId="6F39766C" w14:textId="77777777" w:rsidR="00CC0A78" w:rsidRDefault="00CC0A78">
            <w:pPr>
              <w:suppressAutoHyphens w:val="0"/>
              <w:spacing w:line="240" w:lineRule="auto"/>
              <w:jc w:val="right"/>
              <w:rPr>
                <w:sz w:val="18"/>
                <w:szCs w:val="18"/>
              </w:rPr>
            </w:pPr>
            <w:r>
              <w:rPr>
                <w:color w:val="000000"/>
                <w:sz w:val="18"/>
                <w:szCs w:val="18"/>
              </w:rPr>
              <w:t>0.006</w:t>
            </w:r>
          </w:p>
        </w:tc>
      </w:tr>
      <w:tr w:rsidR="00CC0A78" w14:paraId="4B49B23C" w14:textId="77777777" w:rsidTr="00B719E1">
        <w:trPr>
          <w:trHeight w:val="240"/>
        </w:trPr>
        <w:tc>
          <w:tcPr>
            <w:tcW w:w="4111" w:type="dxa"/>
            <w:tcBorders>
              <w:top w:val="nil"/>
              <w:left w:val="nil"/>
              <w:bottom w:val="nil"/>
              <w:right w:val="nil"/>
            </w:tcBorders>
            <w:noWrap/>
            <w:vAlign w:val="bottom"/>
            <w:hideMark/>
          </w:tcPr>
          <w:p w14:paraId="10862CB1"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Montenegro</w:t>
            </w:r>
          </w:p>
        </w:tc>
        <w:tc>
          <w:tcPr>
            <w:tcW w:w="1701" w:type="dxa"/>
            <w:tcBorders>
              <w:top w:val="nil"/>
              <w:left w:val="nil"/>
              <w:bottom w:val="nil"/>
              <w:right w:val="nil"/>
            </w:tcBorders>
            <w:noWrap/>
            <w:vAlign w:val="bottom"/>
            <w:hideMark/>
          </w:tcPr>
          <w:p w14:paraId="066D4417" w14:textId="77777777" w:rsidR="00CC0A78" w:rsidRDefault="00CC0A78">
            <w:pPr>
              <w:suppressAutoHyphens w:val="0"/>
              <w:spacing w:line="240" w:lineRule="auto"/>
              <w:jc w:val="right"/>
              <w:rPr>
                <w:sz w:val="18"/>
                <w:szCs w:val="18"/>
              </w:rPr>
            </w:pPr>
            <w:r>
              <w:rPr>
                <w:sz w:val="18"/>
                <w:szCs w:val="18"/>
              </w:rPr>
              <w:t>0.004</w:t>
            </w:r>
          </w:p>
        </w:tc>
        <w:tc>
          <w:tcPr>
            <w:tcW w:w="1559" w:type="dxa"/>
            <w:tcBorders>
              <w:top w:val="nil"/>
              <w:left w:val="nil"/>
              <w:bottom w:val="nil"/>
              <w:right w:val="nil"/>
            </w:tcBorders>
            <w:noWrap/>
            <w:vAlign w:val="bottom"/>
            <w:hideMark/>
          </w:tcPr>
          <w:p w14:paraId="28D9EC44" w14:textId="77777777" w:rsidR="00CC0A78" w:rsidRDefault="00CC0A78">
            <w:pPr>
              <w:suppressAutoHyphens w:val="0"/>
              <w:spacing w:line="240" w:lineRule="auto"/>
              <w:jc w:val="right"/>
              <w:rPr>
                <w:sz w:val="18"/>
                <w:szCs w:val="18"/>
              </w:rPr>
            </w:pPr>
            <w:r>
              <w:rPr>
                <w:color w:val="000000"/>
                <w:sz w:val="18"/>
                <w:szCs w:val="18"/>
              </w:rPr>
              <w:t>0.005</w:t>
            </w:r>
          </w:p>
        </w:tc>
      </w:tr>
      <w:tr w:rsidR="00CC0A78" w14:paraId="610D562E" w14:textId="77777777" w:rsidTr="00B719E1">
        <w:trPr>
          <w:trHeight w:val="240"/>
        </w:trPr>
        <w:tc>
          <w:tcPr>
            <w:tcW w:w="4111" w:type="dxa"/>
            <w:tcBorders>
              <w:top w:val="nil"/>
              <w:left w:val="nil"/>
              <w:bottom w:val="nil"/>
              <w:right w:val="nil"/>
            </w:tcBorders>
            <w:noWrap/>
            <w:vAlign w:val="bottom"/>
            <w:hideMark/>
          </w:tcPr>
          <w:p w14:paraId="65479737"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Morocco</w:t>
            </w:r>
          </w:p>
        </w:tc>
        <w:tc>
          <w:tcPr>
            <w:tcW w:w="1701" w:type="dxa"/>
            <w:tcBorders>
              <w:top w:val="nil"/>
              <w:left w:val="nil"/>
              <w:bottom w:val="nil"/>
              <w:right w:val="nil"/>
            </w:tcBorders>
            <w:noWrap/>
            <w:vAlign w:val="bottom"/>
            <w:hideMark/>
          </w:tcPr>
          <w:p w14:paraId="0680F6A5" w14:textId="77777777" w:rsidR="00CC0A78" w:rsidRDefault="00CC0A78">
            <w:pPr>
              <w:suppressAutoHyphens w:val="0"/>
              <w:spacing w:line="240" w:lineRule="auto"/>
              <w:jc w:val="right"/>
              <w:rPr>
                <w:sz w:val="18"/>
                <w:szCs w:val="18"/>
              </w:rPr>
            </w:pPr>
            <w:r>
              <w:rPr>
                <w:sz w:val="18"/>
                <w:szCs w:val="18"/>
              </w:rPr>
              <w:t>0.055</w:t>
            </w:r>
          </w:p>
        </w:tc>
        <w:tc>
          <w:tcPr>
            <w:tcW w:w="1559" w:type="dxa"/>
            <w:tcBorders>
              <w:top w:val="nil"/>
              <w:left w:val="nil"/>
              <w:bottom w:val="nil"/>
              <w:right w:val="nil"/>
            </w:tcBorders>
            <w:noWrap/>
            <w:vAlign w:val="bottom"/>
            <w:hideMark/>
          </w:tcPr>
          <w:p w14:paraId="1C82CD5E" w14:textId="77777777" w:rsidR="00CC0A78" w:rsidRDefault="00CC0A78">
            <w:pPr>
              <w:suppressAutoHyphens w:val="0"/>
              <w:spacing w:line="240" w:lineRule="auto"/>
              <w:jc w:val="right"/>
              <w:rPr>
                <w:sz w:val="18"/>
                <w:szCs w:val="18"/>
              </w:rPr>
            </w:pPr>
            <w:r>
              <w:rPr>
                <w:color w:val="000000"/>
                <w:sz w:val="18"/>
                <w:szCs w:val="18"/>
              </w:rPr>
              <w:t>0.071</w:t>
            </w:r>
          </w:p>
        </w:tc>
      </w:tr>
      <w:tr w:rsidR="00CC0A78" w14:paraId="17F1A6A2" w14:textId="77777777" w:rsidTr="00B719E1">
        <w:trPr>
          <w:trHeight w:val="240"/>
        </w:trPr>
        <w:tc>
          <w:tcPr>
            <w:tcW w:w="4111" w:type="dxa"/>
            <w:tcBorders>
              <w:top w:val="nil"/>
              <w:left w:val="nil"/>
              <w:bottom w:val="nil"/>
              <w:right w:val="nil"/>
            </w:tcBorders>
            <w:noWrap/>
            <w:vAlign w:val="bottom"/>
            <w:hideMark/>
          </w:tcPr>
          <w:p w14:paraId="57B0040B"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Mozambique</w:t>
            </w:r>
          </w:p>
        </w:tc>
        <w:tc>
          <w:tcPr>
            <w:tcW w:w="1701" w:type="dxa"/>
            <w:tcBorders>
              <w:top w:val="nil"/>
              <w:left w:val="nil"/>
              <w:bottom w:val="nil"/>
              <w:right w:val="nil"/>
            </w:tcBorders>
            <w:noWrap/>
            <w:vAlign w:val="bottom"/>
            <w:hideMark/>
          </w:tcPr>
          <w:p w14:paraId="1697F1F7" w14:textId="77777777" w:rsidR="00CC0A78" w:rsidRDefault="00CC0A78">
            <w:pPr>
              <w:suppressAutoHyphens w:val="0"/>
              <w:spacing w:line="240" w:lineRule="auto"/>
              <w:jc w:val="right"/>
              <w:rPr>
                <w:sz w:val="18"/>
                <w:szCs w:val="18"/>
              </w:rPr>
            </w:pPr>
            <w:r>
              <w:rPr>
                <w:sz w:val="18"/>
                <w:szCs w:val="18"/>
              </w:rPr>
              <w:t>0.004</w:t>
            </w:r>
          </w:p>
        </w:tc>
        <w:tc>
          <w:tcPr>
            <w:tcW w:w="1559" w:type="dxa"/>
            <w:tcBorders>
              <w:top w:val="nil"/>
              <w:left w:val="nil"/>
              <w:bottom w:val="nil"/>
              <w:right w:val="nil"/>
            </w:tcBorders>
            <w:noWrap/>
            <w:vAlign w:val="bottom"/>
            <w:hideMark/>
          </w:tcPr>
          <w:p w14:paraId="5E2A4DA5" w14:textId="77777777" w:rsidR="00CC0A78" w:rsidRDefault="00CC0A78">
            <w:pPr>
              <w:suppressAutoHyphens w:val="0"/>
              <w:spacing w:line="240" w:lineRule="auto"/>
              <w:jc w:val="right"/>
              <w:rPr>
                <w:sz w:val="18"/>
                <w:szCs w:val="18"/>
              </w:rPr>
            </w:pPr>
            <w:r>
              <w:rPr>
                <w:color w:val="000000"/>
                <w:sz w:val="18"/>
                <w:szCs w:val="18"/>
              </w:rPr>
              <w:t>0.005</w:t>
            </w:r>
          </w:p>
        </w:tc>
      </w:tr>
      <w:tr w:rsidR="00CC0A78" w14:paraId="07EEF449" w14:textId="77777777" w:rsidTr="00B719E1">
        <w:trPr>
          <w:trHeight w:val="240"/>
        </w:trPr>
        <w:tc>
          <w:tcPr>
            <w:tcW w:w="4111" w:type="dxa"/>
            <w:tcBorders>
              <w:top w:val="nil"/>
              <w:left w:val="nil"/>
              <w:bottom w:val="nil"/>
              <w:right w:val="nil"/>
            </w:tcBorders>
            <w:noWrap/>
            <w:vAlign w:val="bottom"/>
            <w:hideMark/>
          </w:tcPr>
          <w:p w14:paraId="2C9259B6"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Myanmar</w:t>
            </w:r>
          </w:p>
        </w:tc>
        <w:tc>
          <w:tcPr>
            <w:tcW w:w="1701" w:type="dxa"/>
            <w:tcBorders>
              <w:top w:val="nil"/>
              <w:left w:val="nil"/>
              <w:bottom w:val="nil"/>
              <w:right w:val="nil"/>
            </w:tcBorders>
            <w:noWrap/>
            <w:vAlign w:val="bottom"/>
            <w:hideMark/>
          </w:tcPr>
          <w:p w14:paraId="05887230" w14:textId="77777777" w:rsidR="00CC0A78" w:rsidRDefault="00CC0A78">
            <w:pPr>
              <w:suppressAutoHyphens w:val="0"/>
              <w:spacing w:line="240" w:lineRule="auto"/>
              <w:jc w:val="right"/>
              <w:rPr>
                <w:sz w:val="18"/>
                <w:szCs w:val="18"/>
              </w:rPr>
            </w:pPr>
            <w:r>
              <w:rPr>
                <w:sz w:val="18"/>
                <w:szCs w:val="18"/>
              </w:rPr>
              <w:t>0.010</w:t>
            </w:r>
          </w:p>
        </w:tc>
        <w:tc>
          <w:tcPr>
            <w:tcW w:w="1559" w:type="dxa"/>
            <w:tcBorders>
              <w:top w:val="nil"/>
              <w:left w:val="nil"/>
              <w:bottom w:val="nil"/>
              <w:right w:val="nil"/>
            </w:tcBorders>
            <w:noWrap/>
            <w:vAlign w:val="bottom"/>
            <w:hideMark/>
          </w:tcPr>
          <w:p w14:paraId="5E915176" w14:textId="77777777" w:rsidR="00CC0A78" w:rsidRDefault="00CC0A78">
            <w:pPr>
              <w:suppressAutoHyphens w:val="0"/>
              <w:spacing w:line="240" w:lineRule="auto"/>
              <w:jc w:val="right"/>
              <w:rPr>
                <w:sz w:val="18"/>
                <w:szCs w:val="18"/>
              </w:rPr>
            </w:pPr>
            <w:r>
              <w:rPr>
                <w:color w:val="000000"/>
                <w:sz w:val="18"/>
                <w:szCs w:val="18"/>
              </w:rPr>
              <w:t>0.013</w:t>
            </w:r>
          </w:p>
        </w:tc>
      </w:tr>
      <w:tr w:rsidR="00CC0A78" w14:paraId="4A7C7E33" w14:textId="77777777" w:rsidTr="00B719E1">
        <w:trPr>
          <w:trHeight w:val="240"/>
        </w:trPr>
        <w:tc>
          <w:tcPr>
            <w:tcW w:w="4111" w:type="dxa"/>
            <w:tcBorders>
              <w:top w:val="nil"/>
              <w:left w:val="nil"/>
              <w:bottom w:val="nil"/>
              <w:right w:val="nil"/>
            </w:tcBorders>
            <w:noWrap/>
            <w:vAlign w:val="bottom"/>
            <w:hideMark/>
          </w:tcPr>
          <w:p w14:paraId="751E54E1"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Namibia</w:t>
            </w:r>
          </w:p>
        </w:tc>
        <w:tc>
          <w:tcPr>
            <w:tcW w:w="1701" w:type="dxa"/>
            <w:tcBorders>
              <w:top w:val="nil"/>
              <w:left w:val="nil"/>
              <w:bottom w:val="nil"/>
              <w:right w:val="nil"/>
            </w:tcBorders>
            <w:noWrap/>
            <w:vAlign w:val="bottom"/>
            <w:hideMark/>
          </w:tcPr>
          <w:p w14:paraId="27AB3D11" w14:textId="77777777" w:rsidR="00CC0A78" w:rsidRDefault="00CC0A78">
            <w:pPr>
              <w:suppressAutoHyphens w:val="0"/>
              <w:spacing w:line="240" w:lineRule="auto"/>
              <w:jc w:val="right"/>
              <w:rPr>
                <w:sz w:val="18"/>
                <w:szCs w:val="18"/>
              </w:rPr>
            </w:pPr>
            <w:r>
              <w:rPr>
                <w:sz w:val="18"/>
                <w:szCs w:val="18"/>
              </w:rPr>
              <w:t>0.009</w:t>
            </w:r>
          </w:p>
        </w:tc>
        <w:tc>
          <w:tcPr>
            <w:tcW w:w="1559" w:type="dxa"/>
            <w:tcBorders>
              <w:top w:val="nil"/>
              <w:left w:val="nil"/>
              <w:bottom w:val="nil"/>
              <w:right w:val="nil"/>
            </w:tcBorders>
            <w:noWrap/>
            <w:vAlign w:val="bottom"/>
            <w:hideMark/>
          </w:tcPr>
          <w:p w14:paraId="6F527C6E" w14:textId="77777777" w:rsidR="00CC0A78" w:rsidRDefault="00CC0A78">
            <w:pPr>
              <w:suppressAutoHyphens w:val="0"/>
              <w:spacing w:line="240" w:lineRule="auto"/>
              <w:jc w:val="right"/>
              <w:rPr>
                <w:sz w:val="18"/>
                <w:szCs w:val="18"/>
              </w:rPr>
            </w:pPr>
            <w:r>
              <w:rPr>
                <w:color w:val="000000"/>
                <w:sz w:val="18"/>
                <w:szCs w:val="18"/>
              </w:rPr>
              <w:t>0.012</w:t>
            </w:r>
          </w:p>
        </w:tc>
      </w:tr>
      <w:tr w:rsidR="00CC0A78" w14:paraId="2A111B51" w14:textId="77777777" w:rsidTr="00B719E1">
        <w:trPr>
          <w:trHeight w:val="240"/>
        </w:trPr>
        <w:tc>
          <w:tcPr>
            <w:tcW w:w="4111" w:type="dxa"/>
            <w:tcBorders>
              <w:top w:val="nil"/>
              <w:left w:val="nil"/>
              <w:bottom w:val="nil"/>
              <w:right w:val="nil"/>
            </w:tcBorders>
            <w:noWrap/>
            <w:vAlign w:val="bottom"/>
            <w:hideMark/>
          </w:tcPr>
          <w:p w14:paraId="25023648"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Nauru</w:t>
            </w:r>
          </w:p>
        </w:tc>
        <w:tc>
          <w:tcPr>
            <w:tcW w:w="1701" w:type="dxa"/>
            <w:tcBorders>
              <w:top w:val="nil"/>
              <w:left w:val="nil"/>
              <w:bottom w:val="nil"/>
              <w:right w:val="nil"/>
            </w:tcBorders>
            <w:noWrap/>
            <w:vAlign w:val="bottom"/>
            <w:hideMark/>
          </w:tcPr>
          <w:p w14:paraId="60E93422" w14:textId="77777777" w:rsidR="00CC0A78" w:rsidRDefault="00CC0A78">
            <w:pPr>
              <w:suppressAutoHyphens w:val="0"/>
              <w:spacing w:line="240" w:lineRule="auto"/>
              <w:jc w:val="right"/>
              <w:rPr>
                <w:sz w:val="18"/>
                <w:szCs w:val="18"/>
              </w:rPr>
            </w:pPr>
            <w:r>
              <w:rPr>
                <w:sz w:val="18"/>
                <w:szCs w:val="18"/>
              </w:rPr>
              <w:t>0.001</w:t>
            </w:r>
          </w:p>
        </w:tc>
        <w:tc>
          <w:tcPr>
            <w:tcW w:w="1559" w:type="dxa"/>
            <w:tcBorders>
              <w:top w:val="nil"/>
              <w:left w:val="nil"/>
              <w:bottom w:val="nil"/>
              <w:right w:val="nil"/>
            </w:tcBorders>
            <w:noWrap/>
            <w:vAlign w:val="bottom"/>
            <w:hideMark/>
          </w:tcPr>
          <w:p w14:paraId="6D81DD3B" w14:textId="77777777" w:rsidR="00CC0A78" w:rsidRDefault="00CC0A78">
            <w:pPr>
              <w:suppressAutoHyphens w:val="0"/>
              <w:spacing w:line="240" w:lineRule="auto"/>
              <w:jc w:val="right"/>
              <w:rPr>
                <w:sz w:val="18"/>
                <w:szCs w:val="18"/>
              </w:rPr>
            </w:pPr>
            <w:r>
              <w:rPr>
                <w:color w:val="000000"/>
                <w:sz w:val="18"/>
                <w:szCs w:val="18"/>
              </w:rPr>
              <w:t>0.001</w:t>
            </w:r>
          </w:p>
        </w:tc>
      </w:tr>
      <w:tr w:rsidR="00CC0A78" w14:paraId="33BB8D64" w14:textId="77777777" w:rsidTr="00B719E1">
        <w:trPr>
          <w:trHeight w:val="240"/>
        </w:trPr>
        <w:tc>
          <w:tcPr>
            <w:tcW w:w="4111" w:type="dxa"/>
            <w:tcBorders>
              <w:top w:val="nil"/>
              <w:left w:val="nil"/>
              <w:bottom w:val="nil"/>
              <w:right w:val="nil"/>
            </w:tcBorders>
            <w:noWrap/>
            <w:vAlign w:val="bottom"/>
            <w:hideMark/>
          </w:tcPr>
          <w:p w14:paraId="6D51C811"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Nepal</w:t>
            </w:r>
          </w:p>
        </w:tc>
        <w:tc>
          <w:tcPr>
            <w:tcW w:w="1701" w:type="dxa"/>
            <w:tcBorders>
              <w:top w:val="nil"/>
              <w:left w:val="nil"/>
              <w:bottom w:val="nil"/>
              <w:right w:val="nil"/>
            </w:tcBorders>
            <w:noWrap/>
            <w:vAlign w:val="bottom"/>
            <w:hideMark/>
          </w:tcPr>
          <w:p w14:paraId="7575259D" w14:textId="77777777" w:rsidR="00CC0A78" w:rsidRDefault="00CC0A78">
            <w:pPr>
              <w:suppressAutoHyphens w:val="0"/>
              <w:spacing w:line="240" w:lineRule="auto"/>
              <w:jc w:val="right"/>
              <w:rPr>
                <w:sz w:val="18"/>
                <w:szCs w:val="18"/>
              </w:rPr>
            </w:pPr>
            <w:r>
              <w:rPr>
                <w:sz w:val="18"/>
                <w:szCs w:val="18"/>
              </w:rPr>
              <w:t>0.007</w:t>
            </w:r>
          </w:p>
        </w:tc>
        <w:tc>
          <w:tcPr>
            <w:tcW w:w="1559" w:type="dxa"/>
            <w:tcBorders>
              <w:top w:val="nil"/>
              <w:left w:val="nil"/>
              <w:bottom w:val="nil"/>
              <w:right w:val="nil"/>
            </w:tcBorders>
            <w:noWrap/>
            <w:vAlign w:val="bottom"/>
            <w:hideMark/>
          </w:tcPr>
          <w:p w14:paraId="2A30F88A" w14:textId="77777777" w:rsidR="00CC0A78" w:rsidRDefault="00CC0A78">
            <w:pPr>
              <w:suppressAutoHyphens w:val="0"/>
              <w:spacing w:line="240" w:lineRule="auto"/>
              <w:jc w:val="right"/>
              <w:rPr>
                <w:sz w:val="18"/>
                <w:szCs w:val="18"/>
              </w:rPr>
            </w:pPr>
            <w:r>
              <w:rPr>
                <w:color w:val="000000"/>
                <w:sz w:val="18"/>
                <w:szCs w:val="18"/>
              </w:rPr>
              <w:t>0.009</w:t>
            </w:r>
          </w:p>
        </w:tc>
      </w:tr>
      <w:tr w:rsidR="00CC0A78" w14:paraId="41AE7479" w14:textId="77777777" w:rsidTr="00B719E1">
        <w:trPr>
          <w:trHeight w:val="240"/>
        </w:trPr>
        <w:tc>
          <w:tcPr>
            <w:tcW w:w="4111" w:type="dxa"/>
            <w:tcBorders>
              <w:top w:val="nil"/>
              <w:left w:val="nil"/>
              <w:bottom w:val="nil"/>
              <w:right w:val="nil"/>
            </w:tcBorders>
            <w:noWrap/>
            <w:vAlign w:val="bottom"/>
            <w:hideMark/>
          </w:tcPr>
          <w:p w14:paraId="3D2C0534"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Netherlands</w:t>
            </w:r>
          </w:p>
        </w:tc>
        <w:tc>
          <w:tcPr>
            <w:tcW w:w="1701" w:type="dxa"/>
            <w:tcBorders>
              <w:top w:val="nil"/>
              <w:left w:val="nil"/>
              <w:bottom w:val="nil"/>
              <w:right w:val="nil"/>
            </w:tcBorders>
            <w:noWrap/>
            <w:vAlign w:val="bottom"/>
            <w:hideMark/>
          </w:tcPr>
          <w:p w14:paraId="5CD0677E" w14:textId="77777777" w:rsidR="00CC0A78" w:rsidRDefault="00CC0A78">
            <w:pPr>
              <w:suppressAutoHyphens w:val="0"/>
              <w:spacing w:line="240" w:lineRule="auto"/>
              <w:jc w:val="right"/>
              <w:rPr>
                <w:sz w:val="18"/>
                <w:szCs w:val="18"/>
              </w:rPr>
            </w:pPr>
            <w:r>
              <w:rPr>
                <w:sz w:val="18"/>
                <w:szCs w:val="18"/>
              </w:rPr>
              <w:t>1.356</w:t>
            </w:r>
          </w:p>
        </w:tc>
        <w:tc>
          <w:tcPr>
            <w:tcW w:w="1559" w:type="dxa"/>
            <w:tcBorders>
              <w:top w:val="nil"/>
              <w:left w:val="nil"/>
              <w:bottom w:val="nil"/>
              <w:right w:val="nil"/>
            </w:tcBorders>
            <w:noWrap/>
            <w:vAlign w:val="bottom"/>
            <w:hideMark/>
          </w:tcPr>
          <w:p w14:paraId="421F312D" w14:textId="77777777" w:rsidR="00CC0A78" w:rsidRDefault="00CC0A78">
            <w:pPr>
              <w:suppressAutoHyphens w:val="0"/>
              <w:spacing w:line="240" w:lineRule="auto"/>
              <w:jc w:val="right"/>
              <w:rPr>
                <w:sz w:val="18"/>
                <w:szCs w:val="18"/>
              </w:rPr>
            </w:pPr>
            <w:r>
              <w:rPr>
                <w:color w:val="000000"/>
                <w:sz w:val="18"/>
                <w:szCs w:val="18"/>
              </w:rPr>
              <w:t>1.757</w:t>
            </w:r>
          </w:p>
        </w:tc>
      </w:tr>
      <w:tr w:rsidR="00CC0A78" w14:paraId="7096DA28" w14:textId="77777777" w:rsidTr="00B719E1">
        <w:trPr>
          <w:trHeight w:val="240"/>
        </w:trPr>
        <w:tc>
          <w:tcPr>
            <w:tcW w:w="4111" w:type="dxa"/>
            <w:tcBorders>
              <w:top w:val="nil"/>
              <w:left w:val="nil"/>
              <w:bottom w:val="nil"/>
              <w:right w:val="nil"/>
            </w:tcBorders>
            <w:noWrap/>
            <w:vAlign w:val="bottom"/>
            <w:hideMark/>
          </w:tcPr>
          <w:p w14:paraId="5CB719BA"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New Zealand</w:t>
            </w:r>
          </w:p>
        </w:tc>
        <w:tc>
          <w:tcPr>
            <w:tcW w:w="1701" w:type="dxa"/>
            <w:tcBorders>
              <w:top w:val="nil"/>
              <w:left w:val="nil"/>
              <w:bottom w:val="nil"/>
              <w:right w:val="nil"/>
            </w:tcBorders>
            <w:noWrap/>
            <w:vAlign w:val="bottom"/>
            <w:hideMark/>
          </w:tcPr>
          <w:p w14:paraId="7762D141" w14:textId="77777777" w:rsidR="00CC0A78" w:rsidRDefault="00CC0A78">
            <w:pPr>
              <w:suppressAutoHyphens w:val="0"/>
              <w:spacing w:line="240" w:lineRule="auto"/>
              <w:jc w:val="right"/>
              <w:rPr>
                <w:sz w:val="18"/>
                <w:szCs w:val="18"/>
              </w:rPr>
            </w:pPr>
            <w:r>
              <w:rPr>
                <w:sz w:val="18"/>
                <w:szCs w:val="18"/>
              </w:rPr>
              <w:t>0.291</w:t>
            </w:r>
          </w:p>
        </w:tc>
        <w:tc>
          <w:tcPr>
            <w:tcW w:w="1559" w:type="dxa"/>
            <w:tcBorders>
              <w:top w:val="nil"/>
              <w:left w:val="nil"/>
              <w:bottom w:val="nil"/>
              <w:right w:val="nil"/>
            </w:tcBorders>
            <w:noWrap/>
            <w:vAlign w:val="bottom"/>
            <w:hideMark/>
          </w:tcPr>
          <w:p w14:paraId="25029EE7" w14:textId="77777777" w:rsidR="00CC0A78" w:rsidRDefault="00CC0A78">
            <w:pPr>
              <w:suppressAutoHyphens w:val="0"/>
              <w:spacing w:line="240" w:lineRule="auto"/>
              <w:jc w:val="right"/>
              <w:rPr>
                <w:sz w:val="18"/>
                <w:szCs w:val="18"/>
              </w:rPr>
            </w:pPr>
            <w:r>
              <w:rPr>
                <w:color w:val="000000"/>
                <w:sz w:val="18"/>
                <w:szCs w:val="18"/>
              </w:rPr>
              <w:t>0.377</w:t>
            </w:r>
          </w:p>
        </w:tc>
      </w:tr>
      <w:tr w:rsidR="00CC0A78" w14:paraId="265CDA27" w14:textId="77777777" w:rsidTr="00B719E1">
        <w:trPr>
          <w:trHeight w:val="240"/>
        </w:trPr>
        <w:tc>
          <w:tcPr>
            <w:tcW w:w="4111" w:type="dxa"/>
            <w:tcBorders>
              <w:top w:val="nil"/>
              <w:left w:val="nil"/>
              <w:bottom w:val="nil"/>
              <w:right w:val="nil"/>
            </w:tcBorders>
            <w:noWrap/>
            <w:vAlign w:val="bottom"/>
            <w:hideMark/>
          </w:tcPr>
          <w:p w14:paraId="663C335B"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Nicaragua</w:t>
            </w:r>
          </w:p>
        </w:tc>
        <w:tc>
          <w:tcPr>
            <w:tcW w:w="1701" w:type="dxa"/>
            <w:tcBorders>
              <w:top w:val="nil"/>
              <w:left w:val="nil"/>
              <w:bottom w:val="nil"/>
              <w:right w:val="nil"/>
            </w:tcBorders>
            <w:noWrap/>
            <w:vAlign w:val="bottom"/>
            <w:hideMark/>
          </w:tcPr>
          <w:p w14:paraId="2E8B0998" w14:textId="77777777" w:rsidR="00CC0A78" w:rsidRDefault="00CC0A78">
            <w:pPr>
              <w:suppressAutoHyphens w:val="0"/>
              <w:spacing w:line="240" w:lineRule="auto"/>
              <w:jc w:val="right"/>
              <w:rPr>
                <w:sz w:val="18"/>
                <w:szCs w:val="18"/>
              </w:rPr>
            </w:pPr>
            <w:r>
              <w:rPr>
                <w:sz w:val="18"/>
                <w:szCs w:val="18"/>
              </w:rPr>
              <w:t>0.005</w:t>
            </w:r>
          </w:p>
        </w:tc>
        <w:tc>
          <w:tcPr>
            <w:tcW w:w="1559" w:type="dxa"/>
            <w:tcBorders>
              <w:top w:val="nil"/>
              <w:left w:val="nil"/>
              <w:bottom w:val="nil"/>
              <w:right w:val="nil"/>
            </w:tcBorders>
            <w:noWrap/>
            <w:vAlign w:val="bottom"/>
            <w:hideMark/>
          </w:tcPr>
          <w:p w14:paraId="26FBD666" w14:textId="77777777" w:rsidR="00CC0A78" w:rsidRDefault="00CC0A78">
            <w:pPr>
              <w:suppressAutoHyphens w:val="0"/>
              <w:spacing w:line="240" w:lineRule="auto"/>
              <w:jc w:val="right"/>
              <w:rPr>
                <w:sz w:val="18"/>
                <w:szCs w:val="18"/>
              </w:rPr>
            </w:pPr>
            <w:r>
              <w:rPr>
                <w:color w:val="000000"/>
                <w:sz w:val="18"/>
                <w:szCs w:val="18"/>
              </w:rPr>
              <w:t>0.006</w:t>
            </w:r>
          </w:p>
        </w:tc>
      </w:tr>
      <w:tr w:rsidR="00CC0A78" w14:paraId="03385573" w14:textId="77777777" w:rsidTr="00B719E1">
        <w:trPr>
          <w:trHeight w:val="240"/>
        </w:trPr>
        <w:tc>
          <w:tcPr>
            <w:tcW w:w="4111" w:type="dxa"/>
            <w:tcBorders>
              <w:top w:val="nil"/>
              <w:left w:val="nil"/>
              <w:bottom w:val="nil"/>
              <w:right w:val="nil"/>
            </w:tcBorders>
            <w:noWrap/>
            <w:vAlign w:val="bottom"/>
            <w:hideMark/>
          </w:tcPr>
          <w:p w14:paraId="5329CE80"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Niger</w:t>
            </w:r>
          </w:p>
        </w:tc>
        <w:tc>
          <w:tcPr>
            <w:tcW w:w="1701" w:type="dxa"/>
            <w:tcBorders>
              <w:top w:val="nil"/>
              <w:left w:val="nil"/>
              <w:bottom w:val="nil"/>
              <w:right w:val="nil"/>
            </w:tcBorders>
            <w:noWrap/>
            <w:vAlign w:val="bottom"/>
            <w:hideMark/>
          </w:tcPr>
          <w:p w14:paraId="05E3F785" w14:textId="77777777" w:rsidR="00CC0A78" w:rsidRDefault="00CC0A78">
            <w:pPr>
              <w:suppressAutoHyphens w:val="0"/>
              <w:spacing w:line="240" w:lineRule="auto"/>
              <w:jc w:val="right"/>
              <w:rPr>
                <w:sz w:val="18"/>
                <w:szCs w:val="18"/>
              </w:rPr>
            </w:pPr>
            <w:r>
              <w:rPr>
                <w:sz w:val="18"/>
                <w:szCs w:val="18"/>
              </w:rPr>
              <w:t>0.002</w:t>
            </w:r>
          </w:p>
        </w:tc>
        <w:tc>
          <w:tcPr>
            <w:tcW w:w="1559" w:type="dxa"/>
            <w:tcBorders>
              <w:top w:val="nil"/>
              <w:left w:val="nil"/>
              <w:bottom w:val="nil"/>
              <w:right w:val="nil"/>
            </w:tcBorders>
            <w:noWrap/>
            <w:vAlign w:val="bottom"/>
            <w:hideMark/>
          </w:tcPr>
          <w:p w14:paraId="159B55D4" w14:textId="77777777" w:rsidR="00CC0A78" w:rsidRDefault="00CC0A78">
            <w:pPr>
              <w:suppressAutoHyphens w:val="0"/>
              <w:spacing w:line="240" w:lineRule="auto"/>
              <w:jc w:val="right"/>
              <w:rPr>
                <w:sz w:val="18"/>
                <w:szCs w:val="18"/>
              </w:rPr>
            </w:pPr>
            <w:r>
              <w:rPr>
                <w:color w:val="000000"/>
                <w:sz w:val="18"/>
                <w:szCs w:val="18"/>
              </w:rPr>
              <w:t>0.003</w:t>
            </w:r>
          </w:p>
        </w:tc>
      </w:tr>
      <w:tr w:rsidR="00CC0A78" w14:paraId="499C1B03" w14:textId="77777777" w:rsidTr="00B719E1">
        <w:trPr>
          <w:trHeight w:val="240"/>
        </w:trPr>
        <w:tc>
          <w:tcPr>
            <w:tcW w:w="4111" w:type="dxa"/>
            <w:tcBorders>
              <w:top w:val="nil"/>
              <w:left w:val="nil"/>
              <w:bottom w:val="nil"/>
              <w:right w:val="nil"/>
            </w:tcBorders>
            <w:noWrap/>
            <w:vAlign w:val="bottom"/>
            <w:hideMark/>
          </w:tcPr>
          <w:p w14:paraId="2332CF6E"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Nigeria</w:t>
            </w:r>
          </w:p>
        </w:tc>
        <w:tc>
          <w:tcPr>
            <w:tcW w:w="1701" w:type="dxa"/>
            <w:tcBorders>
              <w:top w:val="nil"/>
              <w:left w:val="nil"/>
              <w:bottom w:val="nil"/>
              <w:right w:val="nil"/>
            </w:tcBorders>
            <w:noWrap/>
            <w:vAlign w:val="bottom"/>
            <w:hideMark/>
          </w:tcPr>
          <w:p w14:paraId="6F4C80B5" w14:textId="77777777" w:rsidR="00CC0A78" w:rsidRDefault="00CC0A78">
            <w:pPr>
              <w:suppressAutoHyphens w:val="0"/>
              <w:spacing w:line="240" w:lineRule="auto"/>
              <w:jc w:val="right"/>
              <w:rPr>
                <w:sz w:val="18"/>
                <w:szCs w:val="18"/>
              </w:rPr>
            </w:pPr>
            <w:r>
              <w:rPr>
                <w:sz w:val="18"/>
                <w:szCs w:val="18"/>
              </w:rPr>
              <w:t>0.250</w:t>
            </w:r>
          </w:p>
        </w:tc>
        <w:tc>
          <w:tcPr>
            <w:tcW w:w="1559" w:type="dxa"/>
            <w:tcBorders>
              <w:top w:val="nil"/>
              <w:left w:val="nil"/>
              <w:bottom w:val="nil"/>
              <w:right w:val="nil"/>
            </w:tcBorders>
            <w:noWrap/>
            <w:vAlign w:val="bottom"/>
            <w:hideMark/>
          </w:tcPr>
          <w:p w14:paraId="64F2971D" w14:textId="77777777" w:rsidR="00CC0A78" w:rsidRDefault="00CC0A78">
            <w:pPr>
              <w:suppressAutoHyphens w:val="0"/>
              <w:spacing w:line="240" w:lineRule="auto"/>
              <w:jc w:val="right"/>
              <w:rPr>
                <w:sz w:val="18"/>
                <w:szCs w:val="18"/>
              </w:rPr>
            </w:pPr>
            <w:r>
              <w:rPr>
                <w:color w:val="000000"/>
                <w:sz w:val="18"/>
                <w:szCs w:val="18"/>
              </w:rPr>
              <w:t>0.324</w:t>
            </w:r>
          </w:p>
        </w:tc>
      </w:tr>
      <w:tr w:rsidR="00CC0A78" w14:paraId="1475F73C" w14:textId="77777777" w:rsidTr="00B719E1">
        <w:trPr>
          <w:trHeight w:val="240"/>
        </w:trPr>
        <w:tc>
          <w:tcPr>
            <w:tcW w:w="4111" w:type="dxa"/>
            <w:tcBorders>
              <w:top w:val="nil"/>
              <w:left w:val="nil"/>
              <w:bottom w:val="nil"/>
              <w:right w:val="nil"/>
            </w:tcBorders>
            <w:noWrap/>
            <w:vAlign w:val="bottom"/>
            <w:hideMark/>
          </w:tcPr>
          <w:p w14:paraId="04C51603"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Niue</w:t>
            </w:r>
          </w:p>
        </w:tc>
        <w:tc>
          <w:tcPr>
            <w:tcW w:w="1701" w:type="dxa"/>
            <w:tcBorders>
              <w:top w:val="nil"/>
              <w:left w:val="nil"/>
              <w:bottom w:val="nil"/>
              <w:right w:val="nil"/>
            </w:tcBorders>
            <w:noWrap/>
            <w:vAlign w:val="bottom"/>
            <w:hideMark/>
          </w:tcPr>
          <w:p w14:paraId="17EA355A" w14:textId="77777777" w:rsidR="00CC0A78" w:rsidRDefault="00CC0A78">
            <w:pPr>
              <w:suppressAutoHyphens w:val="0"/>
              <w:spacing w:line="240" w:lineRule="auto"/>
              <w:jc w:val="right"/>
              <w:rPr>
                <w:sz w:val="18"/>
                <w:szCs w:val="18"/>
              </w:rPr>
            </w:pPr>
            <w:r>
              <w:rPr>
                <w:sz w:val="18"/>
                <w:szCs w:val="18"/>
              </w:rPr>
              <w:t>0.000</w:t>
            </w:r>
          </w:p>
        </w:tc>
        <w:tc>
          <w:tcPr>
            <w:tcW w:w="1559" w:type="dxa"/>
            <w:tcBorders>
              <w:top w:val="nil"/>
              <w:left w:val="nil"/>
              <w:bottom w:val="nil"/>
              <w:right w:val="nil"/>
            </w:tcBorders>
            <w:noWrap/>
            <w:vAlign w:val="bottom"/>
            <w:hideMark/>
          </w:tcPr>
          <w:p w14:paraId="0F0D8362" w14:textId="77777777" w:rsidR="00CC0A78" w:rsidRDefault="00CC0A78">
            <w:pPr>
              <w:suppressAutoHyphens w:val="0"/>
              <w:spacing w:line="240" w:lineRule="auto"/>
              <w:jc w:val="right"/>
              <w:rPr>
                <w:sz w:val="18"/>
                <w:szCs w:val="18"/>
              </w:rPr>
            </w:pPr>
            <w:r>
              <w:rPr>
                <w:color w:val="000000"/>
                <w:sz w:val="18"/>
                <w:szCs w:val="18"/>
              </w:rPr>
              <w:t>0.001</w:t>
            </w:r>
          </w:p>
        </w:tc>
      </w:tr>
      <w:tr w:rsidR="00CC0A78" w14:paraId="7CE38D00" w14:textId="77777777" w:rsidTr="00B719E1">
        <w:trPr>
          <w:trHeight w:val="240"/>
        </w:trPr>
        <w:tc>
          <w:tcPr>
            <w:tcW w:w="4111" w:type="dxa"/>
            <w:tcBorders>
              <w:top w:val="nil"/>
              <w:left w:val="nil"/>
              <w:bottom w:val="nil"/>
              <w:right w:val="nil"/>
            </w:tcBorders>
            <w:noWrap/>
            <w:vAlign w:val="bottom"/>
            <w:hideMark/>
          </w:tcPr>
          <w:p w14:paraId="0C9A67DB"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North Macedonia</w:t>
            </w:r>
          </w:p>
        </w:tc>
        <w:tc>
          <w:tcPr>
            <w:tcW w:w="1701" w:type="dxa"/>
            <w:tcBorders>
              <w:top w:val="nil"/>
              <w:left w:val="nil"/>
              <w:bottom w:val="nil"/>
              <w:right w:val="nil"/>
            </w:tcBorders>
            <w:noWrap/>
            <w:vAlign w:val="bottom"/>
            <w:hideMark/>
          </w:tcPr>
          <w:p w14:paraId="1A8EF2BC" w14:textId="77777777" w:rsidR="00CC0A78" w:rsidRDefault="00CC0A78">
            <w:pPr>
              <w:suppressAutoHyphens w:val="0"/>
              <w:spacing w:line="240" w:lineRule="auto"/>
              <w:jc w:val="right"/>
              <w:rPr>
                <w:sz w:val="18"/>
                <w:szCs w:val="18"/>
              </w:rPr>
            </w:pPr>
            <w:r>
              <w:rPr>
                <w:sz w:val="18"/>
                <w:szCs w:val="18"/>
              </w:rPr>
              <w:t>0.007</w:t>
            </w:r>
          </w:p>
        </w:tc>
        <w:tc>
          <w:tcPr>
            <w:tcW w:w="1559" w:type="dxa"/>
            <w:tcBorders>
              <w:top w:val="nil"/>
              <w:left w:val="nil"/>
              <w:bottom w:val="nil"/>
              <w:right w:val="nil"/>
            </w:tcBorders>
            <w:noWrap/>
            <w:vAlign w:val="bottom"/>
            <w:hideMark/>
          </w:tcPr>
          <w:p w14:paraId="7902D648" w14:textId="77777777" w:rsidR="00CC0A78" w:rsidRDefault="00CC0A78">
            <w:pPr>
              <w:suppressAutoHyphens w:val="0"/>
              <w:spacing w:line="240" w:lineRule="auto"/>
              <w:jc w:val="right"/>
              <w:rPr>
                <w:sz w:val="18"/>
                <w:szCs w:val="18"/>
              </w:rPr>
            </w:pPr>
            <w:r>
              <w:rPr>
                <w:color w:val="000000"/>
                <w:sz w:val="18"/>
                <w:szCs w:val="18"/>
              </w:rPr>
              <w:t>0.009</w:t>
            </w:r>
          </w:p>
        </w:tc>
      </w:tr>
      <w:tr w:rsidR="00CC0A78" w14:paraId="07FA88C8" w14:textId="77777777" w:rsidTr="00B719E1">
        <w:trPr>
          <w:trHeight w:val="240"/>
        </w:trPr>
        <w:tc>
          <w:tcPr>
            <w:tcW w:w="4111" w:type="dxa"/>
            <w:tcBorders>
              <w:top w:val="nil"/>
              <w:left w:val="nil"/>
              <w:bottom w:val="nil"/>
              <w:right w:val="nil"/>
            </w:tcBorders>
            <w:noWrap/>
            <w:vAlign w:val="bottom"/>
            <w:hideMark/>
          </w:tcPr>
          <w:p w14:paraId="40A53B27"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Norway</w:t>
            </w:r>
          </w:p>
        </w:tc>
        <w:tc>
          <w:tcPr>
            <w:tcW w:w="1701" w:type="dxa"/>
            <w:tcBorders>
              <w:top w:val="nil"/>
              <w:left w:val="nil"/>
              <w:bottom w:val="nil"/>
              <w:right w:val="nil"/>
            </w:tcBorders>
            <w:noWrap/>
            <w:vAlign w:val="bottom"/>
            <w:hideMark/>
          </w:tcPr>
          <w:p w14:paraId="1DDB0E47" w14:textId="77777777" w:rsidR="00CC0A78" w:rsidRDefault="00CC0A78">
            <w:pPr>
              <w:suppressAutoHyphens w:val="0"/>
              <w:spacing w:line="240" w:lineRule="auto"/>
              <w:jc w:val="right"/>
              <w:rPr>
                <w:sz w:val="18"/>
                <w:szCs w:val="18"/>
              </w:rPr>
            </w:pPr>
            <w:r>
              <w:rPr>
                <w:sz w:val="18"/>
                <w:szCs w:val="18"/>
              </w:rPr>
              <w:t>0.754</w:t>
            </w:r>
          </w:p>
        </w:tc>
        <w:tc>
          <w:tcPr>
            <w:tcW w:w="1559" w:type="dxa"/>
            <w:tcBorders>
              <w:top w:val="nil"/>
              <w:left w:val="nil"/>
              <w:bottom w:val="nil"/>
              <w:right w:val="nil"/>
            </w:tcBorders>
            <w:noWrap/>
            <w:vAlign w:val="bottom"/>
            <w:hideMark/>
          </w:tcPr>
          <w:p w14:paraId="77BF7BBA" w14:textId="77777777" w:rsidR="00CC0A78" w:rsidRDefault="00CC0A78">
            <w:pPr>
              <w:suppressAutoHyphens w:val="0"/>
              <w:spacing w:line="240" w:lineRule="auto"/>
              <w:jc w:val="right"/>
              <w:rPr>
                <w:sz w:val="18"/>
                <w:szCs w:val="18"/>
              </w:rPr>
            </w:pPr>
            <w:r>
              <w:rPr>
                <w:color w:val="000000"/>
                <w:sz w:val="18"/>
                <w:szCs w:val="18"/>
              </w:rPr>
              <w:t>0.977</w:t>
            </w:r>
          </w:p>
        </w:tc>
      </w:tr>
      <w:tr w:rsidR="00CC0A78" w14:paraId="301D8B08" w14:textId="77777777" w:rsidTr="00B719E1">
        <w:trPr>
          <w:trHeight w:val="240"/>
        </w:trPr>
        <w:tc>
          <w:tcPr>
            <w:tcW w:w="4111" w:type="dxa"/>
            <w:tcBorders>
              <w:top w:val="nil"/>
              <w:left w:val="nil"/>
              <w:bottom w:val="nil"/>
              <w:right w:val="nil"/>
            </w:tcBorders>
            <w:noWrap/>
            <w:vAlign w:val="bottom"/>
            <w:hideMark/>
          </w:tcPr>
          <w:p w14:paraId="315E1E06"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Oman</w:t>
            </w:r>
          </w:p>
        </w:tc>
        <w:tc>
          <w:tcPr>
            <w:tcW w:w="1701" w:type="dxa"/>
            <w:tcBorders>
              <w:top w:val="nil"/>
              <w:left w:val="nil"/>
              <w:bottom w:val="nil"/>
              <w:right w:val="nil"/>
            </w:tcBorders>
            <w:noWrap/>
            <w:vAlign w:val="bottom"/>
            <w:hideMark/>
          </w:tcPr>
          <w:p w14:paraId="02B29CF5" w14:textId="77777777" w:rsidR="00CC0A78" w:rsidRDefault="00CC0A78">
            <w:pPr>
              <w:suppressAutoHyphens w:val="0"/>
              <w:spacing w:line="240" w:lineRule="auto"/>
              <w:jc w:val="right"/>
              <w:rPr>
                <w:sz w:val="18"/>
                <w:szCs w:val="18"/>
              </w:rPr>
            </w:pPr>
            <w:r>
              <w:rPr>
                <w:sz w:val="18"/>
                <w:szCs w:val="18"/>
              </w:rPr>
              <w:t>0.115</w:t>
            </w:r>
          </w:p>
        </w:tc>
        <w:tc>
          <w:tcPr>
            <w:tcW w:w="1559" w:type="dxa"/>
            <w:tcBorders>
              <w:top w:val="nil"/>
              <w:left w:val="nil"/>
              <w:bottom w:val="nil"/>
              <w:right w:val="nil"/>
            </w:tcBorders>
            <w:noWrap/>
            <w:vAlign w:val="bottom"/>
            <w:hideMark/>
          </w:tcPr>
          <w:p w14:paraId="193C0F24" w14:textId="77777777" w:rsidR="00CC0A78" w:rsidRDefault="00CC0A78">
            <w:pPr>
              <w:suppressAutoHyphens w:val="0"/>
              <w:spacing w:line="240" w:lineRule="auto"/>
              <w:jc w:val="right"/>
              <w:rPr>
                <w:sz w:val="18"/>
                <w:szCs w:val="18"/>
              </w:rPr>
            </w:pPr>
            <w:r>
              <w:rPr>
                <w:color w:val="000000"/>
                <w:sz w:val="18"/>
                <w:szCs w:val="18"/>
              </w:rPr>
              <w:t>0.149</w:t>
            </w:r>
          </w:p>
        </w:tc>
      </w:tr>
      <w:tr w:rsidR="00CC0A78" w14:paraId="1A7A8A2B" w14:textId="77777777" w:rsidTr="00B719E1">
        <w:trPr>
          <w:trHeight w:val="240"/>
        </w:trPr>
        <w:tc>
          <w:tcPr>
            <w:tcW w:w="4111" w:type="dxa"/>
            <w:tcBorders>
              <w:top w:val="nil"/>
              <w:left w:val="nil"/>
              <w:bottom w:val="nil"/>
              <w:right w:val="nil"/>
            </w:tcBorders>
            <w:noWrap/>
            <w:vAlign w:val="bottom"/>
            <w:hideMark/>
          </w:tcPr>
          <w:p w14:paraId="786B902A"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Pakistan</w:t>
            </w:r>
          </w:p>
        </w:tc>
        <w:tc>
          <w:tcPr>
            <w:tcW w:w="1701" w:type="dxa"/>
            <w:tcBorders>
              <w:top w:val="nil"/>
              <w:left w:val="nil"/>
              <w:bottom w:val="nil"/>
              <w:right w:val="nil"/>
            </w:tcBorders>
            <w:noWrap/>
            <w:vAlign w:val="bottom"/>
            <w:hideMark/>
          </w:tcPr>
          <w:p w14:paraId="5186886D" w14:textId="77777777" w:rsidR="00CC0A78" w:rsidRDefault="00CC0A78">
            <w:pPr>
              <w:suppressAutoHyphens w:val="0"/>
              <w:spacing w:line="240" w:lineRule="auto"/>
              <w:jc w:val="right"/>
              <w:rPr>
                <w:sz w:val="18"/>
                <w:szCs w:val="18"/>
              </w:rPr>
            </w:pPr>
            <w:r>
              <w:rPr>
                <w:sz w:val="18"/>
                <w:szCs w:val="18"/>
              </w:rPr>
              <w:t>0.115</w:t>
            </w:r>
          </w:p>
        </w:tc>
        <w:tc>
          <w:tcPr>
            <w:tcW w:w="1559" w:type="dxa"/>
            <w:tcBorders>
              <w:top w:val="nil"/>
              <w:left w:val="nil"/>
              <w:bottom w:val="nil"/>
              <w:right w:val="nil"/>
            </w:tcBorders>
            <w:noWrap/>
            <w:vAlign w:val="bottom"/>
            <w:hideMark/>
          </w:tcPr>
          <w:p w14:paraId="312CB077" w14:textId="77777777" w:rsidR="00CC0A78" w:rsidRDefault="00CC0A78">
            <w:pPr>
              <w:suppressAutoHyphens w:val="0"/>
              <w:spacing w:line="240" w:lineRule="auto"/>
              <w:jc w:val="right"/>
              <w:rPr>
                <w:sz w:val="18"/>
                <w:szCs w:val="18"/>
              </w:rPr>
            </w:pPr>
            <w:r>
              <w:rPr>
                <w:color w:val="000000"/>
                <w:sz w:val="18"/>
                <w:szCs w:val="18"/>
              </w:rPr>
              <w:t>0.149</w:t>
            </w:r>
          </w:p>
        </w:tc>
      </w:tr>
      <w:tr w:rsidR="00CC0A78" w14:paraId="7665B271" w14:textId="77777777" w:rsidTr="00B719E1">
        <w:trPr>
          <w:trHeight w:val="240"/>
        </w:trPr>
        <w:tc>
          <w:tcPr>
            <w:tcW w:w="4111" w:type="dxa"/>
            <w:tcBorders>
              <w:top w:val="nil"/>
              <w:left w:val="nil"/>
              <w:bottom w:val="nil"/>
              <w:right w:val="nil"/>
            </w:tcBorders>
            <w:noWrap/>
            <w:vAlign w:val="bottom"/>
            <w:hideMark/>
          </w:tcPr>
          <w:p w14:paraId="6A134B4A"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Palau</w:t>
            </w:r>
          </w:p>
        </w:tc>
        <w:tc>
          <w:tcPr>
            <w:tcW w:w="1701" w:type="dxa"/>
            <w:tcBorders>
              <w:top w:val="nil"/>
              <w:left w:val="nil"/>
              <w:bottom w:val="nil"/>
              <w:right w:val="nil"/>
            </w:tcBorders>
            <w:noWrap/>
            <w:vAlign w:val="bottom"/>
            <w:hideMark/>
          </w:tcPr>
          <w:p w14:paraId="013C5484" w14:textId="77777777" w:rsidR="00CC0A78" w:rsidRDefault="00CC0A78">
            <w:pPr>
              <w:suppressAutoHyphens w:val="0"/>
              <w:spacing w:line="240" w:lineRule="auto"/>
              <w:jc w:val="right"/>
              <w:rPr>
                <w:sz w:val="18"/>
                <w:szCs w:val="18"/>
              </w:rPr>
            </w:pPr>
            <w:r>
              <w:rPr>
                <w:sz w:val="18"/>
                <w:szCs w:val="18"/>
              </w:rPr>
              <w:t>0.001</w:t>
            </w:r>
          </w:p>
        </w:tc>
        <w:tc>
          <w:tcPr>
            <w:tcW w:w="1559" w:type="dxa"/>
            <w:tcBorders>
              <w:top w:val="nil"/>
              <w:left w:val="nil"/>
              <w:bottom w:val="nil"/>
              <w:right w:val="nil"/>
            </w:tcBorders>
            <w:noWrap/>
            <w:vAlign w:val="bottom"/>
            <w:hideMark/>
          </w:tcPr>
          <w:p w14:paraId="0282FE62" w14:textId="77777777" w:rsidR="00CC0A78" w:rsidRDefault="00CC0A78">
            <w:pPr>
              <w:suppressAutoHyphens w:val="0"/>
              <w:spacing w:line="240" w:lineRule="auto"/>
              <w:jc w:val="right"/>
              <w:rPr>
                <w:sz w:val="18"/>
                <w:szCs w:val="18"/>
              </w:rPr>
            </w:pPr>
            <w:r>
              <w:rPr>
                <w:color w:val="000000"/>
                <w:sz w:val="18"/>
                <w:szCs w:val="18"/>
              </w:rPr>
              <w:t>0.001</w:t>
            </w:r>
          </w:p>
        </w:tc>
      </w:tr>
      <w:tr w:rsidR="00CC0A78" w14:paraId="2C57DCCA" w14:textId="77777777" w:rsidTr="00B719E1">
        <w:trPr>
          <w:trHeight w:val="240"/>
        </w:trPr>
        <w:tc>
          <w:tcPr>
            <w:tcW w:w="4111" w:type="dxa"/>
            <w:tcBorders>
              <w:top w:val="nil"/>
              <w:left w:val="nil"/>
              <w:bottom w:val="nil"/>
              <w:right w:val="nil"/>
            </w:tcBorders>
            <w:noWrap/>
            <w:vAlign w:val="bottom"/>
            <w:hideMark/>
          </w:tcPr>
          <w:p w14:paraId="367B9146"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Panama</w:t>
            </w:r>
          </w:p>
        </w:tc>
        <w:tc>
          <w:tcPr>
            <w:tcW w:w="1701" w:type="dxa"/>
            <w:tcBorders>
              <w:top w:val="nil"/>
              <w:left w:val="nil"/>
              <w:bottom w:val="nil"/>
              <w:right w:val="nil"/>
            </w:tcBorders>
            <w:noWrap/>
            <w:vAlign w:val="bottom"/>
            <w:hideMark/>
          </w:tcPr>
          <w:p w14:paraId="3D80EB18" w14:textId="77777777" w:rsidR="00CC0A78" w:rsidRDefault="00CC0A78">
            <w:pPr>
              <w:suppressAutoHyphens w:val="0"/>
              <w:spacing w:line="240" w:lineRule="auto"/>
              <w:jc w:val="right"/>
              <w:rPr>
                <w:sz w:val="18"/>
                <w:szCs w:val="18"/>
              </w:rPr>
            </w:pPr>
            <w:r>
              <w:rPr>
                <w:sz w:val="18"/>
                <w:szCs w:val="18"/>
              </w:rPr>
              <w:t>0.045</w:t>
            </w:r>
          </w:p>
        </w:tc>
        <w:tc>
          <w:tcPr>
            <w:tcW w:w="1559" w:type="dxa"/>
            <w:tcBorders>
              <w:top w:val="nil"/>
              <w:left w:val="nil"/>
              <w:bottom w:val="nil"/>
              <w:right w:val="nil"/>
            </w:tcBorders>
            <w:noWrap/>
            <w:vAlign w:val="bottom"/>
            <w:hideMark/>
          </w:tcPr>
          <w:p w14:paraId="15C7C832" w14:textId="77777777" w:rsidR="00CC0A78" w:rsidRDefault="00CC0A78">
            <w:pPr>
              <w:suppressAutoHyphens w:val="0"/>
              <w:spacing w:line="240" w:lineRule="auto"/>
              <w:jc w:val="right"/>
              <w:rPr>
                <w:sz w:val="18"/>
                <w:szCs w:val="18"/>
              </w:rPr>
            </w:pPr>
            <w:r>
              <w:rPr>
                <w:color w:val="000000"/>
                <w:sz w:val="18"/>
                <w:szCs w:val="18"/>
              </w:rPr>
              <w:t>0.058</w:t>
            </w:r>
          </w:p>
        </w:tc>
      </w:tr>
      <w:tr w:rsidR="00CC0A78" w14:paraId="29814F17" w14:textId="77777777" w:rsidTr="00B719E1">
        <w:trPr>
          <w:trHeight w:val="240"/>
        </w:trPr>
        <w:tc>
          <w:tcPr>
            <w:tcW w:w="4111" w:type="dxa"/>
            <w:tcBorders>
              <w:top w:val="nil"/>
              <w:left w:val="nil"/>
              <w:bottom w:val="nil"/>
              <w:right w:val="nil"/>
            </w:tcBorders>
            <w:noWrap/>
            <w:vAlign w:val="bottom"/>
            <w:hideMark/>
          </w:tcPr>
          <w:p w14:paraId="41BDF4D2"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Papua New Guinea</w:t>
            </w:r>
          </w:p>
        </w:tc>
        <w:tc>
          <w:tcPr>
            <w:tcW w:w="1701" w:type="dxa"/>
            <w:tcBorders>
              <w:top w:val="nil"/>
              <w:left w:val="nil"/>
              <w:bottom w:val="nil"/>
              <w:right w:val="nil"/>
            </w:tcBorders>
            <w:noWrap/>
            <w:vAlign w:val="bottom"/>
            <w:hideMark/>
          </w:tcPr>
          <w:p w14:paraId="2F65E20C" w14:textId="77777777" w:rsidR="00CC0A78" w:rsidRDefault="00CC0A78">
            <w:pPr>
              <w:suppressAutoHyphens w:val="0"/>
              <w:spacing w:line="240" w:lineRule="auto"/>
              <w:jc w:val="right"/>
              <w:rPr>
                <w:sz w:val="18"/>
                <w:szCs w:val="18"/>
              </w:rPr>
            </w:pPr>
            <w:r>
              <w:rPr>
                <w:sz w:val="18"/>
                <w:szCs w:val="18"/>
              </w:rPr>
              <w:t>0.010</w:t>
            </w:r>
          </w:p>
        </w:tc>
        <w:tc>
          <w:tcPr>
            <w:tcW w:w="1559" w:type="dxa"/>
            <w:tcBorders>
              <w:top w:val="nil"/>
              <w:left w:val="nil"/>
              <w:bottom w:val="nil"/>
              <w:right w:val="nil"/>
            </w:tcBorders>
            <w:noWrap/>
            <w:vAlign w:val="bottom"/>
            <w:hideMark/>
          </w:tcPr>
          <w:p w14:paraId="729DC451" w14:textId="77777777" w:rsidR="00CC0A78" w:rsidRDefault="00CC0A78">
            <w:pPr>
              <w:suppressAutoHyphens w:val="0"/>
              <w:spacing w:line="240" w:lineRule="auto"/>
              <w:jc w:val="right"/>
              <w:rPr>
                <w:sz w:val="18"/>
                <w:szCs w:val="18"/>
              </w:rPr>
            </w:pPr>
            <w:r>
              <w:rPr>
                <w:color w:val="000000"/>
                <w:sz w:val="18"/>
                <w:szCs w:val="18"/>
              </w:rPr>
              <w:t>0.013</w:t>
            </w:r>
          </w:p>
        </w:tc>
      </w:tr>
      <w:tr w:rsidR="00CC0A78" w14:paraId="797B0846" w14:textId="77777777" w:rsidTr="00B719E1">
        <w:trPr>
          <w:trHeight w:val="240"/>
        </w:trPr>
        <w:tc>
          <w:tcPr>
            <w:tcW w:w="4111" w:type="dxa"/>
            <w:tcBorders>
              <w:top w:val="nil"/>
              <w:left w:val="nil"/>
              <w:bottom w:val="nil"/>
              <w:right w:val="nil"/>
            </w:tcBorders>
            <w:noWrap/>
            <w:vAlign w:val="bottom"/>
            <w:hideMark/>
          </w:tcPr>
          <w:p w14:paraId="60C3DBFA"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Paraguay</w:t>
            </w:r>
          </w:p>
        </w:tc>
        <w:tc>
          <w:tcPr>
            <w:tcW w:w="1701" w:type="dxa"/>
            <w:tcBorders>
              <w:top w:val="nil"/>
              <w:left w:val="nil"/>
              <w:bottom w:val="nil"/>
              <w:right w:val="nil"/>
            </w:tcBorders>
            <w:noWrap/>
            <w:vAlign w:val="bottom"/>
            <w:hideMark/>
          </w:tcPr>
          <w:p w14:paraId="54DAEF9E" w14:textId="77777777" w:rsidR="00CC0A78" w:rsidRDefault="00CC0A78">
            <w:pPr>
              <w:suppressAutoHyphens w:val="0"/>
              <w:spacing w:line="240" w:lineRule="auto"/>
              <w:jc w:val="right"/>
              <w:rPr>
                <w:sz w:val="18"/>
                <w:szCs w:val="18"/>
              </w:rPr>
            </w:pPr>
            <w:r>
              <w:rPr>
                <w:sz w:val="18"/>
                <w:szCs w:val="18"/>
              </w:rPr>
              <w:t>0.016</w:t>
            </w:r>
          </w:p>
        </w:tc>
        <w:tc>
          <w:tcPr>
            <w:tcW w:w="1559" w:type="dxa"/>
            <w:tcBorders>
              <w:top w:val="nil"/>
              <w:left w:val="nil"/>
              <w:bottom w:val="nil"/>
              <w:right w:val="nil"/>
            </w:tcBorders>
            <w:noWrap/>
            <w:vAlign w:val="bottom"/>
            <w:hideMark/>
          </w:tcPr>
          <w:p w14:paraId="6E276C84" w14:textId="77777777" w:rsidR="00CC0A78" w:rsidRDefault="00CC0A78">
            <w:pPr>
              <w:suppressAutoHyphens w:val="0"/>
              <w:spacing w:line="240" w:lineRule="auto"/>
              <w:jc w:val="right"/>
              <w:rPr>
                <w:sz w:val="18"/>
                <w:szCs w:val="18"/>
              </w:rPr>
            </w:pPr>
            <w:r>
              <w:rPr>
                <w:color w:val="000000"/>
                <w:sz w:val="18"/>
                <w:szCs w:val="18"/>
              </w:rPr>
              <w:t>0.021</w:t>
            </w:r>
          </w:p>
        </w:tc>
      </w:tr>
      <w:tr w:rsidR="00CC0A78" w14:paraId="06DEFAD2" w14:textId="77777777" w:rsidTr="00B719E1">
        <w:trPr>
          <w:trHeight w:val="240"/>
        </w:trPr>
        <w:tc>
          <w:tcPr>
            <w:tcW w:w="4111" w:type="dxa"/>
            <w:tcBorders>
              <w:top w:val="nil"/>
              <w:left w:val="nil"/>
              <w:bottom w:val="nil"/>
              <w:right w:val="nil"/>
            </w:tcBorders>
            <w:noWrap/>
            <w:vAlign w:val="bottom"/>
            <w:hideMark/>
          </w:tcPr>
          <w:p w14:paraId="7FF95D3D"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Peru</w:t>
            </w:r>
          </w:p>
        </w:tc>
        <w:tc>
          <w:tcPr>
            <w:tcW w:w="1701" w:type="dxa"/>
            <w:tcBorders>
              <w:top w:val="nil"/>
              <w:left w:val="nil"/>
              <w:bottom w:val="nil"/>
              <w:right w:val="nil"/>
            </w:tcBorders>
            <w:noWrap/>
            <w:vAlign w:val="bottom"/>
            <w:hideMark/>
          </w:tcPr>
          <w:p w14:paraId="1C7AD816" w14:textId="77777777" w:rsidR="00CC0A78" w:rsidRDefault="00CC0A78">
            <w:pPr>
              <w:suppressAutoHyphens w:val="0"/>
              <w:spacing w:line="240" w:lineRule="auto"/>
              <w:jc w:val="right"/>
              <w:rPr>
                <w:sz w:val="18"/>
                <w:szCs w:val="18"/>
              </w:rPr>
            </w:pPr>
            <w:r>
              <w:rPr>
                <w:sz w:val="18"/>
                <w:szCs w:val="18"/>
              </w:rPr>
              <w:t>0.152</w:t>
            </w:r>
          </w:p>
        </w:tc>
        <w:tc>
          <w:tcPr>
            <w:tcW w:w="1559" w:type="dxa"/>
            <w:tcBorders>
              <w:top w:val="nil"/>
              <w:left w:val="nil"/>
              <w:bottom w:val="nil"/>
              <w:right w:val="nil"/>
            </w:tcBorders>
            <w:noWrap/>
            <w:vAlign w:val="bottom"/>
            <w:hideMark/>
          </w:tcPr>
          <w:p w14:paraId="2FC07F43" w14:textId="77777777" w:rsidR="00CC0A78" w:rsidRDefault="00CC0A78">
            <w:pPr>
              <w:suppressAutoHyphens w:val="0"/>
              <w:spacing w:line="240" w:lineRule="auto"/>
              <w:jc w:val="right"/>
              <w:rPr>
                <w:sz w:val="18"/>
                <w:szCs w:val="18"/>
              </w:rPr>
            </w:pPr>
            <w:r>
              <w:rPr>
                <w:color w:val="000000"/>
                <w:sz w:val="18"/>
                <w:szCs w:val="18"/>
              </w:rPr>
              <w:t>0.197</w:t>
            </w:r>
          </w:p>
        </w:tc>
      </w:tr>
      <w:tr w:rsidR="00CC0A78" w14:paraId="7F61DD5D" w14:textId="77777777" w:rsidTr="00B719E1">
        <w:trPr>
          <w:trHeight w:val="240"/>
        </w:trPr>
        <w:tc>
          <w:tcPr>
            <w:tcW w:w="4111" w:type="dxa"/>
            <w:tcBorders>
              <w:top w:val="nil"/>
              <w:left w:val="nil"/>
              <w:bottom w:val="nil"/>
              <w:right w:val="nil"/>
            </w:tcBorders>
            <w:noWrap/>
            <w:vAlign w:val="bottom"/>
            <w:hideMark/>
          </w:tcPr>
          <w:p w14:paraId="3348F6B9"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Philippines</w:t>
            </w:r>
          </w:p>
        </w:tc>
        <w:tc>
          <w:tcPr>
            <w:tcW w:w="1701" w:type="dxa"/>
            <w:tcBorders>
              <w:top w:val="nil"/>
              <w:left w:val="nil"/>
              <w:bottom w:val="nil"/>
              <w:right w:val="nil"/>
            </w:tcBorders>
            <w:noWrap/>
            <w:vAlign w:val="bottom"/>
            <w:hideMark/>
          </w:tcPr>
          <w:p w14:paraId="112DE609" w14:textId="77777777" w:rsidR="00CC0A78" w:rsidRDefault="00CC0A78">
            <w:pPr>
              <w:suppressAutoHyphens w:val="0"/>
              <w:spacing w:line="240" w:lineRule="auto"/>
              <w:jc w:val="right"/>
              <w:rPr>
                <w:sz w:val="18"/>
                <w:szCs w:val="18"/>
              </w:rPr>
            </w:pPr>
            <w:r>
              <w:rPr>
                <w:sz w:val="18"/>
                <w:szCs w:val="18"/>
              </w:rPr>
              <w:t>0.205</w:t>
            </w:r>
          </w:p>
        </w:tc>
        <w:tc>
          <w:tcPr>
            <w:tcW w:w="1559" w:type="dxa"/>
            <w:tcBorders>
              <w:top w:val="nil"/>
              <w:left w:val="nil"/>
              <w:bottom w:val="nil"/>
              <w:right w:val="nil"/>
            </w:tcBorders>
            <w:noWrap/>
            <w:vAlign w:val="bottom"/>
            <w:hideMark/>
          </w:tcPr>
          <w:p w14:paraId="28DE9E0B" w14:textId="77777777" w:rsidR="00CC0A78" w:rsidRDefault="00CC0A78">
            <w:pPr>
              <w:suppressAutoHyphens w:val="0"/>
              <w:spacing w:line="240" w:lineRule="auto"/>
              <w:jc w:val="right"/>
              <w:rPr>
                <w:sz w:val="18"/>
                <w:szCs w:val="18"/>
              </w:rPr>
            </w:pPr>
            <w:r>
              <w:rPr>
                <w:color w:val="000000"/>
                <w:sz w:val="18"/>
                <w:szCs w:val="18"/>
              </w:rPr>
              <w:t>0.266</w:t>
            </w:r>
          </w:p>
        </w:tc>
      </w:tr>
      <w:tr w:rsidR="00CC0A78" w14:paraId="39C1659B" w14:textId="77777777" w:rsidTr="00B719E1">
        <w:trPr>
          <w:trHeight w:val="240"/>
        </w:trPr>
        <w:tc>
          <w:tcPr>
            <w:tcW w:w="4111" w:type="dxa"/>
            <w:tcBorders>
              <w:top w:val="nil"/>
              <w:left w:val="nil"/>
              <w:bottom w:val="nil"/>
              <w:right w:val="nil"/>
            </w:tcBorders>
            <w:noWrap/>
            <w:vAlign w:val="bottom"/>
            <w:hideMark/>
          </w:tcPr>
          <w:p w14:paraId="68764307"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Poland</w:t>
            </w:r>
          </w:p>
        </w:tc>
        <w:tc>
          <w:tcPr>
            <w:tcW w:w="1701" w:type="dxa"/>
            <w:tcBorders>
              <w:top w:val="nil"/>
              <w:left w:val="nil"/>
              <w:bottom w:val="nil"/>
              <w:right w:val="nil"/>
            </w:tcBorders>
            <w:noWrap/>
            <w:vAlign w:val="bottom"/>
            <w:hideMark/>
          </w:tcPr>
          <w:p w14:paraId="1BF64254" w14:textId="77777777" w:rsidR="00CC0A78" w:rsidRDefault="00CC0A78">
            <w:pPr>
              <w:suppressAutoHyphens w:val="0"/>
              <w:spacing w:line="240" w:lineRule="auto"/>
              <w:jc w:val="right"/>
              <w:rPr>
                <w:sz w:val="18"/>
                <w:szCs w:val="18"/>
              </w:rPr>
            </w:pPr>
            <w:r>
              <w:rPr>
                <w:sz w:val="18"/>
                <w:szCs w:val="18"/>
              </w:rPr>
              <w:t>0.802</w:t>
            </w:r>
          </w:p>
        </w:tc>
        <w:tc>
          <w:tcPr>
            <w:tcW w:w="1559" w:type="dxa"/>
            <w:tcBorders>
              <w:top w:val="nil"/>
              <w:left w:val="nil"/>
              <w:bottom w:val="nil"/>
              <w:right w:val="nil"/>
            </w:tcBorders>
            <w:noWrap/>
            <w:vAlign w:val="bottom"/>
            <w:hideMark/>
          </w:tcPr>
          <w:p w14:paraId="515B61BD" w14:textId="77777777" w:rsidR="00CC0A78" w:rsidRDefault="00CC0A78">
            <w:pPr>
              <w:suppressAutoHyphens w:val="0"/>
              <w:spacing w:line="240" w:lineRule="auto"/>
              <w:jc w:val="right"/>
              <w:rPr>
                <w:sz w:val="18"/>
                <w:szCs w:val="18"/>
              </w:rPr>
            </w:pPr>
            <w:r>
              <w:rPr>
                <w:color w:val="000000"/>
                <w:sz w:val="18"/>
                <w:szCs w:val="18"/>
              </w:rPr>
              <w:t>1.039</w:t>
            </w:r>
          </w:p>
        </w:tc>
      </w:tr>
      <w:tr w:rsidR="00CC0A78" w14:paraId="30023103" w14:textId="77777777" w:rsidTr="00B719E1">
        <w:trPr>
          <w:trHeight w:val="240"/>
        </w:trPr>
        <w:tc>
          <w:tcPr>
            <w:tcW w:w="4111" w:type="dxa"/>
            <w:tcBorders>
              <w:top w:val="nil"/>
              <w:left w:val="nil"/>
              <w:bottom w:val="nil"/>
              <w:right w:val="nil"/>
            </w:tcBorders>
            <w:noWrap/>
            <w:vAlign w:val="bottom"/>
            <w:hideMark/>
          </w:tcPr>
          <w:p w14:paraId="4B63ABE5"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Portugal</w:t>
            </w:r>
          </w:p>
        </w:tc>
        <w:tc>
          <w:tcPr>
            <w:tcW w:w="1701" w:type="dxa"/>
            <w:tcBorders>
              <w:top w:val="nil"/>
              <w:left w:val="nil"/>
              <w:bottom w:val="nil"/>
              <w:right w:val="nil"/>
            </w:tcBorders>
            <w:noWrap/>
            <w:vAlign w:val="bottom"/>
            <w:hideMark/>
          </w:tcPr>
          <w:p w14:paraId="49C6600F" w14:textId="77777777" w:rsidR="00CC0A78" w:rsidRDefault="00CC0A78">
            <w:pPr>
              <w:suppressAutoHyphens w:val="0"/>
              <w:spacing w:line="240" w:lineRule="auto"/>
              <w:jc w:val="right"/>
              <w:rPr>
                <w:sz w:val="18"/>
                <w:szCs w:val="18"/>
              </w:rPr>
            </w:pPr>
            <w:r>
              <w:rPr>
                <w:sz w:val="18"/>
                <w:szCs w:val="18"/>
              </w:rPr>
              <w:t>0.350</w:t>
            </w:r>
          </w:p>
        </w:tc>
        <w:tc>
          <w:tcPr>
            <w:tcW w:w="1559" w:type="dxa"/>
            <w:tcBorders>
              <w:top w:val="nil"/>
              <w:left w:val="nil"/>
              <w:bottom w:val="nil"/>
              <w:right w:val="nil"/>
            </w:tcBorders>
            <w:noWrap/>
            <w:vAlign w:val="bottom"/>
            <w:hideMark/>
          </w:tcPr>
          <w:p w14:paraId="5A60008E" w14:textId="77777777" w:rsidR="00CC0A78" w:rsidRDefault="00CC0A78">
            <w:pPr>
              <w:suppressAutoHyphens w:val="0"/>
              <w:spacing w:line="240" w:lineRule="auto"/>
              <w:jc w:val="right"/>
              <w:rPr>
                <w:sz w:val="18"/>
                <w:szCs w:val="18"/>
              </w:rPr>
            </w:pPr>
            <w:r>
              <w:rPr>
                <w:color w:val="000000"/>
                <w:sz w:val="18"/>
                <w:szCs w:val="18"/>
              </w:rPr>
              <w:t>0.453</w:t>
            </w:r>
          </w:p>
        </w:tc>
      </w:tr>
      <w:tr w:rsidR="00CC0A78" w14:paraId="2C537070" w14:textId="77777777" w:rsidTr="00B719E1">
        <w:trPr>
          <w:trHeight w:val="240"/>
        </w:trPr>
        <w:tc>
          <w:tcPr>
            <w:tcW w:w="4111" w:type="dxa"/>
            <w:tcBorders>
              <w:top w:val="nil"/>
              <w:left w:val="nil"/>
              <w:bottom w:val="nil"/>
              <w:right w:val="nil"/>
            </w:tcBorders>
            <w:noWrap/>
            <w:vAlign w:val="bottom"/>
            <w:hideMark/>
          </w:tcPr>
          <w:p w14:paraId="5F1F095E"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Qatar</w:t>
            </w:r>
          </w:p>
        </w:tc>
        <w:tc>
          <w:tcPr>
            <w:tcW w:w="1701" w:type="dxa"/>
            <w:tcBorders>
              <w:top w:val="nil"/>
              <w:left w:val="nil"/>
              <w:bottom w:val="nil"/>
              <w:right w:val="nil"/>
            </w:tcBorders>
            <w:noWrap/>
            <w:vAlign w:val="bottom"/>
            <w:hideMark/>
          </w:tcPr>
          <w:p w14:paraId="44B74DB7" w14:textId="77777777" w:rsidR="00CC0A78" w:rsidRDefault="00CC0A78">
            <w:pPr>
              <w:suppressAutoHyphens w:val="0"/>
              <w:spacing w:line="240" w:lineRule="auto"/>
              <w:jc w:val="right"/>
              <w:rPr>
                <w:sz w:val="18"/>
                <w:szCs w:val="18"/>
              </w:rPr>
            </w:pPr>
            <w:r>
              <w:rPr>
                <w:sz w:val="18"/>
                <w:szCs w:val="18"/>
              </w:rPr>
              <w:t>0.282</w:t>
            </w:r>
          </w:p>
        </w:tc>
        <w:tc>
          <w:tcPr>
            <w:tcW w:w="1559" w:type="dxa"/>
            <w:tcBorders>
              <w:top w:val="nil"/>
              <w:left w:val="nil"/>
              <w:bottom w:val="nil"/>
              <w:right w:val="nil"/>
            </w:tcBorders>
            <w:noWrap/>
            <w:vAlign w:val="bottom"/>
            <w:hideMark/>
          </w:tcPr>
          <w:p w14:paraId="472D34E8" w14:textId="77777777" w:rsidR="00CC0A78" w:rsidRDefault="00CC0A78">
            <w:pPr>
              <w:suppressAutoHyphens w:val="0"/>
              <w:spacing w:line="240" w:lineRule="auto"/>
              <w:jc w:val="right"/>
              <w:rPr>
                <w:sz w:val="18"/>
                <w:szCs w:val="18"/>
              </w:rPr>
            </w:pPr>
            <w:r>
              <w:rPr>
                <w:color w:val="000000"/>
                <w:sz w:val="18"/>
                <w:szCs w:val="18"/>
              </w:rPr>
              <w:t>0.365</w:t>
            </w:r>
          </w:p>
        </w:tc>
      </w:tr>
      <w:tr w:rsidR="00CC0A78" w14:paraId="08F577ED" w14:textId="77777777" w:rsidTr="00B719E1">
        <w:trPr>
          <w:trHeight w:val="240"/>
        </w:trPr>
        <w:tc>
          <w:tcPr>
            <w:tcW w:w="4111" w:type="dxa"/>
            <w:tcBorders>
              <w:top w:val="nil"/>
              <w:left w:val="nil"/>
              <w:bottom w:val="nil"/>
              <w:right w:val="nil"/>
            </w:tcBorders>
            <w:noWrap/>
            <w:vAlign w:val="bottom"/>
            <w:hideMark/>
          </w:tcPr>
          <w:p w14:paraId="180D4F75"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Republic of Korea</w:t>
            </w:r>
          </w:p>
        </w:tc>
        <w:tc>
          <w:tcPr>
            <w:tcW w:w="1701" w:type="dxa"/>
            <w:tcBorders>
              <w:top w:val="nil"/>
              <w:left w:val="nil"/>
              <w:bottom w:val="nil"/>
              <w:right w:val="nil"/>
            </w:tcBorders>
            <w:noWrap/>
            <w:vAlign w:val="bottom"/>
            <w:hideMark/>
          </w:tcPr>
          <w:p w14:paraId="51ADFC04" w14:textId="77777777" w:rsidR="00CC0A78" w:rsidRDefault="00CC0A78">
            <w:pPr>
              <w:suppressAutoHyphens w:val="0"/>
              <w:spacing w:line="240" w:lineRule="auto"/>
              <w:jc w:val="right"/>
              <w:rPr>
                <w:sz w:val="18"/>
                <w:szCs w:val="18"/>
              </w:rPr>
            </w:pPr>
            <w:r>
              <w:rPr>
                <w:sz w:val="18"/>
                <w:szCs w:val="18"/>
              </w:rPr>
              <w:t>2.267</w:t>
            </w:r>
          </w:p>
        </w:tc>
        <w:tc>
          <w:tcPr>
            <w:tcW w:w="1559" w:type="dxa"/>
            <w:tcBorders>
              <w:top w:val="nil"/>
              <w:left w:val="nil"/>
              <w:bottom w:val="nil"/>
              <w:right w:val="nil"/>
            </w:tcBorders>
            <w:noWrap/>
            <w:vAlign w:val="bottom"/>
            <w:hideMark/>
          </w:tcPr>
          <w:p w14:paraId="1AAA0E5B" w14:textId="77777777" w:rsidR="00CC0A78" w:rsidRDefault="00CC0A78">
            <w:pPr>
              <w:suppressAutoHyphens w:val="0"/>
              <w:spacing w:line="240" w:lineRule="auto"/>
              <w:jc w:val="right"/>
              <w:rPr>
                <w:sz w:val="18"/>
                <w:szCs w:val="18"/>
              </w:rPr>
            </w:pPr>
            <w:r>
              <w:rPr>
                <w:color w:val="000000"/>
                <w:sz w:val="18"/>
                <w:szCs w:val="18"/>
              </w:rPr>
              <w:t>2.937</w:t>
            </w:r>
          </w:p>
        </w:tc>
      </w:tr>
      <w:tr w:rsidR="00CC0A78" w14:paraId="4C7CE9A2" w14:textId="77777777" w:rsidTr="00B719E1">
        <w:trPr>
          <w:trHeight w:val="240"/>
        </w:trPr>
        <w:tc>
          <w:tcPr>
            <w:tcW w:w="4111" w:type="dxa"/>
            <w:tcBorders>
              <w:top w:val="nil"/>
              <w:left w:val="nil"/>
              <w:bottom w:val="nil"/>
              <w:right w:val="nil"/>
            </w:tcBorders>
            <w:noWrap/>
            <w:vAlign w:val="bottom"/>
            <w:hideMark/>
          </w:tcPr>
          <w:p w14:paraId="4C0681C9"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Republic of Moldova</w:t>
            </w:r>
          </w:p>
        </w:tc>
        <w:tc>
          <w:tcPr>
            <w:tcW w:w="1701" w:type="dxa"/>
            <w:tcBorders>
              <w:top w:val="nil"/>
              <w:left w:val="nil"/>
              <w:bottom w:val="nil"/>
              <w:right w:val="nil"/>
            </w:tcBorders>
            <w:noWrap/>
            <w:vAlign w:val="bottom"/>
            <w:hideMark/>
          </w:tcPr>
          <w:p w14:paraId="30ADC8D3" w14:textId="77777777" w:rsidR="00CC0A78" w:rsidRDefault="00CC0A78">
            <w:pPr>
              <w:suppressAutoHyphens w:val="0"/>
              <w:spacing w:line="240" w:lineRule="auto"/>
              <w:jc w:val="right"/>
              <w:rPr>
                <w:sz w:val="18"/>
                <w:szCs w:val="18"/>
              </w:rPr>
            </w:pPr>
            <w:r>
              <w:rPr>
                <w:sz w:val="18"/>
                <w:szCs w:val="18"/>
              </w:rPr>
              <w:t>0.003</w:t>
            </w:r>
          </w:p>
        </w:tc>
        <w:tc>
          <w:tcPr>
            <w:tcW w:w="1559" w:type="dxa"/>
            <w:tcBorders>
              <w:top w:val="nil"/>
              <w:left w:val="nil"/>
              <w:bottom w:val="nil"/>
              <w:right w:val="nil"/>
            </w:tcBorders>
            <w:noWrap/>
            <w:vAlign w:val="bottom"/>
            <w:hideMark/>
          </w:tcPr>
          <w:p w14:paraId="15FE0119" w14:textId="77777777" w:rsidR="00CC0A78" w:rsidRDefault="00CC0A78">
            <w:pPr>
              <w:suppressAutoHyphens w:val="0"/>
              <w:spacing w:line="240" w:lineRule="auto"/>
              <w:jc w:val="right"/>
              <w:rPr>
                <w:sz w:val="18"/>
                <w:szCs w:val="18"/>
              </w:rPr>
            </w:pPr>
            <w:r>
              <w:rPr>
                <w:color w:val="000000"/>
                <w:sz w:val="18"/>
                <w:szCs w:val="18"/>
              </w:rPr>
              <w:t>0.004</w:t>
            </w:r>
          </w:p>
        </w:tc>
      </w:tr>
      <w:tr w:rsidR="00CC0A78" w14:paraId="6DC3EFB9" w14:textId="77777777" w:rsidTr="00B719E1">
        <w:trPr>
          <w:trHeight w:val="240"/>
        </w:trPr>
        <w:tc>
          <w:tcPr>
            <w:tcW w:w="4111" w:type="dxa"/>
            <w:tcBorders>
              <w:top w:val="nil"/>
              <w:left w:val="nil"/>
              <w:bottom w:val="nil"/>
              <w:right w:val="nil"/>
            </w:tcBorders>
            <w:noWrap/>
            <w:vAlign w:val="bottom"/>
            <w:hideMark/>
          </w:tcPr>
          <w:p w14:paraId="6F1BC59D"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Romania</w:t>
            </w:r>
          </w:p>
        </w:tc>
        <w:tc>
          <w:tcPr>
            <w:tcW w:w="1701" w:type="dxa"/>
            <w:tcBorders>
              <w:top w:val="nil"/>
              <w:left w:val="nil"/>
              <w:bottom w:val="nil"/>
              <w:right w:val="nil"/>
            </w:tcBorders>
            <w:noWrap/>
            <w:vAlign w:val="bottom"/>
            <w:hideMark/>
          </w:tcPr>
          <w:p w14:paraId="1779091B" w14:textId="77777777" w:rsidR="00CC0A78" w:rsidRDefault="00CC0A78">
            <w:pPr>
              <w:suppressAutoHyphens w:val="0"/>
              <w:spacing w:line="240" w:lineRule="auto"/>
              <w:jc w:val="right"/>
              <w:rPr>
                <w:sz w:val="18"/>
                <w:szCs w:val="18"/>
              </w:rPr>
            </w:pPr>
            <w:r>
              <w:rPr>
                <w:sz w:val="18"/>
                <w:szCs w:val="18"/>
              </w:rPr>
              <w:t>0.198</w:t>
            </w:r>
          </w:p>
        </w:tc>
        <w:tc>
          <w:tcPr>
            <w:tcW w:w="1559" w:type="dxa"/>
            <w:tcBorders>
              <w:top w:val="nil"/>
              <w:left w:val="nil"/>
              <w:bottom w:val="nil"/>
              <w:right w:val="nil"/>
            </w:tcBorders>
            <w:noWrap/>
            <w:vAlign w:val="bottom"/>
            <w:hideMark/>
          </w:tcPr>
          <w:p w14:paraId="195F0809" w14:textId="77777777" w:rsidR="00CC0A78" w:rsidRDefault="00CC0A78">
            <w:pPr>
              <w:suppressAutoHyphens w:val="0"/>
              <w:spacing w:line="240" w:lineRule="auto"/>
              <w:jc w:val="right"/>
              <w:rPr>
                <w:sz w:val="18"/>
                <w:szCs w:val="18"/>
              </w:rPr>
            </w:pPr>
            <w:r>
              <w:rPr>
                <w:color w:val="000000"/>
                <w:sz w:val="18"/>
                <w:szCs w:val="18"/>
              </w:rPr>
              <w:t>0.257</w:t>
            </w:r>
          </w:p>
        </w:tc>
      </w:tr>
      <w:tr w:rsidR="00CC0A78" w14:paraId="265603CD" w14:textId="77777777" w:rsidTr="00B719E1">
        <w:trPr>
          <w:trHeight w:val="240"/>
        </w:trPr>
        <w:tc>
          <w:tcPr>
            <w:tcW w:w="4111" w:type="dxa"/>
            <w:tcBorders>
              <w:top w:val="nil"/>
              <w:left w:val="nil"/>
              <w:bottom w:val="nil"/>
              <w:right w:val="nil"/>
            </w:tcBorders>
            <w:noWrap/>
            <w:vAlign w:val="bottom"/>
            <w:hideMark/>
          </w:tcPr>
          <w:p w14:paraId="10D07DBA"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Russian Federation</w:t>
            </w:r>
          </w:p>
        </w:tc>
        <w:tc>
          <w:tcPr>
            <w:tcW w:w="1701" w:type="dxa"/>
            <w:tcBorders>
              <w:top w:val="nil"/>
              <w:left w:val="nil"/>
              <w:bottom w:val="nil"/>
              <w:right w:val="nil"/>
            </w:tcBorders>
            <w:noWrap/>
            <w:vAlign w:val="bottom"/>
            <w:hideMark/>
          </w:tcPr>
          <w:p w14:paraId="2974033E" w14:textId="77777777" w:rsidR="00CC0A78" w:rsidRDefault="00CC0A78">
            <w:pPr>
              <w:suppressAutoHyphens w:val="0"/>
              <w:spacing w:line="240" w:lineRule="auto"/>
              <w:jc w:val="right"/>
              <w:rPr>
                <w:sz w:val="18"/>
                <w:szCs w:val="18"/>
              </w:rPr>
            </w:pPr>
            <w:r>
              <w:rPr>
                <w:sz w:val="18"/>
                <w:szCs w:val="18"/>
              </w:rPr>
              <w:t>2.405</w:t>
            </w:r>
          </w:p>
        </w:tc>
        <w:tc>
          <w:tcPr>
            <w:tcW w:w="1559" w:type="dxa"/>
            <w:tcBorders>
              <w:top w:val="nil"/>
              <w:left w:val="nil"/>
              <w:bottom w:val="nil"/>
              <w:right w:val="nil"/>
            </w:tcBorders>
            <w:noWrap/>
            <w:vAlign w:val="bottom"/>
            <w:hideMark/>
          </w:tcPr>
          <w:p w14:paraId="62AD1D9D" w14:textId="77777777" w:rsidR="00CC0A78" w:rsidRDefault="00CC0A78">
            <w:pPr>
              <w:suppressAutoHyphens w:val="0"/>
              <w:spacing w:line="240" w:lineRule="auto"/>
              <w:jc w:val="right"/>
              <w:rPr>
                <w:sz w:val="18"/>
                <w:szCs w:val="18"/>
              </w:rPr>
            </w:pPr>
            <w:r>
              <w:rPr>
                <w:color w:val="000000"/>
                <w:sz w:val="18"/>
                <w:szCs w:val="18"/>
              </w:rPr>
              <w:t>3.116</w:t>
            </w:r>
          </w:p>
        </w:tc>
      </w:tr>
      <w:tr w:rsidR="00CC0A78" w14:paraId="1EF4743F" w14:textId="77777777" w:rsidTr="00B719E1">
        <w:trPr>
          <w:trHeight w:val="240"/>
        </w:trPr>
        <w:tc>
          <w:tcPr>
            <w:tcW w:w="4111" w:type="dxa"/>
            <w:tcBorders>
              <w:top w:val="nil"/>
              <w:left w:val="nil"/>
              <w:bottom w:val="nil"/>
              <w:right w:val="nil"/>
            </w:tcBorders>
            <w:noWrap/>
            <w:vAlign w:val="bottom"/>
            <w:hideMark/>
          </w:tcPr>
          <w:p w14:paraId="4CDC9B4D"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Rwanda</w:t>
            </w:r>
          </w:p>
        </w:tc>
        <w:tc>
          <w:tcPr>
            <w:tcW w:w="1701" w:type="dxa"/>
            <w:tcBorders>
              <w:top w:val="nil"/>
              <w:left w:val="nil"/>
              <w:bottom w:val="nil"/>
              <w:right w:val="nil"/>
            </w:tcBorders>
            <w:noWrap/>
            <w:vAlign w:val="bottom"/>
            <w:hideMark/>
          </w:tcPr>
          <w:p w14:paraId="463EABEB" w14:textId="77777777" w:rsidR="00CC0A78" w:rsidRDefault="00CC0A78">
            <w:pPr>
              <w:suppressAutoHyphens w:val="0"/>
              <w:spacing w:line="240" w:lineRule="auto"/>
              <w:jc w:val="right"/>
              <w:rPr>
                <w:sz w:val="18"/>
                <w:szCs w:val="18"/>
              </w:rPr>
            </w:pPr>
            <w:r>
              <w:rPr>
                <w:sz w:val="18"/>
                <w:szCs w:val="18"/>
              </w:rPr>
              <w:t>0.003</w:t>
            </w:r>
          </w:p>
        </w:tc>
        <w:tc>
          <w:tcPr>
            <w:tcW w:w="1559" w:type="dxa"/>
            <w:tcBorders>
              <w:top w:val="nil"/>
              <w:left w:val="nil"/>
              <w:bottom w:val="nil"/>
              <w:right w:val="nil"/>
            </w:tcBorders>
            <w:noWrap/>
            <w:vAlign w:val="bottom"/>
            <w:hideMark/>
          </w:tcPr>
          <w:p w14:paraId="6D563321" w14:textId="77777777" w:rsidR="00CC0A78" w:rsidRDefault="00CC0A78">
            <w:pPr>
              <w:suppressAutoHyphens w:val="0"/>
              <w:spacing w:line="240" w:lineRule="auto"/>
              <w:jc w:val="right"/>
              <w:rPr>
                <w:sz w:val="18"/>
                <w:szCs w:val="18"/>
              </w:rPr>
            </w:pPr>
            <w:r>
              <w:rPr>
                <w:color w:val="000000"/>
                <w:sz w:val="18"/>
                <w:szCs w:val="18"/>
              </w:rPr>
              <w:t>0.004</w:t>
            </w:r>
          </w:p>
        </w:tc>
      </w:tr>
      <w:tr w:rsidR="00CC0A78" w14:paraId="6722C08C" w14:textId="77777777" w:rsidTr="00B719E1">
        <w:trPr>
          <w:trHeight w:val="240"/>
        </w:trPr>
        <w:tc>
          <w:tcPr>
            <w:tcW w:w="4111" w:type="dxa"/>
            <w:tcBorders>
              <w:top w:val="nil"/>
              <w:left w:val="nil"/>
              <w:bottom w:val="nil"/>
              <w:right w:val="nil"/>
            </w:tcBorders>
            <w:noWrap/>
            <w:vAlign w:val="bottom"/>
            <w:hideMark/>
          </w:tcPr>
          <w:p w14:paraId="231C6716"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Saint Kitts and Nevis</w:t>
            </w:r>
          </w:p>
        </w:tc>
        <w:tc>
          <w:tcPr>
            <w:tcW w:w="1701" w:type="dxa"/>
            <w:tcBorders>
              <w:top w:val="nil"/>
              <w:left w:val="nil"/>
              <w:bottom w:val="nil"/>
              <w:right w:val="nil"/>
            </w:tcBorders>
            <w:noWrap/>
            <w:vAlign w:val="bottom"/>
            <w:hideMark/>
          </w:tcPr>
          <w:p w14:paraId="13AB7470" w14:textId="77777777" w:rsidR="00CC0A78" w:rsidRDefault="00CC0A78">
            <w:pPr>
              <w:suppressAutoHyphens w:val="0"/>
              <w:spacing w:line="240" w:lineRule="auto"/>
              <w:jc w:val="right"/>
              <w:rPr>
                <w:sz w:val="18"/>
                <w:szCs w:val="18"/>
              </w:rPr>
            </w:pPr>
            <w:r>
              <w:rPr>
                <w:sz w:val="18"/>
                <w:szCs w:val="18"/>
              </w:rPr>
              <w:t>0.001</w:t>
            </w:r>
          </w:p>
        </w:tc>
        <w:tc>
          <w:tcPr>
            <w:tcW w:w="1559" w:type="dxa"/>
            <w:tcBorders>
              <w:top w:val="nil"/>
              <w:left w:val="nil"/>
              <w:bottom w:val="nil"/>
              <w:right w:val="nil"/>
            </w:tcBorders>
            <w:noWrap/>
            <w:vAlign w:val="bottom"/>
            <w:hideMark/>
          </w:tcPr>
          <w:p w14:paraId="339E9E11" w14:textId="77777777" w:rsidR="00CC0A78" w:rsidRDefault="00CC0A78">
            <w:pPr>
              <w:suppressAutoHyphens w:val="0"/>
              <w:spacing w:line="240" w:lineRule="auto"/>
              <w:jc w:val="right"/>
              <w:rPr>
                <w:sz w:val="18"/>
                <w:szCs w:val="18"/>
              </w:rPr>
            </w:pPr>
            <w:r>
              <w:rPr>
                <w:color w:val="000000"/>
                <w:sz w:val="18"/>
                <w:szCs w:val="18"/>
              </w:rPr>
              <w:t>0.001</w:t>
            </w:r>
          </w:p>
        </w:tc>
      </w:tr>
      <w:tr w:rsidR="00CC0A78" w14:paraId="4031C282" w14:textId="77777777" w:rsidTr="00B719E1">
        <w:trPr>
          <w:trHeight w:val="240"/>
        </w:trPr>
        <w:tc>
          <w:tcPr>
            <w:tcW w:w="4111" w:type="dxa"/>
            <w:tcBorders>
              <w:top w:val="nil"/>
              <w:left w:val="nil"/>
              <w:bottom w:val="nil"/>
              <w:right w:val="nil"/>
            </w:tcBorders>
            <w:noWrap/>
            <w:vAlign w:val="bottom"/>
            <w:hideMark/>
          </w:tcPr>
          <w:p w14:paraId="3B41BAEA"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Saint Lucia</w:t>
            </w:r>
          </w:p>
        </w:tc>
        <w:tc>
          <w:tcPr>
            <w:tcW w:w="1701" w:type="dxa"/>
            <w:tcBorders>
              <w:top w:val="nil"/>
              <w:left w:val="nil"/>
              <w:bottom w:val="nil"/>
              <w:right w:val="nil"/>
            </w:tcBorders>
            <w:noWrap/>
            <w:vAlign w:val="bottom"/>
            <w:hideMark/>
          </w:tcPr>
          <w:p w14:paraId="63AC66BE" w14:textId="77777777" w:rsidR="00CC0A78" w:rsidRDefault="00CC0A78">
            <w:pPr>
              <w:suppressAutoHyphens w:val="0"/>
              <w:spacing w:line="240" w:lineRule="auto"/>
              <w:jc w:val="right"/>
              <w:rPr>
                <w:sz w:val="18"/>
                <w:szCs w:val="18"/>
              </w:rPr>
            </w:pPr>
            <w:r>
              <w:rPr>
                <w:sz w:val="18"/>
                <w:szCs w:val="18"/>
              </w:rPr>
              <w:t>0.001</w:t>
            </w:r>
          </w:p>
        </w:tc>
        <w:tc>
          <w:tcPr>
            <w:tcW w:w="1559" w:type="dxa"/>
            <w:tcBorders>
              <w:top w:val="nil"/>
              <w:left w:val="nil"/>
              <w:bottom w:val="nil"/>
              <w:right w:val="nil"/>
            </w:tcBorders>
            <w:noWrap/>
            <w:vAlign w:val="bottom"/>
            <w:hideMark/>
          </w:tcPr>
          <w:p w14:paraId="67EE68A7" w14:textId="77777777" w:rsidR="00CC0A78" w:rsidRDefault="00CC0A78">
            <w:pPr>
              <w:suppressAutoHyphens w:val="0"/>
              <w:spacing w:line="240" w:lineRule="auto"/>
              <w:jc w:val="right"/>
              <w:rPr>
                <w:sz w:val="18"/>
                <w:szCs w:val="18"/>
              </w:rPr>
            </w:pPr>
            <w:r>
              <w:rPr>
                <w:color w:val="000000"/>
                <w:sz w:val="18"/>
                <w:szCs w:val="18"/>
              </w:rPr>
              <w:t>0.001</w:t>
            </w:r>
          </w:p>
        </w:tc>
      </w:tr>
      <w:tr w:rsidR="00CC0A78" w14:paraId="00EF1BE0" w14:textId="77777777" w:rsidTr="00B719E1">
        <w:trPr>
          <w:trHeight w:val="240"/>
        </w:trPr>
        <w:tc>
          <w:tcPr>
            <w:tcW w:w="4111" w:type="dxa"/>
            <w:tcBorders>
              <w:top w:val="nil"/>
              <w:left w:val="nil"/>
              <w:bottom w:val="nil"/>
              <w:right w:val="nil"/>
            </w:tcBorders>
            <w:noWrap/>
            <w:vAlign w:val="bottom"/>
            <w:hideMark/>
          </w:tcPr>
          <w:p w14:paraId="4FFFC806"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Saint Vincent and the Grenadines</w:t>
            </w:r>
          </w:p>
        </w:tc>
        <w:tc>
          <w:tcPr>
            <w:tcW w:w="1701" w:type="dxa"/>
            <w:tcBorders>
              <w:top w:val="nil"/>
              <w:left w:val="nil"/>
              <w:bottom w:val="nil"/>
              <w:right w:val="nil"/>
            </w:tcBorders>
            <w:noWrap/>
            <w:vAlign w:val="bottom"/>
            <w:hideMark/>
          </w:tcPr>
          <w:p w14:paraId="22A95D02" w14:textId="77777777" w:rsidR="00CC0A78" w:rsidRDefault="00CC0A78">
            <w:pPr>
              <w:suppressAutoHyphens w:val="0"/>
              <w:spacing w:line="240" w:lineRule="auto"/>
              <w:jc w:val="right"/>
              <w:rPr>
                <w:sz w:val="18"/>
                <w:szCs w:val="18"/>
              </w:rPr>
            </w:pPr>
            <w:r>
              <w:rPr>
                <w:sz w:val="18"/>
                <w:szCs w:val="18"/>
              </w:rPr>
              <w:t>0.001</w:t>
            </w:r>
          </w:p>
        </w:tc>
        <w:tc>
          <w:tcPr>
            <w:tcW w:w="1559" w:type="dxa"/>
            <w:tcBorders>
              <w:top w:val="nil"/>
              <w:left w:val="nil"/>
              <w:bottom w:val="nil"/>
              <w:right w:val="nil"/>
            </w:tcBorders>
            <w:noWrap/>
            <w:vAlign w:val="bottom"/>
            <w:hideMark/>
          </w:tcPr>
          <w:p w14:paraId="5661CC80" w14:textId="77777777" w:rsidR="00CC0A78" w:rsidRDefault="00CC0A78">
            <w:pPr>
              <w:suppressAutoHyphens w:val="0"/>
              <w:spacing w:line="240" w:lineRule="auto"/>
              <w:jc w:val="right"/>
              <w:rPr>
                <w:sz w:val="18"/>
                <w:szCs w:val="18"/>
              </w:rPr>
            </w:pPr>
            <w:r>
              <w:rPr>
                <w:color w:val="000000"/>
                <w:sz w:val="18"/>
                <w:szCs w:val="18"/>
              </w:rPr>
              <w:t>0.001</w:t>
            </w:r>
          </w:p>
        </w:tc>
      </w:tr>
      <w:tr w:rsidR="00CC0A78" w14:paraId="0E4B961E" w14:textId="77777777" w:rsidTr="00B719E1">
        <w:trPr>
          <w:trHeight w:val="240"/>
        </w:trPr>
        <w:tc>
          <w:tcPr>
            <w:tcW w:w="4111" w:type="dxa"/>
            <w:tcBorders>
              <w:top w:val="nil"/>
              <w:left w:val="nil"/>
              <w:bottom w:val="nil"/>
              <w:right w:val="nil"/>
            </w:tcBorders>
            <w:noWrap/>
            <w:vAlign w:val="bottom"/>
            <w:hideMark/>
          </w:tcPr>
          <w:p w14:paraId="700D1DE3"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Samoa</w:t>
            </w:r>
          </w:p>
        </w:tc>
        <w:tc>
          <w:tcPr>
            <w:tcW w:w="1701" w:type="dxa"/>
            <w:tcBorders>
              <w:top w:val="nil"/>
              <w:left w:val="nil"/>
              <w:bottom w:val="nil"/>
              <w:right w:val="nil"/>
            </w:tcBorders>
            <w:noWrap/>
            <w:vAlign w:val="bottom"/>
            <w:hideMark/>
          </w:tcPr>
          <w:p w14:paraId="4240928A" w14:textId="77777777" w:rsidR="00CC0A78" w:rsidRDefault="00CC0A78">
            <w:pPr>
              <w:suppressAutoHyphens w:val="0"/>
              <w:spacing w:line="240" w:lineRule="auto"/>
              <w:jc w:val="right"/>
              <w:rPr>
                <w:sz w:val="18"/>
                <w:szCs w:val="18"/>
              </w:rPr>
            </w:pPr>
            <w:r>
              <w:rPr>
                <w:sz w:val="18"/>
                <w:szCs w:val="18"/>
              </w:rPr>
              <w:t>0.001</w:t>
            </w:r>
          </w:p>
        </w:tc>
        <w:tc>
          <w:tcPr>
            <w:tcW w:w="1559" w:type="dxa"/>
            <w:tcBorders>
              <w:top w:val="nil"/>
              <w:left w:val="nil"/>
              <w:bottom w:val="nil"/>
              <w:right w:val="nil"/>
            </w:tcBorders>
            <w:noWrap/>
            <w:vAlign w:val="bottom"/>
            <w:hideMark/>
          </w:tcPr>
          <w:p w14:paraId="42428DED" w14:textId="77777777" w:rsidR="00CC0A78" w:rsidRDefault="00CC0A78">
            <w:pPr>
              <w:suppressAutoHyphens w:val="0"/>
              <w:spacing w:line="240" w:lineRule="auto"/>
              <w:jc w:val="right"/>
              <w:rPr>
                <w:sz w:val="18"/>
                <w:szCs w:val="18"/>
              </w:rPr>
            </w:pPr>
            <w:r>
              <w:rPr>
                <w:color w:val="000000"/>
                <w:sz w:val="18"/>
                <w:szCs w:val="18"/>
              </w:rPr>
              <w:t>0.001</w:t>
            </w:r>
          </w:p>
        </w:tc>
      </w:tr>
      <w:tr w:rsidR="00CC0A78" w14:paraId="42DBD7A7" w14:textId="77777777" w:rsidTr="00B719E1">
        <w:trPr>
          <w:trHeight w:val="240"/>
        </w:trPr>
        <w:tc>
          <w:tcPr>
            <w:tcW w:w="4111" w:type="dxa"/>
            <w:tcBorders>
              <w:top w:val="nil"/>
              <w:left w:val="nil"/>
              <w:bottom w:val="nil"/>
              <w:right w:val="nil"/>
            </w:tcBorders>
            <w:noWrap/>
            <w:vAlign w:val="bottom"/>
            <w:hideMark/>
          </w:tcPr>
          <w:p w14:paraId="04CAA849"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San Marino</w:t>
            </w:r>
          </w:p>
        </w:tc>
        <w:tc>
          <w:tcPr>
            <w:tcW w:w="1701" w:type="dxa"/>
            <w:tcBorders>
              <w:top w:val="nil"/>
              <w:left w:val="nil"/>
              <w:bottom w:val="nil"/>
              <w:right w:val="nil"/>
            </w:tcBorders>
            <w:noWrap/>
            <w:vAlign w:val="bottom"/>
            <w:hideMark/>
          </w:tcPr>
          <w:p w14:paraId="6DA6B283" w14:textId="77777777" w:rsidR="00CC0A78" w:rsidRDefault="00CC0A78">
            <w:pPr>
              <w:suppressAutoHyphens w:val="0"/>
              <w:spacing w:line="240" w:lineRule="auto"/>
              <w:jc w:val="right"/>
              <w:rPr>
                <w:sz w:val="18"/>
                <w:szCs w:val="18"/>
              </w:rPr>
            </w:pPr>
            <w:r>
              <w:rPr>
                <w:sz w:val="18"/>
                <w:szCs w:val="18"/>
              </w:rPr>
              <w:t>0.002</w:t>
            </w:r>
          </w:p>
        </w:tc>
        <w:tc>
          <w:tcPr>
            <w:tcW w:w="1559" w:type="dxa"/>
            <w:tcBorders>
              <w:top w:val="nil"/>
              <w:left w:val="nil"/>
              <w:bottom w:val="nil"/>
              <w:right w:val="nil"/>
            </w:tcBorders>
            <w:noWrap/>
            <w:vAlign w:val="bottom"/>
            <w:hideMark/>
          </w:tcPr>
          <w:p w14:paraId="2F1B3C0F" w14:textId="77777777" w:rsidR="00CC0A78" w:rsidRDefault="00CC0A78">
            <w:pPr>
              <w:suppressAutoHyphens w:val="0"/>
              <w:spacing w:line="240" w:lineRule="auto"/>
              <w:jc w:val="right"/>
              <w:rPr>
                <w:sz w:val="18"/>
                <w:szCs w:val="18"/>
              </w:rPr>
            </w:pPr>
            <w:r>
              <w:rPr>
                <w:color w:val="000000"/>
                <w:sz w:val="18"/>
                <w:szCs w:val="18"/>
              </w:rPr>
              <w:t>0.003</w:t>
            </w:r>
          </w:p>
        </w:tc>
      </w:tr>
      <w:tr w:rsidR="00CC0A78" w14:paraId="370228F5" w14:textId="77777777" w:rsidTr="00B719E1">
        <w:trPr>
          <w:trHeight w:val="240"/>
        </w:trPr>
        <w:tc>
          <w:tcPr>
            <w:tcW w:w="4111" w:type="dxa"/>
            <w:tcBorders>
              <w:top w:val="nil"/>
              <w:left w:val="nil"/>
              <w:bottom w:val="nil"/>
              <w:right w:val="nil"/>
            </w:tcBorders>
            <w:noWrap/>
            <w:vAlign w:val="bottom"/>
            <w:hideMark/>
          </w:tcPr>
          <w:p w14:paraId="06ECF119"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Sao Tome and Principe</w:t>
            </w:r>
          </w:p>
        </w:tc>
        <w:tc>
          <w:tcPr>
            <w:tcW w:w="1701" w:type="dxa"/>
            <w:tcBorders>
              <w:top w:val="nil"/>
              <w:left w:val="nil"/>
              <w:bottom w:val="nil"/>
              <w:right w:val="nil"/>
            </w:tcBorders>
            <w:noWrap/>
            <w:vAlign w:val="bottom"/>
            <w:hideMark/>
          </w:tcPr>
          <w:p w14:paraId="4AE9EDE0" w14:textId="77777777" w:rsidR="00CC0A78" w:rsidRDefault="00CC0A78">
            <w:pPr>
              <w:suppressAutoHyphens w:val="0"/>
              <w:spacing w:line="240" w:lineRule="auto"/>
              <w:jc w:val="right"/>
              <w:rPr>
                <w:sz w:val="18"/>
                <w:szCs w:val="18"/>
              </w:rPr>
            </w:pPr>
            <w:r>
              <w:rPr>
                <w:sz w:val="18"/>
                <w:szCs w:val="18"/>
              </w:rPr>
              <w:t>0.001</w:t>
            </w:r>
          </w:p>
        </w:tc>
        <w:tc>
          <w:tcPr>
            <w:tcW w:w="1559" w:type="dxa"/>
            <w:tcBorders>
              <w:top w:val="nil"/>
              <w:left w:val="nil"/>
              <w:bottom w:val="nil"/>
              <w:right w:val="nil"/>
            </w:tcBorders>
            <w:noWrap/>
            <w:vAlign w:val="bottom"/>
            <w:hideMark/>
          </w:tcPr>
          <w:p w14:paraId="0B578125" w14:textId="77777777" w:rsidR="00CC0A78" w:rsidRDefault="00CC0A78">
            <w:pPr>
              <w:suppressAutoHyphens w:val="0"/>
              <w:spacing w:line="240" w:lineRule="auto"/>
              <w:jc w:val="right"/>
              <w:rPr>
                <w:sz w:val="18"/>
                <w:szCs w:val="18"/>
              </w:rPr>
            </w:pPr>
            <w:r>
              <w:rPr>
                <w:color w:val="000000"/>
                <w:sz w:val="18"/>
                <w:szCs w:val="18"/>
              </w:rPr>
              <w:t>0.001</w:t>
            </w:r>
          </w:p>
        </w:tc>
      </w:tr>
      <w:tr w:rsidR="00CC0A78" w14:paraId="5E7B08E8" w14:textId="77777777" w:rsidTr="00B719E1">
        <w:trPr>
          <w:trHeight w:val="240"/>
        </w:trPr>
        <w:tc>
          <w:tcPr>
            <w:tcW w:w="4111" w:type="dxa"/>
            <w:tcBorders>
              <w:top w:val="nil"/>
              <w:left w:val="nil"/>
              <w:bottom w:val="nil"/>
              <w:right w:val="nil"/>
            </w:tcBorders>
            <w:noWrap/>
            <w:vAlign w:val="bottom"/>
            <w:hideMark/>
          </w:tcPr>
          <w:p w14:paraId="68EA018A"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Saudi Arabia</w:t>
            </w:r>
          </w:p>
        </w:tc>
        <w:tc>
          <w:tcPr>
            <w:tcW w:w="1701" w:type="dxa"/>
            <w:tcBorders>
              <w:top w:val="nil"/>
              <w:left w:val="nil"/>
              <w:bottom w:val="nil"/>
              <w:right w:val="nil"/>
            </w:tcBorders>
            <w:noWrap/>
            <w:vAlign w:val="bottom"/>
            <w:hideMark/>
          </w:tcPr>
          <w:p w14:paraId="7449F05C" w14:textId="77777777" w:rsidR="00CC0A78" w:rsidRDefault="00CC0A78">
            <w:pPr>
              <w:suppressAutoHyphens w:val="0"/>
              <w:spacing w:line="240" w:lineRule="auto"/>
              <w:jc w:val="right"/>
              <w:rPr>
                <w:sz w:val="18"/>
                <w:szCs w:val="18"/>
              </w:rPr>
            </w:pPr>
            <w:r>
              <w:rPr>
                <w:sz w:val="18"/>
                <w:szCs w:val="18"/>
              </w:rPr>
              <w:t>1.172</w:t>
            </w:r>
          </w:p>
        </w:tc>
        <w:tc>
          <w:tcPr>
            <w:tcW w:w="1559" w:type="dxa"/>
            <w:tcBorders>
              <w:top w:val="nil"/>
              <w:left w:val="nil"/>
              <w:bottom w:val="nil"/>
              <w:right w:val="nil"/>
            </w:tcBorders>
            <w:noWrap/>
            <w:vAlign w:val="bottom"/>
            <w:hideMark/>
          </w:tcPr>
          <w:p w14:paraId="5396E278" w14:textId="77777777" w:rsidR="00CC0A78" w:rsidRDefault="00CC0A78">
            <w:pPr>
              <w:suppressAutoHyphens w:val="0"/>
              <w:spacing w:line="240" w:lineRule="auto"/>
              <w:jc w:val="right"/>
              <w:rPr>
                <w:sz w:val="18"/>
                <w:szCs w:val="18"/>
              </w:rPr>
            </w:pPr>
            <w:r>
              <w:rPr>
                <w:color w:val="000000"/>
                <w:sz w:val="18"/>
                <w:szCs w:val="18"/>
              </w:rPr>
              <w:t>1.519</w:t>
            </w:r>
          </w:p>
        </w:tc>
      </w:tr>
      <w:tr w:rsidR="00CC0A78" w14:paraId="14057AC8" w14:textId="77777777" w:rsidTr="00B719E1">
        <w:trPr>
          <w:trHeight w:val="240"/>
        </w:trPr>
        <w:tc>
          <w:tcPr>
            <w:tcW w:w="4111" w:type="dxa"/>
            <w:tcBorders>
              <w:top w:val="nil"/>
              <w:left w:val="nil"/>
              <w:bottom w:val="nil"/>
              <w:right w:val="nil"/>
            </w:tcBorders>
            <w:noWrap/>
            <w:vAlign w:val="bottom"/>
            <w:hideMark/>
          </w:tcPr>
          <w:p w14:paraId="31119B07"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Senegal</w:t>
            </w:r>
          </w:p>
        </w:tc>
        <w:tc>
          <w:tcPr>
            <w:tcW w:w="1701" w:type="dxa"/>
            <w:tcBorders>
              <w:top w:val="nil"/>
              <w:left w:val="nil"/>
              <w:bottom w:val="nil"/>
              <w:right w:val="nil"/>
            </w:tcBorders>
            <w:noWrap/>
            <w:vAlign w:val="bottom"/>
            <w:hideMark/>
          </w:tcPr>
          <w:p w14:paraId="0B7520DB" w14:textId="77777777" w:rsidR="00CC0A78" w:rsidRDefault="00CC0A78">
            <w:pPr>
              <w:suppressAutoHyphens w:val="0"/>
              <w:spacing w:line="240" w:lineRule="auto"/>
              <w:jc w:val="right"/>
              <w:rPr>
                <w:sz w:val="18"/>
                <w:szCs w:val="18"/>
              </w:rPr>
            </w:pPr>
            <w:r>
              <w:rPr>
                <w:sz w:val="18"/>
                <w:szCs w:val="18"/>
              </w:rPr>
              <w:t>0.007</w:t>
            </w:r>
          </w:p>
        </w:tc>
        <w:tc>
          <w:tcPr>
            <w:tcW w:w="1559" w:type="dxa"/>
            <w:tcBorders>
              <w:top w:val="nil"/>
              <w:left w:val="nil"/>
              <w:bottom w:val="nil"/>
              <w:right w:val="nil"/>
            </w:tcBorders>
            <w:noWrap/>
            <w:vAlign w:val="bottom"/>
            <w:hideMark/>
          </w:tcPr>
          <w:p w14:paraId="277A25B6" w14:textId="77777777" w:rsidR="00CC0A78" w:rsidRDefault="00CC0A78">
            <w:pPr>
              <w:suppressAutoHyphens w:val="0"/>
              <w:spacing w:line="240" w:lineRule="auto"/>
              <w:jc w:val="right"/>
              <w:rPr>
                <w:sz w:val="18"/>
                <w:szCs w:val="18"/>
              </w:rPr>
            </w:pPr>
            <w:r>
              <w:rPr>
                <w:color w:val="000000"/>
                <w:sz w:val="18"/>
                <w:szCs w:val="18"/>
              </w:rPr>
              <w:t>0.009</w:t>
            </w:r>
          </w:p>
        </w:tc>
      </w:tr>
      <w:tr w:rsidR="00CC0A78" w14:paraId="1D59347F" w14:textId="77777777" w:rsidTr="00B719E1">
        <w:trPr>
          <w:trHeight w:val="240"/>
        </w:trPr>
        <w:tc>
          <w:tcPr>
            <w:tcW w:w="4111" w:type="dxa"/>
            <w:tcBorders>
              <w:top w:val="nil"/>
              <w:left w:val="nil"/>
              <w:bottom w:val="nil"/>
              <w:right w:val="nil"/>
            </w:tcBorders>
            <w:noWrap/>
            <w:vAlign w:val="bottom"/>
            <w:hideMark/>
          </w:tcPr>
          <w:p w14:paraId="3143FEF5"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Serbia</w:t>
            </w:r>
          </w:p>
        </w:tc>
        <w:tc>
          <w:tcPr>
            <w:tcW w:w="1701" w:type="dxa"/>
            <w:tcBorders>
              <w:top w:val="nil"/>
              <w:left w:val="nil"/>
              <w:bottom w:val="nil"/>
              <w:right w:val="nil"/>
            </w:tcBorders>
            <w:noWrap/>
            <w:vAlign w:val="bottom"/>
            <w:hideMark/>
          </w:tcPr>
          <w:p w14:paraId="1898CE9B" w14:textId="77777777" w:rsidR="00CC0A78" w:rsidRDefault="00CC0A78">
            <w:pPr>
              <w:suppressAutoHyphens w:val="0"/>
              <w:spacing w:line="240" w:lineRule="auto"/>
              <w:jc w:val="right"/>
              <w:rPr>
                <w:sz w:val="18"/>
                <w:szCs w:val="18"/>
              </w:rPr>
            </w:pPr>
            <w:r>
              <w:rPr>
                <w:sz w:val="18"/>
                <w:szCs w:val="18"/>
              </w:rPr>
              <w:t>0.028</w:t>
            </w:r>
          </w:p>
        </w:tc>
        <w:tc>
          <w:tcPr>
            <w:tcW w:w="1559" w:type="dxa"/>
            <w:tcBorders>
              <w:top w:val="nil"/>
              <w:left w:val="nil"/>
              <w:bottom w:val="nil"/>
              <w:right w:val="nil"/>
            </w:tcBorders>
            <w:noWrap/>
            <w:vAlign w:val="bottom"/>
            <w:hideMark/>
          </w:tcPr>
          <w:p w14:paraId="393ABC5E" w14:textId="77777777" w:rsidR="00CC0A78" w:rsidRDefault="00CC0A78">
            <w:pPr>
              <w:suppressAutoHyphens w:val="0"/>
              <w:spacing w:line="240" w:lineRule="auto"/>
              <w:jc w:val="right"/>
              <w:rPr>
                <w:sz w:val="18"/>
                <w:szCs w:val="18"/>
              </w:rPr>
            </w:pPr>
            <w:r>
              <w:rPr>
                <w:color w:val="000000"/>
                <w:sz w:val="18"/>
                <w:szCs w:val="18"/>
              </w:rPr>
              <w:t>0.036</w:t>
            </w:r>
          </w:p>
        </w:tc>
      </w:tr>
      <w:tr w:rsidR="00CC0A78" w14:paraId="1C9D095B" w14:textId="77777777" w:rsidTr="00B719E1">
        <w:trPr>
          <w:trHeight w:val="240"/>
        </w:trPr>
        <w:tc>
          <w:tcPr>
            <w:tcW w:w="4111" w:type="dxa"/>
            <w:tcBorders>
              <w:top w:val="nil"/>
              <w:left w:val="nil"/>
              <w:bottom w:val="nil"/>
              <w:right w:val="nil"/>
            </w:tcBorders>
            <w:noWrap/>
            <w:vAlign w:val="bottom"/>
            <w:hideMark/>
          </w:tcPr>
          <w:p w14:paraId="023FB785"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Seychelles</w:t>
            </w:r>
          </w:p>
        </w:tc>
        <w:tc>
          <w:tcPr>
            <w:tcW w:w="1701" w:type="dxa"/>
            <w:tcBorders>
              <w:top w:val="nil"/>
              <w:left w:val="nil"/>
              <w:bottom w:val="nil"/>
              <w:right w:val="nil"/>
            </w:tcBorders>
            <w:noWrap/>
            <w:vAlign w:val="bottom"/>
            <w:hideMark/>
          </w:tcPr>
          <w:p w14:paraId="61701273" w14:textId="77777777" w:rsidR="00CC0A78" w:rsidRDefault="00CC0A78">
            <w:pPr>
              <w:suppressAutoHyphens w:val="0"/>
              <w:spacing w:line="240" w:lineRule="auto"/>
              <w:jc w:val="right"/>
              <w:rPr>
                <w:sz w:val="18"/>
                <w:szCs w:val="18"/>
              </w:rPr>
            </w:pPr>
            <w:r>
              <w:rPr>
                <w:sz w:val="18"/>
                <w:szCs w:val="18"/>
              </w:rPr>
              <w:t>0.002</w:t>
            </w:r>
          </w:p>
        </w:tc>
        <w:tc>
          <w:tcPr>
            <w:tcW w:w="1559" w:type="dxa"/>
            <w:tcBorders>
              <w:top w:val="nil"/>
              <w:left w:val="nil"/>
              <w:bottom w:val="nil"/>
              <w:right w:val="nil"/>
            </w:tcBorders>
            <w:noWrap/>
            <w:vAlign w:val="bottom"/>
            <w:hideMark/>
          </w:tcPr>
          <w:p w14:paraId="2380BB45" w14:textId="77777777" w:rsidR="00CC0A78" w:rsidRDefault="00CC0A78">
            <w:pPr>
              <w:suppressAutoHyphens w:val="0"/>
              <w:spacing w:line="240" w:lineRule="auto"/>
              <w:jc w:val="right"/>
              <w:rPr>
                <w:sz w:val="18"/>
                <w:szCs w:val="18"/>
              </w:rPr>
            </w:pPr>
            <w:r>
              <w:rPr>
                <w:color w:val="000000"/>
                <w:sz w:val="18"/>
                <w:szCs w:val="18"/>
              </w:rPr>
              <w:t>0.003</w:t>
            </w:r>
          </w:p>
        </w:tc>
      </w:tr>
      <w:tr w:rsidR="00CC0A78" w14:paraId="1A54791D" w14:textId="77777777" w:rsidTr="00B719E1">
        <w:trPr>
          <w:trHeight w:val="240"/>
        </w:trPr>
        <w:tc>
          <w:tcPr>
            <w:tcW w:w="4111" w:type="dxa"/>
            <w:tcBorders>
              <w:top w:val="nil"/>
              <w:left w:val="nil"/>
              <w:bottom w:val="nil"/>
              <w:right w:val="nil"/>
            </w:tcBorders>
            <w:noWrap/>
            <w:vAlign w:val="bottom"/>
            <w:hideMark/>
          </w:tcPr>
          <w:p w14:paraId="4F7C9FE1"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Sierra Leone</w:t>
            </w:r>
          </w:p>
        </w:tc>
        <w:tc>
          <w:tcPr>
            <w:tcW w:w="1701" w:type="dxa"/>
            <w:tcBorders>
              <w:top w:val="nil"/>
              <w:left w:val="nil"/>
              <w:bottom w:val="nil"/>
              <w:right w:val="nil"/>
            </w:tcBorders>
            <w:noWrap/>
            <w:vAlign w:val="bottom"/>
            <w:hideMark/>
          </w:tcPr>
          <w:p w14:paraId="7B0E60F0" w14:textId="77777777" w:rsidR="00CC0A78" w:rsidRDefault="00CC0A78">
            <w:pPr>
              <w:suppressAutoHyphens w:val="0"/>
              <w:spacing w:line="240" w:lineRule="auto"/>
              <w:jc w:val="right"/>
              <w:rPr>
                <w:sz w:val="18"/>
                <w:szCs w:val="18"/>
              </w:rPr>
            </w:pPr>
            <w:r>
              <w:rPr>
                <w:sz w:val="18"/>
                <w:szCs w:val="18"/>
              </w:rPr>
              <w:t>0.001</w:t>
            </w:r>
          </w:p>
        </w:tc>
        <w:tc>
          <w:tcPr>
            <w:tcW w:w="1559" w:type="dxa"/>
            <w:tcBorders>
              <w:top w:val="nil"/>
              <w:left w:val="nil"/>
              <w:bottom w:val="nil"/>
              <w:right w:val="nil"/>
            </w:tcBorders>
            <w:noWrap/>
            <w:vAlign w:val="bottom"/>
            <w:hideMark/>
          </w:tcPr>
          <w:p w14:paraId="71A9CE19" w14:textId="77777777" w:rsidR="00CC0A78" w:rsidRDefault="00CC0A78">
            <w:pPr>
              <w:suppressAutoHyphens w:val="0"/>
              <w:spacing w:line="240" w:lineRule="auto"/>
              <w:jc w:val="right"/>
              <w:rPr>
                <w:sz w:val="18"/>
                <w:szCs w:val="18"/>
              </w:rPr>
            </w:pPr>
            <w:r>
              <w:rPr>
                <w:color w:val="000000"/>
                <w:sz w:val="18"/>
                <w:szCs w:val="18"/>
              </w:rPr>
              <w:t>0.001</w:t>
            </w:r>
          </w:p>
        </w:tc>
      </w:tr>
      <w:tr w:rsidR="00CC0A78" w14:paraId="14228BC2" w14:textId="77777777" w:rsidTr="00B719E1">
        <w:trPr>
          <w:trHeight w:val="240"/>
        </w:trPr>
        <w:tc>
          <w:tcPr>
            <w:tcW w:w="4111" w:type="dxa"/>
            <w:tcBorders>
              <w:top w:val="nil"/>
              <w:left w:val="nil"/>
              <w:bottom w:val="nil"/>
              <w:right w:val="nil"/>
            </w:tcBorders>
            <w:noWrap/>
            <w:vAlign w:val="bottom"/>
            <w:hideMark/>
          </w:tcPr>
          <w:p w14:paraId="35B713E5"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Singapore</w:t>
            </w:r>
          </w:p>
        </w:tc>
        <w:tc>
          <w:tcPr>
            <w:tcW w:w="1701" w:type="dxa"/>
            <w:tcBorders>
              <w:top w:val="nil"/>
              <w:left w:val="nil"/>
              <w:bottom w:val="nil"/>
              <w:right w:val="nil"/>
            </w:tcBorders>
            <w:noWrap/>
            <w:vAlign w:val="bottom"/>
            <w:hideMark/>
          </w:tcPr>
          <w:p w14:paraId="4B83012C" w14:textId="77777777" w:rsidR="00CC0A78" w:rsidRDefault="00CC0A78">
            <w:pPr>
              <w:suppressAutoHyphens w:val="0"/>
              <w:spacing w:line="240" w:lineRule="auto"/>
              <w:jc w:val="right"/>
              <w:rPr>
                <w:sz w:val="18"/>
                <w:szCs w:val="18"/>
              </w:rPr>
            </w:pPr>
            <w:r>
              <w:rPr>
                <w:sz w:val="18"/>
                <w:szCs w:val="18"/>
              </w:rPr>
              <w:t>0.485</w:t>
            </w:r>
          </w:p>
        </w:tc>
        <w:tc>
          <w:tcPr>
            <w:tcW w:w="1559" w:type="dxa"/>
            <w:tcBorders>
              <w:top w:val="nil"/>
              <w:left w:val="nil"/>
              <w:bottom w:val="nil"/>
              <w:right w:val="nil"/>
            </w:tcBorders>
            <w:noWrap/>
            <w:vAlign w:val="bottom"/>
            <w:hideMark/>
          </w:tcPr>
          <w:p w14:paraId="7BD0CBAC" w14:textId="77777777" w:rsidR="00CC0A78" w:rsidRDefault="00CC0A78">
            <w:pPr>
              <w:suppressAutoHyphens w:val="0"/>
              <w:spacing w:line="240" w:lineRule="auto"/>
              <w:jc w:val="right"/>
              <w:rPr>
                <w:sz w:val="18"/>
                <w:szCs w:val="18"/>
              </w:rPr>
            </w:pPr>
            <w:r>
              <w:rPr>
                <w:color w:val="000000"/>
                <w:sz w:val="18"/>
                <w:szCs w:val="18"/>
              </w:rPr>
              <w:t>0.628</w:t>
            </w:r>
          </w:p>
        </w:tc>
      </w:tr>
      <w:tr w:rsidR="00CC0A78" w14:paraId="1B316847" w14:textId="77777777" w:rsidTr="00B719E1">
        <w:trPr>
          <w:trHeight w:val="240"/>
        </w:trPr>
        <w:tc>
          <w:tcPr>
            <w:tcW w:w="4111" w:type="dxa"/>
            <w:tcBorders>
              <w:top w:val="nil"/>
              <w:left w:val="nil"/>
              <w:bottom w:val="nil"/>
              <w:right w:val="nil"/>
            </w:tcBorders>
            <w:noWrap/>
            <w:vAlign w:val="bottom"/>
            <w:hideMark/>
          </w:tcPr>
          <w:p w14:paraId="0C585823"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Slovakia</w:t>
            </w:r>
          </w:p>
        </w:tc>
        <w:tc>
          <w:tcPr>
            <w:tcW w:w="1701" w:type="dxa"/>
            <w:tcBorders>
              <w:top w:val="nil"/>
              <w:left w:val="nil"/>
              <w:bottom w:val="nil"/>
              <w:right w:val="nil"/>
            </w:tcBorders>
            <w:noWrap/>
            <w:vAlign w:val="bottom"/>
            <w:hideMark/>
          </w:tcPr>
          <w:p w14:paraId="3439F535" w14:textId="77777777" w:rsidR="00CC0A78" w:rsidRDefault="00CC0A78">
            <w:pPr>
              <w:suppressAutoHyphens w:val="0"/>
              <w:spacing w:line="240" w:lineRule="auto"/>
              <w:jc w:val="right"/>
              <w:rPr>
                <w:sz w:val="18"/>
                <w:szCs w:val="18"/>
              </w:rPr>
            </w:pPr>
            <w:r>
              <w:rPr>
                <w:sz w:val="18"/>
                <w:szCs w:val="18"/>
              </w:rPr>
              <w:t>0.153</w:t>
            </w:r>
          </w:p>
        </w:tc>
        <w:tc>
          <w:tcPr>
            <w:tcW w:w="1559" w:type="dxa"/>
            <w:tcBorders>
              <w:top w:val="nil"/>
              <w:left w:val="nil"/>
              <w:bottom w:val="nil"/>
              <w:right w:val="nil"/>
            </w:tcBorders>
            <w:noWrap/>
            <w:vAlign w:val="bottom"/>
            <w:hideMark/>
          </w:tcPr>
          <w:p w14:paraId="2E80B877" w14:textId="77777777" w:rsidR="00CC0A78" w:rsidRDefault="00CC0A78">
            <w:pPr>
              <w:suppressAutoHyphens w:val="0"/>
              <w:spacing w:line="240" w:lineRule="auto"/>
              <w:jc w:val="right"/>
              <w:rPr>
                <w:sz w:val="18"/>
                <w:szCs w:val="18"/>
              </w:rPr>
            </w:pPr>
            <w:r>
              <w:rPr>
                <w:color w:val="000000"/>
                <w:sz w:val="18"/>
                <w:szCs w:val="18"/>
              </w:rPr>
              <w:t>0.198</w:t>
            </w:r>
          </w:p>
        </w:tc>
      </w:tr>
      <w:tr w:rsidR="00CC0A78" w14:paraId="38220DBD" w14:textId="77777777" w:rsidTr="00B719E1">
        <w:trPr>
          <w:trHeight w:val="240"/>
        </w:trPr>
        <w:tc>
          <w:tcPr>
            <w:tcW w:w="4111" w:type="dxa"/>
            <w:tcBorders>
              <w:top w:val="nil"/>
              <w:left w:val="nil"/>
              <w:bottom w:val="nil"/>
              <w:right w:val="nil"/>
            </w:tcBorders>
            <w:noWrap/>
            <w:vAlign w:val="bottom"/>
            <w:hideMark/>
          </w:tcPr>
          <w:p w14:paraId="517A245D"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Slovenia</w:t>
            </w:r>
          </w:p>
        </w:tc>
        <w:tc>
          <w:tcPr>
            <w:tcW w:w="1701" w:type="dxa"/>
            <w:tcBorders>
              <w:top w:val="nil"/>
              <w:left w:val="nil"/>
              <w:bottom w:val="nil"/>
              <w:right w:val="nil"/>
            </w:tcBorders>
            <w:noWrap/>
            <w:vAlign w:val="bottom"/>
            <w:hideMark/>
          </w:tcPr>
          <w:p w14:paraId="55D1E2F1" w14:textId="77777777" w:rsidR="00CC0A78" w:rsidRDefault="00CC0A78">
            <w:pPr>
              <w:suppressAutoHyphens w:val="0"/>
              <w:spacing w:line="240" w:lineRule="auto"/>
              <w:jc w:val="right"/>
              <w:rPr>
                <w:sz w:val="18"/>
                <w:szCs w:val="18"/>
              </w:rPr>
            </w:pPr>
            <w:r>
              <w:rPr>
                <w:sz w:val="18"/>
                <w:szCs w:val="18"/>
              </w:rPr>
              <w:t>0.076</w:t>
            </w:r>
          </w:p>
        </w:tc>
        <w:tc>
          <w:tcPr>
            <w:tcW w:w="1559" w:type="dxa"/>
            <w:tcBorders>
              <w:top w:val="nil"/>
              <w:left w:val="nil"/>
              <w:bottom w:val="nil"/>
              <w:right w:val="nil"/>
            </w:tcBorders>
            <w:noWrap/>
            <w:vAlign w:val="bottom"/>
            <w:hideMark/>
          </w:tcPr>
          <w:p w14:paraId="6FFC2B9D" w14:textId="77777777" w:rsidR="00CC0A78" w:rsidRDefault="00CC0A78">
            <w:pPr>
              <w:suppressAutoHyphens w:val="0"/>
              <w:spacing w:line="240" w:lineRule="auto"/>
              <w:jc w:val="right"/>
              <w:rPr>
                <w:sz w:val="18"/>
                <w:szCs w:val="18"/>
              </w:rPr>
            </w:pPr>
            <w:r>
              <w:rPr>
                <w:color w:val="000000"/>
                <w:sz w:val="18"/>
                <w:szCs w:val="18"/>
              </w:rPr>
              <w:t>0.098</w:t>
            </w:r>
          </w:p>
        </w:tc>
      </w:tr>
      <w:tr w:rsidR="00CC0A78" w14:paraId="5844F7E9" w14:textId="77777777" w:rsidTr="00B719E1">
        <w:trPr>
          <w:trHeight w:val="240"/>
        </w:trPr>
        <w:tc>
          <w:tcPr>
            <w:tcW w:w="4111" w:type="dxa"/>
            <w:tcBorders>
              <w:top w:val="nil"/>
              <w:left w:val="nil"/>
              <w:bottom w:val="nil"/>
              <w:right w:val="nil"/>
            </w:tcBorders>
            <w:noWrap/>
            <w:vAlign w:val="bottom"/>
            <w:hideMark/>
          </w:tcPr>
          <w:p w14:paraId="0D75CE20"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Solomon Islands</w:t>
            </w:r>
          </w:p>
        </w:tc>
        <w:tc>
          <w:tcPr>
            <w:tcW w:w="1701" w:type="dxa"/>
            <w:tcBorders>
              <w:top w:val="nil"/>
              <w:left w:val="nil"/>
              <w:bottom w:val="nil"/>
              <w:right w:val="nil"/>
            </w:tcBorders>
            <w:noWrap/>
            <w:vAlign w:val="bottom"/>
            <w:hideMark/>
          </w:tcPr>
          <w:p w14:paraId="7B715985" w14:textId="77777777" w:rsidR="00CC0A78" w:rsidRDefault="00CC0A78">
            <w:pPr>
              <w:suppressAutoHyphens w:val="0"/>
              <w:spacing w:line="240" w:lineRule="auto"/>
              <w:jc w:val="right"/>
              <w:rPr>
                <w:sz w:val="18"/>
                <w:szCs w:val="18"/>
              </w:rPr>
            </w:pPr>
            <w:r>
              <w:rPr>
                <w:sz w:val="18"/>
                <w:szCs w:val="18"/>
              </w:rPr>
              <w:t>0.001</w:t>
            </w:r>
          </w:p>
        </w:tc>
        <w:tc>
          <w:tcPr>
            <w:tcW w:w="1559" w:type="dxa"/>
            <w:tcBorders>
              <w:top w:val="nil"/>
              <w:left w:val="nil"/>
              <w:bottom w:val="nil"/>
              <w:right w:val="nil"/>
            </w:tcBorders>
            <w:noWrap/>
            <w:vAlign w:val="bottom"/>
            <w:hideMark/>
          </w:tcPr>
          <w:p w14:paraId="4684307D" w14:textId="77777777" w:rsidR="00CC0A78" w:rsidRDefault="00CC0A78">
            <w:pPr>
              <w:suppressAutoHyphens w:val="0"/>
              <w:spacing w:line="240" w:lineRule="auto"/>
              <w:jc w:val="right"/>
              <w:rPr>
                <w:sz w:val="18"/>
                <w:szCs w:val="18"/>
              </w:rPr>
            </w:pPr>
            <w:r>
              <w:rPr>
                <w:color w:val="000000"/>
                <w:sz w:val="18"/>
                <w:szCs w:val="18"/>
              </w:rPr>
              <w:t>0.001</w:t>
            </w:r>
          </w:p>
        </w:tc>
      </w:tr>
      <w:tr w:rsidR="00CC0A78" w14:paraId="21F49845" w14:textId="77777777" w:rsidTr="00B719E1">
        <w:trPr>
          <w:trHeight w:val="240"/>
        </w:trPr>
        <w:tc>
          <w:tcPr>
            <w:tcW w:w="4111" w:type="dxa"/>
            <w:tcBorders>
              <w:top w:val="nil"/>
              <w:left w:val="nil"/>
              <w:bottom w:val="nil"/>
              <w:right w:val="nil"/>
            </w:tcBorders>
            <w:noWrap/>
            <w:vAlign w:val="bottom"/>
            <w:hideMark/>
          </w:tcPr>
          <w:p w14:paraId="68E790F1"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Somalia</w:t>
            </w:r>
          </w:p>
        </w:tc>
        <w:tc>
          <w:tcPr>
            <w:tcW w:w="1701" w:type="dxa"/>
            <w:tcBorders>
              <w:top w:val="nil"/>
              <w:left w:val="nil"/>
              <w:bottom w:val="nil"/>
              <w:right w:val="nil"/>
            </w:tcBorders>
            <w:noWrap/>
            <w:vAlign w:val="bottom"/>
            <w:hideMark/>
          </w:tcPr>
          <w:p w14:paraId="16B04B97" w14:textId="77777777" w:rsidR="00CC0A78" w:rsidRDefault="00CC0A78">
            <w:pPr>
              <w:suppressAutoHyphens w:val="0"/>
              <w:spacing w:line="240" w:lineRule="auto"/>
              <w:jc w:val="right"/>
              <w:rPr>
                <w:sz w:val="18"/>
                <w:szCs w:val="18"/>
              </w:rPr>
            </w:pPr>
            <w:r>
              <w:rPr>
                <w:sz w:val="18"/>
                <w:szCs w:val="18"/>
              </w:rPr>
              <w:t>0.001</w:t>
            </w:r>
          </w:p>
        </w:tc>
        <w:tc>
          <w:tcPr>
            <w:tcW w:w="1559" w:type="dxa"/>
            <w:tcBorders>
              <w:top w:val="nil"/>
              <w:left w:val="nil"/>
              <w:bottom w:val="nil"/>
              <w:right w:val="nil"/>
            </w:tcBorders>
            <w:noWrap/>
            <w:vAlign w:val="bottom"/>
            <w:hideMark/>
          </w:tcPr>
          <w:p w14:paraId="045091C3" w14:textId="77777777" w:rsidR="00CC0A78" w:rsidRDefault="00CC0A78">
            <w:pPr>
              <w:suppressAutoHyphens w:val="0"/>
              <w:spacing w:line="240" w:lineRule="auto"/>
              <w:jc w:val="right"/>
              <w:rPr>
                <w:sz w:val="18"/>
                <w:szCs w:val="18"/>
              </w:rPr>
            </w:pPr>
            <w:r>
              <w:rPr>
                <w:color w:val="000000"/>
                <w:sz w:val="18"/>
                <w:szCs w:val="18"/>
              </w:rPr>
              <w:t>0.001</w:t>
            </w:r>
          </w:p>
        </w:tc>
      </w:tr>
      <w:tr w:rsidR="00CC0A78" w14:paraId="508949A9" w14:textId="77777777" w:rsidTr="00B719E1">
        <w:trPr>
          <w:trHeight w:val="240"/>
        </w:trPr>
        <w:tc>
          <w:tcPr>
            <w:tcW w:w="4111" w:type="dxa"/>
            <w:tcBorders>
              <w:top w:val="nil"/>
              <w:left w:val="nil"/>
              <w:bottom w:val="nil"/>
              <w:right w:val="nil"/>
            </w:tcBorders>
            <w:noWrap/>
            <w:vAlign w:val="bottom"/>
            <w:hideMark/>
          </w:tcPr>
          <w:p w14:paraId="3F824BE9"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South Africa</w:t>
            </w:r>
          </w:p>
        </w:tc>
        <w:tc>
          <w:tcPr>
            <w:tcW w:w="1701" w:type="dxa"/>
            <w:tcBorders>
              <w:top w:val="nil"/>
              <w:left w:val="nil"/>
              <w:bottom w:val="nil"/>
              <w:right w:val="nil"/>
            </w:tcBorders>
            <w:noWrap/>
            <w:vAlign w:val="bottom"/>
            <w:hideMark/>
          </w:tcPr>
          <w:p w14:paraId="04A6F002" w14:textId="77777777" w:rsidR="00CC0A78" w:rsidRDefault="00CC0A78">
            <w:pPr>
              <w:suppressAutoHyphens w:val="0"/>
              <w:spacing w:line="240" w:lineRule="auto"/>
              <w:jc w:val="right"/>
              <w:rPr>
                <w:sz w:val="18"/>
                <w:szCs w:val="18"/>
              </w:rPr>
            </w:pPr>
            <w:r>
              <w:rPr>
                <w:sz w:val="18"/>
                <w:szCs w:val="18"/>
              </w:rPr>
              <w:t>0.272</w:t>
            </w:r>
          </w:p>
        </w:tc>
        <w:tc>
          <w:tcPr>
            <w:tcW w:w="1559" w:type="dxa"/>
            <w:tcBorders>
              <w:top w:val="nil"/>
              <w:left w:val="nil"/>
              <w:bottom w:val="nil"/>
              <w:right w:val="nil"/>
            </w:tcBorders>
            <w:noWrap/>
            <w:vAlign w:val="bottom"/>
            <w:hideMark/>
          </w:tcPr>
          <w:p w14:paraId="13521F59" w14:textId="77777777" w:rsidR="00CC0A78" w:rsidRDefault="00CC0A78">
            <w:pPr>
              <w:suppressAutoHyphens w:val="0"/>
              <w:spacing w:line="240" w:lineRule="auto"/>
              <w:jc w:val="right"/>
              <w:rPr>
                <w:sz w:val="18"/>
                <w:szCs w:val="18"/>
              </w:rPr>
            </w:pPr>
            <w:r>
              <w:rPr>
                <w:color w:val="000000"/>
                <w:sz w:val="18"/>
                <w:szCs w:val="18"/>
              </w:rPr>
              <w:t>0.352</w:t>
            </w:r>
          </w:p>
        </w:tc>
      </w:tr>
      <w:tr w:rsidR="00CC0A78" w14:paraId="714FF732" w14:textId="77777777" w:rsidTr="00B719E1">
        <w:trPr>
          <w:trHeight w:val="240"/>
        </w:trPr>
        <w:tc>
          <w:tcPr>
            <w:tcW w:w="4111" w:type="dxa"/>
            <w:tcBorders>
              <w:top w:val="nil"/>
              <w:left w:val="nil"/>
              <w:bottom w:val="nil"/>
              <w:right w:val="nil"/>
            </w:tcBorders>
            <w:noWrap/>
            <w:vAlign w:val="bottom"/>
            <w:hideMark/>
          </w:tcPr>
          <w:p w14:paraId="3DDBB84E"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Spain</w:t>
            </w:r>
          </w:p>
        </w:tc>
        <w:tc>
          <w:tcPr>
            <w:tcW w:w="1701" w:type="dxa"/>
            <w:tcBorders>
              <w:top w:val="nil"/>
              <w:left w:val="nil"/>
              <w:bottom w:val="nil"/>
              <w:right w:val="nil"/>
            </w:tcBorders>
            <w:noWrap/>
            <w:vAlign w:val="bottom"/>
            <w:hideMark/>
          </w:tcPr>
          <w:p w14:paraId="313A4EFF" w14:textId="77777777" w:rsidR="00CC0A78" w:rsidRDefault="00CC0A78">
            <w:pPr>
              <w:suppressAutoHyphens w:val="0"/>
              <w:spacing w:line="240" w:lineRule="auto"/>
              <w:jc w:val="right"/>
              <w:rPr>
                <w:sz w:val="18"/>
                <w:szCs w:val="18"/>
              </w:rPr>
            </w:pPr>
            <w:r>
              <w:rPr>
                <w:sz w:val="18"/>
                <w:szCs w:val="18"/>
              </w:rPr>
              <w:t>2.146</w:t>
            </w:r>
          </w:p>
        </w:tc>
        <w:tc>
          <w:tcPr>
            <w:tcW w:w="1559" w:type="dxa"/>
            <w:tcBorders>
              <w:top w:val="nil"/>
              <w:left w:val="nil"/>
              <w:bottom w:val="nil"/>
              <w:right w:val="nil"/>
            </w:tcBorders>
            <w:noWrap/>
            <w:vAlign w:val="bottom"/>
            <w:hideMark/>
          </w:tcPr>
          <w:p w14:paraId="24F54B21" w14:textId="77777777" w:rsidR="00CC0A78" w:rsidRDefault="00CC0A78">
            <w:pPr>
              <w:suppressAutoHyphens w:val="0"/>
              <w:spacing w:line="240" w:lineRule="auto"/>
              <w:jc w:val="right"/>
              <w:rPr>
                <w:sz w:val="18"/>
                <w:szCs w:val="18"/>
              </w:rPr>
            </w:pPr>
            <w:r>
              <w:rPr>
                <w:color w:val="000000"/>
                <w:sz w:val="18"/>
                <w:szCs w:val="18"/>
              </w:rPr>
              <w:t>2.781</w:t>
            </w:r>
          </w:p>
        </w:tc>
      </w:tr>
      <w:tr w:rsidR="00CC0A78" w14:paraId="32EC071A" w14:textId="77777777" w:rsidTr="00B719E1">
        <w:trPr>
          <w:trHeight w:val="240"/>
        </w:trPr>
        <w:tc>
          <w:tcPr>
            <w:tcW w:w="4111" w:type="dxa"/>
            <w:tcBorders>
              <w:top w:val="nil"/>
              <w:left w:val="nil"/>
              <w:bottom w:val="nil"/>
              <w:right w:val="nil"/>
            </w:tcBorders>
            <w:noWrap/>
            <w:vAlign w:val="bottom"/>
            <w:hideMark/>
          </w:tcPr>
          <w:p w14:paraId="23CB1A93"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Sri Lanka</w:t>
            </w:r>
          </w:p>
        </w:tc>
        <w:tc>
          <w:tcPr>
            <w:tcW w:w="1701" w:type="dxa"/>
            <w:tcBorders>
              <w:top w:val="nil"/>
              <w:left w:val="nil"/>
              <w:bottom w:val="nil"/>
              <w:right w:val="nil"/>
            </w:tcBorders>
            <w:noWrap/>
            <w:vAlign w:val="bottom"/>
            <w:hideMark/>
          </w:tcPr>
          <w:p w14:paraId="41C731F9" w14:textId="77777777" w:rsidR="00CC0A78" w:rsidRDefault="00CC0A78">
            <w:pPr>
              <w:suppressAutoHyphens w:val="0"/>
              <w:spacing w:line="240" w:lineRule="auto"/>
              <w:jc w:val="right"/>
              <w:rPr>
                <w:sz w:val="18"/>
                <w:szCs w:val="18"/>
              </w:rPr>
            </w:pPr>
            <w:r>
              <w:rPr>
                <w:sz w:val="18"/>
                <w:szCs w:val="18"/>
              </w:rPr>
              <w:t>0.044</w:t>
            </w:r>
          </w:p>
        </w:tc>
        <w:tc>
          <w:tcPr>
            <w:tcW w:w="1559" w:type="dxa"/>
            <w:tcBorders>
              <w:top w:val="nil"/>
              <w:left w:val="nil"/>
              <w:bottom w:val="nil"/>
              <w:right w:val="nil"/>
            </w:tcBorders>
            <w:noWrap/>
            <w:vAlign w:val="bottom"/>
            <w:hideMark/>
          </w:tcPr>
          <w:p w14:paraId="11D4FC9E" w14:textId="77777777" w:rsidR="00CC0A78" w:rsidRDefault="00CC0A78">
            <w:pPr>
              <w:suppressAutoHyphens w:val="0"/>
              <w:spacing w:line="240" w:lineRule="auto"/>
              <w:jc w:val="right"/>
              <w:rPr>
                <w:sz w:val="18"/>
                <w:szCs w:val="18"/>
              </w:rPr>
            </w:pPr>
            <w:r>
              <w:rPr>
                <w:color w:val="000000"/>
                <w:sz w:val="18"/>
                <w:szCs w:val="18"/>
              </w:rPr>
              <w:t>0.057</w:t>
            </w:r>
          </w:p>
        </w:tc>
      </w:tr>
      <w:tr w:rsidR="00CC0A78" w14:paraId="3B2544B9" w14:textId="77777777" w:rsidTr="00B719E1">
        <w:trPr>
          <w:trHeight w:val="240"/>
        </w:trPr>
        <w:tc>
          <w:tcPr>
            <w:tcW w:w="4111" w:type="dxa"/>
            <w:tcBorders>
              <w:top w:val="nil"/>
              <w:left w:val="nil"/>
              <w:bottom w:val="nil"/>
              <w:right w:val="nil"/>
            </w:tcBorders>
            <w:noWrap/>
            <w:vAlign w:val="bottom"/>
            <w:hideMark/>
          </w:tcPr>
          <w:p w14:paraId="23D931C9"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Sudan</w:t>
            </w:r>
          </w:p>
        </w:tc>
        <w:tc>
          <w:tcPr>
            <w:tcW w:w="1701" w:type="dxa"/>
            <w:tcBorders>
              <w:top w:val="nil"/>
              <w:left w:val="nil"/>
              <w:bottom w:val="nil"/>
              <w:right w:val="nil"/>
            </w:tcBorders>
            <w:noWrap/>
            <w:vAlign w:val="bottom"/>
            <w:hideMark/>
          </w:tcPr>
          <w:p w14:paraId="5E57AE7B" w14:textId="77777777" w:rsidR="00CC0A78" w:rsidRDefault="00CC0A78">
            <w:pPr>
              <w:suppressAutoHyphens w:val="0"/>
              <w:spacing w:line="240" w:lineRule="auto"/>
              <w:jc w:val="right"/>
              <w:rPr>
                <w:sz w:val="18"/>
                <w:szCs w:val="18"/>
              </w:rPr>
            </w:pPr>
            <w:r>
              <w:rPr>
                <w:sz w:val="18"/>
                <w:szCs w:val="18"/>
              </w:rPr>
              <w:t>0.010</w:t>
            </w:r>
          </w:p>
        </w:tc>
        <w:tc>
          <w:tcPr>
            <w:tcW w:w="1559" w:type="dxa"/>
            <w:tcBorders>
              <w:top w:val="nil"/>
              <w:left w:val="nil"/>
              <w:bottom w:val="nil"/>
              <w:right w:val="nil"/>
            </w:tcBorders>
            <w:noWrap/>
            <w:vAlign w:val="bottom"/>
            <w:hideMark/>
          </w:tcPr>
          <w:p w14:paraId="64CD82F1" w14:textId="77777777" w:rsidR="00CC0A78" w:rsidRDefault="00CC0A78">
            <w:pPr>
              <w:suppressAutoHyphens w:val="0"/>
              <w:spacing w:line="240" w:lineRule="auto"/>
              <w:jc w:val="right"/>
              <w:rPr>
                <w:sz w:val="18"/>
                <w:szCs w:val="18"/>
              </w:rPr>
            </w:pPr>
            <w:r>
              <w:rPr>
                <w:color w:val="000000"/>
                <w:sz w:val="18"/>
                <w:szCs w:val="18"/>
              </w:rPr>
              <w:t>0.013</w:t>
            </w:r>
          </w:p>
        </w:tc>
      </w:tr>
      <w:tr w:rsidR="00CC0A78" w14:paraId="4D29EA8A" w14:textId="77777777" w:rsidTr="00B719E1">
        <w:trPr>
          <w:trHeight w:val="240"/>
        </w:trPr>
        <w:tc>
          <w:tcPr>
            <w:tcW w:w="4111" w:type="dxa"/>
            <w:tcBorders>
              <w:top w:val="nil"/>
              <w:left w:val="nil"/>
              <w:bottom w:val="nil"/>
              <w:right w:val="nil"/>
            </w:tcBorders>
            <w:noWrap/>
            <w:vAlign w:val="bottom"/>
            <w:hideMark/>
          </w:tcPr>
          <w:p w14:paraId="1FCA39A3"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Suriname</w:t>
            </w:r>
          </w:p>
        </w:tc>
        <w:tc>
          <w:tcPr>
            <w:tcW w:w="1701" w:type="dxa"/>
            <w:tcBorders>
              <w:top w:val="nil"/>
              <w:left w:val="nil"/>
              <w:bottom w:val="nil"/>
              <w:right w:val="nil"/>
            </w:tcBorders>
            <w:noWrap/>
            <w:vAlign w:val="bottom"/>
            <w:hideMark/>
          </w:tcPr>
          <w:p w14:paraId="2C11E02F" w14:textId="77777777" w:rsidR="00CC0A78" w:rsidRDefault="00CC0A78">
            <w:pPr>
              <w:suppressAutoHyphens w:val="0"/>
              <w:spacing w:line="240" w:lineRule="auto"/>
              <w:jc w:val="right"/>
              <w:rPr>
                <w:sz w:val="18"/>
                <w:szCs w:val="18"/>
              </w:rPr>
            </w:pPr>
            <w:r>
              <w:rPr>
                <w:sz w:val="18"/>
                <w:szCs w:val="18"/>
              </w:rPr>
              <w:t>0.005</w:t>
            </w:r>
          </w:p>
        </w:tc>
        <w:tc>
          <w:tcPr>
            <w:tcW w:w="1559" w:type="dxa"/>
            <w:tcBorders>
              <w:top w:val="nil"/>
              <w:left w:val="nil"/>
              <w:bottom w:val="nil"/>
              <w:right w:val="nil"/>
            </w:tcBorders>
            <w:noWrap/>
            <w:vAlign w:val="bottom"/>
            <w:hideMark/>
          </w:tcPr>
          <w:p w14:paraId="44D226DE" w14:textId="77777777" w:rsidR="00CC0A78" w:rsidRDefault="00CC0A78">
            <w:pPr>
              <w:suppressAutoHyphens w:val="0"/>
              <w:spacing w:line="240" w:lineRule="auto"/>
              <w:jc w:val="right"/>
              <w:rPr>
                <w:sz w:val="18"/>
                <w:szCs w:val="18"/>
              </w:rPr>
            </w:pPr>
            <w:r>
              <w:rPr>
                <w:color w:val="000000"/>
                <w:sz w:val="18"/>
                <w:szCs w:val="18"/>
              </w:rPr>
              <w:t>0.006</w:t>
            </w:r>
          </w:p>
        </w:tc>
      </w:tr>
      <w:tr w:rsidR="00CC0A78" w14:paraId="577ECC27" w14:textId="77777777" w:rsidTr="00B719E1">
        <w:trPr>
          <w:trHeight w:val="240"/>
        </w:trPr>
        <w:tc>
          <w:tcPr>
            <w:tcW w:w="4111" w:type="dxa"/>
            <w:tcBorders>
              <w:top w:val="nil"/>
              <w:left w:val="nil"/>
              <w:bottom w:val="nil"/>
              <w:right w:val="nil"/>
            </w:tcBorders>
            <w:noWrap/>
            <w:vAlign w:val="bottom"/>
            <w:hideMark/>
          </w:tcPr>
          <w:p w14:paraId="5C178C71"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Sweden</w:t>
            </w:r>
          </w:p>
        </w:tc>
        <w:tc>
          <w:tcPr>
            <w:tcW w:w="1701" w:type="dxa"/>
            <w:tcBorders>
              <w:top w:val="nil"/>
              <w:left w:val="nil"/>
              <w:bottom w:val="nil"/>
              <w:right w:val="nil"/>
            </w:tcBorders>
            <w:noWrap/>
            <w:vAlign w:val="bottom"/>
            <w:hideMark/>
          </w:tcPr>
          <w:p w14:paraId="0E73C2DD" w14:textId="77777777" w:rsidR="00CC0A78" w:rsidRDefault="00CC0A78">
            <w:pPr>
              <w:suppressAutoHyphens w:val="0"/>
              <w:spacing w:line="240" w:lineRule="auto"/>
              <w:jc w:val="right"/>
              <w:rPr>
                <w:sz w:val="18"/>
                <w:szCs w:val="18"/>
              </w:rPr>
            </w:pPr>
            <w:r>
              <w:rPr>
                <w:sz w:val="18"/>
                <w:szCs w:val="18"/>
              </w:rPr>
              <w:t>0.906</w:t>
            </w:r>
          </w:p>
        </w:tc>
        <w:tc>
          <w:tcPr>
            <w:tcW w:w="1559" w:type="dxa"/>
            <w:tcBorders>
              <w:top w:val="nil"/>
              <w:left w:val="nil"/>
              <w:bottom w:val="nil"/>
              <w:right w:val="nil"/>
            </w:tcBorders>
            <w:noWrap/>
            <w:vAlign w:val="bottom"/>
            <w:hideMark/>
          </w:tcPr>
          <w:p w14:paraId="0A075CC6" w14:textId="77777777" w:rsidR="00CC0A78" w:rsidRDefault="00CC0A78">
            <w:pPr>
              <w:suppressAutoHyphens w:val="0"/>
              <w:spacing w:line="240" w:lineRule="auto"/>
              <w:jc w:val="right"/>
              <w:rPr>
                <w:sz w:val="18"/>
                <w:szCs w:val="18"/>
              </w:rPr>
            </w:pPr>
            <w:r>
              <w:rPr>
                <w:color w:val="000000"/>
                <w:sz w:val="18"/>
                <w:szCs w:val="18"/>
              </w:rPr>
              <w:t>1.174</w:t>
            </w:r>
          </w:p>
        </w:tc>
      </w:tr>
      <w:tr w:rsidR="00CC0A78" w14:paraId="35F7A04C" w14:textId="77777777" w:rsidTr="00B719E1">
        <w:trPr>
          <w:trHeight w:val="240"/>
        </w:trPr>
        <w:tc>
          <w:tcPr>
            <w:tcW w:w="4111" w:type="dxa"/>
            <w:tcBorders>
              <w:top w:val="nil"/>
              <w:left w:val="nil"/>
              <w:bottom w:val="nil"/>
              <w:right w:val="nil"/>
            </w:tcBorders>
            <w:noWrap/>
            <w:vAlign w:val="bottom"/>
            <w:hideMark/>
          </w:tcPr>
          <w:p w14:paraId="366AE529"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Switzerland</w:t>
            </w:r>
          </w:p>
        </w:tc>
        <w:tc>
          <w:tcPr>
            <w:tcW w:w="1701" w:type="dxa"/>
            <w:tcBorders>
              <w:top w:val="nil"/>
              <w:left w:val="nil"/>
              <w:bottom w:val="nil"/>
              <w:right w:val="nil"/>
            </w:tcBorders>
            <w:noWrap/>
            <w:vAlign w:val="bottom"/>
            <w:hideMark/>
          </w:tcPr>
          <w:p w14:paraId="3DE62C70" w14:textId="77777777" w:rsidR="00CC0A78" w:rsidRDefault="00CC0A78">
            <w:pPr>
              <w:suppressAutoHyphens w:val="0"/>
              <w:spacing w:line="240" w:lineRule="auto"/>
              <w:jc w:val="right"/>
              <w:rPr>
                <w:sz w:val="18"/>
                <w:szCs w:val="18"/>
              </w:rPr>
            </w:pPr>
            <w:r>
              <w:rPr>
                <w:sz w:val="18"/>
                <w:szCs w:val="18"/>
              </w:rPr>
              <w:t>1.151</w:t>
            </w:r>
          </w:p>
        </w:tc>
        <w:tc>
          <w:tcPr>
            <w:tcW w:w="1559" w:type="dxa"/>
            <w:tcBorders>
              <w:top w:val="nil"/>
              <w:left w:val="nil"/>
              <w:bottom w:val="nil"/>
              <w:right w:val="nil"/>
            </w:tcBorders>
            <w:noWrap/>
            <w:vAlign w:val="bottom"/>
            <w:hideMark/>
          </w:tcPr>
          <w:p w14:paraId="424396A9" w14:textId="77777777" w:rsidR="00CC0A78" w:rsidRDefault="00CC0A78">
            <w:pPr>
              <w:suppressAutoHyphens w:val="0"/>
              <w:spacing w:line="240" w:lineRule="auto"/>
              <w:jc w:val="right"/>
              <w:rPr>
                <w:sz w:val="18"/>
                <w:szCs w:val="18"/>
              </w:rPr>
            </w:pPr>
            <w:r>
              <w:rPr>
                <w:color w:val="000000"/>
                <w:sz w:val="18"/>
                <w:szCs w:val="18"/>
              </w:rPr>
              <w:t>1.491</w:t>
            </w:r>
          </w:p>
        </w:tc>
      </w:tr>
      <w:tr w:rsidR="00CC0A78" w14:paraId="33344AAE" w14:textId="77777777" w:rsidTr="00B719E1">
        <w:trPr>
          <w:trHeight w:val="240"/>
        </w:trPr>
        <w:tc>
          <w:tcPr>
            <w:tcW w:w="4111" w:type="dxa"/>
            <w:tcBorders>
              <w:top w:val="nil"/>
              <w:left w:val="nil"/>
              <w:bottom w:val="nil"/>
              <w:right w:val="nil"/>
            </w:tcBorders>
            <w:noWrap/>
            <w:vAlign w:val="bottom"/>
            <w:hideMark/>
          </w:tcPr>
          <w:p w14:paraId="77CD4159"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Syrian Arab Republic</w:t>
            </w:r>
          </w:p>
        </w:tc>
        <w:tc>
          <w:tcPr>
            <w:tcW w:w="1701" w:type="dxa"/>
            <w:tcBorders>
              <w:top w:val="nil"/>
              <w:left w:val="nil"/>
              <w:bottom w:val="nil"/>
              <w:right w:val="nil"/>
            </w:tcBorders>
            <w:noWrap/>
            <w:vAlign w:val="bottom"/>
            <w:hideMark/>
          </w:tcPr>
          <w:p w14:paraId="1850E6F3" w14:textId="77777777" w:rsidR="00CC0A78" w:rsidRDefault="00CC0A78">
            <w:pPr>
              <w:suppressAutoHyphens w:val="0"/>
              <w:spacing w:line="240" w:lineRule="auto"/>
              <w:jc w:val="right"/>
              <w:rPr>
                <w:sz w:val="18"/>
                <w:szCs w:val="18"/>
              </w:rPr>
            </w:pPr>
            <w:r>
              <w:rPr>
                <w:sz w:val="18"/>
                <w:szCs w:val="18"/>
              </w:rPr>
              <w:t>0.011</w:t>
            </w:r>
          </w:p>
        </w:tc>
        <w:tc>
          <w:tcPr>
            <w:tcW w:w="1559" w:type="dxa"/>
            <w:tcBorders>
              <w:top w:val="nil"/>
              <w:left w:val="nil"/>
              <w:bottom w:val="nil"/>
              <w:right w:val="nil"/>
            </w:tcBorders>
            <w:noWrap/>
            <w:vAlign w:val="bottom"/>
            <w:hideMark/>
          </w:tcPr>
          <w:p w14:paraId="72B8B63E" w14:textId="77777777" w:rsidR="00CC0A78" w:rsidRDefault="00CC0A78">
            <w:pPr>
              <w:suppressAutoHyphens w:val="0"/>
              <w:spacing w:line="240" w:lineRule="auto"/>
              <w:jc w:val="right"/>
              <w:rPr>
                <w:sz w:val="18"/>
                <w:szCs w:val="18"/>
              </w:rPr>
            </w:pPr>
            <w:r>
              <w:rPr>
                <w:color w:val="000000"/>
                <w:sz w:val="18"/>
                <w:szCs w:val="18"/>
              </w:rPr>
              <w:t>0.014</w:t>
            </w:r>
          </w:p>
        </w:tc>
      </w:tr>
      <w:tr w:rsidR="00CC0A78" w14:paraId="0D2DA9BC" w14:textId="77777777" w:rsidTr="00B719E1">
        <w:trPr>
          <w:trHeight w:val="240"/>
        </w:trPr>
        <w:tc>
          <w:tcPr>
            <w:tcW w:w="4111" w:type="dxa"/>
            <w:tcBorders>
              <w:top w:val="nil"/>
              <w:left w:val="nil"/>
              <w:bottom w:val="nil"/>
              <w:right w:val="nil"/>
            </w:tcBorders>
            <w:noWrap/>
            <w:vAlign w:val="bottom"/>
            <w:hideMark/>
          </w:tcPr>
          <w:p w14:paraId="7821CD40"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Tajikistan</w:t>
            </w:r>
          </w:p>
        </w:tc>
        <w:tc>
          <w:tcPr>
            <w:tcW w:w="1701" w:type="dxa"/>
            <w:tcBorders>
              <w:top w:val="nil"/>
              <w:left w:val="nil"/>
              <w:bottom w:val="nil"/>
              <w:right w:val="nil"/>
            </w:tcBorders>
            <w:noWrap/>
            <w:vAlign w:val="bottom"/>
            <w:hideMark/>
          </w:tcPr>
          <w:p w14:paraId="43CBFA80" w14:textId="77777777" w:rsidR="00CC0A78" w:rsidRDefault="00CC0A78">
            <w:pPr>
              <w:suppressAutoHyphens w:val="0"/>
              <w:spacing w:line="240" w:lineRule="auto"/>
              <w:jc w:val="right"/>
              <w:rPr>
                <w:sz w:val="18"/>
                <w:szCs w:val="18"/>
              </w:rPr>
            </w:pPr>
            <w:r>
              <w:rPr>
                <w:sz w:val="18"/>
                <w:szCs w:val="18"/>
              </w:rPr>
              <w:t>0.004</w:t>
            </w:r>
          </w:p>
        </w:tc>
        <w:tc>
          <w:tcPr>
            <w:tcW w:w="1559" w:type="dxa"/>
            <w:tcBorders>
              <w:top w:val="nil"/>
              <w:left w:val="nil"/>
              <w:bottom w:val="nil"/>
              <w:right w:val="nil"/>
            </w:tcBorders>
            <w:noWrap/>
            <w:vAlign w:val="bottom"/>
            <w:hideMark/>
          </w:tcPr>
          <w:p w14:paraId="0355C9DC" w14:textId="77777777" w:rsidR="00CC0A78" w:rsidRDefault="00CC0A78">
            <w:pPr>
              <w:suppressAutoHyphens w:val="0"/>
              <w:spacing w:line="240" w:lineRule="auto"/>
              <w:jc w:val="right"/>
              <w:rPr>
                <w:sz w:val="18"/>
                <w:szCs w:val="18"/>
              </w:rPr>
            </w:pPr>
            <w:r>
              <w:rPr>
                <w:color w:val="000000"/>
                <w:sz w:val="18"/>
                <w:szCs w:val="18"/>
              </w:rPr>
              <w:t>0.005</w:t>
            </w:r>
          </w:p>
        </w:tc>
      </w:tr>
      <w:tr w:rsidR="00CC0A78" w14:paraId="466F7C21" w14:textId="77777777" w:rsidTr="00B719E1">
        <w:trPr>
          <w:trHeight w:val="240"/>
        </w:trPr>
        <w:tc>
          <w:tcPr>
            <w:tcW w:w="4111" w:type="dxa"/>
            <w:tcBorders>
              <w:top w:val="nil"/>
              <w:left w:val="nil"/>
              <w:bottom w:val="nil"/>
              <w:right w:val="nil"/>
            </w:tcBorders>
            <w:noWrap/>
            <w:vAlign w:val="bottom"/>
            <w:hideMark/>
          </w:tcPr>
          <w:p w14:paraId="2BD5363D"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Thailand</w:t>
            </w:r>
          </w:p>
        </w:tc>
        <w:tc>
          <w:tcPr>
            <w:tcW w:w="1701" w:type="dxa"/>
            <w:tcBorders>
              <w:top w:val="nil"/>
              <w:left w:val="nil"/>
              <w:bottom w:val="nil"/>
              <w:right w:val="nil"/>
            </w:tcBorders>
            <w:noWrap/>
            <w:vAlign w:val="bottom"/>
            <w:hideMark/>
          </w:tcPr>
          <w:p w14:paraId="2D8E8AB1" w14:textId="77777777" w:rsidR="00CC0A78" w:rsidRDefault="00CC0A78">
            <w:pPr>
              <w:suppressAutoHyphens w:val="0"/>
              <w:spacing w:line="240" w:lineRule="auto"/>
              <w:jc w:val="right"/>
              <w:rPr>
                <w:sz w:val="18"/>
                <w:szCs w:val="18"/>
              </w:rPr>
            </w:pPr>
            <w:r>
              <w:rPr>
                <w:sz w:val="18"/>
                <w:szCs w:val="18"/>
              </w:rPr>
              <w:t>0.307</w:t>
            </w:r>
          </w:p>
        </w:tc>
        <w:tc>
          <w:tcPr>
            <w:tcW w:w="1559" w:type="dxa"/>
            <w:tcBorders>
              <w:top w:val="nil"/>
              <w:left w:val="nil"/>
              <w:bottom w:val="nil"/>
              <w:right w:val="nil"/>
            </w:tcBorders>
            <w:noWrap/>
            <w:vAlign w:val="bottom"/>
            <w:hideMark/>
          </w:tcPr>
          <w:p w14:paraId="506B7B8C" w14:textId="77777777" w:rsidR="00CC0A78" w:rsidRDefault="00CC0A78">
            <w:pPr>
              <w:suppressAutoHyphens w:val="0"/>
              <w:spacing w:line="240" w:lineRule="auto"/>
              <w:jc w:val="right"/>
              <w:rPr>
                <w:sz w:val="18"/>
                <w:szCs w:val="18"/>
              </w:rPr>
            </w:pPr>
            <w:r>
              <w:rPr>
                <w:color w:val="000000"/>
                <w:sz w:val="18"/>
                <w:szCs w:val="18"/>
              </w:rPr>
              <w:t>0.398</w:t>
            </w:r>
          </w:p>
        </w:tc>
      </w:tr>
      <w:tr w:rsidR="00CC0A78" w14:paraId="79C6E090" w14:textId="77777777" w:rsidTr="00B719E1">
        <w:trPr>
          <w:trHeight w:val="240"/>
        </w:trPr>
        <w:tc>
          <w:tcPr>
            <w:tcW w:w="4111" w:type="dxa"/>
            <w:tcBorders>
              <w:top w:val="nil"/>
              <w:left w:val="nil"/>
              <w:bottom w:val="nil"/>
              <w:right w:val="nil"/>
            </w:tcBorders>
            <w:noWrap/>
            <w:vAlign w:val="bottom"/>
            <w:hideMark/>
          </w:tcPr>
          <w:p w14:paraId="3DF9E8C3"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Timor-Leste</w:t>
            </w:r>
          </w:p>
        </w:tc>
        <w:tc>
          <w:tcPr>
            <w:tcW w:w="1701" w:type="dxa"/>
            <w:tcBorders>
              <w:top w:val="nil"/>
              <w:left w:val="nil"/>
              <w:bottom w:val="nil"/>
              <w:right w:val="nil"/>
            </w:tcBorders>
            <w:noWrap/>
            <w:vAlign w:val="bottom"/>
            <w:hideMark/>
          </w:tcPr>
          <w:p w14:paraId="37635476" w14:textId="77777777" w:rsidR="00CC0A78" w:rsidRDefault="00CC0A78">
            <w:pPr>
              <w:suppressAutoHyphens w:val="0"/>
              <w:spacing w:line="240" w:lineRule="auto"/>
              <w:jc w:val="right"/>
              <w:rPr>
                <w:sz w:val="18"/>
                <w:szCs w:val="18"/>
              </w:rPr>
            </w:pPr>
            <w:r>
              <w:rPr>
                <w:sz w:val="18"/>
                <w:szCs w:val="18"/>
              </w:rPr>
              <w:t>0.002</w:t>
            </w:r>
          </w:p>
        </w:tc>
        <w:tc>
          <w:tcPr>
            <w:tcW w:w="1559" w:type="dxa"/>
            <w:tcBorders>
              <w:top w:val="nil"/>
              <w:left w:val="nil"/>
              <w:bottom w:val="nil"/>
              <w:right w:val="nil"/>
            </w:tcBorders>
            <w:noWrap/>
            <w:vAlign w:val="bottom"/>
            <w:hideMark/>
          </w:tcPr>
          <w:p w14:paraId="78AC019D" w14:textId="77777777" w:rsidR="00CC0A78" w:rsidRDefault="00CC0A78">
            <w:pPr>
              <w:suppressAutoHyphens w:val="0"/>
              <w:spacing w:line="240" w:lineRule="auto"/>
              <w:jc w:val="right"/>
              <w:rPr>
                <w:sz w:val="18"/>
                <w:szCs w:val="18"/>
              </w:rPr>
            </w:pPr>
            <w:r>
              <w:rPr>
                <w:color w:val="000000"/>
                <w:sz w:val="18"/>
                <w:szCs w:val="18"/>
              </w:rPr>
              <w:t>0.003</w:t>
            </w:r>
          </w:p>
        </w:tc>
      </w:tr>
      <w:tr w:rsidR="00CC0A78" w14:paraId="1FBF00B7" w14:textId="77777777" w:rsidTr="00B719E1">
        <w:trPr>
          <w:trHeight w:val="240"/>
        </w:trPr>
        <w:tc>
          <w:tcPr>
            <w:tcW w:w="4111" w:type="dxa"/>
            <w:tcBorders>
              <w:top w:val="nil"/>
              <w:left w:val="nil"/>
              <w:bottom w:val="nil"/>
              <w:right w:val="nil"/>
            </w:tcBorders>
            <w:noWrap/>
            <w:vAlign w:val="bottom"/>
            <w:hideMark/>
          </w:tcPr>
          <w:p w14:paraId="5DA1F051"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Togo</w:t>
            </w:r>
          </w:p>
        </w:tc>
        <w:tc>
          <w:tcPr>
            <w:tcW w:w="1701" w:type="dxa"/>
            <w:tcBorders>
              <w:top w:val="nil"/>
              <w:left w:val="nil"/>
              <w:bottom w:val="nil"/>
              <w:right w:val="nil"/>
            </w:tcBorders>
            <w:noWrap/>
            <w:vAlign w:val="bottom"/>
            <w:hideMark/>
          </w:tcPr>
          <w:p w14:paraId="288D44F2" w14:textId="77777777" w:rsidR="00CC0A78" w:rsidRDefault="00CC0A78">
            <w:pPr>
              <w:suppressAutoHyphens w:val="0"/>
              <w:spacing w:line="240" w:lineRule="auto"/>
              <w:jc w:val="right"/>
              <w:rPr>
                <w:sz w:val="18"/>
                <w:szCs w:val="18"/>
              </w:rPr>
            </w:pPr>
            <w:r>
              <w:rPr>
                <w:sz w:val="18"/>
                <w:szCs w:val="18"/>
              </w:rPr>
              <w:t>0.002</w:t>
            </w:r>
          </w:p>
        </w:tc>
        <w:tc>
          <w:tcPr>
            <w:tcW w:w="1559" w:type="dxa"/>
            <w:tcBorders>
              <w:top w:val="nil"/>
              <w:left w:val="nil"/>
              <w:bottom w:val="nil"/>
              <w:right w:val="nil"/>
            </w:tcBorders>
            <w:noWrap/>
            <w:vAlign w:val="bottom"/>
            <w:hideMark/>
          </w:tcPr>
          <w:p w14:paraId="4E9AB282" w14:textId="77777777" w:rsidR="00CC0A78" w:rsidRDefault="00CC0A78">
            <w:pPr>
              <w:suppressAutoHyphens w:val="0"/>
              <w:spacing w:line="240" w:lineRule="auto"/>
              <w:jc w:val="right"/>
              <w:rPr>
                <w:sz w:val="18"/>
                <w:szCs w:val="18"/>
              </w:rPr>
            </w:pPr>
            <w:r>
              <w:rPr>
                <w:color w:val="000000"/>
                <w:sz w:val="18"/>
                <w:szCs w:val="18"/>
              </w:rPr>
              <w:t>0.003</w:t>
            </w:r>
          </w:p>
        </w:tc>
      </w:tr>
      <w:tr w:rsidR="00CC0A78" w14:paraId="7857C490" w14:textId="77777777" w:rsidTr="00B719E1">
        <w:trPr>
          <w:trHeight w:val="240"/>
        </w:trPr>
        <w:tc>
          <w:tcPr>
            <w:tcW w:w="4111" w:type="dxa"/>
            <w:tcBorders>
              <w:top w:val="nil"/>
              <w:left w:val="nil"/>
              <w:bottom w:val="nil"/>
              <w:right w:val="nil"/>
            </w:tcBorders>
            <w:noWrap/>
            <w:vAlign w:val="bottom"/>
            <w:hideMark/>
          </w:tcPr>
          <w:p w14:paraId="7D8B3E00"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Tonga</w:t>
            </w:r>
          </w:p>
        </w:tc>
        <w:tc>
          <w:tcPr>
            <w:tcW w:w="1701" w:type="dxa"/>
            <w:tcBorders>
              <w:top w:val="nil"/>
              <w:left w:val="nil"/>
              <w:bottom w:val="nil"/>
              <w:right w:val="nil"/>
            </w:tcBorders>
            <w:noWrap/>
            <w:vAlign w:val="bottom"/>
            <w:hideMark/>
          </w:tcPr>
          <w:p w14:paraId="61D677D0" w14:textId="77777777" w:rsidR="00CC0A78" w:rsidRDefault="00CC0A78">
            <w:pPr>
              <w:suppressAutoHyphens w:val="0"/>
              <w:spacing w:line="240" w:lineRule="auto"/>
              <w:jc w:val="right"/>
              <w:rPr>
                <w:sz w:val="18"/>
                <w:szCs w:val="18"/>
              </w:rPr>
            </w:pPr>
            <w:r>
              <w:rPr>
                <w:sz w:val="18"/>
                <w:szCs w:val="18"/>
              </w:rPr>
              <w:t>0.001</w:t>
            </w:r>
          </w:p>
        </w:tc>
        <w:tc>
          <w:tcPr>
            <w:tcW w:w="1559" w:type="dxa"/>
            <w:tcBorders>
              <w:top w:val="nil"/>
              <w:left w:val="nil"/>
              <w:bottom w:val="nil"/>
              <w:right w:val="nil"/>
            </w:tcBorders>
            <w:noWrap/>
            <w:vAlign w:val="bottom"/>
            <w:hideMark/>
          </w:tcPr>
          <w:p w14:paraId="7BBF6377" w14:textId="77777777" w:rsidR="00CC0A78" w:rsidRDefault="00CC0A78">
            <w:pPr>
              <w:suppressAutoHyphens w:val="0"/>
              <w:spacing w:line="240" w:lineRule="auto"/>
              <w:jc w:val="right"/>
              <w:rPr>
                <w:sz w:val="18"/>
                <w:szCs w:val="18"/>
              </w:rPr>
            </w:pPr>
            <w:r>
              <w:rPr>
                <w:color w:val="000000"/>
                <w:sz w:val="18"/>
                <w:szCs w:val="18"/>
              </w:rPr>
              <w:t>0.001</w:t>
            </w:r>
          </w:p>
        </w:tc>
      </w:tr>
      <w:tr w:rsidR="00CC0A78" w14:paraId="1D8992DF" w14:textId="77777777" w:rsidTr="00B719E1">
        <w:trPr>
          <w:trHeight w:val="240"/>
        </w:trPr>
        <w:tc>
          <w:tcPr>
            <w:tcW w:w="4111" w:type="dxa"/>
            <w:tcBorders>
              <w:top w:val="nil"/>
              <w:left w:val="nil"/>
              <w:bottom w:val="nil"/>
              <w:right w:val="nil"/>
            </w:tcBorders>
            <w:noWrap/>
            <w:vAlign w:val="bottom"/>
            <w:hideMark/>
          </w:tcPr>
          <w:p w14:paraId="5A1CBDB9"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Trinidad and Tobago</w:t>
            </w:r>
          </w:p>
        </w:tc>
        <w:tc>
          <w:tcPr>
            <w:tcW w:w="1701" w:type="dxa"/>
            <w:tcBorders>
              <w:top w:val="nil"/>
              <w:left w:val="nil"/>
              <w:bottom w:val="nil"/>
              <w:right w:val="nil"/>
            </w:tcBorders>
            <w:noWrap/>
            <w:vAlign w:val="bottom"/>
            <w:hideMark/>
          </w:tcPr>
          <w:p w14:paraId="1BA75453" w14:textId="77777777" w:rsidR="00CC0A78" w:rsidRDefault="00CC0A78">
            <w:pPr>
              <w:suppressAutoHyphens w:val="0"/>
              <w:spacing w:line="240" w:lineRule="auto"/>
              <w:jc w:val="right"/>
              <w:rPr>
                <w:sz w:val="18"/>
                <w:szCs w:val="18"/>
              </w:rPr>
            </w:pPr>
            <w:r>
              <w:rPr>
                <w:sz w:val="18"/>
                <w:szCs w:val="18"/>
              </w:rPr>
              <w:t>0.040</w:t>
            </w:r>
          </w:p>
        </w:tc>
        <w:tc>
          <w:tcPr>
            <w:tcW w:w="1559" w:type="dxa"/>
            <w:tcBorders>
              <w:top w:val="nil"/>
              <w:left w:val="nil"/>
              <w:bottom w:val="nil"/>
              <w:right w:val="nil"/>
            </w:tcBorders>
            <w:noWrap/>
            <w:vAlign w:val="bottom"/>
            <w:hideMark/>
          </w:tcPr>
          <w:p w14:paraId="7D5AC020" w14:textId="77777777" w:rsidR="00CC0A78" w:rsidRDefault="00CC0A78">
            <w:pPr>
              <w:suppressAutoHyphens w:val="0"/>
              <w:spacing w:line="240" w:lineRule="auto"/>
              <w:jc w:val="right"/>
              <w:rPr>
                <w:sz w:val="18"/>
                <w:szCs w:val="18"/>
              </w:rPr>
            </w:pPr>
            <w:r>
              <w:rPr>
                <w:color w:val="000000"/>
                <w:sz w:val="18"/>
                <w:szCs w:val="18"/>
              </w:rPr>
              <w:t>0.052</w:t>
            </w:r>
          </w:p>
        </w:tc>
      </w:tr>
      <w:tr w:rsidR="00CC0A78" w14:paraId="4BBD27AA" w14:textId="77777777" w:rsidTr="00B719E1">
        <w:trPr>
          <w:trHeight w:val="240"/>
        </w:trPr>
        <w:tc>
          <w:tcPr>
            <w:tcW w:w="4111" w:type="dxa"/>
            <w:tcBorders>
              <w:top w:val="nil"/>
              <w:left w:val="nil"/>
              <w:bottom w:val="nil"/>
              <w:right w:val="nil"/>
            </w:tcBorders>
            <w:noWrap/>
            <w:vAlign w:val="bottom"/>
            <w:hideMark/>
          </w:tcPr>
          <w:p w14:paraId="41D4499B"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Tunisia</w:t>
            </w:r>
          </w:p>
        </w:tc>
        <w:tc>
          <w:tcPr>
            <w:tcW w:w="1701" w:type="dxa"/>
            <w:tcBorders>
              <w:top w:val="nil"/>
              <w:left w:val="nil"/>
              <w:bottom w:val="nil"/>
              <w:right w:val="nil"/>
            </w:tcBorders>
            <w:noWrap/>
            <w:vAlign w:val="bottom"/>
            <w:hideMark/>
          </w:tcPr>
          <w:p w14:paraId="08189BEC" w14:textId="77777777" w:rsidR="00CC0A78" w:rsidRDefault="00CC0A78">
            <w:pPr>
              <w:suppressAutoHyphens w:val="0"/>
              <w:spacing w:line="240" w:lineRule="auto"/>
              <w:jc w:val="right"/>
              <w:rPr>
                <w:sz w:val="18"/>
                <w:szCs w:val="18"/>
              </w:rPr>
            </w:pPr>
            <w:r>
              <w:rPr>
                <w:sz w:val="18"/>
                <w:szCs w:val="18"/>
              </w:rPr>
              <w:t>0.025</w:t>
            </w:r>
          </w:p>
        </w:tc>
        <w:tc>
          <w:tcPr>
            <w:tcW w:w="1559" w:type="dxa"/>
            <w:tcBorders>
              <w:top w:val="nil"/>
              <w:left w:val="nil"/>
              <w:bottom w:val="nil"/>
              <w:right w:val="nil"/>
            </w:tcBorders>
            <w:noWrap/>
            <w:vAlign w:val="bottom"/>
            <w:hideMark/>
          </w:tcPr>
          <w:p w14:paraId="332273B1" w14:textId="77777777" w:rsidR="00CC0A78" w:rsidRDefault="00CC0A78">
            <w:pPr>
              <w:suppressAutoHyphens w:val="0"/>
              <w:spacing w:line="240" w:lineRule="auto"/>
              <w:jc w:val="right"/>
              <w:rPr>
                <w:sz w:val="18"/>
                <w:szCs w:val="18"/>
              </w:rPr>
            </w:pPr>
            <w:r>
              <w:rPr>
                <w:color w:val="000000"/>
                <w:sz w:val="18"/>
                <w:szCs w:val="18"/>
              </w:rPr>
              <w:t>0.032</w:t>
            </w:r>
          </w:p>
        </w:tc>
      </w:tr>
      <w:tr w:rsidR="00CC0A78" w14:paraId="1566A2AD" w14:textId="77777777" w:rsidTr="00B719E1">
        <w:trPr>
          <w:trHeight w:val="240"/>
        </w:trPr>
        <w:tc>
          <w:tcPr>
            <w:tcW w:w="4111" w:type="dxa"/>
            <w:tcBorders>
              <w:top w:val="nil"/>
              <w:left w:val="nil"/>
              <w:bottom w:val="nil"/>
              <w:right w:val="nil"/>
            </w:tcBorders>
            <w:noWrap/>
            <w:vAlign w:val="bottom"/>
            <w:hideMark/>
          </w:tcPr>
          <w:p w14:paraId="32A780D9"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Turkey</w:t>
            </w:r>
          </w:p>
        </w:tc>
        <w:tc>
          <w:tcPr>
            <w:tcW w:w="1701" w:type="dxa"/>
            <w:tcBorders>
              <w:top w:val="nil"/>
              <w:left w:val="nil"/>
              <w:bottom w:val="nil"/>
              <w:right w:val="nil"/>
            </w:tcBorders>
            <w:noWrap/>
            <w:vAlign w:val="bottom"/>
            <w:hideMark/>
          </w:tcPr>
          <w:p w14:paraId="5F06C15F" w14:textId="77777777" w:rsidR="00CC0A78" w:rsidRDefault="00CC0A78">
            <w:pPr>
              <w:suppressAutoHyphens w:val="0"/>
              <w:spacing w:line="240" w:lineRule="auto"/>
              <w:jc w:val="right"/>
              <w:rPr>
                <w:sz w:val="18"/>
                <w:szCs w:val="18"/>
              </w:rPr>
            </w:pPr>
            <w:r>
              <w:rPr>
                <w:sz w:val="18"/>
                <w:szCs w:val="18"/>
              </w:rPr>
              <w:t>1.371</w:t>
            </w:r>
          </w:p>
        </w:tc>
        <w:tc>
          <w:tcPr>
            <w:tcW w:w="1559" w:type="dxa"/>
            <w:tcBorders>
              <w:top w:val="nil"/>
              <w:left w:val="nil"/>
              <w:bottom w:val="nil"/>
              <w:right w:val="nil"/>
            </w:tcBorders>
            <w:noWrap/>
            <w:vAlign w:val="bottom"/>
            <w:hideMark/>
          </w:tcPr>
          <w:p w14:paraId="213550BA" w14:textId="77777777" w:rsidR="00CC0A78" w:rsidRDefault="00CC0A78">
            <w:pPr>
              <w:suppressAutoHyphens w:val="0"/>
              <w:spacing w:line="240" w:lineRule="auto"/>
              <w:jc w:val="right"/>
              <w:rPr>
                <w:sz w:val="18"/>
                <w:szCs w:val="18"/>
              </w:rPr>
            </w:pPr>
            <w:r>
              <w:rPr>
                <w:color w:val="000000"/>
                <w:sz w:val="18"/>
                <w:szCs w:val="18"/>
              </w:rPr>
              <w:t>1.776</w:t>
            </w:r>
          </w:p>
        </w:tc>
      </w:tr>
      <w:tr w:rsidR="00CC0A78" w14:paraId="4B150AA6" w14:textId="77777777" w:rsidTr="00B719E1">
        <w:trPr>
          <w:trHeight w:val="240"/>
        </w:trPr>
        <w:tc>
          <w:tcPr>
            <w:tcW w:w="4111" w:type="dxa"/>
            <w:tcBorders>
              <w:top w:val="nil"/>
              <w:left w:val="nil"/>
              <w:bottom w:val="nil"/>
              <w:right w:val="nil"/>
            </w:tcBorders>
            <w:noWrap/>
            <w:vAlign w:val="bottom"/>
            <w:hideMark/>
          </w:tcPr>
          <w:p w14:paraId="1D7B75AE"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Turkmenistan</w:t>
            </w:r>
          </w:p>
        </w:tc>
        <w:tc>
          <w:tcPr>
            <w:tcW w:w="1701" w:type="dxa"/>
            <w:tcBorders>
              <w:top w:val="nil"/>
              <w:left w:val="nil"/>
              <w:bottom w:val="nil"/>
              <w:right w:val="nil"/>
            </w:tcBorders>
            <w:noWrap/>
            <w:vAlign w:val="bottom"/>
            <w:hideMark/>
          </w:tcPr>
          <w:p w14:paraId="245E5BD8" w14:textId="77777777" w:rsidR="00CC0A78" w:rsidRDefault="00CC0A78">
            <w:pPr>
              <w:suppressAutoHyphens w:val="0"/>
              <w:spacing w:line="240" w:lineRule="auto"/>
              <w:jc w:val="right"/>
              <w:rPr>
                <w:sz w:val="18"/>
                <w:szCs w:val="18"/>
              </w:rPr>
            </w:pPr>
            <w:r>
              <w:rPr>
                <w:sz w:val="18"/>
                <w:szCs w:val="18"/>
              </w:rPr>
              <w:t>0.033</w:t>
            </w:r>
          </w:p>
        </w:tc>
        <w:tc>
          <w:tcPr>
            <w:tcW w:w="1559" w:type="dxa"/>
            <w:tcBorders>
              <w:top w:val="nil"/>
              <w:left w:val="nil"/>
              <w:bottom w:val="nil"/>
              <w:right w:val="nil"/>
            </w:tcBorders>
            <w:noWrap/>
            <w:vAlign w:val="bottom"/>
            <w:hideMark/>
          </w:tcPr>
          <w:p w14:paraId="52F639D2" w14:textId="77777777" w:rsidR="00CC0A78" w:rsidRDefault="00CC0A78">
            <w:pPr>
              <w:suppressAutoHyphens w:val="0"/>
              <w:spacing w:line="240" w:lineRule="auto"/>
              <w:jc w:val="right"/>
              <w:rPr>
                <w:sz w:val="18"/>
                <w:szCs w:val="18"/>
              </w:rPr>
            </w:pPr>
            <w:r>
              <w:rPr>
                <w:color w:val="000000"/>
                <w:sz w:val="18"/>
                <w:szCs w:val="18"/>
              </w:rPr>
              <w:t>0.043</w:t>
            </w:r>
          </w:p>
        </w:tc>
      </w:tr>
      <w:tr w:rsidR="00CC0A78" w14:paraId="2684FD7B" w14:textId="77777777" w:rsidTr="00B719E1">
        <w:trPr>
          <w:trHeight w:val="240"/>
        </w:trPr>
        <w:tc>
          <w:tcPr>
            <w:tcW w:w="4111" w:type="dxa"/>
            <w:tcBorders>
              <w:top w:val="nil"/>
              <w:left w:val="nil"/>
              <w:bottom w:val="nil"/>
              <w:right w:val="nil"/>
            </w:tcBorders>
            <w:noWrap/>
            <w:vAlign w:val="bottom"/>
            <w:hideMark/>
          </w:tcPr>
          <w:p w14:paraId="01466896"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Tuvalu</w:t>
            </w:r>
          </w:p>
        </w:tc>
        <w:tc>
          <w:tcPr>
            <w:tcW w:w="1701" w:type="dxa"/>
            <w:tcBorders>
              <w:top w:val="nil"/>
              <w:left w:val="nil"/>
              <w:bottom w:val="nil"/>
              <w:right w:val="nil"/>
            </w:tcBorders>
            <w:noWrap/>
            <w:vAlign w:val="bottom"/>
            <w:hideMark/>
          </w:tcPr>
          <w:p w14:paraId="0526F3A6" w14:textId="77777777" w:rsidR="00CC0A78" w:rsidRDefault="00CC0A78">
            <w:pPr>
              <w:suppressAutoHyphens w:val="0"/>
              <w:spacing w:line="240" w:lineRule="auto"/>
              <w:jc w:val="right"/>
              <w:rPr>
                <w:sz w:val="18"/>
                <w:szCs w:val="18"/>
              </w:rPr>
            </w:pPr>
            <w:r>
              <w:rPr>
                <w:sz w:val="18"/>
                <w:szCs w:val="18"/>
              </w:rPr>
              <w:t>0.001</w:t>
            </w:r>
          </w:p>
        </w:tc>
        <w:tc>
          <w:tcPr>
            <w:tcW w:w="1559" w:type="dxa"/>
            <w:tcBorders>
              <w:top w:val="nil"/>
              <w:left w:val="nil"/>
              <w:bottom w:val="nil"/>
              <w:right w:val="nil"/>
            </w:tcBorders>
            <w:noWrap/>
            <w:vAlign w:val="bottom"/>
            <w:hideMark/>
          </w:tcPr>
          <w:p w14:paraId="425DE0C7" w14:textId="77777777" w:rsidR="00CC0A78" w:rsidRDefault="00CC0A78">
            <w:pPr>
              <w:suppressAutoHyphens w:val="0"/>
              <w:spacing w:line="240" w:lineRule="auto"/>
              <w:jc w:val="right"/>
              <w:rPr>
                <w:sz w:val="18"/>
                <w:szCs w:val="18"/>
              </w:rPr>
            </w:pPr>
            <w:r>
              <w:rPr>
                <w:color w:val="000000"/>
                <w:sz w:val="18"/>
                <w:szCs w:val="18"/>
              </w:rPr>
              <w:t>0.001</w:t>
            </w:r>
          </w:p>
        </w:tc>
      </w:tr>
      <w:tr w:rsidR="00CC0A78" w14:paraId="28DE376C" w14:textId="77777777" w:rsidTr="00B719E1">
        <w:trPr>
          <w:trHeight w:val="240"/>
        </w:trPr>
        <w:tc>
          <w:tcPr>
            <w:tcW w:w="4111" w:type="dxa"/>
            <w:tcBorders>
              <w:top w:val="nil"/>
              <w:left w:val="nil"/>
              <w:bottom w:val="nil"/>
              <w:right w:val="nil"/>
            </w:tcBorders>
            <w:noWrap/>
            <w:vAlign w:val="bottom"/>
            <w:hideMark/>
          </w:tcPr>
          <w:p w14:paraId="56FD2156"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Uganda</w:t>
            </w:r>
          </w:p>
        </w:tc>
        <w:tc>
          <w:tcPr>
            <w:tcW w:w="1701" w:type="dxa"/>
            <w:tcBorders>
              <w:top w:val="nil"/>
              <w:left w:val="nil"/>
              <w:bottom w:val="nil"/>
              <w:right w:val="nil"/>
            </w:tcBorders>
            <w:noWrap/>
            <w:vAlign w:val="bottom"/>
            <w:hideMark/>
          </w:tcPr>
          <w:p w14:paraId="47F4CF49" w14:textId="77777777" w:rsidR="00CC0A78" w:rsidRDefault="00CC0A78">
            <w:pPr>
              <w:suppressAutoHyphens w:val="0"/>
              <w:spacing w:line="240" w:lineRule="auto"/>
              <w:jc w:val="right"/>
              <w:rPr>
                <w:sz w:val="18"/>
                <w:szCs w:val="18"/>
              </w:rPr>
            </w:pPr>
            <w:r>
              <w:rPr>
                <w:sz w:val="18"/>
                <w:szCs w:val="18"/>
              </w:rPr>
              <w:t>0.008</w:t>
            </w:r>
          </w:p>
        </w:tc>
        <w:tc>
          <w:tcPr>
            <w:tcW w:w="1559" w:type="dxa"/>
            <w:tcBorders>
              <w:top w:val="nil"/>
              <w:left w:val="nil"/>
              <w:bottom w:val="nil"/>
              <w:right w:val="nil"/>
            </w:tcBorders>
            <w:noWrap/>
            <w:vAlign w:val="bottom"/>
            <w:hideMark/>
          </w:tcPr>
          <w:p w14:paraId="15C104B4" w14:textId="77777777" w:rsidR="00CC0A78" w:rsidRDefault="00CC0A78">
            <w:pPr>
              <w:suppressAutoHyphens w:val="0"/>
              <w:spacing w:line="240" w:lineRule="auto"/>
              <w:jc w:val="right"/>
              <w:rPr>
                <w:sz w:val="18"/>
                <w:szCs w:val="18"/>
              </w:rPr>
            </w:pPr>
            <w:r>
              <w:rPr>
                <w:color w:val="000000"/>
                <w:sz w:val="18"/>
                <w:szCs w:val="18"/>
              </w:rPr>
              <w:t>0.010</w:t>
            </w:r>
          </w:p>
        </w:tc>
      </w:tr>
      <w:tr w:rsidR="00CC0A78" w14:paraId="02C96FD4" w14:textId="77777777" w:rsidTr="00B719E1">
        <w:trPr>
          <w:trHeight w:val="240"/>
        </w:trPr>
        <w:tc>
          <w:tcPr>
            <w:tcW w:w="4111" w:type="dxa"/>
            <w:tcBorders>
              <w:top w:val="nil"/>
              <w:left w:val="nil"/>
              <w:bottom w:val="nil"/>
              <w:right w:val="nil"/>
            </w:tcBorders>
            <w:noWrap/>
            <w:vAlign w:val="bottom"/>
            <w:hideMark/>
          </w:tcPr>
          <w:p w14:paraId="7000EF64"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Ukraine</w:t>
            </w:r>
          </w:p>
        </w:tc>
        <w:tc>
          <w:tcPr>
            <w:tcW w:w="1701" w:type="dxa"/>
            <w:tcBorders>
              <w:top w:val="nil"/>
              <w:left w:val="nil"/>
              <w:bottom w:val="nil"/>
              <w:right w:val="nil"/>
            </w:tcBorders>
            <w:noWrap/>
            <w:vAlign w:val="bottom"/>
            <w:hideMark/>
          </w:tcPr>
          <w:p w14:paraId="6EECC244" w14:textId="77777777" w:rsidR="00CC0A78" w:rsidRDefault="00CC0A78">
            <w:pPr>
              <w:suppressAutoHyphens w:val="0"/>
              <w:spacing w:line="240" w:lineRule="auto"/>
              <w:jc w:val="right"/>
              <w:rPr>
                <w:sz w:val="18"/>
                <w:szCs w:val="18"/>
              </w:rPr>
            </w:pPr>
            <w:r>
              <w:rPr>
                <w:sz w:val="18"/>
                <w:szCs w:val="18"/>
              </w:rPr>
              <w:t>0.057</w:t>
            </w:r>
          </w:p>
        </w:tc>
        <w:tc>
          <w:tcPr>
            <w:tcW w:w="1559" w:type="dxa"/>
            <w:tcBorders>
              <w:top w:val="nil"/>
              <w:left w:val="nil"/>
              <w:bottom w:val="nil"/>
              <w:right w:val="nil"/>
            </w:tcBorders>
            <w:noWrap/>
            <w:vAlign w:val="bottom"/>
            <w:hideMark/>
          </w:tcPr>
          <w:p w14:paraId="0BE59D1F" w14:textId="77777777" w:rsidR="00CC0A78" w:rsidRDefault="00CC0A78">
            <w:pPr>
              <w:suppressAutoHyphens w:val="0"/>
              <w:spacing w:line="240" w:lineRule="auto"/>
              <w:jc w:val="right"/>
              <w:rPr>
                <w:sz w:val="18"/>
                <w:szCs w:val="18"/>
              </w:rPr>
            </w:pPr>
            <w:r>
              <w:rPr>
                <w:color w:val="000000"/>
                <w:sz w:val="18"/>
                <w:szCs w:val="18"/>
              </w:rPr>
              <w:t>0.074</w:t>
            </w:r>
          </w:p>
        </w:tc>
      </w:tr>
      <w:tr w:rsidR="00CC0A78" w14:paraId="1CC06AA8" w14:textId="77777777" w:rsidTr="00B719E1">
        <w:trPr>
          <w:trHeight w:val="240"/>
        </w:trPr>
        <w:tc>
          <w:tcPr>
            <w:tcW w:w="4111" w:type="dxa"/>
            <w:tcBorders>
              <w:top w:val="nil"/>
              <w:left w:val="nil"/>
              <w:bottom w:val="nil"/>
              <w:right w:val="nil"/>
            </w:tcBorders>
            <w:noWrap/>
            <w:vAlign w:val="bottom"/>
            <w:hideMark/>
          </w:tcPr>
          <w:p w14:paraId="04D3C906"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United Arab Emirates</w:t>
            </w:r>
          </w:p>
        </w:tc>
        <w:tc>
          <w:tcPr>
            <w:tcW w:w="1701" w:type="dxa"/>
            <w:tcBorders>
              <w:top w:val="nil"/>
              <w:left w:val="nil"/>
              <w:bottom w:val="nil"/>
              <w:right w:val="nil"/>
            </w:tcBorders>
            <w:noWrap/>
            <w:vAlign w:val="bottom"/>
            <w:hideMark/>
          </w:tcPr>
          <w:p w14:paraId="4BD396B7" w14:textId="77777777" w:rsidR="00CC0A78" w:rsidRDefault="00CC0A78">
            <w:pPr>
              <w:suppressAutoHyphens w:val="0"/>
              <w:spacing w:line="240" w:lineRule="auto"/>
              <w:jc w:val="right"/>
              <w:rPr>
                <w:sz w:val="18"/>
                <w:szCs w:val="18"/>
              </w:rPr>
            </w:pPr>
            <w:r>
              <w:rPr>
                <w:sz w:val="18"/>
                <w:szCs w:val="18"/>
              </w:rPr>
              <w:t>0.616</w:t>
            </w:r>
          </w:p>
        </w:tc>
        <w:tc>
          <w:tcPr>
            <w:tcW w:w="1559" w:type="dxa"/>
            <w:tcBorders>
              <w:top w:val="nil"/>
              <w:left w:val="nil"/>
              <w:bottom w:val="nil"/>
              <w:right w:val="nil"/>
            </w:tcBorders>
            <w:noWrap/>
            <w:vAlign w:val="bottom"/>
            <w:hideMark/>
          </w:tcPr>
          <w:p w14:paraId="0F49C969" w14:textId="77777777" w:rsidR="00CC0A78" w:rsidRDefault="00CC0A78">
            <w:pPr>
              <w:suppressAutoHyphens w:val="0"/>
              <w:spacing w:line="240" w:lineRule="auto"/>
              <w:jc w:val="right"/>
              <w:rPr>
                <w:sz w:val="18"/>
                <w:szCs w:val="18"/>
              </w:rPr>
            </w:pPr>
            <w:r>
              <w:rPr>
                <w:color w:val="000000"/>
                <w:sz w:val="18"/>
                <w:szCs w:val="18"/>
              </w:rPr>
              <w:t>0.798</w:t>
            </w:r>
          </w:p>
        </w:tc>
      </w:tr>
      <w:tr w:rsidR="00CC0A78" w14:paraId="622F996E" w14:textId="77777777" w:rsidTr="00B719E1">
        <w:trPr>
          <w:trHeight w:val="240"/>
        </w:trPr>
        <w:tc>
          <w:tcPr>
            <w:tcW w:w="4111" w:type="dxa"/>
            <w:tcBorders>
              <w:top w:val="nil"/>
              <w:left w:val="nil"/>
              <w:bottom w:val="nil"/>
              <w:right w:val="nil"/>
            </w:tcBorders>
            <w:noWrap/>
            <w:vAlign w:val="bottom"/>
            <w:hideMark/>
          </w:tcPr>
          <w:p w14:paraId="1CC87AA3" w14:textId="77777777" w:rsidR="00CC0A78" w:rsidRDefault="00CC0A78">
            <w:pPr>
              <w:suppressAutoHyphens w:val="0"/>
              <w:spacing w:line="240" w:lineRule="auto"/>
              <w:ind w:left="278" w:hanging="278"/>
              <w:rPr>
                <w:rFonts w:eastAsia="MS Mincho"/>
                <w:color w:val="000000"/>
                <w:sz w:val="18"/>
                <w:szCs w:val="18"/>
                <w:lang w:eastAsia="de-DE"/>
              </w:rPr>
            </w:pPr>
            <w:r>
              <w:rPr>
                <w:rFonts w:eastAsia="MS Mincho"/>
                <w:color w:val="000000"/>
                <w:sz w:val="18"/>
                <w:szCs w:val="18"/>
                <w:lang w:eastAsia="de-DE"/>
              </w:rPr>
              <w:t>United Kingdom of Great Britain and Northern Ireland</w:t>
            </w:r>
          </w:p>
        </w:tc>
        <w:tc>
          <w:tcPr>
            <w:tcW w:w="1701" w:type="dxa"/>
            <w:tcBorders>
              <w:top w:val="nil"/>
              <w:left w:val="nil"/>
              <w:bottom w:val="nil"/>
              <w:right w:val="nil"/>
            </w:tcBorders>
            <w:noWrap/>
            <w:vAlign w:val="bottom"/>
            <w:hideMark/>
          </w:tcPr>
          <w:p w14:paraId="52157D41" w14:textId="77777777" w:rsidR="00CC0A78" w:rsidRDefault="00CC0A78">
            <w:pPr>
              <w:suppressAutoHyphens w:val="0"/>
              <w:spacing w:line="240" w:lineRule="auto"/>
              <w:jc w:val="right"/>
              <w:rPr>
                <w:sz w:val="18"/>
                <w:szCs w:val="18"/>
              </w:rPr>
            </w:pPr>
            <w:r>
              <w:rPr>
                <w:sz w:val="18"/>
                <w:szCs w:val="18"/>
              </w:rPr>
              <w:t>4.567</w:t>
            </w:r>
          </w:p>
        </w:tc>
        <w:tc>
          <w:tcPr>
            <w:tcW w:w="1559" w:type="dxa"/>
            <w:tcBorders>
              <w:top w:val="nil"/>
              <w:left w:val="nil"/>
              <w:bottom w:val="nil"/>
              <w:right w:val="nil"/>
            </w:tcBorders>
            <w:noWrap/>
            <w:vAlign w:val="bottom"/>
            <w:hideMark/>
          </w:tcPr>
          <w:p w14:paraId="1D730FBD" w14:textId="77777777" w:rsidR="00CC0A78" w:rsidRDefault="00CC0A78">
            <w:pPr>
              <w:suppressAutoHyphens w:val="0"/>
              <w:spacing w:line="240" w:lineRule="auto"/>
              <w:jc w:val="right"/>
              <w:rPr>
                <w:sz w:val="18"/>
                <w:szCs w:val="18"/>
              </w:rPr>
            </w:pPr>
            <w:r>
              <w:rPr>
                <w:color w:val="000000"/>
                <w:sz w:val="18"/>
                <w:szCs w:val="18"/>
              </w:rPr>
              <w:t>5.917</w:t>
            </w:r>
          </w:p>
        </w:tc>
      </w:tr>
      <w:tr w:rsidR="00CC0A78" w14:paraId="097DE150" w14:textId="77777777" w:rsidTr="00B719E1">
        <w:trPr>
          <w:trHeight w:val="240"/>
        </w:trPr>
        <w:tc>
          <w:tcPr>
            <w:tcW w:w="4111" w:type="dxa"/>
            <w:tcBorders>
              <w:top w:val="nil"/>
              <w:left w:val="nil"/>
              <w:bottom w:val="nil"/>
              <w:right w:val="nil"/>
            </w:tcBorders>
            <w:noWrap/>
            <w:vAlign w:val="bottom"/>
            <w:hideMark/>
          </w:tcPr>
          <w:p w14:paraId="571DEDA5"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United Republic of Tanzania</w:t>
            </w:r>
          </w:p>
        </w:tc>
        <w:tc>
          <w:tcPr>
            <w:tcW w:w="1701" w:type="dxa"/>
            <w:tcBorders>
              <w:top w:val="nil"/>
              <w:left w:val="nil"/>
              <w:bottom w:val="nil"/>
              <w:right w:val="nil"/>
            </w:tcBorders>
            <w:noWrap/>
            <w:vAlign w:val="bottom"/>
            <w:hideMark/>
          </w:tcPr>
          <w:p w14:paraId="3232C73B" w14:textId="77777777" w:rsidR="00CC0A78" w:rsidRDefault="00CC0A78">
            <w:pPr>
              <w:suppressAutoHyphens w:val="0"/>
              <w:spacing w:line="240" w:lineRule="auto"/>
              <w:jc w:val="right"/>
              <w:rPr>
                <w:sz w:val="18"/>
                <w:szCs w:val="18"/>
              </w:rPr>
            </w:pPr>
            <w:r>
              <w:rPr>
                <w:sz w:val="18"/>
                <w:szCs w:val="18"/>
              </w:rPr>
              <w:t>0.010</w:t>
            </w:r>
          </w:p>
        </w:tc>
        <w:tc>
          <w:tcPr>
            <w:tcW w:w="1559" w:type="dxa"/>
            <w:tcBorders>
              <w:top w:val="nil"/>
              <w:left w:val="nil"/>
              <w:bottom w:val="nil"/>
              <w:right w:val="nil"/>
            </w:tcBorders>
            <w:noWrap/>
            <w:vAlign w:val="bottom"/>
            <w:hideMark/>
          </w:tcPr>
          <w:p w14:paraId="6111F8AD" w14:textId="77777777" w:rsidR="00CC0A78" w:rsidRDefault="00CC0A78">
            <w:pPr>
              <w:suppressAutoHyphens w:val="0"/>
              <w:spacing w:line="240" w:lineRule="auto"/>
              <w:jc w:val="right"/>
              <w:rPr>
                <w:sz w:val="18"/>
                <w:szCs w:val="18"/>
              </w:rPr>
            </w:pPr>
            <w:r>
              <w:rPr>
                <w:color w:val="000000"/>
                <w:sz w:val="18"/>
                <w:szCs w:val="18"/>
              </w:rPr>
              <w:t>0.013</w:t>
            </w:r>
          </w:p>
        </w:tc>
      </w:tr>
      <w:tr w:rsidR="00CC0A78" w14:paraId="1AAD5E4E" w14:textId="77777777" w:rsidTr="00B719E1">
        <w:trPr>
          <w:trHeight w:val="240"/>
        </w:trPr>
        <w:tc>
          <w:tcPr>
            <w:tcW w:w="4111" w:type="dxa"/>
            <w:tcBorders>
              <w:top w:val="nil"/>
              <w:left w:val="nil"/>
              <w:bottom w:val="nil"/>
              <w:right w:val="nil"/>
            </w:tcBorders>
            <w:noWrap/>
            <w:vAlign w:val="bottom"/>
            <w:hideMark/>
          </w:tcPr>
          <w:p w14:paraId="3D397315"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Uruguay</w:t>
            </w:r>
          </w:p>
        </w:tc>
        <w:tc>
          <w:tcPr>
            <w:tcW w:w="1701" w:type="dxa"/>
            <w:tcBorders>
              <w:top w:val="nil"/>
              <w:left w:val="nil"/>
              <w:bottom w:val="nil"/>
              <w:right w:val="nil"/>
            </w:tcBorders>
            <w:noWrap/>
            <w:vAlign w:val="bottom"/>
            <w:hideMark/>
          </w:tcPr>
          <w:p w14:paraId="6000CF3C" w14:textId="77777777" w:rsidR="00CC0A78" w:rsidRDefault="00CC0A78">
            <w:pPr>
              <w:suppressAutoHyphens w:val="0"/>
              <w:spacing w:line="240" w:lineRule="auto"/>
              <w:jc w:val="right"/>
              <w:rPr>
                <w:sz w:val="18"/>
                <w:szCs w:val="18"/>
              </w:rPr>
            </w:pPr>
            <w:r>
              <w:rPr>
                <w:sz w:val="18"/>
                <w:szCs w:val="18"/>
              </w:rPr>
              <w:t>0.087</w:t>
            </w:r>
          </w:p>
        </w:tc>
        <w:tc>
          <w:tcPr>
            <w:tcW w:w="1559" w:type="dxa"/>
            <w:tcBorders>
              <w:top w:val="nil"/>
              <w:left w:val="nil"/>
              <w:bottom w:val="nil"/>
              <w:right w:val="nil"/>
            </w:tcBorders>
            <w:noWrap/>
            <w:vAlign w:val="bottom"/>
            <w:hideMark/>
          </w:tcPr>
          <w:p w14:paraId="1A1B0C23" w14:textId="77777777" w:rsidR="00CC0A78" w:rsidRDefault="00CC0A78">
            <w:pPr>
              <w:suppressAutoHyphens w:val="0"/>
              <w:spacing w:line="240" w:lineRule="auto"/>
              <w:jc w:val="right"/>
              <w:rPr>
                <w:sz w:val="18"/>
                <w:szCs w:val="18"/>
              </w:rPr>
            </w:pPr>
            <w:r>
              <w:rPr>
                <w:color w:val="000000"/>
                <w:sz w:val="18"/>
                <w:szCs w:val="18"/>
              </w:rPr>
              <w:t>0.113</w:t>
            </w:r>
          </w:p>
        </w:tc>
      </w:tr>
      <w:tr w:rsidR="00CC0A78" w14:paraId="29FBBC0A" w14:textId="77777777" w:rsidTr="00B719E1">
        <w:trPr>
          <w:trHeight w:val="240"/>
        </w:trPr>
        <w:tc>
          <w:tcPr>
            <w:tcW w:w="4111" w:type="dxa"/>
            <w:tcBorders>
              <w:top w:val="nil"/>
              <w:left w:val="nil"/>
              <w:bottom w:val="nil"/>
              <w:right w:val="nil"/>
            </w:tcBorders>
            <w:noWrap/>
            <w:vAlign w:val="bottom"/>
            <w:hideMark/>
          </w:tcPr>
          <w:p w14:paraId="080783AC"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Uzbekistan</w:t>
            </w:r>
          </w:p>
        </w:tc>
        <w:tc>
          <w:tcPr>
            <w:tcW w:w="1701" w:type="dxa"/>
            <w:tcBorders>
              <w:top w:val="nil"/>
              <w:left w:val="nil"/>
              <w:bottom w:val="nil"/>
              <w:right w:val="nil"/>
            </w:tcBorders>
            <w:noWrap/>
            <w:vAlign w:val="bottom"/>
            <w:hideMark/>
          </w:tcPr>
          <w:p w14:paraId="23530CD7" w14:textId="77777777" w:rsidR="00CC0A78" w:rsidRDefault="00CC0A78">
            <w:pPr>
              <w:suppressAutoHyphens w:val="0"/>
              <w:spacing w:line="240" w:lineRule="auto"/>
              <w:jc w:val="right"/>
              <w:rPr>
                <w:sz w:val="18"/>
                <w:szCs w:val="18"/>
              </w:rPr>
            </w:pPr>
            <w:r>
              <w:rPr>
                <w:sz w:val="18"/>
                <w:szCs w:val="18"/>
              </w:rPr>
              <w:t>0.032</w:t>
            </w:r>
          </w:p>
        </w:tc>
        <w:tc>
          <w:tcPr>
            <w:tcW w:w="1559" w:type="dxa"/>
            <w:tcBorders>
              <w:top w:val="nil"/>
              <w:left w:val="nil"/>
              <w:bottom w:val="nil"/>
              <w:right w:val="nil"/>
            </w:tcBorders>
            <w:noWrap/>
            <w:vAlign w:val="bottom"/>
            <w:hideMark/>
          </w:tcPr>
          <w:p w14:paraId="44206627" w14:textId="77777777" w:rsidR="00CC0A78" w:rsidRDefault="00CC0A78">
            <w:pPr>
              <w:suppressAutoHyphens w:val="0"/>
              <w:spacing w:line="240" w:lineRule="auto"/>
              <w:jc w:val="right"/>
              <w:rPr>
                <w:sz w:val="18"/>
                <w:szCs w:val="18"/>
              </w:rPr>
            </w:pPr>
            <w:r>
              <w:rPr>
                <w:color w:val="000000"/>
                <w:sz w:val="18"/>
                <w:szCs w:val="18"/>
              </w:rPr>
              <w:t>0.041</w:t>
            </w:r>
          </w:p>
        </w:tc>
      </w:tr>
      <w:tr w:rsidR="00CC0A78" w14:paraId="031047C7" w14:textId="77777777" w:rsidTr="00B719E1">
        <w:trPr>
          <w:trHeight w:val="240"/>
        </w:trPr>
        <w:tc>
          <w:tcPr>
            <w:tcW w:w="4111" w:type="dxa"/>
            <w:tcBorders>
              <w:top w:val="nil"/>
              <w:left w:val="nil"/>
              <w:bottom w:val="nil"/>
              <w:right w:val="nil"/>
            </w:tcBorders>
            <w:noWrap/>
            <w:vAlign w:val="bottom"/>
            <w:hideMark/>
          </w:tcPr>
          <w:p w14:paraId="39698541"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Vanuatu</w:t>
            </w:r>
          </w:p>
        </w:tc>
        <w:tc>
          <w:tcPr>
            <w:tcW w:w="1701" w:type="dxa"/>
            <w:tcBorders>
              <w:top w:val="nil"/>
              <w:left w:val="nil"/>
              <w:bottom w:val="nil"/>
              <w:right w:val="nil"/>
            </w:tcBorders>
            <w:noWrap/>
            <w:vAlign w:val="bottom"/>
            <w:hideMark/>
          </w:tcPr>
          <w:p w14:paraId="2029DC3E" w14:textId="77777777" w:rsidR="00CC0A78" w:rsidRDefault="00CC0A78">
            <w:pPr>
              <w:suppressAutoHyphens w:val="0"/>
              <w:spacing w:line="240" w:lineRule="auto"/>
              <w:jc w:val="right"/>
              <w:rPr>
                <w:sz w:val="18"/>
                <w:szCs w:val="18"/>
              </w:rPr>
            </w:pPr>
            <w:r>
              <w:rPr>
                <w:sz w:val="18"/>
                <w:szCs w:val="18"/>
              </w:rPr>
              <w:t>0.001</w:t>
            </w:r>
          </w:p>
        </w:tc>
        <w:tc>
          <w:tcPr>
            <w:tcW w:w="1559" w:type="dxa"/>
            <w:tcBorders>
              <w:top w:val="nil"/>
              <w:left w:val="nil"/>
              <w:bottom w:val="nil"/>
              <w:right w:val="nil"/>
            </w:tcBorders>
            <w:noWrap/>
            <w:vAlign w:val="bottom"/>
            <w:hideMark/>
          </w:tcPr>
          <w:p w14:paraId="00F2F0E6" w14:textId="77777777" w:rsidR="00CC0A78" w:rsidRDefault="00CC0A78">
            <w:pPr>
              <w:suppressAutoHyphens w:val="0"/>
              <w:spacing w:line="240" w:lineRule="auto"/>
              <w:jc w:val="right"/>
              <w:rPr>
                <w:sz w:val="18"/>
                <w:szCs w:val="18"/>
              </w:rPr>
            </w:pPr>
            <w:r>
              <w:rPr>
                <w:color w:val="000000"/>
                <w:sz w:val="18"/>
                <w:szCs w:val="18"/>
              </w:rPr>
              <w:t>0.001</w:t>
            </w:r>
          </w:p>
        </w:tc>
      </w:tr>
      <w:tr w:rsidR="00CC0A78" w14:paraId="4E9CA851" w14:textId="77777777" w:rsidTr="00B719E1">
        <w:trPr>
          <w:trHeight w:val="240"/>
        </w:trPr>
        <w:tc>
          <w:tcPr>
            <w:tcW w:w="4111" w:type="dxa"/>
            <w:tcBorders>
              <w:top w:val="nil"/>
              <w:left w:val="nil"/>
              <w:bottom w:val="nil"/>
              <w:right w:val="nil"/>
            </w:tcBorders>
            <w:noWrap/>
            <w:vAlign w:val="bottom"/>
            <w:hideMark/>
          </w:tcPr>
          <w:p w14:paraId="229E54D1"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Venezuela (Bolivarian Republic of)</w:t>
            </w:r>
          </w:p>
        </w:tc>
        <w:tc>
          <w:tcPr>
            <w:tcW w:w="1701" w:type="dxa"/>
            <w:tcBorders>
              <w:top w:val="nil"/>
              <w:left w:val="nil"/>
              <w:bottom w:val="nil"/>
              <w:right w:val="nil"/>
            </w:tcBorders>
            <w:noWrap/>
            <w:vAlign w:val="bottom"/>
            <w:hideMark/>
          </w:tcPr>
          <w:p w14:paraId="2F28ABC1" w14:textId="77777777" w:rsidR="00CC0A78" w:rsidRDefault="00CC0A78">
            <w:pPr>
              <w:suppressAutoHyphens w:val="0"/>
              <w:spacing w:line="240" w:lineRule="auto"/>
              <w:jc w:val="right"/>
              <w:rPr>
                <w:sz w:val="18"/>
                <w:szCs w:val="18"/>
              </w:rPr>
            </w:pPr>
            <w:r>
              <w:rPr>
                <w:sz w:val="18"/>
                <w:szCs w:val="18"/>
              </w:rPr>
              <w:t>0.728</w:t>
            </w:r>
          </w:p>
        </w:tc>
        <w:tc>
          <w:tcPr>
            <w:tcW w:w="1559" w:type="dxa"/>
            <w:tcBorders>
              <w:top w:val="nil"/>
              <w:left w:val="nil"/>
              <w:bottom w:val="nil"/>
              <w:right w:val="nil"/>
            </w:tcBorders>
            <w:noWrap/>
            <w:vAlign w:val="bottom"/>
            <w:hideMark/>
          </w:tcPr>
          <w:p w14:paraId="4651E3CA" w14:textId="77777777" w:rsidR="00CC0A78" w:rsidRDefault="00CC0A78">
            <w:pPr>
              <w:suppressAutoHyphens w:val="0"/>
              <w:spacing w:line="240" w:lineRule="auto"/>
              <w:jc w:val="right"/>
              <w:rPr>
                <w:sz w:val="18"/>
                <w:szCs w:val="18"/>
              </w:rPr>
            </w:pPr>
            <w:r>
              <w:rPr>
                <w:color w:val="000000"/>
                <w:sz w:val="18"/>
                <w:szCs w:val="18"/>
              </w:rPr>
              <w:t>0.943</w:t>
            </w:r>
          </w:p>
        </w:tc>
      </w:tr>
      <w:tr w:rsidR="00CC0A78" w14:paraId="0CA015D2" w14:textId="77777777" w:rsidTr="00B719E1">
        <w:trPr>
          <w:trHeight w:val="240"/>
        </w:trPr>
        <w:tc>
          <w:tcPr>
            <w:tcW w:w="4111" w:type="dxa"/>
            <w:tcBorders>
              <w:top w:val="nil"/>
              <w:left w:val="nil"/>
              <w:bottom w:val="nil"/>
              <w:right w:val="nil"/>
            </w:tcBorders>
            <w:noWrap/>
            <w:vAlign w:val="bottom"/>
            <w:hideMark/>
          </w:tcPr>
          <w:p w14:paraId="6AF20B2F"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Viet Nam</w:t>
            </w:r>
          </w:p>
        </w:tc>
        <w:tc>
          <w:tcPr>
            <w:tcW w:w="1701" w:type="dxa"/>
            <w:tcBorders>
              <w:top w:val="nil"/>
              <w:left w:val="nil"/>
              <w:bottom w:val="nil"/>
              <w:right w:val="nil"/>
            </w:tcBorders>
            <w:noWrap/>
            <w:vAlign w:val="bottom"/>
            <w:hideMark/>
          </w:tcPr>
          <w:p w14:paraId="62A3E928" w14:textId="77777777" w:rsidR="00CC0A78" w:rsidRDefault="00CC0A78">
            <w:pPr>
              <w:suppressAutoHyphens w:val="0"/>
              <w:spacing w:line="240" w:lineRule="auto"/>
              <w:jc w:val="right"/>
              <w:rPr>
                <w:sz w:val="18"/>
                <w:szCs w:val="18"/>
              </w:rPr>
            </w:pPr>
            <w:r>
              <w:rPr>
                <w:sz w:val="18"/>
                <w:szCs w:val="18"/>
              </w:rPr>
              <w:t>0.077</w:t>
            </w:r>
          </w:p>
        </w:tc>
        <w:tc>
          <w:tcPr>
            <w:tcW w:w="1559" w:type="dxa"/>
            <w:tcBorders>
              <w:top w:val="nil"/>
              <w:left w:val="nil"/>
              <w:bottom w:val="nil"/>
              <w:right w:val="nil"/>
            </w:tcBorders>
            <w:noWrap/>
            <w:vAlign w:val="bottom"/>
            <w:hideMark/>
          </w:tcPr>
          <w:p w14:paraId="453490B4" w14:textId="77777777" w:rsidR="00CC0A78" w:rsidRDefault="00CC0A78">
            <w:pPr>
              <w:suppressAutoHyphens w:val="0"/>
              <w:spacing w:line="240" w:lineRule="auto"/>
              <w:jc w:val="right"/>
              <w:rPr>
                <w:sz w:val="18"/>
                <w:szCs w:val="18"/>
              </w:rPr>
            </w:pPr>
            <w:r>
              <w:rPr>
                <w:color w:val="000000"/>
                <w:sz w:val="18"/>
                <w:szCs w:val="18"/>
              </w:rPr>
              <w:t>0.100</w:t>
            </w:r>
          </w:p>
        </w:tc>
      </w:tr>
      <w:tr w:rsidR="00CC0A78" w14:paraId="47ACF78F" w14:textId="77777777" w:rsidTr="00B719E1">
        <w:trPr>
          <w:trHeight w:val="240"/>
        </w:trPr>
        <w:tc>
          <w:tcPr>
            <w:tcW w:w="4111" w:type="dxa"/>
            <w:tcBorders>
              <w:top w:val="nil"/>
              <w:left w:val="nil"/>
              <w:bottom w:val="nil"/>
              <w:right w:val="nil"/>
            </w:tcBorders>
            <w:noWrap/>
            <w:vAlign w:val="bottom"/>
            <w:hideMark/>
          </w:tcPr>
          <w:p w14:paraId="7471D740"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Yemen</w:t>
            </w:r>
          </w:p>
        </w:tc>
        <w:tc>
          <w:tcPr>
            <w:tcW w:w="1701" w:type="dxa"/>
            <w:tcBorders>
              <w:top w:val="nil"/>
              <w:left w:val="nil"/>
              <w:bottom w:val="nil"/>
              <w:right w:val="nil"/>
            </w:tcBorders>
            <w:noWrap/>
            <w:vAlign w:val="bottom"/>
            <w:hideMark/>
          </w:tcPr>
          <w:p w14:paraId="4E5BBAC5" w14:textId="77777777" w:rsidR="00CC0A78" w:rsidRDefault="00CC0A78">
            <w:pPr>
              <w:suppressAutoHyphens w:val="0"/>
              <w:spacing w:line="240" w:lineRule="auto"/>
              <w:jc w:val="right"/>
              <w:rPr>
                <w:sz w:val="18"/>
                <w:szCs w:val="18"/>
              </w:rPr>
            </w:pPr>
            <w:r>
              <w:rPr>
                <w:sz w:val="18"/>
                <w:szCs w:val="18"/>
              </w:rPr>
              <w:t>0.010</w:t>
            </w:r>
          </w:p>
        </w:tc>
        <w:tc>
          <w:tcPr>
            <w:tcW w:w="1559" w:type="dxa"/>
            <w:tcBorders>
              <w:top w:val="nil"/>
              <w:left w:val="nil"/>
              <w:bottom w:val="nil"/>
              <w:right w:val="nil"/>
            </w:tcBorders>
            <w:noWrap/>
            <w:vAlign w:val="bottom"/>
            <w:hideMark/>
          </w:tcPr>
          <w:p w14:paraId="3018EF9C" w14:textId="77777777" w:rsidR="00CC0A78" w:rsidRDefault="00CC0A78">
            <w:pPr>
              <w:suppressAutoHyphens w:val="0"/>
              <w:spacing w:line="240" w:lineRule="auto"/>
              <w:jc w:val="right"/>
              <w:rPr>
                <w:sz w:val="18"/>
                <w:szCs w:val="18"/>
              </w:rPr>
            </w:pPr>
            <w:r>
              <w:rPr>
                <w:color w:val="000000"/>
                <w:sz w:val="18"/>
                <w:szCs w:val="18"/>
              </w:rPr>
              <w:t>0.013</w:t>
            </w:r>
          </w:p>
        </w:tc>
      </w:tr>
      <w:tr w:rsidR="00CC0A78" w14:paraId="68D58C87" w14:textId="77777777" w:rsidTr="00B719E1">
        <w:trPr>
          <w:trHeight w:val="240"/>
        </w:trPr>
        <w:tc>
          <w:tcPr>
            <w:tcW w:w="4111" w:type="dxa"/>
            <w:tcBorders>
              <w:top w:val="nil"/>
              <w:left w:val="nil"/>
              <w:bottom w:val="nil"/>
              <w:right w:val="nil"/>
            </w:tcBorders>
            <w:noWrap/>
            <w:vAlign w:val="bottom"/>
            <w:hideMark/>
          </w:tcPr>
          <w:p w14:paraId="51A1F227" w14:textId="77777777" w:rsidR="00CC0A78" w:rsidRDefault="00CC0A78">
            <w:pPr>
              <w:suppressAutoHyphens w:val="0"/>
              <w:spacing w:line="240" w:lineRule="auto"/>
              <w:ind w:left="360" w:hanging="360"/>
              <w:rPr>
                <w:rFonts w:eastAsia="MS Mincho"/>
                <w:color w:val="000000"/>
                <w:sz w:val="18"/>
                <w:szCs w:val="18"/>
                <w:lang w:eastAsia="de-DE"/>
              </w:rPr>
            </w:pPr>
            <w:r>
              <w:rPr>
                <w:rFonts w:eastAsia="MS Mincho"/>
                <w:color w:val="000000"/>
                <w:sz w:val="18"/>
                <w:szCs w:val="18"/>
                <w:lang w:eastAsia="de-DE"/>
              </w:rPr>
              <w:t>Zambia</w:t>
            </w:r>
          </w:p>
        </w:tc>
        <w:tc>
          <w:tcPr>
            <w:tcW w:w="1701" w:type="dxa"/>
            <w:tcBorders>
              <w:top w:val="nil"/>
              <w:left w:val="nil"/>
              <w:bottom w:val="nil"/>
              <w:right w:val="nil"/>
            </w:tcBorders>
            <w:noWrap/>
            <w:vAlign w:val="bottom"/>
            <w:hideMark/>
          </w:tcPr>
          <w:p w14:paraId="4CD3ADC4" w14:textId="77777777" w:rsidR="00CC0A78" w:rsidRDefault="00CC0A78">
            <w:pPr>
              <w:suppressAutoHyphens w:val="0"/>
              <w:spacing w:line="240" w:lineRule="auto"/>
              <w:jc w:val="right"/>
              <w:rPr>
                <w:sz w:val="18"/>
                <w:szCs w:val="18"/>
              </w:rPr>
            </w:pPr>
            <w:r>
              <w:rPr>
                <w:sz w:val="18"/>
                <w:szCs w:val="18"/>
              </w:rPr>
              <w:t>0.009</w:t>
            </w:r>
          </w:p>
        </w:tc>
        <w:tc>
          <w:tcPr>
            <w:tcW w:w="1559" w:type="dxa"/>
            <w:tcBorders>
              <w:top w:val="nil"/>
              <w:left w:val="nil"/>
              <w:bottom w:val="nil"/>
              <w:right w:val="nil"/>
            </w:tcBorders>
            <w:noWrap/>
            <w:vAlign w:val="bottom"/>
            <w:hideMark/>
          </w:tcPr>
          <w:p w14:paraId="6FBE0BBF" w14:textId="77777777" w:rsidR="00CC0A78" w:rsidRDefault="00CC0A78">
            <w:pPr>
              <w:suppressAutoHyphens w:val="0"/>
              <w:spacing w:line="240" w:lineRule="auto"/>
              <w:jc w:val="right"/>
              <w:rPr>
                <w:sz w:val="18"/>
                <w:szCs w:val="18"/>
              </w:rPr>
            </w:pPr>
            <w:r>
              <w:rPr>
                <w:color w:val="000000"/>
                <w:sz w:val="18"/>
                <w:szCs w:val="18"/>
              </w:rPr>
              <w:t>0.012</w:t>
            </w:r>
          </w:p>
        </w:tc>
      </w:tr>
      <w:tr w:rsidR="00CC0A78" w14:paraId="39176974" w14:textId="77777777" w:rsidTr="00B719E1">
        <w:trPr>
          <w:trHeight w:val="240"/>
        </w:trPr>
        <w:tc>
          <w:tcPr>
            <w:tcW w:w="4111" w:type="dxa"/>
            <w:tcBorders>
              <w:top w:val="nil"/>
              <w:left w:val="nil"/>
              <w:bottom w:val="single" w:sz="2" w:space="0" w:color="auto"/>
              <w:right w:val="nil"/>
            </w:tcBorders>
            <w:noWrap/>
            <w:vAlign w:val="bottom"/>
            <w:hideMark/>
          </w:tcPr>
          <w:p w14:paraId="637D17D8" w14:textId="77777777" w:rsidR="00CC0A78" w:rsidRDefault="00CC0A78">
            <w:pPr>
              <w:suppressAutoHyphens w:val="0"/>
              <w:spacing w:line="240" w:lineRule="auto"/>
              <w:ind w:left="278" w:hanging="278"/>
              <w:rPr>
                <w:rFonts w:eastAsia="MS Mincho"/>
                <w:color w:val="000000"/>
                <w:sz w:val="18"/>
                <w:szCs w:val="18"/>
                <w:lang w:eastAsia="de-DE"/>
              </w:rPr>
            </w:pPr>
            <w:r>
              <w:rPr>
                <w:rFonts w:eastAsia="MS Mincho"/>
                <w:color w:val="000000"/>
                <w:sz w:val="18"/>
                <w:szCs w:val="18"/>
                <w:lang w:eastAsia="de-DE"/>
              </w:rPr>
              <w:t>Zimbabwe</w:t>
            </w:r>
          </w:p>
        </w:tc>
        <w:tc>
          <w:tcPr>
            <w:tcW w:w="1701" w:type="dxa"/>
            <w:tcBorders>
              <w:top w:val="nil"/>
              <w:left w:val="nil"/>
              <w:bottom w:val="single" w:sz="2" w:space="0" w:color="auto"/>
              <w:right w:val="nil"/>
            </w:tcBorders>
            <w:noWrap/>
            <w:vAlign w:val="bottom"/>
            <w:hideMark/>
          </w:tcPr>
          <w:p w14:paraId="51089C86" w14:textId="77777777" w:rsidR="00CC0A78" w:rsidRDefault="00CC0A78">
            <w:pPr>
              <w:suppressAutoHyphens w:val="0"/>
              <w:spacing w:line="240" w:lineRule="auto"/>
              <w:jc w:val="right"/>
              <w:rPr>
                <w:sz w:val="18"/>
                <w:szCs w:val="18"/>
              </w:rPr>
            </w:pPr>
            <w:r>
              <w:rPr>
                <w:sz w:val="18"/>
                <w:szCs w:val="18"/>
              </w:rPr>
              <w:t>0.005</w:t>
            </w:r>
          </w:p>
        </w:tc>
        <w:tc>
          <w:tcPr>
            <w:tcW w:w="1559" w:type="dxa"/>
            <w:tcBorders>
              <w:top w:val="nil"/>
              <w:left w:val="nil"/>
              <w:bottom w:val="single" w:sz="2" w:space="0" w:color="auto"/>
              <w:right w:val="nil"/>
            </w:tcBorders>
            <w:noWrap/>
            <w:vAlign w:val="bottom"/>
            <w:hideMark/>
          </w:tcPr>
          <w:p w14:paraId="52699F77" w14:textId="77777777" w:rsidR="00CC0A78" w:rsidRDefault="00CC0A78">
            <w:pPr>
              <w:suppressAutoHyphens w:val="0"/>
              <w:spacing w:line="240" w:lineRule="auto"/>
              <w:jc w:val="right"/>
              <w:rPr>
                <w:sz w:val="18"/>
                <w:szCs w:val="18"/>
              </w:rPr>
            </w:pPr>
            <w:r>
              <w:rPr>
                <w:color w:val="000000"/>
                <w:sz w:val="18"/>
                <w:szCs w:val="18"/>
              </w:rPr>
              <w:t>0.006</w:t>
            </w:r>
          </w:p>
        </w:tc>
      </w:tr>
      <w:tr w:rsidR="00CC0A78" w14:paraId="2C5CEDF6" w14:textId="77777777" w:rsidTr="00B719E1">
        <w:trPr>
          <w:trHeight w:val="240"/>
        </w:trPr>
        <w:tc>
          <w:tcPr>
            <w:tcW w:w="4111" w:type="dxa"/>
            <w:tcBorders>
              <w:top w:val="single" w:sz="2" w:space="0" w:color="auto"/>
              <w:left w:val="nil"/>
              <w:bottom w:val="single" w:sz="12" w:space="0" w:color="auto"/>
              <w:right w:val="nil"/>
            </w:tcBorders>
            <w:noWrap/>
            <w:vAlign w:val="bottom"/>
            <w:hideMark/>
          </w:tcPr>
          <w:p w14:paraId="52355D15" w14:textId="77777777" w:rsidR="00CC0A78" w:rsidRDefault="00CC0A78">
            <w:pPr>
              <w:suppressAutoHyphens w:val="0"/>
              <w:spacing w:line="240" w:lineRule="auto"/>
              <w:ind w:firstLine="278"/>
              <w:rPr>
                <w:b/>
                <w:sz w:val="18"/>
                <w:szCs w:val="18"/>
              </w:rPr>
            </w:pPr>
            <w:r>
              <w:rPr>
                <w:b/>
                <w:sz w:val="18"/>
                <w:szCs w:val="18"/>
              </w:rPr>
              <w:t>Total</w:t>
            </w:r>
          </w:p>
        </w:tc>
        <w:tc>
          <w:tcPr>
            <w:tcW w:w="1701" w:type="dxa"/>
            <w:tcBorders>
              <w:top w:val="single" w:sz="2" w:space="0" w:color="auto"/>
              <w:left w:val="nil"/>
              <w:bottom w:val="single" w:sz="12" w:space="0" w:color="auto"/>
              <w:right w:val="nil"/>
            </w:tcBorders>
            <w:noWrap/>
            <w:vAlign w:val="bottom"/>
            <w:hideMark/>
          </w:tcPr>
          <w:p w14:paraId="6440D594" w14:textId="77777777" w:rsidR="00CC0A78" w:rsidRDefault="00CC0A78">
            <w:pPr>
              <w:suppressAutoHyphens w:val="0"/>
              <w:spacing w:line="240" w:lineRule="auto"/>
              <w:jc w:val="right"/>
              <w:rPr>
                <w:rFonts w:eastAsia="MS Mincho"/>
                <w:b/>
                <w:sz w:val="18"/>
                <w:szCs w:val="18"/>
                <w:lang w:eastAsia="de-DE"/>
              </w:rPr>
            </w:pPr>
            <w:r>
              <w:rPr>
                <w:b/>
                <w:sz w:val="18"/>
                <w:szCs w:val="18"/>
              </w:rPr>
              <w:t>100.000</w:t>
            </w:r>
          </w:p>
        </w:tc>
        <w:tc>
          <w:tcPr>
            <w:tcW w:w="1559" w:type="dxa"/>
            <w:tcBorders>
              <w:top w:val="single" w:sz="2" w:space="0" w:color="auto"/>
              <w:left w:val="nil"/>
              <w:bottom w:val="single" w:sz="12" w:space="0" w:color="auto"/>
              <w:right w:val="nil"/>
            </w:tcBorders>
            <w:shd w:val="clear" w:color="auto" w:fill="FFFFFF"/>
            <w:noWrap/>
            <w:vAlign w:val="bottom"/>
            <w:hideMark/>
          </w:tcPr>
          <w:p w14:paraId="264E7EA3" w14:textId="77777777" w:rsidR="00CC0A78" w:rsidRDefault="00CC0A78">
            <w:pPr>
              <w:suppressAutoHyphens w:val="0"/>
              <w:spacing w:line="240" w:lineRule="auto"/>
              <w:jc w:val="right"/>
              <w:rPr>
                <w:b/>
                <w:sz w:val="18"/>
                <w:szCs w:val="18"/>
              </w:rPr>
            </w:pPr>
            <w:r>
              <w:rPr>
                <w:b/>
                <w:sz w:val="18"/>
                <w:szCs w:val="18"/>
              </w:rPr>
              <w:t>100.000</w:t>
            </w:r>
          </w:p>
        </w:tc>
      </w:tr>
    </w:tbl>
    <w:p w14:paraId="13C40191" w14:textId="012D883C" w:rsidR="00CC0A78" w:rsidRPr="00F002B9" w:rsidRDefault="000948F2" w:rsidP="00CC0A78">
      <w:pPr>
        <w:pStyle w:val="ListParagraph"/>
        <w:spacing w:before="120"/>
        <w:ind w:left="1135" w:right="1133"/>
        <w:jc w:val="right"/>
        <w:rPr>
          <w:i/>
        </w:rPr>
        <w:sectPr w:rsidR="00CC0A78" w:rsidRPr="00F002B9" w:rsidSect="001B0963">
          <w:headerReference w:type="even" r:id="rId64"/>
          <w:headerReference w:type="default" r:id="rId65"/>
          <w:footerReference w:type="even" r:id="rId66"/>
          <w:footerReference w:type="default" r:id="rId67"/>
          <w:footerReference w:type="first" r:id="rId68"/>
          <w:footnotePr>
            <w:numRestart w:val="eachSect"/>
          </w:footnotePr>
          <w:pgSz w:w="11906" w:h="16838" w:code="9"/>
          <w:pgMar w:top="1417" w:right="1134" w:bottom="1134" w:left="1134" w:header="850" w:footer="567" w:gutter="0"/>
          <w:cols w:space="708"/>
          <w:docGrid w:linePitch="360"/>
        </w:sectPr>
      </w:pPr>
      <w:r>
        <w:rPr>
          <w:i/>
        </w:rPr>
        <w:t>9</w:t>
      </w:r>
      <w:r w:rsidRPr="000948F2">
        <w:rPr>
          <w:i/>
          <w:vertAlign w:val="superscript"/>
        </w:rPr>
        <w:t>th</w:t>
      </w:r>
      <w:r>
        <w:rPr>
          <w:i/>
        </w:rPr>
        <w:t xml:space="preserve"> </w:t>
      </w:r>
      <w:r w:rsidR="00CC0A78" w:rsidRPr="00F002B9">
        <w:rPr>
          <w:i/>
        </w:rPr>
        <w:t>plenary meeting</w:t>
      </w:r>
      <w:r w:rsidR="00CC0A78" w:rsidRPr="00F002B9">
        <w:rPr>
          <w:i/>
        </w:rPr>
        <w:br/>
      </w:r>
      <w:r w:rsidR="00DB7ED0">
        <w:rPr>
          <w:i/>
        </w:rPr>
        <w:t>11</w:t>
      </w:r>
      <w:r w:rsidR="00CC0A78" w:rsidRPr="00F002B9">
        <w:rPr>
          <w:i/>
        </w:rPr>
        <w:t xml:space="preserve"> November 2021</w:t>
      </w:r>
    </w:p>
    <w:p w14:paraId="5DF6DD01" w14:textId="23D5EF40" w:rsidR="00CC0A78" w:rsidRDefault="00CC0A78" w:rsidP="00D23317">
      <w:pPr>
        <w:pStyle w:val="RegHChG"/>
        <w:numPr>
          <w:ilvl w:val="0"/>
          <w:numId w:val="0"/>
        </w:numPr>
        <w:tabs>
          <w:tab w:val="left" w:pos="720"/>
        </w:tabs>
        <w:ind w:left="1135" w:hanging="454"/>
      </w:pPr>
      <w:bookmarkStart w:id="73" w:name="Decision9"/>
      <w:r>
        <w:t>Decision 9/CMP.16</w:t>
      </w:r>
    </w:p>
    <w:bookmarkEnd w:id="73"/>
    <w:p w14:paraId="628969B8" w14:textId="141F108D" w:rsidR="00CC0A78" w:rsidRDefault="00CC0A78" w:rsidP="00D23317">
      <w:pPr>
        <w:pStyle w:val="RegHChG"/>
        <w:numPr>
          <w:ilvl w:val="0"/>
          <w:numId w:val="0"/>
        </w:numPr>
        <w:tabs>
          <w:tab w:val="left" w:pos="720"/>
        </w:tabs>
        <w:ind w:left="1135" w:hanging="454"/>
      </w:pPr>
      <w:r>
        <w:t>Budget for the international transaction log</w:t>
      </w:r>
    </w:p>
    <w:p w14:paraId="5C3A6FEC" w14:textId="77777777" w:rsidR="00CC0A78" w:rsidRDefault="00CC0A78" w:rsidP="00CC0A78">
      <w:pPr>
        <w:spacing w:after="120"/>
        <w:ind w:left="1134" w:right="1174" w:firstLine="567"/>
        <w:jc w:val="both"/>
        <w:rPr>
          <w:rFonts w:eastAsia="Times New Roman"/>
          <w:i/>
          <w:lang w:eastAsia="en-US"/>
        </w:rPr>
      </w:pPr>
      <w:r>
        <w:rPr>
          <w:rFonts w:eastAsia="Times New Roman"/>
          <w:i/>
          <w:lang w:eastAsia="en-US"/>
        </w:rPr>
        <w:t>The Conference of the Parties</w:t>
      </w:r>
      <w:r>
        <w:t xml:space="preserve"> </w:t>
      </w:r>
      <w:r>
        <w:rPr>
          <w:i/>
          <w:iCs/>
        </w:rPr>
        <w:t>serving</w:t>
      </w:r>
      <w:r>
        <w:t xml:space="preserve"> </w:t>
      </w:r>
      <w:r>
        <w:rPr>
          <w:rFonts w:eastAsia="Times New Roman"/>
          <w:i/>
          <w:lang w:eastAsia="en-US"/>
        </w:rPr>
        <w:t>as the meeting of the Parties to the Kyoto Protocol</w:t>
      </w:r>
      <w:r>
        <w:rPr>
          <w:rFonts w:eastAsia="Times New Roman"/>
          <w:lang w:eastAsia="en-US"/>
        </w:rPr>
        <w:t>,</w:t>
      </w:r>
    </w:p>
    <w:p w14:paraId="48E4A001" w14:textId="77777777" w:rsidR="00CC0A78" w:rsidRDefault="00CC0A78" w:rsidP="00CC0A78">
      <w:pPr>
        <w:spacing w:after="120"/>
        <w:ind w:left="1134" w:right="1174" w:firstLine="567"/>
        <w:jc w:val="both"/>
        <w:rPr>
          <w:rFonts w:eastAsia="Times New Roman"/>
          <w:lang w:eastAsia="en-US"/>
        </w:rPr>
      </w:pPr>
      <w:r>
        <w:rPr>
          <w:rFonts w:eastAsia="Times New Roman"/>
          <w:i/>
          <w:iCs/>
          <w:lang w:eastAsia="en-US"/>
        </w:rPr>
        <w:t>Recalling</w:t>
      </w:r>
      <w:r>
        <w:rPr>
          <w:rFonts w:eastAsia="Times New Roman"/>
          <w:lang w:eastAsia="en-US"/>
        </w:rPr>
        <w:t xml:space="preserve"> Article 13, paragraph 5, of the Kyoto Protocol, </w:t>
      </w:r>
    </w:p>
    <w:p w14:paraId="05DB1617" w14:textId="77777777" w:rsidR="00CC0A78" w:rsidRDefault="00CC0A78" w:rsidP="00CC0A78">
      <w:pPr>
        <w:spacing w:after="120"/>
        <w:ind w:left="1134" w:right="1174" w:firstLine="567"/>
        <w:jc w:val="both"/>
        <w:rPr>
          <w:rFonts w:eastAsia="Times New Roman"/>
          <w:i/>
          <w:iCs/>
          <w:lang w:eastAsia="en-US"/>
        </w:rPr>
      </w:pPr>
      <w:r>
        <w:rPr>
          <w:rFonts w:eastAsia="Times New Roman"/>
          <w:i/>
          <w:iCs/>
          <w:lang w:eastAsia="en-US"/>
        </w:rPr>
        <w:t xml:space="preserve">Also recalling </w:t>
      </w:r>
      <w:r>
        <w:rPr>
          <w:rFonts w:eastAsia="Times New Roman"/>
          <w:lang w:eastAsia="en-US"/>
        </w:rPr>
        <w:t>decisions 11/CMP.3, 10/CMP.5, 9/CMP.6, 8/CMP.8, 8/CMP.11, 7/CMP.13 and 5/CMP.15,</w:t>
      </w:r>
    </w:p>
    <w:p w14:paraId="40EB2E06" w14:textId="77777777" w:rsidR="00CC0A78" w:rsidRDefault="00CC0A78" w:rsidP="00CC0A78">
      <w:pPr>
        <w:spacing w:after="120"/>
        <w:ind w:left="1134" w:right="1174" w:firstLine="567"/>
        <w:jc w:val="both"/>
        <w:rPr>
          <w:rFonts w:eastAsia="Times New Roman"/>
          <w:i/>
          <w:iCs/>
          <w:lang w:eastAsia="en-US"/>
        </w:rPr>
      </w:pPr>
      <w:r>
        <w:rPr>
          <w:rFonts w:eastAsia="Times New Roman"/>
          <w:i/>
          <w:iCs/>
          <w:lang w:eastAsia="en-US"/>
        </w:rPr>
        <w:t>Recognizing</w:t>
      </w:r>
      <w:r>
        <w:rPr>
          <w:rFonts w:eastAsia="Times New Roman"/>
          <w:lang w:eastAsia="en-US"/>
        </w:rPr>
        <w:t xml:space="preserve"> the importance of sufficient and stable funding for the international transaction log,</w:t>
      </w:r>
    </w:p>
    <w:p w14:paraId="19516277" w14:textId="77777777" w:rsidR="00CC0A78" w:rsidRDefault="00CC0A78" w:rsidP="00CC0A78">
      <w:pPr>
        <w:spacing w:after="120"/>
        <w:ind w:left="1134" w:right="1174" w:firstLine="567"/>
        <w:jc w:val="both"/>
        <w:rPr>
          <w:rFonts w:eastAsia="Times New Roman"/>
          <w:lang w:eastAsia="en-US"/>
        </w:rPr>
      </w:pPr>
      <w:r>
        <w:rPr>
          <w:rFonts w:eastAsia="Times New Roman"/>
          <w:i/>
          <w:iCs/>
          <w:lang w:eastAsia="en-US"/>
        </w:rPr>
        <w:t xml:space="preserve">Also recognizing </w:t>
      </w:r>
      <w:r>
        <w:rPr>
          <w:rFonts w:eastAsia="Times New Roman"/>
          <w:lang w:eastAsia="en-US"/>
        </w:rPr>
        <w:t>the importance of the proper functioning of the international transaction log for the Parties listed in Annex B to the Kyoto Protocol, as contained in annex I to decision 1/CMP.8,</w:t>
      </w:r>
    </w:p>
    <w:p w14:paraId="623B313E" w14:textId="799896A6" w:rsidR="00CC0A78" w:rsidRDefault="00D23317" w:rsidP="00D23317">
      <w:pPr>
        <w:pStyle w:val="RegSingleTxtG"/>
        <w:numPr>
          <w:ilvl w:val="0"/>
          <w:numId w:val="0"/>
        </w:numPr>
        <w:tabs>
          <w:tab w:val="left" w:pos="2269"/>
        </w:tabs>
        <w:ind w:left="1134"/>
        <w:rPr>
          <w:lang w:eastAsia="en-US"/>
        </w:rPr>
      </w:pPr>
      <w:r>
        <w:rPr>
          <w:lang w:eastAsia="en-US"/>
        </w:rPr>
        <w:t>1.</w:t>
      </w:r>
      <w:r>
        <w:rPr>
          <w:lang w:eastAsia="en-US"/>
        </w:rPr>
        <w:tab/>
      </w:r>
      <w:r w:rsidR="00CC0A78" w:rsidRPr="00CC0A78">
        <w:rPr>
          <w:i/>
          <w:iCs/>
          <w:lang w:eastAsia="en-US"/>
        </w:rPr>
        <w:t>Approves</w:t>
      </w:r>
      <w:r w:rsidR="00CC0A78">
        <w:rPr>
          <w:lang w:eastAsia="en-US"/>
        </w:rPr>
        <w:t xml:space="preserve"> the budget for the international transaction log for the biennium 2022–2023, amounting to EUR 3,851,948 for the purposes specified in the proposed budget for the international transaction log;</w:t>
      </w:r>
      <w:r w:rsidR="00CC0A78">
        <w:rPr>
          <w:rStyle w:val="FootnoteReference"/>
          <w:lang w:eastAsia="en-US"/>
        </w:rPr>
        <w:footnoteReference w:id="41"/>
      </w:r>
      <w:r w:rsidR="00CC0A78">
        <w:rPr>
          <w:lang w:eastAsia="en-US"/>
        </w:rPr>
        <w:t xml:space="preserve"> </w:t>
      </w:r>
    </w:p>
    <w:p w14:paraId="13DCF257" w14:textId="2A7C320B" w:rsidR="00CC0A78" w:rsidRDefault="00D23317" w:rsidP="00D23317">
      <w:pPr>
        <w:pStyle w:val="RegSingleTxtG"/>
        <w:numPr>
          <w:ilvl w:val="0"/>
          <w:numId w:val="0"/>
        </w:numPr>
        <w:tabs>
          <w:tab w:val="left" w:pos="2269"/>
        </w:tabs>
        <w:ind w:left="1134"/>
        <w:rPr>
          <w:lang w:eastAsia="en-US"/>
        </w:rPr>
      </w:pPr>
      <w:r>
        <w:rPr>
          <w:lang w:eastAsia="en-US"/>
        </w:rPr>
        <w:t>2.</w:t>
      </w:r>
      <w:r>
        <w:rPr>
          <w:lang w:eastAsia="en-US"/>
        </w:rPr>
        <w:tab/>
      </w:r>
      <w:r w:rsidR="00CC0A78">
        <w:rPr>
          <w:i/>
          <w:iCs/>
          <w:lang w:eastAsia="en-US"/>
        </w:rPr>
        <w:t xml:space="preserve">Decides </w:t>
      </w:r>
      <w:r w:rsidR="00CC0A78">
        <w:rPr>
          <w:lang w:eastAsia="en-US"/>
        </w:rPr>
        <w:t>to maintain the level of the working capital reserve at 8.3 per cent of the estimated expenditure for the Trust Fund for the International Transaction Log;</w:t>
      </w:r>
    </w:p>
    <w:p w14:paraId="1E49ACC7" w14:textId="4B84EBD4" w:rsidR="00CC0A78" w:rsidRDefault="00D23317" w:rsidP="00D23317">
      <w:pPr>
        <w:pStyle w:val="RegSingleTxtG"/>
        <w:numPr>
          <w:ilvl w:val="0"/>
          <w:numId w:val="0"/>
        </w:numPr>
        <w:tabs>
          <w:tab w:val="left" w:pos="2269"/>
        </w:tabs>
        <w:ind w:left="1134"/>
        <w:rPr>
          <w:lang w:eastAsia="en-US"/>
        </w:rPr>
      </w:pPr>
      <w:bookmarkStart w:id="74" w:name="_Ref89206195"/>
      <w:r>
        <w:rPr>
          <w:lang w:eastAsia="en-US"/>
        </w:rPr>
        <w:t>3.</w:t>
      </w:r>
      <w:r>
        <w:rPr>
          <w:lang w:eastAsia="en-US"/>
        </w:rPr>
        <w:tab/>
      </w:r>
      <w:r w:rsidR="00CC0A78">
        <w:rPr>
          <w:i/>
          <w:iCs/>
          <w:lang w:eastAsia="en-US"/>
        </w:rPr>
        <w:t xml:space="preserve">Authorizes </w:t>
      </w:r>
      <w:r w:rsidR="00CC0A78">
        <w:rPr>
          <w:lang w:eastAsia="en-US"/>
        </w:rPr>
        <w:t>the Executive Secretary to draw EUR 2.5 million from unspent balances of the Trust Fund for the International Transaction Log from previous financial periods to cover part of the budget for the biennium 2022–2023;</w:t>
      </w:r>
      <w:bookmarkEnd w:id="74"/>
    </w:p>
    <w:p w14:paraId="0B76187A" w14:textId="77EF4C8A" w:rsidR="00CC0A78" w:rsidRDefault="00D23317" w:rsidP="00D23317">
      <w:pPr>
        <w:pStyle w:val="RegSingleTxtG"/>
        <w:numPr>
          <w:ilvl w:val="0"/>
          <w:numId w:val="0"/>
        </w:numPr>
        <w:tabs>
          <w:tab w:val="left" w:pos="2269"/>
        </w:tabs>
        <w:ind w:left="1134"/>
        <w:rPr>
          <w:lang w:eastAsia="en-US"/>
        </w:rPr>
      </w:pPr>
      <w:bookmarkStart w:id="75" w:name="_Ref89206253"/>
      <w:r>
        <w:rPr>
          <w:lang w:eastAsia="en-US"/>
        </w:rPr>
        <w:t>4.</w:t>
      </w:r>
      <w:r>
        <w:rPr>
          <w:lang w:eastAsia="en-US"/>
        </w:rPr>
        <w:tab/>
      </w:r>
      <w:r w:rsidR="00CC0A78">
        <w:rPr>
          <w:i/>
          <w:iCs/>
          <w:lang w:eastAsia="en-US"/>
        </w:rPr>
        <w:t>Also authorizes</w:t>
      </w:r>
      <w:r w:rsidR="00CC0A78">
        <w:rPr>
          <w:lang w:eastAsia="en-US"/>
        </w:rPr>
        <w:t xml:space="preserve"> the Executive Secretary to draw funds from unspent balances of the Trust Fund for the International Transaction Log from previous financial periods to cover the potential shortfall in fees due to the disconnection of Parties from the international transaction log;</w:t>
      </w:r>
      <w:bookmarkEnd w:id="75"/>
    </w:p>
    <w:p w14:paraId="4C95AD0D" w14:textId="196CA47F" w:rsidR="00CC0A78" w:rsidRDefault="00D23317" w:rsidP="00D23317">
      <w:pPr>
        <w:pStyle w:val="RegSingleTxtG"/>
        <w:numPr>
          <w:ilvl w:val="0"/>
          <w:numId w:val="0"/>
        </w:numPr>
        <w:tabs>
          <w:tab w:val="left" w:pos="2269"/>
        </w:tabs>
        <w:ind w:left="1134"/>
        <w:rPr>
          <w:lang w:eastAsia="en-US"/>
        </w:rPr>
      </w:pPr>
      <w:r>
        <w:rPr>
          <w:lang w:eastAsia="en-US"/>
        </w:rPr>
        <w:t>5.</w:t>
      </w:r>
      <w:r>
        <w:rPr>
          <w:lang w:eastAsia="en-US"/>
        </w:rPr>
        <w:tab/>
      </w:r>
      <w:r w:rsidR="00CC0A78">
        <w:rPr>
          <w:i/>
          <w:iCs/>
          <w:lang w:eastAsia="en-US"/>
        </w:rPr>
        <w:t xml:space="preserve">Notes </w:t>
      </w:r>
      <w:r w:rsidR="00CC0A78">
        <w:rPr>
          <w:lang w:eastAsia="en-US"/>
        </w:rPr>
        <w:t xml:space="preserve">that the action referred to in paragraph </w:t>
      </w:r>
      <w:r w:rsidR="00404585">
        <w:rPr>
          <w:lang w:eastAsia="en-US"/>
        </w:rPr>
        <w:fldChar w:fldCharType="begin"/>
      </w:r>
      <w:r w:rsidR="00404585">
        <w:rPr>
          <w:lang w:eastAsia="en-US"/>
        </w:rPr>
        <w:instrText xml:space="preserve"> REF _Ref89206195 \n \p \h </w:instrText>
      </w:r>
      <w:r w:rsidR="00404585">
        <w:rPr>
          <w:lang w:eastAsia="en-US"/>
        </w:rPr>
      </w:r>
      <w:r w:rsidR="00404585">
        <w:rPr>
          <w:lang w:eastAsia="en-US"/>
        </w:rPr>
        <w:fldChar w:fldCharType="separate"/>
      </w:r>
      <w:r w:rsidR="00404585">
        <w:rPr>
          <w:lang w:eastAsia="en-US"/>
        </w:rPr>
        <w:t>3 above</w:t>
      </w:r>
      <w:r w:rsidR="00404585">
        <w:rPr>
          <w:lang w:eastAsia="en-US"/>
        </w:rPr>
        <w:fldChar w:fldCharType="end"/>
      </w:r>
      <w:r w:rsidR="00CC0A78">
        <w:rPr>
          <w:lang w:eastAsia="en-US"/>
        </w:rPr>
        <w:t xml:space="preserve"> is exceptional and is needed to disburse the significant unspent funds and </w:t>
      </w:r>
      <w:r w:rsidR="00CC0A78">
        <w:rPr>
          <w:i/>
          <w:iCs/>
          <w:lang w:eastAsia="en-US"/>
        </w:rPr>
        <w:t>recognizes</w:t>
      </w:r>
      <w:r w:rsidR="00CC0A78">
        <w:rPr>
          <w:lang w:eastAsia="en-US"/>
        </w:rPr>
        <w:t xml:space="preserve"> that fees for the operation of the international transaction log are to be levied as necessary in future bienniums;</w:t>
      </w:r>
    </w:p>
    <w:p w14:paraId="251CB66C" w14:textId="3C8A1C4E" w:rsidR="00CC0A78" w:rsidRDefault="00D23317" w:rsidP="00D23317">
      <w:pPr>
        <w:pStyle w:val="RegSingleTxtG"/>
        <w:numPr>
          <w:ilvl w:val="0"/>
          <w:numId w:val="0"/>
        </w:numPr>
        <w:tabs>
          <w:tab w:val="left" w:pos="2269"/>
        </w:tabs>
        <w:ind w:left="1134"/>
        <w:rPr>
          <w:lang w:eastAsia="en-US"/>
        </w:rPr>
      </w:pPr>
      <w:r>
        <w:rPr>
          <w:lang w:eastAsia="en-US"/>
        </w:rPr>
        <w:t>6.</w:t>
      </w:r>
      <w:r>
        <w:rPr>
          <w:lang w:eastAsia="en-US"/>
        </w:rPr>
        <w:tab/>
      </w:r>
      <w:r w:rsidR="003F75F1">
        <w:rPr>
          <w:i/>
          <w:iCs/>
          <w:lang w:eastAsia="en-US"/>
        </w:rPr>
        <w:t>N</w:t>
      </w:r>
      <w:r w:rsidR="00CC0A78">
        <w:rPr>
          <w:i/>
          <w:iCs/>
          <w:lang w:eastAsia="en-US"/>
        </w:rPr>
        <w:t>otes</w:t>
      </w:r>
      <w:r w:rsidR="00CC0A78">
        <w:rPr>
          <w:lang w:eastAsia="en-US"/>
        </w:rPr>
        <w:t xml:space="preserve"> that any unspent balances of the Trust Fund for the International Transaction Log from previous financial periods remaining after the actions referred to in paragraphs </w:t>
      </w:r>
      <w:r w:rsidR="00E0527C">
        <w:rPr>
          <w:lang w:eastAsia="en-US"/>
        </w:rPr>
        <w:fldChar w:fldCharType="begin"/>
      </w:r>
      <w:r w:rsidR="00E0527C">
        <w:rPr>
          <w:lang w:eastAsia="en-US"/>
        </w:rPr>
        <w:instrText xml:space="preserve"> REF _Ref89206195 \n \h </w:instrText>
      </w:r>
      <w:r w:rsidR="00E0527C">
        <w:rPr>
          <w:lang w:eastAsia="en-US"/>
        </w:rPr>
      </w:r>
      <w:r w:rsidR="00E0527C">
        <w:rPr>
          <w:lang w:eastAsia="en-US"/>
        </w:rPr>
        <w:fldChar w:fldCharType="separate"/>
      </w:r>
      <w:r w:rsidR="00E0527C">
        <w:rPr>
          <w:lang w:eastAsia="en-US"/>
        </w:rPr>
        <w:t>3</w:t>
      </w:r>
      <w:r w:rsidR="00E0527C">
        <w:rPr>
          <w:lang w:eastAsia="en-US"/>
        </w:rPr>
        <w:fldChar w:fldCharType="end"/>
      </w:r>
      <w:r w:rsidR="00B22535">
        <w:rPr>
          <w:lang w:eastAsia="en-US"/>
        </w:rPr>
        <w:t>–</w:t>
      </w:r>
      <w:r w:rsidR="00B22535">
        <w:rPr>
          <w:lang w:eastAsia="en-US"/>
        </w:rPr>
        <w:fldChar w:fldCharType="begin"/>
      </w:r>
      <w:r w:rsidR="00B22535">
        <w:rPr>
          <w:lang w:eastAsia="en-US"/>
        </w:rPr>
        <w:instrText xml:space="preserve"> REF _Ref89206253 \n \p \h </w:instrText>
      </w:r>
      <w:r w:rsidR="00B22535">
        <w:rPr>
          <w:lang w:eastAsia="en-US"/>
        </w:rPr>
      </w:r>
      <w:r w:rsidR="00B22535">
        <w:rPr>
          <w:lang w:eastAsia="en-US"/>
        </w:rPr>
        <w:fldChar w:fldCharType="separate"/>
      </w:r>
      <w:r w:rsidR="00B22535">
        <w:rPr>
          <w:lang w:eastAsia="en-US"/>
        </w:rPr>
        <w:t>4 above</w:t>
      </w:r>
      <w:r w:rsidR="00B22535">
        <w:rPr>
          <w:lang w:eastAsia="en-US"/>
        </w:rPr>
        <w:fldChar w:fldCharType="end"/>
      </w:r>
      <w:r w:rsidR="00CC0A78">
        <w:rPr>
          <w:lang w:eastAsia="en-US"/>
        </w:rPr>
        <w:t xml:space="preserve"> could be used to cover the budget of the international transaction log for future bienniums;</w:t>
      </w:r>
    </w:p>
    <w:p w14:paraId="598F19E3" w14:textId="76B5EE76" w:rsidR="00CC0A78" w:rsidRDefault="00D23317" w:rsidP="00D23317">
      <w:pPr>
        <w:pStyle w:val="RegSingleTxtG"/>
        <w:numPr>
          <w:ilvl w:val="0"/>
          <w:numId w:val="0"/>
        </w:numPr>
        <w:tabs>
          <w:tab w:val="left" w:pos="2269"/>
        </w:tabs>
        <w:ind w:left="1134"/>
        <w:rPr>
          <w:lang w:eastAsia="en-US"/>
        </w:rPr>
      </w:pPr>
      <w:r>
        <w:rPr>
          <w:lang w:eastAsia="en-US"/>
        </w:rPr>
        <w:t>7.</w:t>
      </w:r>
      <w:r>
        <w:rPr>
          <w:lang w:eastAsia="en-US"/>
        </w:rPr>
        <w:tab/>
      </w:r>
      <w:r w:rsidR="00CC0A78">
        <w:rPr>
          <w:i/>
          <w:iCs/>
          <w:lang w:eastAsia="en-US"/>
        </w:rPr>
        <w:t>Requests</w:t>
      </w:r>
      <w:r w:rsidR="00CC0A78">
        <w:rPr>
          <w:lang w:eastAsia="en-US"/>
        </w:rPr>
        <w:t xml:space="preserve"> the administrator of the international transaction log to disclose in its annual reports the unspent balance of the Trust Fund for the International Transaction Log from the previous biennium as at the time of publication of the annual report;</w:t>
      </w:r>
    </w:p>
    <w:p w14:paraId="61E0EC55" w14:textId="16EF55A9" w:rsidR="00CC0A78" w:rsidRDefault="00D23317" w:rsidP="00D23317">
      <w:pPr>
        <w:pStyle w:val="RegSingleTxtG"/>
        <w:numPr>
          <w:ilvl w:val="0"/>
          <w:numId w:val="0"/>
        </w:numPr>
        <w:tabs>
          <w:tab w:val="left" w:pos="2269"/>
        </w:tabs>
        <w:ind w:left="1134"/>
        <w:rPr>
          <w:lang w:eastAsia="en-US"/>
        </w:rPr>
      </w:pPr>
      <w:r>
        <w:rPr>
          <w:lang w:eastAsia="en-US"/>
        </w:rPr>
        <w:t>8.</w:t>
      </w:r>
      <w:r>
        <w:rPr>
          <w:lang w:eastAsia="en-US"/>
        </w:rPr>
        <w:tab/>
      </w:r>
      <w:r w:rsidR="00CC0A78">
        <w:rPr>
          <w:i/>
          <w:iCs/>
          <w:lang w:eastAsia="en-US"/>
        </w:rPr>
        <w:t>Adopts</w:t>
      </w:r>
      <w:r w:rsidR="00CC0A78">
        <w:rPr>
          <w:lang w:eastAsia="en-US"/>
        </w:rPr>
        <w:t xml:space="preserve"> the scale of fees for the international transaction log for the biennium 2022–2023 contained in the annex;</w:t>
      </w:r>
    </w:p>
    <w:p w14:paraId="0CD7750A" w14:textId="26C51982" w:rsidR="00CC0A78" w:rsidRDefault="00D23317" w:rsidP="00D23317">
      <w:pPr>
        <w:pStyle w:val="RegSingleTxtG"/>
        <w:numPr>
          <w:ilvl w:val="0"/>
          <w:numId w:val="0"/>
        </w:numPr>
        <w:tabs>
          <w:tab w:val="left" w:pos="2269"/>
        </w:tabs>
        <w:ind w:left="1134"/>
        <w:rPr>
          <w:lang w:eastAsia="en-US"/>
        </w:rPr>
      </w:pPr>
      <w:bookmarkStart w:id="76" w:name="_Ref89206361"/>
      <w:r>
        <w:rPr>
          <w:lang w:eastAsia="en-US"/>
        </w:rPr>
        <w:t>9.</w:t>
      </w:r>
      <w:r>
        <w:rPr>
          <w:lang w:eastAsia="en-US"/>
        </w:rPr>
        <w:tab/>
      </w:r>
      <w:r w:rsidR="00CC0A78">
        <w:rPr>
          <w:i/>
          <w:iCs/>
          <w:lang w:eastAsia="en-US"/>
        </w:rPr>
        <w:t>Decides</w:t>
      </w:r>
      <w:r w:rsidR="00CC0A78">
        <w:rPr>
          <w:lang w:eastAsia="en-US"/>
        </w:rPr>
        <w:t xml:space="preserve"> that fees for the international transaction log paid by a Party for the biennium 2022–2023 shall be calculated by multiplying the scale of fees for that Party contained in the annex by the budget for the international transaction log for the biennium 2022–2023 and adjusted for Parties currently not connected to the international transaction log, taking into account the amount drawn from unspent balances as set out in paragraph </w:t>
      </w:r>
      <w:r w:rsidR="00D3483C">
        <w:rPr>
          <w:lang w:eastAsia="en-US"/>
        </w:rPr>
        <w:fldChar w:fldCharType="begin"/>
      </w:r>
      <w:r w:rsidR="00D3483C">
        <w:rPr>
          <w:lang w:eastAsia="en-US"/>
        </w:rPr>
        <w:instrText xml:space="preserve"> REF _Ref89206195 \n \p \h </w:instrText>
      </w:r>
      <w:r w:rsidR="00D3483C">
        <w:rPr>
          <w:lang w:eastAsia="en-US"/>
        </w:rPr>
      </w:r>
      <w:r w:rsidR="00D3483C">
        <w:rPr>
          <w:lang w:eastAsia="en-US"/>
        </w:rPr>
        <w:fldChar w:fldCharType="separate"/>
      </w:r>
      <w:r w:rsidR="00D3483C">
        <w:rPr>
          <w:lang w:eastAsia="en-US"/>
        </w:rPr>
        <w:t>3 above</w:t>
      </w:r>
      <w:r w:rsidR="00D3483C">
        <w:rPr>
          <w:lang w:eastAsia="en-US"/>
        </w:rPr>
        <w:fldChar w:fldCharType="end"/>
      </w:r>
      <w:r w:rsidR="00CC0A78">
        <w:rPr>
          <w:lang w:eastAsia="en-US"/>
        </w:rPr>
        <w:t>, with the balance of fees for the first year of the biennium being equal to the balance of fees for the second year of the biennium, as contained in the annex;</w:t>
      </w:r>
      <w:bookmarkEnd w:id="76"/>
    </w:p>
    <w:p w14:paraId="40B1B349" w14:textId="0C39F6FE" w:rsidR="00CC0A78" w:rsidRDefault="00D23317" w:rsidP="00D23317">
      <w:pPr>
        <w:pStyle w:val="RegSingleTxtG"/>
        <w:numPr>
          <w:ilvl w:val="0"/>
          <w:numId w:val="0"/>
        </w:numPr>
        <w:tabs>
          <w:tab w:val="left" w:pos="2269"/>
        </w:tabs>
        <w:ind w:left="1134"/>
        <w:rPr>
          <w:lang w:eastAsia="en-US"/>
        </w:rPr>
      </w:pPr>
      <w:r>
        <w:rPr>
          <w:lang w:eastAsia="en-US"/>
        </w:rPr>
        <w:t>10.</w:t>
      </w:r>
      <w:r>
        <w:rPr>
          <w:lang w:eastAsia="en-US"/>
        </w:rPr>
        <w:tab/>
      </w:r>
      <w:r w:rsidR="00CC0A78">
        <w:rPr>
          <w:i/>
          <w:iCs/>
          <w:lang w:eastAsia="en-US"/>
        </w:rPr>
        <w:t>Requests</w:t>
      </w:r>
      <w:r w:rsidR="00CC0A78">
        <w:rPr>
          <w:lang w:eastAsia="en-US"/>
        </w:rPr>
        <w:t xml:space="preserve"> the Executive Secretary to notify Parties connected to the international transaction log in the biennium 2022–2023 of the annual fees, calculated in accordance with paragraph </w:t>
      </w:r>
      <w:r w:rsidR="00E71179">
        <w:rPr>
          <w:lang w:eastAsia="en-US"/>
        </w:rPr>
        <w:fldChar w:fldCharType="begin"/>
      </w:r>
      <w:r w:rsidR="00E71179">
        <w:rPr>
          <w:lang w:eastAsia="en-US"/>
        </w:rPr>
        <w:instrText xml:space="preserve"> REF _Ref89206361 \n \p \h </w:instrText>
      </w:r>
      <w:r w:rsidR="00E71179">
        <w:rPr>
          <w:lang w:eastAsia="en-US"/>
        </w:rPr>
      </w:r>
      <w:r w:rsidR="00E71179">
        <w:rPr>
          <w:lang w:eastAsia="en-US"/>
        </w:rPr>
        <w:fldChar w:fldCharType="separate"/>
      </w:r>
      <w:r w:rsidR="00E71179">
        <w:rPr>
          <w:lang w:eastAsia="en-US"/>
        </w:rPr>
        <w:t>9 above</w:t>
      </w:r>
      <w:r w:rsidR="00E71179">
        <w:rPr>
          <w:lang w:eastAsia="en-US"/>
        </w:rPr>
        <w:fldChar w:fldCharType="end"/>
      </w:r>
      <w:r w:rsidR="00CC0A78">
        <w:rPr>
          <w:lang w:eastAsia="en-US"/>
        </w:rPr>
        <w:t>, as early as possible and at least four months in advance of the relevant calendar year, where possible;</w:t>
      </w:r>
    </w:p>
    <w:p w14:paraId="7C37C943" w14:textId="0F92C270" w:rsidR="00CC0A78" w:rsidRDefault="00D23317" w:rsidP="00D23317">
      <w:pPr>
        <w:pStyle w:val="RegSingleTxtG"/>
        <w:numPr>
          <w:ilvl w:val="0"/>
          <w:numId w:val="0"/>
        </w:numPr>
        <w:tabs>
          <w:tab w:val="left" w:pos="2269"/>
        </w:tabs>
        <w:ind w:left="1134"/>
        <w:rPr>
          <w:lang w:eastAsia="en-US"/>
        </w:rPr>
      </w:pPr>
      <w:r>
        <w:rPr>
          <w:lang w:eastAsia="en-US"/>
        </w:rPr>
        <w:t>11.</w:t>
      </w:r>
      <w:r>
        <w:rPr>
          <w:lang w:eastAsia="en-US"/>
        </w:rPr>
        <w:tab/>
      </w:r>
      <w:r w:rsidR="00CC0A78">
        <w:rPr>
          <w:i/>
          <w:iCs/>
          <w:lang w:eastAsia="en-US"/>
        </w:rPr>
        <w:t>Decides</w:t>
      </w:r>
      <w:r w:rsidR="00CC0A78">
        <w:rPr>
          <w:lang w:eastAsia="en-US"/>
        </w:rPr>
        <w:t xml:space="preserve"> that, if a Party connects to the international transaction log for the first time or reconnects to it, the scale of fees for that Party shall be that contained in the annex, or, for Parties not listed in the table contained in the annex, shall be made equal to 130 per cent of their Kyoto Protocol adjusted scale for the relevant biennium;</w:t>
      </w:r>
    </w:p>
    <w:p w14:paraId="03311611" w14:textId="4F33C17D" w:rsidR="00CC0A78" w:rsidRDefault="00D23317" w:rsidP="00D23317">
      <w:pPr>
        <w:pStyle w:val="RegSingleTxtG"/>
        <w:numPr>
          <w:ilvl w:val="0"/>
          <w:numId w:val="0"/>
        </w:numPr>
        <w:tabs>
          <w:tab w:val="left" w:pos="2269"/>
        </w:tabs>
        <w:ind w:left="1134"/>
        <w:rPr>
          <w:lang w:eastAsia="en-US"/>
        </w:rPr>
      </w:pPr>
      <w:r>
        <w:rPr>
          <w:lang w:eastAsia="en-US"/>
        </w:rPr>
        <w:t>12.</w:t>
      </w:r>
      <w:r>
        <w:rPr>
          <w:lang w:eastAsia="en-US"/>
        </w:rPr>
        <w:tab/>
      </w:r>
      <w:r w:rsidR="00CC0A78">
        <w:rPr>
          <w:i/>
          <w:iCs/>
          <w:lang w:eastAsia="en-US"/>
        </w:rPr>
        <w:t>Also decides</w:t>
      </w:r>
      <w:r w:rsidR="00CC0A78">
        <w:rPr>
          <w:lang w:eastAsia="en-US"/>
        </w:rPr>
        <w:t xml:space="preserve"> that fees paid by a Party that connects to the international transaction log for the first time or reconnects to it shall be deducted from the resource requirement for activities relating to the international transaction log in the next biennium;</w:t>
      </w:r>
    </w:p>
    <w:p w14:paraId="0D282E12" w14:textId="6B30EE52" w:rsidR="00CC0A78" w:rsidRDefault="00D23317" w:rsidP="00D23317">
      <w:pPr>
        <w:pStyle w:val="RegSingleTxtG"/>
        <w:numPr>
          <w:ilvl w:val="0"/>
          <w:numId w:val="0"/>
        </w:numPr>
        <w:tabs>
          <w:tab w:val="left" w:pos="2269"/>
        </w:tabs>
        <w:ind w:left="1134"/>
        <w:rPr>
          <w:lang w:eastAsia="en-US"/>
        </w:rPr>
      </w:pPr>
      <w:r>
        <w:rPr>
          <w:lang w:eastAsia="en-US"/>
        </w:rPr>
        <w:t>13.</w:t>
      </w:r>
      <w:r>
        <w:rPr>
          <w:lang w:eastAsia="en-US"/>
        </w:rPr>
        <w:tab/>
      </w:r>
      <w:r w:rsidR="00CC0A78">
        <w:rPr>
          <w:i/>
          <w:iCs/>
          <w:lang w:eastAsia="en-US"/>
        </w:rPr>
        <w:t>Further decides</w:t>
      </w:r>
      <w:r w:rsidR="00CC0A78">
        <w:rPr>
          <w:lang w:eastAsia="en-US"/>
        </w:rPr>
        <w:t xml:space="preserve"> that fees paid by a Party that connects to the international transaction log for the first time or reconnects to it during the biennium 2022–2023 shall be proportioned for the period between the date of connection or reconnection of its registry and the end of the biennium, except for the period for which the fees were already paid;</w:t>
      </w:r>
    </w:p>
    <w:p w14:paraId="597C1C3E" w14:textId="7F012D39" w:rsidR="00CC0A78" w:rsidRDefault="00D23317" w:rsidP="00D23317">
      <w:pPr>
        <w:pStyle w:val="RegSingleTxtG"/>
        <w:numPr>
          <w:ilvl w:val="0"/>
          <w:numId w:val="0"/>
        </w:numPr>
        <w:tabs>
          <w:tab w:val="left" w:pos="2269"/>
        </w:tabs>
        <w:ind w:left="1134"/>
        <w:rPr>
          <w:lang w:eastAsia="en-US"/>
        </w:rPr>
      </w:pPr>
      <w:r>
        <w:rPr>
          <w:lang w:eastAsia="en-US"/>
        </w:rPr>
        <w:t>14.</w:t>
      </w:r>
      <w:r>
        <w:rPr>
          <w:lang w:eastAsia="en-US"/>
        </w:rPr>
        <w:tab/>
      </w:r>
      <w:r w:rsidR="00CC0A78">
        <w:rPr>
          <w:i/>
          <w:iCs/>
          <w:lang w:eastAsia="en-US"/>
        </w:rPr>
        <w:t>Decides</w:t>
      </w:r>
      <w:r w:rsidR="00CC0A78">
        <w:rPr>
          <w:lang w:eastAsia="en-US"/>
        </w:rPr>
        <w:t xml:space="preserve"> that, where a Party disconnects during the biennium 2022–2023, the Party shall cover the fees for the full year in which the disconnection took place, and that, if the disconnection takes place in the first year of the biennium and the Party does not reconnect in the second year of the biennium, fees for the second year of the biennium shall not apply;</w:t>
      </w:r>
    </w:p>
    <w:p w14:paraId="09544DBC" w14:textId="0874AC43" w:rsidR="00CC0A78" w:rsidRDefault="00D23317" w:rsidP="00D23317">
      <w:pPr>
        <w:pStyle w:val="RegSingleTxtG"/>
        <w:numPr>
          <w:ilvl w:val="0"/>
          <w:numId w:val="0"/>
        </w:numPr>
        <w:tabs>
          <w:tab w:val="left" w:pos="2269"/>
        </w:tabs>
        <w:ind w:left="1134"/>
        <w:rPr>
          <w:lang w:eastAsia="en-US"/>
        </w:rPr>
      </w:pPr>
      <w:r>
        <w:rPr>
          <w:lang w:eastAsia="en-US"/>
        </w:rPr>
        <w:t>15.</w:t>
      </w:r>
      <w:r>
        <w:rPr>
          <w:lang w:eastAsia="en-US"/>
        </w:rPr>
        <w:tab/>
      </w:r>
      <w:r w:rsidR="00CC0A78">
        <w:rPr>
          <w:i/>
          <w:iCs/>
          <w:lang w:eastAsia="en-US"/>
        </w:rPr>
        <w:t>Also decides</w:t>
      </w:r>
      <w:r w:rsidR="00CC0A78">
        <w:rPr>
          <w:lang w:eastAsia="en-US"/>
        </w:rPr>
        <w:t xml:space="preserve"> that, where a Party disconnected prior to the biennium 2022–2023, the fees shall not apply until the Party reconnects to the international transaction log;</w:t>
      </w:r>
    </w:p>
    <w:p w14:paraId="0236D9FA" w14:textId="5B633853" w:rsidR="00CC0A78" w:rsidRDefault="00D23317" w:rsidP="00D23317">
      <w:pPr>
        <w:pStyle w:val="RegSingleTxtG"/>
        <w:numPr>
          <w:ilvl w:val="0"/>
          <w:numId w:val="0"/>
        </w:numPr>
        <w:tabs>
          <w:tab w:val="left" w:pos="2269"/>
        </w:tabs>
        <w:ind w:left="1134"/>
        <w:rPr>
          <w:lang w:eastAsia="en-US"/>
        </w:rPr>
      </w:pPr>
      <w:r>
        <w:rPr>
          <w:lang w:eastAsia="en-US"/>
        </w:rPr>
        <w:t>16.</w:t>
      </w:r>
      <w:r>
        <w:rPr>
          <w:lang w:eastAsia="en-US"/>
        </w:rPr>
        <w:tab/>
      </w:r>
      <w:r w:rsidR="00CC0A78">
        <w:rPr>
          <w:i/>
          <w:iCs/>
          <w:lang w:eastAsia="en-US"/>
        </w:rPr>
        <w:t xml:space="preserve">Authorizes </w:t>
      </w:r>
      <w:r w:rsidR="00CC0A78">
        <w:rPr>
          <w:lang w:eastAsia="en-US"/>
        </w:rPr>
        <w:t>the international transaction log administrator to disconnect the registry of a Party from the international transaction log in the event of the non-payment of fees by that Party, provided that such disconnection shall not be effected earlier than four months after the beginning of the relevant calendar year, at least two reminders have already been given to the Party and consultations have taken place with the Party concerned prior to the final reminder;</w:t>
      </w:r>
    </w:p>
    <w:p w14:paraId="0D54F389" w14:textId="2B82FE51" w:rsidR="00CC0A78" w:rsidRDefault="00D23317" w:rsidP="00D23317">
      <w:pPr>
        <w:pStyle w:val="RegSingleTxtG"/>
        <w:numPr>
          <w:ilvl w:val="0"/>
          <w:numId w:val="0"/>
        </w:numPr>
        <w:tabs>
          <w:tab w:val="left" w:pos="2269"/>
        </w:tabs>
        <w:ind w:left="1134"/>
        <w:rPr>
          <w:lang w:eastAsia="en-US"/>
        </w:rPr>
      </w:pPr>
      <w:r>
        <w:rPr>
          <w:lang w:eastAsia="en-US"/>
        </w:rPr>
        <w:t>17.</w:t>
      </w:r>
      <w:r>
        <w:rPr>
          <w:lang w:eastAsia="en-US"/>
        </w:rPr>
        <w:tab/>
      </w:r>
      <w:r w:rsidR="00CC0A78">
        <w:rPr>
          <w:i/>
          <w:iCs/>
          <w:lang w:eastAsia="en-US"/>
        </w:rPr>
        <w:t xml:space="preserve">Requests </w:t>
      </w:r>
      <w:r w:rsidR="00CC0A78">
        <w:rPr>
          <w:lang w:eastAsia="en-US"/>
        </w:rPr>
        <w:t>the international transaction log administrator to provide, in its annual reports for 2022 and 2023, information on transactions of Kyoto Protocol units;</w:t>
      </w:r>
    </w:p>
    <w:p w14:paraId="0F0F8C97" w14:textId="46B86838" w:rsidR="00CC0A78" w:rsidRDefault="00D23317" w:rsidP="00D23317">
      <w:pPr>
        <w:pStyle w:val="RegSingleTxtG"/>
        <w:numPr>
          <w:ilvl w:val="0"/>
          <w:numId w:val="0"/>
        </w:numPr>
        <w:tabs>
          <w:tab w:val="left" w:pos="2269"/>
        </w:tabs>
        <w:ind w:left="1134"/>
      </w:pPr>
      <w:r>
        <w:t>18.</w:t>
      </w:r>
      <w:r>
        <w:tab/>
      </w:r>
      <w:r w:rsidR="00CC0A78">
        <w:rPr>
          <w:i/>
          <w:iCs/>
          <w:lang w:eastAsia="en-US"/>
        </w:rPr>
        <w:t>Also requests</w:t>
      </w:r>
      <w:r w:rsidR="00CC0A78">
        <w:rPr>
          <w:lang w:eastAsia="en-US"/>
        </w:rPr>
        <w:t xml:space="preserve"> the international transaction log administrator to publish, in its annual reports, a table listing the scale and the level of fees and the status of payments for all Parties connected to the international transaction log.</w:t>
      </w:r>
      <w:r w:rsidR="00CC0A78">
        <w:t xml:space="preserve"> </w:t>
      </w:r>
    </w:p>
    <w:p w14:paraId="55C1340C" w14:textId="77777777" w:rsidR="00F67E89" w:rsidRDefault="00F67E89" w:rsidP="00CC0A78">
      <w:pPr>
        <w:suppressAutoHyphens w:val="0"/>
        <w:spacing w:line="240" w:lineRule="auto"/>
        <w:sectPr w:rsidR="00F67E89" w:rsidSect="001B0963">
          <w:headerReference w:type="even" r:id="rId69"/>
          <w:headerReference w:type="default" r:id="rId70"/>
          <w:footerReference w:type="even" r:id="rId71"/>
          <w:footerReference w:type="default" r:id="rId72"/>
          <w:footerReference w:type="first" r:id="rId73"/>
          <w:footnotePr>
            <w:numRestart w:val="eachSect"/>
          </w:footnotePr>
          <w:pgSz w:w="11906" w:h="16838" w:code="9"/>
          <w:pgMar w:top="1417" w:right="1134" w:bottom="1134" w:left="1134" w:header="850" w:footer="567" w:gutter="0"/>
          <w:cols w:space="708"/>
          <w:docGrid w:linePitch="360"/>
        </w:sectPr>
      </w:pPr>
    </w:p>
    <w:p w14:paraId="79928492" w14:textId="77777777" w:rsidR="00CC0A78" w:rsidRDefault="00CC0A78" w:rsidP="006D558B">
      <w:pPr>
        <w:pStyle w:val="HChG"/>
        <w:spacing w:before="240" w:after="200"/>
      </w:pPr>
      <w:r>
        <w:t>Annex</w:t>
      </w:r>
    </w:p>
    <w:p w14:paraId="04F4C609" w14:textId="77777777" w:rsidR="00CC0A78" w:rsidRDefault="00CC0A78" w:rsidP="006D558B">
      <w:pPr>
        <w:pStyle w:val="HChG"/>
        <w:spacing w:before="200"/>
        <w:ind w:right="0"/>
      </w:pPr>
      <w:r>
        <w:tab/>
      </w:r>
      <w:r>
        <w:tab/>
        <w:t xml:space="preserve">Fees for the international transaction log for the biennium 2022–2023 </w:t>
      </w:r>
    </w:p>
    <w:tbl>
      <w:tblPr>
        <w:tblStyle w:val="TableGrid"/>
        <w:tblW w:w="8505"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68"/>
        <w:gridCol w:w="1188"/>
        <w:gridCol w:w="1212"/>
        <w:gridCol w:w="1212"/>
        <w:gridCol w:w="1212"/>
        <w:gridCol w:w="1213"/>
      </w:tblGrid>
      <w:tr w:rsidR="00CC0A78" w14:paraId="5765C518" w14:textId="77777777" w:rsidTr="00CC0A78">
        <w:trPr>
          <w:tblHeader/>
        </w:trPr>
        <w:tc>
          <w:tcPr>
            <w:tcW w:w="2468" w:type="dxa"/>
            <w:tcBorders>
              <w:top w:val="single" w:sz="4" w:space="0" w:color="auto"/>
              <w:left w:val="nil"/>
              <w:bottom w:val="single" w:sz="12" w:space="0" w:color="auto"/>
              <w:right w:val="nil"/>
            </w:tcBorders>
            <w:vAlign w:val="bottom"/>
            <w:hideMark/>
          </w:tcPr>
          <w:p w14:paraId="3D5DF773" w14:textId="77777777" w:rsidR="00CC0A78" w:rsidRDefault="00CC0A78">
            <w:pPr>
              <w:spacing w:before="40" w:after="40" w:line="180" w:lineRule="exact"/>
              <w:ind w:right="113"/>
              <w:rPr>
                <w:i/>
                <w:sz w:val="16"/>
                <w:lang w:val="en-US"/>
              </w:rPr>
            </w:pPr>
            <w:r>
              <w:rPr>
                <w:i/>
                <w:sz w:val="16"/>
                <w:lang w:val="en-US"/>
              </w:rPr>
              <w:t>Party</w:t>
            </w:r>
          </w:p>
        </w:tc>
        <w:tc>
          <w:tcPr>
            <w:tcW w:w="1188" w:type="dxa"/>
            <w:tcBorders>
              <w:top w:val="single" w:sz="4" w:space="0" w:color="auto"/>
              <w:left w:val="nil"/>
              <w:bottom w:val="single" w:sz="12" w:space="0" w:color="auto"/>
              <w:right w:val="nil"/>
            </w:tcBorders>
            <w:vAlign w:val="bottom"/>
            <w:hideMark/>
          </w:tcPr>
          <w:p w14:paraId="58EAC8BF" w14:textId="77777777" w:rsidR="00CC0A78" w:rsidRDefault="00CC0A78">
            <w:pPr>
              <w:spacing w:before="40" w:after="40" w:line="180" w:lineRule="exact"/>
              <w:ind w:right="113"/>
              <w:jc w:val="right"/>
              <w:rPr>
                <w:i/>
                <w:sz w:val="16"/>
                <w:lang w:val="en-US"/>
              </w:rPr>
            </w:pPr>
            <w:r>
              <w:rPr>
                <w:i/>
                <w:sz w:val="16"/>
                <w:lang w:val="en-US"/>
              </w:rPr>
              <w:t>Scale of fees for 2022–2023</w:t>
            </w:r>
            <w:r>
              <w:rPr>
                <w:i/>
                <w:sz w:val="16"/>
                <w:lang w:val="en-US"/>
              </w:rPr>
              <w:br/>
              <w:t>(%)</w:t>
            </w:r>
          </w:p>
        </w:tc>
        <w:tc>
          <w:tcPr>
            <w:tcW w:w="1212" w:type="dxa"/>
            <w:tcBorders>
              <w:top w:val="single" w:sz="4" w:space="0" w:color="auto"/>
              <w:left w:val="nil"/>
              <w:bottom w:val="single" w:sz="12" w:space="0" w:color="auto"/>
              <w:right w:val="nil"/>
            </w:tcBorders>
            <w:vAlign w:val="bottom"/>
            <w:hideMark/>
          </w:tcPr>
          <w:p w14:paraId="42243CA6" w14:textId="77777777" w:rsidR="00CC0A78" w:rsidRDefault="00CC0A78">
            <w:pPr>
              <w:spacing w:before="40" w:after="40" w:line="180" w:lineRule="exact"/>
              <w:ind w:right="113"/>
              <w:jc w:val="right"/>
              <w:rPr>
                <w:i/>
                <w:sz w:val="16"/>
                <w:lang w:val="en-US"/>
              </w:rPr>
            </w:pPr>
            <w:r>
              <w:rPr>
                <w:i/>
                <w:sz w:val="16"/>
                <w:lang w:val="en-US"/>
              </w:rPr>
              <w:t>Calculated fees for 2022 before credit from unspent balances</w:t>
            </w:r>
            <w:r>
              <w:rPr>
                <w:i/>
                <w:sz w:val="16"/>
                <w:lang w:val="en-US"/>
              </w:rPr>
              <w:br/>
              <w:t>(EUR)</w:t>
            </w:r>
          </w:p>
        </w:tc>
        <w:tc>
          <w:tcPr>
            <w:tcW w:w="1212" w:type="dxa"/>
            <w:tcBorders>
              <w:top w:val="single" w:sz="4" w:space="0" w:color="auto"/>
              <w:left w:val="nil"/>
              <w:bottom w:val="single" w:sz="12" w:space="0" w:color="auto"/>
              <w:right w:val="nil"/>
            </w:tcBorders>
            <w:vAlign w:val="bottom"/>
            <w:hideMark/>
          </w:tcPr>
          <w:p w14:paraId="0337906A" w14:textId="77777777" w:rsidR="00CC0A78" w:rsidRDefault="00CC0A78">
            <w:pPr>
              <w:spacing w:before="40" w:after="40" w:line="180" w:lineRule="exact"/>
              <w:ind w:right="113"/>
              <w:jc w:val="right"/>
              <w:rPr>
                <w:i/>
                <w:sz w:val="16"/>
                <w:lang w:val="en-US"/>
              </w:rPr>
            </w:pPr>
            <w:r>
              <w:rPr>
                <w:i/>
                <w:sz w:val="16"/>
                <w:lang w:val="en-US"/>
              </w:rPr>
              <w:t>Calculated fees for 2023 before credit from unspent balances</w:t>
            </w:r>
            <w:r>
              <w:rPr>
                <w:i/>
                <w:sz w:val="16"/>
                <w:lang w:val="en-US"/>
              </w:rPr>
              <w:br/>
              <w:t>(EUR)</w:t>
            </w:r>
          </w:p>
        </w:tc>
        <w:tc>
          <w:tcPr>
            <w:tcW w:w="1212" w:type="dxa"/>
            <w:tcBorders>
              <w:top w:val="single" w:sz="4" w:space="0" w:color="auto"/>
              <w:left w:val="nil"/>
              <w:bottom w:val="single" w:sz="12" w:space="0" w:color="auto"/>
              <w:right w:val="nil"/>
            </w:tcBorders>
            <w:vAlign w:val="bottom"/>
            <w:hideMark/>
          </w:tcPr>
          <w:p w14:paraId="05ABD966" w14:textId="77777777" w:rsidR="00CC0A78" w:rsidRDefault="00CC0A78">
            <w:pPr>
              <w:spacing w:before="40" w:after="40" w:line="180" w:lineRule="exact"/>
              <w:ind w:right="113"/>
              <w:jc w:val="right"/>
              <w:rPr>
                <w:i/>
                <w:sz w:val="16"/>
                <w:lang w:val="en-US"/>
              </w:rPr>
            </w:pPr>
            <w:r>
              <w:rPr>
                <w:i/>
                <w:sz w:val="16"/>
                <w:lang w:val="en-US"/>
              </w:rPr>
              <w:t>Balance of fees for 2022 after credit from unspent balances</w:t>
            </w:r>
            <w:r>
              <w:rPr>
                <w:i/>
                <w:sz w:val="16"/>
                <w:lang w:val="en-US"/>
              </w:rPr>
              <w:br/>
              <w:t>(EUR)</w:t>
            </w:r>
          </w:p>
        </w:tc>
        <w:tc>
          <w:tcPr>
            <w:tcW w:w="1213" w:type="dxa"/>
            <w:tcBorders>
              <w:top w:val="single" w:sz="4" w:space="0" w:color="auto"/>
              <w:left w:val="nil"/>
              <w:bottom w:val="single" w:sz="12" w:space="0" w:color="auto"/>
              <w:right w:val="nil"/>
            </w:tcBorders>
            <w:vAlign w:val="bottom"/>
            <w:hideMark/>
          </w:tcPr>
          <w:p w14:paraId="2CBFDBF3" w14:textId="77777777" w:rsidR="00CC0A78" w:rsidRDefault="00CC0A78">
            <w:pPr>
              <w:spacing w:before="40" w:after="40" w:line="180" w:lineRule="exact"/>
              <w:ind w:right="113"/>
              <w:jc w:val="right"/>
              <w:rPr>
                <w:i/>
                <w:sz w:val="16"/>
                <w:lang w:val="en-US"/>
              </w:rPr>
            </w:pPr>
            <w:r>
              <w:rPr>
                <w:i/>
                <w:sz w:val="16"/>
                <w:lang w:val="en-US"/>
              </w:rPr>
              <w:t>Balance of fees for 2023 after credit from unspent balances</w:t>
            </w:r>
            <w:r>
              <w:rPr>
                <w:i/>
                <w:sz w:val="16"/>
                <w:lang w:val="en-US"/>
              </w:rPr>
              <w:br/>
              <w:t>(EUR)</w:t>
            </w:r>
          </w:p>
        </w:tc>
      </w:tr>
      <w:tr w:rsidR="00CC0A78" w14:paraId="2BCAF133" w14:textId="77777777" w:rsidTr="00CC0A78">
        <w:trPr>
          <w:trHeight w:val="227"/>
        </w:trPr>
        <w:tc>
          <w:tcPr>
            <w:tcW w:w="2468" w:type="dxa"/>
            <w:tcBorders>
              <w:top w:val="single" w:sz="12" w:space="0" w:color="auto"/>
              <w:left w:val="nil"/>
              <w:bottom w:val="nil"/>
              <w:right w:val="nil"/>
            </w:tcBorders>
            <w:vAlign w:val="bottom"/>
            <w:hideMark/>
          </w:tcPr>
          <w:p w14:paraId="764713C7" w14:textId="77777777" w:rsidR="00CC0A78" w:rsidRDefault="00CC0A78">
            <w:pPr>
              <w:spacing w:line="240" w:lineRule="auto"/>
              <w:ind w:right="113"/>
              <w:rPr>
                <w:lang w:val="en-US"/>
              </w:rPr>
            </w:pPr>
            <w:r>
              <w:rPr>
                <w:color w:val="000000"/>
                <w:sz w:val="18"/>
                <w:szCs w:val="18"/>
                <w:lang w:val="en-US"/>
              </w:rPr>
              <w:t>Australia</w:t>
            </w:r>
          </w:p>
        </w:tc>
        <w:tc>
          <w:tcPr>
            <w:tcW w:w="1188" w:type="dxa"/>
            <w:tcBorders>
              <w:top w:val="single" w:sz="12" w:space="0" w:color="auto"/>
              <w:left w:val="nil"/>
              <w:bottom w:val="nil"/>
              <w:right w:val="nil"/>
            </w:tcBorders>
            <w:vAlign w:val="bottom"/>
            <w:hideMark/>
          </w:tcPr>
          <w:p w14:paraId="1FCEAA96" w14:textId="77777777" w:rsidR="00CC0A78" w:rsidRDefault="00CC0A78">
            <w:pPr>
              <w:spacing w:line="240" w:lineRule="auto"/>
              <w:ind w:right="113"/>
              <w:jc w:val="right"/>
              <w:rPr>
                <w:sz w:val="18"/>
                <w:szCs w:val="18"/>
                <w:lang w:val="en-US"/>
              </w:rPr>
            </w:pPr>
            <w:r>
              <w:rPr>
                <w:sz w:val="18"/>
                <w:szCs w:val="18"/>
                <w:lang w:val="en-US"/>
              </w:rPr>
              <w:t>2.841</w:t>
            </w:r>
          </w:p>
        </w:tc>
        <w:tc>
          <w:tcPr>
            <w:tcW w:w="1212" w:type="dxa"/>
            <w:vAlign w:val="bottom"/>
            <w:hideMark/>
          </w:tcPr>
          <w:p w14:paraId="5673088B" w14:textId="77777777" w:rsidR="00CC0A78" w:rsidRDefault="00CC0A78">
            <w:pPr>
              <w:spacing w:line="240" w:lineRule="auto"/>
              <w:ind w:right="113"/>
              <w:jc w:val="right"/>
              <w:rPr>
                <w:sz w:val="18"/>
                <w:szCs w:val="18"/>
                <w:lang w:val="en-US"/>
              </w:rPr>
            </w:pPr>
            <w:r>
              <w:rPr>
                <w:sz w:val="18"/>
                <w:szCs w:val="18"/>
                <w:lang w:val="en-US"/>
              </w:rPr>
              <w:t>56 204</w:t>
            </w:r>
          </w:p>
        </w:tc>
        <w:tc>
          <w:tcPr>
            <w:tcW w:w="1212" w:type="dxa"/>
            <w:vAlign w:val="bottom"/>
            <w:hideMark/>
          </w:tcPr>
          <w:p w14:paraId="161BA459" w14:textId="77777777" w:rsidR="00CC0A78" w:rsidRDefault="00CC0A78">
            <w:pPr>
              <w:spacing w:line="240" w:lineRule="auto"/>
              <w:ind w:right="113"/>
              <w:jc w:val="right"/>
              <w:rPr>
                <w:sz w:val="18"/>
                <w:szCs w:val="18"/>
                <w:lang w:val="en-US"/>
              </w:rPr>
            </w:pPr>
            <w:r>
              <w:rPr>
                <w:sz w:val="18"/>
                <w:szCs w:val="18"/>
                <w:lang w:val="en-US"/>
              </w:rPr>
              <w:t>56 204</w:t>
            </w:r>
          </w:p>
        </w:tc>
        <w:tc>
          <w:tcPr>
            <w:tcW w:w="1212" w:type="dxa"/>
            <w:vAlign w:val="bottom"/>
            <w:hideMark/>
          </w:tcPr>
          <w:p w14:paraId="3D7CBABB" w14:textId="77777777" w:rsidR="00CC0A78" w:rsidRDefault="00CC0A78">
            <w:pPr>
              <w:spacing w:line="240" w:lineRule="auto"/>
              <w:ind w:right="113"/>
              <w:jc w:val="right"/>
              <w:rPr>
                <w:sz w:val="18"/>
                <w:szCs w:val="18"/>
                <w:lang w:val="en-US"/>
              </w:rPr>
            </w:pPr>
            <w:r>
              <w:rPr>
                <w:sz w:val="18"/>
                <w:szCs w:val="18"/>
                <w:lang w:val="en-US"/>
              </w:rPr>
              <w:t>19 726</w:t>
            </w:r>
          </w:p>
        </w:tc>
        <w:tc>
          <w:tcPr>
            <w:tcW w:w="1213" w:type="dxa"/>
            <w:vAlign w:val="bottom"/>
            <w:hideMark/>
          </w:tcPr>
          <w:p w14:paraId="75146DF3" w14:textId="77777777" w:rsidR="00CC0A78" w:rsidRDefault="00CC0A78">
            <w:pPr>
              <w:spacing w:line="240" w:lineRule="auto"/>
              <w:ind w:right="113"/>
              <w:jc w:val="right"/>
              <w:rPr>
                <w:sz w:val="18"/>
                <w:szCs w:val="18"/>
                <w:lang w:val="en-US"/>
              </w:rPr>
            </w:pPr>
            <w:r>
              <w:rPr>
                <w:sz w:val="18"/>
                <w:szCs w:val="18"/>
                <w:lang w:val="en-US"/>
              </w:rPr>
              <w:t>19 726</w:t>
            </w:r>
          </w:p>
        </w:tc>
      </w:tr>
      <w:tr w:rsidR="00CC0A78" w14:paraId="7B9AAA9D" w14:textId="77777777" w:rsidTr="00CC0A78">
        <w:trPr>
          <w:trHeight w:val="227"/>
        </w:trPr>
        <w:tc>
          <w:tcPr>
            <w:tcW w:w="2468" w:type="dxa"/>
            <w:vAlign w:val="bottom"/>
            <w:hideMark/>
          </w:tcPr>
          <w:p w14:paraId="2393F6FD" w14:textId="77777777" w:rsidR="00CC0A78" w:rsidRDefault="00CC0A78">
            <w:pPr>
              <w:spacing w:line="240" w:lineRule="auto"/>
              <w:ind w:right="113"/>
              <w:rPr>
                <w:lang w:val="en-US"/>
              </w:rPr>
            </w:pPr>
            <w:r>
              <w:rPr>
                <w:color w:val="000000"/>
                <w:sz w:val="18"/>
                <w:szCs w:val="18"/>
                <w:lang w:val="en-US"/>
              </w:rPr>
              <w:t>Austria</w:t>
            </w:r>
          </w:p>
        </w:tc>
        <w:tc>
          <w:tcPr>
            <w:tcW w:w="1188" w:type="dxa"/>
            <w:vAlign w:val="bottom"/>
            <w:hideMark/>
          </w:tcPr>
          <w:p w14:paraId="7E7709FE" w14:textId="77777777" w:rsidR="00CC0A78" w:rsidRDefault="00CC0A78">
            <w:pPr>
              <w:spacing w:line="240" w:lineRule="auto"/>
              <w:ind w:right="113"/>
              <w:jc w:val="right"/>
              <w:rPr>
                <w:sz w:val="18"/>
                <w:szCs w:val="18"/>
                <w:lang w:val="en-US"/>
              </w:rPr>
            </w:pPr>
            <w:r>
              <w:rPr>
                <w:sz w:val="18"/>
                <w:szCs w:val="18"/>
                <w:lang w:val="en-US"/>
              </w:rPr>
              <w:t>1.588</w:t>
            </w:r>
          </w:p>
        </w:tc>
        <w:tc>
          <w:tcPr>
            <w:tcW w:w="1212" w:type="dxa"/>
            <w:vAlign w:val="bottom"/>
            <w:hideMark/>
          </w:tcPr>
          <w:p w14:paraId="37C75D6B" w14:textId="77777777" w:rsidR="00CC0A78" w:rsidRDefault="00CC0A78">
            <w:pPr>
              <w:spacing w:line="240" w:lineRule="auto"/>
              <w:ind w:right="113"/>
              <w:jc w:val="right"/>
              <w:rPr>
                <w:sz w:val="18"/>
                <w:szCs w:val="18"/>
                <w:lang w:val="en-US"/>
              </w:rPr>
            </w:pPr>
            <w:r>
              <w:rPr>
                <w:sz w:val="18"/>
                <w:szCs w:val="18"/>
                <w:lang w:val="en-US"/>
              </w:rPr>
              <w:t>31 422</w:t>
            </w:r>
          </w:p>
        </w:tc>
        <w:tc>
          <w:tcPr>
            <w:tcW w:w="1212" w:type="dxa"/>
            <w:vAlign w:val="bottom"/>
            <w:hideMark/>
          </w:tcPr>
          <w:p w14:paraId="7657AD5B" w14:textId="77777777" w:rsidR="00CC0A78" w:rsidRDefault="00CC0A78">
            <w:pPr>
              <w:spacing w:line="240" w:lineRule="auto"/>
              <w:ind w:right="113"/>
              <w:jc w:val="right"/>
              <w:rPr>
                <w:sz w:val="18"/>
                <w:szCs w:val="18"/>
                <w:lang w:val="en-US"/>
              </w:rPr>
            </w:pPr>
            <w:r>
              <w:rPr>
                <w:sz w:val="18"/>
                <w:szCs w:val="18"/>
                <w:lang w:val="en-US"/>
              </w:rPr>
              <w:t>31 422</w:t>
            </w:r>
          </w:p>
        </w:tc>
        <w:tc>
          <w:tcPr>
            <w:tcW w:w="1212" w:type="dxa"/>
            <w:vAlign w:val="bottom"/>
            <w:hideMark/>
          </w:tcPr>
          <w:p w14:paraId="1CA273F2" w14:textId="77777777" w:rsidR="00CC0A78" w:rsidRDefault="00CC0A78">
            <w:pPr>
              <w:spacing w:line="240" w:lineRule="auto"/>
              <w:ind w:right="113"/>
              <w:jc w:val="right"/>
              <w:rPr>
                <w:sz w:val="18"/>
                <w:szCs w:val="18"/>
                <w:lang w:val="en-US"/>
              </w:rPr>
            </w:pPr>
            <w:r>
              <w:rPr>
                <w:sz w:val="18"/>
                <w:szCs w:val="18"/>
                <w:lang w:val="en-US"/>
              </w:rPr>
              <w:t>11 029</w:t>
            </w:r>
          </w:p>
        </w:tc>
        <w:tc>
          <w:tcPr>
            <w:tcW w:w="1213" w:type="dxa"/>
            <w:vAlign w:val="bottom"/>
            <w:hideMark/>
          </w:tcPr>
          <w:p w14:paraId="1F46D65F" w14:textId="77777777" w:rsidR="00CC0A78" w:rsidRDefault="00CC0A78">
            <w:pPr>
              <w:spacing w:line="240" w:lineRule="auto"/>
              <w:ind w:right="113"/>
              <w:jc w:val="right"/>
              <w:rPr>
                <w:sz w:val="18"/>
                <w:szCs w:val="18"/>
                <w:lang w:val="en-US"/>
              </w:rPr>
            </w:pPr>
            <w:r>
              <w:rPr>
                <w:sz w:val="18"/>
                <w:szCs w:val="18"/>
                <w:lang w:val="en-US"/>
              </w:rPr>
              <w:t>11 029</w:t>
            </w:r>
          </w:p>
        </w:tc>
      </w:tr>
      <w:tr w:rsidR="00CC0A78" w14:paraId="5D638B19" w14:textId="77777777" w:rsidTr="00CC0A78">
        <w:trPr>
          <w:trHeight w:val="227"/>
        </w:trPr>
        <w:tc>
          <w:tcPr>
            <w:tcW w:w="2468" w:type="dxa"/>
            <w:vAlign w:val="bottom"/>
            <w:hideMark/>
          </w:tcPr>
          <w:p w14:paraId="77903A66" w14:textId="77777777" w:rsidR="00CC0A78" w:rsidRDefault="00CC0A78">
            <w:pPr>
              <w:spacing w:line="240" w:lineRule="auto"/>
              <w:ind w:right="113"/>
              <w:rPr>
                <w:lang w:val="en-US"/>
              </w:rPr>
            </w:pPr>
            <w:r>
              <w:rPr>
                <w:color w:val="000000"/>
                <w:sz w:val="18"/>
                <w:szCs w:val="18"/>
                <w:lang w:val="en-US"/>
              </w:rPr>
              <w:t>Belarus</w:t>
            </w:r>
            <w:r>
              <w:rPr>
                <w:bCs/>
                <w:i/>
                <w:sz w:val="18"/>
                <w:szCs w:val="18"/>
                <w:vertAlign w:val="superscript"/>
                <w:lang w:val="en-US"/>
              </w:rPr>
              <w:t>a</w:t>
            </w:r>
          </w:p>
        </w:tc>
        <w:tc>
          <w:tcPr>
            <w:tcW w:w="1188" w:type="dxa"/>
            <w:vAlign w:val="bottom"/>
            <w:hideMark/>
          </w:tcPr>
          <w:p w14:paraId="731D5483" w14:textId="77777777" w:rsidR="00CC0A78" w:rsidRDefault="00CC0A78">
            <w:pPr>
              <w:spacing w:line="240" w:lineRule="auto"/>
              <w:ind w:right="113"/>
              <w:jc w:val="right"/>
              <w:rPr>
                <w:sz w:val="18"/>
                <w:szCs w:val="18"/>
                <w:lang w:val="en-US"/>
              </w:rPr>
            </w:pPr>
            <w:r>
              <w:rPr>
                <w:sz w:val="18"/>
                <w:szCs w:val="18"/>
                <w:lang w:val="en-US"/>
              </w:rPr>
              <w:t>0.073</w:t>
            </w:r>
          </w:p>
        </w:tc>
        <w:tc>
          <w:tcPr>
            <w:tcW w:w="1212" w:type="dxa"/>
            <w:vAlign w:val="bottom"/>
            <w:hideMark/>
          </w:tcPr>
          <w:p w14:paraId="4740105D" w14:textId="77777777" w:rsidR="00CC0A78" w:rsidRDefault="00CC0A78">
            <w:pPr>
              <w:spacing w:line="240" w:lineRule="auto"/>
              <w:ind w:right="113"/>
              <w:jc w:val="right"/>
              <w:rPr>
                <w:sz w:val="18"/>
                <w:szCs w:val="18"/>
                <w:lang w:val="en-US"/>
              </w:rPr>
            </w:pPr>
            <w:r>
              <w:rPr>
                <w:b/>
                <w:sz w:val="18"/>
                <w:szCs w:val="18"/>
                <w:lang w:val="en-US"/>
              </w:rPr>
              <w:t>–</w:t>
            </w:r>
          </w:p>
        </w:tc>
        <w:tc>
          <w:tcPr>
            <w:tcW w:w="1212" w:type="dxa"/>
            <w:vAlign w:val="bottom"/>
            <w:hideMark/>
          </w:tcPr>
          <w:p w14:paraId="7FC0937A" w14:textId="77777777" w:rsidR="00CC0A78" w:rsidRDefault="00CC0A78">
            <w:pPr>
              <w:spacing w:line="240" w:lineRule="auto"/>
              <w:ind w:right="113"/>
              <w:jc w:val="right"/>
              <w:rPr>
                <w:sz w:val="18"/>
                <w:szCs w:val="18"/>
                <w:lang w:val="en-US"/>
              </w:rPr>
            </w:pPr>
            <w:r>
              <w:rPr>
                <w:b/>
                <w:sz w:val="18"/>
                <w:szCs w:val="18"/>
                <w:lang w:val="en-US"/>
              </w:rPr>
              <w:t>–</w:t>
            </w:r>
          </w:p>
        </w:tc>
        <w:tc>
          <w:tcPr>
            <w:tcW w:w="1212" w:type="dxa"/>
            <w:vAlign w:val="bottom"/>
            <w:hideMark/>
          </w:tcPr>
          <w:p w14:paraId="19E6AB67" w14:textId="77777777" w:rsidR="00CC0A78" w:rsidRDefault="00CC0A78">
            <w:pPr>
              <w:spacing w:line="240" w:lineRule="auto"/>
              <w:ind w:right="113"/>
              <w:jc w:val="right"/>
              <w:rPr>
                <w:sz w:val="18"/>
                <w:szCs w:val="18"/>
                <w:lang w:val="en-US"/>
              </w:rPr>
            </w:pPr>
            <w:r>
              <w:rPr>
                <w:b/>
                <w:sz w:val="18"/>
                <w:szCs w:val="18"/>
                <w:lang w:val="en-US"/>
              </w:rPr>
              <w:t>–</w:t>
            </w:r>
          </w:p>
        </w:tc>
        <w:tc>
          <w:tcPr>
            <w:tcW w:w="1213" w:type="dxa"/>
            <w:vAlign w:val="bottom"/>
            <w:hideMark/>
          </w:tcPr>
          <w:p w14:paraId="414A6077" w14:textId="77777777" w:rsidR="00CC0A78" w:rsidRDefault="00CC0A78">
            <w:pPr>
              <w:spacing w:line="240" w:lineRule="auto"/>
              <w:ind w:right="113"/>
              <w:jc w:val="right"/>
              <w:rPr>
                <w:sz w:val="18"/>
                <w:szCs w:val="18"/>
                <w:lang w:val="en-US"/>
              </w:rPr>
            </w:pPr>
            <w:r>
              <w:rPr>
                <w:b/>
                <w:sz w:val="18"/>
                <w:szCs w:val="18"/>
                <w:lang w:val="en-US"/>
              </w:rPr>
              <w:t>–</w:t>
            </w:r>
          </w:p>
        </w:tc>
      </w:tr>
      <w:tr w:rsidR="00CC0A78" w14:paraId="204EFB2A" w14:textId="77777777" w:rsidTr="00CC0A78">
        <w:trPr>
          <w:trHeight w:val="227"/>
        </w:trPr>
        <w:tc>
          <w:tcPr>
            <w:tcW w:w="2468" w:type="dxa"/>
            <w:vAlign w:val="bottom"/>
            <w:hideMark/>
          </w:tcPr>
          <w:p w14:paraId="4EDC1E11" w14:textId="77777777" w:rsidR="00CC0A78" w:rsidRDefault="00CC0A78">
            <w:pPr>
              <w:spacing w:line="240" w:lineRule="auto"/>
              <w:ind w:right="113"/>
              <w:rPr>
                <w:lang w:val="en-US"/>
              </w:rPr>
            </w:pPr>
            <w:r>
              <w:rPr>
                <w:color w:val="000000"/>
                <w:sz w:val="18"/>
                <w:szCs w:val="18"/>
                <w:lang w:val="en-US"/>
              </w:rPr>
              <w:t>Belgium</w:t>
            </w:r>
          </w:p>
        </w:tc>
        <w:tc>
          <w:tcPr>
            <w:tcW w:w="1188" w:type="dxa"/>
            <w:vAlign w:val="bottom"/>
            <w:hideMark/>
          </w:tcPr>
          <w:p w14:paraId="6D7A3FCD" w14:textId="77777777" w:rsidR="00CC0A78" w:rsidRDefault="00CC0A78">
            <w:pPr>
              <w:spacing w:line="240" w:lineRule="auto"/>
              <w:ind w:right="113"/>
              <w:jc w:val="right"/>
              <w:rPr>
                <w:sz w:val="18"/>
                <w:szCs w:val="18"/>
                <w:lang w:val="en-US"/>
              </w:rPr>
            </w:pPr>
            <w:r>
              <w:rPr>
                <w:sz w:val="18"/>
                <w:szCs w:val="18"/>
                <w:lang w:val="en-US"/>
              </w:rPr>
              <w:t>1.973</w:t>
            </w:r>
          </w:p>
        </w:tc>
        <w:tc>
          <w:tcPr>
            <w:tcW w:w="1212" w:type="dxa"/>
            <w:vAlign w:val="bottom"/>
            <w:hideMark/>
          </w:tcPr>
          <w:p w14:paraId="05EE7C35" w14:textId="77777777" w:rsidR="00CC0A78" w:rsidRDefault="00CC0A78">
            <w:pPr>
              <w:spacing w:line="240" w:lineRule="auto"/>
              <w:ind w:right="113"/>
              <w:jc w:val="right"/>
              <w:rPr>
                <w:sz w:val="18"/>
                <w:szCs w:val="18"/>
                <w:lang w:val="en-US"/>
              </w:rPr>
            </w:pPr>
            <w:r>
              <w:rPr>
                <w:sz w:val="18"/>
                <w:szCs w:val="18"/>
                <w:lang w:val="en-US"/>
              </w:rPr>
              <w:t>39 035</w:t>
            </w:r>
          </w:p>
        </w:tc>
        <w:tc>
          <w:tcPr>
            <w:tcW w:w="1212" w:type="dxa"/>
            <w:vAlign w:val="bottom"/>
            <w:hideMark/>
          </w:tcPr>
          <w:p w14:paraId="291FC3EA" w14:textId="77777777" w:rsidR="00CC0A78" w:rsidRDefault="00CC0A78">
            <w:pPr>
              <w:spacing w:line="240" w:lineRule="auto"/>
              <w:ind w:right="113"/>
              <w:jc w:val="right"/>
              <w:rPr>
                <w:sz w:val="18"/>
                <w:szCs w:val="18"/>
                <w:lang w:val="en-US"/>
              </w:rPr>
            </w:pPr>
            <w:r>
              <w:rPr>
                <w:sz w:val="18"/>
                <w:szCs w:val="18"/>
                <w:lang w:val="en-US"/>
              </w:rPr>
              <w:t>39 035</w:t>
            </w:r>
          </w:p>
        </w:tc>
        <w:tc>
          <w:tcPr>
            <w:tcW w:w="1212" w:type="dxa"/>
            <w:vAlign w:val="bottom"/>
            <w:hideMark/>
          </w:tcPr>
          <w:p w14:paraId="42ABA680" w14:textId="77777777" w:rsidR="00CC0A78" w:rsidRDefault="00CC0A78">
            <w:pPr>
              <w:spacing w:line="240" w:lineRule="auto"/>
              <w:ind w:right="113"/>
              <w:jc w:val="right"/>
              <w:rPr>
                <w:sz w:val="18"/>
                <w:szCs w:val="18"/>
                <w:lang w:val="en-US"/>
              </w:rPr>
            </w:pPr>
            <w:r>
              <w:rPr>
                <w:sz w:val="18"/>
                <w:szCs w:val="18"/>
                <w:lang w:val="en-US"/>
              </w:rPr>
              <w:t>13 700</w:t>
            </w:r>
          </w:p>
        </w:tc>
        <w:tc>
          <w:tcPr>
            <w:tcW w:w="1213" w:type="dxa"/>
            <w:vAlign w:val="bottom"/>
            <w:hideMark/>
          </w:tcPr>
          <w:p w14:paraId="4E1F42B5" w14:textId="77777777" w:rsidR="00CC0A78" w:rsidRDefault="00CC0A78">
            <w:pPr>
              <w:spacing w:line="240" w:lineRule="auto"/>
              <w:ind w:right="113"/>
              <w:jc w:val="right"/>
              <w:rPr>
                <w:sz w:val="18"/>
                <w:szCs w:val="18"/>
                <w:lang w:val="en-US"/>
              </w:rPr>
            </w:pPr>
            <w:r>
              <w:rPr>
                <w:sz w:val="18"/>
                <w:szCs w:val="18"/>
                <w:lang w:val="en-US"/>
              </w:rPr>
              <w:t>13 700</w:t>
            </w:r>
          </w:p>
        </w:tc>
      </w:tr>
      <w:tr w:rsidR="00CC0A78" w14:paraId="1EC54A43" w14:textId="77777777" w:rsidTr="00CC0A78">
        <w:trPr>
          <w:trHeight w:val="227"/>
        </w:trPr>
        <w:tc>
          <w:tcPr>
            <w:tcW w:w="2468" w:type="dxa"/>
            <w:vAlign w:val="bottom"/>
            <w:hideMark/>
          </w:tcPr>
          <w:p w14:paraId="110632D5" w14:textId="77777777" w:rsidR="00CC0A78" w:rsidRDefault="00CC0A78">
            <w:pPr>
              <w:spacing w:line="240" w:lineRule="auto"/>
              <w:ind w:right="113"/>
              <w:rPr>
                <w:lang w:val="en-US"/>
              </w:rPr>
            </w:pPr>
            <w:r>
              <w:rPr>
                <w:color w:val="000000"/>
                <w:sz w:val="18"/>
                <w:szCs w:val="18"/>
                <w:lang w:val="en-US"/>
              </w:rPr>
              <w:t>Bulgaria</w:t>
            </w:r>
          </w:p>
        </w:tc>
        <w:tc>
          <w:tcPr>
            <w:tcW w:w="1188" w:type="dxa"/>
            <w:vAlign w:val="bottom"/>
            <w:hideMark/>
          </w:tcPr>
          <w:p w14:paraId="35D8CE2D" w14:textId="77777777" w:rsidR="00CC0A78" w:rsidRDefault="00CC0A78">
            <w:pPr>
              <w:spacing w:line="240" w:lineRule="auto"/>
              <w:ind w:right="113"/>
              <w:jc w:val="right"/>
              <w:rPr>
                <w:sz w:val="18"/>
                <w:szCs w:val="18"/>
                <w:lang w:val="en-US"/>
              </w:rPr>
            </w:pPr>
            <w:r>
              <w:rPr>
                <w:sz w:val="18"/>
                <w:szCs w:val="18"/>
                <w:lang w:val="en-US"/>
              </w:rPr>
              <w:t>0.036</w:t>
            </w:r>
          </w:p>
        </w:tc>
        <w:tc>
          <w:tcPr>
            <w:tcW w:w="1212" w:type="dxa"/>
            <w:vAlign w:val="bottom"/>
            <w:hideMark/>
          </w:tcPr>
          <w:p w14:paraId="596A620C" w14:textId="77777777" w:rsidR="00CC0A78" w:rsidRDefault="00CC0A78">
            <w:pPr>
              <w:spacing w:line="240" w:lineRule="auto"/>
              <w:ind w:right="113"/>
              <w:jc w:val="right"/>
              <w:rPr>
                <w:sz w:val="18"/>
                <w:szCs w:val="18"/>
                <w:lang w:val="en-US"/>
              </w:rPr>
            </w:pPr>
            <w:r>
              <w:rPr>
                <w:sz w:val="18"/>
                <w:szCs w:val="18"/>
                <w:lang w:val="en-US"/>
              </w:rPr>
              <w:t>703</w:t>
            </w:r>
          </w:p>
        </w:tc>
        <w:tc>
          <w:tcPr>
            <w:tcW w:w="1212" w:type="dxa"/>
            <w:vAlign w:val="bottom"/>
            <w:hideMark/>
          </w:tcPr>
          <w:p w14:paraId="61404E0F" w14:textId="77777777" w:rsidR="00CC0A78" w:rsidRDefault="00CC0A78">
            <w:pPr>
              <w:spacing w:line="240" w:lineRule="auto"/>
              <w:ind w:right="113"/>
              <w:jc w:val="right"/>
              <w:rPr>
                <w:sz w:val="18"/>
                <w:szCs w:val="18"/>
                <w:lang w:val="en-US"/>
              </w:rPr>
            </w:pPr>
            <w:r>
              <w:rPr>
                <w:sz w:val="18"/>
                <w:szCs w:val="18"/>
                <w:lang w:val="en-US"/>
              </w:rPr>
              <w:t>703</w:t>
            </w:r>
          </w:p>
        </w:tc>
        <w:tc>
          <w:tcPr>
            <w:tcW w:w="1212" w:type="dxa"/>
            <w:vAlign w:val="bottom"/>
            <w:hideMark/>
          </w:tcPr>
          <w:p w14:paraId="7AFF7E45" w14:textId="77777777" w:rsidR="00CC0A78" w:rsidRDefault="00CC0A78">
            <w:pPr>
              <w:spacing w:line="240" w:lineRule="auto"/>
              <w:ind w:right="113"/>
              <w:jc w:val="right"/>
              <w:rPr>
                <w:sz w:val="18"/>
                <w:szCs w:val="18"/>
                <w:lang w:val="en-US"/>
              </w:rPr>
            </w:pPr>
            <w:r>
              <w:rPr>
                <w:sz w:val="18"/>
                <w:szCs w:val="18"/>
                <w:lang w:val="en-US"/>
              </w:rPr>
              <w:t>247</w:t>
            </w:r>
          </w:p>
        </w:tc>
        <w:tc>
          <w:tcPr>
            <w:tcW w:w="1213" w:type="dxa"/>
            <w:vAlign w:val="bottom"/>
            <w:hideMark/>
          </w:tcPr>
          <w:p w14:paraId="369C21B1" w14:textId="77777777" w:rsidR="00CC0A78" w:rsidRDefault="00CC0A78">
            <w:pPr>
              <w:spacing w:line="240" w:lineRule="auto"/>
              <w:ind w:right="113"/>
              <w:jc w:val="right"/>
              <w:rPr>
                <w:sz w:val="18"/>
                <w:szCs w:val="18"/>
                <w:lang w:val="en-US"/>
              </w:rPr>
            </w:pPr>
            <w:r>
              <w:rPr>
                <w:sz w:val="18"/>
                <w:szCs w:val="18"/>
                <w:lang w:val="en-US"/>
              </w:rPr>
              <w:t>247</w:t>
            </w:r>
          </w:p>
        </w:tc>
      </w:tr>
      <w:tr w:rsidR="00CC0A78" w14:paraId="3A70B4D0" w14:textId="77777777" w:rsidTr="00CC0A78">
        <w:trPr>
          <w:trHeight w:val="227"/>
        </w:trPr>
        <w:tc>
          <w:tcPr>
            <w:tcW w:w="2468" w:type="dxa"/>
            <w:vAlign w:val="bottom"/>
            <w:hideMark/>
          </w:tcPr>
          <w:p w14:paraId="11BEA058" w14:textId="77777777" w:rsidR="00CC0A78" w:rsidRDefault="00CC0A78">
            <w:pPr>
              <w:spacing w:line="240" w:lineRule="auto"/>
              <w:ind w:right="113"/>
              <w:rPr>
                <w:lang w:val="en-US"/>
              </w:rPr>
            </w:pPr>
            <w:r>
              <w:rPr>
                <w:color w:val="000000"/>
                <w:sz w:val="18"/>
                <w:szCs w:val="18"/>
                <w:lang w:val="en-US"/>
              </w:rPr>
              <w:t>Croatia</w:t>
            </w:r>
          </w:p>
        </w:tc>
        <w:tc>
          <w:tcPr>
            <w:tcW w:w="1188" w:type="dxa"/>
            <w:vAlign w:val="bottom"/>
            <w:hideMark/>
          </w:tcPr>
          <w:p w14:paraId="591A05B1" w14:textId="77777777" w:rsidR="00CC0A78" w:rsidRDefault="00CC0A78">
            <w:pPr>
              <w:spacing w:line="240" w:lineRule="auto"/>
              <w:ind w:right="113"/>
              <w:jc w:val="right"/>
              <w:rPr>
                <w:sz w:val="18"/>
                <w:szCs w:val="18"/>
                <w:lang w:val="en-US"/>
              </w:rPr>
            </w:pPr>
            <w:r>
              <w:rPr>
                <w:sz w:val="18"/>
                <w:szCs w:val="18"/>
                <w:lang w:val="en-US"/>
              </w:rPr>
              <w:t>0.079</w:t>
            </w:r>
          </w:p>
        </w:tc>
        <w:tc>
          <w:tcPr>
            <w:tcW w:w="1212" w:type="dxa"/>
            <w:vAlign w:val="bottom"/>
            <w:hideMark/>
          </w:tcPr>
          <w:p w14:paraId="56593A35" w14:textId="77777777" w:rsidR="00CC0A78" w:rsidRDefault="00CC0A78">
            <w:pPr>
              <w:spacing w:line="240" w:lineRule="auto"/>
              <w:ind w:right="113"/>
              <w:jc w:val="right"/>
              <w:rPr>
                <w:sz w:val="18"/>
                <w:szCs w:val="18"/>
                <w:lang w:val="en-US"/>
              </w:rPr>
            </w:pPr>
            <w:r>
              <w:rPr>
                <w:sz w:val="18"/>
                <w:szCs w:val="18"/>
                <w:lang w:val="en-US"/>
              </w:rPr>
              <w:t>1 572</w:t>
            </w:r>
          </w:p>
        </w:tc>
        <w:tc>
          <w:tcPr>
            <w:tcW w:w="1212" w:type="dxa"/>
            <w:vAlign w:val="bottom"/>
            <w:hideMark/>
          </w:tcPr>
          <w:p w14:paraId="381AD41A" w14:textId="77777777" w:rsidR="00CC0A78" w:rsidRDefault="00CC0A78">
            <w:pPr>
              <w:spacing w:line="240" w:lineRule="auto"/>
              <w:ind w:right="113"/>
              <w:jc w:val="right"/>
              <w:rPr>
                <w:sz w:val="18"/>
                <w:szCs w:val="18"/>
                <w:lang w:val="en-US"/>
              </w:rPr>
            </w:pPr>
            <w:r>
              <w:rPr>
                <w:sz w:val="18"/>
                <w:szCs w:val="18"/>
                <w:lang w:val="en-US"/>
              </w:rPr>
              <w:t>1 572</w:t>
            </w:r>
          </w:p>
        </w:tc>
        <w:tc>
          <w:tcPr>
            <w:tcW w:w="1212" w:type="dxa"/>
            <w:vAlign w:val="bottom"/>
            <w:hideMark/>
          </w:tcPr>
          <w:p w14:paraId="7847C2E8" w14:textId="77777777" w:rsidR="00CC0A78" w:rsidRDefault="00CC0A78">
            <w:pPr>
              <w:spacing w:line="240" w:lineRule="auto"/>
              <w:ind w:right="113"/>
              <w:jc w:val="right"/>
              <w:rPr>
                <w:sz w:val="18"/>
                <w:szCs w:val="18"/>
                <w:lang w:val="en-US"/>
              </w:rPr>
            </w:pPr>
            <w:r>
              <w:rPr>
                <w:sz w:val="18"/>
                <w:szCs w:val="18"/>
                <w:lang w:val="en-US"/>
              </w:rPr>
              <w:t>552</w:t>
            </w:r>
          </w:p>
        </w:tc>
        <w:tc>
          <w:tcPr>
            <w:tcW w:w="1213" w:type="dxa"/>
            <w:vAlign w:val="bottom"/>
            <w:hideMark/>
          </w:tcPr>
          <w:p w14:paraId="740D39D6" w14:textId="77777777" w:rsidR="00CC0A78" w:rsidRDefault="00CC0A78">
            <w:pPr>
              <w:spacing w:line="240" w:lineRule="auto"/>
              <w:ind w:right="113"/>
              <w:jc w:val="right"/>
              <w:rPr>
                <w:sz w:val="18"/>
                <w:szCs w:val="18"/>
                <w:lang w:val="en-US"/>
              </w:rPr>
            </w:pPr>
            <w:r>
              <w:rPr>
                <w:sz w:val="18"/>
                <w:szCs w:val="18"/>
                <w:lang w:val="en-US"/>
              </w:rPr>
              <w:t>552</w:t>
            </w:r>
          </w:p>
        </w:tc>
      </w:tr>
      <w:tr w:rsidR="00CC0A78" w14:paraId="33DB55E5" w14:textId="77777777" w:rsidTr="00CC0A78">
        <w:trPr>
          <w:trHeight w:val="227"/>
        </w:trPr>
        <w:tc>
          <w:tcPr>
            <w:tcW w:w="2468" w:type="dxa"/>
            <w:vAlign w:val="bottom"/>
            <w:hideMark/>
          </w:tcPr>
          <w:p w14:paraId="10D562F6" w14:textId="77777777" w:rsidR="00CC0A78" w:rsidRDefault="00CC0A78">
            <w:pPr>
              <w:spacing w:line="240" w:lineRule="auto"/>
              <w:ind w:right="113"/>
              <w:rPr>
                <w:lang w:val="en-US"/>
              </w:rPr>
            </w:pPr>
            <w:r>
              <w:rPr>
                <w:color w:val="000000"/>
                <w:sz w:val="18"/>
                <w:szCs w:val="18"/>
                <w:lang w:val="en-US"/>
              </w:rPr>
              <w:t>Cyprus</w:t>
            </w:r>
          </w:p>
        </w:tc>
        <w:tc>
          <w:tcPr>
            <w:tcW w:w="1188" w:type="dxa"/>
            <w:vAlign w:val="bottom"/>
            <w:hideMark/>
          </w:tcPr>
          <w:p w14:paraId="65423136" w14:textId="77777777" w:rsidR="00CC0A78" w:rsidRDefault="00CC0A78">
            <w:pPr>
              <w:spacing w:line="240" w:lineRule="auto"/>
              <w:ind w:right="113"/>
              <w:jc w:val="right"/>
              <w:rPr>
                <w:sz w:val="18"/>
                <w:szCs w:val="18"/>
                <w:lang w:val="en-US"/>
              </w:rPr>
            </w:pPr>
            <w:r>
              <w:rPr>
                <w:sz w:val="18"/>
                <w:szCs w:val="18"/>
                <w:lang w:val="en-US"/>
              </w:rPr>
              <w:t>0.061</w:t>
            </w:r>
          </w:p>
        </w:tc>
        <w:tc>
          <w:tcPr>
            <w:tcW w:w="1212" w:type="dxa"/>
            <w:vAlign w:val="bottom"/>
            <w:hideMark/>
          </w:tcPr>
          <w:p w14:paraId="3766C726" w14:textId="77777777" w:rsidR="00CC0A78" w:rsidRDefault="00CC0A78">
            <w:pPr>
              <w:spacing w:line="240" w:lineRule="auto"/>
              <w:ind w:right="113"/>
              <w:jc w:val="right"/>
              <w:rPr>
                <w:sz w:val="18"/>
                <w:szCs w:val="18"/>
                <w:lang w:val="en-US"/>
              </w:rPr>
            </w:pPr>
            <w:r>
              <w:rPr>
                <w:sz w:val="18"/>
                <w:szCs w:val="18"/>
                <w:lang w:val="en-US"/>
              </w:rPr>
              <w:t>1 207</w:t>
            </w:r>
          </w:p>
        </w:tc>
        <w:tc>
          <w:tcPr>
            <w:tcW w:w="1212" w:type="dxa"/>
            <w:vAlign w:val="bottom"/>
            <w:hideMark/>
          </w:tcPr>
          <w:p w14:paraId="7CF2D12C" w14:textId="77777777" w:rsidR="00CC0A78" w:rsidRDefault="00CC0A78">
            <w:pPr>
              <w:spacing w:line="240" w:lineRule="auto"/>
              <w:ind w:right="113"/>
              <w:jc w:val="right"/>
              <w:rPr>
                <w:sz w:val="18"/>
                <w:szCs w:val="18"/>
                <w:lang w:val="en-US"/>
              </w:rPr>
            </w:pPr>
            <w:r>
              <w:rPr>
                <w:sz w:val="18"/>
                <w:szCs w:val="18"/>
                <w:lang w:val="en-US"/>
              </w:rPr>
              <w:t>1 207</w:t>
            </w:r>
          </w:p>
        </w:tc>
        <w:tc>
          <w:tcPr>
            <w:tcW w:w="1212" w:type="dxa"/>
            <w:vAlign w:val="bottom"/>
            <w:hideMark/>
          </w:tcPr>
          <w:p w14:paraId="0A4F730F" w14:textId="77777777" w:rsidR="00CC0A78" w:rsidRDefault="00CC0A78">
            <w:pPr>
              <w:spacing w:line="240" w:lineRule="auto"/>
              <w:ind w:right="113"/>
              <w:jc w:val="right"/>
              <w:rPr>
                <w:sz w:val="18"/>
                <w:szCs w:val="18"/>
                <w:lang w:val="en-US"/>
              </w:rPr>
            </w:pPr>
            <w:r>
              <w:rPr>
                <w:sz w:val="18"/>
                <w:szCs w:val="18"/>
                <w:lang w:val="en-US"/>
              </w:rPr>
              <w:t>424</w:t>
            </w:r>
          </w:p>
        </w:tc>
        <w:tc>
          <w:tcPr>
            <w:tcW w:w="1213" w:type="dxa"/>
            <w:vAlign w:val="bottom"/>
            <w:hideMark/>
          </w:tcPr>
          <w:p w14:paraId="24FDB37C" w14:textId="77777777" w:rsidR="00CC0A78" w:rsidRDefault="00CC0A78">
            <w:pPr>
              <w:spacing w:line="240" w:lineRule="auto"/>
              <w:ind w:right="113"/>
              <w:jc w:val="right"/>
              <w:rPr>
                <w:sz w:val="18"/>
                <w:szCs w:val="18"/>
                <w:lang w:val="en-US"/>
              </w:rPr>
            </w:pPr>
            <w:r>
              <w:rPr>
                <w:sz w:val="18"/>
                <w:szCs w:val="18"/>
                <w:lang w:val="en-US"/>
              </w:rPr>
              <w:t>424</w:t>
            </w:r>
          </w:p>
        </w:tc>
      </w:tr>
      <w:tr w:rsidR="00CC0A78" w14:paraId="27EE8EFD" w14:textId="77777777" w:rsidTr="00CC0A78">
        <w:trPr>
          <w:trHeight w:val="227"/>
        </w:trPr>
        <w:tc>
          <w:tcPr>
            <w:tcW w:w="2468" w:type="dxa"/>
            <w:vAlign w:val="bottom"/>
            <w:hideMark/>
          </w:tcPr>
          <w:p w14:paraId="007AEE5D" w14:textId="77777777" w:rsidR="00CC0A78" w:rsidRDefault="00CC0A78">
            <w:pPr>
              <w:spacing w:line="240" w:lineRule="auto"/>
              <w:ind w:right="113"/>
              <w:rPr>
                <w:lang w:val="en-US"/>
              </w:rPr>
            </w:pPr>
            <w:r>
              <w:rPr>
                <w:color w:val="000000"/>
                <w:sz w:val="18"/>
                <w:szCs w:val="18"/>
                <w:lang w:val="en-US"/>
              </w:rPr>
              <w:t>Czechia</w:t>
            </w:r>
          </w:p>
        </w:tc>
        <w:tc>
          <w:tcPr>
            <w:tcW w:w="1188" w:type="dxa"/>
            <w:vAlign w:val="bottom"/>
            <w:hideMark/>
          </w:tcPr>
          <w:p w14:paraId="071713CC" w14:textId="77777777" w:rsidR="00CC0A78" w:rsidRDefault="00CC0A78">
            <w:pPr>
              <w:spacing w:line="240" w:lineRule="auto"/>
              <w:ind w:right="113"/>
              <w:jc w:val="right"/>
              <w:rPr>
                <w:sz w:val="18"/>
                <w:szCs w:val="18"/>
                <w:lang w:val="en-US"/>
              </w:rPr>
            </w:pPr>
            <w:r>
              <w:rPr>
                <w:sz w:val="18"/>
                <w:szCs w:val="18"/>
                <w:lang w:val="en-US"/>
              </w:rPr>
              <w:t>0.503</w:t>
            </w:r>
          </w:p>
        </w:tc>
        <w:tc>
          <w:tcPr>
            <w:tcW w:w="1212" w:type="dxa"/>
            <w:vAlign w:val="bottom"/>
            <w:hideMark/>
          </w:tcPr>
          <w:p w14:paraId="1B5F1A75" w14:textId="77777777" w:rsidR="00CC0A78" w:rsidRDefault="00CC0A78">
            <w:pPr>
              <w:spacing w:line="240" w:lineRule="auto"/>
              <w:ind w:right="113"/>
              <w:jc w:val="right"/>
              <w:rPr>
                <w:sz w:val="18"/>
                <w:szCs w:val="18"/>
                <w:lang w:val="en-US"/>
              </w:rPr>
            </w:pPr>
            <w:r>
              <w:rPr>
                <w:sz w:val="18"/>
                <w:szCs w:val="18"/>
                <w:lang w:val="en-US"/>
              </w:rPr>
              <w:t>9 950</w:t>
            </w:r>
          </w:p>
        </w:tc>
        <w:tc>
          <w:tcPr>
            <w:tcW w:w="1212" w:type="dxa"/>
            <w:vAlign w:val="bottom"/>
            <w:hideMark/>
          </w:tcPr>
          <w:p w14:paraId="2A86B2F7" w14:textId="77777777" w:rsidR="00CC0A78" w:rsidRDefault="00CC0A78">
            <w:pPr>
              <w:spacing w:line="240" w:lineRule="auto"/>
              <w:ind w:right="113"/>
              <w:jc w:val="right"/>
              <w:rPr>
                <w:sz w:val="18"/>
                <w:szCs w:val="18"/>
                <w:lang w:val="en-US"/>
              </w:rPr>
            </w:pPr>
            <w:r>
              <w:rPr>
                <w:sz w:val="18"/>
                <w:szCs w:val="18"/>
                <w:lang w:val="en-US"/>
              </w:rPr>
              <w:t>9 950</w:t>
            </w:r>
          </w:p>
        </w:tc>
        <w:tc>
          <w:tcPr>
            <w:tcW w:w="1212" w:type="dxa"/>
            <w:vAlign w:val="bottom"/>
            <w:hideMark/>
          </w:tcPr>
          <w:p w14:paraId="0C8C6F42" w14:textId="77777777" w:rsidR="00CC0A78" w:rsidRDefault="00CC0A78">
            <w:pPr>
              <w:spacing w:line="240" w:lineRule="auto"/>
              <w:ind w:right="113"/>
              <w:jc w:val="right"/>
              <w:rPr>
                <w:sz w:val="18"/>
                <w:szCs w:val="18"/>
                <w:lang w:val="en-US"/>
              </w:rPr>
            </w:pPr>
            <w:r>
              <w:rPr>
                <w:sz w:val="18"/>
                <w:szCs w:val="18"/>
                <w:lang w:val="en-US"/>
              </w:rPr>
              <w:t>3 492</w:t>
            </w:r>
          </w:p>
        </w:tc>
        <w:tc>
          <w:tcPr>
            <w:tcW w:w="1213" w:type="dxa"/>
            <w:vAlign w:val="bottom"/>
            <w:hideMark/>
          </w:tcPr>
          <w:p w14:paraId="0294F7AE" w14:textId="77777777" w:rsidR="00CC0A78" w:rsidRDefault="00CC0A78">
            <w:pPr>
              <w:spacing w:line="240" w:lineRule="auto"/>
              <w:ind w:right="113"/>
              <w:jc w:val="right"/>
              <w:rPr>
                <w:sz w:val="18"/>
                <w:szCs w:val="18"/>
                <w:lang w:val="en-US"/>
              </w:rPr>
            </w:pPr>
            <w:r>
              <w:rPr>
                <w:sz w:val="18"/>
                <w:szCs w:val="18"/>
                <w:lang w:val="en-US"/>
              </w:rPr>
              <w:t>3 492</w:t>
            </w:r>
          </w:p>
        </w:tc>
      </w:tr>
      <w:tr w:rsidR="00CC0A78" w14:paraId="25793B5A" w14:textId="77777777" w:rsidTr="00CC0A78">
        <w:trPr>
          <w:trHeight w:val="227"/>
        </w:trPr>
        <w:tc>
          <w:tcPr>
            <w:tcW w:w="2468" w:type="dxa"/>
            <w:vAlign w:val="bottom"/>
            <w:hideMark/>
          </w:tcPr>
          <w:p w14:paraId="05F047A9" w14:textId="77777777" w:rsidR="00CC0A78" w:rsidRDefault="00CC0A78">
            <w:pPr>
              <w:spacing w:line="240" w:lineRule="auto"/>
              <w:ind w:right="113"/>
              <w:rPr>
                <w:lang w:val="en-US"/>
              </w:rPr>
            </w:pPr>
            <w:r>
              <w:rPr>
                <w:color w:val="000000"/>
                <w:sz w:val="18"/>
                <w:szCs w:val="18"/>
                <w:lang w:val="en-US"/>
              </w:rPr>
              <w:t>Denmark</w:t>
            </w:r>
          </w:p>
        </w:tc>
        <w:tc>
          <w:tcPr>
            <w:tcW w:w="1188" w:type="dxa"/>
            <w:vAlign w:val="bottom"/>
            <w:hideMark/>
          </w:tcPr>
          <w:p w14:paraId="6DF9D2A8" w14:textId="77777777" w:rsidR="00CC0A78" w:rsidRDefault="00CC0A78">
            <w:pPr>
              <w:spacing w:line="240" w:lineRule="auto"/>
              <w:ind w:right="113"/>
              <w:jc w:val="right"/>
              <w:rPr>
                <w:sz w:val="18"/>
                <w:szCs w:val="18"/>
                <w:lang w:val="en-US"/>
              </w:rPr>
            </w:pPr>
            <w:r>
              <w:rPr>
                <w:sz w:val="18"/>
                <w:szCs w:val="18"/>
                <w:lang w:val="en-US"/>
              </w:rPr>
              <w:t>1.323</w:t>
            </w:r>
          </w:p>
        </w:tc>
        <w:tc>
          <w:tcPr>
            <w:tcW w:w="1212" w:type="dxa"/>
            <w:vAlign w:val="bottom"/>
            <w:hideMark/>
          </w:tcPr>
          <w:p w14:paraId="24135854" w14:textId="77777777" w:rsidR="00CC0A78" w:rsidRDefault="00CC0A78">
            <w:pPr>
              <w:spacing w:line="240" w:lineRule="auto"/>
              <w:ind w:right="113"/>
              <w:jc w:val="right"/>
              <w:rPr>
                <w:sz w:val="18"/>
                <w:szCs w:val="18"/>
                <w:lang w:val="en-US"/>
              </w:rPr>
            </w:pPr>
            <w:r>
              <w:rPr>
                <w:sz w:val="18"/>
                <w:szCs w:val="18"/>
                <w:lang w:val="en-US"/>
              </w:rPr>
              <w:t>26 168</w:t>
            </w:r>
          </w:p>
        </w:tc>
        <w:tc>
          <w:tcPr>
            <w:tcW w:w="1212" w:type="dxa"/>
            <w:vAlign w:val="bottom"/>
            <w:hideMark/>
          </w:tcPr>
          <w:p w14:paraId="15304FEE" w14:textId="77777777" w:rsidR="00CC0A78" w:rsidRDefault="00CC0A78">
            <w:pPr>
              <w:spacing w:line="240" w:lineRule="auto"/>
              <w:ind w:right="113"/>
              <w:jc w:val="right"/>
              <w:rPr>
                <w:sz w:val="18"/>
                <w:szCs w:val="18"/>
                <w:lang w:val="en-US"/>
              </w:rPr>
            </w:pPr>
            <w:r>
              <w:rPr>
                <w:sz w:val="18"/>
                <w:szCs w:val="18"/>
                <w:lang w:val="en-US"/>
              </w:rPr>
              <w:t>26 168</w:t>
            </w:r>
          </w:p>
        </w:tc>
        <w:tc>
          <w:tcPr>
            <w:tcW w:w="1212" w:type="dxa"/>
            <w:vAlign w:val="bottom"/>
            <w:hideMark/>
          </w:tcPr>
          <w:p w14:paraId="797726E3" w14:textId="77777777" w:rsidR="00CC0A78" w:rsidRDefault="00CC0A78">
            <w:pPr>
              <w:spacing w:line="240" w:lineRule="auto"/>
              <w:ind w:right="113"/>
              <w:jc w:val="right"/>
              <w:rPr>
                <w:sz w:val="18"/>
                <w:szCs w:val="18"/>
                <w:lang w:val="en-US"/>
              </w:rPr>
            </w:pPr>
            <w:r>
              <w:rPr>
                <w:sz w:val="18"/>
                <w:szCs w:val="18"/>
                <w:lang w:val="en-US"/>
              </w:rPr>
              <w:t>9 184</w:t>
            </w:r>
          </w:p>
        </w:tc>
        <w:tc>
          <w:tcPr>
            <w:tcW w:w="1213" w:type="dxa"/>
            <w:vAlign w:val="bottom"/>
            <w:hideMark/>
          </w:tcPr>
          <w:p w14:paraId="6B1BD2F7" w14:textId="77777777" w:rsidR="00CC0A78" w:rsidRDefault="00CC0A78">
            <w:pPr>
              <w:spacing w:line="240" w:lineRule="auto"/>
              <w:ind w:right="113"/>
              <w:jc w:val="right"/>
              <w:rPr>
                <w:sz w:val="18"/>
                <w:szCs w:val="18"/>
                <w:lang w:val="en-US"/>
              </w:rPr>
            </w:pPr>
            <w:r>
              <w:rPr>
                <w:sz w:val="18"/>
                <w:szCs w:val="18"/>
                <w:lang w:val="en-US"/>
              </w:rPr>
              <w:t>9 184</w:t>
            </w:r>
          </w:p>
        </w:tc>
      </w:tr>
      <w:tr w:rsidR="00CC0A78" w14:paraId="61C80688" w14:textId="77777777" w:rsidTr="00CC0A78">
        <w:trPr>
          <w:trHeight w:val="227"/>
        </w:trPr>
        <w:tc>
          <w:tcPr>
            <w:tcW w:w="2468" w:type="dxa"/>
            <w:vAlign w:val="bottom"/>
            <w:hideMark/>
          </w:tcPr>
          <w:p w14:paraId="36E6BBA5" w14:textId="77777777" w:rsidR="00CC0A78" w:rsidRDefault="00CC0A78">
            <w:pPr>
              <w:spacing w:line="240" w:lineRule="auto"/>
              <w:ind w:right="113"/>
              <w:rPr>
                <w:lang w:val="en-US"/>
              </w:rPr>
            </w:pPr>
            <w:r>
              <w:rPr>
                <w:color w:val="000000"/>
                <w:sz w:val="18"/>
                <w:szCs w:val="18"/>
                <w:lang w:val="en-US"/>
              </w:rPr>
              <w:t>Estonia</w:t>
            </w:r>
          </w:p>
        </w:tc>
        <w:tc>
          <w:tcPr>
            <w:tcW w:w="1188" w:type="dxa"/>
            <w:vAlign w:val="bottom"/>
            <w:hideMark/>
          </w:tcPr>
          <w:p w14:paraId="4CB97B83" w14:textId="77777777" w:rsidR="00CC0A78" w:rsidRDefault="00CC0A78">
            <w:pPr>
              <w:spacing w:line="240" w:lineRule="auto"/>
              <w:ind w:right="113"/>
              <w:jc w:val="right"/>
              <w:rPr>
                <w:sz w:val="18"/>
                <w:szCs w:val="18"/>
                <w:lang w:val="en-US"/>
              </w:rPr>
            </w:pPr>
            <w:r>
              <w:rPr>
                <w:sz w:val="18"/>
                <w:szCs w:val="18"/>
                <w:lang w:val="en-US"/>
              </w:rPr>
              <w:t>0.028</w:t>
            </w:r>
          </w:p>
        </w:tc>
        <w:tc>
          <w:tcPr>
            <w:tcW w:w="1212" w:type="dxa"/>
            <w:vAlign w:val="bottom"/>
            <w:hideMark/>
          </w:tcPr>
          <w:p w14:paraId="02C430E0" w14:textId="77777777" w:rsidR="00CC0A78" w:rsidRDefault="00CC0A78">
            <w:pPr>
              <w:spacing w:line="240" w:lineRule="auto"/>
              <w:ind w:right="113"/>
              <w:jc w:val="right"/>
              <w:rPr>
                <w:sz w:val="18"/>
                <w:szCs w:val="18"/>
                <w:lang w:val="en-US"/>
              </w:rPr>
            </w:pPr>
            <w:r>
              <w:rPr>
                <w:sz w:val="18"/>
                <w:szCs w:val="18"/>
                <w:lang w:val="en-US"/>
              </w:rPr>
              <w:t>559</w:t>
            </w:r>
          </w:p>
        </w:tc>
        <w:tc>
          <w:tcPr>
            <w:tcW w:w="1212" w:type="dxa"/>
            <w:vAlign w:val="bottom"/>
            <w:hideMark/>
          </w:tcPr>
          <w:p w14:paraId="3B93C483" w14:textId="77777777" w:rsidR="00CC0A78" w:rsidRDefault="00CC0A78">
            <w:pPr>
              <w:spacing w:line="240" w:lineRule="auto"/>
              <w:ind w:right="113"/>
              <w:jc w:val="right"/>
              <w:rPr>
                <w:sz w:val="18"/>
                <w:szCs w:val="18"/>
                <w:lang w:val="en-US"/>
              </w:rPr>
            </w:pPr>
            <w:r>
              <w:rPr>
                <w:sz w:val="18"/>
                <w:szCs w:val="18"/>
                <w:lang w:val="en-US"/>
              </w:rPr>
              <w:t>559</w:t>
            </w:r>
          </w:p>
        </w:tc>
        <w:tc>
          <w:tcPr>
            <w:tcW w:w="1212" w:type="dxa"/>
            <w:vAlign w:val="bottom"/>
            <w:hideMark/>
          </w:tcPr>
          <w:p w14:paraId="2EE6A5D7" w14:textId="77777777" w:rsidR="00CC0A78" w:rsidRDefault="00CC0A78">
            <w:pPr>
              <w:spacing w:line="240" w:lineRule="auto"/>
              <w:ind w:right="113"/>
              <w:jc w:val="right"/>
              <w:rPr>
                <w:sz w:val="18"/>
                <w:szCs w:val="18"/>
                <w:lang w:val="en-US"/>
              </w:rPr>
            </w:pPr>
            <w:r>
              <w:rPr>
                <w:sz w:val="18"/>
                <w:szCs w:val="18"/>
                <w:lang w:val="en-US"/>
              </w:rPr>
              <w:t>196</w:t>
            </w:r>
          </w:p>
        </w:tc>
        <w:tc>
          <w:tcPr>
            <w:tcW w:w="1213" w:type="dxa"/>
            <w:vAlign w:val="bottom"/>
            <w:hideMark/>
          </w:tcPr>
          <w:p w14:paraId="61750830" w14:textId="77777777" w:rsidR="00CC0A78" w:rsidRDefault="00CC0A78">
            <w:pPr>
              <w:spacing w:line="240" w:lineRule="auto"/>
              <w:ind w:right="113"/>
              <w:jc w:val="right"/>
              <w:rPr>
                <w:sz w:val="18"/>
                <w:szCs w:val="18"/>
                <w:lang w:val="en-US"/>
              </w:rPr>
            </w:pPr>
            <w:r>
              <w:rPr>
                <w:sz w:val="18"/>
                <w:szCs w:val="18"/>
                <w:lang w:val="en-US"/>
              </w:rPr>
              <w:t>196</w:t>
            </w:r>
          </w:p>
        </w:tc>
      </w:tr>
      <w:tr w:rsidR="00CC0A78" w14:paraId="70A6A477" w14:textId="77777777" w:rsidTr="00CC0A78">
        <w:trPr>
          <w:trHeight w:val="227"/>
        </w:trPr>
        <w:tc>
          <w:tcPr>
            <w:tcW w:w="2468" w:type="dxa"/>
            <w:vAlign w:val="bottom"/>
            <w:hideMark/>
          </w:tcPr>
          <w:p w14:paraId="51AF7B3A" w14:textId="77777777" w:rsidR="00CC0A78" w:rsidRDefault="00CC0A78">
            <w:pPr>
              <w:spacing w:line="240" w:lineRule="auto"/>
              <w:ind w:right="113"/>
              <w:rPr>
                <w:lang w:val="en-US"/>
              </w:rPr>
            </w:pPr>
            <w:r>
              <w:rPr>
                <w:color w:val="000000"/>
                <w:sz w:val="18"/>
                <w:szCs w:val="18"/>
                <w:lang w:val="en-US"/>
              </w:rPr>
              <w:t>European Union</w:t>
            </w:r>
          </w:p>
        </w:tc>
        <w:tc>
          <w:tcPr>
            <w:tcW w:w="1188" w:type="dxa"/>
            <w:vAlign w:val="bottom"/>
            <w:hideMark/>
          </w:tcPr>
          <w:p w14:paraId="54174885" w14:textId="77777777" w:rsidR="00CC0A78" w:rsidRDefault="00CC0A78">
            <w:pPr>
              <w:spacing w:line="240" w:lineRule="auto"/>
              <w:ind w:right="113"/>
              <w:jc w:val="right"/>
              <w:rPr>
                <w:sz w:val="18"/>
                <w:szCs w:val="18"/>
                <w:lang w:val="en-US"/>
              </w:rPr>
            </w:pPr>
            <w:r>
              <w:rPr>
                <w:sz w:val="18"/>
                <w:szCs w:val="18"/>
                <w:lang w:val="en-US"/>
              </w:rPr>
              <w:t>2.685</w:t>
            </w:r>
          </w:p>
        </w:tc>
        <w:tc>
          <w:tcPr>
            <w:tcW w:w="1212" w:type="dxa"/>
            <w:vAlign w:val="bottom"/>
            <w:hideMark/>
          </w:tcPr>
          <w:p w14:paraId="1C45F81A" w14:textId="77777777" w:rsidR="00CC0A78" w:rsidRDefault="00CC0A78">
            <w:pPr>
              <w:spacing w:line="240" w:lineRule="auto"/>
              <w:ind w:right="113"/>
              <w:jc w:val="right"/>
              <w:rPr>
                <w:sz w:val="18"/>
                <w:szCs w:val="18"/>
                <w:lang w:val="en-US"/>
              </w:rPr>
            </w:pPr>
            <w:r>
              <w:rPr>
                <w:sz w:val="18"/>
                <w:szCs w:val="18"/>
                <w:lang w:val="en-US"/>
              </w:rPr>
              <w:t>53 122</w:t>
            </w:r>
          </w:p>
        </w:tc>
        <w:tc>
          <w:tcPr>
            <w:tcW w:w="1212" w:type="dxa"/>
            <w:vAlign w:val="bottom"/>
            <w:hideMark/>
          </w:tcPr>
          <w:p w14:paraId="434BB27F" w14:textId="77777777" w:rsidR="00CC0A78" w:rsidRDefault="00CC0A78">
            <w:pPr>
              <w:spacing w:line="240" w:lineRule="auto"/>
              <w:ind w:right="113"/>
              <w:jc w:val="right"/>
              <w:rPr>
                <w:sz w:val="18"/>
                <w:szCs w:val="18"/>
                <w:lang w:val="en-US"/>
              </w:rPr>
            </w:pPr>
            <w:r>
              <w:rPr>
                <w:sz w:val="18"/>
                <w:szCs w:val="18"/>
                <w:lang w:val="en-US"/>
              </w:rPr>
              <w:t>53 122</w:t>
            </w:r>
          </w:p>
        </w:tc>
        <w:tc>
          <w:tcPr>
            <w:tcW w:w="1212" w:type="dxa"/>
            <w:vAlign w:val="bottom"/>
            <w:hideMark/>
          </w:tcPr>
          <w:p w14:paraId="4A0B7CB1" w14:textId="77777777" w:rsidR="00CC0A78" w:rsidRDefault="00CC0A78">
            <w:pPr>
              <w:spacing w:line="240" w:lineRule="auto"/>
              <w:ind w:right="113"/>
              <w:jc w:val="right"/>
              <w:rPr>
                <w:sz w:val="18"/>
                <w:szCs w:val="18"/>
                <w:lang w:val="en-US"/>
              </w:rPr>
            </w:pPr>
            <w:r>
              <w:rPr>
                <w:sz w:val="18"/>
                <w:szCs w:val="18"/>
                <w:lang w:val="en-US"/>
              </w:rPr>
              <w:t>18 645</w:t>
            </w:r>
          </w:p>
        </w:tc>
        <w:tc>
          <w:tcPr>
            <w:tcW w:w="1213" w:type="dxa"/>
            <w:vAlign w:val="bottom"/>
            <w:hideMark/>
          </w:tcPr>
          <w:p w14:paraId="35BB61E0" w14:textId="77777777" w:rsidR="00CC0A78" w:rsidRDefault="00CC0A78">
            <w:pPr>
              <w:spacing w:line="240" w:lineRule="auto"/>
              <w:ind w:right="113"/>
              <w:jc w:val="right"/>
              <w:rPr>
                <w:sz w:val="18"/>
                <w:szCs w:val="18"/>
                <w:lang w:val="en-US"/>
              </w:rPr>
            </w:pPr>
            <w:r>
              <w:rPr>
                <w:sz w:val="18"/>
                <w:szCs w:val="18"/>
                <w:lang w:val="en-US"/>
              </w:rPr>
              <w:t>18 645</w:t>
            </w:r>
          </w:p>
        </w:tc>
      </w:tr>
      <w:tr w:rsidR="00CC0A78" w14:paraId="46F52CC3" w14:textId="77777777" w:rsidTr="00CC0A78">
        <w:trPr>
          <w:trHeight w:val="227"/>
        </w:trPr>
        <w:tc>
          <w:tcPr>
            <w:tcW w:w="2468" w:type="dxa"/>
            <w:vAlign w:val="bottom"/>
            <w:hideMark/>
          </w:tcPr>
          <w:p w14:paraId="44005E1E" w14:textId="77777777" w:rsidR="00CC0A78" w:rsidRDefault="00CC0A78">
            <w:pPr>
              <w:spacing w:line="240" w:lineRule="auto"/>
              <w:ind w:right="113"/>
              <w:rPr>
                <w:lang w:val="en-US"/>
              </w:rPr>
            </w:pPr>
            <w:r>
              <w:rPr>
                <w:color w:val="000000"/>
                <w:sz w:val="18"/>
                <w:szCs w:val="18"/>
                <w:lang w:val="en-US"/>
              </w:rPr>
              <w:t>Finland</w:t>
            </w:r>
          </w:p>
        </w:tc>
        <w:tc>
          <w:tcPr>
            <w:tcW w:w="1188" w:type="dxa"/>
            <w:vAlign w:val="bottom"/>
            <w:hideMark/>
          </w:tcPr>
          <w:p w14:paraId="5D278C86" w14:textId="77777777" w:rsidR="00CC0A78" w:rsidRDefault="00CC0A78">
            <w:pPr>
              <w:spacing w:line="240" w:lineRule="auto"/>
              <w:ind w:right="113"/>
              <w:jc w:val="right"/>
              <w:rPr>
                <w:sz w:val="18"/>
                <w:szCs w:val="18"/>
                <w:lang w:val="en-US"/>
              </w:rPr>
            </w:pPr>
            <w:r>
              <w:rPr>
                <w:sz w:val="18"/>
                <w:szCs w:val="18"/>
                <w:lang w:val="en-US"/>
              </w:rPr>
              <w:t>1.009</w:t>
            </w:r>
          </w:p>
        </w:tc>
        <w:tc>
          <w:tcPr>
            <w:tcW w:w="1212" w:type="dxa"/>
            <w:vAlign w:val="bottom"/>
            <w:hideMark/>
          </w:tcPr>
          <w:p w14:paraId="5146D289" w14:textId="77777777" w:rsidR="00CC0A78" w:rsidRDefault="00CC0A78">
            <w:pPr>
              <w:spacing w:line="240" w:lineRule="auto"/>
              <w:ind w:right="113"/>
              <w:jc w:val="right"/>
              <w:rPr>
                <w:sz w:val="18"/>
                <w:szCs w:val="18"/>
                <w:lang w:val="en-US"/>
              </w:rPr>
            </w:pPr>
            <w:r>
              <w:rPr>
                <w:sz w:val="18"/>
                <w:szCs w:val="18"/>
                <w:lang w:val="en-US"/>
              </w:rPr>
              <w:t>19 962</w:t>
            </w:r>
          </w:p>
        </w:tc>
        <w:tc>
          <w:tcPr>
            <w:tcW w:w="1212" w:type="dxa"/>
            <w:vAlign w:val="bottom"/>
            <w:hideMark/>
          </w:tcPr>
          <w:p w14:paraId="2507B427" w14:textId="77777777" w:rsidR="00CC0A78" w:rsidRDefault="00CC0A78">
            <w:pPr>
              <w:spacing w:line="240" w:lineRule="auto"/>
              <w:ind w:right="113"/>
              <w:jc w:val="right"/>
              <w:rPr>
                <w:sz w:val="18"/>
                <w:szCs w:val="18"/>
                <w:lang w:val="en-US"/>
              </w:rPr>
            </w:pPr>
            <w:r>
              <w:rPr>
                <w:sz w:val="18"/>
                <w:szCs w:val="18"/>
                <w:lang w:val="en-US"/>
              </w:rPr>
              <w:t>19 962</w:t>
            </w:r>
          </w:p>
        </w:tc>
        <w:tc>
          <w:tcPr>
            <w:tcW w:w="1212" w:type="dxa"/>
            <w:vAlign w:val="bottom"/>
            <w:hideMark/>
          </w:tcPr>
          <w:p w14:paraId="3397029A" w14:textId="77777777" w:rsidR="00CC0A78" w:rsidRDefault="00CC0A78">
            <w:pPr>
              <w:spacing w:line="240" w:lineRule="auto"/>
              <w:ind w:right="113"/>
              <w:jc w:val="right"/>
              <w:rPr>
                <w:sz w:val="18"/>
                <w:szCs w:val="18"/>
                <w:lang w:val="en-US"/>
              </w:rPr>
            </w:pPr>
            <w:r>
              <w:rPr>
                <w:sz w:val="18"/>
                <w:szCs w:val="18"/>
                <w:lang w:val="en-US"/>
              </w:rPr>
              <w:t>7 006</w:t>
            </w:r>
          </w:p>
        </w:tc>
        <w:tc>
          <w:tcPr>
            <w:tcW w:w="1213" w:type="dxa"/>
            <w:vAlign w:val="bottom"/>
            <w:hideMark/>
          </w:tcPr>
          <w:p w14:paraId="434B9DE5" w14:textId="77777777" w:rsidR="00CC0A78" w:rsidRDefault="00CC0A78">
            <w:pPr>
              <w:spacing w:line="240" w:lineRule="auto"/>
              <w:ind w:right="113"/>
              <w:jc w:val="right"/>
              <w:rPr>
                <w:sz w:val="18"/>
                <w:szCs w:val="18"/>
                <w:lang w:val="en-US"/>
              </w:rPr>
            </w:pPr>
            <w:r>
              <w:rPr>
                <w:sz w:val="18"/>
                <w:szCs w:val="18"/>
                <w:lang w:val="en-US"/>
              </w:rPr>
              <w:t>7 006</w:t>
            </w:r>
          </w:p>
        </w:tc>
      </w:tr>
      <w:tr w:rsidR="00CC0A78" w14:paraId="322E4465" w14:textId="77777777" w:rsidTr="00CC0A78">
        <w:trPr>
          <w:trHeight w:val="227"/>
        </w:trPr>
        <w:tc>
          <w:tcPr>
            <w:tcW w:w="2468" w:type="dxa"/>
            <w:vAlign w:val="bottom"/>
            <w:hideMark/>
          </w:tcPr>
          <w:p w14:paraId="46C3151F" w14:textId="77777777" w:rsidR="00CC0A78" w:rsidRDefault="00CC0A78">
            <w:pPr>
              <w:spacing w:line="240" w:lineRule="auto"/>
              <w:ind w:right="113"/>
              <w:rPr>
                <w:lang w:val="en-US"/>
              </w:rPr>
            </w:pPr>
            <w:r>
              <w:rPr>
                <w:color w:val="000000"/>
                <w:sz w:val="18"/>
                <w:szCs w:val="18"/>
                <w:lang w:val="en-US"/>
              </w:rPr>
              <w:t>France</w:t>
            </w:r>
          </w:p>
        </w:tc>
        <w:tc>
          <w:tcPr>
            <w:tcW w:w="1188" w:type="dxa"/>
            <w:vAlign w:val="bottom"/>
            <w:hideMark/>
          </w:tcPr>
          <w:p w14:paraId="450E2FC3" w14:textId="77777777" w:rsidR="00CC0A78" w:rsidRDefault="00CC0A78">
            <w:pPr>
              <w:spacing w:line="240" w:lineRule="auto"/>
              <w:ind w:right="113"/>
              <w:jc w:val="right"/>
              <w:rPr>
                <w:sz w:val="18"/>
                <w:szCs w:val="18"/>
                <w:lang w:val="en-US"/>
              </w:rPr>
            </w:pPr>
            <w:r>
              <w:rPr>
                <w:sz w:val="18"/>
                <w:szCs w:val="18"/>
                <w:lang w:val="en-US"/>
              </w:rPr>
              <w:t>10.667</w:t>
            </w:r>
          </w:p>
        </w:tc>
        <w:tc>
          <w:tcPr>
            <w:tcW w:w="1212" w:type="dxa"/>
            <w:vAlign w:val="bottom"/>
            <w:hideMark/>
          </w:tcPr>
          <w:p w14:paraId="4C4B1C16" w14:textId="77777777" w:rsidR="00CC0A78" w:rsidRDefault="00CC0A78">
            <w:pPr>
              <w:spacing w:line="240" w:lineRule="auto"/>
              <w:ind w:right="113"/>
              <w:jc w:val="right"/>
              <w:rPr>
                <w:sz w:val="18"/>
                <w:szCs w:val="18"/>
                <w:lang w:val="en-US"/>
              </w:rPr>
            </w:pPr>
            <w:r>
              <w:rPr>
                <w:sz w:val="18"/>
                <w:szCs w:val="18"/>
                <w:lang w:val="en-US"/>
              </w:rPr>
              <w:t>211 061</w:t>
            </w:r>
          </w:p>
        </w:tc>
        <w:tc>
          <w:tcPr>
            <w:tcW w:w="1212" w:type="dxa"/>
            <w:vAlign w:val="bottom"/>
            <w:hideMark/>
          </w:tcPr>
          <w:p w14:paraId="7881666F" w14:textId="77777777" w:rsidR="00CC0A78" w:rsidRDefault="00CC0A78">
            <w:pPr>
              <w:spacing w:line="240" w:lineRule="auto"/>
              <w:ind w:right="113"/>
              <w:jc w:val="right"/>
              <w:rPr>
                <w:sz w:val="18"/>
                <w:szCs w:val="18"/>
                <w:lang w:val="en-US"/>
              </w:rPr>
            </w:pPr>
            <w:r>
              <w:rPr>
                <w:sz w:val="18"/>
                <w:szCs w:val="18"/>
                <w:lang w:val="en-US"/>
              </w:rPr>
              <w:t>211 061</w:t>
            </w:r>
          </w:p>
        </w:tc>
        <w:tc>
          <w:tcPr>
            <w:tcW w:w="1212" w:type="dxa"/>
            <w:vAlign w:val="bottom"/>
            <w:hideMark/>
          </w:tcPr>
          <w:p w14:paraId="1743A67D" w14:textId="77777777" w:rsidR="00CC0A78" w:rsidRDefault="00CC0A78">
            <w:pPr>
              <w:spacing w:line="240" w:lineRule="auto"/>
              <w:ind w:right="113"/>
              <w:jc w:val="right"/>
              <w:rPr>
                <w:sz w:val="18"/>
                <w:szCs w:val="18"/>
                <w:lang w:val="en-US"/>
              </w:rPr>
            </w:pPr>
            <w:r>
              <w:rPr>
                <w:sz w:val="18"/>
                <w:szCs w:val="18"/>
                <w:lang w:val="en-US"/>
              </w:rPr>
              <w:t>74 078</w:t>
            </w:r>
          </w:p>
        </w:tc>
        <w:tc>
          <w:tcPr>
            <w:tcW w:w="1213" w:type="dxa"/>
            <w:vAlign w:val="bottom"/>
            <w:hideMark/>
          </w:tcPr>
          <w:p w14:paraId="1956CE1F" w14:textId="77777777" w:rsidR="00CC0A78" w:rsidRDefault="00CC0A78">
            <w:pPr>
              <w:spacing w:line="240" w:lineRule="auto"/>
              <w:ind w:right="113"/>
              <w:jc w:val="right"/>
              <w:rPr>
                <w:sz w:val="18"/>
                <w:szCs w:val="18"/>
                <w:lang w:val="en-US"/>
              </w:rPr>
            </w:pPr>
            <w:r>
              <w:rPr>
                <w:sz w:val="18"/>
                <w:szCs w:val="18"/>
                <w:lang w:val="en-US"/>
              </w:rPr>
              <w:t>74 078</w:t>
            </w:r>
          </w:p>
        </w:tc>
      </w:tr>
      <w:tr w:rsidR="00CC0A78" w14:paraId="1A11C8CD" w14:textId="77777777" w:rsidTr="00CC0A78">
        <w:trPr>
          <w:trHeight w:val="227"/>
        </w:trPr>
        <w:tc>
          <w:tcPr>
            <w:tcW w:w="2468" w:type="dxa"/>
            <w:vAlign w:val="bottom"/>
            <w:hideMark/>
          </w:tcPr>
          <w:p w14:paraId="340294F5" w14:textId="77777777" w:rsidR="00CC0A78" w:rsidRDefault="00CC0A78">
            <w:pPr>
              <w:spacing w:line="240" w:lineRule="auto"/>
              <w:ind w:right="113"/>
              <w:rPr>
                <w:lang w:val="en-US"/>
              </w:rPr>
            </w:pPr>
            <w:r>
              <w:rPr>
                <w:color w:val="000000"/>
                <w:sz w:val="18"/>
                <w:szCs w:val="18"/>
                <w:lang w:val="en-US"/>
              </w:rPr>
              <w:t>Germany</w:t>
            </w:r>
          </w:p>
        </w:tc>
        <w:tc>
          <w:tcPr>
            <w:tcW w:w="1188" w:type="dxa"/>
            <w:vAlign w:val="bottom"/>
            <w:hideMark/>
          </w:tcPr>
          <w:p w14:paraId="621952AB" w14:textId="77777777" w:rsidR="00CC0A78" w:rsidRDefault="00CC0A78">
            <w:pPr>
              <w:spacing w:line="240" w:lineRule="auto"/>
              <w:ind w:right="113"/>
              <w:jc w:val="right"/>
              <w:rPr>
                <w:sz w:val="18"/>
                <w:szCs w:val="18"/>
                <w:lang w:val="en-US"/>
              </w:rPr>
            </w:pPr>
            <w:r>
              <w:rPr>
                <w:sz w:val="18"/>
                <w:szCs w:val="18"/>
                <w:lang w:val="en-US"/>
              </w:rPr>
              <w:t>15.35</w:t>
            </w:r>
          </w:p>
        </w:tc>
        <w:tc>
          <w:tcPr>
            <w:tcW w:w="1212" w:type="dxa"/>
            <w:vAlign w:val="bottom"/>
            <w:hideMark/>
          </w:tcPr>
          <w:p w14:paraId="008557E5" w14:textId="77777777" w:rsidR="00CC0A78" w:rsidRDefault="00CC0A78">
            <w:pPr>
              <w:spacing w:line="240" w:lineRule="auto"/>
              <w:ind w:right="113"/>
              <w:jc w:val="right"/>
              <w:rPr>
                <w:sz w:val="18"/>
                <w:szCs w:val="18"/>
                <w:lang w:val="en-US"/>
              </w:rPr>
            </w:pPr>
            <w:r>
              <w:rPr>
                <w:sz w:val="18"/>
                <w:szCs w:val="18"/>
                <w:lang w:val="en-US"/>
              </w:rPr>
              <w:t>303 714</w:t>
            </w:r>
          </w:p>
        </w:tc>
        <w:tc>
          <w:tcPr>
            <w:tcW w:w="1212" w:type="dxa"/>
            <w:vAlign w:val="bottom"/>
            <w:hideMark/>
          </w:tcPr>
          <w:p w14:paraId="1689A3A4" w14:textId="77777777" w:rsidR="00CC0A78" w:rsidRDefault="00CC0A78">
            <w:pPr>
              <w:spacing w:line="240" w:lineRule="auto"/>
              <w:ind w:right="113"/>
              <w:jc w:val="right"/>
              <w:rPr>
                <w:sz w:val="18"/>
                <w:szCs w:val="18"/>
                <w:lang w:val="en-US"/>
              </w:rPr>
            </w:pPr>
            <w:r>
              <w:rPr>
                <w:sz w:val="18"/>
                <w:szCs w:val="18"/>
                <w:lang w:val="en-US"/>
              </w:rPr>
              <w:t>303 714</w:t>
            </w:r>
          </w:p>
        </w:tc>
        <w:tc>
          <w:tcPr>
            <w:tcW w:w="1212" w:type="dxa"/>
            <w:vAlign w:val="bottom"/>
            <w:hideMark/>
          </w:tcPr>
          <w:p w14:paraId="39578DF1" w14:textId="77777777" w:rsidR="00CC0A78" w:rsidRDefault="00CC0A78">
            <w:pPr>
              <w:spacing w:line="240" w:lineRule="auto"/>
              <w:ind w:right="113"/>
              <w:jc w:val="right"/>
              <w:rPr>
                <w:sz w:val="18"/>
                <w:szCs w:val="18"/>
                <w:lang w:val="en-US"/>
              </w:rPr>
            </w:pPr>
            <w:r>
              <w:rPr>
                <w:sz w:val="18"/>
                <w:szCs w:val="18"/>
                <w:lang w:val="en-US"/>
              </w:rPr>
              <w:t>106 597</w:t>
            </w:r>
          </w:p>
        </w:tc>
        <w:tc>
          <w:tcPr>
            <w:tcW w:w="1213" w:type="dxa"/>
            <w:vAlign w:val="bottom"/>
            <w:hideMark/>
          </w:tcPr>
          <w:p w14:paraId="6EED20D7" w14:textId="77777777" w:rsidR="00CC0A78" w:rsidRDefault="00CC0A78">
            <w:pPr>
              <w:spacing w:line="240" w:lineRule="auto"/>
              <w:ind w:right="113"/>
              <w:jc w:val="right"/>
              <w:rPr>
                <w:sz w:val="18"/>
                <w:szCs w:val="18"/>
                <w:lang w:val="en-US"/>
              </w:rPr>
            </w:pPr>
            <w:r>
              <w:rPr>
                <w:sz w:val="18"/>
                <w:szCs w:val="18"/>
                <w:lang w:val="en-US"/>
              </w:rPr>
              <w:t>106 597</w:t>
            </w:r>
          </w:p>
        </w:tc>
      </w:tr>
      <w:tr w:rsidR="00CC0A78" w14:paraId="1BFA79CE" w14:textId="77777777" w:rsidTr="00CC0A78">
        <w:trPr>
          <w:trHeight w:val="227"/>
        </w:trPr>
        <w:tc>
          <w:tcPr>
            <w:tcW w:w="2468" w:type="dxa"/>
            <w:vAlign w:val="bottom"/>
            <w:hideMark/>
          </w:tcPr>
          <w:p w14:paraId="37511B24" w14:textId="77777777" w:rsidR="00CC0A78" w:rsidRDefault="00CC0A78">
            <w:pPr>
              <w:spacing w:line="240" w:lineRule="auto"/>
              <w:ind w:right="113"/>
              <w:rPr>
                <w:lang w:val="en-US"/>
              </w:rPr>
            </w:pPr>
            <w:r>
              <w:rPr>
                <w:color w:val="000000"/>
                <w:sz w:val="18"/>
                <w:szCs w:val="18"/>
                <w:lang w:val="en-US"/>
              </w:rPr>
              <w:t>Greece</w:t>
            </w:r>
          </w:p>
        </w:tc>
        <w:tc>
          <w:tcPr>
            <w:tcW w:w="1188" w:type="dxa"/>
            <w:vAlign w:val="bottom"/>
            <w:hideMark/>
          </w:tcPr>
          <w:p w14:paraId="3D8B1689" w14:textId="77777777" w:rsidR="00CC0A78" w:rsidRDefault="00CC0A78">
            <w:pPr>
              <w:spacing w:line="240" w:lineRule="auto"/>
              <w:ind w:right="113"/>
              <w:jc w:val="right"/>
              <w:rPr>
                <w:sz w:val="18"/>
                <w:szCs w:val="18"/>
                <w:lang w:val="en-US"/>
              </w:rPr>
            </w:pPr>
            <w:r>
              <w:rPr>
                <w:sz w:val="18"/>
                <w:szCs w:val="18"/>
                <w:lang w:val="en-US"/>
              </w:rPr>
              <w:t>1.065</w:t>
            </w:r>
          </w:p>
        </w:tc>
        <w:tc>
          <w:tcPr>
            <w:tcW w:w="1212" w:type="dxa"/>
            <w:vAlign w:val="bottom"/>
            <w:hideMark/>
          </w:tcPr>
          <w:p w14:paraId="1BEC532C" w14:textId="77777777" w:rsidR="00CC0A78" w:rsidRDefault="00CC0A78">
            <w:pPr>
              <w:spacing w:line="240" w:lineRule="auto"/>
              <w:ind w:right="113"/>
              <w:jc w:val="right"/>
              <w:rPr>
                <w:sz w:val="18"/>
                <w:szCs w:val="18"/>
                <w:lang w:val="en-US"/>
              </w:rPr>
            </w:pPr>
            <w:r>
              <w:rPr>
                <w:sz w:val="18"/>
                <w:szCs w:val="18"/>
                <w:lang w:val="en-US"/>
              </w:rPr>
              <w:t>21 079</w:t>
            </w:r>
          </w:p>
        </w:tc>
        <w:tc>
          <w:tcPr>
            <w:tcW w:w="1212" w:type="dxa"/>
            <w:vAlign w:val="bottom"/>
            <w:hideMark/>
          </w:tcPr>
          <w:p w14:paraId="543F8AD0" w14:textId="77777777" w:rsidR="00CC0A78" w:rsidRDefault="00CC0A78">
            <w:pPr>
              <w:spacing w:line="240" w:lineRule="auto"/>
              <w:ind w:right="113"/>
              <w:jc w:val="right"/>
              <w:rPr>
                <w:sz w:val="18"/>
                <w:szCs w:val="18"/>
                <w:lang w:val="en-US"/>
              </w:rPr>
            </w:pPr>
            <w:r>
              <w:rPr>
                <w:sz w:val="18"/>
                <w:szCs w:val="18"/>
                <w:lang w:val="en-US"/>
              </w:rPr>
              <w:t>21 079</w:t>
            </w:r>
          </w:p>
        </w:tc>
        <w:tc>
          <w:tcPr>
            <w:tcW w:w="1212" w:type="dxa"/>
            <w:vAlign w:val="bottom"/>
            <w:hideMark/>
          </w:tcPr>
          <w:p w14:paraId="24BD2083" w14:textId="77777777" w:rsidR="00CC0A78" w:rsidRDefault="00CC0A78">
            <w:pPr>
              <w:spacing w:line="240" w:lineRule="auto"/>
              <w:ind w:right="113"/>
              <w:jc w:val="right"/>
              <w:rPr>
                <w:sz w:val="18"/>
                <w:szCs w:val="18"/>
                <w:lang w:val="en-US"/>
              </w:rPr>
            </w:pPr>
            <w:r>
              <w:rPr>
                <w:sz w:val="18"/>
                <w:szCs w:val="18"/>
                <w:lang w:val="en-US"/>
              </w:rPr>
              <w:t>7 398</w:t>
            </w:r>
          </w:p>
        </w:tc>
        <w:tc>
          <w:tcPr>
            <w:tcW w:w="1213" w:type="dxa"/>
            <w:vAlign w:val="bottom"/>
            <w:hideMark/>
          </w:tcPr>
          <w:p w14:paraId="0694F7FE" w14:textId="77777777" w:rsidR="00CC0A78" w:rsidRDefault="00CC0A78">
            <w:pPr>
              <w:spacing w:line="240" w:lineRule="auto"/>
              <w:ind w:right="113"/>
              <w:jc w:val="right"/>
              <w:rPr>
                <w:sz w:val="18"/>
                <w:szCs w:val="18"/>
                <w:lang w:val="en-US"/>
              </w:rPr>
            </w:pPr>
            <w:r>
              <w:rPr>
                <w:sz w:val="18"/>
                <w:szCs w:val="18"/>
                <w:lang w:val="en-US"/>
              </w:rPr>
              <w:t>7 398</w:t>
            </w:r>
          </w:p>
        </w:tc>
      </w:tr>
      <w:tr w:rsidR="00CC0A78" w14:paraId="3F30159A" w14:textId="77777777" w:rsidTr="00CC0A78">
        <w:trPr>
          <w:trHeight w:val="227"/>
        </w:trPr>
        <w:tc>
          <w:tcPr>
            <w:tcW w:w="2468" w:type="dxa"/>
            <w:vAlign w:val="bottom"/>
            <w:hideMark/>
          </w:tcPr>
          <w:p w14:paraId="731FA5F4" w14:textId="77777777" w:rsidR="00CC0A78" w:rsidRDefault="00CC0A78">
            <w:pPr>
              <w:spacing w:line="240" w:lineRule="auto"/>
              <w:ind w:right="113"/>
              <w:rPr>
                <w:lang w:val="en-US"/>
              </w:rPr>
            </w:pPr>
            <w:r>
              <w:rPr>
                <w:color w:val="000000"/>
                <w:sz w:val="18"/>
                <w:szCs w:val="18"/>
                <w:lang w:val="en-US"/>
              </w:rPr>
              <w:t>Hungary</w:t>
            </w:r>
          </w:p>
        </w:tc>
        <w:tc>
          <w:tcPr>
            <w:tcW w:w="1188" w:type="dxa"/>
            <w:vAlign w:val="bottom"/>
            <w:hideMark/>
          </w:tcPr>
          <w:p w14:paraId="202E84D8" w14:textId="77777777" w:rsidR="00CC0A78" w:rsidRDefault="00CC0A78">
            <w:pPr>
              <w:spacing w:line="240" w:lineRule="auto"/>
              <w:ind w:right="113"/>
              <w:jc w:val="right"/>
              <w:rPr>
                <w:sz w:val="18"/>
                <w:szCs w:val="18"/>
                <w:lang w:val="en-US"/>
              </w:rPr>
            </w:pPr>
            <w:r>
              <w:rPr>
                <w:sz w:val="18"/>
                <w:szCs w:val="18"/>
                <w:lang w:val="en-US"/>
              </w:rPr>
              <w:t>0.437</w:t>
            </w:r>
          </w:p>
        </w:tc>
        <w:tc>
          <w:tcPr>
            <w:tcW w:w="1212" w:type="dxa"/>
            <w:vAlign w:val="bottom"/>
            <w:hideMark/>
          </w:tcPr>
          <w:p w14:paraId="33AB080B" w14:textId="77777777" w:rsidR="00CC0A78" w:rsidRDefault="00CC0A78">
            <w:pPr>
              <w:spacing w:line="240" w:lineRule="auto"/>
              <w:ind w:right="113"/>
              <w:jc w:val="right"/>
              <w:rPr>
                <w:sz w:val="18"/>
                <w:szCs w:val="18"/>
                <w:lang w:val="en-US"/>
              </w:rPr>
            </w:pPr>
            <w:r>
              <w:rPr>
                <w:sz w:val="18"/>
                <w:szCs w:val="18"/>
                <w:lang w:val="en-US"/>
              </w:rPr>
              <w:t>8 647</w:t>
            </w:r>
          </w:p>
        </w:tc>
        <w:tc>
          <w:tcPr>
            <w:tcW w:w="1212" w:type="dxa"/>
            <w:vAlign w:val="bottom"/>
            <w:hideMark/>
          </w:tcPr>
          <w:p w14:paraId="436062F7" w14:textId="77777777" w:rsidR="00CC0A78" w:rsidRDefault="00CC0A78">
            <w:pPr>
              <w:spacing w:line="240" w:lineRule="auto"/>
              <w:ind w:right="113"/>
              <w:jc w:val="right"/>
              <w:rPr>
                <w:sz w:val="18"/>
                <w:szCs w:val="18"/>
                <w:lang w:val="en-US"/>
              </w:rPr>
            </w:pPr>
            <w:r>
              <w:rPr>
                <w:sz w:val="18"/>
                <w:szCs w:val="18"/>
                <w:lang w:val="en-US"/>
              </w:rPr>
              <w:t>8 647</w:t>
            </w:r>
          </w:p>
        </w:tc>
        <w:tc>
          <w:tcPr>
            <w:tcW w:w="1212" w:type="dxa"/>
            <w:vAlign w:val="bottom"/>
            <w:hideMark/>
          </w:tcPr>
          <w:p w14:paraId="63C176D1" w14:textId="77777777" w:rsidR="00CC0A78" w:rsidRDefault="00CC0A78">
            <w:pPr>
              <w:spacing w:line="240" w:lineRule="auto"/>
              <w:ind w:right="113"/>
              <w:jc w:val="right"/>
              <w:rPr>
                <w:sz w:val="18"/>
                <w:szCs w:val="18"/>
                <w:lang w:val="en-US"/>
              </w:rPr>
            </w:pPr>
            <w:r>
              <w:rPr>
                <w:sz w:val="18"/>
                <w:szCs w:val="18"/>
                <w:lang w:val="en-US"/>
              </w:rPr>
              <w:t>3 035</w:t>
            </w:r>
          </w:p>
        </w:tc>
        <w:tc>
          <w:tcPr>
            <w:tcW w:w="1213" w:type="dxa"/>
            <w:vAlign w:val="bottom"/>
            <w:hideMark/>
          </w:tcPr>
          <w:p w14:paraId="0FF82F02" w14:textId="77777777" w:rsidR="00CC0A78" w:rsidRDefault="00CC0A78">
            <w:pPr>
              <w:spacing w:line="240" w:lineRule="auto"/>
              <w:ind w:right="113"/>
              <w:jc w:val="right"/>
              <w:rPr>
                <w:sz w:val="18"/>
                <w:szCs w:val="18"/>
                <w:lang w:val="en-US"/>
              </w:rPr>
            </w:pPr>
            <w:r>
              <w:rPr>
                <w:sz w:val="18"/>
                <w:szCs w:val="18"/>
                <w:lang w:val="en-US"/>
              </w:rPr>
              <w:t>3 035</w:t>
            </w:r>
          </w:p>
        </w:tc>
      </w:tr>
      <w:tr w:rsidR="00CC0A78" w14:paraId="2EC46A49" w14:textId="77777777" w:rsidTr="00CC0A78">
        <w:trPr>
          <w:trHeight w:val="227"/>
        </w:trPr>
        <w:tc>
          <w:tcPr>
            <w:tcW w:w="2468" w:type="dxa"/>
            <w:vAlign w:val="bottom"/>
            <w:hideMark/>
          </w:tcPr>
          <w:p w14:paraId="32B97F6D" w14:textId="77777777" w:rsidR="00CC0A78" w:rsidRDefault="00CC0A78">
            <w:pPr>
              <w:spacing w:line="240" w:lineRule="auto"/>
              <w:ind w:right="113"/>
              <w:rPr>
                <w:lang w:val="en-US"/>
              </w:rPr>
            </w:pPr>
            <w:r>
              <w:rPr>
                <w:color w:val="000000"/>
                <w:sz w:val="18"/>
                <w:szCs w:val="18"/>
                <w:lang w:val="en-US"/>
              </w:rPr>
              <w:t>Iceland</w:t>
            </w:r>
          </w:p>
        </w:tc>
        <w:tc>
          <w:tcPr>
            <w:tcW w:w="1188" w:type="dxa"/>
            <w:vAlign w:val="bottom"/>
            <w:hideMark/>
          </w:tcPr>
          <w:p w14:paraId="115A4135" w14:textId="77777777" w:rsidR="00CC0A78" w:rsidRDefault="00CC0A78">
            <w:pPr>
              <w:spacing w:line="240" w:lineRule="auto"/>
              <w:ind w:right="113"/>
              <w:jc w:val="right"/>
              <w:rPr>
                <w:sz w:val="18"/>
                <w:szCs w:val="18"/>
                <w:lang w:val="en-US"/>
              </w:rPr>
            </w:pPr>
            <w:r>
              <w:rPr>
                <w:sz w:val="18"/>
                <w:szCs w:val="18"/>
                <w:lang w:val="en-US"/>
              </w:rPr>
              <w:t>0.737</w:t>
            </w:r>
          </w:p>
        </w:tc>
        <w:tc>
          <w:tcPr>
            <w:tcW w:w="1212" w:type="dxa"/>
            <w:vAlign w:val="bottom"/>
            <w:hideMark/>
          </w:tcPr>
          <w:p w14:paraId="4E84421B" w14:textId="77777777" w:rsidR="00CC0A78" w:rsidRDefault="00CC0A78">
            <w:pPr>
              <w:spacing w:line="240" w:lineRule="auto"/>
              <w:ind w:right="113"/>
              <w:jc w:val="right"/>
              <w:rPr>
                <w:sz w:val="18"/>
                <w:szCs w:val="18"/>
                <w:lang w:val="en-US"/>
              </w:rPr>
            </w:pPr>
            <w:r>
              <w:rPr>
                <w:sz w:val="18"/>
                <w:szCs w:val="18"/>
                <w:lang w:val="en-US"/>
              </w:rPr>
              <w:t>14 584</w:t>
            </w:r>
          </w:p>
        </w:tc>
        <w:tc>
          <w:tcPr>
            <w:tcW w:w="1212" w:type="dxa"/>
            <w:vAlign w:val="bottom"/>
            <w:hideMark/>
          </w:tcPr>
          <w:p w14:paraId="42E8D3F5" w14:textId="77777777" w:rsidR="00CC0A78" w:rsidRDefault="00CC0A78">
            <w:pPr>
              <w:spacing w:line="240" w:lineRule="auto"/>
              <w:ind w:right="113"/>
              <w:jc w:val="right"/>
              <w:rPr>
                <w:sz w:val="18"/>
                <w:szCs w:val="18"/>
                <w:lang w:val="en-US"/>
              </w:rPr>
            </w:pPr>
            <w:r>
              <w:rPr>
                <w:sz w:val="18"/>
                <w:szCs w:val="18"/>
                <w:lang w:val="en-US"/>
              </w:rPr>
              <w:t>14 584</w:t>
            </w:r>
          </w:p>
        </w:tc>
        <w:tc>
          <w:tcPr>
            <w:tcW w:w="1212" w:type="dxa"/>
            <w:vAlign w:val="bottom"/>
            <w:hideMark/>
          </w:tcPr>
          <w:p w14:paraId="79184926" w14:textId="77777777" w:rsidR="00CC0A78" w:rsidRDefault="00CC0A78">
            <w:pPr>
              <w:spacing w:line="240" w:lineRule="auto"/>
              <w:ind w:right="113"/>
              <w:jc w:val="right"/>
              <w:rPr>
                <w:sz w:val="18"/>
                <w:szCs w:val="18"/>
                <w:lang w:val="en-US"/>
              </w:rPr>
            </w:pPr>
            <w:r>
              <w:rPr>
                <w:sz w:val="18"/>
                <w:szCs w:val="18"/>
                <w:lang w:val="en-US"/>
              </w:rPr>
              <w:t>5 119</w:t>
            </w:r>
          </w:p>
        </w:tc>
        <w:tc>
          <w:tcPr>
            <w:tcW w:w="1213" w:type="dxa"/>
            <w:vAlign w:val="bottom"/>
            <w:hideMark/>
          </w:tcPr>
          <w:p w14:paraId="33BB2D44" w14:textId="77777777" w:rsidR="00CC0A78" w:rsidRDefault="00CC0A78">
            <w:pPr>
              <w:spacing w:line="240" w:lineRule="auto"/>
              <w:ind w:right="113"/>
              <w:jc w:val="right"/>
              <w:rPr>
                <w:sz w:val="18"/>
                <w:szCs w:val="18"/>
                <w:lang w:val="en-US"/>
              </w:rPr>
            </w:pPr>
            <w:r>
              <w:rPr>
                <w:sz w:val="18"/>
                <w:szCs w:val="18"/>
                <w:lang w:val="en-US"/>
              </w:rPr>
              <w:t>5 119</w:t>
            </w:r>
          </w:p>
        </w:tc>
      </w:tr>
      <w:tr w:rsidR="00CC0A78" w14:paraId="36C707E3" w14:textId="77777777" w:rsidTr="00CC0A78">
        <w:trPr>
          <w:trHeight w:val="227"/>
        </w:trPr>
        <w:tc>
          <w:tcPr>
            <w:tcW w:w="2468" w:type="dxa"/>
            <w:vAlign w:val="bottom"/>
            <w:hideMark/>
          </w:tcPr>
          <w:p w14:paraId="402E5187" w14:textId="77777777" w:rsidR="00CC0A78" w:rsidRDefault="00CC0A78">
            <w:pPr>
              <w:spacing w:line="240" w:lineRule="auto"/>
              <w:ind w:right="113"/>
              <w:rPr>
                <w:lang w:val="en-US"/>
              </w:rPr>
            </w:pPr>
            <w:r>
              <w:rPr>
                <w:color w:val="000000"/>
                <w:sz w:val="18"/>
                <w:szCs w:val="18"/>
                <w:lang w:val="en-US"/>
              </w:rPr>
              <w:t>Ireland</w:t>
            </w:r>
          </w:p>
        </w:tc>
        <w:tc>
          <w:tcPr>
            <w:tcW w:w="1188" w:type="dxa"/>
            <w:vAlign w:val="bottom"/>
            <w:hideMark/>
          </w:tcPr>
          <w:p w14:paraId="4BFA8E2B" w14:textId="77777777" w:rsidR="00CC0A78" w:rsidRDefault="00CC0A78">
            <w:pPr>
              <w:spacing w:line="240" w:lineRule="auto"/>
              <w:ind w:right="113"/>
              <w:jc w:val="right"/>
              <w:rPr>
                <w:sz w:val="18"/>
                <w:szCs w:val="18"/>
                <w:lang w:val="en-US"/>
              </w:rPr>
            </w:pPr>
            <w:r>
              <w:rPr>
                <w:sz w:val="18"/>
                <w:szCs w:val="18"/>
                <w:lang w:val="en-US"/>
              </w:rPr>
              <w:t>0.797</w:t>
            </w:r>
          </w:p>
        </w:tc>
        <w:tc>
          <w:tcPr>
            <w:tcW w:w="1212" w:type="dxa"/>
            <w:vAlign w:val="bottom"/>
            <w:hideMark/>
          </w:tcPr>
          <w:p w14:paraId="662CF790" w14:textId="77777777" w:rsidR="00CC0A78" w:rsidRDefault="00CC0A78">
            <w:pPr>
              <w:spacing w:line="240" w:lineRule="auto"/>
              <w:ind w:right="113"/>
              <w:jc w:val="right"/>
              <w:rPr>
                <w:sz w:val="18"/>
                <w:szCs w:val="18"/>
                <w:lang w:val="en-US"/>
              </w:rPr>
            </w:pPr>
            <w:r>
              <w:rPr>
                <w:sz w:val="18"/>
                <w:szCs w:val="18"/>
                <w:lang w:val="en-US"/>
              </w:rPr>
              <w:t>15 763</w:t>
            </w:r>
          </w:p>
        </w:tc>
        <w:tc>
          <w:tcPr>
            <w:tcW w:w="1212" w:type="dxa"/>
            <w:vAlign w:val="bottom"/>
            <w:hideMark/>
          </w:tcPr>
          <w:p w14:paraId="66223763" w14:textId="77777777" w:rsidR="00CC0A78" w:rsidRDefault="00CC0A78">
            <w:pPr>
              <w:spacing w:line="240" w:lineRule="auto"/>
              <w:ind w:right="113"/>
              <w:jc w:val="right"/>
              <w:rPr>
                <w:sz w:val="18"/>
                <w:szCs w:val="18"/>
                <w:lang w:val="en-US"/>
              </w:rPr>
            </w:pPr>
            <w:r>
              <w:rPr>
                <w:sz w:val="18"/>
                <w:szCs w:val="18"/>
                <w:lang w:val="en-US"/>
              </w:rPr>
              <w:t>15 763</w:t>
            </w:r>
          </w:p>
        </w:tc>
        <w:tc>
          <w:tcPr>
            <w:tcW w:w="1212" w:type="dxa"/>
            <w:vAlign w:val="bottom"/>
            <w:hideMark/>
          </w:tcPr>
          <w:p w14:paraId="49B3B645" w14:textId="77777777" w:rsidR="00CC0A78" w:rsidRDefault="00CC0A78">
            <w:pPr>
              <w:spacing w:line="240" w:lineRule="auto"/>
              <w:ind w:right="113"/>
              <w:jc w:val="right"/>
              <w:rPr>
                <w:sz w:val="18"/>
                <w:szCs w:val="18"/>
                <w:lang w:val="en-US"/>
              </w:rPr>
            </w:pPr>
            <w:r>
              <w:rPr>
                <w:sz w:val="18"/>
                <w:szCs w:val="18"/>
                <w:lang w:val="en-US"/>
              </w:rPr>
              <w:t>5 532</w:t>
            </w:r>
          </w:p>
        </w:tc>
        <w:tc>
          <w:tcPr>
            <w:tcW w:w="1213" w:type="dxa"/>
            <w:vAlign w:val="bottom"/>
            <w:hideMark/>
          </w:tcPr>
          <w:p w14:paraId="0E643EB9" w14:textId="77777777" w:rsidR="00CC0A78" w:rsidRDefault="00CC0A78">
            <w:pPr>
              <w:spacing w:line="240" w:lineRule="auto"/>
              <w:ind w:right="113"/>
              <w:jc w:val="right"/>
              <w:rPr>
                <w:sz w:val="18"/>
                <w:szCs w:val="18"/>
                <w:lang w:val="en-US"/>
              </w:rPr>
            </w:pPr>
            <w:r>
              <w:rPr>
                <w:sz w:val="18"/>
                <w:szCs w:val="18"/>
                <w:lang w:val="en-US"/>
              </w:rPr>
              <w:t>5 532</w:t>
            </w:r>
          </w:p>
        </w:tc>
      </w:tr>
      <w:tr w:rsidR="00CC0A78" w14:paraId="15FA4001" w14:textId="77777777" w:rsidTr="00CC0A78">
        <w:trPr>
          <w:trHeight w:val="227"/>
        </w:trPr>
        <w:tc>
          <w:tcPr>
            <w:tcW w:w="2468" w:type="dxa"/>
            <w:vAlign w:val="bottom"/>
            <w:hideMark/>
          </w:tcPr>
          <w:p w14:paraId="0C8670A6" w14:textId="77777777" w:rsidR="00CC0A78" w:rsidRDefault="00CC0A78">
            <w:pPr>
              <w:spacing w:line="240" w:lineRule="auto"/>
              <w:ind w:right="113"/>
              <w:rPr>
                <w:lang w:val="en-US"/>
              </w:rPr>
            </w:pPr>
            <w:r>
              <w:rPr>
                <w:color w:val="000000"/>
                <w:sz w:val="18"/>
                <w:szCs w:val="18"/>
                <w:lang w:val="en-US"/>
              </w:rPr>
              <w:t>Italy</w:t>
            </w:r>
          </w:p>
        </w:tc>
        <w:tc>
          <w:tcPr>
            <w:tcW w:w="1188" w:type="dxa"/>
            <w:vAlign w:val="bottom"/>
            <w:hideMark/>
          </w:tcPr>
          <w:p w14:paraId="1C9C5A56" w14:textId="77777777" w:rsidR="00CC0A78" w:rsidRDefault="00CC0A78">
            <w:pPr>
              <w:spacing w:line="240" w:lineRule="auto"/>
              <w:ind w:right="113"/>
              <w:jc w:val="right"/>
              <w:rPr>
                <w:sz w:val="18"/>
                <w:szCs w:val="18"/>
                <w:lang w:val="en-US"/>
              </w:rPr>
            </w:pPr>
            <w:r>
              <w:rPr>
                <w:sz w:val="18"/>
                <w:szCs w:val="18"/>
                <w:lang w:val="en-US"/>
              </w:rPr>
              <w:t>9.090</w:t>
            </w:r>
          </w:p>
        </w:tc>
        <w:tc>
          <w:tcPr>
            <w:tcW w:w="1212" w:type="dxa"/>
            <w:vAlign w:val="bottom"/>
            <w:hideMark/>
          </w:tcPr>
          <w:p w14:paraId="35425A67" w14:textId="77777777" w:rsidR="00CC0A78" w:rsidRDefault="00CC0A78">
            <w:pPr>
              <w:spacing w:line="240" w:lineRule="auto"/>
              <w:ind w:right="113"/>
              <w:jc w:val="right"/>
              <w:rPr>
                <w:sz w:val="18"/>
                <w:szCs w:val="18"/>
                <w:lang w:val="en-US"/>
              </w:rPr>
            </w:pPr>
            <w:r>
              <w:rPr>
                <w:sz w:val="18"/>
                <w:szCs w:val="18"/>
                <w:lang w:val="en-US"/>
              </w:rPr>
              <w:t>179 847</w:t>
            </w:r>
          </w:p>
        </w:tc>
        <w:tc>
          <w:tcPr>
            <w:tcW w:w="1212" w:type="dxa"/>
            <w:vAlign w:val="bottom"/>
            <w:hideMark/>
          </w:tcPr>
          <w:p w14:paraId="4D92EDFF" w14:textId="77777777" w:rsidR="00CC0A78" w:rsidRDefault="00CC0A78">
            <w:pPr>
              <w:spacing w:line="240" w:lineRule="auto"/>
              <w:ind w:right="113"/>
              <w:jc w:val="right"/>
              <w:rPr>
                <w:sz w:val="18"/>
                <w:szCs w:val="18"/>
                <w:lang w:val="en-US"/>
              </w:rPr>
            </w:pPr>
            <w:r>
              <w:rPr>
                <w:sz w:val="18"/>
                <w:szCs w:val="18"/>
                <w:lang w:val="en-US"/>
              </w:rPr>
              <w:t>179 847</w:t>
            </w:r>
          </w:p>
        </w:tc>
        <w:tc>
          <w:tcPr>
            <w:tcW w:w="1212" w:type="dxa"/>
            <w:vAlign w:val="bottom"/>
            <w:hideMark/>
          </w:tcPr>
          <w:p w14:paraId="18C11B8B" w14:textId="77777777" w:rsidR="00CC0A78" w:rsidRDefault="00CC0A78">
            <w:pPr>
              <w:spacing w:line="240" w:lineRule="auto"/>
              <w:ind w:right="113"/>
              <w:jc w:val="right"/>
              <w:rPr>
                <w:sz w:val="18"/>
                <w:szCs w:val="18"/>
                <w:lang w:val="en-US"/>
              </w:rPr>
            </w:pPr>
            <w:r>
              <w:rPr>
                <w:sz w:val="18"/>
                <w:szCs w:val="18"/>
                <w:lang w:val="en-US"/>
              </w:rPr>
              <w:t>63 122</w:t>
            </w:r>
          </w:p>
        </w:tc>
        <w:tc>
          <w:tcPr>
            <w:tcW w:w="1213" w:type="dxa"/>
            <w:vAlign w:val="bottom"/>
            <w:hideMark/>
          </w:tcPr>
          <w:p w14:paraId="434A570C" w14:textId="77777777" w:rsidR="00CC0A78" w:rsidRDefault="00CC0A78">
            <w:pPr>
              <w:spacing w:line="240" w:lineRule="auto"/>
              <w:ind w:right="113"/>
              <w:jc w:val="right"/>
              <w:rPr>
                <w:sz w:val="18"/>
                <w:szCs w:val="18"/>
                <w:lang w:val="en-US"/>
              </w:rPr>
            </w:pPr>
            <w:r>
              <w:rPr>
                <w:sz w:val="18"/>
                <w:szCs w:val="18"/>
                <w:lang w:val="en-US"/>
              </w:rPr>
              <w:t>63 122</w:t>
            </w:r>
          </w:p>
        </w:tc>
      </w:tr>
      <w:tr w:rsidR="00CC0A78" w14:paraId="751B74D1" w14:textId="77777777" w:rsidTr="00CC0A78">
        <w:trPr>
          <w:trHeight w:val="227"/>
        </w:trPr>
        <w:tc>
          <w:tcPr>
            <w:tcW w:w="2468" w:type="dxa"/>
            <w:vAlign w:val="bottom"/>
            <w:hideMark/>
          </w:tcPr>
          <w:p w14:paraId="3C761545" w14:textId="77777777" w:rsidR="00CC0A78" w:rsidRDefault="00CC0A78">
            <w:pPr>
              <w:spacing w:line="240" w:lineRule="auto"/>
              <w:ind w:right="113"/>
              <w:rPr>
                <w:lang w:val="en-US"/>
              </w:rPr>
            </w:pPr>
            <w:r>
              <w:rPr>
                <w:color w:val="000000"/>
                <w:sz w:val="18"/>
                <w:szCs w:val="18"/>
                <w:lang w:val="en-US"/>
              </w:rPr>
              <w:t>Japan</w:t>
            </w:r>
          </w:p>
        </w:tc>
        <w:tc>
          <w:tcPr>
            <w:tcW w:w="1188" w:type="dxa"/>
            <w:vAlign w:val="bottom"/>
            <w:hideMark/>
          </w:tcPr>
          <w:p w14:paraId="191AC6AB" w14:textId="77777777" w:rsidR="00CC0A78" w:rsidRDefault="00CC0A78">
            <w:pPr>
              <w:spacing w:line="240" w:lineRule="auto"/>
              <w:ind w:right="113"/>
              <w:jc w:val="right"/>
              <w:rPr>
                <w:sz w:val="18"/>
                <w:szCs w:val="18"/>
                <w:lang w:val="en-US"/>
              </w:rPr>
            </w:pPr>
            <w:r>
              <w:rPr>
                <w:sz w:val="18"/>
                <w:szCs w:val="18"/>
                <w:lang w:val="en-US"/>
              </w:rPr>
              <w:t>14.939</w:t>
            </w:r>
          </w:p>
        </w:tc>
        <w:tc>
          <w:tcPr>
            <w:tcW w:w="1212" w:type="dxa"/>
            <w:vAlign w:val="bottom"/>
            <w:hideMark/>
          </w:tcPr>
          <w:p w14:paraId="3344565A" w14:textId="77777777" w:rsidR="00CC0A78" w:rsidRDefault="00CC0A78">
            <w:pPr>
              <w:spacing w:line="240" w:lineRule="auto"/>
              <w:ind w:right="113"/>
              <w:jc w:val="right"/>
              <w:rPr>
                <w:sz w:val="18"/>
                <w:szCs w:val="18"/>
                <w:lang w:val="en-US"/>
              </w:rPr>
            </w:pPr>
            <w:r>
              <w:rPr>
                <w:sz w:val="18"/>
                <w:szCs w:val="18"/>
                <w:lang w:val="en-US"/>
              </w:rPr>
              <w:t>295 585</w:t>
            </w:r>
          </w:p>
        </w:tc>
        <w:tc>
          <w:tcPr>
            <w:tcW w:w="1212" w:type="dxa"/>
            <w:vAlign w:val="bottom"/>
            <w:hideMark/>
          </w:tcPr>
          <w:p w14:paraId="5FB1986E" w14:textId="77777777" w:rsidR="00CC0A78" w:rsidRDefault="00CC0A78">
            <w:pPr>
              <w:spacing w:line="240" w:lineRule="auto"/>
              <w:ind w:right="113"/>
              <w:jc w:val="right"/>
              <w:rPr>
                <w:sz w:val="18"/>
                <w:szCs w:val="18"/>
                <w:lang w:val="en-US"/>
              </w:rPr>
            </w:pPr>
            <w:r>
              <w:rPr>
                <w:sz w:val="18"/>
                <w:szCs w:val="18"/>
                <w:lang w:val="en-US"/>
              </w:rPr>
              <w:t>295 585</w:t>
            </w:r>
          </w:p>
        </w:tc>
        <w:tc>
          <w:tcPr>
            <w:tcW w:w="1212" w:type="dxa"/>
            <w:vAlign w:val="bottom"/>
            <w:hideMark/>
          </w:tcPr>
          <w:p w14:paraId="3B3196B8" w14:textId="77777777" w:rsidR="00CC0A78" w:rsidRDefault="00CC0A78">
            <w:pPr>
              <w:spacing w:line="240" w:lineRule="auto"/>
              <w:ind w:right="113"/>
              <w:jc w:val="right"/>
              <w:rPr>
                <w:sz w:val="18"/>
                <w:szCs w:val="18"/>
                <w:lang w:val="en-US"/>
              </w:rPr>
            </w:pPr>
            <w:r>
              <w:rPr>
                <w:sz w:val="18"/>
                <w:szCs w:val="18"/>
                <w:lang w:val="en-US"/>
              </w:rPr>
              <w:t>103 744</w:t>
            </w:r>
          </w:p>
        </w:tc>
        <w:tc>
          <w:tcPr>
            <w:tcW w:w="1213" w:type="dxa"/>
            <w:vAlign w:val="bottom"/>
            <w:hideMark/>
          </w:tcPr>
          <w:p w14:paraId="786FD3C0" w14:textId="77777777" w:rsidR="00CC0A78" w:rsidRDefault="00CC0A78">
            <w:pPr>
              <w:spacing w:line="240" w:lineRule="auto"/>
              <w:ind w:right="113"/>
              <w:jc w:val="right"/>
              <w:rPr>
                <w:sz w:val="18"/>
                <w:szCs w:val="18"/>
                <w:lang w:val="en-US"/>
              </w:rPr>
            </w:pPr>
            <w:r>
              <w:rPr>
                <w:sz w:val="18"/>
                <w:szCs w:val="18"/>
                <w:lang w:val="en-US"/>
              </w:rPr>
              <w:t>103 744</w:t>
            </w:r>
          </w:p>
        </w:tc>
      </w:tr>
      <w:tr w:rsidR="00CC0A78" w14:paraId="0BA39942" w14:textId="77777777" w:rsidTr="00CC0A78">
        <w:trPr>
          <w:trHeight w:val="227"/>
        </w:trPr>
        <w:tc>
          <w:tcPr>
            <w:tcW w:w="2468" w:type="dxa"/>
            <w:vAlign w:val="bottom"/>
            <w:hideMark/>
          </w:tcPr>
          <w:p w14:paraId="395D70BC" w14:textId="77777777" w:rsidR="00CC0A78" w:rsidRDefault="00CC0A78">
            <w:pPr>
              <w:spacing w:line="240" w:lineRule="auto"/>
              <w:ind w:right="113"/>
              <w:rPr>
                <w:lang w:val="en-US"/>
              </w:rPr>
            </w:pPr>
            <w:r>
              <w:rPr>
                <w:color w:val="000000"/>
                <w:sz w:val="18"/>
                <w:szCs w:val="18"/>
                <w:lang w:val="en-US"/>
              </w:rPr>
              <w:t>Kazakhstan</w:t>
            </w:r>
            <w:r>
              <w:rPr>
                <w:bCs/>
                <w:i/>
                <w:sz w:val="18"/>
                <w:szCs w:val="18"/>
                <w:vertAlign w:val="superscript"/>
                <w:lang w:val="en-US"/>
              </w:rPr>
              <w:t>a</w:t>
            </w:r>
          </w:p>
        </w:tc>
        <w:tc>
          <w:tcPr>
            <w:tcW w:w="1188" w:type="dxa"/>
            <w:vAlign w:val="bottom"/>
            <w:hideMark/>
          </w:tcPr>
          <w:p w14:paraId="50BAAB0C" w14:textId="77777777" w:rsidR="00CC0A78" w:rsidRDefault="00CC0A78">
            <w:pPr>
              <w:spacing w:line="240" w:lineRule="auto"/>
              <w:ind w:right="113"/>
              <w:jc w:val="right"/>
              <w:rPr>
                <w:sz w:val="18"/>
                <w:szCs w:val="18"/>
                <w:lang w:val="en-US"/>
              </w:rPr>
            </w:pPr>
            <w:r>
              <w:rPr>
                <w:sz w:val="18"/>
                <w:szCs w:val="18"/>
                <w:lang w:val="en-US"/>
              </w:rPr>
              <w:t>0.157</w:t>
            </w:r>
          </w:p>
        </w:tc>
        <w:tc>
          <w:tcPr>
            <w:tcW w:w="1212" w:type="dxa"/>
            <w:vAlign w:val="bottom"/>
            <w:hideMark/>
          </w:tcPr>
          <w:p w14:paraId="2440C187" w14:textId="77777777" w:rsidR="00CC0A78" w:rsidRDefault="00CC0A78">
            <w:pPr>
              <w:spacing w:line="240" w:lineRule="auto"/>
              <w:ind w:right="113"/>
              <w:jc w:val="right"/>
              <w:rPr>
                <w:sz w:val="18"/>
                <w:szCs w:val="18"/>
                <w:lang w:val="en-US"/>
              </w:rPr>
            </w:pPr>
            <w:r>
              <w:rPr>
                <w:b/>
                <w:sz w:val="18"/>
                <w:szCs w:val="18"/>
                <w:lang w:val="en-US"/>
              </w:rPr>
              <w:t>–</w:t>
            </w:r>
          </w:p>
        </w:tc>
        <w:tc>
          <w:tcPr>
            <w:tcW w:w="1212" w:type="dxa"/>
            <w:vAlign w:val="bottom"/>
            <w:hideMark/>
          </w:tcPr>
          <w:p w14:paraId="634D2D89" w14:textId="77777777" w:rsidR="00CC0A78" w:rsidRDefault="00CC0A78">
            <w:pPr>
              <w:spacing w:line="240" w:lineRule="auto"/>
              <w:ind w:right="113"/>
              <w:jc w:val="right"/>
              <w:rPr>
                <w:sz w:val="18"/>
                <w:szCs w:val="18"/>
                <w:lang w:val="en-US"/>
              </w:rPr>
            </w:pPr>
            <w:r>
              <w:rPr>
                <w:b/>
                <w:sz w:val="18"/>
                <w:szCs w:val="18"/>
                <w:lang w:val="en-US"/>
              </w:rPr>
              <w:t>–</w:t>
            </w:r>
          </w:p>
        </w:tc>
        <w:tc>
          <w:tcPr>
            <w:tcW w:w="1212" w:type="dxa"/>
            <w:vAlign w:val="bottom"/>
            <w:hideMark/>
          </w:tcPr>
          <w:p w14:paraId="22D8C447" w14:textId="77777777" w:rsidR="00CC0A78" w:rsidRDefault="00CC0A78">
            <w:pPr>
              <w:spacing w:line="240" w:lineRule="auto"/>
              <w:ind w:right="113"/>
              <w:jc w:val="right"/>
              <w:rPr>
                <w:sz w:val="18"/>
                <w:szCs w:val="18"/>
                <w:lang w:val="en-US"/>
              </w:rPr>
            </w:pPr>
            <w:r>
              <w:rPr>
                <w:b/>
                <w:sz w:val="18"/>
                <w:szCs w:val="18"/>
                <w:lang w:val="en-US"/>
              </w:rPr>
              <w:t>–</w:t>
            </w:r>
          </w:p>
        </w:tc>
        <w:tc>
          <w:tcPr>
            <w:tcW w:w="1213" w:type="dxa"/>
            <w:vAlign w:val="bottom"/>
            <w:hideMark/>
          </w:tcPr>
          <w:p w14:paraId="70EE93A8" w14:textId="77777777" w:rsidR="00CC0A78" w:rsidRDefault="00CC0A78">
            <w:pPr>
              <w:spacing w:line="240" w:lineRule="auto"/>
              <w:ind w:right="113"/>
              <w:jc w:val="right"/>
              <w:rPr>
                <w:sz w:val="18"/>
                <w:szCs w:val="18"/>
                <w:lang w:val="en-US"/>
              </w:rPr>
            </w:pPr>
            <w:r>
              <w:rPr>
                <w:b/>
                <w:sz w:val="18"/>
                <w:szCs w:val="18"/>
                <w:lang w:val="en-US"/>
              </w:rPr>
              <w:t>–</w:t>
            </w:r>
          </w:p>
        </w:tc>
      </w:tr>
      <w:tr w:rsidR="00CC0A78" w14:paraId="1E607C5C" w14:textId="77777777" w:rsidTr="00CC0A78">
        <w:trPr>
          <w:trHeight w:val="227"/>
        </w:trPr>
        <w:tc>
          <w:tcPr>
            <w:tcW w:w="2468" w:type="dxa"/>
            <w:vAlign w:val="bottom"/>
            <w:hideMark/>
          </w:tcPr>
          <w:p w14:paraId="1E3B2AF5" w14:textId="77777777" w:rsidR="00CC0A78" w:rsidRDefault="00CC0A78">
            <w:pPr>
              <w:spacing w:line="240" w:lineRule="auto"/>
              <w:ind w:right="113"/>
              <w:rPr>
                <w:lang w:val="en-US"/>
              </w:rPr>
            </w:pPr>
            <w:r>
              <w:rPr>
                <w:color w:val="000000"/>
                <w:sz w:val="18"/>
                <w:szCs w:val="18"/>
                <w:lang w:val="en-US"/>
              </w:rPr>
              <w:t>Latvia</w:t>
            </w:r>
          </w:p>
        </w:tc>
        <w:tc>
          <w:tcPr>
            <w:tcW w:w="1188" w:type="dxa"/>
            <w:vAlign w:val="bottom"/>
            <w:hideMark/>
          </w:tcPr>
          <w:p w14:paraId="5EEBB266" w14:textId="77777777" w:rsidR="00CC0A78" w:rsidRDefault="00CC0A78">
            <w:pPr>
              <w:spacing w:line="240" w:lineRule="auto"/>
              <w:ind w:right="113"/>
              <w:jc w:val="right"/>
              <w:rPr>
                <w:sz w:val="18"/>
                <w:szCs w:val="18"/>
                <w:lang w:val="en-US"/>
              </w:rPr>
            </w:pPr>
            <w:r>
              <w:rPr>
                <w:sz w:val="18"/>
                <w:szCs w:val="18"/>
                <w:lang w:val="en-US"/>
              </w:rPr>
              <w:t>0.032</w:t>
            </w:r>
          </w:p>
        </w:tc>
        <w:tc>
          <w:tcPr>
            <w:tcW w:w="1212" w:type="dxa"/>
            <w:vAlign w:val="bottom"/>
            <w:hideMark/>
          </w:tcPr>
          <w:p w14:paraId="1327D224" w14:textId="77777777" w:rsidR="00CC0A78" w:rsidRDefault="00CC0A78">
            <w:pPr>
              <w:spacing w:line="240" w:lineRule="auto"/>
              <w:ind w:right="113"/>
              <w:jc w:val="right"/>
              <w:rPr>
                <w:sz w:val="18"/>
                <w:szCs w:val="18"/>
                <w:lang w:val="en-US"/>
              </w:rPr>
            </w:pPr>
            <w:r>
              <w:rPr>
                <w:sz w:val="18"/>
                <w:szCs w:val="18"/>
                <w:lang w:val="en-US"/>
              </w:rPr>
              <w:t>641</w:t>
            </w:r>
          </w:p>
        </w:tc>
        <w:tc>
          <w:tcPr>
            <w:tcW w:w="1212" w:type="dxa"/>
            <w:vAlign w:val="bottom"/>
            <w:hideMark/>
          </w:tcPr>
          <w:p w14:paraId="79B575CF" w14:textId="77777777" w:rsidR="00CC0A78" w:rsidRDefault="00CC0A78">
            <w:pPr>
              <w:spacing w:line="240" w:lineRule="auto"/>
              <w:ind w:right="113"/>
              <w:jc w:val="right"/>
              <w:rPr>
                <w:sz w:val="18"/>
                <w:szCs w:val="18"/>
                <w:lang w:val="en-US"/>
              </w:rPr>
            </w:pPr>
            <w:r>
              <w:rPr>
                <w:sz w:val="18"/>
                <w:szCs w:val="18"/>
                <w:lang w:val="en-US"/>
              </w:rPr>
              <w:t>641</w:t>
            </w:r>
          </w:p>
        </w:tc>
        <w:tc>
          <w:tcPr>
            <w:tcW w:w="1212" w:type="dxa"/>
            <w:vAlign w:val="bottom"/>
            <w:hideMark/>
          </w:tcPr>
          <w:p w14:paraId="41757205" w14:textId="77777777" w:rsidR="00CC0A78" w:rsidRDefault="00CC0A78">
            <w:pPr>
              <w:spacing w:line="240" w:lineRule="auto"/>
              <w:ind w:right="113"/>
              <w:jc w:val="right"/>
              <w:rPr>
                <w:sz w:val="18"/>
                <w:szCs w:val="18"/>
                <w:lang w:val="en-US"/>
              </w:rPr>
            </w:pPr>
            <w:r>
              <w:rPr>
                <w:sz w:val="18"/>
                <w:szCs w:val="18"/>
                <w:lang w:val="en-US"/>
              </w:rPr>
              <w:t>225</w:t>
            </w:r>
          </w:p>
        </w:tc>
        <w:tc>
          <w:tcPr>
            <w:tcW w:w="1213" w:type="dxa"/>
            <w:vAlign w:val="bottom"/>
            <w:hideMark/>
          </w:tcPr>
          <w:p w14:paraId="51A41257" w14:textId="77777777" w:rsidR="00CC0A78" w:rsidRDefault="00CC0A78">
            <w:pPr>
              <w:spacing w:line="240" w:lineRule="auto"/>
              <w:ind w:right="113"/>
              <w:jc w:val="right"/>
              <w:rPr>
                <w:sz w:val="18"/>
                <w:szCs w:val="18"/>
                <w:lang w:val="en-US"/>
              </w:rPr>
            </w:pPr>
            <w:r>
              <w:rPr>
                <w:sz w:val="18"/>
                <w:szCs w:val="18"/>
                <w:lang w:val="en-US"/>
              </w:rPr>
              <w:t>225</w:t>
            </w:r>
          </w:p>
        </w:tc>
      </w:tr>
      <w:tr w:rsidR="00CC0A78" w14:paraId="7120D165" w14:textId="77777777" w:rsidTr="00CC0A78">
        <w:trPr>
          <w:trHeight w:val="227"/>
        </w:trPr>
        <w:tc>
          <w:tcPr>
            <w:tcW w:w="2468" w:type="dxa"/>
            <w:vAlign w:val="bottom"/>
            <w:hideMark/>
          </w:tcPr>
          <w:p w14:paraId="768F8659" w14:textId="77777777" w:rsidR="00CC0A78" w:rsidRDefault="00CC0A78">
            <w:pPr>
              <w:spacing w:line="240" w:lineRule="auto"/>
              <w:ind w:right="113"/>
              <w:rPr>
                <w:lang w:val="en-US"/>
              </w:rPr>
            </w:pPr>
            <w:r>
              <w:rPr>
                <w:color w:val="000000"/>
                <w:sz w:val="18"/>
                <w:szCs w:val="18"/>
                <w:lang w:val="en-US"/>
              </w:rPr>
              <w:t>Liechtenstein</w:t>
            </w:r>
          </w:p>
        </w:tc>
        <w:tc>
          <w:tcPr>
            <w:tcW w:w="1188" w:type="dxa"/>
            <w:vAlign w:val="bottom"/>
            <w:hideMark/>
          </w:tcPr>
          <w:p w14:paraId="7B21F59F" w14:textId="77777777" w:rsidR="00CC0A78" w:rsidRDefault="00CC0A78">
            <w:pPr>
              <w:spacing w:line="240" w:lineRule="auto"/>
              <w:ind w:right="113"/>
              <w:jc w:val="right"/>
              <w:rPr>
                <w:sz w:val="18"/>
                <w:szCs w:val="18"/>
                <w:lang w:val="en-US"/>
              </w:rPr>
            </w:pPr>
            <w:r>
              <w:rPr>
                <w:sz w:val="18"/>
                <w:szCs w:val="18"/>
                <w:lang w:val="en-US"/>
              </w:rPr>
              <w:t>0.188</w:t>
            </w:r>
          </w:p>
        </w:tc>
        <w:tc>
          <w:tcPr>
            <w:tcW w:w="1212" w:type="dxa"/>
            <w:vAlign w:val="bottom"/>
            <w:hideMark/>
          </w:tcPr>
          <w:p w14:paraId="60D8C72D" w14:textId="77777777" w:rsidR="00CC0A78" w:rsidRDefault="00CC0A78">
            <w:pPr>
              <w:spacing w:line="240" w:lineRule="auto"/>
              <w:ind w:right="113"/>
              <w:jc w:val="right"/>
              <w:rPr>
                <w:sz w:val="18"/>
                <w:szCs w:val="18"/>
                <w:lang w:val="en-US"/>
              </w:rPr>
            </w:pPr>
            <w:r>
              <w:rPr>
                <w:sz w:val="18"/>
                <w:szCs w:val="18"/>
                <w:lang w:val="en-US"/>
              </w:rPr>
              <w:t>3 724</w:t>
            </w:r>
          </w:p>
        </w:tc>
        <w:tc>
          <w:tcPr>
            <w:tcW w:w="1212" w:type="dxa"/>
            <w:vAlign w:val="bottom"/>
            <w:hideMark/>
          </w:tcPr>
          <w:p w14:paraId="775DF145" w14:textId="77777777" w:rsidR="00CC0A78" w:rsidRDefault="00CC0A78">
            <w:pPr>
              <w:spacing w:line="240" w:lineRule="auto"/>
              <w:ind w:right="113"/>
              <w:jc w:val="right"/>
              <w:rPr>
                <w:sz w:val="18"/>
                <w:szCs w:val="18"/>
                <w:lang w:val="en-US"/>
              </w:rPr>
            </w:pPr>
            <w:r>
              <w:rPr>
                <w:sz w:val="18"/>
                <w:szCs w:val="18"/>
                <w:lang w:val="en-US"/>
              </w:rPr>
              <w:t>3 724</w:t>
            </w:r>
          </w:p>
        </w:tc>
        <w:tc>
          <w:tcPr>
            <w:tcW w:w="1212" w:type="dxa"/>
            <w:vAlign w:val="bottom"/>
            <w:hideMark/>
          </w:tcPr>
          <w:p w14:paraId="69FDE1CB" w14:textId="77777777" w:rsidR="00CC0A78" w:rsidRDefault="00CC0A78">
            <w:pPr>
              <w:spacing w:line="240" w:lineRule="auto"/>
              <w:ind w:right="113"/>
              <w:jc w:val="right"/>
              <w:rPr>
                <w:sz w:val="18"/>
                <w:szCs w:val="18"/>
                <w:lang w:val="en-US"/>
              </w:rPr>
            </w:pPr>
            <w:r>
              <w:rPr>
                <w:sz w:val="18"/>
                <w:szCs w:val="18"/>
                <w:lang w:val="en-US"/>
              </w:rPr>
              <w:t>1 307</w:t>
            </w:r>
          </w:p>
        </w:tc>
        <w:tc>
          <w:tcPr>
            <w:tcW w:w="1213" w:type="dxa"/>
            <w:vAlign w:val="bottom"/>
            <w:hideMark/>
          </w:tcPr>
          <w:p w14:paraId="4BCC2128" w14:textId="77777777" w:rsidR="00CC0A78" w:rsidRDefault="00CC0A78">
            <w:pPr>
              <w:spacing w:line="240" w:lineRule="auto"/>
              <w:ind w:right="113"/>
              <w:jc w:val="right"/>
              <w:rPr>
                <w:sz w:val="18"/>
                <w:szCs w:val="18"/>
                <w:lang w:val="en-US"/>
              </w:rPr>
            </w:pPr>
            <w:r>
              <w:rPr>
                <w:sz w:val="18"/>
                <w:szCs w:val="18"/>
                <w:lang w:val="en-US"/>
              </w:rPr>
              <w:t>1 307</w:t>
            </w:r>
          </w:p>
        </w:tc>
      </w:tr>
      <w:tr w:rsidR="00CC0A78" w14:paraId="6821752E" w14:textId="77777777" w:rsidTr="00CC0A78">
        <w:trPr>
          <w:trHeight w:val="227"/>
        </w:trPr>
        <w:tc>
          <w:tcPr>
            <w:tcW w:w="2468" w:type="dxa"/>
            <w:vAlign w:val="bottom"/>
            <w:hideMark/>
          </w:tcPr>
          <w:p w14:paraId="130E160A" w14:textId="77777777" w:rsidR="00CC0A78" w:rsidRDefault="00CC0A78">
            <w:pPr>
              <w:spacing w:line="240" w:lineRule="auto"/>
              <w:ind w:right="113"/>
              <w:rPr>
                <w:lang w:val="en-US"/>
              </w:rPr>
            </w:pPr>
            <w:r>
              <w:rPr>
                <w:color w:val="000000"/>
                <w:sz w:val="18"/>
                <w:szCs w:val="18"/>
                <w:lang w:val="en-US"/>
              </w:rPr>
              <w:t>Lithuania</w:t>
            </w:r>
          </w:p>
        </w:tc>
        <w:tc>
          <w:tcPr>
            <w:tcW w:w="1188" w:type="dxa"/>
            <w:vAlign w:val="bottom"/>
            <w:hideMark/>
          </w:tcPr>
          <w:p w14:paraId="1E704B56" w14:textId="77777777" w:rsidR="00CC0A78" w:rsidRDefault="00CC0A78">
            <w:pPr>
              <w:spacing w:line="240" w:lineRule="auto"/>
              <w:ind w:right="113"/>
              <w:jc w:val="right"/>
              <w:rPr>
                <w:sz w:val="18"/>
                <w:szCs w:val="18"/>
                <w:lang w:val="en-US"/>
              </w:rPr>
            </w:pPr>
            <w:r>
              <w:rPr>
                <w:sz w:val="18"/>
                <w:szCs w:val="18"/>
                <w:lang w:val="en-US"/>
              </w:rPr>
              <w:t>0.055</w:t>
            </w:r>
          </w:p>
        </w:tc>
        <w:tc>
          <w:tcPr>
            <w:tcW w:w="1212" w:type="dxa"/>
            <w:vAlign w:val="bottom"/>
            <w:hideMark/>
          </w:tcPr>
          <w:p w14:paraId="5506E394" w14:textId="77777777" w:rsidR="00CC0A78" w:rsidRDefault="00CC0A78">
            <w:pPr>
              <w:spacing w:line="240" w:lineRule="auto"/>
              <w:ind w:right="113"/>
              <w:jc w:val="right"/>
              <w:rPr>
                <w:sz w:val="18"/>
                <w:szCs w:val="18"/>
                <w:lang w:val="en-US"/>
              </w:rPr>
            </w:pPr>
            <w:r>
              <w:rPr>
                <w:sz w:val="18"/>
                <w:szCs w:val="18"/>
                <w:lang w:val="en-US"/>
              </w:rPr>
              <w:t>1 096</w:t>
            </w:r>
          </w:p>
        </w:tc>
        <w:tc>
          <w:tcPr>
            <w:tcW w:w="1212" w:type="dxa"/>
            <w:vAlign w:val="bottom"/>
            <w:hideMark/>
          </w:tcPr>
          <w:p w14:paraId="04558D98" w14:textId="77777777" w:rsidR="00CC0A78" w:rsidRDefault="00CC0A78">
            <w:pPr>
              <w:spacing w:line="240" w:lineRule="auto"/>
              <w:ind w:right="113"/>
              <w:jc w:val="right"/>
              <w:rPr>
                <w:sz w:val="18"/>
                <w:szCs w:val="18"/>
                <w:lang w:val="en-US"/>
              </w:rPr>
            </w:pPr>
            <w:r>
              <w:rPr>
                <w:sz w:val="18"/>
                <w:szCs w:val="18"/>
                <w:lang w:val="en-US"/>
              </w:rPr>
              <w:t>1 096</w:t>
            </w:r>
          </w:p>
        </w:tc>
        <w:tc>
          <w:tcPr>
            <w:tcW w:w="1212" w:type="dxa"/>
            <w:vAlign w:val="bottom"/>
            <w:hideMark/>
          </w:tcPr>
          <w:p w14:paraId="6125B81D" w14:textId="77777777" w:rsidR="00CC0A78" w:rsidRDefault="00CC0A78">
            <w:pPr>
              <w:spacing w:line="240" w:lineRule="auto"/>
              <w:ind w:right="113"/>
              <w:jc w:val="right"/>
              <w:rPr>
                <w:sz w:val="18"/>
                <w:szCs w:val="18"/>
                <w:lang w:val="en-US"/>
              </w:rPr>
            </w:pPr>
            <w:r>
              <w:rPr>
                <w:sz w:val="18"/>
                <w:szCs w:val="18"/>
                <w:lang w:val="en-US"/>
              </w:rPr>
              <w:t>385</w:t>
            </w:r>
          </w:p>
        </w:tc>
        <w:tc>
          <w:tcPr>
            <w:tcW w:w="1213" w:type="dxa"/>
            <w:vAlign w:val="bottom"/>
            <w:hideMark/>
          </w:tcPr>
          <w:p w14:paraId="7F151DB4" w14:textId="77777777" w:rsidR="00CC0A78" w:rsidRDefault="00CC0A78">
            <w:pPr>
              <w:spacing w:line="240" w:lineRule="auto"/>
              <w:ind w:right="113"/>
              <w:jc w:val="right"/>
              <w:rPr>
                <w:sz w:val="18"/>
                <w:szCs w:val="18"/>
                <w:lang w:val="en-US"/>
              </w:rPr>
            </w:pPr>
            <w:r>
              <w:rPr>
                <w:sz w:val="18"/>
                <w:szCs w:val="18"/>
                <w:lang w:val="en-US"/>
              </w:rPr>
              <w:t>385</w:t>
            </w:r>
          </w:p>
        </w:tc>
      </w:tr>
      <w:tr w:rsidR="00CC0A78" w14:paraId="67795AEF" w14:textId="77777777" w:rsidTr="00CC0A78">
        <w:trPr>
          <w:trHeight w:val="227"/>
        </w:trPr>
        <w:tc>
          <w:tcPr>
            <w:tcW w:w="2468" w:type="dxa"/>
            <w:vAlign w:val="bottom"/>
            <w:hideMark/>
          </w:tcPr>
          <w:p w14:paraId="66994A0A" w14:textId="77777777" w:rsidR="00CC0A78" w:rsidRDefault="00CC0A78">
            <w:pPr>
              <w:spacing w:line="240" w:lineRule="auto"/>
              <w:ind w:right="113"/>
              <w:rPr>
                <w:lang w:val="en-US"/>
              </w:rPr>
            </w:pPr>
            <w:r>
              <w:rPr>
                <w:color w:val="000000"/>
                <w:sz w:val="18"/>
                <w:szCs w:val="18"/>
                <w:lang w:val="en-US"/>
              </w:rPr>
              <w:t>Luxembourg</w:t>
            </w:r>
          </w:p>
        </w:tc>
        <w:tc>
          <w:tcPr>
            <w:tcW w:w="1188" w:type="dxa"/>
            <w:vAlign w:val="bottom"/>
            <w:hideMark/>
          </w:tcPr>
          <w:p w14:paraId="21BA43CB" w14:textId="77777777" w:rsidR="00CC0A78" w:rsidRDefault="00CC0A78">
            <w:pPr>
              <w:spacing w:line="240" w:lineRule="auto"/>
              <w:ind w:right="113"/>
              <w:jc w:val="right"/>
              <w:rPr>
                <w:sz w:val="18"/>
                <w:szCs w:val="18"/>
                <w:lang w:val="en-US"/>
              </w:rPr>
            </w:pPr>
            <w:r>
              <w:rPr>
                <w:sz w:val="18"/>
                <w:szCs w:val="18"/>
                <w:lang w:val="en-US"/>
              </w:rPr>
              <w:t>0.153</w:t>
            </w:r>
          </w:p>
        </w:tc>
        <w:tc>
          <w:tcPr>
            <w:tcW w:w="1212" w:type="dxa"/>
            <w:vAlign w:val="bottom"/>
            <w:hideMark/>
          </w:tcPr>
          <w:p w14:paraId="01C77447" w14:textId="77777777" w:rsidR="00CC0A78" w:rsidRDefault="00CC0A78">
            <w:pPr>
              <w:spacing w:line="240" w:lineRule="auto"/>
              <w:ind w:right="113"/>
              <w:jc w:val="right"/>
              <w:rPr>
                <w:sz w:val="18"/>
                <w:szCs w:val="18"/>
                <w:lang w:val="en-US"/>
              </w:rPr>
            </w:pPr>
            <w:r>
              <w:rPr>
                <w:sz w:val="18"/>
                <w:szCs w:val="18"/>
                <w:lang w:val="en-US"/>
              </w:rPr>
              <w:t>3 020</w:t>
            </w:r>
          </w:p>
        </w:tc>
        <w:tc>
          <w:tcPr>
            <w:tcW w:w="1212" w:type="dxa"/>
            <w:vAlign w:val="bottom"/>
            <w:hideMark/>
          </w:tcPr>
          <w:p w14:paraId="5BC47DBD" w14:textId="77777777" w:rsidR="00CC0A78" w:rsidRDefault="00CC0A78">
            <w:pPr>
              <w:spacing w:line="240" w:lineRule="auto"/>
              <w:ind w:right="113"/>
              <w:jc w:val="right"/>
              <w:rPr>
                <w:sz w:val="18"/>
                <w:szCs w:val="18"/>
                <w:lang w:val="en-US"/>
              </w:rPr>
            </w:pPr>
            <w:r>
              <w:rPr>
                <w:sz w:val="18"/>
                <w:szCs w:val="18"/>
                <w:lang w:val="en-US"/>
              </w:rPr>
              <w:t>3 020</w:t>
            </w:r>
          </w:p>
        </w:tc>
        <w:tc>
          <w:tcPr>
            <w:tcW w:w="1212" w:type="dxa"/>
            <w:vAlign w:val="bottom"/>
            <w:hideMark/>
          </w:tcPr>
          <w:p w14:paraId="1C18B37A" w14:textId="77777777" w:rsidR="00CC0A78" w:rsidRDefault="00CC0A78">
            <w:pPr>
              <w:spacing w:line="240" w:lineRule="auto"/>
              <w:ind w:right="113"/>
              <w:jc w:val="right"/>
              <w:rPr>
                <w:sz w:val="18"/>
                <w:szCs w:val="18"/>
                <w:lang w:val="en-US"/>
              </w:rPr>
            </w:pPr>
            <w:r>
              <w:rPr>
                <w:sz w:val="18"/>
                <w:szCs w:val="18"/>
                <w:lang w:val="en-US"/>
              </w:rPr>
              <w:t>1 060</w:t>
            </w:r>
          </w:p>
        </w:tc>
        <w:tc>
          <w:tcPr>
            <w:tcW w:w="1213" w:type="dxa"/>
            <w:vAlign w:val="bottom"/>
            <w:hideMark/>
          </w:tcPr>
          <w:p w14:paraId="7AAA0471" w14:textId="77777777" w:rsidR="00CC0A78" w:rsidRDefault="00CC0A78">
            <w:pPr>
              <w:spacing w:line="240" w:lineRule="auto"/>
              <w:ind w:right="113"/>
              <w:jc w:val="right"/>
              <w:rPr>
                <w:sz w:val="18"/>
                <w:szCs w:val="18"/>
                <w:lang w:val="en-US"/>
              </w:rPr>
            </w:pPr>
            <w:r>
              <w:rPr>
                <w:sz w:val="18"/>
                <w:szCs w:val="18"/>
                <w:lang w:val="en-US"/>
              </w:rPr>
              <w:t>1 060</w:t>
            </w:r>
          </w:p>
        </w:tc>
      </w:tr>
      <w:tr w:rsidR="00CC0A78" w14:paraId="4A3A6646" w14:textId="77777777" w:rsidTr="00CC0A78">
        <w:trPr>
          <w:trHeight w:val="227"/>
        </w:trPr>
        <w:tc>
          <w:tcPr>
            <w:tcW w:w="2468" w:type="dxa"/>
            <w:vAlign w:val="bottom"/>
            <w:hideMark/>
          </w:tcPr>
          <w:p w14:paraId="35A274A4" w14:textId="77777777" w:rsidR="00CC0A78" w:rsidRDefault="00CC0A78">
            <w:pPr>
              <w:spacing w:line="240" w:lineRule="auto"/>
              <w:ind w:right="113"/>
              <w:rPr>
                <w:lang w:val="en-US"/>
              </w:rPr>
            </w:pPr>
            <w:r>
              <w:rPr>
                <w:color w:val="000000"/>
                <w:sz w:val="18"/>
                <w:szCs w:val="18"/>
                <w:lang w:val="en-US"/>
              </w:rPr>
              <w:t>Malta</w:t>
            </w:r>
          </w:p>
        </w:tc>
        <w:tc>
          <w:tcPr>
            <w:tcW w:w="1188" w:type="dxa"/>
            <w:vAlign w:val="bottom"/>
            <w:hideMark/>
          </w:tcPr>
          <w:p w14:paraId="34618E0C" w14:textId="77777777" w:rsidR="00CC0A78" w:rsidRDefault="00CC0A78">
            <w:pPr>
              <w:spacing w:line="240" w:lineRule="auto"/>
              <w:ind w:right="113"/>
              <w:jc w:val="right"/>
              <w:rPr>
                <w:sz w:val="18"/>
                <w:szCs w:val="18"/>
                <w:lang w:val="en-US"/>
              </w:rPr>
            </w:pPr>
            <w:r>
              <w:rPr>
                <w:sz w:val="18"/>
                <w:szCs w:val="18"/>
                <w:lang w:val="en-US"/>
              </w:rPr>
              <w:t>0.021</w:t>
            </w:r>
          </w:p>
        </w:tc>
        <w:tc>
          <w:tcPr>
            <w:tcW w:w="1212" w:type="dxa"/>
            <w:vAlign w:val="bottom"/>
            <w:hideMark/>
          </w:tcPr>
          <w:p w14:paraId="1D932D5D" w14:textId="77777777" w:rsidR="00CC0A78" w:rsidRDefault="00CC0A78">
            <w:pPr>
              <w:spacing w:line="240" w:lineRule="auto"/>
              <w:ind w:right="113"/>
              <w:jc w:val="right"/>
              <w:rPr>
                <w:sz w:val="18"/>
                <w:szCs w:val="18"/>
                <w:lang w:val="en-US"/>
              </w:rPr>
            </w:pPr>
            <w:r>
              <w:rPr>
                <w:sz w:val="18"/>
                <w:szCs w:val="18"/>
                <w:lang w:val="en-US"/>
              </w:rPr>
              <w:t>416</w:t>
            </w:r>
          </w:p>
        </w:tc>
        <w:tc>
          <w:tcPr>
            <w:tcW w:w="1212" w:type="dxa"/>
            <w:vAlign w:val="bottom"/>
            <w:hideMark/>
          </w:tcPr>
          <w:p w14:paraId="32401BCF" w14:textId="77777777" w:rsidR="00CC0A78" w:rsidRDefault="00CC0A78">
            <w:pPr>
              <w:spacing w:line="240" w:lineRule="auto"/>
              <w:ind w:right="113"/>
              <w:jc w:val="right"/>
              <w:rPr>
                <w:sz w:val="18"/>
                <w:szCs w:val="18"/>
                <w:lang w:val="en-US"/>
              </w:rPr>
            </w:pPr>
            <w:r>
              <w:rPr>
                <w:sz w:val="18"/>
                <w:szCs w:val="18"/>
                <w:lang w:val="en-US"/>
              </w:rPr>
              <w:t>416</w:t>
            </w:r>
          </w:p>
        </w:tc>
        <w:tc>
          <w:tcPr>
            <w:tcW w:w="1212" w:type="dxa"/>
            <w:vAlign w:val="bottom"/>
            <w:hideMark/>
          </w:tcPr>
          <w:p w14:paraId="60779190" w14:textId="77777777" w:rsidR="00CC0A78" w:rsidRDefault="00CC0A78">
            <w:pPr>
              <w:spacing w:line="240" w:lineRule="auto"/>
              <w:ind w:right="113"/>
              <w:jc w:val="right"/>
              <w:rPr>
                <w:sz w:val="18"/>
                <w:szCs w:val="18"/>
                <w:lang w:val="en-US"/>
              </w:rPr>
            </w:pPr>
            <w:r>
              <w:rPr>
                <w:sz w:val="18"/>
                <w:szCs w:val="18"/>
                <w:lang w:val="en-US"/>
              </w:rPr>
              <w:t>146</w:t>
            </w:r>
          </w:p>
        </w:tc>
        <w:tc>
          <w:tcPr>
            <w:tcW w:w="1213" w:type="dxa"/>
            <w:vAlign w:val="bottom"/>
            <w:hideMark/>
          </w:tcPr>
          <w:p w14:paraId="66183872" w14:textId="77777777" w:rsidR="00CC0A78" w:rsidRDefault="00CC0A78">
            <w:pPr>
              <w:spacing w:line="240" w:lineRule="auto"/>
              <w:ind w:right="113"/>
              <w:jc w:val="right"/>
              <w:rPr>
                <w:sz w:val="18"/>
                <w:szCs w:val="18"/>
                <w:lang w:val="en-US"/>
              </w:rPr>
            </w:pPr>
            <w:r>
              <w:rPr>
                <w:sz w:val="18"/>
                <w:szCs w:val="18"/>
                <w:lang w:val="en-US"/>
              </w:rPr>
              <w:t>146</w:t>
            </w:r>
          </w:p>
        </w:tc>
      </w:tr>
      <w:tr w:rsidR="00CC0A78" w14:paraId="47D524CB" w14:textId="77777777" w:rsidTr="00CC0A78">
        <w:trPr>
          <w:trHeight w:val="227"/>
        </w:trPr>
        <w:tc>
          <w:tcPr>
            <w:tcW w:w="2468" w:type="dxa"/>
            <w:vAlign w:val="bottom"/>
            <w:hideMark/>
          </w:tcPr>
          <w:p w14:paraId="3D7264BF" w14:textId="77777777" w:rsidR="00CC0A78" w:rsidRDefault="00CC0A78">
            <w:pPr>
              <w:spacing w:line="240" w:lineRule="auto"/>
              <w:ind w:right="113"/>
              <w:rPr>
                <w:lang w:val="en-US"/>
              </w:rPr>
            </w:pPr>
            <w:r>
              <w:rPr>
                <w:color w:val="000000"/>
                <w:sz w:val="18"/>
                <w:szCs w:val="18"/>
                <w:lang w:val="en-US"/>
              </w:rPr>
              <w:t>Monaco</w:t>
            </w:r>
          </w:p>
        </w:tc>
        <w:tc>
          <w:tcPr>
            <w:tcW w:w="1188" w:type="dxa"/>
            <w:vAlign w:val="bottom"/>
            <w:hideMark/>
          </w:tcPr>
          <w:p w14:paraId="688FBAA4" w14:textId="77777777" w:rsidR="00CC0A78" w:rsidRDefault="00CC0A78">
            <w:pPr>
              <w:spacing w:line="240" w:lineRule="auto"/>
              <w:ind w:right="113"/>
              <w:jc w:val="right"/>
              <w:rPr>
                <w:sz w:val="18"/>
                <w:szCs w:val="18"/>
                <w:lang w:val="en-US"/>
              </w:rPr>
            </w:pPr>
            <w:r>
              <w:rPr>
                <w:sz w:val="18"/>
                <w:szCs w:val="18"/>
                <w:lang w:val="en-US"/>
              </w:rPr>
              <w:t>0.181</w:t>
            </w:r>
          </w:p>
        </w:tc>
        <w:tc>
          <w:tcPr>
            <w:tcW w:w="1212" w:type="dxa"/>
            <w:vAlign w:val="bottom"/>
            <w:hideMark/>
          </w:tcPr>
          <w:p w14:paraId="6CF81BD0" w14:textId="77777777" w:rsidR="00CC0A78" w:rsidRDefault="00CC0A78">
            <w:pPr>
              <w:spacing w:line="240" w:lineRule="auto"/>
              <w:ind w:right="113"/>
              <w:jc w:val="right"/>
              <w:rPr>
                <w:sz w:val="18"/>
                <w:szCs w:val="18"/>
                <w:lang w:val="en-US"/>
              </w:rPr>
            </w:pPr>
            <w:r>
              <w:rPr>
                <w:sz w:val="18"/>
                <w:szCs w:val="18"/>
                <w:lang w:val="en-US"/>
              </w:rPr>
              <w:t>3 579</w:t>
            </w:r>
          </w:p>
        </w:tc>
        <w:tc>
          <w:tcPr>
            <w:tcW w:w="1212" w:type="dxa"/>
            <w:vAlign w:val="bottom"/>
            <w:hideMark/>
          </w:tcPr>
          <w:p w14:paraId="054FEC88" w14:textId="77777777" w:rsidR="00CC0A78" w:rsidRDefault="00CC0A78">
            <w:pPr>
              <w:spacing w:line="240" w:lineRule="auto"/>
              <w:ind w:right="113"/>
              <w:jc w:val="right"/>
              <w:rPr>
                <w:sz w:val="18"/>
                <w:szCs w:val="18"/>
                <w:lang w:val="en-US"/>
              </w:rPr>
            </w:pPr>
            <w:r>
              <w:rPr>
                <w:sz w:val="18"/>
                <w:szCs w:val="18"/>
                <w:lang w:val="en-US"/>
              </w:rPr>
              <w:t>3 579</w:t>
            </w:r>
          </w:p>
        </w:tc>
        <w:tc>
          <w:tcPr>
            <w:tcW w:w="1212" w:type="dxa"/>
            <w:vAlign w:val="bottom"/>
            <w:hideMark/>
          </w:tcPr>
          <w:p w14:paraId="6631DB85" w14:textId="77777777" w:rsidR="00CC0A78" w:rsidRDefault="00CC0A78">
            <w:pPr>
              <w:spacing w:line="240" w:lineRule="auto"/>
              <w:ind w:right="113"/>
              <w:jc w:val="right"/>
              <w:rPr>
                <w:sz w:val="18"/>
                <w:szCs w:val="18"/>
                <w:lang w:val="en-US"/>
              </w:rPr>
            </w:pPr>
            <w:r>
              <w:rPr>
                <w:sz w:val="18"/>
                <w:szCs w:val="18"/>
                <w:lang w:val="en-US"/>
              </w:rPr>
              <w:t>1 256</w:t>
            </w:r>
          </w:p>
        </w:tc>
        <w:tc>
          <w:tcPr>
            <w:tcW w:w="1213" w:type="dxa"/>
            <w:vAlign w:val="bottom"/>
            <w:hideMark/>
          </w:tcPr>
          <w:p w14:paraId="21BF6D69" w14:textId="77777777" w:rsidR="00CC0A78" w:rsidRDefault="00CC0A78">
            <w:pPr>
              <w:spacing w:line="240" w:lineRule="auto"/>
              <w:ind w:right="113"/>
              <w:jc w:val="right"/>
              <w:rPr>
                <w:sz w:val="18"/>
                <w:szCs w:val="18"/>
                <w:lang w:val="en-US"/>
              </w:rPr>
            </w:pPr>
            <w:r>
              <w:rPr>
                <w:sz w:val="18"/>
                <w:szCs w:val="18"/>
                <w:lang w:val="en-US"/>
              </w:rPr>
              <w:t>1 256</w:t>
            </w:r>
          </w:p>
        </w:tc>
      </w:tr>
      <w:tr w:rsidR="00CC0A78" w14:paraId="0199058B" w14:textId="77777777" w:rsidTr="00CC0A78">
        <w:trPr>
          <w:trHeight w:val="227"/>
        </w:trPr>
        <w:tc>
          <w:tcPr>
            <w:tcW w:w="2468" w:type="dxa"/>
            <w:vAlign w:val="bottom"/>
            <w:hideMark/>
          </w:tcPr>
          <w:p w14:paraId="56F15CCE" w14:textId="77777777" w:rsidR="00CC0A78" w:rsidRDefault="00CC0A78">
            <w:pPr>
              <w:spacing w:line="240" w:lineRule="auto"/>
              <w:ind w:right="113"/>
              <w:rPr>
                <w:lang w:val="en-US"/>
              </w:rPr>
            </w:pPr>
            <w:r>
              <w:rPr>
                <w:color w:val="000000"/>
                <w:sz w:val="18"/>
                <w:szCs w:val="18"/>
                <w:lang w:val="en-US"/>
              </w:rPr>
              <w:t>Netherlands</w:t>
            </w:r>
          </w:p>
        </w:tc>
        <w:tc>
          <w:tcPr>
            <w:tcW w:w="1188" w:type="dxa"/>
            <w:vAlign w:val="bottom"/>
            <w:hideMark/>
          </w:tcPr>
          <w:p w14:paraId="04823B9B" w14:textId="77777777" w:rsidR="00CC0A78" w:rsidRDefault="00CC0A78">
            <w:pPr>
              <w:spacing w:line="240" w:lineRule="auto"/>
              <w:ind w:right="113"/>
              <w:jc w:val="right"/>
              <w:rPr>
                <w:sz w:val="18"/>
                <w:szCs w:val="18"/>
                <w:lang w:val="en-US"/>
              </w:rPr>
            </w:pPr>
            <w:r>
              <w:rPr>
                <w:sz w:val="18"/>
                <w:szCs w:val="18"/>
                <w:lang w:val="en-US"/>
              </w:rPr>
              <w:t>3.352</w:t>
            </w:r>
          </w:p>
        </w:tc>
        <w:tc>
          <w:tcPr>
            <w:tcW w:w="1212" w:type="dxa"/>
            <w:vAlign w:val="bottom"/>
            <w:hideMark/>
          </w:tcPr>
          <w:p w14:paraId="13356AF3" w14:textId="77777777" w:rsidR="00CC0A78" w:rsidRDefault="00CC0A78">
            <w:pPr>
              <w:spacing w:line="240" w:lineRule="auto"/>
              <w:ind w:right="113"/>
              <w:jc w:val="right"/>
              <w:rPr>
                <w:sz w:val="18"/>
                <w:szCs w:val="18"/>
                <w:lang w:val="en-US"/>
              </w:rPr>
            </w:pPr>
            <w:r>
              <w:rPr>
                <w:sz w:val="18"/>
                <w:szCs w:val="18"/>
                <w:lang w:val="en-US"/>
              </w:rPr>
              <w:t>66 320</w:t>
            </w:r>
          </w:p>
        </w:tc>
        <w:tc>
          <w:tcPr>
            <w:tcW w:w="1212" w:type="dxa"/>
            <w:vAlign w:val="bottom"/>
            <w:hideMark/>
          </w:tcPr>
          <w:p w14:paraId="0354A441" w14:textId="77777777" w:rsidR="00CC0A78" w:rsidRDefault="00CC0A78">
            <w:pPr>
              <w:spacing w:line="240" w:lineRule="auto"/>
              <w:ind w:right="113"/>
              <w:jc w:val="right"/>
              <w:rPr>
                <w:sz w:val="18"/>
                <w:szCs w:val="18"/>
                <w:lang w:val="en-US"/>
              </w:rPr>
            </w:pPr>
            <w:r>
              <w:rPr>
                <w:sz w:val="18"/>
                <w:szCs w:val="18"/>
                <w:lang w:val="en-US"/>
              </w:rPr>
              <w:t>66 320</w:t>
            </w:r>
          </w:p>
        </w:tc>
        <w:tc>
          <w:tcPr>
            <w:tcW w:w="1212" w:type="dxa"/>
            <w:vAlign w:val="bottom"/>
            <w:hideMark/>
          </w:tcPr>
          <w:p w14:paraId="612DF906" w14:textId="77777777" w:rsidR="00CC0A78" w:rsidRDefault="00CC0A78">
            <w:pPr>
              <w:spacing w:line="240" w:lineRule="auto"/>
              <w:ind w:right="113"/>
              <w:jc w:val="right"/>
              <w:rPr>
                <w:sz w:val="18"/>
                <w:szCs w:val="18"/>
                <w:lang w:val="en-US"/>
              </w:rPr>
            </w:pPr>
            <w:r>
              <w:rPr>
                <w:sz w:val="18"/>
                <w:szCs w:val="18"/>
                <w:lang w:val="en-US"/>
              </w:rPr>
              <w:t>23 277</w:t>
            </w:r>
          </w:p>
        </w:tc>
        <w:tc>
          <w:tcPr>
            <w:tcW w:w="1213" w:type="dxa"/>
            <w:vAlign w:val="bottom"/>
            <w:hideMark/>
          </w:tcPr>
          <w:p w14:paraId="3BB749DA" w14:textId="77777777" w:rsidR="00CC0A78" w:rsidRDefault="00CC0A78">
            <w:pPr>
              <w:spacing w:line="240" w:lineRule="auto"/>
              <w:ind w:right="113"/>
              <w:jc w:val="right"/>
              <w:rPr>
                <w:sz w:val="18"/>
                <w:szCs w:val="18"/>
                <w:lang w:val="en-US"/>
              </w:rPr>
            </w:pPr>
            <w:r>
              <w:rPr>
                <w:sz w:val="18"/>
                <w:szCs w:val="18"/>
                <w:lang w:val="en-US"/>
              </w:rPr>
              <w:t>23 277</w:t>
            </w:r>
          </w:p>
        </w:tc>
      </w:tr>
      <w:tr w:rsidR="00CC0A78" w14:paraId="098AF738" w14:textId="77777777" w:rsidTr="00CC0A78">
        <w:trPr>
          <w:trHeight w:val="227"/>
        </w:trPr>
        <w:tc>
          <w:tcPr>
            <w:tcW w:w="2468" w:type="dxa"/>
            <w:vAlign w:val="bottom"/>
            <w:hideMark/>
          </w:tcPr>
          <w:p w14:paraId="667654B3" w14:textId="77777777" w:rsidR="00CC0A78" w:rsidRDefault="00CC0A78">
            <w:pPr>
              <w:spacing w:line="240" w:lineRule="auto"/>
              <w:ind w:right="113"/>
              <w:rPr>
                <w:lang w:val="en-US"/>
              </w:rPr>
            </w:pPr>
            <w:r>
              <w:rPr>
                <w:color w:val="000000"/>
                <w:sz w:val="18"/>
                <w:szCs w:val="18"/>
                <w:lang w:val="en-US"/>
              </w:rPr>
              <w:t>New Zealand</w:t>
            </w:r>
          </w:p>
        </w:tc>
        <w:tc>
          <w:tcPr>
            <w:tcW w:w="1188" w:type="dxa"/>
            <w:vAlign w:val="bottom"/>
            <w:hideMark/>
          </w:tcPr>
          <w:p w14:paraId="649C4180" w14:textId="77777777" w:rsidR="00CC0A78" w:rsidRDefault="00CC0A78">
            <w:pPr>
              <w:spacing w:line="240" w:lineRule="auto"/>
              <w:ind w:right="113"/>
              <w:jc w:val="right"/>
              <w:rPr>
                <w:sz w:val="18"/>
                <w:szCs w:val="18"/>
                <w:lang w:val="en-US"/>
              </w:rPr>
            </w:pPr>
            <w:r>
              <w:rPr>
                <w:sz w:val="18"/>
                <w:szCs w:val="18"/>
                <w:lang w:val="en-US"/>
              </w:rPr>
              <w:t>0.961</w:t>
            </w:r>
          </w:p>
        </w:tc>
        <w:tc>
          <w:tcPr>
            <w:tcW w:w="1212" w:type="dxa"/>
            <w:vAlign w:val="bottom"/>
            <w:hideMark/>
          </w:tcPr>
          <w:p w14:paraId="5989B513" w14:textId="77777777" w:rsidR="00CC0A78" w:rsidRDefault="00CC0A78">
            <w:pPr>
              <w:spacing w:line="240" w:lineRule="auto"/>
              <w:ind w:right="113"/>
              <w:jc w:val="right"/>
              <w:rPr>
                <w:sz w:val="18"/>
                <w:szCs w:val="18"/>
                <w:lang w:val="en-US"/>
              </w:rPr>
            </w:pPr>
            <w:r>
              <w:rPr>
                <w:sz w:val="18"/>
                <w:szCs w:val="18"/>
                <w:lang w:val="en-US"/>
              </w:rPr>
              <w:t>19 011</w:t>
            </w:r>
          </w:p>
        </w:tc>
        <w:tc>
          <w:tcPr>
            <w:tcW w:w="1212" w:type="dxa"/>
            <w:vAlign w:val="bottom"/>
            <w:hideMark/>
          </w:tcPr>
          <w:p w14:paraId="12F4711F" w14:textId="77777777" w:rsidR="00CC0A78" w:rsidRDefault="00CC0A78">
            <w:pPr>
              <w:spacing w:line="240" w:lineRule="auto"/>
              <w:ind w:right="113"/>
              <w:jc w:val="right"/>
              <w:rPr>
                <w:sz w:val="18"/>
                <w:szCs w:val="18"/>
                <w:lang w:val="en-US"/>
              </w:rPr>
            </w:pPr>
            <w:r>
              <w:rPr>
                <w:sz w:val="18"/>
                <w:szCs w:val="18"/>
                <w:lang w:val="en-US"/>
              </w:rPr>
              <w:t>19 011</w:t>
            </w:r>
          </w:p>
        </w:tc>
        <w:tc>
          <w:tcPr>
            <w:tcW w:w="1212" w:type="dxa"/>
            <w:vAlign w:val="bottom"/>
            <w:hideMark/>
          </w:tcPr>
          <w:p w14:paraId="46A47639" w14:textId="77777777" w:rsidR="00CC0A78" w:rsidRDefault="00CC0A78">
            <w:pPr>
              <w:spacing w:line="240" w:lineRule="auto"/>
              <w:ind w:right="113"/>
              <w:jc w:val="right"/>
              <w:rPr>
                <w:sz w:val="18"/>
                <w:szCs w:val="18"/>
                <w:lang w:val="en-US"/>
              </w:rPr>
            </w:pPr>
            <w:r>
              <w:rPr>
                <w:sz w:val="18"/>
                <w:szCs w:val="18"/>
                <w:lang w:val="en-US"/>
              </w:rPr>
              <w:t>6 672</w:t>
            </w:r>
          </w:p>
        </w:tc>
        <w:tc>
          <w:tcPr>
            <w:tcW w:w="1213" w:type="dxa"/>
            <w:vAlign w:val="bottom"/>
            <w:hideMark/>
          </w:tcPr>
          <w:p w14:paraId="2E5838E2" w14:textId="77777777" w:rsidR="00CC0A78" w:rsidRDefault="00CC0A78">
            <w:pPr>
              <w:spacing w:line="240" w:lineRule="auto"/>
              <w:ind w:right="113"/>
              <w:jc w:val="right"/>
              <w:rPr>
                <w:sz w:val="18"/>
                <w:szCs w:val="18"/>
                <w:lang w:val="en-US"/>
              </w:rPr>
            </w:pPr>
            <w:r>
              <w:rPr>
                <w:sz w:val="18"/>
                <w:szCs w:val="18"/>
                <w:lang w:val="en-US"/>
              </w:rPr>
              <w:t>6 672</w:t>
            </w:r>
          </w:p>
        </w:tc>
      </w:tr>
      <w:tr w:rsidR="00CC0A78" w14:paraId="622792F4" w14:textId="77777777" w:rsidTr="00CC0A78">
        <w:trPr>
          <w:trHeight w:val="227"/>
        </w:trPr>
        <w:tc>
          <w:tcPr>
            <w:tcW w:w="2468" w:type="dxa"/>
            <w:vAlign w:val="bottom"/>
            <w:hideMark/>
          </w:tcPr>
          <w:p w14:paraId="333ACCE7" w14:textId="77777777" w:rsidR="00CC0A78" w:rsidRDefault="00CC0A78">
            <w:pPr>
              <w:spacing w:line="240" w:lineRule="auto"/>
              <w:ind w:right="113"/>
              <w:rPr>
                <w:lang w:val="en-US"/>
              </w:rPr>
            </w:pPr>
            <w:r>
              <w:rPr>
                <w:color w:val="000000"/>
                <w:sz w:val="18"/>
                <w:szCs w:val="18"/>
                <w:lang w:val="en-US"/>
              </w:rPr>
              <w:t>Norway</w:t>
            </w:r>
          </w:p>
        </w:tc>
        <w:tc>
          <w:tcPr>
            <w:tcW w:w="1188" w:type="dxa"/>
            <w:vAlign w:val="bottom"/>
            <w:hideMark/>
          </w:tcPr>
          <w:p w14:paraId="71D37E2D" w14:textId="77777777" w:rsidR="00CC0A78" w:rsidRDefault="00CC0A78">
            <w:pPr>
              <w:spacing w:line="240" w:lineRule="auto"/>
              <w:ind w:right="113"/>
              <w:jc w:val="right"/>
              <w:rPr>
                <w:sz w:val="18"/>
                <w:szCs w:val="18"/>
                <w:lang w:val="en-US"/>
              </w:rPr>
            </w:pPr>
            <w:r>
              <w:rPr>
                <w:sz w:val="18"/>
                <w:szCs w:val="18"/>
                <w:lang w:val="en-US"/>
              </w:rPr>
              <w:t>2.319</w:t>
            </w:r>
          </w:p>
        </w:tc>
        <w:tc>
          <w:tcPr>
            <w:tcW w:w="1212" w:type="dxa"/>
            <w:vAlign w:val="bottom"/>
            <w:hideMark/>
          </w:tcPr>
          <w:p w14:paraId="599C7065" w14:textId="77777777" w:rsidR="00CC0A78" w:rsidRDefault="00CC0A78">
            <w:pPr>
              <w:spacing w:line="240" w:lineRule="auto"/>
              <w:ind w:right="113"/>
              <w:jc w:val="right"/>
              <w:rPr>
                <w:sz w:val="18"/>
                <w:szCs w:val="18"/>
                <w:lang w:val="en-US"/>
              </w:rPr>
            </w:pPr>
            <w:r>
              <w:rPr>
                <w:sz w:val="18"/>
                <w:szCs w:val="18"/>
                <w:lang w:val="en-US"/>
              </w:rPr>
              <w:t>45 882</w:t>
            </w:r>
          </w:p>
        </w:tc>
        <w:tc>
          <w:tcPr>
            <w:tcW w:w="1212" w:type="dxa"/>
            <w:vAlign w:val="bottom"/>
            <w:hideMark/>
          </w:tcPr>
          <w:p w14:paraId="6190A9D5" w14:textId="77777777" w:rsidR="00CC0A78" w:rsidRDefault="00CC0A78">
            <w:pPr>
              <w:spacing w:line="240" w:lineRule="auto"/>
              <w:ind w:right="113"/>
              <w:jc w:val="right"/>
              <w:rPr>
                <w:sz w:val="18"/>
                <w:szCs w:val="18"/>
                <w:lang w:val="en-US"/>
              </w:rPr>
            </w:pPr>
            <w:r>
              <w:rPr>
                <w:sz w:val="18"/>
                <w:szCs w:val="18"/>
                <w:lang w:val="en-US"/>
              </w:rPr>
              <w:t>45 882</w:t>
            </w:r>
          </w:p>
        </w:tc>
        <w:tc>
          <w:tcPr>
            <w:tcW w:w="1212" w:type="dxa"/>
            <w:vAlign w:val="bottom"/>
            <w:hideMark/>
          </w:tcPr>
          <w:p w14:paraId="05D033BD" w14:textId="77777777" w:rsidR="00CC0A78" w:rsidRDefault="00CC0A78">
            <w:pPr>
              <w:spacing w:line="240" w:lineRule="auto"/>
              <w:ind w:right="113"/>
              <w:jc w:val="right"/>
              <w:rPr>
                <w:sz w:val="18"/>
                <w:szCs w:val="18"/>
                <w:lang w:val="en-US"/>
              </w:rPr>
            </w:pPr>
            <w:r>
              <w:rPr>
                <w:sz w:val="18"/>
                <w:szCs w:val="18"/>
                <w:lang w:val="en-US"/>
              </w:rPr>
              <w:t>16 104</w:t>
            </w:r>
          </w:p>
        </w:tc>
        <w:tc>
          <w:tcPr>
            <w:tcW w:w="1213" w:type="dxa"/>
            <w:vAlign w:val="bottom"/>
            <w:hideMark/>
          </w:tcPr>
          <w:p w14:paraId="1F5D8798" w14:textId="77777777" w:rsidR="00CC0A78" w:rsidRDefault="00CC0A78">
            <w:pPr>
              <w:spacing w:line="240" w:lineRule="auto"/>
              <w:ind w:right="113"/>
              <w:jc w:val="right"/>
              <w:rPr>
                <w:sz w:val="18"/>
                <w:szCs w:val="18"/>
                <w:lang w:val="en-US"/>
              </w:rPr>
            </w:pPr>
            <w:r>
              <w:rPr>
                <w:sz w:val="18"/>
                <w:szCs w:val="18"/>
                <w:lang w:val="en-US"/>
              </w:rPr>
              <w:t>16 104</w:t>
            </w:r>
          </w:p>
        </w:tc>
      </w:tr>
      <w:tr w:rsidR="00CC0A78" w14:paraId="5A498244" w14:textId="77777777" w:rsidTr="00CC0A78">
        <w:trPr>
          <w:trHeight w:val="227"/>
        </w:trPr>
        <w:tc>
          <w:tcPr>
            <w:tcW w:w="2468" w:type="dxa"/>
            <w:vAlign w:val="bottom"/>
            <w:hideMark/>
          </w:tcPr>
          <w:p w14:paraId="233D9873" w14:textId="77777777" w:rsidR="00CC0A78" w:rsidRDefault="00CC0A78">
            <w:pPr>
              <w:spacing w:line="240" w:lineRule="auto"/>
              <w:ind w:right="113"/>
              <w:rPr>
                <w:lang w:val="en-US"/>
              </w:rPr>
            </w:pPr>
            <w:r>
              <w:rPr>
                <w:color w:val="000000"/>
                <w:sz w:val="18"/>
                <w:szCs w:val="18"/>
                <w:lang w:val="en-US"/>
              </w:rPr>
              <w:t>Poland</w:t>
            </w:r>
          </w:p>
        </w:tc>
        <w:tc>
          <w:tcPr>
            <w:tcW w:w="1188" w:type="dxa"/>
            <w:vAlign w:val="bottom"/>
            <w:hideMark/>
          </w:tcPr>
          <w:p w14:paraId="0D0E2648" w14:textId="77777777" w:rsidR="00CC0A78" w:rsidRDefault="00CC0A78">
            <w:pPr>
              <w:spacing w:line="240" w:lineRule="auto"/>
              <w:ind w:right="113"/>
              <w:jc w:val="right"/>
              <w:rPr>
                <w:sz w:val="18"/>
                <w:szCs w:val="18"/>
                <w:lang w:val="en-US"/>
              </w:rPr>
            </w:pPr>
            <w:r>
              <w:rPr>
                <w:sz w:val="18"/>
                <w:szCs w:val="18"/>
                <w:lang w:val="en-US"/>
              </w:rPr>
              <w:t>0.896</w:t>
            </w:r>
          </w:p>
        </w:tc>
        <w:tc>
          <w:tcPr>
            <w:tcW w:w="1212" w:type="dxa"/>
            <w:vAlign w:val="bottom"/>
            <w:hideMark/>
          </w:tcPr>
          <w:p w14:paraId="72DF5BF7" w14:textId="77777777" w:rsidR="00CC0A78" w:rsidRDefault="00CC0A78">
            <w:pPr>
              <w:spacing w:line="240" w:lineRule="auto"/>
              <w:ind w:right="113"/>
              <w:jc w:val="right"/>
              <w:rPr>
                <w:sz w:val="18"/>
                <w:szCs w:val="18"/>
                <w:lang w:val="en-US"/>
              </w:rPr>
            </w:pPr>
            <w:r>
              <w:rPr>
                <w:sz w:val="18"/>
                <w:szCs w:val="18"/>
                <w:lang w:val="en-US"/>
              </w:rPr>
              <w:t>17 728</w:t>
            </w:r>
          </w:p>
        </w:tc>
        <w:tc>
          <w:tcPr>
            <w:tcW w:w="1212" w:type="dxa"/>
            <w:vAlign w:val="bottom"/>
            <w:hideMark/>
          </w:tcPr>
          <w:p w14:paraId="7DD7FB54" w14:textId="77777777" w:rsidR="00CC0A78" w:rsidRDefault="00CC0A78">
            <w:pPr>
              <w:spacing w:line="240" w:lineRule="auto"/>
              <w:ind w:right="113"/>
              <w:jc w:val="right"/>
              <w:rPr>
                <w:sz w:val="18"/>
                <w:szCs w:val="18"/>
                <w:lang w:val="en-US"/>
              </w:rPr>
            </w:pPr>
            <w:r>
              <w:rPr>
                <w:sz w:val="18"/>
                <w:szCs w:val="18"/>
                <w:lang w:val="en-US"/>
              </w:rPr>
              <w:t>17 728</w:t>
            </w:r>
          </w:p>
        </w:tc>
        <w:tc>
          <w:tcPr>
            <w:tcW w:w="1212" w:type="dxa"/>
            <w:vAlign w:val="bottom"/>
            <w:hideMark/>
          </w:tcPr>
          <w:p w14:paraId="61D1B53B" w14:textId="77777777" w:rsidR="00CC0A78" w:rsidRDefault="00CC0A78">
            <w:pPr>
              <w:spacing w:line="240" w:lineRule="auto"/>
              <w:ind w:right="113"/>
              <w:jc w:val="right"/>
              <w:rPr>
                <w:sz w:val="18"/>
                <w:szCs w:val="18"/>
                <w:lang w:val="en-US"/>
              </w:rPr>
            </w:pPr>
            <w:r>
              <w:rPr>
                <w:sz w:val="18"/>
                <w:szCs w:val="18"/>
                <w:lang w:val="en-US"/>
              </w:rPr>
              <w:t>6 222</w:t>
            </w:r>
          </w:p>
        </w:tc>
        <w:tc>
          <w:tcPr>
            <w:tcW w:w="1213" w:type="dxa"/>
            <w:vAlign w:val="bottom"/>
            <w:hideMark/>
          </w:tcPr>
          <w:p w14:paraId="4522920B" w14:textId="77777777" w:rsidR="00CC0A78" w:rsidRDefault="00CC0A78">
            <w:pPr>
              <w:spacing w:line="240" w:lineRule="auto"/>
              <w:ind w:right="113"/>
              <w:jc w:val="right"/>
              <w:rPr>
                <w:sz w:val="18"/>
                <w:szCs w:val="18"/>
                <w:lang w:val="en-US"/>
              </w:rPr>
            </w:pPr>
            <w:r>
              <w:rPr>
                <w:sz w:val="18"/>
                <w:szCs w:val="18"/>
                <w:lang w:val="en-US"/>
              </w:rPr>
              <w:t>6 222</w:t>
            </w:r>
          </w:p>
        </w:tc>
      </w:tr>
      <w:tr w:rsidR="00CC0A78" w14:paraId="07524CBB" w14:textId="77777777" w:rsidTr="00CC0A78">
        <w:trPr>
          <w:trHeight w:val="227"/>
        </w:trPr>
        <w:tc>
          <w:tcPr>
            <w:tcW w:w="2468" w:type="dxa"/>
            <w:vAlign w:val="bottom"/>
            <w:hideMark/>
          </w:tcPr>
          <w:p w14:paraId="5117557A" w14:textId="77777777" w:rsidR="00CC0A78" w:rsidRDefault="00CC0A78">
            <w:pPr>
              <w:spacing w:line="240" w:lineRule="auto"/>
              <w:ind w:right="113"/>
              <w:rPr>
                <w:lang w:val="en-US"/>
              </w:rPr>
            </w:pPr>
            <w:r>
              <w:rPr>
                <w:color w:val="000000"/>
                <w:sz w:val="18"/>
                <w:szCs w:val="18"/>
                <w:lang w:val="en-US"/>
              </w:rPr>
              <w:t>Portugal</w:t>
            </w:r>
          </w:p>
        </w:tc>
        <w:tc>
          <w:tcPr>
            <w:tcW w:w="1188" w:type="dxa"/>
            <w:vAlign w:val="bottom"/>
            <w:hideMark/>
          </w:tcPr>
          <w:p w14:paraId="0736FCF2" w14:textId="77777777" w:rsidR="00CC0A78" w:rsidRDefault="00CC0A78">
            <w:pPr>
              <w:spacing w:line="240" w:lineRule="auto"/>
              <w:ind w:right="113"/>
              <w:jc w:val="right"/>
              <w:rPr>
                <w:sz w:val="18"/>
                <w:szCs w:val="18"/>
                <w:lang w:val="en-US"/>
              </w:rPr>
            </w:pPr>
            <w:r>
              <w:rPr>
                <w:sz w:val="18"/>
                <w:szCs w:val="18"/>
                <w:lang w:val="en-US"/>
              </w:rPr>
              <w:t>0.943</w:t>
            </w:r>
          </w:p>
        </w:tc>
        <w:tc>
          <w:tcPr>
            <w:tcW w:w="1212" w:type="dxa"/>
            <w:vAlign w:val="bottom"/>
            <w:hideMark/>
          </w:tcPr>
          <w:p w14:paraId="6392784C" w14:textId="77777777" w:rsidR="00CC0A78" w:rsidRDefault="00CC0A78">
            <w:pPr>
              <w:spacing w:line="240" w:lineRule="auto"/>
              <w:ind w:right="113"/>
              <w:jc w:val="right"/>
              <w:rPr>
                <w:sz w:val="18"/>
                <w:szCs w:val="18"/>
                <w:lang w:val="en-US"/>
              </w:rPr>
            </w:pPr>
            <w:r>
              <w:rPr>
                <w:sz w:val="18"/>
                <w:szCs w:val="18"/>
                <w:lang w:val="en-US"/>
              </w:rPr>
              <w:t>18 659</w:t>
            </w:r>
          </w:p>
        </w:tc>
        <w:tc>
          <w:tcPr>
            <w:tcW w:w="1212" w:type="dxa"/>
            <w:vAlign w:val="bottom"/>
            <w:hideMark/>
          </w:tcPr>
          <w:p w14:paraId="051DF825" w14:textId="77777777" w:rsidR="00CC0A78" w:rsidRDefault="00CC0A78">
            <w:pPr>
              <w:spacing w:line="240" w:lineRule="auto"/>
              <w:ind w:right="113"/>
              <w:jc w:val="right"/>
              <w:rPr>
                <w:sz w:val="18"/>
                <w:szCs w:val="18"/>
                <w:lang w:val="en-US"/>
              </w:rPr>
            </w:pPr>
            <w:r>
              <w:rPr>
                <w:sz w:val="18"/>
                <w:szCs w:val="18"/>
                <w:lang w:val="en-US"/>
              </w:rPr>
              <w:t>18 659</w:t>
            </w:r>
          </w:p>
        </w:tc>
        <w:tc>
          <w:tcPr>
            <w:tcW w:w="1212" w:type="dxa"/>
            <w:vAlign w:val="bottom"/>
            <w:hideMark/>
          </w:tcPr>
          <w:p w14:paraId="69C55292" w14:textId="77777777" w:rsidR="00CC0A78" w:rsidRDefault="00CC0A78">
            <w:pPr>
              <w:spacing w:line="240" w:lineRule="auto"/>
              <w:ind w:right="113"/>
              <w:jc w:val="right"/>
              <w:rPr>
                <w:sz w:val="18"/>
                <w:szCs w:val="18"/>
                <w:lang w:val="en-US"/>
              </w:rPr>
            </w:pPr>
            <w:r>
              <w:rPr>
                <w:sz w:val="18"/>
                <w:szCs w:val="18"/>
                <w:lang w:val="en-US"/>
              </w:rPr>
              <w:t>6 549</w:t>
            </w:r>
          </w:p>
        </w:tc>
        <w:tc>
          <w:tcPr>
            <w:tcW w:w="1213" w:type="dxa"/>
            <w:vAlign w:val="bottom"/>
            <w:hideMark/>
          </w:tcPr>
          <w:p w14:paraId="51FD8E8B" w14:textId="77777777" w:rsidR="00CC0A78" w:rsidRDefault="00CC0A78">
            <w:pPr>
              <w:spacing w:line="240" w:lineRule="auto"/>
              <w:ind w:right="113"/>
              <w:jc w:val="right"/>
              <w:rPr>
                <w:sz w:val="18"/>
                <w:szCs w:val="18"/>
                <w:lang w:val="en-US"/>
              </w:rPr>
            </w:pPr>
            <w:r>
              <w:rPr>
                <w:sz w:val="18"/>
                <w:szCs w:val="18"/>
                <w:lang w:val="en-US"/>
              </w:rPr>
              <w:t>6 549</w:t>
            </w:r>
          </w:p>
        </w:tc>
      </w:tr>
      <w:tr w:rsidR="00CC0A78" w14:paraId="2542D15E" w14:textId="77777777" w:rsidTr="00CC0A78">
        <w:trPr>
          <w:trHeight w:val="227"/>
        </w:trPr>
        <w:tc>
          <w:tcPr>
            <w:tcW w:w="2468" w:type="dxa"/>
            <w:vAlign w:val="bottom"/>
            <w:hideMark/>
          </w:tcPr>
          <w:p w14:paraId="7B565A6D" w14:textId="77777777" w:rsidR="00CC0A78" w:rsidRDefault="00CC0A78">
            <w:pPr>
              <w:spacing w:line="240" w:lineRule="auto"/>
              <w:ind w:right="113"/>
              <w:rPr>
                <w:lang w:val="en-US"/>
              </w:rPr>
            </w:pPr>
            <w:r>
              <w:rPr>
                <w:color w:val="000000"/>
                <w:sz w:val="18"/>
                <w:szCs w:val="18"/>
                <w:lang w:val="en-US"/>
              </w:rPr>
              <w:t>Romania</w:t>
            </w:r>
          </w:p>
        </w:tc>
        <w:tc>
          <w:tcPr>
            <w:tcW w:w="1188" w:type="dxa"/>
            <w:vAlign w:val="bottom"/>
            <w:hideMark/>
          </w:tcPr>
          <w:p w14:paraId="3AD80627" w14:textId="77777777" w:rsidR="00CC0A78" w:rsidRDefault="00CC0A78">
            <w:pPr>
              <w:spacing w:line="240" w:lineRule="auto"/>
              <w:ind w:right="113"/>
              <w:jc w:val="right"/>
              <w:rPr>
                <w:sz w:val="18"/>
                <w:szCs w:val="18"/>
                <w:lang w:val="en-US"/>
              </w:rPr>
            </w:pPr>
            <w:r>
              <w:rPr>
                <w:sz w:val="18"/>
                <w:szCs w:val="18"/>
                <w:lang w:val="en-US"/>
              </w:rPr>
              <w:t>0.125</w:t>
            </w:r>
          </w:p>
        </w:tc>
        <w:tc>
          <w:tcPr>
            <w:tcW w:w="1212" w:type="dxa"/>
            <w:vAlign w:val="bottom"/>
            <w:hideMark/>
          </w:tcPr>
          <w:p w14:paraId="0C70D811" w14:textId="77777777" w:rsidR="00CC0A78" w:rsidRDefault="00CC0A78">
            <w:pPr>
              <w:spacing w:line="240" w:lineRule="auto"/>
              <w:ind w:right="113"/>
              <w:jc w:val="right"/>
              <w:rPr>
                <w:sz w:val="18"/>
                <w:szCs w:val="18"/>
                <w:lang w:val="en-US"/>
              </w:rPr>
            </w:pPr>
            <w:r>
              <w:rPr>
                <w:sz w:val="18"/>
                <w:szCs w:val="18"/>
                <w:lang w:val="en-US"/>
              </w:rPr>
              <w:t>2 482</w:t>
            </w:r>
          </w:p>
        </w:tc>
        <w:tc>
          <w:tcPr>
            <w:tcW w:w="1212" w:type="dxa"/>
            <w:vAlign w:val="bottom"/>
            <w:hideMark/>
          </w:tcPr>
          <w:p w14:paraId="601DCC1B" w14:textId="77777777" w:rsidR="00CC0A78" w:rsidRDefault="00CC0A78">
            <w:pPr>
              <w:spacing w:line="240" w:lineRule="auto"/>
              <w:ind w:right="113"/>
              <w:jc w:val="right"/>
              <w:rPr>
                <w:sz w:val="18"/>
                <w:szCs w:val="18"/>
                <w:lang w:val="en-US"/>
              </w:rPr>
            </w:pPr>
            <w:r>
              <w:rPr>
                <w:sz w:val="18"/>
                <w:szCs w:val="18"/>
                <w:lang w:val="en-US"/>
              </w:rPr>
              <w:t>2 482</w:t>
            </w:r>
          </w:p>
        </w:tc>
        <w:tc>
          <w:tcPr>
            <w:tcW w:w="1212" w:type="dxa"/>
            <w:vAlign w:val="bottom"/>
            <w:hideMark/>
          </w:tcPr>
          <w:p w14:paraId="722C1008" w14:textId="77777777" w:rsidR="00CC0A78" w:rsidRDefault="00CC0A78">
            <w:pPr>
              <w:spacing w:line="240" w:lineRule="auto"/>
              <w:ind w:right="113"/>
              <w:jc w:val="right"/>
              <w:rPr>
                <w:sz w:val="18"/>
                <w:szCs w:val="18"/>
                <w:lang w:val="en-US"/>
              </w:rPr>
            </w:pPr>
            <w:r>
              <w:rPr>
                <w:sz w:val="18"/>
                <w:szCs w:val="18"/>
                <w:lang w:val="en-US"/>
              </w:rPr>
              <w:t>871</w:t>
            </w:r>
          </w:p>
        </w:tc>
        <w:tc>
          <w:tcPr>
            <w:tcW w:w="1213" w:type="dxa"/>
            <w:vAlign w:val="bottom"/>
            <w:hideMark/>
          </w:tcPr>
          <w:p w14:paraId="1F6FF626" w14:textId="77777777" w:rsidR="00CC0A78" w:rsidRDefault="00CC0A78">
            <w:pPr>
              <w:spacing w:line="240" w:lineRule="auto"/>
              <w:ind w:right="113"/>
              <w:jc w:val="right"/>
              <w:rPr>
                <w:sz w:val="18"/>
                <w:szCs w:val="18"/>
                <w:lang w:val="en-US"/>
              </w:rPr>
            </w:pPr>
            <w:r>
              <w:rPr>
                <w:sz w:val="18"/>
                <w:szCs w:val="18"/>
                <w:lang w:val="en-US"/>
              </w:rPr>
              <w:t>871</w:t>
            </w:r>
          </w:p>
        </w:tc>
      </w:tr>
      <w:tr w:rsidR="00CC0A78" w14:paraId="3C76D1BF" w14:textId="77777777" w:rsidTr="00CC0A78">
        <w:trPr>
          <w:trHeight w:val="227"/>
        </w:trPr>
        <w:tc>
          <w:tcPr>
            <w:tcW w:w="2468" w:type="dxa"/>
            <w:vAlign w:val="bottom"/>
            <w:hideMark/>
          </w:tcPr>
          <w:p w14:paraId="0F66DA85" w14:textId="77777777" w:rsidR="00CC0A78" w:rsidRDefault="00CC0A78">
            <w:pPr>
              <w:spacing w:line="240" w:lineRule="auto"/>
              <w:ind w:right="113"/>
              <w:rPr>
                <w:lang w:val="en-US"/>
              </w:rPr>
            </w:pPr>
            <w:r>
              <w:rPr>
                <w:color w:val="000000"/>
                <w:sz w:val="18"/>
                <w:szCs w:val="18"/>
                <w:lang w:val="en-US"/>
              </w:rPr>
              <w:t>Russian Federation</w:t>
            </w:r>
            <w:r>
              <w:rPr>
                <w:bCs/>
                <w:i/>
                <w:sz w:val="18"/>
                <w:szCs w:val="18"/>
                <w:vertAlign w:val="superscript"/>
                <w:lang w:val="en-US"/>
              </w:rPr>
              <w:t>a</w:t>
            </w:r>
          </w:p>
        </w:tc>
        <w:tc>
          <w:tcPr>
            <w:tcW w:w="1188" w:type="dxa"/>
            <w:vAlign w:val="bottom"/>
            <w:hideMark/>
          </w:tcPr>
          <w:p w14:paraId="77D9CBD9" w14:textId="77777777" w:rsidR="00CC0A78" w:rsidRDefault="00CC0A78">
            <w:pPr>
              <w:spacing w:line="240" w:lineRule="auto"/>
              <w:ind w:right="113"/>
              <w:jc w:val="right"/>
              <w:rPr>
                <w:sz w:val="18"/>
                <w:szCs w:val="18"/>
                <w:lang w:val="en-US"/>
              </w:rPr>
            </w:pPr>
            <w:r>
              <w:rPr>
                <w:sz w:val="18"/>
                <w:szCs w:val="18"/>
                <w:lang w:val="en-US"/>
              </w:rPr>
              <w:t>2.743</w:t>
            </w:r>
          </w:p>
        </w:tc>
        <w:tc>
          <w:tcPr>
            <w:tcW w:w="1212" w:type="dxa"/>
            <w:vAlign w:val="bottom"/>
            <w:hideMark/>
          </w:tcPr>
          <w:p w14:paraId="796E3220" w14:textId="77777777" w:rsidR="00CC0A78" w:rsidRDefault="00CC0A78">
            <w:pPr>
              <w:spacing w:line="240" w:lineRule="auto"/>
              <w:ind w:right="113"/>
              <w:jc w:val="right"/>
              <w:rPr>
                <w:sz w:val="18"/>
                <w:szCs w:val="18"/>
                <w:lang w:val="en-US"/>
              </w:rPr>
            </w:pPr>
            <w:r>
              <w:rPr>
                <w:b/>
                <w:sz w:val="18"/>
                <w:szCs w:val="18"/>
                <w:lang w:val="en-US"/>
              </w:rPr>
              <w:t>–</w:t>
            </w:r>
          </w:p>
        </w:tc>
        <w:tc>
          <w:tcPr>
            <w:tcW w:w="1212" w:type="dxa"/>
            <w:vAlign w:val="bottom"/>
            <w:hideMark/>
          </w:tcPr>
          <w:p w14:paraId="1385DDDA" w14:textId="77777777" w:rsidR="00CC0A78" w:rsidRDefault="00CC0A78">
            <w:pPr>
              <w:spacing w:line="240" w:lineRule="auto"/>
              <w:ind w:right="113"/>
              <w:jc w:val="right"/>
              <w:rPr>
                <w:sz w:val="18"/>
                <w:szCs w:val="18"/>
                <w:lang w:val="en-US"/>
              </w:rPr>
            </w:pPr>
            <w:r>
              <w:rPr>
                <w:b/>
                <w:sz w:val="18"/>
                <w:szCs w:val="18"/>
                <w:lang w:val="en-US"/>
              </w:rPr>
              <w:t>–</w:t>
            </w:r>
          </w:p>
        </w:tc>
        <w:tc>
          <w:tcPr>
            <w:tcW w:w="1212" w:type="dxa"/>
            <w:vAlign w:val="bottom"/>
            <w:hideMark/>
          </w:tcPr>
          <w:p w14:paraId="119CC126" w14:textId="77777777" w:rsidR="00CC0A78" w:rsidRDefault="00CC0A78">
            <w:pPr>
              <w:spacing w:line="240" w:lineRule="auto"/>
              <w:ind w:right="113"/>
              <w:jc w:val="right"/>
              <w:rPr>
                <w:sz w:val="18"/>
                <w:szCs w:val="18"/>
                <w:lang w:val="en-US"/>
              </w:rPr>
            </w:pPr>
            <w:r>
              <w:rPr>
                <w:b/>
                <w:sz w:val="18"/>
                <w:szCs w:val="18"/>
                <w:lang w:val="en-US"/>
              </w:rPr>
              <w:t>–</w:t>
            </w:r>
          </w:p>
        </w:tc>
        <w:tc>
          <w:tcPr>
            <w:tcW w:w="1213" w:type="dxa"/>
            <w:vAlign w:val="bottom"/>
            <w:hideMark/>
          </w:tcPr>
          <w:p w14:paraId="45AA972F" w14:textId="77777777" w:rsidR="00CC0A78" w:rsidRDefault="00CC0A78">
            <w:pPr>
              <w:spacing w:line="240" w:lineRule="auto"/>
              <w:ind w:right="113"/>
              <w:jc w:val="right"/>
              <w:rPr>
                <w:sz w:val="18"/>
                <w:szCs w:val="18"/>
                <w:lang w:val="en-US"/>
              </w:rPr>
            </w:pPr>
            <w:r>
              <w:rPr>
                <w:b/>
                <w:sz w:val="18"/>
                <w:szCs w:val="18"/>
                <w:lang w:val="en-US"/>
              </w:rPr>
              <w:t>–</w:t>
            </w:r>
          </w:p>
        </w:tc>
      </w:tr>
      <w:tr w:rsidR="00CC0A78" w14:paraId="2E31B184" w14:textId="77777777" w:rsidTr="00CC0A78">
        <w:trPr>
          <w:trHeight w:val="227"/>
        </w:trPr>
        <w:tc>
          <w:tcPr>
            <w:tcW w:w="2468" w:type="dxa"/>
            <w:vAlign w:val="bottom"/>
            <w:hideMark/>
          </w:tcPr>
          <w:p w14:paraId="355966E7" w14:textId="77777777" w:rsidR="00CC0A78" w:rsidRDefault="00CC0A78">
            <w:pPr>
              <w:spacing w:line="240" w:lineRule="auto"/>
              <w:ind w:right="113"/>
              <w:rPr>
                <w:lang w:val="en-US"/>
              </w:rPr>
            </w:pPr>
            <w:r>
              <w:rPr>
                <w:color w:val="000000"/>
                <w:sz w:val="18"/>
                <w:szCs w:val="18"/>
                <w:lang w:val="en-US"/>
              </w:rPr>
              <w:t>Slovakia</w:t>
            </w:r>
          </w:p>
        </w:tc>
        <w:tc>
          <w:tcPr>
            <w:tcW w:w="1188" w:type="dxa"/>
            <w:vAlign w:val="bottom"/>
            <w:hideMark/>
          </w:tcPr>
          <w:p w14:paraId="41CD6F94" w14:textId="77777777" w:rsidR="00CC0A78" w:rsidRDefault="00CC0A78">
            <w:pPr>
              <w:spacing w:line="240" w:lineRule="auto"/>
              <w:ind w:right="113"/>
              <w:jc w:val="right"/>
              <w:rPr>
                <w:sz w:val="18"/>
                <w:szCs w:val="18"/>
                <w:lang w:val="en-US"/>
              </w:rPr>
            </w:pPr>
            <w:r>
              <w:rPr>
                <w:sz w:val="18"/>
                <w:szCs w:val="18"/>
                <w:lang w:val="en-US"/>
              </w:rPr>
              <w:t>0.113</w:t>
            </w:r>
          </w:p>
        </w:tc>
        <w:tc>
          <w:tcPr>
            <w:tcW w:w="1212" w:type="dxa"/>
            <w:vAlign w:val="bottom"/>
            <w:hideMark/>
          </w:tcPr>
          <w:p w14:paraId="013E5B6F" w14:textId="77777777" w:rsidR="00CC0A78" w:rsidRDefault="00CC0A78">
            <w:pPr>
              <w:spacing w:line="240" w:lineRule="auto"/>
              <w:ind w:right="113"/>
              <w:jc w:val="right"/>
              <w:rPr>
                <w:sz w:val="18"/>
                <w:szCs w:val="18"/>
                <w:lang w:val="en-US"/>
              </w:rPr>
            </w:pPr>
            <w:r>
              <w:rPr>
                <w:sz w:val="18"/>
                <w:szCs w:val="18"/>
                <w:lang w:val="en-US"/>
              </w:rPr>
              <w:t>2 234</w:t>
            </w:r>
          </w:p>
        </w:tc>
        <w:tc>
          <w:tcPr>
            <w:tcW w:w="1212" w:type="dxa"/>
            <w:vAlign w:val="bottom"/>
            <w:hideMark/>
          </w:tcPr>
          <w:p w14:paraId="50465C8F" w14:textId="77777777" w:rsidR="00CC0A78" w:rsidRDefault="00CC0A78">
            <w:pPr>
              <w:spacing w:line="240" w:lineRule="auto"/>
              <w:ind w:right="113"/>
              <w:jc w:val="right"/>
              <w:rPr>
                <w:sz w:val="18"/>
                <w:szCs w:val="18"/>
                <w:lang w:val="en-US"/>
              </w:rPr>
            </w:pPr>
            <w:r>
              <w:rPr>
                <w:sz w:val="18"/>
                <w:szCs w:val="18"/>
                <w:lang w:val="en-US"/>
              </w:rPr>
              <w:t>2 234</w:t>
            </w:r>
          </w:p>
        </w:tc>
        <w:tc>
          <w:tcPr>
            <w:tcW w:w="1212" w:type="dxa"/>
            <w:vAlign w:val="bottom"/>
            <w:hideMark/>
          </w:tcPr>
          <w:p w14:paraId="3659AC5F" w14:textId="77777777" w:rsidR="00CC0A78" w:rsidRDefault="00CC0A78">
            <w:pPr>
              <w:spacing w:line="240" w:lineRule="auto"/>
              <w:ind w:right="113"/>
              <w:jc w:val="right"/>
              <w:rPr>
                <w:sz w:val="18"/>
                <w:szCs w:val="18"/>
                <w:lang w:val="en-US"/>
              </w:rPr>
            </w:pPr>
            <w:r>
              <w:rPr>
                <w:sz w:val="18"/>
                <w:szCs w:val="18"/>
                <w:lang w:val="en-US"/>
              </w:rPr>
              <w:t>784</w:t>
            </w:r>
          </w:p>
        </w:tc>
        <w:tc>
          <w:tcPr>
            <w:tcW w:w="1213" w:type="dxa"/>
            <w:vAlign w:val="bottom"/>
            <w:hideMark/>
          </w:tcPr>
          <w:p w14:paraId="29369653" w14:textId="77777777" w:rsidR="00CC0A78" w:rsidRDefault="00CC0A78">
            <w:pPr>
              <w:spacing w:line="240" w:lineRule="auto"/>
              <w:ind w:right="113"/>
              <w:jc w:val="right"/>
              <w:rPr>
                <w:sz w:val="18"/>
                <w:szCs w:val="18"/>
                <w:lang w:val="en-US"/>
              </w:rPr>
            </w:pPr>
            <w:r>
              <w:rPr>
                <w:sz w:val="18"/>
                <w:szCs w:val="18"/>
                <w:lang w:val="en-US"/>
              </w:rPr>
              <w:t>784</w:t>
            </w:r>
          </w:p>
        </w:tc>
      </w:tr>
      <w:tr w:rsidR="00CC0A78" w14:paraId="3AD0CA9C" w14:textId="77777777" w:rsidTr="00CC0A78">
        <w:trPr>
          <w:trHeight w:val="227"/>
        </w:trPr>
        <w:tc>
          <w:tcPr>
            <w:tcW w:w="2468" w:type="dxa"/>
            <w:vAlign w:val="bottom"/>
            <w:hideMark/>
          </w:tcPr>
          <w:p w14:paraId="4373D3BE" w14:textId="77777777" w:rsidR="00CC0A78" w:rsidRDefault="00CC0A78">
            <w:pPr>
              <w:spacing w:line="240" w:lineRule="auto"/>
              <w:ind w:right="113"/>
              <w:rPr>
                <w:lang w:val="en-US"/>
              </w:rPr>
            </w:pPr>
            <w:r>
              <w:rPr>
                <w:color w:val="000000"/>
                <w:sz w:val="18"/>
                <w:szCs w:val="18"/>
                <w:lang w:val="en-US"/>
              </w:rPr>
              <w:t>Slovenia</w:t>
            </w:r>
          </w:p>
        </w:tc>
        <w:tc>
          <w:tcPr>
            <w:tcW w:w="1188" w:type="dxa"/>
            <w:vAlign w:val="bottom"/>
            <w:hideMark/>
          </w:tcPr>
          <w:p w14:paraId="4D8F021B" w14:textId="77777777" w:rsidR="00CC0A78" w:rsidRDefault="00CC0A78">
            <w:pPr>
              <w:spacing w:line="240" w:lineRule="auto"/>
              <w:ind w:right="113"/>
              <w:jc w:val="right"/>
              <w:rPr>
                <w:sz w:val="18"/>
                <w:szCs w:val="18"/>
                <w:lang w:val="en-US"/>
              </w:rPr>
            </w:pPr>
            <w:r>
              <w:rPr>
                <w:sz w:val="18"/>
                <w:szCs w:val="18"/>
                <w:lang w:val="en-US"/>
              </w:rPr>
              <w:t>0.171</w:t>
            </w:r>
          </w:p>
        </w:tc>
        <w:tc>
          <w:tcPr>
            <w:tcW w:w="1212" w:type="dxa"/>
            <w:vAlign w:val="bottom"/>
            <w:hideMark/>
          </w:tcPr>
          <w:p w14:paraId="025096BC" w14:textId="77777777" w:rsidR="00CC0A78" w:rsidRDefault="00CC0A78">
            <w:pPr>
              <w:spacing w:line="240" w:lineRule="auto"/>
              <w:ind w:right="113"/>
              <w:jc w:val="right"/>
              <w:rPr>
                <w:sz w:val="18"/>
                <w:szCs w:val="18"/>
                <w:lang w:val="en-US"/>
              </w:rPr>
            </w:pPr>
            <w:r>
              <w:rPr>
                <w:sz w:val="18"/>
                <w:szCs w:val="18"/>
                <w:lang w:val="en-US"/>
              </w:rPr>
              <w:t>3 393</w:t>
            </w:r>
          </w:p>
        </w:tc>
        <w:tc>
          <w:tcPr>
            <w:tcW w:w="1212" w:type="dxa"/>
            <w:vAlign w:val="bottom"/>
            <w:hideMark/>
          </w:tcPr>
          <w:p w14:paraId="68B3645D" w14:textId="77777777" w:rsidR="00CC0A78" w:rsidRDefault="00CC0A78">
            <w:pPr>
              <w:spacing w:line="240" w:lineRule="auto"/>
              <w:ind w:right="113"/>
              <w:jc w:val="right"/>
              <w:rPr>
                <w:sz w:val="18"/>
                <w:szCs w:val="18"/>
                <w:lang w:val="en-US"/>
              </w:rPr>
            </w:pPr>
            <w:r>
              <w:rPr>
                <w:sz w:val="18"/>
                <w:szCs w:val="18"/>
                <w:lang w:val="en-US"/>
              </w:rPr>
              <w:t>3 393</w:t>
            </w:r>
          </w:p>
        </w:tc>
        <w:tc>
          <w:tcPr>
            <w:tcW w:w="1212" w:type="dxa"/>
            <w:vAlign w:val="bottom"/>
            <w:hideMark/>
          </w:tcPr>
          <w:p w14:paraId="451E3B39" w14:textId="77777777" w:rsidR="00CC0A78" w:rsidRDefault="00CC0A78">
            <w:pPr>
              <w:spacing w:line="240" w:lineRule="auto"/>
              <w:ind w:right="113"/>
              <w:jc w:val="right"/>
              <w:rPr>
                <w:sz w:val="18"/>
                <w:szCs w:val="18"/>
                <w:lang w:val="en-US"/>
              </w:rPr>
            </w:pPr>
            <w:r>
              <w:rPr>
                <w:sz w:val="18"/>
                <w:szCs w:val="18"/>
                <w:lang w:val="en-US"/>
              </w:rPr>
              <w:t>1 191</w:t>
            </w:r>
          </w:p>
        </w:tc>
        <w:tc>
          <w:tcPr>
            <w:tcW w:w="1213" w:type="dxa"/>
            <w:vAlign w:val="bottom"/>
            <w:hideMark/>
          </w:tcPr>
          <w:p w14:paraId="33D2D8B8" w14:textId="77777777" w:rsidR="00CC0A78" w:rsidRDefault="00CC0A78">
            <w:pPr>
              <w:spacing w:line="240" w:lineRule="auto"/>
              <w:ind w:right="113"/>
              <w:jc w:val="right"/>
              <w:rPr>
                <w:sz w:val="18"/>
                <w:szCs w:val="18"/>
                <w:lang w:val="en-US"/>
              </w:rPr>
            </w:pPr>
            <w:r>
              <w:rPr>
                <w:sz w:val="18"/>
                <w:szCs w:val="18"/>
                <w:lang w:val="en-US"/>
              </w:rPr>
              <w:t>1 191</w:t>
            </w:r>
          </w:p>
        </w:tc>
      </w:tr>
      <w:tr w:rsidR="00CC0A78" w14:paraId="7F76B6E3" w14:textId="77777777" w:rsidTr="00CC0A78">
        <w:trPr>
          <w:trHeight w:val="227"/>
        </w:trPr>
        <w:tc>
          <w:tcPr>
            <w:tcW w:w="2468" w:type="dxa"/>
            <w:vAlign w:val="bottom"/>
            <w:hideMark/>
          </w:tcPr>
          <w:p w14:paraId="76F98C40" w14:textId="77777777" w:rsidR="00CC0A78" w:rsidRDefault="00CC0A78">
            <w:pPr>
              <w:spacing w:line="240" w:lineRule="auto"/>
              <w:ind w:right="113"/>
              <w:rPr>
                <w:lang w:val="en-US"/>
              </w:rPr>
            </w:pPr>
            <w:r>
              <w:rPr>
                <w:color w:val="000000"/>
                <w:sz w:val="18"/>
                <w:szCs w:val="18"/>
                <w:lang w:val="en-US"/>
              </w:rPr>
              <w:t>Spain</w:t>
            </w:r>
          </w:p>
        </w:tc>
        <w:tc>
          <w:tcPr>
            <w:tcW w:w="1188" w:type="dxa"/>
            <w:vAlign w:val="bottom"/>
            <w:hideMark/>
          </w:tcPr>
          <w:p w14:paraId="5E865B53" w14:textId="77777777" w:rsidR="00CC0A78" w:rsidRDefault="00CC0A78">
            <w:pPr>
              <w:spacing w:line="240" w:lineRule="auto"/>
              <w:ind w:right="113"/>
              <w:jc w:val="right"/>
              <w:rPr>
                <w:sz w:val="18"/>
                <w:szCs w:val="18"/>
                <w:lang w:val="en-US"/>
              </w:rPr>
            </w:pPr>
            <w:r>
              <w:rPr>
                <w:sz w:val="18"/>
                <w:szCs w:val="18"/>
                <w:lang w:val="en-US"/>
              </w:rPr>
              <w:t>5.311</w:t>
            </w:r>
          </w:p>
        </w:tc>
        <w:tc>
          <w:tcPr>
            <w:tcW w:w="1212" w:type="dxa"/>
            <w:vAlign w:val="bottom"/>
            <w:hideMark/>
          </w:tcPr>
          <w:p w14:paraId="636A6487" w14:textId="77777777" w:rsidR="00CC0A78" w:rsidRDefault="00CC0A78">
            <w:pPr>
              <w:spacing w:line="240" w:lineRule="auto"/>
              <w:ind w:right="113"/>
              <w:jc w:val="right"/>
              <w:rPr>
                <w:sz w:val="18"/>
                <w:szCs w:val="18"/>
                <w:lang w:val="en-US"/>
              </w:rPr>
            </w:pPr>
            <w:r>
              <w:rPr>
                <w:sz w:val="18"/>
                <w:szCs w:val="18"/>
                <w:lang w:val="en-US"/>
              </w:rPr>
              <w:t>105 086</w:t>
            </w:r>
          </w:p>
        </w:tc>
        <w:tc>
          <w:tcPr>
            <w:tcW w:w="1212" w:type="dxa"/>
            <w:vAlign w:val="bottom"/>
            <w:hideMark/>
          </w:tcPr>
          <w:p w14:paraId="039F8608" w14:textId="77777777" w:rsidR="00CC0A78" w:rsidRDefault="00CC0A78">
            <w:pPr>
              <w:spacing w:line="240" w:lineRule="auto"/>
              <w:ind w:right="113"/>
              <w:jc w:val="right"/>
              <w:rPr>
                <w:sz w:val="18"/>
                <w:szCs w:val="18"/>
                <w:lang w:val="en-US"/>
              </w:rPr>
            </w:pPr>
            <w:r>
              <w:rPr>
                <w:sz w:val="18"/>
                <w:szCs w:val="18"/>
                <w:lang w:val="en-US"/>
              </w:rPr>
              <w:t>105 086</w:t>
            </w:r>
          </w:p>
        </w:tc>
        <w:tc>
          <w:tcPr>
            <w:tcW w:w="1212" w:type="dxa"/>
            <w:vAlign w:val="bottom"/>
            <w:hideMark/>
          </w:tcPr>
          <w:p w14:paraId="19E5A578" w14:textId="77777777" w:rsidR="00CC0A78" w:rsidRDefault="00CC0A78">
            <w:pPr>
              <w:spacing w:line="240" w:lineRule="auto"/>
              <w:ind w:right="113"/>
              <w:jc w:val="right"/>
              <w:rPr>
                <w:sz w:val="18"/>
                <w:szCs w:val="18"/>
                <w:lang w:val="en-US"/>
              </w:rPr>
            </w:pPr>
            <w:r>
              <w:rPr>
                <w:sz w:val="18"/>
                <w:szCs w:val="18"/>
                <w:lang w:val="en-US"/>
              </w:rPr>
              <w:t>36 883</w:t>
            </w:r>
          </w:p>
        </w:tc>
        <w:tc>
          <w:tcPr>
            <w:tcW w:w="1213" w:type="dxa"/>
            <w:vAlign w:val="bottom"/>
            <w:hideMark/>
          </w:tcPr>
          <w:p w14:paraId="1A09A7CA" w14:textId="77777777" w:rsidR="00CC0A78" w:rsidRDefault="00CC0A78">
            <w:pPr>
              <w:spacing w:line="240" w:lineRule="auto"/>
              <w:ind w:right="113"/>
              <w:jc w:val="right"/>
              <w:rPr>
                <w:sz w:val="18"/>
                <w:szCs w:val="18"/>
                <w:lang w:val="en-US"/>
              </w:rPr>
            </w:pPr>
            <w:r>
              <w:rPr>
                <w:sz w:val="18"/>
                <w:szCs w:val="18"/>
                <w:lang w:val="en-US"/>
              </w:rPr>
              <w:t>36 883</w:t>
            </w:r>
          </w:p>
        </w:tc>
      </w:tr>
      <w:tr w:rsidR="00CC0A78" w14:paraId="1562B554" w14:textId="77777777" w:rsidTr="00CC0A78">
        <w:trPr>
          <w:trHeight w:val="227"/>
        </w:trPr>
        <w:tc>
          <w:tcPr>
            <w:tcW w:w="2468" w:type="dxa"/>
            <w:vAlign w:val="bottom"/>
            <w:hideMark/>
          </w:tcPr>
          <w:p w14:paraId="08531FC0" w14:textId="77777777" w:rsidR="00CC0A78" w:rsidRDefault="00CC0A78">
            <w:pPr>
              <w:spacing w:line="240" w:lineRule="auto"/>
              <w:ind w:right="113"/>
              <w:rPr>
                <w:lang w:val="en-US"/>
              </w:rPr>
            </w:pPr>
            <w:r>
              <w:rPr>
                <w:color w:val="000000"/>
                <w:sz w:val="18"/>
                <w:szCs w:val="18"/>
                <w:lang w:val="en-US"/>
              </w:rPr>
              <w:t>Sweden</w:t>
            </w:r>
          </w:p>
        </w:tc>
        <w:tc>
          <w:tcPr>
            <w:tcW w:w="1188" w:type="dxa"/>
            <w:vAlign w:val="bottom"/>
            <w:hideMark/>
          </w:tcPr>
          <w:p w14:paraId="77F5B0D5" w14:textId="77777777" w:rsidR="00CC0A78" w:rsidRDefault="00CC0A78">
            <w:pPr>
              <w:spacing w:line="240" w:lineRule="auto"/>
              <w:ind w:right="113"/>
              <w:jc w:val="right"/>
              <w:rPr>
                <w:sz w:val="18"/>
                <w:szCs w:val="18"/>
                <w:lang w:val="en-US"/>
              </w:rPr>
            </w:pPr>
            <w:r>
              <w:rPr>
                <w:sz w:val="18"/>
                <w:szCs w:val="18"/>
                <w:lang w:val="en-US"/>
              </w:rPr>
              <w:t>1.917</w:t>
            </w:r>
          </w:p>
        </w:tc>
        <w:tc>
          <w:tcPr>
            <w:tcW w:w="1212" w:type="dxa"/>
            <w:vAlign w:val="bottom"/>
            <w:hideMark/>
          </w:tcPr>
          <w:p w14:paraId="278DE267" w14:textId="77777777" w:rsidR="00CC0A78" w:rsidRDefault="00CC0A78">
            <w:pPr>
              <w:spacing w:line="240" w:lineRule="auto"/>
              <w:ind w:right="113"/>
              <w:jc w:val="right"/>
              <w:rPr>
                <w:sz w:val="18"/>
                <w:szCs w:val="18"/>
                <w:lang w:val="en-US"/>
              </w:rPr>
            </w:pPr>
            <w:r>
              <w:rPr>
                <w:sz w:val="18"/>
                <w:szCs w:val="18"/>
                <w:lang w:val="en-US"/>
              </w:rPr>
              <w:t>37 938</w:t>
            </w:r>
          </w:p>
        </w:tc>
        <w:tc>
          <w:tcPr>
            <w:tcW w:w="1212" w:type="dxa"/>
            <w:vAlign w:val="bottom"/>
            <w:hideMark/>
          </w:tcPr>
          <w:p w14:paraId="09334930" w14:textId="77777777" w:rsidR="00CC0A78" w:rsidRDefault="00CC0A78">
            <w:pPr>
              <w:spacing w:line="240" w:lineRule="auto"/>
              <w:ind w:right="113"/>
              <w:jc w:val="right"/>
              <w:rPr>
                <w:sz w:val="18"/>
                <w:szCs w:val="18"/>
                <w:lang w:val="en-US"/>
              </w:rPr>
            </w:pPr>
            <w:r>
              <w:rPr>
                <w:sz w:val="18"/>
                <w:szCs w:val="18"/>
                <w:lang w:val="en-US"/>
              </w:rPr>
              <w:t>37 938</w:t>
            </w:r>
          </w:p>
        </w:tc>
        <w:tc>
          <w:tcPr>
            <w:tcW w:w="1212" w:type="dxa"/>
            <w:vAlign w:val="bottom"/>
            <w:hideMark/>
          </w:tcPr>
          <w:p w14:paraId="0F8B59A8" w14:textId="77777777" w:rsidR="00CC0A78" w:rsidRDefault="00CC0A78">
            <w:pPr>
              <w:spacing w:line="240" w:lineRule="auto"/>
              <w:ind w:right="113"/>
              <w:jc w:val="right"/>
              <w:rPr>
                <w:sz w:val="18"/>
                <w:szCs w:val="18"/>
                <w:lang w:val="en-US"/>
              </w:rPr>
            </w:pPr>
            <w:r>
              <w:rPr>
                <w:sz w:val="18"/>
                <w:szCs w:val="18"/>
                <w:lang w:val="en-US"/>
              </w:rPr>
              <w:t>13 316</w:t>
            </w:r>
          </w:p>
        </w:tc>
        <w:tc>
          <w:tcPr>
            <w:tcW w:w="1213" w:type="dxa"/>
            <w:vAlign w:val="bottom"/>
            <w:hideMark/>
          </w:tcPr>
          <w:p w14:paraId="6FFB43BE" w14:textId="77777777" w:rsidR="00CC0A78" w:rsidRDefault="00CC0A78">
            <w:pPr>
              <w:spacing w:line="240" w:lineRule="auto"/>
              <w:ind w:right="113"/>
              <w:jc w:val="right"/>
              <w:rPr>
                <w:sz w:val="18"/>
                <w:szCs w:val="18"/>
                <w:lang w:val="en-US"/>
              </w:rPr>
            </w:pPr>
            <w:r>
              <w:rPr>
                <w:sz w:val="18"/>
                <w:szCs w:val="18"/>
                <w:lang w:val="en-US"/>
              </w:rPr>
              <w:t>13 316</w:t>
            </w:r>
          </w:p>
        </w:tc>
      </w:tr>
      <w:tr w:rsidR="00CC0A78" w14:paraId="409DF90C" w14:textId="77777777" w:rsidTr="00CC0A78">
        <w:trPr>
          <w:trHeight w:val="227"/>
        </w:trPr>
        <w:tc>
          <w:tcPr>
            <w:tcW w:w="2468" w:type="dxa"/>
            <w:vAlign w:val="bottom"/>
            <w:hideMark/>
          </w:tcPr>
          <w:p w14:paraId="06D3212D" w14:textId="77777777" w:rsidR="00CC0A78" w:rsidRDefault="00CC0A78">
            <w:pPr>
              <w:spacing w:line="240" w:lineRule="auto"/>
              <w:ind w:right="113"/>
              <w:rPr>
                <w:lang w:val="en-US"/>
              </w:rPr>
            </w:pPr>
            <w:r>
              <w:rPr>
                <w:color w:val="000000"/>
                <w:sz w:val="18"/>
                <w:szCs w:val="18"/>
                <w:lang w:val="en-US"/>
              </w:rPr>
              <w:t>Switzerland</w:t>
            </w:r>
          </w:p>
        </w:tc>
        <w:tc>
          <w:tcPr>
            <w:tcW w:w="1188" w:type="dxa"/>
            <w:vAlign w:val="bottom"/>
            <w:hideMark/>
          </w:tcPr>
          <w:p w14:paraId="6CAC5DAA" w14:textId="77777777" w:rsidR="00CC0A78" w:rsidRDefault="00CC0A78">
            <w:pPr>
              <w:spacing w:line="240" w:lineRule="auto"/>
              <w:ind w:right="113"/>
              <w:jc w:val="right"/>
              <w:rPr>
                <w:sz w:val="18"/>
                <w:szCs w:val="18"/>
                <w:lang w:val="en-US"/>
              </w:rPr>
            </w:pPr>
            <w:r>
              <w:rPr>
                <w:sz w:val="18"/>
                <w:szCs w:val="18"/>
                <w:lang w:val="en-US"/>
              </w:rPr>
              <w:t>2.760</w:t>
            </w:r>
          </w:p>
        </w:tc>
        <w:tc>
          <w:tcPr>
            <w:tcW w:w="1212" w:type="dxa"/>
            <w:vAlign w:val="bottom"/>
            <w:hideMark/>
          </w:tcPr>
          <w:p w14:paraId="2B9223F1" w14:textId="77777777" w:rsidR="00CC0A78" w:rsidRDefault="00CC0A78">
            <w:pPr>
              <w:spacing w:line="240" w:lineRule="auto"/>
              <w:ind w:right="113"/>
              <w:jc w:val="right"/>
              <w:rPr>
                <w:sz w:val="18"/>
                <w:szCs w:val="18"/>
                <w:lang w:val="en-US"/>
              </w:rPr>
            </w:pPr>
            <w:r>
              <w:rPr>
                <w:sz w:val="18"/>
                <w:szCs w:val="18"/>
                <w:lang w:val="en-US"/>
              </w:rPr>
              <w:t>54 611</w:t>
            </w:r>
          </w:p>
        </w:tc>
        <w:tc>
          <w:tcPr>
            <w:tcW w:w="1212" w:type="dxa"/>
            <w:vAlign w:val="bottom"/>
            <w:hideMark/>
          </w:tcPr>
          <w:p w14:paraId="20799EA8" w14:textId="77777777" w:rsidR="00CC0A78" w:rsidRDefault="00CC0A78">
            <w:pPr>
              <w:spacing w:line="240" w:lineRule="auto"/>
              <w:ind w:right="113"/>
              <w:jc w:val="right"/>
              <w:rPr>
                <w:sz w:val="18"/>
                <w:szCs w:val="18"/>
                <w:lang w:val="en-US"/>
              </w:rPr>
            </w:pPr>
            <w:r>
              <w:rPr>
                <w:sz w:val="18"/>
                <w:szCs w:val="18"/>
                <w:lang w:val="en-US"/>
              </w:rPr>
              <w:t>54 611</w:t>
            </w:r>
          </w:p>
        </w:tc>
        <w:tc>
          <w:tcPr>
            <w:tcW w:w="1212" w:type="dxa"/>
            <w:vAlign w:val="bottom"/>
            <w:hideMark/>
          </w:tcPr>
          <w:p w14:paraId="74C85F28" w14:textId="77777777" w:rsidR="00CC0A78" w:rsidRDefault="00CC0A78">
            <w:pPr>
              <w:spacing w:line="240" w:lineRule="auto"/>
              <w:ind w:right="113"/>
              <w:jc w:val="right"/>
              <w:rPr>
                <w:sz w:val="18"/>
                <w:szCs w:val="18"/>
                <w:lang w:val="en-US"/>
              </w:rPr>
            </w:pPr>
            <w:r>
              <w:rPr>
                <w:sz w:val="18"/>
                <w:szCs w:val="18"/>
                <w:lang w:val="en-US"/>
              </w:rPr>
              <w:t>19 167</w:t>
            </w:r>
          </w:p>
        </w:tc>
        <w:tc>
          <w:tcPr>
            <w:tcW w:w="1213" w:type="dxa"/>
            <w:vAlign w:val="bottom"/>
            <w:hideMark/>
          </w:tcPr>
          <w:p w14:paraId="45F7705A" w14:textId="77777777" w:rsidR="00CC0A78" w:rsidRDefault="00CC0A78">
            <w:pPr>
              <w:spacing w:line="240" w:lineRule="auto"/>
              <w:ind w:right="113"/>
              <w:jc w:val="right"/>
              <w:rPr>
                <w:sz w:val="18"/>
                <w:szCs w:val="18"/>
                <w:lang w:val="en-US"/>
              </w:rPr>
            </w:pPr>
            <w:r>
              <w:rPr>
                <w:sz w:val="18"/>
                <w:szCs w:val="18"/>
                <w:lang w:val="en-US"/>
              </w:rPr>
              <w:t>19 167</w:t>
            </w:r>
          </w:p>
        </w:tc>
      </w:tr>
      <w:tr w:rsidR="00CC0A78" w14:paraId="5965677C" w14:textId="77777777" w:rsidTr="00CC0A78">
        <w:trPr>
          <w:trHeight w:val="227"/>
        </w:trPr>
        <w:tc>
          <w:tcPr>
            <w:tcW w:w="2468" w:type="dxa"/>
            <w:vAlign w:val="bottom"/>
            <w:hideMark/>
          </w:tcPr>
          <w:p w14:paraId="07681EB9" w14:textId="77777777" w:rsidR="00CC0A78" w:rsidRDefault="00CC0A78">
            <w:pPr>
              <w:spacing w:line="240" w:lineRule="auto"/>
              <w:ind w:right="113"/>
              <w:rPr>
                <w:b/>
                <w:lang w:val="en-US"/>
              </w:rPr>
            </w:pPr>
            <w:r>
              <w:rPr>
                <w:color w:val="000000"/>
                <w:sz w:val="18"/>
                <w:szCs w:val="18"/>
                <w:lang w:val="en-US"/>
              </w:rPr>
              <w:t>Ukraine</w:t>
            </w:r>
          </w:p>
        </w:tc>
        <w:tc>
          <w:tcPr>
            <w:tcW w:w="1188" w:type="dxa"/>
            <w:vAlign w:val="bottom"/>
            <w:hideMark/>
          </w:tcPr>
          <w:p w14:paraId="406F5F1F" w14:textId="77777777" w:rsidR="00CC0A78" w:rsidRDefault="00CC0A78">
            <w:pPr>
              <w:spacing w:line="240" w:lineRule="auto"/>
              <w:ind w:right="113"/>
              <w:jc w:val="right"/>
              <w:rPr>
                <w:sz w:val="18"/>
                <w:szCs w:val="18"/>
                <w:lang w:val="en-US"/>
              </w:rPr>
            </w:pPr>
            <w:r>
              <w:rPr>
                <w:sz w:val="18"/>
                <w:szCs w:val="18"/>
                <w:lang w:val="en-US"/>
              </w:rPr>
              <w:t>0.745</w:t>
            </w:r>
          </w:p>
        </w:tc>
        <w:tc>
          <w:tcPr>
            <w:tcW w:w="1212" w:type="dxa"/>
            <w:vAlign w:val="bottom"/>
            <w:hideMark/>
          </w:tcPr>
          <w:p w14:paraId="0BA0FFC8" w14:textId="77777777" w:rsidR="00CC0A78" w:rsidRDefault="00CC0A78">
            <w:pPr>
              <w:spacing w:line="240" w:lineRule="auto"/>
              <w:ind w:right="113"/>
              <w:jc w:val="right"/>
              <w:rPr>
                <w:sz w:val="18"/>
                <w:szCs w:val="18"/>
                <w:lang w:val="en-US"/>
              </w:rPr>
            </w:pPr>
            <w:r>
              <w:rPr>
                <w:sz w:val="18"/>
                <w:szCs w:val="18"/>
                <w:lang w:val="en-US"/>
              </w:rPr>
              <w:t>14 749</w:t>
            </w:r>
          </w:p>
        </w:tc>
        <w:tc>
          <w:tcPr>
            <w:tcW w:w="1212" w:type="dxa"/>
            <w:vAlign w:val="bottom"/>
            <w:hideMark/>
          </w:tcPr>
          <w:p w14:paraId="3A815520" w14:textId="77777777" w:rsidR="00CC0A78" w:rsidRDefault="00CC0A78">
            <w:pPr>
              <w:spacing w:line="240" w:lineRule="auto"/>
              <w:ind w:right="113"/>
              <w:jc w:val="right"/>
              <w:rPr>
                <w:sz w:val="18"/>
                <w:szCs w:val="18"/>
                <w:lang w:val="en-US"/>
              </w:rPr>
            </w:pPr>
            <w:r>
              <w:rPr>
                <w:sz w:val="18"/>
                <w:szCs w:val="18"/>
                <w:lang w:val="en-US"/>
              </w:rPr>
              <w:t>14 749</w:t>
            </w:r>
          </w:p>
        </w:tc>
        <w:tc>
          <w:tcPr>
            <w:tcW w:w="1212" w:type="dxa"/>
            <w:vAlign w:val="bottom"/>
            <w:hideMark/>
          </w:tcPr>
          <w:p w14:paraId="0EAB92AE" w14:textId="77777777" w:rsidR="00CC0A78" w:rsidRDefault="00CC0A78">
            <w:pPr>
              <w:spacing w:line="240" w:lineRule="auto"/>
              <w:ind w:right="113"/>
              <w:jc w:val="right"/>
              <w:rPr>
                <w:sz w:val="18"/>
                <w:szCs w:val="18"/>
                <w:lang w:val="en-US"/>
              </w:rPr>
            </w:pPr>
            <w:r>
              <w:rPr>
                <w:sz w:val="18"/>
                <w:szCs w:val="18"/>
                <w:lang w:val="en-US"/>
              </w:rPr>
              <w:t>5 177</w:t>
            </w:r>
          </w:p>
        </w:tc>
        <w:tc>
          <w:tcPr>
            <w:tcW w:w="1213" w:type="dxa"/>
            <w:vAlign w:val="bottom"/>
            <w:hideMark/>
          </w:tcPr>
          <w:p w14:paraId="6726DFD2" w14:textId="77777777" w:rsidR="00CC0A78" w:rsidRDefault="00CC0A78">
            <w:pPr>
              <w:spacing w:line="240" w:lineRule="auto"/>
              <w:ind w:right="113"/>
              <w:jc w:val="right"/>
              <w:rPr>
                <w:sz w:val="18"/>
                <w:szCs w:val="18"/>
                <w:lang w:val="en-US"/>
              </w:rPr>
            </w:pPr>
            <w:r>
              <w:rPr>
                <w:sz w:val="18"/>
                <w:szCs w:val="18"/>
                <w:lang w:val="en-US"/>
              </w:rPr>
              <w:t>5 177</w:t>
            </w:r>
          </w:p>
        </w:tc>
      </w:tr>
      <w:tr w:rsidR="00CC0A78" w14:paraId="2405D646" w14:textId="77777777" w:rsidTr="005B6AC8">
        <w:trPr>
          <w:trHeight w:val="227"/>
        </w:trPr>
        <w:tc>
          <w:tcPr>
            <w:tcW w:w="2468" w:type="dxa"/>
            <w:tcBorders>
              <w:bottom w:val="single" w:sz="4" w:space="0" w:color="auto"/>
            </w:tcBorders>
            <w:vAlign w:val="bottom"/>
            <w:hideMark/>
          </w:tcPr>
          <w:p w14:paraId="223FE4FA" w14:textId="77777777" w:rsidR="00CC0A78" w:rsidRDefault="00CC0A78">
            <w:pPr>
              <w:spacing w:line="240" w:lineRule="auto"/>
              <w:ind w:right="113"/>
              <w:rPr>
                <w:color w:val="000000"/>
                <w:sz w:val="18"/>
                <w:szCs w:val="18"/>
                <w:lang w:val="en-US"/>
              </w:rPr>
            </w:pPr>
            <w:r>
              <w:rPr>
                <w:color w:val="000000"/>
                <w:sz w:val="18"/>
                <w:szCs w:val="18"/>
                <w:lang w:val="en-US"/>
              </w:rPr>
              <w:t>United Kingdom of Great Britain and Northern Ireland</w:t>
            </w:r>
          </w:p>
        </w:tc>
        <w:tc>
          <w:tcPr>
            <w:tcW w:w="1188" w:type="dxa"/>
            <w:tcBorders>
              <w:bottom w:val="single" w:sz="4" w:space="0" w:color="auto"/>
            </w:tcBorders>
            <w:vAlign w:val="bottom"/>
            <w:hideMark/>
          </w:tcPr>
          <w:p w14:paraId="08401800" w14:textId="77777777" w:rsidR="00CC0A78" w:rsidRDefault="00CC0A78">
            <w:pPr>
              <w:spacing w:line="240" w:lineRule="auto"/>
              <w:ind w:right="113"/>
              <w:jc w:val="right"/>
              <w:rPr>
                <w:color w:val="000000"/>
                <w:sz w:val="18"/>
                <w:szCs w:val="18"/>
                <w:lang w:val="en-US"/>
              </w:rPr>
            </w:pPr>
            <w:r>
              <w:rPr>
                <w:sz w:val="18"/>
                <w:szCs w:val="18"/>
                <w:lang w:val="en-US"/>
              </w:rPr>
              <w:t>11.888</w:t>
            </w:r>
          </w:p>
        </w:tc>
        <w:tc>
          <w:tcPr>
            <w:tcW w:w="1212" w:type="dxa"/>
            <w:tcBorders>
              <w:bottom w:val="single" w:sz="4" w:space="0" w:color="auto"/>
            </w:tcBorders>
            <w:vAlign w:val="bottom"/>
            <w:hideMark/>
          </w:tcPr>
          <w:p w14:paraId="1DE56EED" w14:textId="77777777" w:rsidR="00CC0A78" w:rsidRDefault="00CC0A78">
            <w:pPr>
              <w:spacing w:line="240" w:lineRule="auto"/>
              <w:ind w:right="113"/>
              <w:jc w:val="right"/>
              <w:rPr>
                <w:sz w:val="18"/>
                <w:szCs w:val="18"/>
                <w:lang w:val="en-US"/>
              </w:rPr>
            </w:pPr>
            <w:r>
              <w:rPr>
                <w:sz w:val="18"/>
                <w:szCs w:val="18"/>
                <w:lang w:val="en-US"/>
              </w:rPr>
              <w:t>235 221</w:t>
            </w:r>
          </w:p>
        </w:tc>
        <w:tc>
          <w:tcPr>
            <w:tcW w:w="1212" w:type="dxa"/>
            <w:tcBorders>
              <w:bottom w:val="single" w:sz="4" w:space="0" w:color="auto"/>
            </w:tcBorders>
            <w:vAlign w:val="bottom"/>
            <w:hideMark/>
          </w:tcPr>
          <w:p w14:paraId="05DD330C" w14:textId="77777777" w:rsidR="00CC0A78" w:rsidRDefault="00CC0A78">
            <w:pPr>
              <w:spacing w:line="240" w:lineRule="auto"/>
              <w:ind w:right="113"/>
              <w:jc w:val="right"/>
              <w:rPr>
                <w:sz w:val="18"/>
                <w:szCs w:val="18"/>
                <w:lang w:val="en-US"/>
              </w:rPr>
            </w:pPr>
            <w:r>
              <w:rPr>
                <w:sz w:val="18"/>
                <w:szCs w:val="18"/>
                <w:lang w:val="en-US"/>
              </w:rPr>
              <w:t>235 221</w:t>
            </w:r>
          </w:p>
        </w:tc>
        <w:tc>
          <w:tcPr>
            <w:tcW w:w="1212" w:type="dxa"/>
            <w:tcBorders>
              <w:bottom w:val="single" w:sz="4" w:space="0" w:color="auto"/>
            </w:tcBorders>
            <w:vAlign w:val="bottom"/>
            <w:hideMark/>
          </w:tcPr>
          <w:p w14:paraId="11FC08A3" w14:textId="77777777" w:rsidR="00CC0A78" w:rsidRDefault="00CC0A78">
            <w:pPr>
              <w:spacing w:line="240" w:lineRule="auto"/>
              <w:ind w:right="113"/>
              <w:jc w:val="right"/>
              <w:rPr>
                <w:color w:val="000000"/>
                <w:sz w:val="18"/>
                <w:szCs w:val="18"/>
                <w:lang w:val="en-US"/>
              </w:rPr>
            </w:pPr>
            <w:r>
              <w:rPr>
                <w:sz w:val="18"/>
                <w:szCs w:val="18"/>
                <w:lang w:val="en-US"/>
              </w:rPr>
              <w:t>82 556</w:t>
            </w:r>
          </w:p>
        </w:tc>
        <w:tc>
          <w:tcPr>
            <w:tcW w:w="1213" w:type="dxa"/>
            <w:tcBorders>
              <w:bottom w:val="single" w:sz="4" w:space="0" w:color="auto"/>
            </w:tcBorders>
            <w:vAlign w:val="bottom"/>
            <w:hideMark/>
          </w:tcPr>
          <w:p w14:paraId="0CE40E50" w14:textId="77777777" w:rsidR="00CC0A78" w:rsidRDefault="00CC0A78">
            <w:pPr>
              <w:spacing w:line="240" w:lineRule="auto"/>
              <w:ind w:right="113"/>
              <w:jc w:val="right"/>
              <w:rPr>
                <w:color w:val="000000"/>
                <w:sz w:val="18"/>
                <w:szCs w:val="18"/>
                <w:lang w:val="en-US"/>
              </w:rPr>
            </w:pPr>
            <w:r>
              <w:rPr>
                <w:sz w:val="18"/>
                <w:szCs w:val="18"/>
                <w:lang w:val="en-US"/>
              </w:rPr>
              <w:t>82 556</w:t>
            </w:r>
          </w:p>
        </w:tc>
      </w:tr>
      <w:tr w:rsidR="00CC0A78" w14:paraId="0889E695" w14:textId="77777777" w:rsidTr="005B6AC8">
        <w:trPr>
          <w:trHeight w:val="227"/>
        </w:trPr>
        <w:tc>
          <w:tcPr>
            <w:tcW w:w="2468" w:type="dxa"/>
            <w:tcBorders>
              <w:top w:val="single" w:sz="4" w:space="0" w:color="auto"/>
              <w:left w:val="nil"/>
              <w:bottom w:val="single" w:sz="4" w:space="0" w:color="auto"/>
              <w:right w:val="nil"/>
            </w:tcBorders>
            <w:vAlign w:val="bottom"/>
            <w:hideMark/>
          </w:tcPr>
          <w:p w14:paraId="0EFA12A6" w14:textId="77777777" w:rsidR="00CC0A78" w:rsidRDefault="00CC0A78">
            <w:pPr>
              <w:keepNext/>
              <w:keepLines/>
              <w:widowControl w:val="0"/>
              <w:tabs>
                <w:tab w:val="left" w:pos="265"/>
              </w:tabs>
              <w:spacing w:line="240" w:lineRule="auto"/>
              <w:ind w:left="265"/>
              <w:rPr>
                <w:color w:val="000000"/>
                <w:sz w:val="18"/>
                <w:szCs w:val="18"/>
                <w:lang w:val="en-US"/>
              </w:rPr>
            </w:pPr>
            <w:r>
              <w:rPr>
                <w:b/>
                <w:color w:val="000000"/>
                <w:sz w:val="18"/>
                <w:szCs w:val="18"/>
                <w:lang w:val="en-US"/>
              </w:rPr>
              <w:t>Fees</w:t>
            </w:r>
          </w:p>
        </w:tc>
        <w:tc>
          <w:tcPr>
            <w:tcW w:w="1188" w:type="dxa"/>
            <w:tcBorders>
              <w:top w:val="single" w:sz="4" w:space="0" w:color="auto"/>
              <w:left w:val="nil"/>
              <w:bottom w:val="single" w:sz="4" w:space="0" w:color="auto"/>
              <w:right w:val="nil"/>
            </w:tcBorders>
            <w:vAlign w:val="bottom"/>
            <w:hideMark/>
          </w:tcPr>
          <w:p w14:paraId="2AAA2E44" w14:textId="77777777" w:rsidR="00CC0A78" w:rsidRDefault="00CC0A78">
            <w:pPr>
              <w:spacing w:line="240" w:lineRule="auto"/>
              <w:ind w:right="113"/>
              <w:jc w:val="right"/>
              <w:rPr>
                <w:sz w:val="18"/>
                <w:szCs w:val="18"/>
                <w:lang w:val="en-US"/>
              </w:rPr>
            </w:pPr>
            <w:r>
              <w:rPr>
                <w:sz w:val="18"/>
                <w:szCs w:val="18"/>
                <w:lang w:val="en-US"/>
              </w:rPr>
              <w:t>–</w:t>
            </w:r>
          </w:p>
        </w:tc>
        <w:tc>
          <w:tcPr>
            <w:tcW w:w="1212" w:type="dxa"/>
            <w:tcBorders>
              <w:top w:val="single" w:sz="4" w:space="0" w:color="auto"/>
              <w:left w:val="nil"/>
              <w:bottom w:val="single" w:sz="4" w:space="0" w:color="auto"/>
              <w:right w:val="nil"/>
            </w:tcBorders>
            <w:vAlign w:val="bottom"/>
            <w:hideMark/>
          </w:tcPr>
          <w:p w14:paraId="5DBDB6E0" w14:textId="77777777" w:rsidR="00CC0A78" w:rsidRDefault="00CC0A78">
            <w:pPr>
              <w:spacing w:line="240" w:lineRule="auto"/>
              <w:ind w:right="113"/>
              <w:jc w:val="right"/>
              <w:rPr>
                <w:b/>
                <w:color w:val="000000"/>
                <w:sz w:val="18"/>
                <w:szCs w:val="18"/>
                <w:lang w:val="en-US"/>
              </w:rPr>
            </w:pPr>
            <w:r>
              <w:rPr>
                <w:b/>
                <w:sz w:val="18"/>
                <w:szCs w:val="18"/>
                <w:lang w:val="en-US"/>
              </w:rPr>
              <w:t>1 925 974</w:t>
            </w:r>
          </w:p>
        </w:tc>
        <w:tc>
          <w:tcPr>
            <w:tcW w:w="1212" w:type="dxa"/>
            <w:tcBorders>
              <w:top w:val="single" w:sz="4" w:space="0" w:color="auto"/>
              <w:left w:val="nil"/>
              <w:bottom w:val="single" w:sz="4" w:space="0" w:color="auto"/>
              <w:right w:val="nil"/>
            </w:tcBorders>
            <w:vAlign w:val="bottom"/>
            <w:hideMark/>
          </w:tcPr>
          <w:p w14:paraId="521D96DA" w14:textId="77777777" w:rsidR="00CC0A78" w:rsidRDefault="00CC0A78">
            <w:pPr>
              <w:spacing w:line="240" w:lineRule="auto"/>
              <w:ind w:right="113"/>
              <w:jc w:val="right"/>
              <w:rPr>
                <w:b/>
                <w:color w:val="000000"/>
                <w:sz w:val="18"/>
                <w:szCs w:val="18"/>
                <w:lang w:val="en-US"/>
              </w:rPr>
            </w:pPr>
            <w:r>
              <w:rPr>
                <w:b/>
                <w:sz w:val="18"/>
                <w:szCs w:val="18"/>
                <w:lang w:val="en-US"/>
              </w:rPr>
              <w:t>1 925 974</w:t>
            </w:r>
          </w:p>
        </w:tc>
        <w:tc>
          <w:tcPr>
            <w:tcW w:w="1212" w:type="dxa"/>
            <w:tcBorders>
              <w:top w:val="single" w:sz="4" w:space="0" w:color="auto"/>
              <w:left w:val="nil"/>
              <w:bottom w:val="single" w:sz="4" w:space="0" w:color="auto"/>
              <w:right w:val="nil"/>
            </w:tcBorders>
            <w:vAlign w:val="bottom"/>
            <w:hideMark/>
          </w:tcPr>
          <w:p w14:paraId="5430FD1D" w14:textId="77777777" w:rsidR="00CC0A78" w:rsidRDefault="00CC0A78">
            <w:pPr>
              <w:spacing w:line="240" w:lineRule="auto"/>
              <w:ind w:right="113"/>
              <w:jc w:val="right"/>
              <w:rPr>
                <w:b/>
                <w:sz w:val="18"/>
                <w:szCs w:val="18"/>
                <w:lang w:val="en-US"/>
              </w:rPr>
            </w:pPr>
            <w:r>
              <w:rPr>
                <w:b/>
                <w:sz w:val="18"/>
                <w:szCs w:val="18"/>
                <w:lang w:val="en-US"/>
              </w:rPr>
              <w:t>675 974</w:t>
            </w:r>
          </w:p>
        </w:tc>
        <w:tc>
          <w:tcPr>
            <w:tcW w:w="1213" w:type="dxa"/>
            <w:tcBorders>
              <w:top w:val="single" w:sz="4" w:space="0" w:color="auto"/>
              <w:left w:val="nil"/>
              <w:bottom w:val="single" w:sz="4" w:space="0" w:color="auto"/>
              <w:right w:val="nil"/>
            </w:tcBorders>
            <w:vAlign w:val="bottom"/>
            <w:hideMark/>
          </w:tcPr>
          <w:p w14:paraId="766B2C28" w14:textId="77777777" w:rsidR="00CC0A78" w:rsidRDefault="00CC0A78">
            <w:pPr>
              <w:spacing w:line="240" w:lineRule="auto"/>
              <w:ind w:right="113"/>
              <w:jc w:val="right"/>
              <w:rPr>
                <w:b/>
                <w:sz w:val="18"/>
                <w:szCs w:val="18"/>
                <w:lang w:val="en-US"/>
              </w:rPr>
            </w:pPr>
            <w:r>
              <w:rPr>
                <w:b/>
                <w:sz w:val="18"/>
                <w:szCs w:val="18"/>
                <w:lang w:val="en-US"/>
              </w:rPr>
              <w:t>675 974</w:t>
            </w:r>
          </w:p>
        </w:tc>
      </w:tr>
      <w:tr w:rsidR="00CC0A78" w14:paraId="3252A5D3" w14:textId="77777777" w:rsidTr="00CC0A78">
        <w:trPr>
          <w:trHeight w:val="227"/>
        </w:trPr>
        <w:tc>
          <w:tcPr>
            <w:tcW w:w="2468" w:type="dxa"/>
            <w:tcBorders>
              <w:top w:val="single" w:sz="4" w:space="0" w:color="auto"/>
              <w:left w:val="nil"/>
              <w:bottom w:val="single" w:sz="4" w:space="0" w:color="auto"/>
              <w:right w:val="nil"/>
            </w:tcBorders>
            <w:vAlign w:val="bottom"/>
            <w:hideMark/>
          </w:tcPr>
          <w:p w14:paraId="2D5F92E9" w14:textId="77777777" w:rsidR="00CC0A78" w:rsidRDefault="00CC0A78">
            <w:pPr>
              <w:keepNext/>
              <w:keepLines/>
              <w:widowControl w:val="0"/>
              <w:tabs>
                <w:tab w:val="left" w:pos="265"/>
              </w:tabs>
              <w:spacing w:line="240" w:lineRule="auto"/>
              <w:ind w:left="265"/>
              <w:rPr>
                <w:b/>
                <w:color w:val="000000"/>
                <w:sz w:val="18"/>
                <w:szCs w:val="18"/>
                <w:lang w:val="en-US"/>
              </w:rPr>
            </w:pPr>
            <w:r>
              <w:rPr>
                <w:b/>
                <w:bCs/>
                <w:sz w:val="18"/>
                <w:szCs w:val="18"/>
                <w:lang w:val="en-US" w:eastAsia="en-US"/>
              </w:rPr>
              <w:t>Credit from unspent balances from previous financial periods</w:t>
            </w:r>
          </w:p>
        </w:tc>
        <w:tc>
          <w:tcPr>
            <w:tcW w:w="1188" w:type="dxa"/>
            <w:tcBorders>
              <w:top w:val="single" w:sz="4" w:space="0" w:color="auto"/>
              <w:left w:val="nil"/>
              <w:bottom w:val="single" w:sz="4" w:space="0" w:color="auto"/>
              <w:right w:val="nil"/>
            </w:tcBorders>
            <w:vAlign w:val="bottom"/>
            <w:hideMark/>
          </w:tcPr>
          <w:p w14:paraId="4693B1A3" w14:textId="77777777" w:rsidR="00CC0A78" w:rsidRDefault="00CC0A78">
            <w:pPr>
              <w:spacing w:line="240" w:lineRule="auto"/>
              <w:ind w:right="113"/>
              <w:jc w:val="right"/>
              <w:rPr>
                <w:sz w:val="18"/>
                <w:szCs w:val="18"/>
                <w:lang w:val="en-US"/>
              </w:rPr>
            </w:pPr>
            <w:r>
              <w:rPr>
                <w:sz w:val="18"/>
                <w:szCs w:val="18"/>
                <w:lang w:val="en-US"/>
              </w:rPr>
              <w:t>–</w:t>
            </w:r>
          </w:p>
        </w:tc>
        <w:tc>
          <w:tcPr>
            <w:tcW w:w="1212" w:type="dxa"/>
            <w:tcBorders>
              <w:top w:val="single" w:sz="4" w:space="0" w:color="auto"/>
              <w:left w:val="nil"/>
              <w:bottom w:val="single" w:sz="4" w:space="0" w:color="auto"/>
              <w:right w:val="nil"/>
            </w:tcBorders>
            <w:vAlign w:val="bottom"/>
            <w:hideMark/>
          </w:tcPr>
          <w:p w14:paraId="2B128E83" w14:textId="77777777" w:rsidR="00CC0A78" w:rsidRDefault="00CC0A78">
            <w:pPr>
              <w:spacing w:line="240" w:lineRule="auto"/>
              <w:ind w:right="113"/>
              <w:jc w:val="right"/>
              <w:rPr>
                <w:b/>
                <w:sz w:val="18"/>
                <w:szCs w:val="18"/>
                <w:lang w:val="en-US"/>
              </w:rPr>
            </w:pPr>
            <w:r>
              <w:rPr>
                <w:b/>
                <w:sz w:val="18"/>
                <w:szCs w:val="18"/>
                <w:lang w:val="en-US"/>
              </w:rPr>
              <w:t>–</w:t>
            </w:r>
          </w:p>
        </w:tc>
        <w:tc>
          <w:tcPr>
            <w:tcW w:w="1212" w:type="dxa"/>
            <w:tcBorders>
              <w:top w:val="single" w:sz="4" w:space="0" w:color="auto"/>
              <w:left w:val="nil"/>
              <w:bottom w:val="single" w:sz="4" w:space="0" w:color="auto"/>
              <w:right w:val="nil"/>
            </w:tcBorders>
            <w:vAlign w:val="bottom"/>
            <w:hideMark/>
          </w:tcPr>
          <w:p w14:paraId="01F1F855" w14:textId="77777777" w:rsidR="00CC0A78" w:rsidRDefault="00CC0A78">
            <w:pPr>
              <w:spacing w:line="240" w:lineRule="auto"/>
              <w:ind w:right="113"/>
              <w:jc w:val="right"/>
              <w:rPr>
                <w:b/>
                <w:sz w:val="18"/>
                <w:szCs w:val="18"/>
                <w:lang w:val="en-US"/>
              </w:rPr>
            </w:pPr>
            <w:r>
              <w:rPr>
                <w:b/>
                <w:sz w:val="18"/>
                <w:szCs w:val="18"/>
                <w:lang w:val="en-US"/>
              </w:rPr>
              <w:t>–</w:t>
            </w:r>
          </w:p>
        </w:tc>
        <w:tc>
          <w:tcPr>
            <w:tcW w:w="1212" w:type="dxa"/>
            <w:tcBorders>
              <w:top w:val="single" w:sz="4" w:space="0" w:color="auto"/>
              <w:left w:val="nil"/>
              <w:bottom w:val="single" w:sz="4" w:space="0" w:color="auto"/>
              <w:right w:val="nil"/>
            </w:tcBorders>
            <w:vAlign w:val="bottom"/>
            <w:hideMark/>
          </w:tcPr>
          <w:p w14:paraId="3AD085F5" w14:textId="77777777" w:rsidR="00CC0A78" w:rsidRDefault="00CC0A78">
            <w:pPr>
              <w:spacing w:line="240" w:lineRule="auto"/>
              <w:ind w:right="113"/>
              <w:jc w:val="right"/>
              <w:rPr>
                <w:b/>
                <w:sz w:val="18"/>
                <w:szCs w:val="18"/>
                <w:lang w:val="en-US"/>
              </w:rPr>
            </w:pPr>
            <w:r>
              <w:rPr>
                <w:b/>
                <w:sz w:val="18"/>
                <w:szCs w:val="18"/>
                <w:lang w:val="en-US"/>
              </w:rPr>
              <w:t>1 250 000</w:t>
            </w:r>
          </w:p>
        </w:tc>
        <w:tc>
          <w:tcPr>
            <w:tcW w:w="1213" w:type="dxa"/>
            <w:tcBorders>
              <w:top w:val="single" w:sz="4" w:space="0" w:color="auto"/>
              <w:left w:val="nil"/>
              <w:bottom w:val="single" w:sz="4" w:space="0" w:color="auto"/>
              <w:right w:val="nil"/>
            </w:tcBorders>
            <w:vAlign w:val="bottom"/>
            <w:hideMark/>
          </w:tcPr>
          <w:p w14:paraId="6CAFE0DE" w14:textId="77777777" w:rsidR="00CC0A78" w:rsidRDefault="00CC0A78">
            <w:pPr>
              <w:spacing w:line="240" w:lineRule="auto"/>
              <w:ind w:right="113"/>
              <w:jc w:val="right"/>
              <w:rPr>
                <w:b/>
                <w:sz w:val="18"/>
                <w:szCs w:val="18"/>
                <w:lang w:val="en-US"/>
              </w:rPr>
            </w:pPr>
            <w:r>
              <w:rPr>
                <w:b/>
                <w:sz w:val="18"/>
                <w:szCs w:val="18"/>
                <w:lang w:val="en-US"/>
              </w:rPr>
              <w:t>1 250 000</w:t>
            </w:r>
          </w:p>
        </w:tc>
      </w:tr>
      <w:tr w:rsidR="00CC0A78" w14:paraId="2262C14B" w14:textId="77777777" w:rsidTr="00CC0A78">
        <w:trPr>
          <w:trHeight w:val="227"/>
        </w:trPr>
        <w:tc>
          <w:tcPr>
            <w:tcW w:w="2468" w:type="dxa"/>
            <w:tcBorders>
              <w:top w:val="single" w:sz="4" w:space="0" w:color="auto"/>
              <w:left w:val="nil"/>
              <w:bottom w:val="single" w:sz="12" w:space="0" w:color="auto"/>
              <w:right w:val="nil"/>
            </w:tcBorders>
            <w:vAlign w:val="bottom"/>
            <w:hideMark/>
          </w:tcPr>
          <w:p w14:paraId="27B06F30" w14:textId="77777777" w:rsidR="00CC0A78" w:rsidRDefault="00CC0A78">
            <w:pPr>
              <w:keepNext/>
              <w:keepLines/>
              <w:widowControl w:val="0"/>
              <w:tabs>
                <w:tab w:val="left" w:pos="265"/>
              </w:tabs>
              <w:spacing w:line="240" w:lineRule="auto"/>
              <w:ind w:left="265"/>
              <w:rPr>
                <w:b/>
                <w:bCs/>
                <w:sz w:val="18"/>
                <w:szCs w:val="18"/>
                <w:lang w:val="en-US" w:eastAsia="en-US"/>
              </w:rPr>
            </w:pPr>
            <w:r>
              <w:rPr>
                <w:b/>
                <w:bCs/>
                <w:sz w:val="18"/>
                <w:szCs w:val="18"/>
                <w:lang w:val="en-US" w:eastAsia="en-US"/>
              </w:rPr>
              <w:t>Total</w:t>
            </w:r>
          </w:p>
        </w:tc>
        <w:tc>
          <w:tcPr>
            <w:tcW w:w="1188" w:type="dxa"/>
            <w:tcBorders>
              <w:top w:val="single" w:sz="4" w:space="0" w:color="auto"/>
              <w:left w:val="nil"/>
              <w:bottom w:val="single" w:sz="12" w:space="0" w:color="auto"/>
              <w:right w:val="nil"/>
            </w:tcBorders>
            <w:vAlign w:val="bottom"/>
            <w:hideMark/>
          </w:tcPr>
          <w:p w14:paraId="36A64E9E" w14:textId="77777777" w:rsidR="00CC0A78" w:rsidRDefault="00CC0A78">
            <w:pPr>
              <w:spacing w:line="240" w:lineRule="auto"/>
              <w:ind w:right="113"/>
              <w:jc w:val="right"/>
              <w:rPr>
                <w:sz w:val="18"/>
                <w:szCs w:val="18"/>
                <w:lang w:val="en-US"/>
              </w:rPr>
            </w:pPr>
            <w:r>
              <w:rPr>
                <w:sz w:val="18"/>
                <w:szCs w:val="18"/>
                <w:lang w:val="en-US"/>
              </w:rPr>
              <w:t>–</w:t>
            </w:r>
          </w:p>
        </w:tc>
        <w:tc>
          <w:tcPr>
            <w:tcW w:w="1212" w:type="dxa"/>
            <w:tcBorders>
              <w:top w:val="single" w:sz="4" w:space="0" w:color="auto"/>
              <w:left w:val="nil"/>
              <w:bottom w:val="single" w:sz="12" w:space="0" w:color="auto"/>
              <w:right w:val="nil"/>
            </w:tcBorders>
            <w:vAlign w:val="bottom"/>
            <w:hideMark/>
          </w:tcPr>
          <w:p w14:paraId="2522D67F" w14:textId="77777777" w:rsidR="00CC0A78" w:rsidRDefault="00CC0A78">
            <w:pPr>
              <w:spacing w:line="240" w:lineRule="auto"/>
              <w:ind w:right="113"/>
              <w:jc w:val="right"/>
              <w:rPr>
                <w:b/>
                <w:sz w:val="18"/>
                <w:szCs w:val="18"/>
                <w:lang w:val="en-US"/>
              </w:rPr>
            </w:pPr>
            <w:r>
              <w:rPr>
                <w:b/>
                <w:sz w:val="18"/>
                <w:szCs w:val="18"/>
                <w:lang w:val="en-US"/>
              </w:rPr>
              <w:t>1 925 974</w:t>
            </w:r>
          </w:p>
        </w:tc>
        <w:tc>
          <w:tcPr>
            <w:tcW w:w="1212" w:type="dxa"/>
            <w:tcBorders>
              <w:top w:val="single" w:sz="4" w:space="0" w:color="auto"/>
              <w:left w:val="nil"/>
              <w:bottom w:val="single" w:sz="12" w:space="0" w:color="auto"/>
              <w:right w:val="nil"/>
            </w:tcBorders>
            <w:vAlign w:val="bottom"/>
            <w:hideMark/>
          </w:tcPr>
          <w:p w14:paraId="448B8A79" w14:textId="77777777" w:rsidR="00CC0A78" w:rsidRDefault="00CC0A78">
            <w:pPr>
              <w:spacing w:line="240" w:lineRule="auto"/>
              <w:ind w:right="113"/>
              <w:jc w:val="right"/>
              <w:rPr>
                <w:b/>
                <w:sz w:val="18"/>
                <w:szCs w:val="18"/>
                <w:lang w:val="en-US"/>
              </w:rPr>
            </w:pPr>
            <w:r>
              <w:rPr>
                <w:b/>
                <w:sz w:val="18"/>
                <w:szCs w:val="18"/>
                <w:lang w:val="en-US"/>
              </w:rPr>
              <w:t>1 925 974</w:t>
            </w:r>
          </w:p>
        </w:tc>
        <w:tc>
          <w:tcPr>
            <w:tcW w:w="1212" w:type="dxa"/>
            <w:tcBorders>
              <w:top w:val="single" w:sz="4" w:space="0" w:color="auto"/>
              <w:left w:val="nil"/>
              <w:bottom w:val="single" w:sz="12" w:space="0" w:color="auto"/>
              <w:right w:val="nil"/>
            </w:tcBorders>
            <w:vAlign w:val="bottom"/>
            <w:hideMark/>
          </w:tcPr>
          <w:p w14:paraId="384C109C" w14:textId="77777777" w:rsidR="00CC0A78" w:rsidRDefault="00CC0A78">
            <w:pPr>
              <w:spacing w:line="240" w:lineRule="auto"/>
              <w:ind w:right="113"/>
              <w:jc w:val="right"/>
              <w:rPr>
                <w:b/>
                <w:sz w:val="18"/>
                <w:szCs w:val="18"/>
                <w:lang w:val="en-US"/>
              </w:rPr>
            </w:pPr>
            <w:r>
              <w:rPr>
                <w:b/>
                <w:sz w:val="18"/>
                <w:szCs w:val="18"/>
                <w:lang w:val="en-US"/>
              </w:rPr>
              <w:t>1 925 974</w:t>
            </w:r>
          </w:p>
        </w:tc>
        <w:tc>
          <w:tcPr>
            <w:tcW w:w="1213" w:type="dxa"/>
            <w:tcBorders>
              <w:top w:val="single" w:sz="4" w:space="0" w:color="auto"/>
              <w:left w:val="nil"/>
              <w:bottom w:val="single" w:sz="12" w:space="0" w:color="auto"/>
              <w:right w:val="nil"/>
            </w:tcBorders>
            <w:vAlign w:val="bottom"/>
            <w:hideMark/>
          </w:tcPr>
          <w:p w14:paraId="5926038B" w14:textId="77777777" w:rsidR="00CC0A78" w:rsidRDefault="00CC0A78">
            <w:pPr>
              <w:spacing w:line="240" w:lineRule="auto"/>
              <w:ind w:right="113"/>
              <w:jc w:val="right"/>
              <w:rPr>
                <w:b/>
                <w:sz w:val="18"/>
                <w:szCs w:val="18"/>
                <w:lang w:val="en-US"/>
              </w:rPr>
            </w:pPr>
            <w:r>
              <w:rPr>
                <w:b/>
                <w:sz w:val="18"/>
                <w:szCs w:val="18"/>
                <w:lang w:val="en-US"/>
              </w:rPr>
              <w:t>1 925 974</w:t>
            </w:r>
          </w:p>
        </w:tc>
      </w:tr>
    </w:tbl>
    <w:p w14:paraId="419E0CE6" w14:textId="0801C392" w:rsidR="00CC0A78" w:rsidRDefault="00D23317" w:rsidP="00D23317">
      <w:pPr>
        <w:pStyle w:val="FootnoteTable"/>
        <w:spacing w:after="180" w:line="200" w:lineRule="exact"/>
        <w:ind w:left="1134" w:firstLine="170"/>
        <w:contextualSpacing w:val="0"/>
        <w:jc w:val="left"/>
      </w:pPr>
      <w:r>
        <w:rPr>
          <w:i/>
          <w:vertAlign w:val="superscript"/>
        </w:rPr>
        <w:t xml:space="preserve">a   </w:t>
      </w:r>
      <w:r w:rsidR="00CC0A78">
        <w:t>Currently not connected to the international transaction log; will be subject to the international transaction log fees in the case of connection or reconnection to it, in accordance with paras. 11 and 13 of this decision.</w:t>
      </w:r>
    </w:p>
    <w:p w14:paraId="0EE4D61B" w14:textId="1E8E03A3" w:rsidR="00962645" w:rsidRPr="00F002B9" w:rsidRDefault="00CC0A78" w:rsidP="00B719E1">
      <w:pPr>
        <w:pStyle w:val="ListParagraph"/>
        <w:spacing w:before="120"/>
        <w:ind w:left="1135" w:right="-1"/>
        <w:jc w:val="right"/>
        <w:rPr>
          <w:i/>
        </w:rPr>
        <w:sectPr w:rsidR="00962645" w:rsidRPr="00F002B9" w:rsidSect="001B0963">
          <w:headerReference w:type="default" r:id="rId74"/>
          <w:footerReference w:type="default" r:id="rId75"/>
          <w:footerReference w:type="first" r:id="rId76"/>
          <w:footnotePr>
            <w:numRestart w:val="eachSect"/>
          </w:footnotePr>
          <w:pgSz w:w="11906" w:h="16838" w:code="9"/>
          <w:pgMar w:top="1417" w:right="1134" w:bottom="1134" w:left="1134" w:header="850" w:footer="567" w:gutter="0"/>
          <w:cols w:space="708"/>
          <w:docGrid w:linePitch="360"/>
        </w:sectPr>
      </w:pPr>
      <w:r w:rsidRPr="00962645">
        <w:tab/>
      </w:r>
      <w:bookmarkStart w:id="77" w:name="_Hlk88581769"/>
      <w:r w:rsidR="000948F2" w:rsidRPr="000948F2">
        <w:rPr>
          <w:i/>
        </w:rPr>
        <w:t>9</w:t>
      </w:r>
      <w:r w:rsidR="000948F2" w:rsidRPr="000948F2">
        <w:rPr>
          <w:i/>
          <w:vertAlign w:val="superscript"/>
        </w:rPr>
        <w:t>th</w:t>
      </w:r>
      <w:r w:rsidR="000948F2" w:rsidRPr="000948F2">
        <w:rPr>
          <w:i/>
        </w:rPr>
        <w:t xml:space="preserve"> </w:t>
      </w:r>
      <w:r w:rsidR="00962645" w:rsidRPr="00962645">
        <w:rPr>
          <w:i/>
        </w:rPr>
        <w:t>plenary meeting</w:t>
      </w:r>
      <w:r w:rsidR="00962645" w:rsidRPr="00F002B9">
        <w:rPr>
          <w:i/>
        </w:rPr>
        <w:br/>
      </w:r>
      <w:r w:rsidR="000948F2">
        <w:rPr>
          <w:i/>
        </w:rPr>
        <w:t>11</w:t>
      </w:r>
      <w:r w:rsidR="00962645" w:rsidRPr="00F002B9">
        <w:rPr>
          <w:i/>
        </w:rPr>
        <w:t xml:space="preserve"> November 2021</w:t>
      </w:r>
      <w:bookmarkEnd w:id="77"/>
    </w:p>
    <w:p w14:paraId="0054C149" w14:textId="722ED04D" w:rsidR="00D34E5D" w:rsidRDefault="00D34E5D" w:rsidP="00D23317">
      <w:pPr>
        <w:pStyle w:val="RegHChG"/>
        <w:numPr>
          <w:ilvl w:val="0"/>
          <w:numId w:val="0"/>
        </w:numPr>
        <w:tabs>
          <w:tab w:val="left" w:pos="720"/>
        </w:tabs>
        <w:ind w:left="1135" w:hanging="454"/>
      </w:pPr>
      <w:bookmarkStart w:id="78" w:name="Decision10"/>
      <w:r>
        <w:t>Decision 10/CMP.16</w:t>
      </w:r>
    </w:p>
    <w:bookmarkEnd w:id="78"/>
    <w:p w14:paraId="4E87AF76" w14:textId="7F485BDF" w:rsidR="00D34E5D" w:rsidRDefault="00D34E5D" w:rsidP="00D23317">
      <w:pPr>
        <w:pStyle w:val="RegHChG"/>
        <w:numPr>
          <w:ilvl w:val="0"/>
          <w:numId w:val="0"/>
        </w:numPr>
        <w:tabs>
          <w:tab w:val="left" w:pos="720"/>
        </w:tabs>
        <w:ind w:left="1135" w:hanging="454"/>
      </w:pPr>
      <w:r>
        <w:t>Administrative, financial and institutional matters</w:t>
      </w:r>
    </w:p>
    <w:p w14:paraId="36A0D070" w14:textId="77777777" w:rsidR="00D34E5D" w:rsidRDefault="00D34E5D" w:rsidP="00D34E5D">
      <w:pPr>
        <w:spacing w:before="120"/>
        <w:ind w:left="1134" w:right="1174" w:firstLine="567"/>
        <w:jc w:val="both"/>
        <w:rPr>
          <w:i/>
        </w:rPr>
      </w:pPr>
      <w:r>
        <w:rPr>
          <w:i/>
        </w:rPr>
        <w:t>The Conference of the Parties serving as the meeting of the Parties to the Kyoto Protocol</w:t>
      </w:r>
      <w:r>
        <w:t>,</w:t>
      </w:r>
    </w:p>
    <w:p w14:paraId="52693C0B" w14:textId="77777777" w:rsidR="00D34E5D" w:rsidRDefault="00D34E5D" w:rsidP="00D34E5D">
      <w:pPr>
        <w:spacing w:before="120"/>
        <w:ind w:left="1134" w:right="1174" w:firstLine="567"/>
        <w:jc w:val="both"/>
      </w:pPr>
      <w:r>
        <w:rPr>
          <w:i/>
        </w:rPr>
        <w:t xml:space="preserve">Recalling </w:t>
      </w:r>
      <w:r>
        <w:t>Article 13, paragraph 5, of the Kyoto Protocol,</w:t>
      </w:r>
    </w:p>
    <w:p w14:paraId="2A31464B" w14:textId="0A4CB025" w:rsidR="00D34E5D" w:rsidRDefault="00D34E5D" w:rsidP="00D34E5D">
      <w:pPr>
        <w:spacing w:before="120"/>
        <w:ind w:left="1134" w:right="1174" w:firstLine="567"/>
        <w:jc w:val="both"/>
      </w:pPr>
      <w:r>
        <w:rPr>
          <w:i/>
        </w:rPr>
        <w:t xml:space="preserve">Also recalling </w:t>
      </w:r>
      <w:r>
        <w:t>the</w:t>
      </w:r>
      <w:r w:rsidR="00BA558C">
        <w:t xml:space="preserve"> UNFCCC</w:t>
      </w:r>
      <w:r>
        <w:t xml:space="preserve"> financial procedures, which apply to the Kyoto Protocol,</w:t>
      </w:r>
      <w:r>
        <w:rPr>
          <w:rStyle w:val="FootnoteReference"/>
        </w:rPr>
        <w:footnoteReference w:id="42"/>
      </w:r>
    </w:p>
    <w:p w14:paraId="3F626BFC" w14:textId="54B323DC" w:rsidR="00D34E5D" w:rsidRDefault="00D34E5D" w:rsidP="00B719E1">
      <w:pPr>
        <w:pStyle w:val="RegSingleTxtG"/>
        <w:numPr>
          <w:ilvl w:val="0"/>
          <w:numId w:val="0"/>
        </w:numPr>
        <w:spacing w:before="120" w:after="0"/>
        <w:ind w:left="1701" w:right="1174"/>
      </w:pPr>
      <w:r>
        <w:rPr>
          <w:i/>
        </w:rPr>
        <w:t>Taking note</w:t>
      </w:r>
      <w:r>
        <w:t xml:space="preserve"> of decision </w:t>
      </w:r>
      <w:r w:rsidR="00774597" w:rsidRPr="00B719E1">
        <w:t>23</w:t>
      </w:r>
      <w:r w:rsidRPr="00B719E1">
        <w:t>/CP.26</w:t>
      </w:r>
      <w:r>
        <w:t>,</w:t>
      </w:r>
    </w:p>
    <w:p w14:paraId="3DD579FD" w14:textId="5C5BB2FC" w:rsidR="00D34E5D" w:rsidRDefault="00D34E5D" w:rsidP="00D34E5D">
      <w:pPr>
        <w:spacing w:before="120"/>
        <w:ind w:left="1134" w:right="1174" w:firstLine="567"/>
        <w:rPr>
          <w:rFonts w:eastAsia="Times New Roman"/>
          <w:lang w:val="en-US" w:eastAsia="en-US"/>
        </w:rPr>
      </w:pPr>
      <w:r>
        <w:rPr>
          <w:i/>
        </w:rPr>
        <w:t>Having</w:t>
      </w:r>
      <w:r>
        <w:rPr>
          <w:rFonts w:eastAsia="Times New Roman"/>
          <w:i/>
          <w:lang w:val="en-US" w:eastAsia="en-US"/>
        </w:rPr>
        <w:t xml:space="preserve"> </w:t>
      </w:r>
      <w:r>
        <w:rPr>
          <w:i/>
        </w:rPr>
        <w:t>considered</w:t>
      </w:r>
      <w:r>
        <w:rPr>
          <w:rFonts w:eastAsia="Times New Roman"/>
          <w:i/>
          <w:lang w:val="en-US" w:eastAsia="en-US"/>
        </w:rPr>
        <w:t xml:space="preserve"> </w:t>
      </w:r>
      <w:r>
        <w:rPr>
          <w:rFonts w:eastAsia="Times New Roman"/>
          <w:lang w:val="en-US" w:eastAsia="en-US"/>
        </w:rPr>
        <w:t>the information contained in the documents prepared by the secretariat on administrative, financial and institutional matters,</w:t>
      </w:r>
      <w:r>
        <w:rPr>
          <w:rStyle w:val="FootnoteReference"/>
          <w:rFonts w:eastAsia="Times New Roman"/>
          <w:lang w:val="en-US" w:eastAsia="en-US"/>
        </w:rPr>
        <w:footnoteReference w:id="43"/>
      </w:r>
    </w:p>
    <w:p w14:paraId="41B5B7C6" w14:textId="5C496DAF" w:rsidR="00D34E5D" w:rsidRDefault="00D23317" w:rsidP="00D23317">
      <w:pPr>
        <w:pStyle w:val="RegHChG"/>
        <w:numPr>
          <w:ilvl w:val="0"/>
          <w:numId w:val="0"/>
        </w:numPr>
        <w:tabs>
          <w:tab w:val="left" w:pos="1135"/>
        </w:tabs>
        <w:ind w:left="1135" w:hanging="454"/>
      </w:pPr>
      <w:r>
        <w:t>I.</w:t>
      </w:r>
      <w:r>
        <w:tab/>
      </w:r>
      <w:r w:rsidR="00D34E5D">
        <w:t>Budget performance for the bienniums 2018</w:t>
      </w:r>
      <w:r w:rsidR="002C23BE">
        <w:t>–</w:t>
      </w:r>
      <w:r w:rsidR="00D34E5D">
        <w:t>2019 and 2020–2021</w:t>
      </w:r>
    </w:p>
    <w:p w14:paraId="7358111A" w14:textId="1DEE5BEE" w:rsidR="00D34E5D" w:rsidRPr="00D34E5D" w:rsidRDefault="00D23317" w:rsidP="00D23317">
      <w:pPr>
        <w:pStyle w:val="RegSingleTxtG"/>
        <w:numPr>
          <w:ilvl w:val="0"/>
          <w:numId w:val="0"/>
        </w:numPr>
        <w:ind w:left="1134"/>
        <w:rPr>
          <w:lang w:eastAsia="en-US"/>
        </w:rPr>
      </w:pPr>
      <w:r w:rsidRPr="00D34E5D">
        <w:rPr>
          <w:lang w:eastAsia="en-US"/>
        </w:rPr>
        <w:t>1.</w:t>
      </w:r>
      <w:r w:rsidRPr="00D34E5D">
        <w:rPr>
          <w:lang w:eastAsia="en-US"/>
        </w:rPr>
        <w:tab/>
      </w:r>
      <w:r w:rsidR="00D34E5D" w:rsidRPr="009210A9">
        <w:rPr>
          <w:i/>
          <w:lang w:eastAsia="en-US"/>
        </w:rPr>
        <w:t>Takes note</w:t>
      </w:r>
      <w:r w:rsidR="00D34E5D" w:rsidRPr="00D34E5D">
        <w:rPr>
          <w:lang w:eastAsia="en-US"/>
        </w:rPr>
        <w:t xml:space="preserve"> of the information contained in the reports on budget performance for the bienniums 2018–2019 (as at 31 December 2019) and 2020–2021 (as at 31 December 2020)</w:t>
      </w:r>
      <w:r w:rsidR="00D34E5D">
        <w:rPr>
          <w:rStyle w:val="FootnoteReference"/>
          <w:rFonts w:eastAsia="Times New Roman"/>
          <w:lang w:eastAsia="en-US"/>
        </w:rPr>
        <w:footnoteReference w:id="44"/>
      </w:r>
      <w:r w:rsidR="00D34E5D" w:rsidRPr="00D34E5D">
        <w:rPr>
          <w:lang w:eastAsia="en-US"/>
        </w:rPr>
        <w:t xml:space="preserve"> and the note </w:t>
      </w:r>
      <w:r w:rsidR="00D34E5D">
        <w:t>on</w:t>
      </w:r>
      <w:r w:rsidR="00D34E5D" w:rsidRPr="00D34E5D">
        <w:rPr>
          <w:lang w:eastAsia="en-US"/>
        </w:rPr>
        <w:t xml:space="preserve"> the status of contributions to the trust funds administered by the secretariat as at 22 October 2021;</w:t>
      </w:r>
      <w:r w:rsidR="00D34E5D">
        <w:rPr>
          <w:rStyle w:val="FootnoteReference"/>
          <w:rFonts w:eastAsia="Times New Roman"/>
          <w:lang w:eastAsia="en-US"/>
        </w:rPr>
        <w:footnoteReference w:id="45"/>
      </w:r>
    </w:p>
    <w:p w14:paraId="1494FB0C" w14:textId="3EF37C25" w:rsidR="00D34E5D" w:rsidRDefault="00D23317" w:rsidP="00D23317">
      <w:pPr>
        <w:pStyle w:val="RegSingleTxtG"/>
        <w:numPr>
          <w:ilvl w:val="0"/>
          <w:numId w:val="0"/>
        </w:numPr>
        <w:tabs>
          <w:tab w:val="left" w:pos="568"/>
          <w:tab w:val="num" w:pos="2269"/>
        </w:tabs>
        <w:ind w:left="1134"/>
      </w:pPr>
      <w:r>
        <w:t>2.</w:t>
      </w:r>
      <w:r>
        <w:tab/>
      </w:r>
      <w:r w:rsidR="00D34E5D">
        <w:rPr>
          <w:rFonts w:eastAsia="Times New Roman"/>
          <w:i/>
          <w:lang w:eastAsia="en-US"/>
        </w:rPr>
        <w:t xml:space="preserve">Expresses its </w:t>
      </w:r>
      <w:r w:rsidR="00D34E5D">
        <w:rPr>
          <w:i/>
        </w:rPr>
        <w:t>appreciation</w:t>
      </w:r>
      <w:r w:rsidR="00D34E5D">
        <w:t xml:space="preserve"> to Parties that made </w:t>
      </w:r>
      <w:r w:rsidR="00D34E5D">
        <w:rPr>
          <w:lang w:eastAsia="en-US"/>
        </w:rPr>
        <w:t>contributions</w:t>
      </w:r>
      <w:r w:rsidR="00D34E5D">
        <w:t xml:space="preserve"> to the core budget in a timely manner;</w:t>
      </w:r>
    </w:p>
    <w:p w14:paraId="326FC4B7" w14:textId="0E4317C4" w:rsidR="00D34E5D" w:rsidRDefault="00D23317" w:rsidP="00D23317">
      <w:pPr>
        <w:pStyle w:val="RegSingleTxtG"/>
        <w:numPr>
          <w:ilvl w:val="0"/>
          <w:numId w:val="0"/>
        </w:numPr>
        <w:tabs>
          <w:tab w:val="left" w:pos="568"/>
          <w:tab w:val="num" w:pos="2269"/>
        </w:tabs>
        <w:ind w:left="1134"/>
      </w:pPr>
      <w:r>
        <w:t>3.</w:t>
      </w:r>
      <w:r>
        <w:tab/>
      </w:r>
      <w:r w:rsidR="00D34E5D">
        <w:rPr>
          <w:i/>
        </w:rPr>
        <w:t>Expresses concern</w:t>
      </w:r>
      <w:r w:rsidR="00D34E5D">
        <w:t xml:space="preserve"> regarding the high level of outstanding contributions to the core budget for the current and previous bienniums, which has resulted in difficulties with cash flow and the effective implementation of activities;</w:t>
      </w:r>
    </w:p>
    <w:p w14:paraId="04DA73A8" w14:textId="024438C9" w:rsidR="00D34E5D" w:rsidRDefault="00D23317" w:rsidP="00D23317">
      <w:pPr>
        <w:pStyle w:val="RegSingleTxtG"/>
        <w:numPr>
          <w:ilvl w:val="0"/>
          <w:numId w:val="0"/>
        </w:numPr>
        <w:tabs>
          <w:tab w:val="left" w:pos="568"/>
          <w:tab w:val="num" w:pos="2269"/>
        </w:tabs>
        <w:ind w:left="1134"/>
      </w:pPr>
      <w:r>
        <w:t>4.</w:t>
      </w:r>
      <w:r>
        <w:tab/>
      </w:r>
      <w:r w:rsidR="00D34E5D">
        <w:rPr>
          <w:i/>
        </w:rPr>
        <w:t>Strongly urges</w:t>
      </w:r>
      <w:r w:rsidR="00D34E5D">
        <w:t xml:space="preserve"> Parties that have not made contributions in full to the core budget for the current and/or previous bienniums to do so without </w:t>
      </w:r>
      <w:r w:rsidR="00D34E5D">
        <w:rPr>
          <w:lang w:eastAsia="en-US"/>
        </w:rPr>
        <w:t>further</w:t>
      </w:r>
      <w:r w:rsidR="00D34E5D">
        <w:t xml:space="preserve"> delay;</w:t>
      </w:r>
    </w:p>
    <w:p w14:paraId="4B9398F8" w14:textId="4BAB3605" w:rsidR="00D34E5D" w:rsidRDefault="00D23317" w:rsidP="00D23317">
      <w:pPr>
        <w:pStyle w:val="RegSingleTxtG"/>
        <w:numPr>
          <w:ilvl w:val="0"/>
          <w:numId w:val="0"/>
        </w:numPr>
        <w:tabs>
          <w:tab w:val="left" w:pos="568"/>
          <w:tab w:val="num" w:pos="2269"/>
        </w:tabs>
        <w:ind w:left="1134"/>
      </w:pPr>
      <w:r>
        <w:t>5.</w:t>
      </w:r>
      <w:r>
        <w:tab/>
      </w:r>
      <w:r w:rsidR="00D34E5D">
        <w:rPr>
          <w:i/>
        </w:rPr>
        <w:t>Calls upon</w:t>
      </w:r>
      <w:r w:rsidR="00D34E5D">
        <w:t xml:space="preserve"> Parties to make their contributions to the core budget for 2022 in a timely manner, bearing in mind that contributions are due on 1 January of each year in accordance with the </w:t>
      </w:r>
      <w:r w:rsidR="00EA3F7F">
        <w:t xml:space="preserve">UNFCCC </w:t>
      </w:r>
      <w:r w:rsidR="00D34E5D">
        <w:t>financial procedures;</w:t>
      </w:r>
    </w:p>
    <w:p w14:paraId="786050FC" w14:textId="33E0A1C8" w:rsidR="00D34E5D" w:rsidRDefault="00D23317" w:rsidP="00D23317">
      <w:pPr>
        <w:pStyle w:val="RegSingleTxtG"/>
        <w:numPr>
          <w:ilvl w:val="0"/>
          <w:numId w:val="0"/>
        </w:numPr>
        <w:tabs>
          <w:tab w:val="left" w:pos="568"/>
          <w:tab w:val="num" w:pos="2269"/>
        </w:tabs>
        <w:ind w:left="1134"/>
      </w:pPr>
      <w:r>
        <w:t>6.</w:t>
      </w:r>
      <w:r>
        <w:tab/>
      </w:r>
      <w:r w:rsidR="00D34E5D">
        <w:rPr>
          <w:i/>
        </w:rPr>
        <w:t>Expresses its appreciation</w:t>
      </w:r>
      <w:r w:rsidR="00D34E5D">
        <w:t xml:space="preserve"> for the contributions to the Trust Fund for Participation in the UNFCCC Process and to the Trust Fund for Supplementary Activities received from Parties, including those contributions that allow for greater flexibility in allocation;</w:t>
      </w:r>
    </w:p>
    <w:p w14:paraId="220FCD28" w14:textId="72EE1D22" w:rsidR="00D34E5D" w:rsidRDefault="00D23317" w:rsidP="00D23317">
      <w:pPr>
        <w:pStyle w:val="RegSingleTxtG"/>
        <w:numPr>
          <w:ilvl w:val="0"/>
          <w:numId w:val="0"/>
        </w:numPr>
        <w:tabs>
          <w:tab w:val="left" w:pos="568"/>
          <w:tab w:val="num" w:pos="2269"/>
        </w:tabs>
        <w:ind w:left="1134"/>
      </w:pPr>
      <w:r>
        <w:t>7.</w:t>
      </w:r>
      <w:r>
        <w:tab/>
      </w:r>
      <w:r w:rsidR="00D34E5D">
        <w:rPr>
          <w:i/>
        </w:rPr>
        <w:t>Urges</w:t>
      </w:r>
      <w:r w:rsidR="00D34E5D">
        <w:t xml:space="preserve"> Parties to further contribute to the Trust Fund for Participation in the UNFCCC Process in order to ensure the widest possible </w:t>
      </w:r>
      <w:r w:rsidR="00D34E5D">
        <w:rPr>
          <w:lang w:eastAsia="en-US"/>
        </w:rPr>
        <w:t>participation</w:t>
      </w:r>
      <w:r w:rsidR="00D34E5D">
        <w:t xml:space="preserve"> in the process in 2022–2023, and to the Trust Fund for Supplementary Activities to ensure a high level of implementation of the UNFCCC work programme; </w:t>
      </w:r>
    </w:p>
    <w:p w14:paraId="533E49E0" w14:textId="3DD36C4A" w:rsidR="00D34E5D" w:rsidRDefault="00D23317" w:rsidP="00D23317">
      <w:pPr>
        <w:pStyle w:val="RegSingleTxtG"/>
        <w:numPr>
          <w:ilvl w:val="0"/>
          <w:numId w:val="0"/>
        </w:numPr>
        <w:tabs>
          <w:tab w:val="left" w:pos="568"/>
          <w:tab w:val="num" w:pos="2269"/>
        </w:tabs>
        <w:ind w:left="1134"/>
        <w:rPr>
          <w:rFonts w:eastAsia="Times New Roman"/>
          <w:lang w:eastAsia="en-US"/>
        </w:rPr>
      </w:pPr>
      <w:r>
        <w:rPr>
          <w:rFonts w:eastAsia="Times New Roman"/>
          <w:lang w:eastAsia="en-US"/>
        </w:rPr>
        <w:t>8.</w:t>
      </w:r>
      <w:r>
        <w:rPr>
          <w:rFonts w:eastAsia="Times New Roman"/>
          <w:lang w:eastAsia="en-US"/>
        </w:rPr>
        <w:tab/>
      </w:r>
      <w:r w:rsidR="00D34E5D">
        <w:rPr>
          <w:i/>
        </w:rPr>
        <w:t>Reiterates its appreciation</w:t>
      </w:r>
      <w:r w:rsidR="00D34E5D">
        <w:t xml:space="preserve"> to the Government of Germany for its annual voluntary contribution to the core budget of EUR 766,938 and its special contribution</w:t>
      </w:r>
      <w:r w:rsidR="00D34E5D">
        <w:rPr>
          <w:rFonts w:eastAsia="Times New Roman"/>
          <w:lang w:eastAsia="en-US"/>
        </w:rPr>
        <w:t xml:space="preserve"> of EUR</w:t>
      </w:r>
      <w:r w:rsidR="00D34E5D">
        <w:t> </w:t>
      </w:r>
      <w:r w:rsidR="00D34E5D">
        <w:rPr>
          <w:rFonts w:eastAsia="Times New Roman"/>
          <w:lang w:eastAsia="en-US"/>
        </w:rPr>
        <w:t>1,789,522 as Host Government of the secretariat;</w:t>
      </w:r>
    </w:p>
    <w:p w14:paraId="17A5081E" w14:textId="782851B4" w:rsidR="00D34E5D" w:rsidRDefault="00D23317" w:rsidP="00D23317">
      <w:pPr>
        <w:pStyle w:val="RegSingleTxtG"/>
        <w:numPr>
          <w:ilvl w:val="0"/>
          <w:numId w:val="0"/>
        </w:numPr>
        <w:tabs>
          <w:tab w:val="left" w:pos="568"/>
          <w:tab w:val="num" w:pos="2269"/>
        </w:tabs>
        <w:ind w:left="1134"/>
        <w:rPr>
          <w:rFonts w:eastAsia="Times New Roman"/>
          <w:lang w:eastAsia="en-US"/>
        </w:rPr>
      </w:pPr>
      <w:r>
        <w:rPr>
          <w:rFonts w:eastAsia="Times New Roman"/>
          <w:lang w:eastAsia="en-US"/>
        </w:rPr>
        <w:t>9.</w:t>
      </w:r>
      <w:r>
        <w:rPr>
          <w:rFonts w:eastAsia="Times New Roman"/>
          <w:lang w:eastAsia="en-US"/>
        </w:rPr>
        <w:tab/>
      </w:r>
      <w:r w:rsidR="00D34E5D">
        <w:rPr>
          <w:rFonts w:eastAsia="Times New Roman"/>
          <w:i/>
          <w:lang w:eastAsia="en-US"/>
        </w:rPr>
        <w:t>Requests</w:t>
      </w:r>
      <w:r w:rsidR="00D34E5D">
        <w:rPr>
          <w:rFonts w:eastAsia="Times New Roman"/>
          <w:lang w:eastAsia="en-US"/>
        </w:rPr>
        <w:t xml:space="preserve"> the Executive Secretary to take further measures to reduce Parties’ outstanding contributions;</w:t>
      </w:r>
    </w:p>
    <w:p w14:paraId="31353666" w14:textId="0F317A2A" w:rsidR="00D34E5D" w:rsidRDefault="00D23317" w:rsidP="00D23317">
      <w:pPr>
        <w:pStyle w:val="RegSingleTxtG"/>
        <w:numPr>
          <w:ilvl w:val="0"/>
          <w:numId w:val="0"/>
        </w:numPr>
        <w:tabs>
          <w:tab w:val="left" w:pos="568"/>
          <w:tab w:val="num" w:pos="2269"/>
        </w:tabs>
        <w:ind w:left="1134"/>
        <w:rPr>
          <w:rFonts w:eastAsia="Times New Roman"/>
          <w:lang w:eastAsia="en-US"/>
        </w:rPr>
      </w:pPr>
      <w:r>
        <w:rPr>
          <w:rFonts w:eastAsia="Times New Roman"/>
          <w:lang w:eastAsia="en-US"/>
        </w:rPr>
        <w:t>10.</w:t>
      </w:r>
      <w:r>
        <w:rPr>
          <w:rFonts w:eastAsia="Times New Roman"/>
          <w:lang w:eastAsia="en-US"/>
        </w:rPr>
        <w:tab/>
      </w:r>
      <w:r w:rsidR="00D34E5D">
        <w:rPr>
          <w:rFonts w:eastAsia="Times New Roman"/>
          <w:i/>
          <w:iCs/>
          <w:lang w:eastAsia="en-US"/>
        </w:rPr>
        <w:t>Also requests</w:t>
      </w:r>
      <w:r w:rsidR="00D34E5D">
        <w:rPr>
          <w:rFonts w:eastAsia="Times New Roman"/>
          <w:iCs/>
          <w:lang w:eastAsia="en-US"/>
        </w:rPr>
        <w:t xml:space="preserve"> the Executive Secretary to prepare </w:t>
      </w:r>
      <w:r w:rsidR="00D34E5D">
        <w:rPr>
          <w:rFonts w:eastAsia="Times New Roman"/>
          <w:lang w:eastAsia="en-US"/>
        </w:rPr>
        <w:t xml:space="preserve">annual </w:t>
      </w:r>
      <w:r w:rsidR="00D34E5D" w:rsidRPr="009210A9">
        <w:rPr>
          <w:lang w:eastAsia="en-US"/>
        </w:rPr>
        <w:t>budget</w:t>
      </w:r>
      <w:r w:rsidR="00D34E5D">
        <w:rPr>
          <w:rFonts w:eastAsia="Times New Roman"/>
          <w:lang w:eastAsia="en-US"/>
        </w:rPr>
        <w:t xml:space="preserve"> performance reports covering 12 and 24 months of the biennium, respectively;</w:t>
      </w:r>
    </w:p>
    <w:p w14:paraId="6174B62D" w14:textId="05830A5E" w:rsidR="00D34E5D" w:rsidRDefault="00D23317" w:rsidP="00D23317">
      <w:pPr>
        <w:pStyle w:val="RegHChG"/>
        <w:numPr>
          <w:ilvl w:val="0"/>
          <w:numId w:val="0"/>
        </w:numPr>
        <w:tabs>
          <w:tab w:val="left" w:pos="1135"/>
        </w:tabs>
        <w:ind w:left="1135" w:hanging="454"/>
        <w:rPr>
          <w:b w:val="0"/>
        </w:rPr>
      </w:pPr>
      <w:r>
        <w:t>II.</w:t>
      </w:r>
      <w:r>
        <w:tab/>
      </w:r>
      <w:r w:rsidR="00D34E5D">
        <w:t>Audit reports and financial statements for 2019 and 2020</w:t>
      </w:r>
    </w:p>
    <w:p w14:paraId="557DD55B" w14:textId="216A4919" w:rsidR="00D34E5D" w:rsidRDefault="00D23317" w:rsidP="00D23317">
      <w:pPr>
        <w:pStyle w:val="RegSingleTxtG"/>
        <w:numPr>
          <w:ilvl w:val="0"/>
          <w:numId w:val="0"/>
        </w:numPr>
        <w:tabs>
          <w:tab w:val="left" w:pos="568"/>
          <w:tab w:val="num" w:pos="2269"/>
        </w:tabs>
        <w:ind w:left="1134"/>
        <w:rPr>
          <w:rFonts w:eastAsia="Times New Roman"/>
          <w:lang w:eastAsia="en-US"/>
        </w:rPr>
      </w:pPr>
      <w:r>
        <w:rPr>
          <w:rFonts w:eastAsia="Times New Roman"/>
          <w:lang w:eastAsia="en-US"/>
        </w:rPr>
        <w:t>11.</w:t>
      </w:r>
      <w:r>
        <w:rPr>
          <w:rFonts w:eastAsia="Times New Roman"/>
          <w:lang w:eastAsia="en-US"/>
        </w:rPr>
        <w:tab/>
      </w:r>
      <w:r w:rsidR="00D34E5D">
        <w:rPr>
          <w:rFonts w:eastAsia="Times New Roman"/>
          <w:i/>
          <w:lang w:eastAsia="en-US"/>
        </w:rPr>
        <w:t>Takes note</w:t>
      </w:r>
      <w:r w:rsidR="00D34E5D">
        <w:rPr>
          <w:rFonts w:eastAsia="Times New Roman"/>
          <w:lang w:eastAsia="en-US"/>
        </w:rPr>
        <w:t xml:space="preserve"> of the audit reports of the United Nations Board of Auditors</w:t>
      </w:r>
      <w:r w:rsidR="00D34E5D">
        <w:rPr>
          <w:rStyle w:val="FootnoteReference"/>
          <w:rFonts w:eastAsia="Times New Roman"/>
          <w:lang w:eastAsia="en-US"/>
        </w:rPr>
        <w:footnoteReference w:id="46"/>
      </w:r>
      <w:r w:rsidR="00D34E5D">
        <w:rPr>
          <w:rFonts w:eastAsia="Times New Roman"/>
          <w:lang w:eastAsia="en-US"/>
        </w:rPr>
        <w:t xml:space="preserve"> and the financial statements for 2019 and 2020, which include </w:t>
      </w:r>
      <w:r w:rsidR="00D34E5D" w:rsidRPr="009210A9">
        <w:rPr>
          <w:lang w:eastAsia="en-US"/>
        </w:rPr>
        <w:t>recommendations</w:t>
      </w:r>
      <w:r w:rsidR="00D34E5D">
        <w:rPr>
          <w:rFonts w:eastAsia="Times New Roman"/>
          <w:lang w:eastAsia="en-US"/>
        </w:rPr>
        <w:t>, and the comments of the secretariat thereon;</w:t>
      </w:r>
    </w:p>
    <w:p w14:paraId="576EEB4F" w14:textId="0E926646" w:rsidR="00D34E5D" w:rsidRDefault="00D23317" w:rsidP="00D23317">
      <w:pPr>
        <w:pStyle w:val="RegSingleTxtG"/>
        <w:numPr>
          <w:ilvl w:val="0"/>
          <w:numId w:val="0"/>
        </w:numPr>
        <w:tabs>
          <w:tab w:val="left" w:pos="568"/>
          <w:tab w:val="num" w:pos="2269"/>
        </w:tabs>
        <w:ind w:left="1134"/>
        <w:rPr>
          <w:rFonts w:eastAsia="Times New Roman"/>
          <w:lang w:eastAsia="en-US"/>
        </w:rPr>
      </w:pPr>
      <w:r>
        <w:rPr>
          <w:rFonts w:eastAsia="Times New Roman"/>
          <w:lang w:eastAsia="en-US"/>
        </w:rPr>
        <w:t>12.</w:t>
      </w:r>
      <w:r>
        <w:rPr>
          <w:rFonts w:eastAsia="Times New Roman"/>
          <w:lang w:eastAsia="en-US"/>
        </w:rPr>
        <w:tab/>
      </w:r>
      <w:r w:rsidR="00D34E5D">
        <w:rPr>
          <w:rFonts w:eastAsia="Times New Roman"/>
          <w:i/>
          <w:lang w:eastAsia="en-US"/>
        </w:rPr>
        <w:t>Expresses its appreciation</w:t>
      </w:r>
      <w:r w:rsidR="00D34E5D">
        <w:rPr>
          <w:rFonts w:eastAsia="Times New Roman"/>
          <w:lang w:eastAsia="en-US"/>
        </w:rPr>
        <w:t xml:space="preserve"> to the United Nations for arranging the audit of the accounts of the Convention;</w:t>
      </w:r>
    </w:p>
    <w:p w14:paraId="55461B14" w14:textId="73B1FF0C" w:rsidR="00D34E5D" w:rsidRDefault="00D23317" w:rsidP="00D23317">
      <w:pPr>
        <w:pStyle w:val="RegSingleTxtG"/>
        <w:numPr>
          <w:ilvl w:val="0"/>
          <w:numId w:val="0"/>
        </w:numPr>
        <w:tabs>
          <w:tab w:val="left" w:pos="568"/>
          <w:tab w:val="num" w:pos="2269"/>
        </w:tabs>
        <w:ind w:left="1134"/>
        <w:rPr>
          <w:rFonts w:eastAsia="Times New Roman"/>
          <w:lang w:eastAsia="en-US"/>
        </w:rPr>
      </w:pPr>
      <w:r>
        <w:rPr>
          <w:rFonts w:eastAsia="Times New Roman"/>
          <w:lang w:eastAsia="en-US"/>
        </w:rPr>
        <w:t>13.</w:t>
      </w:r>
      <w:r>
        <w:rPr>
          <w:rFonts w:eastAsia="Times New Roman"/>
          <w:lang w:eastAsia="en-US"/>
        </w:rPr>
        <w:tab/>
      </w:r>
      <w:r w:rsidR="00D34E5D">
        <w:rPr>
          <w:rFonts w:eastAsia="Times New Roman"/>
          <w:i/>
          <w:lang w:eastAsia="en-US"/>
        </w:rPr>
        <w:t>Also expresses its appreciation</w:t>
      </w:r>
      <w:r w:rsidR="00D34E5D">
        <w:rPr>
          <w:rFonts w:eastAsia="Times New Roman"/>
          <w:lang w:eastAsia="en-US"/>
        </w:rPr>
        <w:t xml:space="preserve"> to the auditors for </w:t>
      </w:r>
      <w:r w:rsidR="00D34E5D" w:rsidRPr="009210A9">
        <w:rPr>
          <w:lang w:eastAsia="en-US"/>
        </w:rPr>
        <w:t>their</w:t>
      </w:r>
      <w:r w:rsidR="00D34E5D">
        <w:rPr>
          <w:rFonts w:eastAsia="Times New Roman"/>
          <w:lang w:eastAsia="en-US"/>
        </w:rPr>
        <w:t xml:space="preserve"> valuable observations and recommendations and the written statement thereon shared with Parties at the fifty-second to fifty-fifth session of the Subsidiary Body for Implementation;</w:t>
      </w:r>
    </w:p>
    <w:p w14:paraId="7D899EE3" w14:textId="6B032BBE" w:rsidR="00D34E5D" w:rsidRDefault="00D23317" w:rsidP="00D23317">
      <w:pPr>
        <w:pStyle w:val="RegSingleTxtG"/>
        <w:numPr>
          <w:ilvl w:val="0"/>
          <w:numId w:val="0"/>
        </w:numPr>
        <w:tabs>
          <w:tab w:val="left" w:pos="568"/>
          <w:tab w:val="num" w:pos="2269"/>
        </w:tabs>
        <w:ind w:left="1134"/>
        <w:rPr>
          <w:rFonts w:eastAsia="Times New Roman"/>
          <w:lang w:eastAsia="en-US"/>
        </w:rPr>
      </w:pPr>
      <w:r>
        <w:rPr>
          <w:rFonts w:eastAsia="Times New Roman"/>
          <w:lang w:eastAsia="en-US"/>
        </w:rPr>
        <w:t>14.</w:t>
      </w:r>
      <w:r>
        <w:rPr>
          <w:rFonts w:eastAsia="Times New Roman"/>
          <w:lang w:eastAsia="en-US"/>
        </w:rPr>
        <w:tab/>
      </w:r>
      <w:r w:rsidR="00D34E5D">
        <w:rPr>
          <w:rFonts w:eastAsia="Times New Roman"/>
          <w:i/>
          <w:iCs/>
          <w:lang w:eastAsia="en-US"/>
        </w:rPr>
        <w:t>Expresses</w:t>
      </w:r>
      <w:r w:rsidR="00D34E5D">
        <w:rPr>
          <w:rFonts w:eastAsia="Times New Roman"/>
          <w:lang w:eastAsia="en-US"/>
        </w:rPr>
        <w:t xml:space="preserve"> </w:t>
      </w:r>
      <w:r w:rsidR="00D34E5D">
        <w:rPr>
          <w:rFonts w:eastAsia="Times New Roman"/>
          <w:i/>
          <w:lang w:eastAsia="en-US"/>
        </w:rPr>
        <w:t>concern</w:t>
      </w:r>
      <w:r w:rsidR="00D34E5D">
        <w:rPr>
          <w:rFonts w:eastAsia="Times New Roman"/>
          <w:lang w:eastAsia="en-US"/>
        </w:rPr>
        <w:t xml:space="preserve"> about the high number of </w:t>
      </w:r>
      <w:r w:rsidR="00D34E5D" w:rsidRPr="009210A9">
        <w:rPr>
          <w:lang w:eastAsia="en-US"/>
        </w:rPr>
        <w:t>recommendations</w:t>
      </w:r>
      <w:r w:rsidR="00D34E5D">
        <w:rPr>
          <w:rFonts w:eastAsia="Times New Roman"/>
          <w:lang w:eastAsia="en-US"/>
        </w:rPr>
        <w:t xml:space="preserve"> from the United Nations Board of Auditors not yet implemented by the secretariat;</w:t>
      </w:r>
    </w:p>
    <w:p w14:paraId="23A15564" w14:textId="6BD52541" w:rsidR="00D34E5D" w:rsidRDefault="00D23317" w:rsidP="00D23317">
      <w:pPr>
        <w:pStyle w:val="RegSingleTxtG"/>
        <w:numPr>
          <w:ilvl w:val="0"/>
          <w:numId w:val="0"/>
        </w:numPr>
        <w:tabs>
          <w:tab w:val="left" w:pos="568"/>
          <w:tab w:val="num" w:pos="2269"/>
        </w:tabs>
        <w:ind w:left="1134"/>
        <w:rPr>
          <w:rFonts w:eastAsia="Times New Roman"/>
          <w:lang w:eastAsia="en-US"/>
        </w:rPr>
      </w:pPr>
      <w:r>
        <w:rPr>
          <w:rFonts w:eastAsia="Times New Roman"/>
          <w:lang w:eastAsia="en-US"/>
        </w:rPr>
        <w:t>15.</w:t>
      </w:r>
      <w:r>
        <w:rPr>
          <w:rFonts w:eastAsia="Times New Roman"/>
          <w:lang w:eastAsia="en-US"/>
        </w:rPr>
        <w:tab/>
      </w:r>
      <w:r w:rsidR="00D34E5D">
        <w:rPr>
          <w:rFonts w:eastAsia="Times New Roman"/>
          <w:i/>
          <w:lang w:eastAsia="en-US"/>
        </w:rPr>
        <w:t>Urges</w:t>
      </w:r>
      <w:r w:rsidR="00D34E5D">
        <w:rPr>
          <w:rFonts w:eastAsia="Times New Roman"/>
          <w:lang w:eastAsia="en-US"/>
        </w:rPr>
        <w:t xml:space="preserve"> the Executive Secretary to implement the recommendations of the auditors, as appropriate, and to update Parties on progress</w:t>
      </w:r>
      <w:r w:rsidR="00D34E5D">
        <w:t>;</w:t>
      </w:r>
    </w:p>
    <w:p w14:paraId="7F559898" w14:textId="09FA8BE2" w:rsidR="00D34E5D" w:rsidRDefault="00D23317" w:rsidP="00D23317">
      <w:pPr>
        <w:pStyle w:val="RegHChG"/>
        <w:numPr>
          <w:ilvl w:val="0"/>
          <w:numId w:val="0"/>
        </w:numPr>
        <w:tabs>
          <w:tab w:val="left" w:pos="1135"/>
        </w:tabs>
        <w:ind w:left="1135" w:hanging="454"/>
        <w:rPr>
          <w:rFonts w:eastAsiaTheme="minorHAnsi"/>
        </w:rPr>
      </w:pPr>
      <w:r>
        <w:rPr>
          <w:rFonts w:eastAsiaTheme="minorHAnsi"/>
        </w:rPr>
        <w:t>III.</w:t>
      </w:r>
      <w:r>
        <w:rPr>
          <w:rFonts w:eastAsiaTheme="minorHAnsi"/>
        </w:rPr>
        <w:tab/>
      </w:r>
      <w:r w:rsidR="00D34E5D">
        <w:t>Other financial and budgetary matters</w:t>
      </w:r>
    </w:p>
    <w:p w14:paraId="11CBF310" w14:textId="770B5CF8" w:rsidR="00D34E5D" w:rsidRDefault="00D23317" w:rsidP="00D23317">
      <w:pPr>
        <w:pStyle w:val="RegSingleTxtG"/>
        <w:numPr>
          <w:ilvl w:val="0"/>
          <w:numId w:val="0"/>
        </w:numPr>
        <w:tabs>
          <w:tab w:val="left" w:pos="568"/>
          <w:tab w:val="num" w:pos="2269"/>
        </w:tabs>
        <w:ind w:left="1134"/>
        <w:rPr>
          <w:lang w:eastAsia="en-US"/>
        </w:rPr>
      </w:pPr>
      <w:r>
        <w:rPr>
          <w:lang w:eastAsia="en-US"/>
        </w:rPr>
        <w:t>16.</w:t>
      </w:r>
      <w:r>
        <w:rPr>
          <w:lang w:eastAsia="en-US"/>
        </w:rPr>
        <w:tab/>
      </w:r>
      <w:r w:rsidR="00D34E5D">
        <w:rPr>
          <w:i/>
          <w:iCs/>
          <w:lang w:eastAsia="en-US"/>
        </w:rPr>
        <w:t xml:space="preserve">Takes note </w:t>
      </w:r>
      <w:r w:rsidR="00D34E5D">
        <w:rPr>
          <w:lang w:eastAsia="en-US"/>
        </w:rPr>
        <w:t>of the information contained in the documents prepared by the secretariat on other financial and budgetary matters, including on efforts to further improve the efficiency and transparency of the UNFCCC budget process</w:t>
      </w:r>
      <w:r w:rsidR="00D34E5D">
        <w:rPr>
          <w:rStyle w:val="FootnoteReference"/>
          <w:lang w:eastAsia="en-US"/>
        </w:rPr>
        <w:footnoteReference w:id="47"/>
      </w:r>
      <w:r w:rsidR="00D34E5D">
        <w:rPr>
          <w:lang w:eastAsia="en-US"/>
        </w:rPr>
        <w:t xml:space="preserve"> and on standard costs;</w:t>
      </w:r>
      <w:bookmarkStart w:id="79" w:name="_Ref89207563"/>
      <w:r w:rsidR="00D34E5D">
        <w:rPr>
          <w:rStyle w:val="FootnoteReference"/>
          <w:lang w:eastAsia="en-US"/>
        </w:rPr>
        <w:footnoteReference w:id="48"/>
      </w:r>
      <w:bookmarkEnd w:id="79"/>
    </w:p>
    <w:p w14:paraId="58385965" w14:textId="69BF9D88" w:rsidR="00D34E5D" w:rsidRDefault="00D23317" w:rsidP="00D23317">
      <w:pPr>
        <w:pStyle w:val="RegSingleTxtG"/>
        <w:numPr>
          <w:ilvl w:val="0"/>
          <w:numId w:val="0"/>
        </w:numPr>
        <w:tabs>
          <w:tab w:val="left" w:pos="568"/>
          <w:tab w:val="num" w:pos="2269"/>
        </w:tabs>
        <w:ind w:left="1134"/>
        <w:rPr>
          <w:lang w:eastAsia="en-US"/>
        </w:rPr>
      </w:pPr>
      <w:r>
        <w:rPr>
          <w:lang w:eastAsia="en-US"/>
        </w:rPr>
        <w:t>17.</w:t>
      </w:r>
      <w:r>
        <w:rPr>
          <w:lang w:eastAsia="en-US"/>
        </w:rPr>
        <w:tab/>
      </w:r>
      <w:r w:rsidR="00D34E5D">
        <w:rPr>
          <w:i/>
          <w:iCs/>
          <w:lang w:eastAsia="en-US"/>
        </w:rPr>
        <w:t>Reiterates</w:t>
      </w:r>
      <w:r w:rsidR="00D34E5D">
        <w:rPr>
          <w:lang w:eastAsia="en-US"/>
        </w:rPr>
        <w:t xml:space="preserve"> the request to the Executive Secretary to prepare, regularly update and publish before each session of the subsidiary bodies brief reports on standard costs and, if available, options for reducing the cost of activities where practicable;</w:t>
      </w:r>
    </w:p>
    <w:p w14:paraId="04CA5475" w14:textId="52823F34" w:rsidR="00D34E5D" w:rsidRDefault="00D23317" w:rsidP="00D23317">
      <w:pPr>
        <w:pStyle w:val="RegSingleTxtG"/>
        <w:numPr>
          <w:ilvl w:val="0"/>
          <w:numId w:val="0"/>
        </w:numPr>
        <w:tabs>
          <w:tab w:val="left" w:pos="568"/>
          <w:tab w:val="num" w:pos="2269"/>
        </w:tabs>
        <w:ind w:left="1134"/>
        <w:rPr>
          <w:lang w:eastAsia="en-US"/>
        </w:rPr>
      </w:pPr>
      <w:r>
        <w:rPr>
          <w:lang w:eastAsia="en-US"/>
        </w:rPr>
        <w:t>18.</w:t>
      </w:r>
      <w:r>
        <w:rPr>
          <w:lang w:eastAsia="en-US"/>
        </w:rPr>
        <w:tab/>
      </w:r>
      <w:r w:rsidR="00D34E5D">
        <w:rPr>
          <w:i/>
          <w:iCs/>
          <w:lang w:eastAsia="en-US"/>
        </w:rPr>
        <w:t>Welcomes</w:t>
      </w:r>
      <w:r w:rsidR="00D34E5D">
        <w:rPr>
          <w:lang w:eastAsia="en-US"/>
        </w:rPr>
        <w:t xml:space="preserve"> the information on standard travel costs provided by the secretariat;</w:t>
      </w:r>
      <w:r w:rsidR="00D34E5D">
        <w:rPr>
          <w:rStyle w:val="FootnoteReference"/>
          <w:lang w:eastAsia="en-US"/>
        </w:rPr>
        <w:footnoteReference w:id="49"/>
      </w:r>
    </w:p>
    <w:p w14:paraId="6116BB08" w14:textId="1B20C069" w:rsidR="00D34E5D" w:rsidRDefault="00D23317" w:rsidP="00D23317">
      <w:pPr>
        <w:pStyle w:val="RegSingleTxtG"/>
        <w:numPr>
          <w:ilvl w:val="0"/>
          <w:numId w:val="0"/>
        </w:numPr>
        <w:tabs>
          <w:tab w:val="left" w:pos="568"/>
          <w:tab w:val="num" w:pos="2269"/>
        </w:tabs>
        <w:ind w:left="1134"/>
        <w:rPr>
          <w:lang w:eastAsia="en-US"/>
        </w:rPr>
      </w:pPr>
      <w:r>
        <w:rPr>
          <w:lang w:eastAsia="en-US"/>
        </w:rPr>
        <w:t>19.</w:t>
      </w:r>
      <w:r>
        <w:rPr>
          <w:lang w:eastAsia="en-US"/>
        </w:rPr>
        <w:tab/>
      </w:r>
      <w:r w:rsidR="00D34E5D">
        <w:rPr>
          <w:i/>
          <w:iCs/>
          <w:lang w:eastAsia="en-US"/>
        </w:rPr>
        <w:t>Recommends</w:t>
      </w:r>
      <w:r w:rsidR="00D34E5D">
        <w:rPr>
          <w:lang w:eastAsia="en-US"/>
        </w:rPr>
        <w:t xml:space="preserve"> that the secretariat publish and regularly update information on standard costs on the UNFCCC website (instead of the brief update reports) and inform Parties in a timely and clear manner when new information is available (at least before each session of the subsidiary bodies);</w:t>
      </w:r>
    </w:p>
    <w:p w14:paraId="40121A64" w14:textId="74772DB0" w:rsidR="00D34E5D" w:rsidRDefault="00D23317" w:rsidP="00D23317">
      <w:pPr>
        <w:pStyle w:val="RegSingleTxtG"/>
        <w:numPr>
          <w:ilvl w:val="0"/>
          <w:numId w:val="0"/>
        </w:numPr>
        <w:tabs>
          <w:tab w:val="left" w:pos="568"/>
          <w:tab w:val="num" w:pos="2269"/>
        </w:tabs>
        <w:ind w:left="1134"/>
        <w:rPr>
          <w:lang w:eastAsia="en-US"/>
        </w:rPr>
      </w:pPr>
      <w:r>
        <w:rPr>
          <w:lang w:eastAsia="en-US"/>
        </w:rPr>
        <w:t>20.</w:t>
      </w:r>
      <w:r>
        <w:rPr>
          <w:lang w:eastAsia="en-US"/>
        </w:rPr>
        <w:tab/>
      </w:r>
      <w:r w:rsidR="00D34E5D">
        <w:rPr>
          <w:i/>
          <w:iCs/>
          <w:lang w:eastAsia="en-US"/>
        </w:rPr>
        <w:t>States</w:t>
      </w:r>
      <w:r w:rsidR="00D34E5D">
        <w:rPr>
          <w:lang w:eastAsia="en-US"/>
        </w:rPr>
        <w:t xml:space="preserve"> that the purpose of reporting on standard costs is to provide Parties with insight into the budgetary impact of any planned decisions of the governing bodies;</w:t>
      </w:r>
    </w:p>
    <w:p w14:paraId="118B4B2B" w14:textId="097F51F1" w:rsidR="00D34E5D" w:rsidRDefault="00D23317" w:rsidP="00D23317">
      <w:pPr>
        <w:pStyle w:val="RegSingleTxtG"/>
        <w:numPr>
          <w:ilvl w:val="0"/>
          <w:numId w:val="0"/>
        </w:numPr>
        <w:tabs>
          <w:tab w:val="left" w:pos="568"/>
          <w:tab w:val="num" w:pos="2269"/>
        </w:tabs>
        <w:ind w:left="1134"/>
        <w:rPr>
          <w:lang w:eastAsia="en-US"/>
        </w:rPr>
      </w:pPr>
      <w:r>
        <w:rPr>
          <w:lang w:eastAsia="en-US"/>
        </w:rPr>
        <w:t>21.</w:t>
      </w:r>
      <w:r>
        <w:rPr>
          <w:lang w:eastAsia="en-US"/>
        </w:rPr>
        <w:tab/>
      </w:r>
      <w:r w:rsidR="00D34E5D">
        <w:rPr>
          <w:i/>
          <w:iCs/>
          <w:lang w:eastAsia="en-US"/>
        </w:rPr>
        <w:t>Welcomes</w:t>
      </w:r>
      <w:r w:rsidR="00D34E5D">
        <w:rPr>
          <w:lang w:eastAsia="en-US"/>
        </w:rPr>
        <w:t xml:space="preserve"> the proposed measures for improving the efficiency and transparency of the UNFCCC budget process;</w:t>
      </w:r>
      <w:r w:rsidR="00D34E5D">
        <w:rPr>
          <w:rStyle w:val="FootnoteReference"/>
          <w:lang w:eastAsia="en-US"/>
        </w:rPr>
        <w:footnoteReference w:id="50"/>
      </w:r>
    </w:p>
    <w:p w14:paraId="27CF661F" w14:textId="3557EF2D" w:rsidR="00D34E5D" w:rsidRDefault="00D23317" w:rsidP="00D23317">
      <w:pPr>
        <w:pStyle w:val="RegSingleTxtG"/>
        <w:numPr>
          <w:ilvl w:val="0"/>
          <w:numId w:val="0"/>
        </w:numPr>
        <w:tabs>
          <w:tab w:val="left" w:pos="568"/>
          <w:tab w:val="num" w:pos="2269"/>
        </w:tabs>
        <w:ind w:left="1134"/>
        <w:rPr>
          <w:lang w:eastAsia="en-US"/>
        </w:rPr>
      </w:pPr>
      <w:r>
        <w:rPr>
          <w:lang w:eastAsia="en-US"/>
        </w:rPr>
        <w:t>22.</w:t>
      </w:r>
      <w:r>
        <w:rPr>
          <w:lang w:eastAsia="en-US"/>
        </w:rPr>
        <w:tab/>
      </w:r>
      <w:r w:rsidR="00D34E5D">
        <w:rPr>
          <w:i/>
          <w:iCs/>
          <w:lang w:eastAsia="en-US"/>
        </w:rPr>
        <w:t>Requests</w:t>
      </w:r>
      <w:r w:rsidR="00D34E5D">
        <w:rPr>
          <w:lang w:eastAsia="en-US"/>
        </w:rPr>
        <w:t xml:space="preserve"> the secretariat to report on the implementation of those measures in the report on efforts to improve the efficiency and transparency of the UNFCCC budget process;</w:t>
      </w:r>
    </w:p>
    <w:p w14:paraId="5A8D8143" w14:textId="4C821477" w:rsidR="00D34E5D" w:rsidRDefault="00D23317" w:rsidP="00D23317">
      <w:pPr>
        <w:pStyle w:val="RegSingleTxtG"/>
        <w:numPr>
          <w:ilvl w:val="0"/>
          <w:numId w:val="0"/>
        </w:numPr>
        <w:tabs>
          <w:tab w:val="left" w:pos="568"/>
          <w:tab w:val="num" w:pos="2269"/>
        </w:tabs>
        <w:ind w:left="1134"/>
        <w:rPr>
          <w:lang w:eastAsia="en-US"/>
        </w:rPr>
      </w:pPr>
      <w:r>
        <w:rPr>
          <w:lang w:eastAsia="en-US"/>
        </w:rPr>
        <w:t>23.</w:t>
      </w:r>
      <w:r>
        <w:rPr>
          <w:lang w:eastAsia="en-US"/>
        </w:rPr>
        <w:tab/>
      </w:r>
      <w:r w:rsidR="00D34E5D">
        <w:rPr>
          <w:i/>
          <w:iCs/>
          <w:lang w:eastAsia="en-US"/>
        </w:rPr>
        <w:t>Acknowledges</w:t>
      </w:r>
      <w:r w:rsidR="00D34E5D">
        <w:rPr>
          <w:lang w:eastAsia="en-US"/>
        </w:rPr>
        <w:t xml:space="preserve"> the increase in unearmarked contributions in relation to earmarked contributions to the Trust Fund for Supplementary Activities;</w:t>
      </w:r>
    </w:p>
    <w:p w14:paraId="01A4C48E" w14:textId="7D6FFE77" w:rsidR="00D34E5D" w:rsidRDefault="00D23317" w:rsidP="00D23317">
      <w:pPr>
        <w:pStyle w:val="RegSingleTxtG"/>
        <w:numPr>
          <w:ilvl w:val="0"/>
          <w:numId w:val="0"/>
        </w:numPr>
        <w:tabs>
          <w:tab w:val="left" w:pos="568"/>
          <w:tab w:val="num" w:pos="2269"/>
        </w:tabs>
        <w:ind w:left="1134"/>
        <w:rPr>
          <w:lang w:eastAsia="en-US"/>
        </w:rPr>
      </w:pPr>
      <w:r>
        <w:rPr>
          <w:lang w:eastAsia="en-US"/>
        </w:rPr>
        <w:t>24.</w:t>
      </w:r>
      <w:r>
        <w:rPr>
          <w:lang w:eastAsia="en-US"/>
        </w:rPr>
        <w:tab/>
      </w:r>
      <w:r w:rsidR="00D34E5D">
        <w:rPr>
          <w:i/>
          <w:iCs/>
          <w:lang w:eastAsia="en-US"/>
        </w:rPr>
        <w:t>Also acknowledges</w:t>
      </w:r>
      <w:r w:rsidR="00D34E5D">
        <w:rPr>
          <w:lang w:eastAsia="en-US"/>
        </w:rPr>
        <w:t xml:space="preserve"> that reducing earmarking and establishing longer and more flexible utilization periods would increase flexibility in using contributions to the Trust Fund for Supplementary Activities, which would enable the secretariat to allocate funding to the activities most in need of resources;</w:t>
      </w:r>
    </w:p>
    <w:p w14:paraId="29152D91" w14:textId="56A11A04" w:rsidR="00D34E5D" w:rsidRDefault="00D23317" w:rsidP="00D23317">
      <w:pPr>
        <w:pStyle w:val="RegSingleTxtG"/>
        <w:numPr>
          <w:ilvl w:val="0"/>
          <w:numId w:val="0"/>
        </w:numPr>
        <w:tabs>
          <w:tab w:val="left" w:pos="2269"/>
        </w:tabs>
        <w:ind w:left="1134"/>
        <w:rPr>
          <w:lang w:eastAsia="en-US"/>
        </w:rPr>
      </w:pPr>
      <w:r>
        <w:rPr>
          <w:lang w:eastAsia="en-US"/>
        </w:rPr>
        <w:t>25.</w:t>
      </w:r>
      <w:r>
        <w:rPr>
          <w:lang w:eastAsia="en-US"/>
        </w:rPr>
        <w:tab/>
      </w:r>
      <w:r w:rsidR="00D34E5D">
        <w:rPr>
          <w:i/>
          <w:iCs/>
          <w:lang w:eastAsia="en-US"/>
        </w:rPr>
        <w:t>Appreciates</w:t>
      </w:r>
      <w:r w:rsidR="00D34E5D">
        <w:rPr>
          <w:lang w:eastAsia="en-US"/>
        </w:rPr>
        <w:t xml:space="preserve"> the approach taken by the Executive Secretary to presenting supplementary resource requirements by overall objective and thematic area while also enclosing a list of projects;</w:t>
      </w:r>
    </w:p>
    <w:p w14:paraId="2C81CD13" w14:textId="7B93228B" w:rsidR="00D34E5D" w:rsidRDefault="00D23317" w:rsidP="00D23317">
      <w:pPr>
        <w:pStyle w:val="RegSingleTxtG"/>
        <w:numPr>
          <w:ilvl w:val="0"/>
          <w:numId w:val="0"/>
        </w:numPr>
        <w:tabs>
          <w:tab w:val="left" w:pos="2269"/>
        </w:tabs>
        <w:ind w:left="1134"/>
        <w:rPr>
          <w:lang w:eastAsia="en-US"/>
        </w:rPr>
      </w:pPr>
      <w:r>
        <w:rPr>
          <w:lang w:eastAsia="en-US"/>
        </w:rPr>
        <w:t>26.</w:t>
      </w:r>
      <w:r>
        <w:rPr>
          <w:lang w:eastAsia="en-US"/>
        </w:rPr>
        <w:tab/>
      </w:r>
      <w:r w:rsidR="00D34E5D">
        <w:rPr>
          <w:i/>
          <w:iCs/>
          <w:lang w:eastAsia="en-US"/>
        </w:rPr>
        <w:t>Requests</w:t>
      </w:r>
      <w:r w:rsidR="00D34E5D">
        <w:rPr>
          <w:lang w:eastAsia="en-US"/>
        </w:rPr>
        <w:t xml:space="preserve"> the secretariat to enhance follow-up on Parties’ outstanding core contributions, including through payment plans;</w:t>
      </w:r>
    </w:p>
    <w:p w14:paraId="0AA51621" w14:textId="7300AA53" w:rsidR="00D34E5D" w:rsidRDefault="00D23317" w:rsidP="00D23317">
      <w:pPr>
        <w:pStyle w:val="RegSingleTxtG"/>
        <w:numPr>
          <w:ilvl w:val="0"/>
          <w:numId w:val="0"/>
        </w:numPr>
        <w:tabs>
          <w:tab w:val="left" w:pos="2269"/>
        </w:tabs>
        <w:ind w:left="1134"/>
        <w:rPr>
          <w:lang w:eastAsia="en-US"/>
        </w:rPr>
      </w:pPr>
      <w:r>
        <w:rPr>
          <w:lang w:eastAsia="en-US"/>
        </w:rPr>
        <w:t>27.</w:t>
      </w:r>
      <w:r>
        <w:rPr>
          <w:lang w:eastAsia="en-US"/>
        </w:rPr>
        <w:tab/>
      </w:r>
      <w:r w:rsidR="00D34E5D">
        <w:rPr>
          <w:i/>
          <w:iCs/>
          <w:lang w:eastAsia="en-US"/>
        </w:rPr>
        <w:t xml:space="preserve">Decides </w:t>
      </w:r>
      <w:r w:rsidR="00D34E5D">
        <w:rPr>
          <w:iCs/>
          <w:lang w:eastAsia="en-US"/>
        </w:rPr>
        <w:t>to keep</w:t>
      </w:r>
      <w:r w:rsidR="00D34E5D">
        <w:rPr>
          <w:lang w:eastAsia="en-US"/>
        </w:rPr>
        <w:t xml:space="preserve"> the level of the working capital reserve at 8.3 per cent of annual total expenditure (in line with the UNFCCC financial procedures);</w:t>
      </w:r>
    </w:p>
    <w:p w14:paraId="1B2E433D" w14:textId="69797169" w:rsidR="009210A9" w:rsidRDefault="00D23317" w:rsidP="00D23317">
      <w:pPr>
        <w:pStyle w:val="RegSingleTxtG"/>
        <w:numPr>
          <w:ilvl w:val="0"/>
          <w:numId w:val="0"/>
        </w:numPr>
        <w:tabs>
          <w:tab w:val="left" w:pos="2269"/>
        </w:tabs>
        <w:ind w:left="1134"/>
        <w:rPr>
          <w:lang w:eastAsia="en-US"/>
        </w:rPr>
      </w:pPr>
      <w:r>
        <w:rPr>
          <w:lang w:eastAsia="en-US"/>
        </w:rPr>
        <w:t>28.</w:t>
      </w:r>
      <w:r>
        <w:rPr>
          <w:lang w:eastAsia="en-US"/>
        </w:rPr>
        <w:tab/>
      </w:r>
      <w:r w:rsidR="00D34E5D">
        <w:rPr>
          <w:i/>
          <w:iCs/>
          <w:lang w:eastAsia="en-US"/>
        </w:rPr>
        <w:t>Requests</w:t>
      </w:r>
      <w:r w:rsidR="00D34E5D">
        <w:rPr>
          <w:lang w:eastAsia="en-US"/>
        </w:rPr>
        <w:t xml:space="preserve"> the secretariat to inform Parties of the review and prioritization criteria for unearmarked contributions to ensure that they are allocated to activities in line with the secretariat’s work programme and the priorities set by Parties.</w:t>
      </w:r>
    </w:p>
    <w:p w14:paraId="6CB10EC1" w14:textId="5396727F" w:rsidR="009210A9" w:rsidRDefault="000948F2" w:rsidP="009210A9">
      <w:pPr>
        <w:tabs>
          <w:tab w:val="left" w:pos="1701"/>
        </w:tabs>
        <w:spacing w:after="120"/>
        <w:ind w:left="1135" w:right="1134"/>
        <w:jc w:val="right"/>
        <w:rPr>
          <w:i/>
        </w:rPr>
        <w:sectPr w:rsidR="009210A9" w:rsidSect="001B0963">
          <w:headerReference w:type="even" r:id="rId77"/>
          <w:headerReference w:type="default" r:id="rId78"/>
          <w:footerReference w:type="even" r:id="rId79"/>
          <w:footerReference w:type="first" r:id="rId80"/>
          <w:footnotePr>
            <w:numRestart w:val="eachSect"/>
          </w:footnotePr>
          <w:pgSz w:w="11906" w:h="16838" w:code="9"/>
          <w:pgMar w:top="1417" w:right="1134" w:bottom="1134" w:left="1134" w:header="850" w:footer="567" w:gutter="0"/>
          <w:cols w:space="708"/>
          <w:docGrid w:linePitch="360"/>
        </w:sectPr>
      </w:pPr>
      <w:r>
        <w:rPr>
          <w:i/>
        </w:rPr>
        <w:t>9</w:t>
      </w:r>
      <w:r w:rsidRPr="000948F2">
        <w:rPr>
          <w:i/>
          <w:vertAlign w:val="superscript"/>
        </w:rPr>
        <w:t>th</w:t>
      </w:r>
      <w:r>
        <w:rPr>
          <w:i/>
        </w:rPr>
        <w:t xml:space="preserve"> </w:t>
      </w:r>
      <w:r w:rsidR="009210A9" w:rsidRPr="00962645">
        <w:rPr>
          <w:i/>
        </w:rPr>
        <w:t>plenary meeting</w:t>
      </w:r>
      <w:r w:rsidR="009210A9" w:rsidRPr="00F002B9">
        <w:rPr>
          <w:i/>
        </w:rPr>
        <w:br/>
      </w:r>
      <w:r>
        <w:rPr>
          <w:i/>
        </w:rPr>
        <w:t>11</w:t>
      </w:r>
      <w:r w:rsidR="009210A9" w:rsidRPr="00F002B9">
        <w:rPr>
          <w:i/>
        </w:rPr>
        <w:t xml:space="preserve"> November 2021</w:t>
      </w:r>
    </w:p>
    <w:p w14:paraId="1D350F1E" w14:textId="099D3AAF" w:rsidR="009D681E" w:rsidRDefault="009D681E" w:rsidP="00D23317">
      <w:pPr>
        <w:pStyle w:val="RegHChG"/>
        <w:numPr>
          <w:ilvl w:val="0"/>
          <w:numId w:val="0"/>
        </w:numPr>
        <w:tabs>
          <w:tab w:val="left" w:pos="720"/>
        </w:tabs>
        <w:spacing w:before="480"/>
        <w:ind w:left="1134" w:hanging="454"/>
      </w:pPr>
      <w:bookmarkStart w:id="80" w:name="Resolution1"/>
      <w:r>
        <w:t>Resolution 1/CMP.16</w:t>
      </w:r>
    </w:p>
    <w:bookmarkEnd w:id="80"/>
    <w:p w14:paraId="1791BCC1" w14:textId="78550E71" w:rsidR="009D681E" w:rsidRDefault="009D681E" w:rsidP="00D23317">
      <w:pPr>
        <w:pStyle w:val="RegHChG"/>
        <w:numPr>
          <w:ilvl w:val="0"/>
          <w:numId w:val="0"/>
        </w:numPr>
        <w:tabs>
          <w:tab w:val="left" w:pos="720"/>
        </w:tabs>
        <w:ind w:left="1135" w:hanging="454"/>
      </w:pPr>
      <w:r>
        <w:t>Expression of gratitude to the Government of the United Kingdom of Great Britain and Northern Ireland and the people of the city of Glasgow</w:t>
      </w:r>
    </w:p>
    <w:p w14:paraId="7217F969" w14:textId="4B1A831B" w:rsidR="009D681E" w:rsidRPr="009D681E" w:rsidRDefault="009D681E" w:rsidP="00D23317">
      <w:pPr>
        <w:pStyle w:val="RegH1G"/>
        <w:numPr>
          <w:ilvl w:val="0"/>
          <w:numId w:val="0"/>
        </w:numPr>
        <w:ind w:left="1135" w:hanging="454"/>
      </w:pPr>
      <w:r>
        <w:t>Resolution submitted by the Arab Republic of Egypt</w:t>
      </w:r>
    </w:p>
    <w:p w14:paraId="21C76DCA" w14:textId="77777777" w:rsidR="009D681E" w:rsidRDefault="009D681E" w:rsidP="009D681E">
      <w:pPr>
        <w:pStyle w:val="SingleTxtG"/>
        <w:ind w:firstLine="567"/>
        <w:rPr>
          <w:b/>
          <w:i/>
        </w:rPr>
      </w:pPr>
      <w:r>
        <w:rPr>
          <w:i/>
        </w:rPr>
        <w:t>The Conference of the Parties, the Conference of the Parties serving as the meeting of the Parties to the Kyoto Protocol and the Conference of the Parties serving as the meeting of the Parties to the Paris Agreement</w:t>
      </w:r>
      <w:r>
        <w:t>,</w:t>
      </w:r>
    </w:p>
    <w:p w14:paraId="7ACBA410" w14:textId="3D0E4A4E" w:rsidR="009D681E" w:rsidRDefault="009D681E" w:rsidP="009D681E">
      <w:pPr>
        <w:pStyle w:val="SingleTxtG"/>
        <w:ind w:firstLine="567"/>
        <w:rPr>
          <w:b/>
        </w:rPr>
      </w:pPr>
      <w:r>
        <w:tab/>
      </w:r>
      <w:r>
        <w:rPr>
          <w:i/>
        </w:rPr>
        <w:t xml:space="preserve">Having met </w:t>
      </w:r>
      <w:r>
        <w:t>in Glasgow from 31 October to 1</w:t>
      </w:r>
      <w:r w:rsidR="00F15570">
        <w:t>3</w:t>
      </w:r>
      <w:r>
        <w:t xml:space="preserve"> November 2021,</w:t>
      </w:r>
    </w:p>
    <w:p w14:paraId="7161F72A" w14:textId="50489036" w:rsidR="009D681E" w:rsidRDefault="00D23317" w:rsidP="00D23317">
      <w:pPr>
        <w:pStyle w:val="RegSingleTxtG"/>
        <w:numPr>
          <w:ilvl w:val="0"/>
          <w:numId w:val="0"/>
        </w:numPr>
        <w:tabs>
          <w:tab w:val="left" w:pos="2269"/>
        </w:tabs>
        <w:ind w:left="1134"/>
      </w:pPr>
      <w:bookmarkStart w:id="81" w:name="_Hlk27037402"/>
      <w:r>
        <w:t>1.</w:t>
      </w:r>
      <w:r>
        <w:tab/>
      </w:r>
      <w:r w:rsidR="009D681E" w:rsidRPr="009D681E">
        <w:rPr>
          <w:i/>
        </w:rPr>
        <w:t xml:space="preserve">Express their profound gratitude </w:t>
      </w:r>
      <w:r w:rsidR="009D681E">
        <w:t xml:space="preserve">to the </w:t>
      </w:r>
      <w:bookmarkStart w:id="82" w:name="_Hlk27069105"/>
      <w:r w:rsidR="009D681E">
        <w:t xml:space="preserve">Government of the </w:t>
      </w:r>
      <w:bookmarkEnd w:id="82"/>
      <w:r w:rsidR="009D681E">
        <w:t>United Kingdom of Great Britain and Northern Ireland for having made it possible for the twenty-sixth session of the Conference of the Parties, the sixteenth session of the Conference of the Parties serving as the meeting of the Parties to the Kyoto Protocol and the third session of the Conference of the Parties serving as the meeting of the Parties to the Paris Agreement to be held in Glasgow;</w:t>
      </w:r>
    </w:p>
    <w:bookmarkEnd w:id="81"/>
    <w:p w14:paraId="5654021D" w14:textId="2710F30A" w:rsidR="009D681E" w:rsidRDefault="00D23317" w:rsidP="00D23317">
      <w:pPr>
        <w:pStyle w:val="RegSingleTxtG"/>
        <w:numPr>
          <w:ilvl w:val="0"/>
          <w:numId w:val="0"/>
        </w:numPr>
        <w:tabs>
          <w:tab w:val="left" w:pos="2269"/>
        </w:tabs>
        <w:ind w:left="1134"/>
      </w:pPr>
      <w:r>
        <w:t>2.</w:t>
      </w:r>
      <w:r>
        <w:tab/>
      </w:r>
      <w:r w:rsidR="009D681E">
        <w:rPr>
          <w:i/>
        </w:rPr>
        <w:t xml:space="preserve">Request </w:t>
      </w:r>
      <w:r w:rsidR="009D681E">
        <w:t xml:space="preserve">the Government of the United Kingdom </w:t>
      </w:r>
      <w:r w:rsidR="009D681E" w:rsidRPr="008325F1">
        <w:t>of Great Britain and Northern Ireland</w:t>
      </w:r>
      <w:r w:rsidR="009D681E">
        <w:t xml:space="preserve"> to convey to the city and people of Glasgow the gratitude of the Conference of the Parties, the Conference of the Parties serving as the meeting of the Parties to the Kyoto Protocol and the Conference of the Parties serving as the meeting of the Parties to the Paris Agreement for the hospitality and warmth extended to the participants.</w:t>
      </w:r>
    </w:p>
    <w:p w14:paraId="402CBD75" w14:textId="6693B14F" w:rsidR="00D37563" w:rsidRDefault="00F5089A" w:rsidP="009D681E">
      <w:pPr>
        <w:tabs>
          <w:tab w:val="left" w:pos="1701"/>
        </w:tabs>
        <w:spacing w:after="120"/>
        <w:ind w:left="1135" w:right="1134"/>
        <w:jc w:val="right"/>
        <w:rPr>
          <w:i/>
        </w:rPr>
      </w:pPr>
      <w:r>
        <w:rPr>
          <w:i/>
        </w:rPr>
        <w:t>10</w:t>
      </w:r>
      <w:r w:rsidRPr="00F5089A">
        <w:rPr>
          <w:i/>
          <w:vertAlign w:val="superscript"/>
        </w:rPr>
        <w:t>th</w:t>
      </w:r>
      <w:r>
        <w:rPr>
          <w:i/>
        </w:rPr>
        <w:t xml:space="preserve"> </w:t>
      </w:r>
      <w:r w:rsidR="009D681E" w:rsidRPr="00962645">
        <w:rPr>
          <w:i/>
        </w:rPr>
        <w:t>plenary meeting</w:t>
      </w:r>
      <w:r w:rsidR="009D681E" w:rsidRPr="00F002B9">
        <w:rPr>
          <w:i/>
        </w:rPr>
        <w:br/>
      </w:r>
      <w:r>
        <w:rPr>
          <w:i/>
        </w:rPr>
        <w:t>13</w:t>
      </w:r>
      <w:r w:rsidR="009D681E" w:rsidRPr="00F002B9">
        <w:rPr>
          <w:i/>
        </w:rPr>
        <w:t xml:space="preserve"> November 2021</w:t>
      </w:r>
    </w:p>
    <w:p w14:paraId="38D87731" w14:textId="569407A2" w:rsidR="009D681E" w:rsidRPr="000D5339" w:rsidRDefault="009D681E" w:rsidP="009D681E">
      <w:pPr>
        <w:spacing w:before="240"/>
        <w:ind w:left="1134" w:right="1134"/>
        <w:jc w:val="center"/>
      </w:pPr>
      <w:r>
        <w:rPr>
          <w:u w:val="single"/>
        </w:rPr>
        <w:tab/>
      </w:r>
      <w:r>
        <w:rPr>
          <w:u w:val="single"/>
        </w:rPr>
        <w:tab/>
      </w:r>
      <w:r>
        <w:rPr>
          <w:u w:val="single"/>
        </w:rPr>
        <w:tab/>
      </w:r>
      <w:r>
        <w:rPr>
          <w:u w:val="single"/>
        </w:rPr>
        <w:tab/>
      </w:r>
    </w:p>
    <w:sectPr w:rsidR="009D681E" w:rsidRPr="000D5339" w:rsidSect="001B0963">
      <w:headerReference w:type="even" r:id="rId81"/>
      <w:headerReference w:type="default" r:id="rId82"/>
      <w:footerReference w:type="even" r:id="rId83"/>
      <w:footerReference w:type="default" r:id="rId84"/>
      <w:footerReference w:type="first" r:id="rId85"/>
      <w:footnotePr>
        <w:numRestart w:val="eachSect"/>
      </w:footnotePr>
      <w:pgSz w:w="11906" w:h="16838" w:code="9"/>
      <w:pgMar w:top="1417" w:right="1134" w:bottom="1134" w:left="1134" w:header="85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CAA253" w14:textId="77777777" w:rsidR="00E53CC8" w:rsidRDefault="00E53CC8" w:rsidP="00C45173">
      <w:pPr>
        <w:spacing w:line="14" w:lineRule="exact"/>
      </w:pPr>
      <w:r>
        <w:separator/>
      </w:r>
    </w:p>
    <w:p w14:paraId="07C2221F" w14:textId="77777777" w:rsidR="00E53CC8" w:rsidRPr="00C45173" w:rsidRDefault="00E53CC8" w:rsidP="00C45173">
      <w:pPr>
        <w:spacing w:line="14" w:lineRule="atLeast"/>
        <w:rPr>
          <w:sz w:val="2"/>
          <w:szCs w:val="2"/>
        </w:rPr>
      </w:pPr>
    </w:p>
  </w:endnote>
  <w:endnote w:type="continuationSeparator" w:id="0">
    <w:p w14:paraId="4D76FE09" w14:textId="77777777" w:rsidR="00E53CC8" w:rsidRDefault="00E53CC8">
      <w:r>
        <w:continuationSeparator/>
      </w:r>
    </w:p>
    <w:p w14:paraId="68FC8A7D" w14:textId="77777777" w:rsidR="00E53CC8" w:rsidRDefault="00E53CC8"/>
  </w:endnote>
  <w:endnote w:type="continuationNotice" w:id="1">
    <w:p w14:paraId="012D467F" w14:textId="77777777" w:rsidR="00E53CC8" w:rsidRDefault="00E53CC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7709EE" w14:textId="77777777" w:rsidR="006504B4" w:rsidRDefault="001B3D02" w:rsidP="001B3D02">
    <w:pPr>
      <w:pStyle w:val="Footer"/>
      <w:tabs>
        <w:tab w:val="right" w:pos="9638"/>
      </w:tabs>
    </w:pPr>
    <w:r w:rsidRPr="001B3D02">
      <w:rPr>
        <w:b/>
        <w:sz w:val="18"/>
      </w:rPr>
      <w:fldChar w:fldCharType="begin"/>
    </w:r>
    <w:r w:rsidRPr="001B3D02">
      <w:rPr>
        <w:b/>
        <w:sz w:val="18"/>
      </w:rPr>
      <w:instrText xml:space="preserve"> PAGE  \* MERGEFORMAT </w:instrText>
    </w:r>
    <w:r w:rsidRPr="001B3D02">
      <w:rPr>
        <w:b/>
        <w:sz w:val="18"/>
      </w:rPr>
      <w:fldChar w:fldCharType="separate"/>
    </w:r>
    <w:r w:rsidRPr="001B3D02">
      <w:rPr>
        <w:b/>
        <w:noProof/>
        <w:sz w:val="18"/>
      </w:rPr>
      <w:t>3</w:t>
    </w:r>
    <w:r w:rsidRPr="001B3D02">
      <w:rPr>
        <w:b/>
        <w:sz w:val="18"/>
      </w:rPr>
      <w:fldChar w:fldCharType="end"/>
    </w:r>
    <w:r>
      <w:rPr>
        <w:sz w:val="18"/>
      </w:rP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10"/>
      <w:gridCol w:w="3210"/>
      <w:gridCol w:w="3210"/>
    </w:tblGrid>
    <w:tr w:rsidR="3D347C78" w14:paraId="2BC8F67F" w14:textId="77777777" w:rsidTr="00D23317">
      <w:tc>
        <w:tcPr>
          <w:tcW w:w="3210" w:type="dxa"/>
        </w:tcPr>
        <w:p w14:paraId="0B54BDF7" w14:textId="0505CC4C" w:rsidR="3D347C78" w:rsidRDefault="3D347C78" w:rsidP="00D23317">
          <w:pPr>
            <w:ind w:left="-115"/>
          </w:pPr>
        </w:p>
      </w:tc>
      <w:tc>
        <w:tcPr>
          <w:tcW w:w="3210" w:type="dxa"/>
        </w:tcPr>
        <w:p w14:paraId="0F03FE33" w14:textId="69C841EB" w:rsidR="3D347C78" w:rsidRDefault="3D347C78" w:rsidP="00D23317">
          <w:pPr>
            <w:jc w:val="center"/>
          </w:pPr>
        </w:p>
      </w:tc>
      <w:tc>
        <w:tcPr>
          <w:tcW w:w="3210" w:type="dxa"/>
        </w:tcPr>
        <w:p w14:paraId="329B3AD0" w14:textId="766BFAF0" w:rsidR="3D347C78" w:rsidRDefault="3D347C78" w:rsidP="00D23317">
          <w:pPr>
            <w:ind w:right="-115"/>
            <w:jc w:val="right"/>
          </w:pPr>
        </w:p>
      </w:tc>
    </w:tr>
  </w:tbl>
  <w:p w14:paraId="11B5C07E" w14:textId="1A7DA0A4" w:rsidR="3D347C78" w:rsidRDefault="3D347C78"/>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863DFC" w14:textId="77777777" w:rsidR="006504B4" w:rsidRPr="001B3D02" w:rsidRDefault="001B3D02" w:rsidP="001B3D02">
    <w:pPr>
      <w:pStyle w:val="Footer"/>
      <w:tabs>
        <w:tab w:val="right" w:pos="9638"/>
      </w:tabs>
      <w:rPr>
        <w:b/>
        <w:sz w:val="18"/>
      </w:rPr>
    </w:pPr>
    <w:r>
      <w:tab/>
    </w:r>
    <w:r w:rsidRPr="001B3D02">
      <w:rPr>
        <w:b/>
        <w:sz w:val="18"/>
      </w:rPr>
      <w:fldChar w:fldCharType="begin"/>
    </w:r>
    <w:r w:rsidRPr="001B3D02">
      <w:rPr>
        <w:b/>
        <w:sz w:val="18"/>
      </w:rPr>
      <w:instrText xml:space="preserve"> PAGE  \* MERGEFORMAT </w:instrText>
    </w:r>
    <w:r w:rsidRPr="001B3D02">
      <w:rPr>
        <w:b/>
        <w:sz w:val="18"/>
      </w:rPr>
      <w:fldChar w:fldCharType="separate"/>
    </w:r>
    <w:r w:rsidRPr="001B3D02">
      <w:rPr>
        <w:b/>
        <w:noProof/>
        <w:sz w:val="18"/>
      </w:rPr>
      <w:t>12</w:t>
    </w:r>
    <w:r w:rsidRPr="001B3D02">
      <w:rPr>
        <w:b/>
        <w:sz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10"/>
      <w:gridCol w:w="3210"/>
      <w:gridCol w:w="3210"/>
    </w:tblGrid>
    <w:tr w:rsidR="3D347C78" w14:paraId="6582895D" w14:textId="77777777" w:rsidTr="00D23317">
      <w:tc>
        <w:tcPr>
          <w:tcW w:w="3210" w:type="dxa"/>
        </w:tcPr>
        <w:p w14:paraId="59A66FDB" w14:textId="31C4251C" w:rsidR="3D347C78" w:rsidRDefault="3D347C78" w:rsidP="00D23317">
          <w:pPr>
            <w:ind w:left="-115"/>
          </w:pPr>
        </w:p>
      </w:tc>
      <w:tc>
        <w:tcPr>
          <w:tcW w:w="3210" w:type="dxa"/>
        </w:tcPr>
        <w:p w14:paraId="74295FC7" w14:textId="6779C96A" w:rsidR="3D347C78" w:rsidRDefault="3D347C78" w:rsidP="00D23317">
          <w:pPr>
            <w:jc w:val="center"/>
          </w:pPr>
        </w:p>
      </w:tc>
      <w:tc>
        <w:tcPr>
          <w:tcW w:w="3210" w:type="dxa"/>
        </w:tcPr>
        <w:p w14:paraId="0BA35968" w14:textId="5D886A12" w:rsidR="3D347C78" w:rsidRDefault="3D347C78" w:rsidP="00D23317">
          <w:pPr>
            <w:ind w:right="-115"/>
            <w:jc w:val="right"/>
          </w:pPr>
        </w:p>
      </w:tc>
    </w:tr>
  </w:tbl>
  <w:p w14:paraId="7970F413" w14:textId="6B1DF27E" w:rsidR="3D347C78" w:rsidRDefault="3D347C78"/>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14AEFE" w14:textId="77777777" w:rsidR="006504B4" w:rsidRDefault="001B3D02" w:rsidP="001B3D02">
    <w:pPr>
      <w:pStyle w:val="Footer"/>
      <w:tabs>
        <w:tab w:val="right" w:pos="9638"/>
      </w:tabs>
    </w:pPr>
    <w:r w:rsidRPr="001B3D02">
      <w:rPr>
        <w:b/>
        <w:sz w:val="18"/>
      </w:rPr>
      <w:fldChar w:fldCharType="begin"/>
    </w:r>
    <w:r w:rsidRPr="001B3D02">
      <w:rPr>
        <w:b/>
        <w:sz w:val="18"/>
      </w:rPr>
      <w:instrText xml:space="preserve"> PAGE  \* MERGEFORMAT </w:instrText>
    </w:r>
    <w:r w:rsidRPr="001B3D02">
      <w:rPr>
        <w:b/>
        <w:sz w:val="18"/>
      </w:rPr>
      <w:fldChar w:fldCharType="separate"/>
    </w:r>
    <w:r w:rsidRPr="001B3D02">
      <w:rPr>
        <w:b/>
        <w:noProof/>
        <w:sz w:val="18"/>
      </w:rPr>
      <w:t>13</w:t>
    </w:r>
    <w:r w:rsidRPr="001B3D02">
      <w:rPr>
        <w:b/>
        <w:sz w:val="18"/>
      </w:rPr>
      <w:fldChar w:fldCharType="end"/>
    </w:r>
    <w:r>
      <w:rPr>
        <w:sz w:val="18"/>
      </w:rPr>
      <w:tab/>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0944B5" w14:textId="77777777" w:rsidR="006504B4" w:rsidRPr="001B3D02" w:rsidRDefault="001B3D02" w:rsidP="001B3D02">
    <w:pPr>
      <w:pStyle w:val="Footer"/>
      <w:tabs>
        <w:tab w:val="right" w:pos="9638"/>
      </w:tabs>
      <w:rPr>
        <w:b/>
        <w:sz w:val="18"/>
      </w:rPr>
    </w:pPr>
    <w:r>
      <w:tab/>
    </w:r>
    <w:r w:rsidRPr="001B3D02">
      <w:rPr>
        <w:b/>
        <w:sz w:val="18"/>
      </w:rPr>
      <w:fldChar w:fldCharType="begin"/>
    </w:r>
    <w:r w:rsidRPr="001B3D02">
      <w:rPr>
        <w:b/>
        <w:sz w:val="18"/>
      </w:rPr>
      <w:instrText xml:space="preserve"> PAGE  \* MERGEFORMAT </w:instrText>
    </w:r>
    <w:r w:rsidRPr="001B3D02">
      <w:rPr>
        <w:b/>
        <w:sz w:val="18"/>
      </w:rPr>
      <w:fldChar w:fldCharType="separate"/>
    </w:r>
    <w:r w:rsidRPr="001B3D02">
      <w:rPr>
        <w:b/>
        <w:noProof/>
        <w:sz w:val="18"/>
      </w:rPr>
      <w:t>14</w:t>
    </w:r>
    <w:r w:rsidRPr="001B3D02">
      <w:rPr>
        <w:b/>
        <w:sz w:val="18"/>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10"/>
      <w:gridCol w:w="3210"/>
      <w:gridCol w:w="3210"/>
    </w:tblGrid>
    <w:tr w:rsidR="3D347C78" w14:paraId="76E7EA4F" w14:textId="77777777" w:rsidTr="00D23317">
      <w:tc>
        <w:tcPr>
          <w:tcW w:w="3210" w:type="dxa"/>
        </w:tcPr>
        <w:p w14:paraId="5C388920" w14:textId="3462B73E" w:rsidR="3D347C78" w:rsidRDefault="3D347C78" w:rsidP="00D23317">
          <w:pPr>
            <w:ind w:left="-115"/>
          </w:pPr>
        </w:p>
      </w:tc>
      <w:tc>
        <w:tcPr>
          <w:tcW w:w="3210" w:type="dxa"/>
        </w:tcPr>
        <w:p w14:paraId="6C6B7EF6" w14:textId="1167DBBD" w:rsidR="3D347C78" w:rsidRDefault="3D347C78" w:rsidP="00D23317">
          <w:pPr>
            <w:jc w:val="center"/>
          </w:pPr>
        </w:p>
      </w:tc>
      <w:tc>
        <w:tcPr>
          <w:tcW w:w="3210" w:type="dxa"/>
        </w:tcPr>
        <w:p w14:paraId="062A4BFB" w14:textId="43DCEC5F" w:rsidR="3D347C78" w:rsidRDefault="3D347C78" w:rsidP="00D23317">
          <w:pPr>
            <w:ind w:right="-115"/>
            <w:jc w:val="right"/>
          </w:pPr>
        </w:p>
      </w:tc>
    </w:tr>
  </w:tbl>
  <w:p w14:paraId="0BFBF931" w14:textId="5ECD9B0A" w:rsidR="3D347C78" w:rsidRDefault="3D347C78"/>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03BC5" w14:textId="77777777" w:rsidR="006504B4" w:rsidRDefault="001B3D02" w:rsidP="001B3D02">
    <w:pPr>
      <w:pStyle w:val="Footer"/>
      <w:tabs>
        <w:tab w:val="right" w:pos="9638"/>
      </w:tabs>
    </w:pPr>
    <w:r w:rsidRPr="001B3D02">
      <w:rPr>
        <w:b/>
        <w:sz w:val="18"/>
      </w:rPr>
      <w:fldChar w:fldCharType="begin"/>
    </w:r>
    <w:r w:rsidRPr="001B3D02">
      <w:rPr>
        <w:b/>
        <w:sz w:val="18"/>
      </w:rPr>
      <w:instrText xml:space="preserve"> PAGE  \* MERGEFORMAT </w:instrText>
    </w:r>
    <w:r w:rsidRPr="001B3D02">
      <w:rPr>
        <w:b/>
        <w:sz w:val="18"/>
      </w:rPr>
      <w:fldChar w:fldCharType="separate"/>
    </w:r>
    <w:r w:rsidRPr="001B3D02">
      <w:rPr>
        <w:b/>
        <w:noProof/>
        <w:sz w:val="18"/>
      </w:rPr>
      <w:t>15</w:t>
    </w:r>
    <w:r w:rsidRPr="001B3D02">
      <w:rPr>
        <w:b/>
        <w:sz w:val="18"/>
      </w:rPr>
      <w:fldChar w:fldCharType="end"/>
    </w:r>
    <w:r>
      <w:rPr>
        <w:sz w:val="18"/>
      </w:rPr>
      <w:tab/>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F1B50" w14:textId="77777777" w:rsidR="006504B4" w:rsidRPr="001B3D02" w:rsidRDefault="001B3D02" w:rsidP="001B3D02">
    <w:pPr>
      <w:pStyle w:val="Footer"/>
      <w:tabs>
        <w:tab w:val="right" w:pos="9638"/>
      </w:tabs>
      <w:rPr>
        <w:b/>
        <w:sz w:val="18"/>
      </w:rPr>
    </w:pPr>
    <w:r>
      <w:tab/>
    </w:r>
    <w:r w:rsidRPr="001B3D02">
      <w:rPr>
        <w:b/>
        <w:sz w:val="18"/>
      </w:rPr>
      <w:fldChar w:fldCharType="begin"/>
    </w:r>
    <w:r w:rsidRPr="001B3D02">
      <w:rPr>
        <w:b/>
        <w:sz w:val="18"/>
      </w:rPr>
      <w:instrText xml:space="preserve"> PAGE  \* MERGEFORMAT </w:instrText>
    </w:r>
    <w:r w:rsidRPr="001B3D02">
      <w:rPr>
        <w:b/>
        <w:sz w:val="18"/>
      </w:rPr>
      <w:fldChar w:fldCharType="separate"/>
    </w:r>
    <w:r w:rsidRPr="001B3D02">
      <w:rPr>
        <w:b/>
        <w:noProof/>
        <w:sz w:val="18"/>
      </w:rPr>
      <w:t>16</w:t>
    </w:r>
    <w:r w:rsidRPr="001B3D02">
      <w:rPr>
        <w:b/>
        <w:sz w:val="18"/>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10"/>
      <w:gridCol w:w="3210"/>
      <w:gridCol w:w="3210"/>
    </w:tblGrid>
    <w:tr w:rsidR="3D347C78" w14:paraId="53E7179B" w14:textId="77777777" w:rsidTr="00D23317">
      <w:tc>
        <w:tcPr>
          <w:tcW w:w="3210" w:type="dxa"/>
        </w:tcPr>
        <w:p w14:paraId="5642AD8C" w14:textId="744D48E3" w:rsidR="3D347C78" w:rsidRDefault="3D347C78" w:rsidP="00D23317">
          <w:pPr>
            <w:ind w:left="-115"/>
          </w:pPr>
        </w:p>
      </w:tc>
      <w:tc>
        <w:tcPr>
          <w:tcW w:w="3210" w:type="dxa"/>
        </w:tcPr>
        <w:p w14:paraId="6EEDE66A" w14:textId="10699BA3" w:rsidR="3D347C78" w:rsidRDefault="3D347C78" w:rsidP="00D23317">
          <w:pPr>
            <w:jc w:val="center"/>
          </w:pPr>
        </w:p>
      </w:tc>
      <w:tc>
        <w:tcPr>
          <w:tcW w:w="3210" w:type="dxa"/>
        </w:tcPr>
        <w:p w14:paraId="1CFA8A83" w14:textId="1454478C" w:rsidR="3D347C78" w:rsidRDefault="3D347C78" w:rsidP="00D23317">
          <w:pPr>
            <w:ind w:right="-115"/>
            <w:jc w:val="right"/>
          </w:pPr>
        </w:p>
      </w:tc>
    </w:tr>
  </w:tbl>
  <w:p w14:paraId="6E293BB8" w14:textId="79692662" w:rsidR="3D347C78" w:rsidRDefault="3D347C78"/>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F0D74" w14:textId="77777777" w:rsidR="006504B4" w:rsidRDefault="001B3D02" w:rsidP="001B3D02">
    <w:pPr>
      <w:pStyle w:val="Footer"/>
      <w:tabs>
        <w:tab w:val="right" w:pos="9638"/>
      </w:tabs>
    </w:pPr>
    <w:r w:rsidRPr="001B3D02">
      <w:rPr>
        <w:b/>
        <w:sz w:val="18"/>
      </w:rPr>
      <w:fldChar w:fldCharType="begin"/>
    </w:r>
    <w:r w:rsidRPr="001B3D02">
      <w:rPr>
        <w:b/>
        <w:sz w:val="18"/>
      </w:rPr>
      <w:instrText xml:space="preserve"> PAGE  \* MERGEFORMAT </w:instrText>
    </w:r>
    <w:r w:rsidRPr="001B3D02">
      <w:rPr>
        <w:b/>
        <w:sz w:val="18"/>
      </w:rPr>
      <w:fldChar w:fldCharType="separate"/>
    </w:r>
    <w:r w:rsidRPr="001B3D02">
      <w:rPr>
        <w:b/>
        <w:noProof/>
        <w:sz w:val="18"/>
      </w:rPr>
      <w:t>17</w:t>
    </w:r>
    <w:r w:rsidRPr="001B3D02">
      <w:rPr>
        <w:b/>
        <w:sz w:val="18"/>
      </w:rPr>
      <w:fldChar w:fldCharType="end"/>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F3289B" w14:textId="77777777" w:rsidR="006504B4" w:rsidRPr="001B3D02" w:rsidRDefault="001B3D02" w:rsidP="001B3D02">
    <w:pPr>
      <w:pStyle w:val="Footer"/>
      <w:tabs>
        <w:tab w:val="right" w:pos="9638"/>
      </w:tabs>
      <w:rPr>
        <w:b/>
        <w:sz w:val="18"/>
      </w:rPr>
    </w:pPr>
    <w:r>
      <w:tab/>
    </w:r>
    <w:r w:rsidRPr="001B3D02">
      <w:rPr>
        <w:b/>
        <w:sz w:val="18"/>
      </w:rPr>
      <w:fldChar w:fldCharType="begin"/>
    </w:r>
    <w:r w:rsidRPr="001B3D02">
      <w:rPr>
        <w:b/>
        <w:sz w:val="18"/>
      </w:rPr>
      <w:instrText xml:space="preserve"> PAGE  \* MERGEFORMAT </w:instrText>
    </w:r>
    <w:r w:rsidRPr="001B3D02">
      <w:rPr>
        <w:b/>
        <w:sz w:val="18"/>
      </w:rPr>
      <w:fldChar w:fldCharType="separate"/>
    </w:r>
    <w:r w:rsidRPr="001B3D02">
      <w:rPr>
        <w:b/>
        <w:noProof/>
        <w:sz w:val="18"/>
      </w:rPr>
      <w:t>4</w:t>
    </w:r>
    <w:r w:rsidRPr="001B3D02">
      <w:rPr>
        <w:b/>
        <w:sz w:val="18"/>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014CF" w14:textId="77777777" w:rsidR="006504B4" w:rsidRPr="001B3D02" w:rsidRDefault="001B3D02" w:rsidP="001B3D02">
    <w:pPr>
      <w:pStyle w:val="Footer"/>
      <w:tabs>
        <w:tab w:val="right" w:pos="9638"/>
      </w:tabs>
      <w:rPr>
        <w:b/>
        <w:sz w:val="18"/>
      </w:rPr>
    </w:pPr>
    <w:r>
      <w:tab/>
    </w:r>
    <w:r w:rsidRPr="001B3D02">
      <w:rPr>
        <w:b/>
        <w:sz w:val="18"/>
      </w:rPr>
      <w:fldChar w:fldCharType="begin"/>
    </w:r>
    <w:r w:rsidRPr="001B3D02">
      <w:rPr>
        <w:b/>
        <w:sz w:val="18"/>
      </w:rPr>
      <w:instrText xml:space="preserve"> PAGE  \* MERGEFORMAT </w:instrText>
    </w:r>
    <w:r w:rsidRPr="001B3D02">
      <w:rPr>
        <w:b/>
        <w:sz w:val="18"/>
      </w:rPr>
      <w:fldChar w:fldCharType="separate"/>
    </w:r>
    <w:r w:rsidRPr="001B3D02">
      <w:rPr>
        <w:b/>
        <w:noProof/>
        <w:sz w:val="18"/>
      </w:rPr>
      <w:t>18</w:t>
    </w:r>
    <w:r w:rsidRPr="001B3D02">
      <w:rPr>
        <w:b/>
        <w:sz w:val="18"/>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10"/>
      <w:gridCol w:w="3210"/>
      <w:gridCol w:w="3210"/>
    </w:tblGrid>
    <w:tr w:rsidR="3D347C78" w14:paraId="47D75634" w14:textId="77777777" w:rsidTr="00D23317">
      <w:tc>
        <w:tcPr>
          <w:tcW w:w="3210" w:type="dxa"/>
        </w:tcPr>
        <w:p w14:paraId="657A880C" w14:textId="7ED832B8" w:rsidR="3D347C78" w:rsidRDefault="3D347C78" w:rsidP="00D23317">
          <w:pPr>
            <w:ind w:left="-115"/>
          </w:pPr>
        </w:p>
      </w:tc>
      <w:tc>
        <w:tcPr>
          <w:tcW w:w="3210" w:type="dxa"/>
        </w:tcPr>
        <w:p w14:paraId="7652A4B6" w14:textId="1286846F" w:rsidR="3D347C78" w:rsidRDefault="3D347C78" w:rsidP="00D23317">
          <w:pPr>
            <w:jc w:val="center"/>
          </w:pPr>
        </w:p>
      </w:tc>
      <w:tc>
        <w:tcPr>
          <w:tcW w:w="3210" w:type="dxa"/>
        </w:tcPr>
        <w:p w14:paraId="3D9CB6B4" w14:textId="6C37A74E" w:rsidR="3D347C78" w:rsidRDefault="3D347C78" w:rsidP="00D23317">
          <w:pPr>
            <w:ind w:right="-115"/>
            <w:jc w:val="right"/>
          </w:pPr>
        </w:p>
      </w:tc>
    </w:tr>
  </w:tbl>
  <w:p w14:paraId="1F54C0DC" w14:textId="38C45F76" w:rsidR="3D347C78" w:rsidRDefault="3D347C78"/>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523C49" w14:textId="77777777" w:rsidR="006504B4" w:rsidRDefault="001B3D02" w:rsidP="001B3D02">
    <w:pPr>
      <w:pStyle w:val="Footer"/>
      <w:tabs>
        <w:tab w:val="right" w:pos="9638"/>
      </w:tabs>
    </w:pPr>
    <w:r w:rsidRPr="001B3D02">
      <w:rPr>
        <w:b/>
        <w:sz w:val="18"/>
      </w:rPr>
      <w:fldChar w:fldCharType="begin"/>
    </w:r>
    <w:r w:rsidRPr="001B3D02">
      <w:rPr>
        <w:b/>
        <w:sz w:val="18"/>
      </w:rPr>
      <w:instrText xml:space="preserve"> PAGE  \* MERGEFORMAT </w:instrText>
    </w:r>
    <w:r w:rsidRPr="001B3D02">
      <w:rPr>
        <w:b/>
        <w:sz w:val="18"/>
      </w:rPr>
      <w:fldChar w:fldCharType="separate"/>
    </w:r>
    <w:r w:rsidRPr="001B3D02">
      <w:rPr>
        <w:b/>
        <w:noProof/>
        <w:sz w:val="18"/>
      </w:rPr>
      <w:t>19</w:t>
    </w:r>
    <w:r w:rsidRPr="001B3D02">
      <w:rPr>
        <w:b/>
        <w:sz w:val="18"/>
      </w:rPr>
      <w:fldChar w:fldCharType="end"/>
    </w:r>
    <w:r>
      <w:rPr>
        <w:sz w:val="18"/>
      </w:rPr>
      <w:tab/>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A2EA9C" w14:textId="77777777" w:rsidR="006504B4" w:rsidRPr="001B3D02" w:rsidRDefault="001B3D02" w:rsidP="001B3D02">
    <w:pPr>
      <w:pStyle w:val="Footer"/>
      <w:tabs>
        <w:tab w:val="right" w:pos="9638"/>
      </w:tabs>
      <w:rPr>
        <w:b/>
        <w:sz w:val="18"/>
      </w:rPr>
    </w:pPr>
    <w:r>
      <w:tab/>
    </w:r>
    <w:r w:rsidRPr="001B3D02">
      <w:rPr>
        <w:b/>
        <w:sz w:val="18"/>
      </w:rPr>
      <w:fldChar w:fldCharType="begin"/>
    </w:r>
    <w:r w:rsidRPr="001B3D02">
      <w:rPr>
        <w:b/>
        <w:sz w:val="18"/>
      </w:rPr>
      <w:instrText xml:space="preserve"> PAGE  \* MERGEFORMAT </w:instrText>
    </w:r>
    <w:r w:rsidRPr="001B3D02">
      <w:rPr>
        <w:b/>
        <w:sz w:val="18"/>
      </w:rPr>
      <w:fldChar w:fldCharType="separate"/>
    </w:r>
    <w:r w:rsidRPr="001B3D02">
      <w:rPr>
        <w:b/>
        <w:noProof/>
        <w:sz w:val="18"/>
      </w:rPr>
      <w:t>20</w:t>
    </w:r>
    <w:r w:rsidRPr="001B3D02">
      <w:rPr>
        <w:b/>
        <w:sz w:val="18"/>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10"/>
      <w:gridCol w:w="3210"/>
      <w:gridCol w:w="3210"/>
    </w:tblGrid>
    <w:tr w:rsidR="3D347C78" w14:paraId="3B86D0A7" w14:textId="77777777" w:rsidTr="00D23317">
      <w:tc>
        <w:tcPr>
          <w:tcW w:w="3210" w:type="dxa"/>
        </w:tcPr>
        <w:p w14:paraId="73BF1430" w14:textId="6269AD54" w:rsidR="3D347C78" w:rsidRDefault="3D347C78" w:rsidP="00D23317">
          <w:pPr>
            <w:ind w:left="-115"/>
          </w:pPr>
        </w:p>
      </w:tc>
      <w:tc>
        <w:tcPr>
          <w:tcW w:w="3210" w:type="dxa"/>
        </w:tcPr>
        <w:p w14:paraId="7966EC9A" w14:textId="0A02C74B" w:rsidR="3D347C78" w:rsidRDefault="3D347C78" w:rsidP="00D23317">
          <w:pPr>
            <w:jc w:val="center"/>
          </w:pPr>
        </w:p>
      </w:tc>
      <w:tc>
        <w:tcPr>
          <w:tcW w:w="3210" w:type="dxa"/>
        </w:tcPr>
        <w:p w14:paraId="002A53FF" w14:textId="62F3F330" w:rsidR="3D347C78" w:rsidRDefault="3D347C78" w:rsidP="00D23317">
          <w:pPr>
            <w:ind w:right="-115"/>
            <w:jc w:val="right"/>
          </w:pPr>
        </w:p>
      </w:tc>
    </w:tr>
  </w:tbl>
  <w:p w14:paraId="444A0064" w14:textId="0FA6FDA0" w:rsidR="3D347C78" w:rsidRDefault="3D347C78"/>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4979CC" w14:textId="77777777" w:rsidR="006504B4" w:rsidRDefault="001B3D02" w:rsidP="001B3D02">
    <w:pPr>
      <w:pStyle w:val="Footer"/>
      <w:tabs>
        <w:tab w:val="right" w:pos="9638"/>
      </w:tabs>
    </w:pPr>
    <w:r w:rsidRPr="001B3D02">
      <w:rPr>
        <w:b/>
        <w:sz w:val="18"/>
      </w:rPr>
      <w:fldChar w:fldCharType="begin"/>
    </w:r>
    <w:r w:rsidRPr="001B3D02">
      <w:rPr>
        <w:b/>
        <w:sz w:val="18"/>
      </w:rPr>
      <w:instrText xml:space="preserve"> PAGE  \* MERGEFORMAT </w:instrText>
    </w:r>
    <w:r w:rsidRPr="001B3D02">
      <w:rPr>
        <w:b/>
        <w:sz w:val="18"/>
      </w:rPr>
      <w:fldChar w:fldCharType="separate"/>
    </w:r>
    <w:r w:rsidRPr="001B3D02">
      <w:rPr>
        <w:b/>
        <w:noProof/>
        <w:sz w:val="18"/>
      </w:rPr>
      <w:t>21</w:t>
    </w:r>
    <w:r w:rsidRPr="001B3D02">
      <w:rPr>
        <w:b/>
        <w:sz w:val="18"/>
      </w:rPr>
      <w:fldChar w:fldCharType="end"/>
    </w:r>
    <w:r>
      <w:rPr>
        <w:sz w:val="18"/>
      </w:rPr>
      <w:tab/>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10"/>
      <w:gridCol w:w="3210"/>
      <w:gridCol w:w="3210"/>
    </w:tblGrid>
    <w:tr w:rsidR="3D347C78" w14:paraId="50AC5C04" w14:textId="77777777" w:rsidTr="00D23317">
      <w:tc>
        <w:tcPr>
          <w:tcW w:w="3210" w:type="dxa"/>
        </w:tcPr>
        <w:p w14:paraId="2AED0C4F" w14:textId="3600CA99" w:rsidR="3D347C78" w:rsidRDefault="3D347C78" w:rsidP="00D23317">
          <w:pPr>
            <w:ind w:left="-115"/>
          </w:pPr>
        </w:p>
      </w:tc>
      <w:tc>
        <w:tcPr>
          <w:tcW w:w="3210" w:type="dxa"/>
        </w:tcPr>
        <w:p w14:paraId="7C554257" w14:textId="242FA974" w:rsidR="3D347C78" w:rsidRDefault="3D347C78" w:rsidP="00D23317">
          <w:pPr>
            <w:jc w:val="center"/>
          </w:pPr>
        </w:p>
      </w:tc>
      <w:tc>
        <w:tcPr>
          <w:tcW w:w="3210" w:type="dxa"/>
        </w:tcPr>
        <w:p w14:paraId="4084B98C" w14:textId="02CAA5C2" w:rsidR="3D347C78" w:rsidRDefault="3D347C78" w:rsidP="00D23317">
          <w:pPr>
            <w:ind w:right="-115"/>
            <w:jc w:val="right"/>
          </w:pPr>
        </w:p>
      </w:tc>
    </w:tr>
  </w:tbl>
  <w:p w14:paraId="613E73F7" w14:textId="60AEB434" w:rsidR="3D347C78" w:rsidRDefault="3D347C78"/>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1A1C7" w14:textId="77777777" w:rsidR="006504B4" w:rsidRDefault="001B3D02" w:rsidP="001B3D02">
    <w:pPr>
      <w:pStyle w:val="Footer"/>
      <w:tabs>
        <w:tab w:val="right" w:pos="9638"/>
      </w:tabs>
    </w:pPr>
    <w:r w:rsidRPr="001B3D02">
      <w:rPr>
        <w:b/>
        <w:sz w:val="18"/>
      </w:rPr>
      <w:fldChar w:fldCharType="begin"/>
    </w:r>
    <w:r w:rsidRPr="001B3D02">
      <w:rPr>
        <w:b/>
        <w:sz w:val="18"/>
      </w:rPr>
      <w:instrText xml:space="preserve"> PAGE  \* MERGEFORMAT </w:instrText>
    </w:r>
    <w:r w:rsidRPr="001B3D02">
      <w:rPr>
        <w:b/>
        <w:sz w:val="18"/>
      </w:rPr>
      <w:fldChar w:fldCharType="separate"/>
    </w:r>
    <w:r w:rsidRPr="001B3D02">
      <w:rPr>
        <w:b/>
        <w:noProof/>
        <w:sz w:val="18"/>
      </w:rPr>
      <w:t>23</w:t>
    </w:r>
    <w:r w:rsidRPr="001B3D02">
      <w:rPr>
        <w:b/>
        <w:sz w:val="18"/>
      </w:rPr>
      <w:fldChar w:fldCharType="end"/>
    </w:r>
    <w:r>
      <w:rPr>
        <w:sz w:val="18"/>
      </w:rPr>
      <w:tab/>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5138AB" w14:textId="77777777" w:rsidR="006504B4" w:rsidRPr="001B3D02" w:rsidRDefault="001B3D02" w:rsidP="001B3D02">
    <w:pPr>
      <w:pStyle w:val="Footer"/>
      <w:tabs>
        <w:tab w:val="right" w:pos="9638"/>
      </w:tabs>
      <w:rPr>
        <w:b/>
        <w:sz w:val="18"/>
      </w:rPr>
    </w:pPr>
    <w:r>
      <w:tab/>
    </w:r>
    <w:r w:rsidRPr="001B3D02">
      <w:rPr>
        <w:b/>
        <w:sz w:val="18"/>
      </w:rPr>
      <w:fldChar w:fldCharType="begin"/>
    </w:r>
    <w:r w:rsidRPr="001B3D02">
      <w:rPr>
        <w:b/>
        <w:sz w:val="18"/>
      </w:rPr>
      <w:instrText xml:space="preserve"> PAGE  \* MERGEFORMAT </w:instrText>
    </w:r>
    <w:r w:rsidRPr="001B3D02">
      <w:rPr>
        <w:b/>
        <w:sz w:val="18"/>
      </w:rPr>
      <w:fldChar w:fldCharType="separate"/>
    </w:r>
    <w:r w:rsidRPr="001B3D02">
      <w:rPr>
        <w:b/>
        <w:noProof/>
        <w:sz w:val="18"/>
      </w:rPr>
      <w:t>22</w:t>
    </w:r>
    <w:r w:rsidRPr="001B3D02">
      <w:rPr>
        <w:b/>
        <w:sz w:val="18"/>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10"/>
      <w:gridCol w:w="3210"/>
      <w:gridCol w:w="3210"/>
    </w:tblGrid>
    <w:tr w:rsidR="3D347C78" w14:paraId="1EBCE15C" w14:textId="77777777" w:rsidTr="00D23317">
      <w:tc>
        <w:tcPr>
          <w:tcW w:w="3210" w:type="dxa"/>
        </w:tcPr>
        <w:p w14:paraId="167E33B7" w14:textId="12504A36" w:rsidR="3D347C78" w:rsidRDefault="3D347C78" w:rsidP="00D23317">
          <w:pPr>
            <w:ind w:left="-115"/>
          </w:pPr>
        </w:p>
      </w:tc>
      <w:tc>
        <w:tcPr>
          <w:tcW w:w="3210" w:type="dxa"/>
        </w:tcPr>
        <w:p w14:paraId="610E9D56" w14:textId="76D1459F" w:rsidR="3D347C78" w:rsidRDefault="3D347C78" w:rsidP="00D23317">
          <w:pPr>
            <w:jc w:val="center"/>
          </w:pPr>
        </w:p>
      </w:tc>
      <w:tc>
        <w:tcPr>
          <w:tcW w:w="3210" w:type="dxa"/>
        </w:tcPr>
        <w:p w14:paraId="6589435D" w14:textId="27CCFD00" w:rsidR="3D347C78" w:rsidRDefault="3D347C78" w:rsidP="00D23317">
          <w:pPr>
            <w:ind w:right="-115"/>
            <w:jc w:val="right"/>
          </w:pPr>
        </w:p>
      </w:tc>
    </w:tr>
  </w:tbl>
  <w:p w14:paraId="763DE9AA" w14:textId="3F1B109C" w:rsidR="3D347C78" w:rsidRDefault="3D347C7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61B33" w14:textId="77777777" w:rsidR="006504B4" w:rsidRDefault="001B3D02" w:rsidP="001B3D02">
    <w:pPr>
      <w:pStyle w:val="Footer"/>
      <w:tabs>
        <w:tab w:val="right" w:pos="9638"/>
      </w:tabs>
    </w:pPr>
    <w:r w:rsidRPr="001B3D02">
      <w:rPr>
        <w:b/>
        <w:sz w:val="18"/>
      </w:rPr>
      <w:fldChar w:fldCharType="begin"/>
    </w:r>
    <w:r w:rsidRPr="001B3D02">
      <w:rPr>
        <w:b/>
        <w:sz w:val="18"/>
      </w:rPr>
      <w:instrText xml:space="preserve"> PAGE  \* MERGEFORMAT </w:instrText>
    </w:r>
    <w:r w:rsidRPr="001B3D02">
      <w:rPr>
        <w:b/>
        <w:sz w:val="18"/>
      </w:rPr>
      <w:fldChar w:fldCharType="separate"/>
    </w:r>
    <w:r w:rsidRPr="001B3D02">
      <w:rPr>
        <w:b/>
        <w:noProof/>
        <w:sz w:val="18"/>
      </w:rPr>
      <w:t>5</w:t>
    </w:r>
    <w:r w:rsidRPr="001B3D02">
      <w:rPr>
        <w:b/>
        <w:sz w:val="18"/>
      </w:rPr>
      <w:fldChar w:fldCharType="end"/>
    </w:r>
    <w:r>
      <w:rPr>
        <w:sz w:val="18"/>
      </w:rPr>
      <w:tab/>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6AD99C" w14:textId="77777777" w:rsidR="006504B4" w:rsidRDefault="001B3D02" w:rsidP="001B3D02">
    <w:pPr>
      <w:pStyle w:val="Footer"/>
      <w:tabs>
        <w:tab w:val="right" w:pos="9638"/>
      </w:tabs>
    </w:pPr>
    <w:r w:rsidRPr="001B3D02">
      <w:rPr>
        <w:b/>
        <w:sz w:val="18"/>
      </w:rPr>
      <w:fldChar w:fldCharType="begin"/>
    </w:r>
    <w:r w:rsidRPr="001B3D02">
      <w:rPr>
        <w:b/>
        <w:sz w:val="18"/>
      </w:rPr>
      <w:instrText xml:space="preserve"> PAGE  \* MERGEFORMAT </w:instrText>
    </w:r>
    <w:r w:rsidRPr="001B3D02">
      <w:rPr>
        <w:b/>
        <w:sz w:val="18"/>
      </w:rPr>
      <w:fldChar w:fldCharType="separate"/>
    </w:r>
    <w:r w:rsidRPr="001B3D02">
      <w:rPr>
        <w:b/>
        <w:noProof/>
        <w:sz w:val="18"/>
      </w:rPr>
      <w:t>27</w:t>
    </w:r>
    <w:r w:rsidRPr="001B3D02">
      <w:rPr>
        <w:b/>
        <w:sz w:val="18"/>
      </w:rPr>
      <w:fldChar w:fldCharType="end"/>
    </w:r>
    <w:r>
      <w:rPr>
        <w:sz w:val="18"/>
      </w:rPr>
      <w:tab/>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10"/>
      <w:gridCol w:w="3210"/>
      <w:gridCol w:w="3210"/>
    </w:tblGrid>
    <w:tr w:rsidR="3D347C78" w14:paraId="7A76AA67" w14:textId="77777777" w:rsidTr="00D23317">
      <w:tc>
        <w:tcPr>
          <w:tcW w:w="3210" w:type="dxa"/>
        </w:tcPr>
        <w:p w14:paraId="403F369A" w14:textId="3D96F110" w:rsidR="3D347C78" w:rsidRDefault="3D347C78" w:rsidP="00D23317">
          <w:pPr>
            <w:ind w:left="-115"/>
          </w:pPr>
        </w:p>
      </w:tc>
      <w:tc>
        <w:tcPr>
          <w:tcW w:w="3210" w:type="dxa"/>
        </w:tcPr>
        <w:p w14:paraId="227D5BE4" w14:textId="43C5A319" w:rsidR="3D347C78" w:rsidRDefault="3D347C78" w:rsidP="00D23317">
          <w:pPr>
            <w:jc w:val="center"/>
          </w:pPr>
        </w:p>
      </w:tc>
      <w:tc>
        <w:tcPr>
          <w:tcW w:w="3210" w:type="dxa"/>
        </w:tcPr>
        <w:p w14:paraId="127F87CF" w14:textId="5FBDB0F6" w:rsidR="3D347C78" w:rsidRDefault="3D347C78" w:rsidP="00D23317">
          <w:pPr>
            <w:ind w:right="-115"/>
            <w:jc w:val="right"/>
          </w:pPr>
        </w:p>
      </w:tc>
    </w:tr>
  </w:tbl>
  <w:p w14:paraId="13B0AE6D" w14:textId="2DD9C889" w:rsidR="3D347C78" w:rsidRDefault="3D347C78"/>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727BCF" w14:textId="77777777" w:rsidR="006504B4" w:rsidRDefault="001B3D02" w:rsidP="001B3D02">
    <w:pPr>
      <w:pStyle w:val="Footer"/>
      <w:tabs>
        <w:tab w:val="right" w:pos="9638"/>
      </w:tabs>
    </w:pPr>
    <w:r w:rsidRPr="001B3D02">
      <w:rPr>
        <w:b/>
        <w:sz w:val="18"/>
      </w:rPr>
      <w:fldChar w:fldCharType="begin"/>
    </w:r>
    <w:r w:rsidRPr="001B3D02">
      <w:rPr>
        <w:b/>
        <w:sz w:val="18"/>
      </w:rPr>
      <w:instrText xml:space="preserve"> PAGE  \* MERGEFORMAT </w:instrText>
    </w:r>
    <w:r w:rsidRPr="001B3D02">
      <w:rPr>
        <w:b/>
        <w:sz w:val="18"/>
      </w:rPr>
      <w:fldChar w:fldCharType="separate"/>
    </w:r>
    <w:r w:rsidRPr="001B3D02">
      <w:rPr>
        <w:b/>
        <w:noProof/>
        <w:sz w:val="18"/>
      </w:rPr>
      <w:t>29</w:t>
    </w:r>
    <w:r w:rsidRPr="001B3D02">
      <w:rPr>
        <w:b/>
        <w:sz w:val="18"/>
      </w:rPr>
      <w:fldChar w:fldCharType="end"/>
    </w:r>
    <w:r>
      <w:rPr>
        <w:sz w:val="18"/>
      </w:rPr>
      <w:tab/>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C2571" w14:textId="77777777" w:rsidR="006504B4" w:rsidRPr="001B3D02" w:rsidRDefault="001B3D02" w:rsidP="001B3D02">
    <w:pPr>
      <w:pStyle w:val="Footer"/>
      <w:tabs>
        <w:tab w:val="right" w:pos="9638"/>
      </w:tabs>
      <w:rPr>
        <w:b/>
        <w:sz w:val="18"/>
      </w:rPr>
    </w:pPr>
    <w:r>
      <w:tab/>
    </w:r>
    <w:r w:rsidRPr="001B3D02">
      <w:rPr>
        <w:b/>
        <w:sz w:val="18"/>
      </w:rPr>
      <w:fldChar w:fldCharType="begin"/>
    </w:r>
    <w:r w:rsidRPr="001B3D02">
      <w:rPr>
        <w:b/>
        <w:sz w:val="18"/>
      </w:rPr>
      <w:instrText xml:space="preserve"> PAGE  \* MERGEFORMAT </w:instrText>
    </w:r>
    <w:r w:rsidRPr="001B3D02">
      <w:rPr>
        <w:b/>
        <w:sz w:val="18"/>
      </w:rPr>
      <w:fldChar w:fldCharType="separate"/>
    </w:r>
    <w:r w:rsidRPr="001B3D02">
      <w:rPr>
        <w:b/>
        <w:noProof/>
        <w:sz w:val="18"/>
      </w:rPr>
      <w:t>28</w:t>
    </w:r>
    <w:r w:rsidRPr="001B3D02">
      <w:rPr>
        <w:b/>
        <w:sz w:val="18"/>
      </w:rPr>
      <w:fldChar w:fldCharType="end"/>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10"/>
      <w:gridCol w:w="3210"/>
      <w:gridCol w:w="3210"/>
    </w:tblGrid>
    <w:tr w:rsidR="3D347C78" w14:paraId="1A66FD7C" w14:textId="77777777" w:rsidTr="00D23317">
      <w:tc>
        <w:tcPr>
          <w:tcW w:w="3210" w:type="dxa"/>
        </w:tcPr>
        <w:p w14:paraId="7CF210D9" w14:textId="3507A2A7" w:rsidR="3D347C78" w:rsidRDefault="3D347C78" w:rsidP="00D23317">
          <w:pPr>
            <w:ind w:left="-115"/>
          </w:pPr>
        </w:p>
      </w:tc>
      <w:tc>
        <w:tcPr>
          <w:tcW w:w="3210" w:type="dxa"/>
        </w:tcPr>
        <w:p w14:paraId="3B64A79C" w14:textId="37BE1099" w:rsidR="3D347C78" w:rsidRDefault="3D347C78" w:rsidP="00D23317">
          <w:pPr>
            <w:jc w:val="center"/>
          </w:pPr>
        </w:p>
      </w:tc>
      <w:tc>
        <w:tcPr>
          <w:tcW w:w="3210" w:type="dxa"/>
        </w:tcPr>
        <w:p w14:paraId="48BF26F1" w14:textId="4E449C03" w:rsidR="3D347C78" w:rsidRDefault="3D347C78" w:rsidP="00D23317">
          <w:pPr>
            <w:ind w:right="-115"/>
            <w:jc w:val="right"/>
          </w:pPr>
        </w:p>
      </w:tc>
    </w:tr>
  </w:tbl>
  <w:p w14:paraId="0A3649FF" w14:textId="5512FDC9" w:rsidR="3D347C78" w:rsidRDefault="3D347C78"/>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174881" w14:textId="77777777" w:rsidR="006504B4" w:rsidRDefault="001B3D02" w:rsidP="001B3D02">
    <w:pPr>
      <w:pStyle w:val="Footer"/>
      <w:tabs>
        <w:tab w:val="right" w:pos="9638"/>
      </w:tabs>
    </w:pPr>
    <w:r w:rsidRPr="001B3D02">
      <w:rPr>
        <w:b/>
        <w:sz w:val="18"/>
      </w:rPr>
      <w:fldChar w:fldCharType="begin"/>
    </w:r>
    <w:r w:rsidRPr="001B3D02">
      <w:rPr>
        <w:b/>
        <w:sz w:val="18"/>
      </w:rPr>
      <w:instrText xml:space="preserve"> PAGE  \* MERGEFORMAT </w:instrText>
    </w:r>
    <w:r w:rsidRPr="001B3D02">
      <w:rPr>
        <w:b/>
        <w:sz w:val="18"/>
      </w:rPr>
      <w:fldChar w:fldCharType="separate"/>
    </w:r>
    <w:r w:rsidRPr="001B3D02">
      <w:rPr>
        <w:b/>
        <w:noProof/>
        <w:sz w:val="18"/>
      </w:rPr>
      <w:t>33</w:t>
    </w:r>
    <w:r w:rsidRPr="001B3D02">
      <w:rPr>
        <w:b/>
        <w:sz w:val="18"/>
      </w:rPr>
      <w:fldChar w:fldCharType="end"/>
    </w:r>
    <w:r>
      <w:rPr>
        <w:sz w:val="18"/>
      </w:rPr>
      <w:tab/>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A6B0E6" w14:textId="77777777" w:rsidR="006504B4" w:rsidRPr="001B3D02" w:rsidRDefault="001B3D02" w:rsidP="001B3D02">
    <w:pPr>
      <w:pStyle w:val="Footer"/>
      <w:tabs>
        <w:tab w:val="right" w:pos="9638"/>
      </w:tabs>
      <w:rPr>
        <w:b/>
        <w:sz w:val="18"/>
      </w:rPr>
    </w:pPr>
    <w:r>
      <w:tab/>
    </w:r>
    <w:r w:rsidRPr="001B3D02">
      <w:rPr>
        <w:b/>
        <w:sz w:val="18"/>
      </w:rPr>
      <w:fldChar w:fldCharType="begin"/>
    </w:r>
    <w:r w:rsidRPr="001B3D02">
      <w:rPr>
        <w:b/>
        <w:sz w:val="18"/>
      </w:rPr>
      <w:instrText xml:space="preserve"> PAGE  \* MERGEFORMAT </w:instrText>
    </w:r>
    <w:r w:rsidRPr="001B3D02">
      <w:rPr>
        <w:b/>
        <w:sz w:val="18"/>
      </w:rPr>
      <w:fldChar w:fldCharType="separate"/>
    </w:r>
    <w:r w:rsidRPr="001B3D02">
      <w:rPr>
        <w:b/>
        <w:noProof/>
        <w:sz w:val="18"/>
      </w:rPr>
      <w:t>32</w:t>
    </w:r>
    <w:r w:rsidRPr="001B3D02">
      <w:rPr>
        <w:b/>
        <w:sz w:val="18"/>
      </w:rPr>
      <w:fldChar w:fldCharType="end"/>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10"/>
      <w:gridCol w:w="3210"/>
      <w:gridCol w:w="3210"/>
    </w:tblGrid>
    <w:tr w:rsidR="3D347C78" w14:paraId="39D43DF9" w14:textId="77777777" w:rsidTr="00D23317">
      <w:tc>
        <w:tcPr>
          <w:tcW w:w="3210" w:type="dxa"/>
        </w:tcPr>
        <w:p w14:paraId="7F5CF4AD" w14:textId="6A36C859" w:rsidR="3D347C78" w:rsidRDefault="3D347C78" w:rsidP="00D23317">
          <w:pPr>
            <w:ind w:left="-115"/>
          </w:pPr>
        </w:p>
      </w:tc>
      <w:tc>
        <w:tcPr>
          <w:tcW w:w="3210" w:type="dxa"/>
        </w:tcPr>
        <w:p w14:paraId="7A5973DC" w14:textId="3EF01975" w:rsidR="3D347C78" w:rsidRDefault="3D347C78" w:rsidP="00D23317">
          <w:pPr>
            <w:jc w:val="center"/>
          </w:pPr>
        </w:p>
      </w:tc>
      <w:tc>
        <w:tcPr>
          <w:tcW w:w="3210" w:type="dxa"/>
        </w:tcPr>
        <w:p w14:paraId="5A3A9123" w14:textId="430731F8" w:rsidR="3D347C78" w:rsidRDefault="3D347C78" w:rsidP="00D23317">
          <w:pPr>
            <w:ind w:right="-115"/>
            <w:jc w:val="right"/>
          </w:pPr>
        </w:p>
      </w:tc>
    </w:tr>
  </w:tbl>
  <w:p w14:paraId="4104BF1B" w14:textId="44B27016" w:rsidR="3D347C78" w:rsidRDefault="3D347C78"/>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274AAF" w14:textId="77777777" w:rsidR="006504B4" w:rsidRPr="001B3D02" w:rsidRDefault="001B3D02" w:rsidP="001B3D02">
    <w:pPr>
      <w:pStyle w:val="Footer"/>
      <w:tabs>
        <w:tab w:val="right" w:pos="9638"/>
      </w:tabs>
      <w:rPr>
        <w:b/>
        <w:sz w:val="18"/>
      </w:rPr>
    </w:pPr>
    <w:r>
      <w:tab/>
    </w:r>
    <w:r w:rsidRPr="001B3D02">
      <w:rPr>
        <w:b/>
        <w:sz w:val="18"/>
      </w:rPr>
      <w:fldChar w:fldCharType="begin"/>
    </w:r>
    <w:r w:rsidRPr="001B3D02">
      <w:rPr>
        <w:b/>
        <w:sz w:val="18"/>
      </w:rPr>
      <w:instrText xml:space="preserve"> PAGE  \* MERGEFORMAT </w:instrText>
    </w:r>
    <w:r w:rsidRPr="001B3D02">
      <w:rPr>
        <w:b/>
        <w:sz w:val="18"/>
      </w:rPr>
      <w:fldChar w:fldCharType="separate"/>
    </w:r>
    <w:r w:rsidRPr="001B3D02">
      <w:rPr>
        <w:b/>
        <w:noProof/>
        <w:sz w:val="18"/>
      </w:rPr>
      <w:t>37</w:t>
    </w:r>
    <w:r w:rsidRPr="001B3D02">
      <w:rPr>
        <w:b/>
        <w:sz w:val="18"/>
      </w:rPr>
      <w:fldChar w:fldCharType="end"/>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10"/>
      <w:gridCol w:w="3210"/>
      <w:gridCol w:w="3210"/>
    </w:tblGrid>
    <w:tr w:rsidR="3D347C78" w14:paraId="634A1E35" w14:textId="77777777" w:rsidTr="00D23317">
      <w:tc>
        <w:tcPr>
          <w:tcW w:w="3210" w:type="dxa"/>
        </w:tcPr>
        <w:p w14:paraId="59D9B00E" w14:textId="5FE10FCB" w:rsidR="3D347C78" w:rsidRDefault="3D347C78" w:rsidP="00D23317">
          <w:pPr>
            <w:ind w:left="-115"/>
          </w:pPr>
        </w:p>
      </w:tc>
      <w:tc>
        <w:tcPr>
          <w:tcW w:w="3210" w:type="dxa"/>
        </w:tcPr>
        <w:p w14:paraId="6A076110" w14:textId="45AA0025" w:rsidR="3D347C78" w:rsidRDefault="3D347C78" w:rsidP="00D23317">
          <w:pPr>
            <w:jc w:val="center"/>
          </w:pPr>
        </w:p>
      </w:tc>
      <w:tc>
        <w:tcPr>
          <w:tcW w:w="3210" w:type="dxa"/>
        </w:tcPr>
        <w:p w14:paraId="6E26B326" w14:textId="4EFD9130" w:rsidR="3D347C78" w:rsidRDefault="3D347C78" w:rsidP="00D23317">
          <w:pPr>
            <w:ind w:right="-115"/>
            <w:jc w:val="right"/>
          </w:pPr>
        </w:p>
      </w:tc>
    </w:tr>
  </w:tbl>
  <w:p w14:paraId="5E20E7CC" w14:textId="18603667" w:rsidR="3D347C78" w:rsidRDefault="3D347C7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7BA7D" w14:textId="77777777" w:rsidR="006504B4" w:rsidRPr="001B3D02" w:rsidRDefault="001B3D02" w:rsidP="001B3D02">
    <w:pPr>
      <w:pStyle w:val="Footer"/>
      <w:tabs>
        <w:tab w:val="right" w:pos="9638"/>
      </w:tabs>
      <w:rPr>
        <w:b/>
        <w:sz w:val="18"/>
      </w:rPr>
    </w:pPr>
    <w:r>
      <w:tab/>
    </w:r>
    <w:r w:rsidRPr="001B3D02">
      <w:rPr>
        <w:b/>
        <w:sz w:val="18"/>
      </w:rPr>
      <w:fldChar w:fldCharType="begin"/>
    </w:r>
    <w:r w:rsidRPr="001B3D02">
      <w:rPr>
        <w:b/>
        <w:sz w:val="18"/>
      </w:rPr>
      <w:instrText xml:space="preserve"> PAGE  \* MERGEFORMAT </w:instrText>
    </w:r>
    <w:r w:rsidRPr="001B3D02">
      <w:rPr>
        <w:b/>
        <w:sz w:val="18"/>
      </w:rPr>
      <w:fldChar w:fldCharType="separate"/>
    </w:r>
    <w:r w:rsidRPr="001B3D02">
      <w:rPr>
        <w:b/>
        <w:noProof/>
        <w:sz w:val="18"/>
      </w:rPr>
      <w:t>4</w:t>
    </w:r>
    <w:r w:rsidRPr="001B3D02">
      <w:rPr>
        <w:b/>
        <w:sz w:val="18"/>
      </w:rPr>
      <w:fldChar w:fldCharType="end"/>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55499" w14:textId="77777777" w:rsidR="006504B4" w:rsidRDefault="001B3D02" w:rsidP="001B3D02">
    <w:pPr>
      <w:pStyle w:val="Footer"/>
      <w:tabs>
        <w:tab w:val="right" w:pos="9638"/>
      </w:tabs>
    </w:pPr>
    <w:r w:rsidRPr="001B3D02">
      <w:rPr>
        <w:b/>
        <w:sz w:val="18"/>
      </w:rPr>
      <w:fldChar w:fldCharType="begin"/>
    </w:r>
    <w:r w:rsidRPr="001B3D02">
      <w:rPr>
        <w:b/>
        <w:sz w:val="18"/>
      </w:rPr>
      <w:instrText xml:space="preserve"> PAGE  \* MERGEFORMAT </w:instrText>
    </w:r>
    <w:r w:rsidRPr="001B3D02">
      <w:rPr>
        <w:b/>
        <w:sz w:val="18"/>
      </w:rPr>
      <w:fldChar w:fldCharType="separate"/>
    </w:r>
    <w:r w:rsidRPr="001B3D02">
      <w:rPr>
        <w:b/>
        <w:noProof/>
        <w:sz w:val="18"/>
      </w:rPr>
      <w:t>34</w:t>
    </w:r>
    <w:r w:rsidRPr="001B3D02">
      <w:rPr>
        <w:b/>
        <w:sz w:val="18"/>
      </w:rPr>
      <w:fldChar w:fldCharType="end"/>
    </w:r>
    <w:r>
      <w:rPr>
        <w:sz w:val="18"/>
      </w:rPr>
      <w:tab/>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10"/>
      <w:gridCol w:w="3210"/>
      <w:gridCol w:w="3210"/>
    </w:tblGrid>
    <w:tr w:rsidR="3D347C78" w14:paraId="67A3B7D0" w14:textId="77777777" w:rsidTr="00D23317">
      <w:tc>
        <w:tcPr>
          <w:tcW w:w="3210" w:type="dxa"/>
        </w:tcPr>
        <w:p w14:paraId="107DEBC1" w14:textId="797E861D" w:rsidR="3D347C78" w:rsidRDefault="3D347C78" w:rsidP="00D23317">
          <w:pPr>
            <w:ind w:left="-115"/>
          </w:pPr>
        </w:p>
      </w:tc>
      <w:tc>
        <w:tcPr>
          <w:tcW w:w="3210" w:type="dxa"/>
        </w:tcPr>
        <w:p w14:paraId="592E98CD" w14:textId="7E2823C3" w:rsidR="3D347C78" w:rsidRDefault="3D347C78" w:rsidP="00D23317">
          <w:pPr>
            <w:jc w:val="center"/>
          </w:pPr>
        </w:p>
      </w:tc>
      <w:tc>
        <w:tcPr>
          <w:tcW w:w="3210" w:type="dxa"/>
        </w:tcPr>
        <w:p w14:paraId="0785D33B" w14:textId="33F0F6A2" w:rsidR="3D347C78" w:rsidRDefault="3D347C78" w:rsidP="00D23317">
          <w:pPr>
            <w:ind w:right="-115"/>
            <w:jc w:val="right"/>
          </w:pPr>
        </w:p>
      </w:tc>
    </w:tr>
  </w:tbl>
  <w:p w14:paraId="2D0460F5" w14:textId="5845ED24" w:rsidR="3D347C78" w:rsidRDefault="3D347C78"/>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80D937" w14:textId="77777777" w:rsidR="006504B4" w:rsidRDefault="001B3D02" w:rsidP="001B3D02">
    <w:pPr>
      <w:pStyle w:val="Footer"/>
      <w:tabs>
        <w:tab w:val="right" w:pos="9638"/>
      </w:tabs>
    </w:pPr>
    <w:r w:rsidRPr="001B3D02">
      <w:rPr>
        <w:b/>
        <w:sz w:val="18"/>
      </w:rPr>
      <w:fldChar w:fldCharType="begin"/>
    </w:r>
    <w:r w:rsidRPr="001B3D02">
      <w:rPr>
        <w:b/>
        <w:sz w:val="18"/>
      </w:rPr>
      <w:instrText xml:space="preserve"> PAGE  \* MERGEFORMAT </w:instrText>
    </w:r>
    <w:r w:rsidRPr="001B3D02">
      <w:rPr>
        <w:b/>
        <w:sz w:val="18"/>
      </w:rPr>
      <w:fldChar w:fldCharType="separate"/>
    </w:r>
    <w:r w:rsidRPr="001B3D02">
      <w:rPr>
        <w:b/>
        <w:noProof/>
        <w:sz w:val="18"/>
      </w:rPr>
      <w:t>37</w:t>
    </w:r>
    <w:r w:rsidRPr="001B3D02">
      <w:rPr>
        <w:b/>
        <w:sz w:val="18"/>
      </w:rPr>
      <w:fldChar w:fldCharType="end"/>
    </w:r>
    <w:r>
      <w:rPr>
        <w:sz w:val="18"/>
      </w:rPr>
      <w:tab/>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21BC38" w14:textId="77777777" w:rsidR="006504B4" w:rsidRPr="001B3D02" w:rsidRDefault="001B3D02" w:rsidP="001B3D02">
    <w:pPr>
      <w:pStyle w:val="Footer"/>
      <w:tabs>
        <w:tab w:val="right" w:pos="9638"/>
      </w:tabs>
      <w:rPr>
        <w:b/>
        <w:sz w:val="18"/>
      </w:rPr>
    </w:pPr>
    <w:r>
      <w:tab/>
    </w:r>
    <w:r w:rsidRPr="001B3D02">
      <w:rPr>
        <w:b/>
        <w:sz w:val="18"/>
      </w:rPr>
      <w:fldChar w:fldCharType="begin"/>
    </w:r>
    <w:r w:rsidRPr="001B3D02">
      <w:rPr>
        <w:b/>
        <w:sz w:val="18"/>
      </w:rPr>
      <w:instrText xml:space="preserve"> PAGE  \* MERGEFORMAT </w:instrText>
    </w:r>
    <w:r w:rsidRPr="001B3D02">
      <w:rPr>
        <w:b/>
        <w:sz w:val="18"/>
      </w:rPr>
      <w:fldChar w:fldCharType="separate"/>
    </w:r>
    <w:r w:rsidRPr="001B3D02">
      <w:rPr>
        <w:b/>
        <w:noProof/>
        <w:sz w:val="18"/>
      </w:rPr>
      <w:t>39</w:t>
    </w:r>
    <w:r w:rsidRPr="001B3D02">
      <w:rPr>
        <w:b/>
        <w:sz w:val="18"/>
      </w:rPr>
      <w:fldChar w:fldCharType="end"/>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10"/>
      <w:gridCol w:w="3210"/>
      <w:gridCol w:w="3210"/>
    </w:tblGrid>
    <w:tr w:rsidR="3D347C78" w14:paraId="6D640FC7" w14:textId="77777777" w:rsidTr="00D23317">
      <w:tc>
        <w:tcPr>
          <w:tcW w:w="3210" w:type="dxa"/>
        </w:tcPr>
        <w:p w14:paraId="122D9553" w14:textId="56445852" w:rsidR="3D347C78" w:rsidRDefault="3D347C78" w:rsidP="00D23317">
          <w:pPr>
            <w:ind w:left="-115"/>
          </w:pPr>
        </w:p>
      </w:tc>
      <w:tc>
        <w:tcPr>
          <w:tcW w:w="3210" w:type="dxa"/>
        </w:tcPr>
        <w:p w14:paraId="36FEFC04" w14:textId="58871119" w:rsidR="3D347C78" w:rsidRDefault="3D347C78" w:rsidP="00D23317">
          <w:pPr>
            <w:jc w:val="center"/>
          </w:pPr>
        </w:p>
      </w:tc>
      <w:tc>
        <w:tcPr>
          <w:tcW w:w="3210" w:type="dxa"/>
        </w:tcPr>
        <w:p w14:paraId="380B08D9" w14:textId="37C94F06" w:rsidR="3D347C78" w:rsidRDefault="3D347C78" w:rsidP="00D23317">
          <w:pPr>
            <w:ind w:right="-115"/>
            <w:jc w:val="right"/>
          </w:pPr>
        </w:p>
      </w:tc>
    </w:tr>
  </w:tbl>
  <w:p w14:paraId="25B82B2F" w14:textId="22D5F705" w:rsidR="3D347C78" w:rsidRDefault="3D347C78"/>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10"/>
      <w:gridCol w:w="3210"/>
      <w:gridCol w:w="3210"/>
    </w:tblGrid>
    <w:tr w:rsidR="3D347C78" w14:paraId="3FF326AD" w14:textId="77777777" w:rsidTr="00D23317">
      <w:tc>
        <w:tcPr>
          <w:tcW w:w="3210" w:type="dxa"/>
        </w:tcPr>
        <w:p w14:paraId="582FAC09" w14:textId="2E167594" w:rsidR="3D347C78" w:rsidRDefault="3D347C78" w:rsidP="00D23317">
          <w:pPr>
            <w:ind w:left="-115"/>
          </w:pPr>
        </w:p>
      </w:tc>
      <w:tc>
        <w:tcPr>
          <w:tcW w:w="3210" w:type="dxa"/>
        </w:tcPr>
        <w:p w14:paraId="6080CF98" w14:textId="302732AC" w:rsidR="3D347C78" w:rsidRDefault="3D347C78" w:rsidP="00D23317">
          <w:pPr>
            <w:jc w:val="center"/>
          </w:pPr>
        </w:p>
      </w:tc>
      <w:tc>
        <w:tcPr>
          <w:tcW w:w="3210" w:type="dxa"/>
        </w:tcPr>
        <w:p w14:paraId="15B6E557" w14:textId="256A917D" w:rsidR="3D347C78" w:rsidRDefault="3D347C78" w:rsidP="00D23317">
          <w:pPr>
            <w:ind w:right="-115"/>
            <w:jc w:val="right"/>
          </w:pPr>
        </w:p>
      </w:tc>
    </w:tr>
  </w:tbl>
  <w:p w14:paraId="23830F6A" w14:textId="479216B0" w:rsidR="3D347C78" w:rsidRDefault="3D347C78"/>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616B71" w14:textId="77777777" w:rsidR="006504B4" w:rsidRDefault="001B3D02" w:rsidP="001B3D02">
    <w:pPr>
      <w:pStyle w:val="Footer"/>
      <w:tabs>
        <w:tab w:val="right" w:pos="9638"/>
      </w:tabs>
    </w:pPr>
    <w:r w:rsidRPr="001B3D02">
      <w:rPr>
        <w:b/>
        <w:sz w:val="18"/>
      </w:rPr>
      <w:fldChar w:fldCharType="begin"/>
    </w:r>
    <w:r w:rsidRPr="001B3D02">
      <w:rPr>
        <w:b/>
        <w:sz w:val="18"/>
      </w:rPr>
      <w:instrText xml:space="preserve"> PAGE  \* MERGEFORMAT </w:instrText>
    </w:r>
    <w:r w:rsidRPr="001B3D02">
      <w:rPr>
        <w:b/>
        <w:sz w:val="18"/>
      </w:rPr>
      <w:fldChar w:fldCharType="separate"/>
    </w:r>
    <w:r w:rsidRPr="001B3D02">
      <w:rPr>
        <w:b/>
        <w:noProof/>
        <w:sz w:val="18"/>
      </w:rPr>
      <w:t>7</w:t>
    </w:r>
    <w:r w:rsidRPr="001B3D02">
      <w:rPr>
        <w:b/>
        <w:sz w:val="18"/>
      </w:rPr>
      <w:fldChar w:fldCharType="end"/>
    </w:r>
    <w:r>
      <w:rPr>
        <w:sz w:val="18"/>
      </w:rP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10"/>
      <w:gridCol w:w="3210"/>
      <w:gridCol w:w="3210"/>
    </w:tblGrid>
    <w:tr w:rsidR="3D347C78" w14:paraId="71152B2F" w14:textId="77777777" w:rsidTr="00D23317">
      <w:tc>
        <w:tcPr>
          <w:tcW w:w="3210" w:type="dxa"/>
        </w:tcPr>
        <w:p w14:paraId="013757A3" w14:textId="6DBF933B" w:rsidR="3D347C78" w:rsidRDefault="3D347C78" w:rsidP="00D23317">
          <w:pPr>
            <w:ind w:left="-115"/>
          </w:pPr>
        </w:p>
      </w:tc>
      <w:tc>
        <w:tcPr>
          <w:tcW w:w="3210" w:type="dxa"/>
        </w:tcPr>
        <w:p w14:paraId="0B6DBC9A" w14:textId="19F36972" w:rsidR="3D347C78" w:rsidRDefault="3D347C78" w:rsidP="00D23317">
          <w:pPr>
            <w:jc w:val="center"/>
          </w:pPr>
        </w:p>
      </w:tc>
      <w:tc>
        <w:tcPr>
          <w:tcW w:w="3210" w:type="dxa"/>
        </w:tcPr>
        <w:p w14:paraId="63F11A18" w14:textId="5C6D8B9D" w:rsidR="3D347C78" w:rsidRDefault="3D347C78" w:rsidP="00D23317">
          <w:pPr>
            <w:ind w:right="-115"/>
            <w:jc w:val="right"/>
          </w:pPr>
        </w:p>
      </w:tc>
    </w:tr>
  </w:tbl>
  <w:p w14:paraId="0DA9248E" w14:textId="4F41BEAC" w:rsidR="3D347C78" w:rsidRDefault="3D347C78"/>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0C6DF8" w14:textId="77777777" w:rsidR="006504B4" w:rsidRDefault="001B3D02" w:rsidP="001B3D02">
    <w:pPr>
      <w:pStyle w:val="Footer"/>
      <w:tabs>
        <w:tab w:val="right" w:pos="9638"/>
      </w:tabs>
    </w:pPr>
    <w:r w:rsidRPr="001B3D02">
      <w:rPr>
        <w:b/>
        <w:sz w:val="18"/>
      </w:rPr>
      <w:fldChar w:fldCharType="begin"/>
    </w:r>
    <w:r w:rsidRPr="001B3D02">
      <w:rPr>
        <w:b/>
        <w:sz w:val="18"/>
      </w:rPr>
      <w:instrText xml:space="preserve"> PAGE  \* MERGEFORMAT </w:instrText>
    </w:r>
    <w:r w:rsidRPr="001B3D02">
      <w:rPr>
        <w:b/>
        <w:sz w:val="18"/>
      </w:rPr>
      <w:fldChar w:fldCharType="separate"/>
    </w:r>
    <w:r w:rsidRPr="001B3D02">
      <w:rPr>
        <w:b/>
        <w:noProof/>
        <w:sz w:val="18"/>
      </w:rPr>
      <w:t>9</w:t>
    </w:r>
    <w:r w:rsidRPr="001B3D02">
      <w:rPr>
        <w:b/>
        <w:sz w:val="18"/>
      </w:rPr>
      <w:fldChar w:fldCharType="end"/>
    </w:r>
    <w:r>
      <w:rPr>
        <w:sz w:val="18"/>
      </w:rPr>
      <w:tab/>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83FD7" w14:textId="77777777" w:rsidR="006504B4" w:rsidRPr="001B3D02" w:rsidRDefault="001B3D02" w:rsidP="001B3D02">
    <w:pPr>
      <w:pStyle w:val="Footer"/>
      <w:tabs>
        <w:tab w:val="right" w:pos="9638"/>
      </w:tabs>
      <w:rPr>
        <w:b/>
        <w:sz w:val="18"/>
      </w:rPr>
    </w:pPr>
    <w:r>
      <w:tab/>
    </w:r>
    <w:r w:rsidRPr="001B3D02">
      <w:rPr>
        <w:b/>
        <w:sz w:val="18"/>
      </w:rPr>
      <w:fldChar w:fldCharType="begin"/>
    </w:r>
    <w:r w:rsidRPr="001B3D02">
      <w:rPr>
        <w:b/>
        <w:sz w:val="18"/>
      </w:rPr>
      <w:instrText xml:space="preserve"> PAGE  \* MERGEFORMAT </w:instrText>
    </w:r>
    <w:r w:rsidRPr="001B3D02">
      <w:rPr>
        <w:b/>
        <w:sz w:val="18"/>
      </w:rPr>
      <w:fldChar w:fldCharType="separate"/>
    </w:r>
    <w:r w:rsidRPr="001B3D02">
      <w:rPr>
        <w:b/>
        <w:noProof/>
        <w:sz w:val="18"/>
      </w:rPr>
      <w:t>8</w:t>
    </w:r>
    <w:r w:rsidRPr="001B3D02">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27A71A" w14:textId="77777777" w:rsidR="00E53CC8" w:rsidRDefault="00E53CC8">
      <w:r>
        <w:separator/>
      </w:r>
    </w:p>
  </w:footnote>
  <w:footnote w:type="continuationSeparator" w:id="0">
    <w:p w14:paraId="3880C6FC" w14:textId="77777777" w:rsidR="00E53CC8" w:rsidRDefault="00E53CC8">
      <w:r>
        <w:continuationSeparator/>
      </w:r>
    </w:p>
    <w:p w14:paraId="3F5E8A1D" w14:textId="77777777" w:rsidR="00E53CC8" w:rsidRDefault="00E53CC8"/>
  </w:footnote>
  <w:footnote w:type="continuationNotice" w:id="1">
    <w:p w14:paraId="7F280C76" w14:textId="77777777" w:rsidR="00E53CC8" w:rsidRDefault="00E53CC8">
      <w:pPr>
        <w:spacing w:line="240" w:lineRule="auto"/>
      </w:pPr>
    </w:p>
  </w:footnote>
  <w:footnote w:id="2">
    <w:p w14:paraId="6F074983" w14:textId="482A993C" w:rsidR="001A7B29" w:rsidRPr="007E142E" w:rsidRDefault="001A7B29" w:rsidP="007E142E">
      <w:pPr>
        <w:pStyle w:val="FootnoteText"/>
        <w:widowControl w:val="0"/>
        <w:tabs>
          <w:tab w:val="clear" w:pos="1021"/>
          <w:tab w:val="right" w:pos="1020"/>
        </w:tabs>
        <w:rPr>
          <w:lang w:val="en-US"/>
        </w:rPr>
      </w:pPr>
      <w:r>
        <w:tab/>
      </w:r>
      <w:r>
        <w:rPr>
          <w:rStyle w:val="FootnoteReference"/>
        </w:rPr>
        <w:footnoteRef/>
      </w:r>
      <w:r>
        <w:tab/>
        <w:t xml:space="preserve">Decision 1/CMP.8, annex I. </w:t>
      </w:r>
    </w:p>
  </w:footnote>
  <w:footnote w:id="3">
    <w:p w14:paraId="0F2EF812" w14:textId="77FD66BE" w:rsidR="001A7B29" w:rsidRPr="007E142E" w:rsidRDefault="001A7B29" w:rsidP="007E142E">
      <w:pPr>
        <w:pStyle w:val="FootnoteText"/>
        <w:widowControl w:val="0"/>
        <w:tabs>
          <w:tab w:val="clear" w:pos="1021"/>
          <w:tab w:val="right" w:pos="1020"/>
        </w:tabs>
        <w:rPr>
          <w:lang w:val="en-US"/>
        </w:rPr>
      </w:pPr>
      <w:r>
        <w:tab/>
      </w:r>
      <w:r>
        <w:rPr>
          <w:rStyle w:val="FootnoteReference"/>
        </w:rPr>
        <w:footnoteRef/>
      </w:r>
      <w:r>
        <w:tab/>
        <w:t xml:space="preserve">FCCC/KP/CMP/2020/1 and Corr.1 and FCCC/KP/CMP/2021/4. </w:t>
      </w:r>
    </w:p>
  </w:footnote>
  <w:footnote w:id="4">
    <w:p w14:paraId="61583AEB" w14:textId="389560A9" w:rsidR="001A7B29" w:rsidRPr="007E142E" w:rsidRDefault="001A7B29" w:rsidP="007E142E">
      <w:pPr>
        <w:pStyle w:val="FootnoteText"/>
        <w:widowControl w:val="0"/>
        <w:tabs>
          <w:tab w:val="clear" w:pos="1021"/>
          <w:tab w:val="right" w:pos="1020"/>
        </w:tabs>
        <w:rPr>
          <w:lang w:val="en-US"/>
        </w:rPr>
      </w:pPr>
      <w:r>
        <w:tab/>
      </w:r>
      <w:r>
        <w:rPr>
          <w:rStyle w:val="FootnoteReference"/>
        </w:rPr>
        <w:footnoteRef/>
      </w:r>
      <w:r>
        <w:tab/>
        <w:t xml:space="preserve">See documents FCCC/KP/CMP/2017/5, FCCC/KP/CMP/2018/3, FCCC/KP/CMP/2019/3, FCCC/KP/CMP/2020/1 and FCCC/KP/CMP/2021/4. </w:t>
      </w:r>
    </w:p>
  </w:footnote>
  <w:footnote w:id="5">
    <w:p w14:paraId="0E5B8F2D" w14:textId="1DA7DCA0" w:rsidR="001A7B29" w:rsidRPr="007E142E" w:rsidRDefault="001A7B29" w:rsidP="007E142E">
      <w:pPr>
        <w:pStyle w:val="FootnoteText"/>
        <w:widowControl w:val="0"/>
        <w:tabs>
          <w:tab w:val="clear" w:pos="1021"/>
          <w:tab w:val="right" w:pos="1020"/>
        </w:tabs>
        <w:rPr>
          <w:lang w:val="en-US"/>
        </w:rPr>
      </w:pPr>
      <w:r>
        <w:tab/>
      </w:r>
      <w:r>
        <w:rPr>
          <w:rStyle w:val="FootnoteReference"/>
        </w:rPr>
        <w:footnoteRef/>
      </w:r>
      <w:r>
        <w:tab/>
        <w:t xml:space="preserve">See decision 5/CMP.8, para. </w:t>
      </w:r>
      <w:r>
        <w:rPr>
          <w:lang w:val="it-IT"/>
        </w:rPr>
        <w:t>14.</w:t>
      </w:r>
    </w:p>
  </w:footnote>
  <w:footnote w:id="6">
    <w:p w14:paraId="0F78A6F2" w14:textId="4BC7A73D" w:rsidR="001A7B29" w:rsidRPr="007E142E" w:rsidRDefault="001A7B29" w:rsidP="007E142E">
      <w:pPr>
        <w:pStyle w:val="FootnoteText"/>
        <w:widowControl w:val="0"/>
        <w:tabs>
          <w:tab w:val="clear" w:pos="1021"/>
          <w:tab w:val="right" w:pos="1020"/>
        </w:tabs>
        <w:rPr>
          <w:lang w:val="en-US"/>
        </w:rPr>
      </w:pPr>
      <w:r>
        <w:tab/>
      </w:r>
      <w:r>
        <w:rPr>
          <w:rStyle w:val="FootnoteReference"/>
        </w:rPr>
        <w:footnoteRef/>
      </w:r>
      <w:r>
        <w:tab/>
      </w:r>
      <w:r>
        <w:rPr>
          <w:lang w:val="it-IT"/>
        </w:rPr>
        <w:t>See decision 3/CMP.6, para. 18</w:t>
      </w:r>
      <w:r>
        <w:t>.</w:t>
      </w:r>
    </w:p>
  </w:footnote>
  <w:footnote w:id="7">
    <w:p w14:paraId="36CCD856" w14:textId="4567A314" w:rsidR="001A7B29" w:rsidRPr="007E142E" w:rsidRDefault="001A7B29" w:rsidP="007E142E">
      <w:pPr>
        <w:pStyle w:val="FootnoteText"/>
        <w:widowControl w:val="0"/>
        <w:tabs>
          <w:tab w:val="clear" w:pos="1021"/>
          <w:tab w:val="right" w:pos="1020"/>
        </w:tabs>
        <w:rPr>
          <w:lang w:val="en-US"/>
        </w:rPr>
      </w:pPr>
      <w:r>
        <w:tab/>
      </w:r>
      <w:r>
        <w:rPr>
          <w:rStyle w:val="FootnoteReference"/>
        </w:rPr>
        <w:footnoteRef/>
      </w:r>
      <w:r>
        <w:tab/>
        <w:t xml:space="preserve">See </w:t>
      </w:r>
      <w:r>
        <w:rPr>
          <w:lang w:val="it-IT"/>
        </w:rPr>
        <w:t xml:space="preserve">decisions 2/CMP.7, para. </w:t>
      </w:r>
      <w:r>
        <w:t>6, and 7/CMP.10, para. 4.</w:t>
      </w:r>
    </w:p>
  </w:footnote>
  <w:footnote w:id="8">
    <w:p w14:paraId="71DB519E" w14:textId="33E820E4" w:rsidR="001A7B29" w:rsidRPr="007E142E" w:rsidRDefault="001A7B29" w:rsidP="007E142E">
      <w:pPr>
        <w:pStyle w:val="FootnoteText"/>
        <w:widowControl w:val="0"/>
        <w:tabs>
          <w:tab w:val="clear" w:pos="1021"/>
          <w:tab w:val="right" w:pos="1020"/>
        </w:tabs>
        <w:rPr>
          <w:lang w:val="en-US"/>
        </w:rPr>
      </w:pPr>
      <w:r>
        <w:tab/>
      </w:r>
      <w:r>
        <w:rPr>
          <w:rStyle w:val="FootnoteReference"/>
        </w:rPr>
        <w:footnoteRef/>
      </w:r>
      <w:r>
        <w:tab/>
        <w:t xml:space="preserve">See decision 2/CMP.5, para. 28. </w:t>
      </w:r>
    </w:p>
  </w:footnote>
  <w:footnote w:id="9">
    <w:p w14:paraId="259F2F34" w14:textId="6C3821C7" w:rsidR="001A7B29" w:rsidRPr="007E142E" w:rsidRDefault="001A7B29" w:rsidP="007E142E">
      <w:pPr>
        <w:pStyle w:val="FootnoteText"/>
        <w:widowControl w:val="0"/>
        <w:tabs>
          <w:tab w:val="clear" w:pos="1021"/>
          <w:tab w:val="right" w:pos="1020"/>
        </w:tabs>
        <w:rPr>
          <w:lang w:val="en-US"/>
        </w:rPr>
      </w:pPr>
      <w:r>
        <w:tab/>
      </w:r>
      <w:r>
        <w:rPr>
          <w:rStyle w:val="FootnoteReference"/>
        </w:rPr>
        <w:footnoteRef/>
      </w:r>
      <w:r>
        <w:tab/>
        <w:t xml:space="preserve">Relates to the </w:t>
      </w:r>
      <w:r w:rsidR="000B1643">
        <w:t>tran</w:t>
      </w:r>
      <w:r w:rsidR="00732915">
        <w:t>s</w:t>
      </w:r>
      <w:r w:rsidR="000B1643">
        <w:t xml:space="preserve">fer </w:t>
      </w:r>
      <w:r>
        <w:t>of certified emission reductions from the clean development mechanism registry to the registry for the Article 6, paragraph 4, mechanism.</w:t>
      </w:r>
    </w:p>
  </w:footnote>
  <w:footnote w:id="10">
    <w:p w14:paraId="74D0626B" w14:textId="45A4EF51" w:rsidR="001A7B29" w:rsidRPr="00FF06C7" w:rsidRDefault="001A7B29" w:rsidP="00FF06C7">
      <w:pPr>
        <w:pStyle w:val="FootnoteText"/>
        <w:widowControl w:val="0"/>
        <w:tabs>
          <w:tab w:val="clear" w:pos="1021"/>
          <w:tab w:val="right" w:pos="1020"/>
        </w:tabs>
        <w:rPr>
          <w:lang w:val="en-US"/>
        </w:rPr>
      </w:pPr>
      <w:r>
        <w:tab/>
      </w:r>
      <w:r>
        <w:rPr>
          <w:rStyle w:val="FootnoteReference"/>
        </w:rPr>
        <w:footnoteRef/>
      </w:r>
      <w:r>
        <w:tab/>
      </w:r>
      <w:r w:rsidRPr="00B719E1">
        <w:t>See decision 22/CP.26, table 4, project number SB400-002.</w:t>
      </w:r>
      <w:r>
        <w:t xml:space="preserve"> </w:t>
      </w:r>
    </w:p>
  </w:footnote>
  <w:footnote w:id="11">
    <w:p w14:paraId="1E3624F8" w14:textId="77777777" w:rsidR="001A7B29" w:rsidRDefault="001A7B29" w:rsidP="0056647E">
      <w:pPr>
        <w:pStyle w:val="FootnoteText"/>
        <w:widowControl w:val="0"/>
        <w:rPr>
          <w:lang w:val="en-US"/>
        </w:rPr>
      </w:pPr>
      <w:r>
        <w:tab/>
      </w:r>
      <w:r>
        <w:rPr>
          <w:rStyle w:val="FootnoteReference"/>
        </w:rPr>
        <w:footnoteRef/>
      </w:r>
      <w:r>
        <w:tab/>
      </w:r>
      <w:r>
        <w:rPr>
          <w:lang w:val="en-US"/>
        </w:rPr>
        <w:t>FCCC/KP/CMP/2020/2−FCCC/PA/CMA/2020/2 and FCCC/KP/CMP/2021/2−FCCC/PA/CMA/2021/4 and Add.1.</w:t>
      </w:r>
    </w:p>
  </w:footnote>
  <w:footnote w:id="12">
    <w:p w14:paraId="1E34F8FD" w14:textId="77777777" w:rsidR="001A7B29" w:rsidRDefault="001A7B29" w:rsidP="0056647E">
      <w:pPr>
        <w:pStyle w:val="FootnoteText"/>
        <w:rPr>
          <w:lang w:val="en-US"/>
        </w:rPr>
      </w:pPr>
      <w:r>
        <w:tab/>
      </w:r>
      <w:r>
        <w:rPr>
          <w:rStyle w:val="FootnoteReference"/>
        </w:rPr>
        <w:footnoteRef/>
      </w:r>
      <w:r>
        <w:tab/>
      </w:r>
      <w:r>
        <w:tab/>
      </w:r>
      <w:r>
        <w:rPr>
          <w:lang w:val="en-US"/>
        </w:rPr>
        <w:t>For the status of issues related to the Adaptation Fund and the Paris Agreement, see annex IX to document FCCC/KP/CMP/2020/2−FCCC/PA/CMA/2020/2 and chap. V of document FCCC/KP/CMP/2021/2−FCCC/PA/CMA/2021/4.</w:t>
      </w:r>
    </w:p>
  </w:footnote>
  <w:footnote w:id="13">
    <w:p w14:paraId="7140D2E8" w14:textId="77777777" w:rsidR="001A7B29" w:rsidRDefault="001A7B29" w:rsidP="0056647E">
      <w:pPr>
        <w:pStyle w:val="FootnoteText"/>
        <w:rPr>
          <w:lang w:val="en-US"/>
        </w:rPr>
      </w:pPr>
      <w:r>
        <w:tab/>
      </w:r>
      <w:r>
        <w:rPr>
          <w:rStyle w:val="FootnoteReference"/>
        </w:rPr>
        <w:footnoteRef/>
      </w:r>
      <w:r>
        <w:tab/>
      </w:r>
      <w:r>
        <w:rPr>
          <w:iCs/>
          <w:szCs w:val="24"/>
        </w:rPr>
        <w:t>FCCC/KP/CMP/2021/2−FCCC/PA/CMA/2021/4</w:t>
      </w:r>
      <w:r>
        <w:t>, annex IX.</w:t>
      </w:r>
    </w:p>
  </w:footnote>
  <w:footnote w:id="14">
    <w:p w14:paraId="5EE7F5AE" w14:textId="0540BFF8" w:rsidR="001A7B29" w:rsidRDefault="001A7B29" w:rsidP="0056647E">
      <w:pPr>
        <w:pStyle w:val="FootnoteText"/>
        <w:widowControl w:val="0"/>
        <w:rPr>
          <w:lang w:val="en-US"/>
        </w:rPr>
      </w:pPr>
      <w:r>
        <w:tab/>
      </w:r>
      <w:r>
        <w:rPr>
          <w:rStyle w:val="FootnoteReference"/>
        </w:rPr>
        <w:footnoteRef/>
      </w:r>
      <w:r>
        <w:tab/>
        <w:t xml:space="preserve">See decision 2/CMP.13. </w:t>
      </w:r>
    </w:p>
  </w:footnote>
  <w:footnote w:id="15">
    <w:p w14:paraId="03C90788" w14:textId="77777777" w:rsidR="001A7B29" w:rsidRDefault="001A7B29" w:rsidP="0056647E">
      <w:pPr>
        <w:pStyle w:val="FootnoteText"/>
        <w:widowControl w:val="0"/>
        <w:rPr>
          <w:lang w:val="en-US"/>
        </w:rPr>
      </w:pPr>
      <w:r>
        <w:tab/>
      </w:r>
      <w:r>
        <w:rPr>
          <w:rStyle w:val="FootnoteReference"/>
        </w:rPr>
        <w:footnoteRef/>
      </w:r>
      <w:r>
        <w:tab/>
        <w:t xml:space="preserve">See </w:t>
      </w:r>
      <w:hyperlink r:id="rId1" w:history="1">
        <w:r>
          <w:rPr>
            <w:rStyle w:val="Hyperlink"/>
          </w:rPr>
          <w:t>https://www.adaptation-fund.org/document/medium-term-strategy-2018-2022/</w:t>
        </w:r>
      </w:hyperlink>
      <w:r>
        <w:t xml:space="preserve">. </w:t>
      </w:r>
    </w:p>
  </w:footnote>
  <w:footnote w:id="16">
    <w:p w14:paraId="52328E6C" w14:textId="66CE950E" w:rsidR="001A7B29" w:rsidRDefault="001A7B29" w:rsidP="0056647E">
      <w:pPr>
        <w:pStyle w:val="FootnoteText"/>
        <w:rPr>
          <w:lang w:val="en-US"/>
        </w:rPr>
      </w:pPr>
      <w:r>
        <w:tab/>
      </w:r>
      <w:r>
        <w:rPr>
          <w:rStyle w:val="FootnoteReference"/>
        </w:rPr>
        <w:footnoteRef/>
      </w:r>
      <w:r>
        <w:tab/>
        <w:t xml:space="preserve">See Adaptation Fund Board document AFB/EFC.28/7. Available at </w:t>
      </w:r>
      <w:hyperlink r:id="rId2" w:history="1">
        <w:r>
          <w:rPr>
            <w:rStyle w:val="Hyperlink"/>
          </w:rPr>
          <w:t>https://www.adaptation-fund.org/document/mid-term-review-of-the-medium-term-strategy-of-the-adaptation-fund/</w:t>
        </w:r>
      </w:hyperlink>
      <w:r>
        <w:t xml:space="preserve">. </w:t>
      </w:r>
    </w:p>
  </w:footnote>
  <w:footnote w:id="17">
    <w:p w14:paraId="78E1CAF5" w14:textId="084FB5B7" w:rsidR="0030420F" w:rsidRPr="0030420F" w:rsidRDefault="0030420F" w:rsidP="0030420F">
      <w:pPr>
        <w:pStyle w:val="FootnoteText"/>
        <w:widowControl w:val="0"/>
        <w:rPr>
          <w:lang w:val="en-US"/>
        </w:rPr>
      </w:pPr>
      <w:r>
        <w:tab/>
      </w:r>
      <w:r>
        <w:rPr>
          <w:rStyle w:val="FootnoteReference"/>
        </w:rPr>
        <w:footnoteRef/>
      </w:r>
      <w:r>
        <w:tab/>
      </w:r>
      <w:r w:rsidRPr="0030420F">
        <w:t>Decision 3/CMP.15, para. 5.</w:t>
      </w:r>
      <w:r>
        <w:t xml:space="preserve"> </w:t>
      </w:r>
    </w:p>
  </w:footnote>
  <w:footnote w:id="18">
    <w:p w14:paraId="4F63E742" w14:textId="77777777" w:rsidR="001A7B29" w:rsidRDefault="001A7B29" w:rsidP="00BA605A">
      <w:pPr>
        <w:pStyle w:val="FootnoteText"/>
      </w:pPr>
      <w:r>
        <w:tab/>
      </w:r>
      <w:r>
        <w:rPr>
          <w:rStyle w:val="FootnoteReference"/>
        </w:rPr>
        <w:footnoteRef/>
      </w:r>
      <w:r>
        <w:tab/>
      </w:r>
      <w:hyperlink r:id="rId3" w:history="1">
        <w:r>
          <w:rPr>
            <w:rStyle w:val="Hyperlink"/>
          </w:rPr>
          <w:t>https://www4.unfccc.int/sites/submissionsstaging/Pages/Home.aspx</w:t>
        </w:r>
      </w:hyperlink>
      <w:r>
        <w:t xml:space="preserve">. </w:t>
      </w:r>
    </w:p>
  </w:footnote>
  <w:footnote w:id="19">
    <w:p w14:paraId="46AB9C3A" w14:textId="77777777" w:rsidR="001A7B29" w:rsidRDefault="001A7B29" w:rsidP="00BA605A">
      <w:pPr>
        <w:pStyle w:val="FootnoteText"/>
        <w:rPr>
          <w:lang w:val="en-US"/>
        </w:rPr>
      </w:pPr>
      <w:r>
        <w:tab/>
      </w:r>
      <w:r>
        <w:rPr>
          <w:rStyle w:val="FootnoteReference"/>
        </w:rPr>
        <w:footnoteRef/>
      </w:r>
      <w:r>
        <w:tab/>
        <w:t xml:space="preserve">Decision 1/CMP.14. </w:t>
      </w:r>
    </w:p>
  </w:footnote>
  <w:footnote w:id="20">
    <w:p w14:paraId="40954153" w14:textId="77777777" w:rsidR="001A7B29" w:rsidRDefault="001A7B29" w:rsidP="00BA605A">
      <w:pPr>
        <w:pStyle w:val="FootnoteText"/>
        <w:widowControl w:val="0"/>
        <w:rPr>
          <w:lang w:val="en-US"/>
        </w:rPr>
      </w:pPr>
      <w:r>
        <w:tab/>
      </w:r>
      <w:r>
        <w:rPr>
          <w:rStyle w:val="FootnoteReference"/>
        </w:rPr>
        <w:footnoteRef/>
      </w:r>
      <w:r>
        <w:tab/>
        <w:t xml:space="preserve">FCCC/CP/2012/3 and FCCC/CP/2013/7. </w:t>
      </w:r>
    </w:p>
  </w:footnote>
  <w:footnote w:id="21">
    <w:p w14:paraId="38F7E857" w14:textId="77777777" w:rsidR="001A7B29" w:rsidRDefault="001A7B29" w:rsidP="00BA605A">
      <w:pPr>
        <w:pStyle w:val="FootnoteText"/>
        <w:widowControl w:val="0"/>
        <w:rPr>
          <w:lang w:val="en-US"/>
        </w:rPr>
      </w:pPr>
      <w:r>
        <w:tab/>
      </w:r>
      <w:r>
        <w:rPr>
          <w:rStyle w:val="FootnoteReference"/>
        </w:rPr>
        <w:footnoteRef/>
      </w:r>
      <w:r>
        <w:tab/>
        <w:t xml:space="preserve">Available at </w:t>
      </w:r>
      <w:hyperlink r:id="rId4" w:history="1">
        <w:r>
          <w:rPr>
            <w:rStyle w:val="Hyperlink"/>
          </w:rPr>
          <w:t>https://www.adaptation-fund.org/document/management-response-overall-evaluation-fund-second-phase-action-plan/</w:t>
        </w:r>
      </w:hyperlink>
      <w:r>
        <w:t xml:space="preserve"> and </w:t>
      </w:r>
      <w:hyperlink r:id="rId5" w:history="1">
        <w:r>
          <w:rPr>
            <w:rStyle w:val="Hyperlink"/>
          </w:rPr>
          <w:t>https://www.adaptation-fund.org/document/mid-term-review-of-the-medium-term-strategy-of-the-adaptation-fund/</w:t>
        </w:r>
      </w:hyperlink>
      <w:r>
        <w:t xml:space="preserve">, respectively. </w:t>
      </w:r>
    </w:p>
  </w:footnote>
  <w:footnote w:id="22">
    <w:p w14:paraId="2C58ACBF" w14:textId="77777777" w:rsidR="001A7B29" w:rsidRDefault="001A7B29" w:rsidP="00F002B9">
      <w:pPr>
        <w:pStyle w:val="FootnoteText"/>
        <w:widowControl w:val="0"/>
        <w:rPr>
          <w:lang w:val="en-US"/>
        </w:rPr>
      </w:pPr>
      <w:r>
        <w:tab/>
      </w:r>
      <w:r>
        <w:rPr>
          <w:rStyle w:val="FootnoteReference"/>
        </w:rPr>
        <w:footnoteRef/>
      </w:r>
      <w:r>
        <w:tab/>
      </w:r>
      <w:hyperlink r:id="rId6" w:history="1">
        <w:r>
          <w:rPr>
            <w:rStyle w:val="Hyperlink"/>
          </w:rPr>
          <w:t>https://unfccc.int/topics/capacity-building/workstreams/capacity-building-portal</w:t>
        </w:r>
      </w:hyperlink>
      <w:r>
        <w:t>.</w:t>
      </w:r>
    </w:p>
  </w:footnote>
  <w:footnote w:id="23">
    <w:p w14:paraId="1A5E02FA" w14:textId="77777777" w:rsidR="001A7B29" w:rsidRDefault="001A7B29" w:rsidP="00F002B9">
      <w:pPr>
        <w:pStyle w:val="FootnoteText"/>
        <w:widowControl w:val="0"/>
        <w:rPr>
          <w:lang w:val="en-US"/>
        </w:rPr>
      </w:pPr>
      <w:r>
        <w:rPr>
          <w:lang w:val="es-ES"/>
        </w:rPr>
        <w:tab/>
      </w:r>
      <w:r>
        <w:rPr>
          <w:rStyle w:val="FootnoteReference"/>
        </w:rPr>
        <w:footnoteRef/>
      </w:r>
      <w:r>
        <w:rPr>
          <w:lang w:val="en-US"/>
        </w:rPr>
        <w:tab/>
      </w:r>
      <w:r>
        <w:rPr>
          <w:color w:val="000000" w:themeColor="text1"/>
        </w:rPr>
        <w:t>Katowice Committee on Impacts</w:t>
      </w:r>
      <w:r>
        <w:rPr>
          <w:lang w:val="en-US"/>
        </w:rPr>
        <w:t xml:space="preserve"> document KCI/2021/4/8. Available at </w:t>
      </w:r>
      <w:hyperlink r:id="rId7" w:history="1">
        <w:r>
          <w:rPr>
            <w:rStyle w:val="Hyperlink"/>
            <w:lang w:val="en-US"/>
          </w:rPr>
          <w:t>https://unfccc.int/process-and-meetings/bodies/constituted-bodies/KCI</w:t>
        </w:r>
      </w:hyperlink>
      <w:r>
        <w:rPr>
          <w:lang w:val="en-US"/>
        </w:rPr>
        <w:t>.</w:t>
      </w:r>
    </w:p>
  </w:footnote>
  <w:footnote w:id="24">
    <w:p w14:paraId="23A4F11C" w14:textId="77777777" w:rsidR="001A7B29" w:rsidRDefault="001A7B29" w:rsidP="00F002B9">
      <w:pPr>
        <w:pStyle w:val="FootnoteText"/>
        <w:widowControl w:val="0"/>
        <w:rPr>
          <w:lang w:val="en-US"/>
        </w:rPr>
      </w:pPr>
      <w:r>
        <w:tab/>
      </w:r>
      <w:r>
        <w:rPr>
          <w:rStyle w:val="FootnoteReference"/>
        </w:rPr>
        <w:footnoteRef/>
      </w:r>
      <w:r>
        <w:tab/>
        <w:t xml:space="preserve">See </w:t>
      </w:r>
      <w:hyperlink r:id="rId8" w:history="1">
        <w:r>
          <w:rPr>
            <w:rStyle w:val="Hyperlink"/>
          </w:rPr>
          <w:t>https://unfccc.int/topics/mitigation/workstreams/response-measures/workshops-and-events</w:t>
        </w:r>
      </w:hyperlink>
      <w:r w:rsidRPr="00B719E1">
        <w:rPr>
          <w:rStyle w:val="Hyperlink"/>
          <w:color w:val="auto"/>
          <w:u w:val="none"/>
        </w:rPr>
        <w:t>.</w:t>
      </w:r>
      <w:r>
        <w:t xml:space="preserve"> </w:t>
      </w:r>
    </w:p>
  </w:footnote>
  <w:footnote w:id="25">
    <w:p w14:paraId="09C2932C" w14:textId="77777777" w:rsidR="001A7B29" w:rsidRDefault="001A7B29" w:rsidP="00F002B9">
      <w:pPr>
        <w:pStyle w:val="FootnoteText"/>
        <w:widowControl w:val="0"/>
        <w:rPr>
          <w:lang w:val="en-US"/>
        </w:rPr>
      </w:pPr>
      <w:r>
        <w:tab/>
      </w:r>
      <w:r>
        <w:rPr>
          <w:rStyle w:val="FootnoteReference"/>
        </w:rPr>
        <w:footnoteRef/>
      </w:r>
      <w:r>
        <w:tab/>
        <w:t xml:space="preserve">Contained in annex II to decisions 4/CP.25, 4/CMP.15 and 4/CMA.2. </w:t>
      </w:r>
    </w:p>
  </w:footnote>
  <w:footnote w:id="26">
    <w:p w14:paraId="0894A3DA" w14:textId="13801A5A" w:rsidR="001A7B29" w:rsidRDefault="001A7B29" w:rsidP="00F002B9">
      <w:pPr>
        <w:pStyle w:val="FootnoteText"/>
        <w:widowControl w:val="0"/>
        <w:rPr>
          <w:lang w:val="en-US"/>
        </w:rPr>
      </w:pPr>
      <w:r>
        <w:tab/>
      </w:r>
      <w:r>
        <w:rPr>
          <w:rStyle w:val="FootnoteReference"/>
        </w:rPr>
        <w:footnoteRef/>
      </w:r>
      <w:r>
        <w:tab/>
        <w:t xml:space="preserve">Decision 4/CMA.2, annex I. </w:t>
      </w:r>
    </w:p>
  </w:footnote>
  <w:footnote w:id="27">
    <w:p w14:paraId="495EA3C2" w14:textId="77777777" w:rsidR="001A7B29" w:rsidRDefault="001A7B29" w:rsidP="00F002B9">
      <w:pPr>
        <w:pStyle w:val="FootnoteText"/>
        <w:widowControl w:val="0"/>
        <w:rPr>
          <w:lang w:val="en-US"/>
        </w:rPr>
      </w:pPr>
      <w:r>
        <w:tab/>
      </w:r>
      <w:r>
        <w:rPr>
          <w:rStyle w:val="FootnoteReference"/>
        </w:rPr>
        <w:footnoteRef/>
      </w:r>
      <w:r>
        <w:tab/>
      </w:r>
      <w:hyperlink r:id="rId9" w:history="1">
        <w:r>
          <w:rPr>
            <w:rStyle w:val="Hyperlink"/>
          </w:rPr>
          <w:t>https://www4.unfccc.int/sites/submissionsstaging/Pages/Home.aspx</w:t>
        </w:r>
      </w:hyperlink>
      <w:r>
        <w:t>.</w:t>
      </w:r>
    </w:p>
  </w:footnote>
  <w:footnote w:id="28">
    <w:p w14:paraId="4EBD20D8" w14:textId="77777777" w:rsidR="001A7B29" w:rsidRDefault="001A7B29" w:rsidP="00F002B9">
      <w:pPr>
        <w:pStyle w:val="FootnoteText"/>
        <w:widowControl w:val="0"/>
        <w:rPr>
          <w:lang w:val="es-ES"/>
        </w:rPr>
      </w:pPr>
      <w:r>
        <w:tab/>
      </w:r>
      <w:r>
        <w:rPr>
          <w:rStyle w:val="FootnoteReference"/>
        </w:rPr>
        <w:footnoteRef/>
      </w:r>
      <w:r>
        <w:rPr>
          <w:lang w:val="es-ES"/>
        </w:rPr>
        <w:tab/>
        <w:t xml:space="preserve">As per </w:t>
      </w:r>
      <w:r>
        <w:rPr>
          <w:lang w:val="en-US"/>
        </w:rPr>
        <w:t>decision</w:t>
      </w:r>
      <w:r>
        <w:rPr>
          <w:lang w:val="es-ES"/>
        </w:rPr>
        <w:t xml:space="preserve"> 19/CMA.1, para. 24. </w:t>
      </w:r>
    </w:p>
  </w:footnote>
  <w:footnote w:id="29">
    <w:p w14:paraId="02C36E15" w14:textId="77777777" w:rsidR="001A7B29" w:rsidRDefault="001A7B29" w:rsidP="00F002B9">
      <w:pPr>
        <w:pStyle w:val="FootnoteText"/>
        <w:widowControl w:val="0"/>
        <w:rPr>
          <w:lang w:val="es-ES"/>
        </w:rPr>
      </w:pPr>
      <w:r>
        <w:rPr>
          <w:lang w:val="it-IT"/>
        </w:rPr>
        <w:tab/>
      </w:r>
      <w:r>
        <w:rPr>
          <w:rStyle w:val="FootnoteReference"/>
        </w:rPr>
        <w:footnoteRef/>
      </w:r>
      <w:r>
        <w:rPr>
          <w:lang w:val="es-ES"/>
        </w:rPr>
        <w:tab/>
        <w:t>Decision 7/CMA.1, annex, para. 4(b).</w:t>
      </w:r>
    </w:p>
  </w:footnote>
  <w:footnote w:id="30">
    <w:p w14:paraId="1E62DD7E" w14:textId="77777777" w:rsidR="001A7B29" w:rsidRDefault="001A7B29" w:rsidP="00F002B9">
      <w:pPr>
        <w:pStyle w:val="FootnoteText"/>
        <w:widowControl w:val="0"/>
        <w:rPr>
          <w:lang w:val="it-IT"/>
        </w:rPr>
      </w:pPr>
      <w:r>
        <w:rPr>
          <w:lang w:val="it-IT"/>
        </w:rPr>
        <w:tab/>
      </w:r>
      <w:r>
        <w:rPr>
          <w:rStyle w:val="FootnoteReference"/>
        </w:rPr>
        <w:footnoteRef/>
      </w:r>
      <w:r>
        <w:rPr>
          <w:lang w:val="it-IT"/>
        </w:rPr>
        <w:tab/>
      </w:r>
      <w:r>
        <w:rPr>
          <w:lang w:val="es-ES"/>
        </w:rPr>
        <w:t>Decision 7/CMA.1, annex, para. 4(d).</w:t>
      </w:r>
      <w:r>
        <w:rPr>
          <w:lang w:val="it-IT"/>
        </w:rPr>
        <w:t xml:space="preserve"> </w:t>
      </w:r>
    </w:p>
  </w:footnote>
  <w:footnote w:id="31">
    <w:p w14:paraId="51D7F7A7" w14:textId="77777777" w:rsidR="001A7B29" w:rsidRDefault="001A7B29" w:rsidP="00F002B9">
      <w:pPr>
        <w:pStyle w:val="FootnoteText"/>
        <w:widowControl w:val="0"/>
        <w:rPr>
          <w:lang w:val="es-ES"/>
        </w:rPr>
      </w:pPr>
      <w:r>
        <w:rPr>
          <w:lang w:val="es-ES"/>
        </w:rPr>
        <w:tab/>
      </w:r>
      <w:r>
        <w:rPr>
          <w:rStyle w:val="FootnoteReference"/>
        </w:rPr>
        <w:footnoteRef/>
      </w:r>
      <w:r>
        <w:rPr>
          <w:lang w:val="es-ES"/>
        </w:rPr>
        <w:tab/>
        <w:t xml:space="preserve">Decision 7/CMA.1, annex, para. 4(c). </w:t>
      </w:r>
    </w:p>
  </w:footnote>
  <w:footnote w:id="32">
    <w:p w14:paraId="65449A15" w14:textId="77777777" w:rsidR="001A7B29" w:rsidRDefault="001A7B29" w:rsidP="00F002B9">
      <w:pPr>
        <w:pStyle w:val="FootnoteText"/>
        <w:widowControl w:val="0"/>
        <w:rPr>
          <w:lang w:val="es-ES"/>
        </w:rPr>
      </w:pPr>
      <w:r>
        <w:rPr>
          <w:lang w:val="es-ES"/>
        </w:rPr>
        <w:tab/>
      </w:r>
      <w:r>
        <w:rPr>
          <w:rStyle w:val="FootnoteReference"/>
        </w:rPr>
        <w:footnoteRef/>
      </w:r>
      <w:r>
        <w:rPr>
          <w:lang w:val="es-ES"/>
        </w:rPr>
        <w:tab/>
        <w:t xml:space="preserve">Decision 7/CMA.1, annex, para. 4(e). </w:t>
      </w:r>
    </w:p>
  </w:footnote>
  <w:footnote w:id="33">
    <w:p w14:paraId="7E5B328E" w14:textId="72BBF2E6" w:rsidR="00C706CE" w:rsidRPr="008933AF" w:rsidRDefault="00C706CE" w:rsidP="00C706CE">
      <w:pPr>
        <w:pStyle w:val="FootnoteText"/>
      </w:pPr>
      <w:r>
        <w:tab/>
      </w:r>
      <w:r>
        <w:rPr>
          <w:rStyle w:val="FootnoteReference"/>
        </w:rPr>
        <w:footnoteRef/>
      </w:r>
      <w:r>
        <w:tab/>
      </w:r>
      <w:r w:rsidRPr="008933AF">
        <w:t>Third calendar year for members serving an initial term of three years in accordance with para</w:t>
      </w:r>
      <w:r w:rsidR="006D6157">
        <w:t>.</w:t>
      </w:r>
      <w:r w:rsidRPr="008933AF">
        <w:t xml:space="preserve"> 7</w:t>
      </w:r>
      <w:r>
        <w:t>(</w:t>
      </w:r>
      <w:r w:rsidRPr="008933AF">
        <w:t>a</w:t>
      </w:r>
      <w:r>
        <w:t>)</w:t>
      </w:r>
      <w:r w:rsidRPr="008933AF">
        <w:t xml:space="preserve"> above</w:t>
      </w:r>
      <w:r>
        <w:t>.</w:t>
      </w:r>
    </w:p>
  </w:footnote>
  <w:footnote w:id="34">
    <w:p w14:paraId="13D7FE5C" w14:textId="77777777" w:rsidR="001A7B29" w:rsidRDefault="001A7B29" w:rsidP="00F002B9">
      <w:pPr>
        <w:pStyle w:val="FootnoteText"/>
        <w:widowControl w:val="0"/>
        <w:rPr>
          <w:lang w:val="es-ES"/>
        </w:rPr>
      </w:pPr>
      <w:r>
        <w:rPr>
          <w:lang w:val="es-ES"/>
        </w:rPr>
        <w:tab/>
      </w:r>
      <w:r>
        <w:rPr>
          <w:rStyle w:val="FootnoteReference"/>
        </w:rPr>
        <w:footnoteRef/>
      </w:r>
      <w:r>
        <w:rPr>
          <w:lang w:val="es-ES"/>
        </w:rPr>
        <w:tab/>
        <w:t xml:space="preserve">Decision 7/CMA.1, annex, para. 4(f). </w:t>
      </w:r>
    </w:p>
  </w:footnote>
  <w:footnote w:id="35">
    <w:p w14:paraId="6045C405" w14:textId="77777777" w:rsidR="001A7B29" w:rsidRDefault="001A7B29" w:rsidP="00F002B9">
      <w:pPr>
        <w:pStyle w:val="FootnoteText"/>
        <w:widowControl w:val="0"/>
        <w:rPr>
          <w:lang w:val="es-ES"/>
        </w:rPr>
      </w:pPr>
      <w:r>
        <w:rPr>
          <w:lang w:val="es-ES"/>
        </w:rPr>
        <w:tab/>
      </w:r>
      <w:r>
        <w:rPr>
          <w:rStyle w:val="FootnoteReference"/>
        </w:rPr>
        <w:footnoteRef/>
      </w:r>
      <w:r>
        <w:rPr>
          <w:lang w:val="es-ES"/>
        </w:rPr>
        <w:tab/>
        <w:t xml:space="preserve">Decision 7/CMA.1, annex, para. 4(g). </w:t>
      </w:r>
    </w:p>
  </w:footnote>
  <w:footnote w:id="36">
    <w:p w14:paraId="6F7DE149" w14:textId="77777777" w:rsidR="001A7B29" w:rsidRDefault="001A7B29" w:rsidP="00F002B9">
      <w:pPr>
        <w:pStyle w:val="FootnoteText"/>
        <w:widowControl w:val="0"/>
        <w:rPr>
          <w:lang w:val="es-ES"/>
        </w:rPr>
      </w:pPr>
      <w:r>
        <w:rPr>
          <w:lang w:val="es-ES"/>
        </w:rPr>
        <w:tab/>
      </w:r>
      <w:r>
        <w:rPr>
          <w:rStyle w:val="FootnoteReference"/>
        </w:rPr>
        <w:footnoteRef/>
      </w:r>
      <w:r>
        <w:rPr>
          <w:lang w:val="es-ES"/>
        </w:rPr>
        <w:tab/>
        <w:t xml:space="preserve">Decision 7/CMA.1, para. 12, and annex, para. 4(j). </w:t>
      </w:r>
    </w:p>
  </w:footnote>
  <w:footnote w:id="37">
    <w:p w14:paraId="4B3895D2" w14:textId="77777777" w:rsidR="001A7B29" w:rsidRDefault="001A7B29" w:rsidP="00F002B9">
      <w:pPr>
        <w:pStyle w:val="FootnoteText"/>
        <w:widowControl w:val="0"/>
        <w:rPr>
          <w:lang w:val="pt-BR"/>
        </w:rPr>
      </w:pPr>
      <w:r>
        <w:rPr>
          <w:lang w:val="es-ES"/>
        </w:rPr>
        <w:tab/>
      </w:r>
      <w:r>
        <w:rPr>
          <w:rStyle w:val="FootnoteReference"/>
        </w:rPr>
        <w:footnoteRef/>
      </w:r>
      <w:r>
        <w:rPr>
          <w:lang w:val="es-ES"/>
        </w:rPr>
        <w:tab/>
        <w:t xml:space="preserve">Decision 7/CMA.1, annex, para. </w:t>
      </w:r>
      <w:r>
        <w:rPr>
          <w:lang w:val="pt-BR"/>
        </w:rPr>
        <w:t xml:space="preserve">4(i). </w:t>
      </w:r>
    </w:p>
  </w:footnote>
  <w:footnote w:id="38">
    <w:p w14:paraId="54D86D22" w14:textId="77777777" w:rsidR="001A7B29" w:rsidRDefault="001A7B29" w:rsidP="00F002B9">
      <w:pPr>
        <w:pStyle w:val="FootnoteText"/>
        <w:widowControl w:val="0"/>
        <w:rPr>
          <w:lang w:val="en-US"/>
        </w:rPr>
      </w:pPr>
      <w:r>
        <w:rPr>
          <w:lang w:val="pt-BR"/>
        </w:rPr>
        <w:tab/>
      </w:r>
      <w:r>
        <w:rPr>
          <w:rStyle w:val="FootnoteReference"/>
        </w:rPr>
        <w:footnoteRef/>
      </w:r>
      <w:r>
        <w:rPr>
          <w:lang w:val="pt-BR"/>
        </w:rPr>
        <w:tab/>
        <w:t xml:space="preserve">Decision 7/CMA.1, annex, para. </w:t>
      </w:r>
      <w:r>
        <w:rPr>
          <w:lang w:val="en-US"/>
        </w:rPr>
        <w:t>4(h).</w:t>
      </w:r>
      <w:r>
        <w:t xml:space="preserve"> </w:t>
      </w:r>
    </w:p>
  </w:footnote>
  <w:footnote w:id="39">
    <w:p w14:paraId="028F7700" w14:textId="77777777" w:rsidR="001A7B29" w:rsidRDefault="001A7B29" w:rsidP="00CC0A78">
      <w:pPr>
        <w:pStyle w:val="FootnoteText"/>
        <w:widowControl w:val="0"/>
        <w:rPr>
          <w:lang w:val="en-US"/>
        </w:rPr>
      </w:pPr>
      <w:r>
        <w:tab/>
      </w:r>
      <w:r>
        <w:rPr>
          <w:rStyle w:val="FootnoteReference"/>
        </w:rPr>
        <w:footnoteRef/>
      </w:r>
      <w:r>
        <w:tab/>
        <w:t>FCCC/SBI/2021/4 and Add.1–2.</w:t>
      </w:r>
    </w:p>
  </w:footnote>
  <w:footnote w:id="40">
    <w:p w14:paraId="54D4DCCB" w14:textId="77777777" w:rsidR="001A7B29" w:rsidRDefault="001A7B29" w:rsidP="00CC0A78">
      <w:pPr>
        <w:pStyle w:val="FootnoteText"/>
        <w:widowControl w:val="0"/>
        <w:rPr>
          <w:lang w:val="en-US"/>
        </w:rPr>
      </w:pPr>
      <w:r>
        <w:tab/>
      </w:r>
      <w:r>
        <w:rPr>
          <w:rStyle w:val="FootnoteReference"/>
        </w:rPr>
        <w:footnoteRef/>
      </w:r>
      <w:r>
        <w:tab/>
        <w:t xml:space="preserve">Decision 15/CP.1, annex I. </w:t>
      </w:r>
    </w:p>
  </w:footnote>
  <w:footnote w:id="41">
    <w:p w14:paraId="702F95FB" w14:textId="77777777" w:rsidR="001A7B29" w:rsidRDefault="001A7B29" w:rsidP="00CC0A78">
      <w:pPr>
        <w:pStyle w:val="FootnoteText"/>
        <w:widowControl w:val="0"/>
        <w:rPr>
          <w:lang w:val="en-US"/>
        </w:rPr>
      </w:pPr>
      <w:r>
        <w:tab/>
      </w:r>
      <w:r>
        <w:rPr>
          <w:rStyle w:val="FootnoteReference"/>
        </w:rPr>
        <w:footnoteRef/>
      </w:r>
      <w:r>
        <w:tab/>
      </w:r>
      <w:r>
        <w:tab/>
        <w:t xml:space="preserve">FCCC/SBI/2021/4/Add.2. </w:t>
      </w:r>
    </w:p>
  </w:footnote>
  <w:footnote w:id="42">
    <w:p w14:paraId="13AD23EE" w14:textId="77777777" w:rsidR="001A7B29" w:rsidRDefault="001A7B29" w:rsidP="00D34E5D">
      <w:pPr>
        <w:pStyle w:val="FootnoteText"/>
        <w:rPr>
          <w:lang w:val="en-US"/>
        </w:rPr>
      </w:pPr>
      <w:r>
        <w:tab/>
      </w:r>
      <w:r>
        <w:rPr>
          <w:rStyle w:val="FootnoteReference"/>
        </w:rPr>
        <w:footnoteRef/>
      </w:r>
      <w:r>
        <w:rPr>
          <w:lang w:val="en-US"/>
        </w:rPr>
        <w:tab/>
        <w:t>Decision 15/CP.1, annex I.</w:t>
      </w:r>
    </w:p>
  </w:footnote>
  <w:footnote w:id="43">
    <w:p w14:paraId="0BB4343C" w14:textId="55E33223" w:rsidR="001A7B29" w:rsidRDefault="001A7B29" w:rsidP="00D34E5D">
      <w:pPr>
        <w:pStyle w:val="FootnoteText"/>
        <w:widowControl w:val="0"/>
        <w:rPr>
          <w:lang w:val="en-US"/>
        </w:rPr>
      </w:pPr>
      <w:r>
        <w:tab/>
      </w:r>
      <w:r>
        <w:rPr>
          <w:rStyle w:val="FootnoteReference"/>
        </w:rPr>
        <w:footnoteRef/>
      </w:r>
      <w:r>
        <w:tab/>
        <w:t>FCCC/SBI/2020/3 and Add.1–2, FCCC/SBI/2020/INF.2, FCCC/SBI/2020/INF.3, FCCC/SBI/2020/INF.9 and Add.1, FCCC/SBI/2021/5 and Add.1, FCCC/SBI/2021/INF.4 and Add.1, and FCCC/SBI/2021/INF.8.</w:t>
      </w:r>
    </w:p>
  </w:footnote>
  <w:footnote w:id="44">
    <w:p w14:paraId="1B44999F" w14:textId="77777777" w:rsidR="001A7B29" w:rsidRDefault="001A7B29" w:rsidP="00D34E5D">
      <w:pPr>
        <w:pStyle w:val="FootnoteText"/>
        <w:widowControl w:val="0"/>
        <w:rPr>
          <w:lang w:val="en-US"/>
        </w:rPr>
      </w:pPr>
      <w:r>
        <w:tab/>
      </w:r>
      <w:r>
        <w:rPr>
          <w:rStyle w:val="FootnoteReference"/>
        </w:rPr>
        <w:footnoteRef/>
      </w:r>
      <w:r>
        <w:tab/>
        <w:t>FCCC/SBI/2020/3 and Add.1–2 and FCCC/SBI/2021/5 and Add.1.</w:t>
      </w:r>
    </w:p>
  </w:footnote>
  <w:footnote w:id="45">
    <w:p w14:paraId="31C6289A" w14:textId="77777777" w:rsidR="001A7B29" w:rsidRDefault="001A7B29" w:rsidP="00D34E5D">
      <w:pPr>
        <w:pStyle w:val="FootnoteText"/>
        <w:widowControl w:val="0"/>
        <w:rPr>
          <w:lang w:val="en-US"/>
        </w:rPr>
      </w:pPr>
      <w:r>
        <w:tab/>
      </w:r>
      <w:r>
        <w:rPr>
          <w:rStyle w:val="FootnoteReference"/>
        </w:rPr>
        <w:footnoteRef/>
      </w:r>
      <w:r>
        <w:tab/>
        <w:t>FCCC/SBI/2021/INF.8.</w:t>
      </w:r>
    </w:p>
  </w:footnote>
  <w:footnote w:id="46">
    <w:p w14:paraId="1A106C7F" w14:textId="77777777" w:rsidR="001A7B29" w:rsidRDefault="001A7B29" w:rsidP="00D34E5D">
      <w:pPr>
        <w:pStyle w:val="FootnoteText"/>
        <w:widowControl w:val="0"/>
        <w:rPr>
          <w:lang w:val="en-US"/>
        </w:rPr>
      </w:pPr>
      <w:r>
        <w:tab/>
      </w:r>
      <w:r>
        <w:rPr>
          <w:rStyle w:val="FootnoteReference"/>
        </w:rPr>
        <w:footnoteRef/>
      </w:r>
      <w:r>
        <w:tab/>
        <w:t>FCCC/SBI/2020/INF.9 and Add.1 and FCCC/SBI/2021/INF.4 and Add.1.</w:t>
      </w:r>
    </w:p>
  </w:footnote>
  <w:footnote w:id="47">
    <w:p w14:paraId="031F01BB" w14:textId="77777777" w:rsidR="001A7B29" w:rsidRDefault="001A7B29" w:rsidP="00D34E5D">
      <w:pPr>
        <w:pStyle w:val="FootnoteText"/>
        <w:widowControl w:val="0"/>
        <w:rPr>
          <w:lang w:val="en-US"/>
        </w:rPr>
      </w:pPr>
      <w:r>
        <w:tab/>
      </w:r>
      <w:r>
        <w:rPr>
          <w:rStyle w:val="FootnoteReference"/>
        </w:rPr>
        <w:footnoteRef/>
      </w:r>
      <w:r>
        <w:tab/>
      </w:r>
      <w:r>
        <w:rPr>
          <w:lang w:val="fr-FR"/>
        </w:rPr>
        <w:t xml:space="preserve">FCCC/SBI/2020/INF.2. </w:t>
      </w:r>
    </w:p>
  </w:footnote>
  <w:footnote w:id="48">
    <w:p w14:paraId="5792223F" w14:textId="77777777" w:rsidR="001A7B29" w:rsidRDefault="001A7B29" w:rsidP="00D34E5D">
      <w:pPr>
        <w:pStyle w:val="FootnoteText"/>
        <w:widowControl w:val="0"/>
        <w:rPr>
          <w:lang w:val="en-US"/>
        </w:rPr>
      </w:pPr>
      <w:r>
        <w:tab/>
      </w:r>
      <w:r>
        <w:rPr>
          <w:rStyle w:val="FootnoteReference"/>
        </w:rPr>
        <w:footnoteRef/>
      </w:r>
      <w:r>
        <w:tab/>
      </w:r>
      <w:r>
        <w:rPr>
          <w:lang w:val="fr-FR"/>
        </w:rPr>
        <w:t xml:space="preserve">FCCC/SBI/2020/INF.3. </w:t>
      </w:r>
    </w:p>
  </w:footnote>
  <w:footnote w:id="49">
    <w:p w14:paraId="1C38B763" w14:textId="417787C8" w:rsidR="001A7B29" w:rsidRDefault="001A7B29" w:rsidP="00D34E5D">
      <w:pPr>
        <w:pStyle w:val="FootnoteText"/>
        <w:widowControl w:val="0"/>
        <w:rPr>
          <w:lang w:val="en-US"/>
        </w:rPr>
      </w:pPr>
      <w:r>
        <w:tab/>
      </w:r>
      <w:r>
        <w:rPr>
          <w:rStyle w:val="FootnoteReference"/>
        </w:rPr>
        <w:footnoteRef/>
      </w:r>
      <w:r>
        <w:tab/>
      </w:r>
      <w:r w:rsidRPr="00502532">
        <w:rPr>
          <w:lang w:val="fr-FR"/>
        </w:rPr>
        <w:t xml:space="preserve">As footnote </w:t>
      </w:r>
      <w:r w:rsidR="002D78CB" w:rsidRPr="00502532">
        <w:rPr>
          <w:lang w:val="fr-FR"/>
        </w:rPr>
        <w:t>7</w:t>
      </w:r>
      <w:r w:rsidRPr="00502532">
        <w:rPr>
          <w:lang w:val="fr-FR"/>
        </w:rPr>
        <w:t xml:space="preserve"> above</w:t>
      </w:r>
      <w:r w:rsidRPr="00502532">
        <w:t>.</w:t>
      </w:r>
    </w:p>
  </w:footnote>
  <w:footnote w:id="50">
    <w:p w14:paraId="46E01C0B" w14:textId="77777777" w:rsidR="001A7B29" w:rsidRDefault="001A7B29" w:rsidP="00D34E5D">
      <w:pPr>
        <w:pStyle w:val="FootnoteText"/>
        <w:widowControl w:val="0"/>
        <w:rPr>
          <w:lang w:val="en-US"/>
        </w:rPr>
      </w:pPr>
      <w:r>
        <w:tab/>
      </w:r>
      <w:r>
        <w:rPr>
          <w:rStyle w:val="FootnoteReference"/>
        </w:rPr>
        <w:footnoteRef/>
      </w:r>
      <w:r>
        <w:tab/>
        <w:t>FCCC/SBI/2020/INF.2, paras. 30, 31 and 33.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7982CB" w14:textId="27E22BCC" w:rsidR="001A7B29" w:rsidRPr="001A7B29" w:rsidRDefault="001A7B29" w:rsidP="001A7B29">
    <w:pPr>
      <w:pStyle w:val="Header"/>
    </w:pPr>
    <w:r>
      <w:t>FCCC/KP/CMP/2021/</w:t>
    </w:r>
    <w:r w:rsidR="005F1AD6">
      <w:t>8</w:t>
    </w:r>
    <w:r>
      <w:t>/Add.1</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47B25" w14:textId="517A9ADC" w:rsidR="006504B4" w:rsidRDefault="001B3D02">
    <w:pPr>
      <w:pStyle w:val="Header"/>
    </w:pPr>
    <w:r>
      <w:t>FCCC/KP/CMP/2021/</w:t>
    </w:r>
    <w:r w:rsidR="002C2B40">
      <w:t>8</w:t>
    </w:r>
    <w:r>
      <w:t>/Add.1</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34EC3" w14:textId="679BB3DD" w:rsidR="006504B4" w:rsidRDefault="001B3D02" w:rsidP="001B3D02">
    <w:pPr>
      <w:pStyle w:val="Header"/>
      <w:jc w:val="right"/>
    </w:pPr>
    <w:r>
      <w:t>FCCC/KP/CMP/2021/</w:t>
    </w:r>
    <w:r w:rsidR="00EF7624">
      <w:t>8</w:t>
    </w:r>
    <w:r>
      <w:t>/Add.1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7F8E7" w14:textId="3AF5A7D6" w:rsidR="006504B4" w:rsidRDefault="001B3D02">
    <w:pPr>
      <w:pStyle w:val="Header"/>
    </w:pPr>
    <w:r>
      <w:t>FCCC/KP/CMP/2021/</w:t>
    </w:r>
    <w:r w:rsidR="00EF7624">
      <w:t>8</w:t>
    </w:r>
    <w:r>
      <w:t>/Add.1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A0AFF" w14:textId="5205A6CE" w:rsidR="006504B4" w:rsidRDefault="001B3D02" w:rsidP="001B3D02">
    <w:pPr>
      <w:pStyle w:val="Header"/>
      <w:jc w:val="right"/>
    </w:pPr>
    <w:r>
      <w:t>FCCC/KP/CMP/2021/</w:t>
    </w:r>
    <w:r w:rsidR="00EF7624">
      <w:t>8</w:t>
    </w:r>
    <w:r>
      <w:t>/Add.1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AE5518" w14:textId="7F94CBC3" w:rsidR="006504B4" w:rsidRDefault="001B3D02">
    <w:pPr>
      <w:pStyle w:val="Header"/>
    </w:pPr>
    <w:r>
      <w:t>FCCC/KP/CMP/2021/</w:t>
    </w:r>
    <w:r w:rsidR="00EF7624">
      <w:t>8</w:t>
    </w:r>
    <w:r>
      <w:t>/Add.1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7ECB17" w14:textId="747EB940" w:rsidR="006504B4" w:rsidRDefault="001B3D02" w:rsidP="001B3D02">
    <w:pPr>
      <w:pStyle w:val="Header"/>
      <w:jc w:val="right"/>
    </w:pPr>
    <w:r>
      <w:t>FCCC/KP/CMP/2021/</w:t>
    </w:r>
    <w:r w:rsidR="00E67D71">
      <w:t>8</w:t>
    </w:r>
    <w:r>
      <w:t>/Add.1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E3E6E" w14:textId="2C450656" w:rsidR="006504B4" w:rsidRDefault="001B3D02">
    <w:pPr>
      <w:pStyle w:val="Header"/>
    </w:pPr>
    <w:r>
      <w:t>FCCC/KP/CMP/2021/</w:t>
    </w:r>
    <w:r w:rsidR="00E67D71">
      <w:t>8</w:t>
    </w:r>
    <w:r>
      <w:t>/Add.1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C55F2" w14:textId="55A41891" w:rsidR="006504B4" w:rsidRDefault="001B3D02">
    <w:pPr>
      <w:pStyle w:val="Header"/>
    </w:pPr>
    <w:r>
      <w:t>FCCC/KP/CMP/2021/</w:t>
    </w:r>
    <w:r w:rsidR="00E67D71">
      <w:t>8</w:t>
    </w:r>
    <w:r>
      <w:t>/Add.1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4FF98" w14:textId="5D3B6C37" w:rsidR="006504B4" w:rsidRDefault="001B3D02" w:rsidP="001B3D02">
    <w:pPr>
      <w:pStyle w:val="Header"/>
      <w:jc w:val="right"/>
    </w:pPr>
    <w:r>
      <w:t>FCCC/KP/CMP/2021/</w:t>
    </w:r>
    <w:r w:rsidR="00E67D71">
      <w:t>8</w:t>
    </w:r>
    <w:r>
      <w:t>/Add.1</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D1B7FA" w14:textId="551E0F9F" w:rsidR="006504B4" w:rsidRDefault="001B3D02">
    <w:pPr>
      <w:pStyle w:val="Header"/>
    </w:pPr>
    <w:r>
      <w:t>FCCC/KP/CMP/2021/</w:t>
    </w:r>
    <w:r w:rsidR="00E67D71">
      <w:t>8</w:t>
    </w:r>
    <w:r>
      <w:t>/Add.1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A38373" w14:textId="37FD912F" w:rsidR="006504B4" w:rsidRDefault="001B3D02">
    <w:pPr>
      <w:pStyle w:val="Header"/>
    </w:pPr>
    <w:r>
      <w:t>FCCC/KP/CMP/2021/</w:t>
    </w:r>
    <w:r w:rsidR="002C2B40">
      <w:t>8</w:t>
    </w:r>
    <w:r>
      <w:t>/Add.1</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E589F6" w14:textId="31FBEE08" w:rsidR="006504B4" w:rsidRDefault="001B3D02">
    <w:pPr>
      <w:pStyle w:val="Header"/>
    </w:pPr>
    <w:r>
      <w:t>FCCC/KP/CMP/2021/</w:t>
    </w:r>
    <w:r w:rsidR="00E67D71">
      <w:t>8</w:t>
    </w:r>
    <w:r>
      <w:t>/Add.1</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DB28EF" w14:textId="3EC92E27" w:rsidR="006504B4" w:rsidRDefault="001B3D02" w:rsidP="001B3D02">
    <w:pPr>
      <w:pStyle w:val="Header"/>
      <w:jc w:val="right"/>
    </w:pPr>
    <w:r>
      <w:t>FCCC/KP/CMP/2021/</w:t>
    </w:r>
    <w:r w:rsidR="00E67D71">
      <w:t>8</w:t>
    </w:r>
    <w:r>
      <w:t>/Add.1</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7B26D" w14:textId="13669A3D" w:rsidR="006504B4" w:rsidRDefault="001B3D02">
    <w:pPr>
      <w:pStyle w:val="Header"/>
    </w:pPr>
    <w:r>
      <w:t>FCCC/KP/CMP/2021/</w:t>
    </w:r>
    <w:r w:rsidR="00E67D71">
      <w:t>8</w:t>
    </w:r>
    <w:r>
      <w:t>/Add.1</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5D8F6F" w14:textId="1F59CD97" w:rsidR="006504B4" w:rsidRDefault="001B3D02" w:rsidP="001B3D02">
    <w:pPr>
      <w:pStyle w:val="Header"/>
      <w:jc w:val="right"/>
    </w:pPr>
    <w:r>
      <w:t>FCCC/KP/CMP/2021/</w:t>
    </w:r>
    <w:r w:rsidR="00E67D71">
      <w:t>8</w:t>
    </w:r>
    <w:r>
      <w:t>/Add.1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D5CE67" w14:textId="6B4439D9" w:rsidR="006504B4" w:rsidRDefault="001B3D02" w:rsidP="001B3D02">
    <w:pPr>
      <w:pStyle w:val="Header"/>
      <w:jc w:val="right"/>
    </w:pPr>
    <w:r>
      <w:t>FCCC/KP/CMP/2021/</w:t>
    </w:r>
    <w:r w:rsidR="00E67D71">
      <w:t>8</w:t>
    </w:r>
    <w:r>
      <w:t>/Add.1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159F8" w14:textId="48B6E74C" w:rsidR="006504B4" w:rsidRDefault="001B3D02">
    <w:pPr>
      <w:pStyle w:val="Header"/>
    </w:pPr>
    <w:r>
      <w:t>FCCC/KP/CMP/2021/</w:t>
    </w:r>
    <w:r w:rsidR="00E67D71">
      <w:t>8</w:t>
    </w:r>
    <w:r>
      <w:t>/Add.1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B3F2B" w14:textId="785878C3" w:rsidR="006504B4" w:rsidRDefault="001B3D02" w:rsidP="001B3D02">
    <w:pPr>
      <w:pStyle w:val="Header"/>
      <w:jc w:val="right"/>
    </w:pPr>
    <w:r>
      <w:t>FCCC/KP/CMP/2021/</w:t>
    </w:r>
    <w:r w:rsidR="00E67D71">
      <w:t>8</w:t>
    </w:r>
    <w:r>
      <w:t>/Add.1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0406F2" w14:textId="77777777" w:rsidR="006504B4" w:rsidRDefault="001B3D02">
    <w:pPr>
      <w:pStyle w:val="Header"/>
    </w:pPr>
    <w:r>
      <w:t>FCCC/KP/CMP/2021/X/Add.1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16BB6" w14:textId="222A1FE5" w:rsidR="006504B4" w:rsidRDefault="001B3D02" w:rsidP="001B3D02">
    <w:pPr>
      <w:pStyle w:val="Header"/>
      <w:jc w:val="right"/>
    </w:pPr>
    <w:r>
      <w:t>FCCC/KP/CMP/2021/</w:t>
    </w:r>
    <w:r w:rsidR="00E67D71">
      <w:t>8</w:t>
    </w:r>
    <w:r>
      <w:t>/Add.1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E4BCE1" w14:textId="4F14D470" w:rsidR="001A7B29" w:rsidRPr="001B0963" w:rsidRDefault="001A7B29" w:rsidP="001B0963">
    <w:pPr>
      <w:pStyle w:val="Header"/>
      <w:jc w:val="right"/>
    </w:pPr>
    <w:r>
      <w:t>FCCC/KP/CMP/2021/</w:t>
    </w:r>
    <w:r w:rsidR="005F1AD6">
      <w:t>8</w:t>
    </w:r>
    <w:r>
      <w:t>/Add.1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B8860" w14:textId="24F11885" w:rsidR="006504B4" w:rsidRDefault="001B3D02">
    <w:pPr>
      <w:pStyle w:val="Header"/>
    </w:pPr>
    <w:r>
      <w:t>FCCC/KP/CMP/2021/</w:t>
    </w:r>
    <w:r w:rsidR="002C2B40">
      <w:t>8</w:t>
    </w:r>
    <w:r>
      <w:t>/Add.1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F814C" w14:textId="7D3EDEC9" w:rsidR="006504B4" w:rsidRDefault="001B3D02">
    <w:pPr>
      <w:pStyle w:val="Header"/>
    </w:pPr>
    <w:r>
      <w:t>FCCC/KP/CMP/2021/</w:t>
    </w:r>
    <w:r w:rsidR="002C2B40">
      <w:t>8</w:t>
    </w:r>
    <w:r>
      <w:t>/Add.1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BA8D5" w14:textId="5D7940AF" w:rsidR="006504B4" w:rsidRDefault="001B3D02" w:rsidP="001B3D02">
    <w:pPr>
      <w:pStyle w:val="Header"/>
      <w:jc w:val="right"/>
    </w:pPr>
    <w:r>
      <w:t>FCCC/KP/CMP/2021/</w:t>
    </w:r>
    <w:r w:rsidR="002C2B40">
      <w:t>8</w:t>
    </w:r>
    <w:r>
      <w:t>/Add.1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5F4BA" w14:textId="1EFB759B" w:rsidR="006504B4" w:rsidRDefault="001B3D02" w:rsidP="001B3D02">
    <w:pPr>
      <w:pStyle w:val="Header"/>
      <w:jc w:val="right"/>
    </w:pPr>
    <w:r>
      <w:t>FCCC/KP/CMP/2021/</w:t>
    </w:r>
    <w:r w:rsidR="002C2B40">
      <w:t>8</w:t>
    </w:r>
    <w:r>
      <w:t>/Add.1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23D94" w14:textId="0CEC187C" w:rsidR="006504B4" w:rsidRDefault="001B3D02">
    <w:pPr>
      <w:pStyle w:val="Header"/>
    </w:pPr>
    <w:r>
      <w:t>FCCC/KP/CMP/2021/</w:t>
    </w:r>
    <w:r w:rsidR="002C2B40">
      <w:t>8</w:t>
    </w:r>
    <w:r>
      <w:t>/Add.1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4DB93F" w14:textId="6BC1D1C7" w:rsidR="006504B4" w:rsidRDefault="001B3D02" w:rsidP="001B3D02">
    <w:pPr>
      <w:pStyle w:val="Header"/>
      <w:jc w:val="right"/>
    </w:pPr>
    <w:r>
      <w:t>FCCC/KP/CMP/2021/</w:t>
    </w:r>
    <w:r w:rsidR="002C2B40">
      <w:t>8</w:t>
    </w:r>
    <w:r>
      <w:t>/Add.1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C2A505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D30129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F6F59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54C69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000CD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40ED9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000410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88C049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3D28A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84FF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2036B"/>
    <w:multiLevelType w:val="hybridMultilevel"/>
    <w:tmpl w:val="B21093D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44454B7"/>
    <w:multiLevelType w:val="multilevel"/>
    <w:tmpl w:val="D570AB8A"/>
    <w:styleLink w:val="Figure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23354E"/>
    <w:multiLevelType w:val="multilevel"/>
    <w:tmpl w:val="1DA0D668"/>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pStyle w:val="RegH4G"/>
      <w:lvlText w:val="(%4)"/>
      <w:lvlJc w:val="right"/>
      <w:pPr>
        <w:tabs>
          <w:tab w:val="num" w:pos="1134"/>
        </w:tabs>
        <w:ind w:left="1135" w:hanging="284"/>
      </w:pPr>
      <w:rPr>
        <w:rFonts w:ascii="Times New Roman" w:hAnsi="Times New Roman" w:cs="Times New Roman" w:hint="default"/>
        <w:b/>
        <w:i w:val="0"/>
        <w:sz w:val="20"/>
      </w:rPr>
    </w:lvl>
    <w:lvl w:ilvl="4">
      <w:start w:val="1"/>
      <w:numFmt w:val="lowerRoman"/>
      <w:pStyle w:val="RegH5G"/>
      <w:lvlText w:val="(%5)"/>
      <w:lvlJc w:val="right"/>
      <w:pPr>
        <w:tabs>
          <w:tab w:val="num" w:pos="1134"/>
        </w:tabs>
        <w:ind w:left="1135" w:hanging="284"/>
      </w:pPr>
      <w:rPr>
        <w:rFonts w:ascii="Times New Roman" w:hAnsi="Times New Roman" w:hint="default"/>
        <w:b w:val="0"/>
        <w:i/>
      </w:rPr>
    </w:lvl>
    <w:lvl w:ilvl="5">
      <w:start w:val="1"/>
      <w:numFmt w:val="decimal"/>
      <w:lvlRestart w:val="0"/>
      <w:pStyle w:val="RegSingleTxtG"/>
      <w:lvlText w:val="%6."/>
      <w:lvlJc w:val="left"/>
      <w:pPr>
        <w:ind w:left="1134" w:firstLine="0"/>
      </w:pPr>
      <w:rPr>
        <w:rFonts w:hint="default"/>
        <w:i w:val="0"/>
        <w:sz w:val="20"/>
      </w:rPr>
    </w:lvl>
    <w:lvl w:ilvl="6">
      <w:start w:val="1"/>
      <w:numFmt w:val="lowerLetter"/>
      <w:pStyle w:val="RegSingleTxtG2"/>
      <w:lvlText w:val="(%7)"/>
      <w:lvlJc w:val="left"/>
      <w:pPr>
        <w:tabs>
          <w:tab w:val="num" w:pos="1702"/>
        </w:tabs>
        <w:ind w:left="1134" w:firstLine="567"/>
      </w:pPr>
      <w:rPr>
        <w:rFonts w:hint="default"/>
        <w:b w:val="0"/>
        <w:i w:val="0"/>
        <w:color w:val="auto"/>
        <w:sz w:val="20"/>
        <w:szCs w:val="28"/>
      </w:rPr>
    </w:lvl>
    <w:lvl w:ilvl="7">
      <w:start w:val="1"/>
      <w:numFmt w:val="lowerRoman"/>
      <w:pStyle w:val="RegSingleTxtG3"/>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4"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203B2E8D"/>
    <w:multiLevelType w:val="multilevel"/>
    <w:tmpl w:val="D570AB8A"/>
    <w:styleLink w:val="FCCC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C64F00"/>
    <w:multiLevelType w:val="multilevel"/>
    <w:tmpl w:val="EF36802C"/>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18" w15:restartNumberingAfterBreak="0">
    <w:nsid w:val="2AEE1F8E"/>
    <w:multiLevelType w:val="multilevel"/>
    <w:tmpl w:val="2A02F8EE"/>
    <w:lvl w:ilvl="0">
      <w:start w:val="1"/>
      <w:numFmt w:val="upperRoman"/>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lvl>
    <w:lvl w:ilvl="5">
      <w:start w:val="1"/>
      <w:numFmt w:val="lowerRoman"/>
      <w:lvlText w:val="(%6)"/>
      <w:lvlJc w:val="left"/>
      <w:pPr>
        <w:tabs>
          <w:tab w:val="num" w:pos="2269"/>
        </w:tabs>
        <w:ind w:left="1702" w:firstLine="0"/>
      </w:p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lvl>
    <w:lvl w:ilvl="8">
      <w:start w:val="1"/>
      <w:numFmt w:val="lowerRoman"/>
      <w:lvlText w:val="%9."/>
      <w:lvlJc w:val="left"/>
      <w:pPr>
        <w:tabs>
          <w:tab w:val="num" w:pos="4094"/>
        </w:tabs>
        <w:ind w:left="4094" w:hanging="363"/>
      </w:pPr>
    </w:lvl>
  </w:abstractNum>
  <w:abstractNum w:abstractNumId="19" w15:restartNumberingAfterBreak="0">
    <w:nsid w:val="2E215943"/>
    <w:multiLevelType w:val="multilevel"/>
    <w:tmpl w:val="72D26EF8"/>
    <w:styleLink w:val="FCCCText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8AE3993"/>
    <w:multiLevelType w:val="hybridMultilevel"/>
    <w:tmpl w:val="D360B81E"/>
    <w:lvl w:ilvl="0" w:tplc="46C2EF40">
      <w:start w:val="1"/>
      <w:numFmt w:val="lowerLetter"/>
      <w:suff w:val="space"/>
      <w:lvlText w:val="%1  "/>
      <w:lvlJc w:val="left"/>
      <w:pPr>
        <w:ind w:left="567" w:firstLine="170"/>
      </w:pPr>
      <w:rPr>
        <w:i/>
        <w:sz w:val="18"/>
        <w:vertAlign w:val="superscript"/>
      </w:rPr>
    </w:lvl>
    <w:lvl w:ilvl="1" w:tplc="04090019">
      <w:start w:val="1"/>
      <w:numFmt w:val="lowerLetter"/>
      <w:lvlText w:val="%2."/>
      <w:lvlJc w:val="left"/>
      <w:pPr>
        <w:ind w:left="873" w:hanging="360"/>
      </w:pPr>
    </w:lvl>
    <w:lvl w:ilvl="2" w:tplc="0409001B">
      <w:start w:val="1"/>
      <w:numFmt w:val="lowerRoman"/>
      <w:lvlText w:val="%3."/>
      <w:lvlJc w:val="right"/>
      <w:pPr>
        <w:ind w:left="1593" w:hanging="180"/>
      </w:pPr>
    </w:lvl>
    <w:lvl w:ilvl="3" w:tplc="0409000F">
      <w:start w:val="1"/>
      <w:numFmt w:val="decimal"/>
      <w:lvlText w:val="%4."/>
      <w:lvlJc w:val="left"/>
      <w:pPr>
        <w:ind w:left="2313" w:hanging="360"/>
      </w:pPr>
    </w:lvl>
    <w:lvl w:ilvl="4" w:tplc="04090019">
      <w:start w:val="1"/>
      <w:numFmt w:val="lowerLetter"/>
      <w:lvlText w:val="%5."/>
      <w:lvlJc w:val="left"/>
      <w:pPr>
        <w:ind w:left="3033" w:hanging="360"/>
      </w:pPr>
    </w:lvl>
    <w:lvl w:ilvl="5" w:tplc="0409001B">
      <w:start w:val="1"/>
      <w:numFmt w:val="lowerRoman"/>
      <w:lvlText w:val="%6."/>
      <w:lvlJc w:val="right"/>
      <w:pPr>
        <w:ind w:left="3753" w:hanging="180"/>
      </w:pPr>
    </w:lvl>
    <w:lvl w:ilvl="6" w:tplc="0409000F">
      <w:start w:val="1"/>
      <w:numFmt w:val="decimal"/>
      <w:lvlText w:val="%7."/>
      <w:lvlJc w:val="left"/>
      <w:pPr>
        <w:ind w:left="4473" w:hanging="360"/>
      </w:pPr>
    </w:lvl>
    <w:lvl w:ilvl="7" w:tplc="04090019">
      <w:start w:val="1"/>
      <w:numFmt w:val="lowerLetter"/>
      <w:lvlText w:val="%8."/>
      <w:lvlJc w:val="left"/>
      <w:pPr>
        <w:ind w:left="5193" w:hanging="360"/>
      </w:pPr>
    </w:lvl>
    <w:lvl w:ilvl="8" w:tplc="0409001B">
      <w:start w:val="1"/>
      <w:numFmt w:val="lowerRoman"/>
      <w:lvlText w:val="%9."/>
      <w:lvlJc w:val="right"/>
      <w:pPr>
        <w:ind w:left="5913" w:hanging="180"/>
      </w:pPr>
    </w:lvl>
  </w:abstractNum>
  <w:abstractNum w:abstractNumId="26" w15:restartNumberingAfterBreak="0">
    <w:nsid w:val="6B642FB0"/>
    <w:multiLevelType w:val="multilevel"/>
    <w:tmpl w:val="2A02F8EE"/>
    <w:lvl w:ilvl="0">
      <w:start w:val="1"/>
      <w:numFmt w:val="upperRoman"/>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lvl>
    <w:lvl w:ilvl="5">
      <w:start w:val="1"/>
      <w:numFmt w:val="lowerRoman"/>
      <w:lvlText w:val="(%6)"/>
      <w:lvlJc w:val="left"/>
      <w:pPr>
        <w:tabs>
          <w:tab w:val="num" w:pos="2269"/>
        </w:tabs>
        <w:ind w:left="1702" w:firstLine="0"/>
      </w:p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lvl>
    <w:lvl w:ilvl="8">
      <w:start w:val="1"/>
      <w:numFmt w:val="lowerRoman"/>
      <w:lvlText w:val="%9."/>
      <w:lvlJc w:val="left"/>
      <w:pPr>
        <w:tabs>
          <w:tab w:val="num" w:pos="4094"/>
        </w:tabs>
        <w:ind w:left="4094" w:hanging="363"/>
      </w:pPr>
    </w:lvl>
  </w:abstractNum>
  <w:num w:numId="1">
    <w:abstractNumId w:val="15"/>
  </w:num>
  <w:num w:numId="2">
    <w:abstractNumId w:val="19"/>
  </w:num>
  <w:num w:numId="3">
    <w:abstractNumId w:val="11"/>
  </w:num>
  <w:num w:numId="4">
    <w:abstractNumId w:val="10"/>
  </w:num>
  <w:num w:numId="5">
    <w:abstractNumId w:val="24"/>
  </w:num>
  <w:num w:numId="6">
    <w:abstractNumId w:val="17"/>
  </w:num>
  <w:num w:numId="7">
    <w:abstractNumId w:val="13"/>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startOverride w:val="1"/>
    </w:lvlOverride>
    <w:lvlOverride w:ilvl="8">
      <w:startOverride w:val="1"/>
    </w:lvlOverride>
  </w:num>
  <w:num w:numId="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2"/>
    </w:lvlOverride>
    <w:lvlOverride w:ilvl="6"/>
    <w:lvlOverride w:ilvl="7">
      <w:startOverride w:val="1"/>
    </w:lvlOverride>
    <w:lvlOverride w:ilvl="8">
      <w:startOverride w:val="1"/>
    </w:lvlOverride>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13"/>
  </w:num>
  <w:num w:numId="37">
    <w:abstractNumId w:val="1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defaultTabStop w:val="567"/>
  <w:evenAndOddHeaders/>
  <w:drawingGridHorizontalSpacing w:val="100"/>
  <w:displayHorizontalDrawingGridEvery w:val="2"/>
  <w:displayVerticalDrawingGridEvery w:val="2"/>
  <w:noPunctuationKerning/>
  <w:characterSpacingControl w:val="doNotCompress"/>
  <w:hdrShapeDefaults>
    <o:shapedefaults v:ext="edit" spidmax="4097"/>
  </w:hdrShapeDefaults>
  <w:footnotePr>
    <w:numRestart w:val="eachSect"/>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A24"/>
    <w:rsid w:val="00001147"/>
    <w:rsid w:val="00002558"/>
    <w:rsid w:val="00004A30"/>
    <w:rsid w:val="00007089"/>
    <w:rsid w:val="0001118B"/>
    <w:rsid w:val="000122F3"/>
    <w:rsid w:val="000173A9"/>
    <w:rsid w:val="00021ACC"/>
    <w:rsid w:val="00021BB6"/>
    <w:rsid w:val="00021CB7"/>
    <w:rsid w:val="0002295F"/>
    <w:rsid w:val="000237BE"/>
    <w:rsid w:val="0002382B"/>
    <w:rsid w:val="0002779F"/>
    <w:rsid w:val="00027F7F"/>
    <w:rsid w:val="00032DDE"/>
    <w:rsid w:val="0003391D"/>
    <w:rsid w:val="00034555"/>
    <w:rsid w:val="00037650"/>
    <w:rsid w:val="0003776D"/>
    <w:rsid w:val="000423A6"/>
    <w:rsid w:val="00044A59"/>
    <w:rsid w:val="00052463"/>
    <w:rsid w:val="00052C49"/>
    <w:rsid w:val="00053BBD"/>
    <w:rsid w:val="000555B3"/>
    <w:rsid w:val="000561BD"/>
    <w:rsid w:val="00062505"/>
    <w:rsid w:val="00063C6B"/>
    <w:rsid w:val="0006574D"/>
    <w:rsid w:val="00067581"/>
    <w:rsid w:val="00067ED2"/>
    <w:rsid w:val="00074855"/>
    <w:rsid w:val="00074EC5"/>
    <w:rsid w:val="00074FC8"/>
    <w:rsid w:val="00076113"/>
    <w:rsid w:val="000773C8"/>
    <w:rsid w:val="00081BC6"/>
    <w:rsid w:val="00081C44"/>
    <w:rsid w:val="00083647"/>
    <w:rsid w:val="0008460C"/>
    <w:rsid w:val="0008580D"/>
    <w:rsid w:val="0008756E"/>
    <w:rsid w:val="00087BE9"/>
    <w:rsid w:val="00090016"/>
    <w:rsid w:val="000913E6"/>
    <w:rsid w:val="00092E29"/>
    <w:rsid w:val="00093044"/>
    <w:rsid w:val="000948F2"/>
    <w:rsid w:val="00095AA1"/>
    <w:rsid w:val="000A0AC2"/>
    <w:rsid w:val="000A329D"/>
    <w:rsid w:val="000A399F"/>
    <w:rsid w:val="000A48AD"/>
    <w:rsid w:val="000A4C99"/>
    <w:rsid w:val="000A504B"/>
    <w:rsid w:val="000A566F"/>
    <w:rsid w:val="000A63B3"/>
    <w:rsid w:val="000A7C2B"/>
    <w:rsid w:val="000B14CA"/>
    <w:rsid w:val="000B1643"/>
    <w:rsid w:val="000B1FD0"/>
    <w:rsid w:val="000B4059"/>
    <w:rsid w:val="000B4463"/>
    <w:rsid w:val="000B4D5A"/>
    <w:rsid w:val="000B5C1E"/>
    <w:rsid w:val="000C0E05"/>
    <w:rsid w:val="000C1AAB"/>
    <w:rsid w:val="000C24E3"/>
    <w:rsid w:val="000C4369"/>
    <w:rsid w:val="000C4B72"/>
    <w:rsid w:val="000C5173"/>
    <w:rsid w:val="000C52AE"/>
    <w:rsid w:val="000C7FAF"/>
    <w:rsid w:val="000D3711"/>
    <w:rsid w:val="000D5339"/>
    <w:rsid w:val="000D5DED"/>
    <w:rsid w:val="000D6922"/>
    <w:rsid w:val="000D6D4A"/>
    <w:rsid w:val="000D79EA"/>
    <w:rsid w:val="000D7B93"/>
    <w:rsid w:val="000E0106"/>
    <w:rsid w:val="000E1BDE"/>
    <w:rsid w:val="000E1FE2"/>
    <w:rsid w:val="000E343D"/>
    <w:rsid w:val="000E5A58"/>
    <w:rsid w:val="000E5CB9"/>
    <w:rsid w:val="000E6341"/>
    <w:rsid w:val="000E6E68"/>
    <w:rsid w:val="000E7534"/>
    <w:rsid w:val="000F13AC"/>
    <w:rsid w:val="000F379C"/>
    <w:rsid w:val="000F3974"/>
    <w:rsid w:val="000F4528"/>
    <w:rsid w:val="000F5020"/>
    <w:rsid w:val="000F685A"/>
    <w:rsid w:val="000F77E1"/>
    <w:rsid w:val="001007C9"/>
    <w:rsid w:val="00106384"/>
    <w:rsid w:val="001071F9"/>
    <w:rsid w:val="00107536"/>
    <w:rsid w:val="00107B0E"/>
    <w:rsid w:val="0011157B"/>
    <w:rsid w:val="00111E8B"/>
    <w:rsid w:val="00112A0E"/>
    <w:rsid w:val="00112C8C"/>
    <w:rsid w:val="00115079"/>
    <w:rsid w:val="001161E5"/>
    <w:rsid w:val="0011781E"/>
    <w:rsid w:val="00120826"/>
    <w:rsid w:val="00120901"/>
    <w:rsid w:val="001209A8"/>
    <w:rsid w:val="00120E84"/>
    <w:rsid w:val="001224FB"/>
    <w:rsid w:val="00123C52"/>
    <w:rsid w:val="00124496"/>
    <w:rsid w:val="00127311"/>
    <w:rsid w:val="001328F9"/>
    <w:rsid w:val="0013491B"/>
    <w:rsid w:val="001349EC"/>
    <w:rsid w:val="00134F15"/>
    <w:rsid w:val="00136D61"/>
    <w:rsid w:val="00141710"/>
    <w:rsid w:val="00142A35"/>
    <w:rsid w:val="00147E82"/>
    <w:rsid w:val="0015183D"/>
    <w:rsid w:val="00152A6E"/>
    <w:rsid w:val="0015684A"/>
    <w:rsid w:val="001600D9"/>
    <w:rsid w:val="0016389A"/>
    <w:rsid w:val="00172CF0"/>
    <w:rsid w:val="001738F1"/>
    <w:rsid w:val="001744E5"/>
    <w:rsid w:val="00174A05"/>
    <w:rsid w:val="00176D28"/>
    <w:rsid w:val="00177074"/>
    <w:rsid w:val="00181110"/>
    <w:rsid w:val="00181298"/>
    <w:rsid w:val="001814FB"/>
    <w:rsid w:val="00184C03"/>
    <w:rsid w:val="00186A4F"/>
    <w:rsid w:val="001906D0"/>
    <w:rsid w:val="001907F6"/>
    <w:rsid w:val="001915EF"/>
    <w:rsid w:val="0019430F"/>
    <w:rsid w:val="001945C7"/>
    <w:rsid w:val="00194BFA"/>
    <w:rsid w:val="00194E11"/>
    <w:rsid w:val="00195018"/>
    <w:rsid w:val="00195A2A"/>
    <w:rsid w:val="00195FF4"/>
    <w:rsid w:val="00196E77"/>
    <w:rsid w:val="001A0A3A"/>
    <w:rsid w:val="001A1FC1"/>
    <w:rsid w:val="001A3E9A"/>
    <w:rsid w:val="001A594B"/>
    <w:rsid w:val="001A5FE8"/>
    <w:rsid w:val="001A62F7"/>
    <w:rsid w:val="001A70E2"/>
    <w:rsid w:val="001A7B29"/>
    <w:rsid w:val="001B085A"/>
    <w:rsid w:val="001B0963"/>
    <w:rsid w:val="001B1483"/>
    <w:rsid w:val="001B3D02"/>
    <w:rsid w:val="001B59EA"/>
    <w:rsid w:val="001C0A05"/>
    <w:rsid w:val="001C17D2"/>
    <w:rsid w:val="001C20EC"/>
    <w:rsid w:val="001C3DE7"/>
    <w:rsid w:val="001C40F0"/>
    <w:rsid w:val="001C4688"/>
    <w:rsid w:val="001C4E66"/>
    <w:rsid w:val="001C5935"/>
    <w:rsid w:val="001C7B87"/>
    <w:rsid w:val="001D012A"/>
    <w:rsid w:val="001D087F"/>
    <w:rsid w:val="001D0F0F"/>
    <w:rsid w:val="001D0F41"/>
    <w:rsid w:val="001D2FD8"/>
    <w:rsid w:val="001D6549"/>
    <w:rsid w:val="001E2037"/>
    <w:rsid w:val="001E318A"/>
    <w:rsid w:val="001E38E4"/>
    <w:rsid w:val="001E7772"/>
    <w:rsid w:val="001E7D13"/>
    <w:rsid w:val="001F0C87"/>
    <w:rsid w:val="001F22ED"/>
    <w:rsid w:val="001F244F"/>
    <w:rsid w:val="001F2BBF"/>
    <w:rsid w:val="002008AA"/>
    <w:rsid w:val="00201B92"/>
    <w:rsid w:val="002025E1"/>
    <w:rsid w:val="00202C1D"/>
    <w:rsid w:val="00207452"/>
    <w:rsid w:val="0021446A"/>
    <w:rsid w:val="00216589"/>
    <w:rsid w:val="00217C0C"/>
    <w:rsid w:val="002230C8"/>
    <w:rsid w:val="00223453"/>
    <w:rsid w:val="00224095"/>
    <w:rsid w:val="00224111"/>
    <w:rsid w:val="00230D0F"/>
    <w:rsid w:val="00231FB5"/>
    <w:rsid w:val="00232479"/>
    <w:rsid w:val="00232EAA"/>
    <w:rsid w:val="0023721C"/>
    <w:rsid w:val="0024050A"/>
    <w:rsid w:val="0024447B"/>
    <w:rsid w:val="00246022"/>
    <w:rsid w:val="00246888"/>
    <w:rsid w:val="00247BF6"/>
    <w:rsid w:val="00250037"/>
    <w:rsid w:val="00251FF9"/>
    <w:rsid w:val="0025313F"/>
    <w:rsid w:val="00253D17"/>
    <w:rsid w:val="00256CFB"/>
    <w:rsid w:val="00257AA3"/>
    <w:rsid w:val="00260BFA"/>
    <w:rsid w:val="00262286"/>
    <w:rsid w:val="002637D7"/>
    <w:rsid w:val="00264F17"/>
    <w:rsid w:val="00266D68"/>
    <w:rsid w:val="0026761A"/>
    <w:rsid w:val="00267B98"/>
    <w:rsid w:val="002702B3"/>
    <w:rsid w:val="002707EB"/>
    <w:rsid w:val="002710EA"/>
    <w:rsid w:val="00271885"/>
    <w:rsid w:val="00272598"/>
    <w:rsid w:val="00273AB6"/>
    <w:rsid w:val="00273E8E"/>
    <w:rsid w:val="0027419E"/>
    <w:rsid w:val="00276A17"/>
    <w:rsid w:val="002776B4"/>
    <w:rsid w:val="002779EB"/>
    <w:rsid w:val="00281945"/>
    <w:rsid w:val="002823A1"/>
    <w:rsid w:val="00283275"/>
    <w:rsid w:val="002859C9"/>
    <w:rsid w:val="0029007C"/>
    <w:rsid w:val="00290409"/>
    <w:rsid w:val="00290D8E"/>
    <w:rsid w:val="00292DC3"/>
    <w:rsid w:val="002933A4"/>
    <w:rsid w:val="002954CD"/>
    <w:rsid w:val="00295866"/>
    <w:rsid w:val="0029733B"/>
    <w:rsid w:val="00297C1E"/>
    <w:rsid w:val="002A07A3"/>
    <w:rsid w:val="002A2759"/>
    <w:rsid w:val="002A3307"/>
    <w:rsid w:val="002A7B52"/>
    <w:rsid w:val="002B00DA"/>
    <w:rsid w:val="002B0283"/>
    <w:rsid w:val="002B1CC9"/>
    <w:rsid w:val="002B2BCB"/>
    <w:rsid w:val="002B3984"/>
    <w:rsid w:val="002B417A"/>
    <w:rsid w:val="002B446B"/>
    <w:rsid w:val="002B71EA"/>
    <w:rsid w:val="002B72CE"/>
    <w:rsid w:val="002B7532"/>
    <w:rsid w:val="002C051E"/>
    <w:rsid w:val="002C11F7"/>
    <w:rsid w:val="002C23BE"/>
    <w:rsid w:val="002C2B40"/>
    <w:rsid w:val="002C3336"/>
    <w:rsid w:val="002C52A6"/>
    <w:rsid w:val="002C5632"/>
    <w:rsid w:val="002D154A"/>
    <w:rsid w:val="002D1F6E"/>
    <w:rsid w:val="002D2B64"/>
    <w:rsid w:val="002D66A2"/>
    <w:rsid w:val="002D737B"/>
    <w:rsid w:val="002D78CB"/>
    <w:rsid w:val="002E1E92"/>
    <w:rsid w:val="002E3ED8"/>
    <w:rsid w:val="002E6D7A"/>
    <w:rsid w:val="002F304A"/>
    <w:rsid w:val="002F316B"/>
    <w:rsid w:val="002F41AF"/>
    <w:rsid w:val="002F60E8"/>
    <w:rsid w:val="002F7B01"/>
    <w:rsid w:val="003012AF"/>
    <w:rsid w:val="00301FEB"/>
    <w:rsid w:val="0030420F"/>
    <w:rsid w:val="003049D8"/>
    <w:rsid w:val="00304BA1"/>
    <w:rsid w:val="00306423"/>
    <w:rsid w:val="003117AC"/>
    <w:rsid w:val="003120FD"/>
    <w:rsid w:val="003132EC"/>
    <w:rsid w:val="003147E4"/>
    <w:rsid w:val="003153B1"/>
    <w:rsid w:val="00317965"/>
    <w:rsid w:val="00317B8C"/>
    <w:rsid w:val="00320207"/>
    <w:rsid w:val="00321452"/>
    <w:rsid w:val="00321A14"/>
    <w:rsid w:val="003229C4"/>
    <w:rsid w:val="00322E2E"/>
    <w:rsid w:val="00323083"/>
    <w:rsid w:val="00323749"/>
    <w:rsid w:val="003250E7"/>
    <w:rsid w:val="00327575"/>
    <w:rsid w:val="00327B89"/>
    <w:rsid w:val="00332592"/>
    <w:rsid w:val="00333BFE"/>
    <w:rsid w:val="00335462"/>
    <w:rsid w:val="003354A0"/>
    <w:rsid w:val="00336DC3"/>
    <w:rsid w:val="0034005C"/>
    <w:rsid w:val="00340554"/>
    <w:rsid w:val="00341289"/>
    <w:rsid w:val="003415A2"/>
    <w:rsid w:val="00342F56"/>
    <w:rsid w:val="00343DBE"/>
    <w:rsid w:val="00343E5A"/>
    <w:rsid w:val="00344AD3"/>
    <w:rsid w:val="003477E2"/>
    <w:rsid w:val="00347A26"/>
    <w:rsid w:val="00350710"/>
    <w:rsid w:val="00350CE8"/>
    <w:rsid w:val="00350DD8"/>
    <w:rsid w:val="00355B23"/>
    <w:rsid w:val="00357684"/>
    <w:rsid w:val="00361821"/>
    <w:rsid w:val="00361A9D"/>
    <w:rsid w:val="003643C9"/>
    <w:rsid w:val="00364B85"/>
    <w:rsid w:val="00366AD7"/>
    <w:rsid w:val="00367B86"/>
    <w:rsid w:val="003750F1"/>
    <w:rsid w:val="00375F53"/>
    <w:rsid w:val="003762C2"/>
    <w:rsid w:val="00377CBD"/>
    <w:rsid w:val="00380BB2"/>
    <w:rsid w:val="00381632"/>
    <w:rsid w:val="00381A01"/>
    <w:rsid w:val="00383494"/>
    <w:rsid w:val="003847B9"/>
    <w:rsid w:val="00384961"/>
    <w:rsid w:val="00384ECF"/>
    <w:rsid w:val="0038507E"/>
    <w:rsid w:val="003851BA"/>
    <w:rsid w:val="00385E56"/>
    <w:rsid w:val="00387A72"/>
    <w:rsid w:val="00396A57"/>
    <w:rsid w:val="0039710C"/>
    <w:rsid w:val="003A04B4"/>
    <w:rsid w:val="003A4936"/>
    <w:rsid w:val="003B1229"/>
    <w:rsid w:val="003B2C11"/>
    <w:rsid w:val="003B2EBC"/>
    <w:rsid w:val="003B3C25"/>
    <w:rsid w:val="003B4A46"/>
    <w:rsid w:val="003B4C6A"/>
    <w:rsid w:val="003B4D23"/>
    <w:rsid w:val="003B714F"/>
    <w:rsid w:val="003C3854"/>
    <w:rsid w:val="003C5CB7"/>
    <w:rsid w:val="003C75B9"/>
    <w:rsid w:val="003D0DB5"/>
    <w:rsid w:val="003D1A53"/>
    <w:rsid w:val="003D36AD"/>
    <w:rsid w:val="003D6B47"/>
    <w:rsid w:val="003E05CD"/>
    <w:rsid w:val="003E1CAB"/>
    <w:rsid w:val="003E3976"/>
    <w:rsid w:val="003E3A52"/>
    <w:rsid w:val="003E3FBC"/>
    <w:rsid w:val="003E4FD1"/>
    <w:rsid w:val="003E7CA8"/>
    <w:rsid w:val="003F0BC6"/>
    <w:rsid w:val="003F1BD3"/>
    <w:rsid w:val="003F1E27"/>
    <w:rsid w:val="003F20C4"/>
    <w:rsid w:val="003F3102"/>
    <w:rsid w:val="003F3389"/>
    <w:rsid w:val="003F5FEE"/>
    <w:rsid w:val="003F7301"/>
    <w:rsid w:val="003F75F1"/>
    <w:rsid w:val="00400B35"/>
    <w:rsid w:val="0040113E"/>
    <w:rsid w:val="00403E2E"/>
    <w:rsid w:val="00404585"/>
    <w:rsid w:val="0040461B"/>
    <w:rsid w:val="004061BF"/>
    <w:rsid w:val="00410508"/>
    <w:rsid w:val="00415EFB"/>
    <w:rsid w:val="00417292"/>
    <w:rsid w:val="004215DD"/>
    <w:rsid w:val="004215F4"/>
    <w:rsid w:val="00422A48"/>
    <w:rsid w:val="00422A55"/>
    <w:rsid w:val="00424C42"/>
    <w:rsid w:val="00424D22"/>
    <w:rsid w:val="00424FED"/>
    <w:rsid w:val="00427DA2"/>
    <w:rsid w:val="00432A55"/>
    <w:rsid w:val="0043311D"/>
    <w:rsid w:val="0043729E"/>
    <w:rsid w:val="00437435"/>
    <w:rsid w:val="00442AFD"/>
    <w:rsid w:val="00445627"/>
    <w:rsid w:val="004461C8"/>
    <w:rsid w:val="00450266"/>
    <w:rsid w:val="004521D3"/>
    <w:rsid w:val="00452A54"/>
    <w:rsid w:val="00454008"/>
    <w:rsid w:val="004543C4"/>
    <w:rsid w:val="00455747"/>
    <w:rsid w:val="00456080"/>
    <w:rsid w:val="004578AD"/>
    <w:rsid w:val="00460161"/>
    <w:rsid w:val="004643DB"/>
    <w:rsid w:val="00464BE9"/>
    <w:rsid w:val="00471237"/>
    <w:rsid w:val="004722E4"/>
    <w:rsid w:val="00472340"/>
    <w:rsid w:val="004732FC"/>
    <w:rsid w:val="004761B2"/>
    <w:rsid w:val="004808B6"/>
    <w:rsid w:val="004812E6"/>
    <w:rsid w:val="0048196D"/>
    <w:rsid w:val="00483492"/>
    <w:rsid w:val="0048360F"/>
    <w:rsid w:val="00484B74"/>
    <w:rsid w:val="0048523B"/>
    <w:rsid w:val="00485971"/>
    <w:rsid w:val="00486390"/>
    <w:rsid w:val="00487DED"/>
    <w:rsid w:val="004903C5"/>
    <w:rsid w:val="00490900"/>
    <w:rsid w:val="00491327"/>
    <w:rsid w:val="004977C3"/>
    <w:rsid w:val="004A0033"/>
    <w:rsid w:val="004A0421"/>
    <w:rsid w:val="004A35BE"/>
    <w:rsid w:val="004A36EC"/>
    <w:rsid w:val="004A67DD"/>
    <w:rsid w:val="004B02E4"/>
    <w:rsid w:val="004B065F"/>
    <w:rsid w:val="004B2317"/>
    <w:rsid w:val="004B25B6"/>
    <w:rsid w:val="004B2869"/>
    <w:rsid w:val="004B3D35"/>
    <w:rsid w:val="004B501A"/>
    <w:rsid w:val="004B6DE3"/>
    <w:rsid w:val="004B7CA7"/>
    <w:rsid w:val="004C022A"/>
    <w:rsid w:val="004C1052"/>
    <w:rsid w:val="004C3ECE"/>
    <w:rsid w:val="004C5B8D"/>
    <w:rsid w:val="004C7F91"/>
    <w:rsid w:val="004D08B7"/>
    <w:rsid w:val="004D1BD9"/>
    <w:rsid w:val="004D26DD"/>
    <w:rsid w:val="004D63F4"/>
    <w:rsid w:val="004D72AF"/>
    <w:rsid w:val="004E2287"/>
    <w:rsid w:val="004E2CAD"/>
    <w:rsid w:val="004E4B8F"/>
    <w:rsid w:val="004E5A04"/>
    <w:rsid w:val="004E5E2F"/>
    <w:rsid w:val="004E647E"/>
    <w:rsid w:val="004E7437"/>
    <w:rsid w:val="004F0D45"/>
    <w:rsid w:val="004F2F85"/>
    <w:rsid w:val="004F39A7"/>
    <w:rsid w:val="004F615A"/>
    <w:rsid w:val="005012D8"/>
    <w:rsid w:val="00502418"/>
    <w:rsid w:val="00502532"/>
    <w:rsid w:val="005030B1"/>
    <w:rsid w:val="00503373"/>
    <w:rsid w:val="00504826"/>
    <w:rsid w:val="0051116A"/>
    <w:rsid w:val="005120CF"/>
    <w:rsid w:val="0051452E"/>
    <w:rsid w:val="00520F11"/>
    <w:rsid w:val="00521929"/>
    <w:rsid w:val="00521ABA"/>
    <w:rsid w:val="005255F0"/>
    <w:rsid w:val="00525848"/>
    <w:rsid w:val="0052724B"/>
    <w:rsid w:val="00527573"/>
    <w:rsid w:val="005279BE"/>
    <w:rsid w:val="005324FA"/>
    <w:rsid w:val="00533AB8"/>
    <w:rsid w:val="0053502C"/>
    <w:rsid w:val="00535B32"/>
    <w:rsid w:val="005411F7"/>
    <w:rsid w:val="005416D2"/>
    <w:rsid w:val="0054288D"/>
    <w:rsid w:val="00544461"/>
    <w:rsid w:val="00544A93"/>
    <w:rsid w:val="00545616"/>
    <w:rsid w:val="005464AA"/>
    <w:rsid w:val="00546735"/>
    <w:rsid w:val="005474C8"/>
    <w:rsid w:val="0055119C"/>
    <w:rsid w:val="00552544"/>
    <w:rsid w:val="005547A1"/>
    <w:rsid w:val="00554902"/>
    <w:rsid w:val="005549B8"/>
    <w:rsid w:val="00555B4C"/>
    <w:rsid w:val="00556333"/>
    <w:rsid w:val="0055700C"/>
    <w:rsid w:val="005605B9"/>
    <w:rsid w:val="00560A35"/>
    <w:rsid w:val="0056212D"/>
    <w:rsid w:val="0056250B"/>
    <w:rsid w:val="00562650"/>
    <w:rsid w:val="0056267C"/>
    <w:rsid w:val="005627AB"/>
    <w:rsid w:val="00564146"/>
    <w:rsid w:val="005653A9"/>
    <w:rsid w:val="00565AF2"/>
    <w:rsid w:val="0056647E"/>
    <w:rsid w:val="0056758F"/>
    <w:rsid w:val="0057038E"/>
    <w:rsid w:val="00570F55"/>
    <w:rsid w:val="00573130"/>
    <w:rsid w:val="005754BD"/>
    <w:rsid w:val="00576132"/>
    <w:rsid w:val="00576F19"/>
    <w:rsid w:val="00577949"/>
    <w:rsid w:val="0058155D"/>
    <w:rsid w:val="0058341F"/>
    <w:rsid w:val="005857A1"/>
    <w:rsid w:val="00586AD6"/>
    <w:rsid w:val="005875C0"/>
    <w:rsid w:val="0059193B"/>
    <w:rsid w:val="00592405"/>
    <w:rsid w:val="00594ACE"/>
    <w:rsid w:val="00596656"/>
    <w:rsid w:val="005A0171"/>
    <w:rsid w:val="005A1844"/>
    <w:rsid w:val="005A2D6E"/>
    <w:rsid w:val="005A30EA"/>
    <w:rsid w:val="005A3292"/>
    <w:rsid w:val="005A58A7"/>
    <w:rsid w:val="005A5DDE"/>
    <w:rsid w:val="005B1D36"/>
    <w:rsid w:val="005B34BC"/>
    <w:rsid w:val="005B40A2"/>
    <w:rsid w:val="005B46C2"/>
    <w:rsid w:val="005B47F8"/>
    <w:rsid w:val="005B5A76"/>
    <w:rsid w:val="005B6AC8"/>
    <w:rsid w:val="005C08EC"/>
    <w:rsid w:val="005C1C6B"/>
    <w:rsid w:val="005C5F49"/>
    <w:rsid w:val="005C683F"/>
    <w:rsid w:val="005C6895"/>
    <w:rsid w:val="005D2226"/>
    <w:rsid w:val="005D6C7A"/>
    <w:rsid w:val="005E432D"/>
    <w:rsid w:val="005E4984"/>
    <w:rsid w:val="005F1220"/>
    <w:rsid w:val="005F16C2"/>
    <w:rsid w:val="005F1AD6"/>
    <w:rsid w:val="005F39B5"/>
    <w:rsid w:val="005F7584"/>
    <w:rsid w:val="006000E0"/>
    <w:rsid w:val="006002E5"/>
    <w:rsid w:val="00600CB6"/>
    <w:rsid w:val="00601526"/>
    <w:rsid w:val="00601731"/>
    <w:rsid w:val="006026F5"/>
    <w:rsid w:val="0060335E"/>
    <w:rsid w:val="00603D73"/>
    <w:rsid w:val="006042C6"/>
    <w:rsid w:val="0060436D"/>
    <w:rsid w:val="00604BA2"/>
    <w:rsid w:val="00604E11"/>
    <w:rsid w:val="00607CBC"/>
    <w:rsid w:val="0061173F"/>
    <w:rsid w:val="00611E89"/>
    <w:rsid w:val="006159C7"/>
    <w:rsid w:val="00617B57"/>
    <w:rsid w:val="00622643"/>
    <w:rsid w:val="00622B9F"/>
    <w:rsid w:val="00624D03"/>
    <w:rsid w:val="006275C1"/>
    <w:rsid w:val="00631EE2"/>
    <w:rsid w:val="006327BD"/>
    <w:rsid w:val="00633761"/>
    <w:rsid w:val="00633BF3"/>
    <w:rsid w:val="00634DBB"/>
    <w:rsid w:val="00635C44"/>
    <w:rsid w:val="0063652F"/>
    <w:rsid w:val="0063667C"/>
    <w:rsid w:val="006379C7"/>
    <w:rsid w:val="00640051"/>
    <w:rsid w:val="00641F29"/>
    <w:rsid w:val="0064496B"/>
    <w:rsid w:val="00644F10"/>
    <w:rsid w:val="0064579B"/>
    <w:rsid w:val="006504B4"/>
    <w:rsid w:val="00651BDB"/>
    <w:rsid w:val="00652EB2"/>
    <w:rsid w:val="00652FD2"/>
    <w:rsid w:val="00653B4C"/>
    <w:rsid w:val="00653D1F"/>
    <w:rsid w:val="00655828"/>
    <w:rsid w:val="00655F79"/>
    <w:rsid w:val="0066159F"/>
    <w:rsid w:val="006621E8"/>
    <w:rsid w:val="00664247"/>
    <w:rsid w:val="00664ABD"/>
    <w:rsid w:val="00664E65"/>
    <w:rsid w:val="006666BA"/>
    <w:rsid w:val="0066779B"/>
    <w:rsid w:val="00671981"/>
    <w:rsid w:val="00675057"/>
    <w:rsid w:val="00675F2A"/>
    <w:rsid w:val="006771A4"/>
    <w:rsid w:val="006810D8"/>
    <w:rsid w:val="00681C37"/>
    <w:rsid w:val="0068552D"/>
    <w:rsid w:val="006876B1"/>
    <w:rsid w:val="00687740"/>
    <w:rsid w:val="00693901"/>
    <w:rsid w:val="00694CC9"/>
    <w:rsid w:val="006973FA"/>
    <w:rsid w:val="00697A99"/>
    <w:rsid w:val="006A0A90"/>
    <w:rsid w:val="006A1BA4"/>
    <w:rsid w:val="006A3385"/>
    <w:rsid w:val="006A56FD"/>
    <w:rsid w:val="006A63F7"/>
    <w:rsid w:val="006B06DB"/>
    <w:rsid w:val="006B13CC"/>
    <w:rsid w:val="006B2FFC"/>
    <w:rsid w:val="006B5A2D"/>
    <w:rsid w:val="006B62F2"/>
    <w:rsid w:val="006B6D3A"/>
    <w:rsid w:val="006C1660"/>
    <w:rsid w:val="006C179C"/>
    <w:rsid w:val="006C2F14"/>
    <w:rsid w:val="006C5648"/>
    <w:rsid w:val="006C590B"/>
    <w:rsid w:val="006C6892"/>
    <w:rsid w:val="006C6896"/>
    <w:rsid w:val="006D0BDC"/>
    <w:rsid w:val="006D3D80"/>
    <w:rsid w:val="006D4298"/>
    <w:rsid w:val="006D558B"/>
    <w:rsid w:val="006D59B8"/>
    <w:rsid w:val="006D6157"/>
    <w:rsid w:val="006E2336"/>
    <w:rsid w:val="006E34EF"/>
    <w:rsid w:val="006E62D7"/>
    <w:rsid w:val="006E6852"/>
    <w:rsid w:val="006F0FB5"/>
    <w:rsid w:val="006F1BFA"/>
    <w:rsid w:val="006F2373"/>
    <w:rsid w:val="006F366C"/>
    <w:rsid w:val="006F4446"/>
    <w:rsid w:val="006F4A87"/>
    <w:rsid w:val="006F5578"/>
    <w:rsid w:val="00700EEF"/>
    <w:rsid w:val="007013F7"/>
    <w:rsid w:val="00703839"/>
    <w:rsid w:val="00706ACC"/>
    <w:rsid w:val="0070740C"/>
    <w:rsid w:val="00707D70"/>
    <w:rsid w:val="00710681"/>
    <w:rsid w:val="00710E60"/>
    <w:rsid w:val="007112BE"/>
    <w:rsid w:val="007120CD"/>
    <w:rsid w:val="0071428F"/>
    <w:rsid w:val="00717BC5"/>
    <w:rsid w:val="00721FF8"/>
    <w:rsid w:val="00726562"/>
    <w:rsid w:val="00727501"/>
    <w:rsid w:val="00732915"/>
    <w:rsid w:val="007334B2"/>
    <w:rsid w:val="007334C8"/>
    <w:rsid w:val="00733560"/>
    <w:rsid w:val="007341ED"/>
    <w:rsid w:val="0073470C"/>
    <w:rsid w:val="00735216"/>
    <w:rsid w:val="007367AC"/>
    <w:rsid w:val="00740984"/>
    <w:rsid w:val="00740A39"/>
    <w:rsid w:val="00741FEC"/>
    <w:rsid w:val="007425C7"/>
    <w:rsid w:val="00742F78"/>
    <w:rsid w:val="00744F7B"/>
    <w:rsid w:val="00746018"/>
    <w:rsid w:val="00750A21"/>
    <w:rsid w:val="00750AE3"/>
    <w:rsid w:val="00750CCE"/>
    <w:rsid w:val="00752275"/>
    <w:rsid w:val="007523C0"/>
    <w:rsid w:val="00752FEF"/>
    <w:rsid w:val="00754145"/>
    <w:rsid w:val="007543DF"/>
    <w:rsid w:val="00756BC7"/>
    <w:rsid w:val="00756CAC"/>
    <w:rsid w:val="007615A0"/>
    <w:rsid w:val="00761ED4"/>
    <w:rsid w:val="007626E6"/>
    <w:rsid w:val="00762ED8"/>
    <w:rsid w:val="00763BCF"/>
    <w:rsid w:val="007658FD"/>
    <w:rsid w:val="007662FB"/>
    <w:rsid w:val="00766571"/>
    <w:rsid w:val="007679D4"/>
    <w:rsid w:val="00770298"/>
    <w:rsid w:val="0077052D"/>
    <w:rsid w:val="00770878"/>
    <w:rsid w:val="007712B0"/>
    <w:rsid w:val="007719B7"/>
    <w:rsid w:val="00771E30"/>
    <w:rsid w:val="007726DF"/>
    <w:rsid w:val="00772E66"/>
    <w:rsid w:val="00774597"/>
    <w:rsid w:val="00774831"/>
    <w:rsid w:val="00774D1B"/>
    <w:rsid w:val="00775C96"/>
    <w:rsid w:val="007760E2"/>
    <w:rsid w:val="007761F3"/>
    <w:rsid w:val="00780AEB"/>
    <w:rsid w:val="00783616"/>
    <w:rsid w:val="0078549A"/>
    <w:rsid w:val="007877D7"/>
    <w:rsid w:val="00791D06"/>
    <w:rsid w:val="00794A92"/>
    <w:rsid w:val="00795F9E"/>
    <w:rsid w:val="007965C4"/>
    <w:rsid w:val="007A0183"/>
    <w:rsid w:val="007A3E6F"/>
    <w:rsid w:val="007A515B"/>
    <w:rsid w:val="007A6BE4"/>
    <w:rsid w:val="007B07E9"/>
    <w:rsid w:val="007B0DFC"/>
    <w:rsid w:val="007B282F"/>
    <w:rsid w:val="007B2CE5"/>
    <w:rsid w:val="007B76AD"/>
    <w:rsid w:val="007B7A5A"/>
    <w:rsid w:val="007C169C"/>
    <w:rsid w:val="007C186F"/>
    <w:rsid w:val="007C23B8"/>
    <w:rsid w:val="007C4046"/>
    <w:rsid w:val="007C4282"/>
    <w:rsid w:val="007C43B0"/>
    <w:rsid w:val="007C5C6D"/>
    <w:rsid w:val="007C60C6"/>
    <w:rsid w:val="007D01BE"/>
    <w:rsid w:val="007D068E"/>
    <w:rsid w:val="007D090A"/>
    <w:rsid w:val="007D0DEF"/>
    <w:rsid w:val="007D2255"/>
    <w:rsid w:val="007D3A77"/>
    <w:rsid w:val="007D46D9"/>
    <w:rsid w:val="007D5CDF"/>
    <w:rsid w:val="007E142E"/>
    <w:rsid w:val="007E29CD"/>
    <w:rsid w:val="007E2A04"/>
    <w:rsid w:val="007E4210"/>
    <w:rsid w:val="007E5A0D"/>
    <w:rsid w:val="007E5C76"/>
    <w:rsid w:val="007F0C6B"/>
    <w:rsid w:val="007F11A7"/>
    <w:rsid w:val="007F3224"/>
    <w:rsid w:val="007F5113"/>
    <w:rsid w:val="007F5855"/>
    <w:rsid w:val="007F6C8A"/>
    <w:rsid w:val="00802646"/>
    <w:rsid w:val="00805529"/>
    <w:rsid w:val="00806A09"/>
    <w:rsid w:val="008071D5"/>
    <w:rsid w:val="00810726"/>
    <w:rsid w:val="008111D0"/>
    <w:rsid w:val="00812728"/>
    <w:rsid w:val="00813294"/>
    <w:rsid w:val="0081743A"/>
    <w:rsid w:val="00817B8C"/>
    <w:rsid w:val="00820954"/>
    <w:rsid w:val="00821927"/>
    <w:rsid w:val="00822406"/>
    <w:rsid w:val="00824785"/>
    <w:rsid w:val="00824D92"/>
    <w:rsid w:val="008263F2"/>
    <w:rsid w:val="00826496"/>
    <w:rsid w:val="00826893"/>
    <w:rsid w:val="00827816"/>
    <w:rsid w:val="0083172F"/>
    <w:rsid w:val="008325F1"/>
    <w:rsid w:val="00834E6B"/>
    <w:rsid w:val="008355D2"/>
    <w:rsid w:val="008370E0"/>
    <w:rsid w:val="0084026C"/>
    <w:rsid w:val="00840B77"/>
    <w:rsid w:val="008419FD"/>
    <w:rsid w:val="00841F6A"/>
    <w:rsid w:val="008421F3"/>
    <w:rsid w:val="00842245"/>
    <w:rsid w:val="0084341D"/>
    <w:rsid w:val="00845317"/>
    <w:rsid w:val="00847A56"/>
    <w:rsid w:val="00847F74"/>
    <w:rsid w:val="00850BA0"/>
    <w:rsid w:val="0085297A"/>
    <w:rsid w:val="00854822"/>
    <w:rsid w:val="00854F49"/>
    <w:rsid w:val="00854F81"/>
    <w:rsid w:val="0085562A"/>
    <w:rsid w:val="008568E1"/>
    <w:rsid w:val="00857A55"/>
    <w:rsid w:val="0086015C"/>
    <w:rsid w:val="008636D6"/>
    <w:rsid w:val="00863B98"/>
    <w:rsid w:val="008659F2"/>
    <w:rsid w:val="008675EA"/>
    <w:rsid w:val="00871E36"/>
    <w:rsid w:val="00873FF2"/>
    <w:rsid w:val="00876FDD"/>
    <w:rsid w:val="00877791"/>
    <w:rsid w:val="00881310"/>
    <w:rsid w:val="00885EE0"/>
    <w:rsid w:val="00886C88"/>
    <w:rsid w:val="00886FDA"/>
    <w:rsid w:val="00892684"/>
    <w:rsid w:val="008947F8"/>
    <w:rsid w:val="008955B2"/>
    <w:rsid w:val="008A2115"/>
    <w:rsid w:val="008A2C19"/>
    <w:rsid w:val="008A4EB0"/>
    <w:rsid w:val="008A7864"/>
    <w:rsid w:val="008A7EFF"/>
    <w:rsid w:val="008B0BDE"/>
    <w:rsid w:val="008B17FB"/>
    <w:rsid w:val="008B2230"/>
    <w:rsid w:val="008B33C9"/>
    <w:rsid w:val="008B4372"/>
    <w:rsid w:val="008B52C5"/>
    <w:rsid w:val="008B7134"/>
    <w:rsid w:val="008C039E"/>
    <w:rsid w:val="008C05BD"/>
    <w:rsid w:val="008C1A24"/>
    <w:rsid w:val="008C3312"/>
    <w:rsid w:val="008C3DB3"/>
    <w:rsid w:val="008C42B4"/>
    <w:rsid w:val="008C485C"/>
    <w:rsid w:val="008C6E8F"/>
    <w:rsid w:val="008C778A"/>
    <w:rsid w:val="008D0980"/>
    <w:rsid w:val="008D0A42"/>
    <w:rsid w:val="008D1312"/>
    <w:rsid w:val="008D1D78"/>
    <w:rsid w:val="008D2969"/>
    <w:rsid w:val="008D3EE8"/>
    <w:rsid w:val="008D4009"/>
    <w:rsid w:val="008D49EA"/>
    <w:rsid w:val="008D7CC1"/>
    <w:rsid w:val="008E0E4B"/>
    <w:rsid w:val="008E2B17"/>
    <w:rsid w:val="008E37E6"/>
    <w:rsid w:val="008E4889"/>
    <w:rsid w:val="008E4AAA"/>
    <w:rsid w:val="008E64F0"/>
    <w:rsid w:val="008E6783"/>
    <w:rsid w:val="008E6AB3"/>
    <w:rsid w:val="008F0DA9"/>
    <w:rsid w:val="008F2081"/>
    <w:rsid w:val="008F4C57"/>
    <w:rsid w:val="008F648D"/>
    <w:rsid w:val="008F655A"/>
    <w:rsid w:val="008F6651"/>
    <w:rsid w:val="008F756C"/>
    <w:rsid w:val="008F7B36"/>
    <w:rsid w:val="009014DA"/>
    <w:rsid w:val="00902F84"/>
    <w:rsid w:val="00903455"/>
    <w:rsid w:val="009034BB"/>
    <w:rsid w:val="00906948"/>
    <w:rsid w:val="0091113E"/>
    <w:rsid w:val="0091119B"/>
    <w:rsid w:val="009137D2"/>
    <w:rsid w:val="0091700A"/>
    <w:rsid w:val="00917177"/>
    <w:rsid w:val="00917213"/>
    <w:rsid w:val="009179D6"/>
    <w:rsid w:val="009210A9"/>
    <w:rsid w:val="00921970"/>
    <w:rsid w:val="00921DB5"/>
    <w:rsid w:val="0092263E"/>
    <w:rsid w:val="00922A4B"/>
    <w:rsid w:val="009230A8"/>
    <w:rsid w:val="00925084"/>
    <w:rsid w:val="009252FD"/>
    <w:rsid w:val="00926C33"/>
    <w:rsid w:val="00933228"/>
    <w:rsid w:val="0093322A"/>
    <w:rsid w:val="00935E25"/>
    <w:rsid w:val="00940515"/>
    <w:rsid w:val="009423B5"/>
    <w:rsid w:val="00942AA7"/>
    <w:rsid w:val="0094334C"/>
    <w:rsid w:val="00944024"/>
    <w:rsid w:val="0094674B"/>
    <w:rsid w:val="00947398"/>
    <w:rsid w:val="009476D3"/>
    <w:rsid w:val="00954A27"/>
    <w:rsid w:val="00955AC7"/>
    <w:rsid w:val="00957A10"/>
    <w:rsid w:val="00960298"/>
    <w:rsid w:val="009617EB"/>
    <w:rsid w:val="0096262A"/>
    <w:rsid w:val="00962645"/>
    <w:rsid w:val="00963690"/>
    <w:rsid w:val="00963994"/>
    <w:rsid w:val="00965737"/>
    <w:rsid w:val="00965DD6"/>
    <w:rsid w:val="00970F53"/>
    <w:rsid w:val="00971B44"/>
    <w:rsid w:val="00980E44"/>
    <w:rsid w:val="00992005"/>
    <w:rsid w:val="009929D4"/>
    <w:rsid w:val="00992B72"/>
    <w:rsid w:val="00996312"/>
    <w:rsid w:val="009979A7"/>
    <w:rsid w:val="009A180C"/>
    <w:rsid w:val="009A1EFD"/>
    <w:rsid w:val="009A2813"/>
    <w:rsid w:val="009A368E"/>
    <w:rsid w:val="009A38FD"/>
    <w:rsid w:val="009A71AA"/>
    <w:rsid w:val="009B064C"/>
    <w:rsid w:val="009B16AF"/>
    <w:rsid w:val="009B1CB9"/>
    <w:rsid w:val="009B1F92"/>
    <w:rsid w:val="009B6667"/>
    <w:rsid w:val="009B7F85"/>
    <w:rsid w:val="009C67C7"/>
    <w:rsid w:val="009C6967"/>
    <w:rsid w:val="009C6FC4"/>
    <w:rsid w:val="009D186B"/>
    <w:rsid w:val="009D681E"/>
    <w:rsid w:val="009D75B9"/>
    <w:rsid w:val="009D7644"/>
    <w:rsid w:val="009D7985"/>
    <w:rsid w:val="009E3F82"/>
    <w:rsid w:val="009E43EE"/>
    <w:rsid w:val="009E48A0"/>
    <w:rsid w:val="009E7209"/>
    <w:rsid w:val="009F2629"/>
    <w:rsid w:val="009F29D4"/>
    <w:rsid w:val="009F3514"/>
    <w:rsid w:val="009F3A00"/>
    <w:rsid w:val="009F4969"/>
    <w:rsid w:val="009F65C0"/>
    <w:rsid w:val="009F6951"/>
    <w:rsid w:val="009F7619"/>
    <w:rsid w:val="009F7990"/>
    <w:rsid w:val="009F7A41"/>
    <w:rsid w:val="00A00D2F"/>
    <w:rsid w:val="00A0226A"/>
    <w:rsid w:val="00A029EC"/>
    <w:rsid w:val="00A02E12"/>
    <w:rsid w:val="00A04983"/>
    <w:rsid w:val="00A05C5E"/>
    <w:rsid w:val="00A060B4"/>
    <w:rsid w:val="00A06A16"/>
    <w:rsid w:val="00A0753F"/>
    <w:rsid w:val="00A078E1"/>
    <w:rsid w:val="00A10FFD"/>
    <w:rsid w:val="00A11347"/>
    <w:rsid w:val="00A11818"/>
    <w:rsid w:val="00A144F2"/>
    <w:rsid w:val="00A15528"/>
    <w:rsid w:val="00A165C6"/>
    <w:rsid w:val="00A23737"/>
    <w:rsid w:val="00A27284"/>
    <w:rsid w:val="00A30B34"/>
    <w:rsid w:val="00A30DE3"/>
    <w:rsid w:val="00A31DAA"/>
    <w:rsid w:val="00A32408"/>
    <w:rsid w:val="00A33EDB"/>
    <w:rsid w:val="00A35665"/>
    <w:rsid w:val="00A35DA3"/>
    <w:rsid w:val="00A36552"/>
    <w:rsid w:val="00A40033"/>
    <w:rsid w:val="00A41DEF"/>
    <w:rsid w:val="00A42DF7"/>
    <w:rsid w:val="00A46476"/>
    <w:rsid w:val="00A47AB3"/>
    <w:rsid w:val="00A47DA0"/>
    <w:rsid w:val="00A47FC4"/>
    <w:rsid w:val="00A50538"/>
    <w:rsid w:val="00A51559"/>
    <w:rsid w:val="00A55AAA"/>
    <w:rsid w:val="00A56460"/>
    <w:rsid w:val="00A56DC5"/>
    <w:rsid w:val="00A57CC5"/>
    <w:rsid w:val="00A603E7"/>
    <w:rsid w:val="00A60427"/>
    <w:rsid w:val="00A6178F"/>
    <w:rsid w:val="00A62B53"/>
    <w:rsid w:val="00A63C00"/>
    <w:rsid w:val="00A6486B"/>
    <w:rsid w:val="00A64947"/>
    <w:rsid w:val="00A66451"/>
    <w:rsid w:val="00A71AF4"/>
    <w:rsid w:val="00A71F8E"/>
    <w:rsid w:val="00A72AC2"/>
    <w:rsid w:val="00A72AC5"/>
    <w:rsid w:val="00A72B5C"/>
    <w:rsid w:val="00A730BB"/>
    <w:rsid w:val="00A73BA9"/>
    <w:rsid w:val="00A766EA"/>
    <w:rsid w:val="00A76791"/>
    <w:rsid w:val="00A77684"/>
    <w:rsid w:val="00A7768C"/>
    <w:rsid w:val="00A77BFF"/>
    <w:rsid w:val="00A80326"/>
    <w:rsid w:val="00A81724"/>
    <w:rsid w:val="00A8196F"/>
    <w:rsid w:val="00A83669"/>
    <w:rsid w:val="00A85038"/>
    <w:rsid w:val="00A866D7"/>
    <w:rsid w:val="00A86746"/>
    <w:rsid w:val="00A86A4F"/>
    <w:rsid w:val="00A86B87"/>
    <w:rsid w:val="00A86EF7"/>
    <w:rsid w:val="00A870D0"/>
    <w:rsid w:val="00A87A84"/>
    <w:rsid w:val="00A9001C"/>
    <w:rsid w:val="00A91D88"/>
    <w:rsid w:val="00A92FE7"/>
    <w:rsid w:val="00A9402E"/>
    <w:rsid w:val="00AA3B49"/>
    <w:rsid w:val="00AA79D8"/>
    <w:rsid w:val="00AB075E"/>
    <w:rsid w:val="00AB1658"/>
    <w:rsid w:val="00AB2E3D"/>
    <w:rsid w:val="00AB7353"/>
    <w:rsid w:val="00AC1462"/>
    <w:rsid w:val="00AC1F08"/>
    <w:rsid w:val="00AC2ADD"/>
    <w:rsid w:val="00AC4051"/>
    <w:rsid w:val="00AC462B"/>
    <w:rsid w:val="00AC4B90"/>
    <w:rsid w:val="00AC6971"/>
    <w:rsid w:val="00AD1DE8"/>
    <w:rsid w:val="00AD2427"/>
    <w:rsid w:val="00AD40C4"/>
    <w:rsid w:val="00AD4D69"/>
    <w:rsid w:val="00AE03E0"/>
    <w:rsid w:val="00AE19EC"/>
    <w:rsid w:val="00AE2044"/>
    <w:rsid w:val="00AE550C"/>
    <w:rsid w:val="00AE73B8"/>
    <w:rsid w:val="00AF3097"/>
    <w:rsid w:val="00AF45B0"/>
    <w:rsid w:val="00AF4982"/>
    <w:rsid w:val="00AF4D87"/>
    <w:rsid w:val="00AF5481"/>
    <w:rsid w:val="00AF7C0A"/>
    <w:rsid w:val="00B03244"/>
    <w:rsid w:val="00B045BE"/>
    <w:rsid w:val="00B0584F"/>
    <w:rsid w:val="00B10F5C"/>
    <w:rsid w:val="00B117DE"/>
    <w:rsid w:val="00B13218"/>
    <w:rsid w:val="00B16F27"/>
    <w:rsid w:val="00B20B16"/>
    <w:rsid w:val="00B210F0"/>
    <w:rsid w:val="00B217B4"/>
    <w:rsid w:val="00B22535"/>
    <w:rsid w:val="00B22D23"/>
    <w:rsid w:val="00B24666"/>
    <w:rsid w:val="00B2560F"/>
    <w:rsid w:val="00B2665F"/>
    <w:rsid w:val="00B27BDF"/>
    <w:rsid w:val="00B27F33"/>
    <w:rsid w:val="00B30815"/>
    <w:rsid w:val="00B314CC"/>
    <w:rsid w:val="00B33E91"/>
    <w:rsid w:val="00B3411F"/>
    <w:rsid w:val="00B34907"/>
    <w:rsid w:val="00B361CE"/>
    <w:rsid w:val="00B367A3"/>
    <w:rsid w:val="00B37C98"/>
    <w:rsid w:val="00B40093"/>
    <w:rsid w:val="00B40943"/>
    <w:rsid w:val="00B43B86"/>
    <w:rsid w:val="00B43CCA"/>
    <w:rsid w:val="00B44597"/>
    <w:rsid w:val="00B45F1F"/>
    <w:rsid w:val="00B465AB"/>
    <w:rsid w:val="00B47F28"/>
    <w:rsid w:val="00B5232C"/>
    <w:rsid w:val="00B52E86"/>
    <w:rsid w:val="00B53095"/>
    <w:rsid w:val="00B535A5"/>
    <w:rsid w:val="00B5665E"/>
    <w:rsid w:val="00B61387"/>
    <w:rsid w:val="00B62555"/>
    <w:rsid w:val="00B62A21"/>
    <w:rsid w:val="00B64660"/>
    <w:rsid w:val="00B64FBF"/>
    <w:rsid w:val="00B66628"/>
    <w:rsid w:val="00B67031"/>
    <w:rsid w:val="00B7185B"/>
    <w:rsid w:val="00B719E1"/>
    <w:rsid w:val="00B73ACE"/>
    <w:rsid w:val="00B75D78"/>
    <w:rsid w:val="00B771ED"/>
    <w:rsid w:val="00B8046B"/>
    <w:rsid w:val="00B814FC"/>
    <w:rsid w:val="00B82BB6"/>
    <w:rsid w:val="00B82F22"/>
    <w:rsid w:val="00B84D71"/>
    <w:rsid w:val="00B90BC9"/>
    <w:rsid w:val="00B91CC2"/>
    <w:rsid w:val="00B944FB"/>
    <w:rsid w:val="00B946F3"/>
    <w:rsid w:val="00B955EC"/>
    <w:rsid w:val="00B95E46"/>
    <w:rsid w:val="00B95F82"/>
    <w:rsid w:val="00B961E8"/>
    <w:rsid w:val="00B96549"/>
    <w:rsid w:val="00B97081"/>
    <w:rsid w:val="00BA0582"/>
    <w:rsid w:val="00BA0BF9"/>
    <w:rsid w:val="00BA151F"/>
    <w:rsid w:val="00BA1E3D"/>
    <w:rsid w:val="00BA3A4F"/>
    <w:rsid w:val="00BA558C"/>
    <w:rsid w:val="00BA5F8A"/>
    <w:rsid w:val="00BA605A"/>
    <w:rsid w:val="00BA707B"/>
    <w:rsid w:val="00BA71B8"/>
    <w:rsid w:val="00BA7377"/>
    <w:rsid w:val="00BA749B"/>
    <w:rsid w:val="00BB0700"/>
    <w:rsid w:val="00BB36A6"/>
    <w:rsid w:val="00BB4988"/>
    <w:rsid w:val="00BB5622"/>
    <w:rsid w:val="00BB7564"/>
    <w:rsid w:val="00BB7CEE"/>
    <w:rsid w:val="00BC1129"/>
    <w:rsid w:val="00BC36B3"/>
    <w:rsid w:val="00BC3BFB"/>
    <w:rsid w:val="00BC43C0"/>
    <w:rsid w:val="00BC5A44"/>
    <w:rsid w:val="00BD0449"/>
    <w:rsid w:val="00BD1275"/>
    <w:rsid w:val="00BD4436"/>
    <w:rsid w:val="00BD7715"/>
    <w:rsid w:val="00BE0EAC"/>
    <w:rsid w:val="00BE2DE5"/>
    <w:rsid w:val="00BE3836"/>
    <w:rsid w:val="00BE5451"/>
    <w:rsid w:val="00BE633E"/>
    <w:rsid w:val="00BE6757"/>
    <w:rsid w:val="00BE6775"/>
    <w:rsid w:val="00BF0EE6"/>
    <w:rsid w:val="00BF1955"/>
    <w:rsid w:val="00C004AC"/>
    <w:rsid w:val="00C0105B"/>
    <w:rsid w:val="00C0144C"/>
    <w:rsid w:val="00C02FFA"/>
    <w:rsid w:val="00C073F7"/>
    <w:rsid w:val="00C120C7"/>
    <w:rsid w:val="00C12D57"/>
    <w:rsid w:val="00C14980"/>
    <w:rsid w:val="00C15432"/>
    <w:rsid w:val="00C16295"/>
    <w:rsid w:val="00C200A6"/>
    <w:rsid w:val="00C20DA0"/>
    <w:rsid w:val="00C20F23"/>
    <w:rsid w:val="00C216FA"/>
    <w:rsid w:val="00C238D6"/>
    <w:rsid w:val="00C23ECE"/>
    <w:rsid w:val="00C24427"/>
    <w:rsid w:val="00C248D8"/>
    <w:rsid w:val="00C251F3"/>
    <w:rsid w:val="00C2637B"/>
    <w:rsid w:val="00C27669"/>
    <w:rsid w:val="00C27B1F"/>
    <w:rsid w:val="00C3075C"/>
    <w:rsid w:val="00C31A51"/>
    <w:rsid w:val="00C325B6"/>
    <w:rsid w:val="00C33883"/>
    <w:rsid w:val="00C33E96"/>
    <w:rsid w:val="00C34623"/>
    <w:rsid w:val="00C34D9C"/>
    <w:rsid w:val="00C3697F"/>
    <w:rsid w:val="00C37885"/>
    <w:rsid w:val="00C4002E"/>
    <w:rsid w:val="00C40CDA"/>
    <w:rsid w:val="00C42F51"/>
    <w:rsid w:val="00C44086"/>
    <w:rsid w:val="00C44A58"/>
    <w:rsid w:val="00C45173"/>
    <w:rsid w:val="00C4779F"/>
    <w:rsid w:val="00C5344C"/>
    <w:rsid w:val="00C53631"/>
    <w:rsid w:val="00C54200"/>
    <w:rsid w:val="00C631AC"/>
    <w:rsid w:val="00C6567C"/>
    <w:rsid w:val="00C67050"/>
    <w:rsid w:val="00C706CE"/>
    <w:rsid w:val="00C70B57"/>
    <w:rsid w:val="00C7134C"/>
    <w:rsid w:val="00C72C22"/>
    <w:rsid w:val="00C72FF4"/>
    <w:rsid w:val="00C737CA"/>
    <w:rsid w:val="00C77692"/>
    <w:rsid w:val="00C77A2E"/>
    <w:rsid w:val="00C806AB"/>
    <w:rsid w:val="00C80E9D"/>
    <w:rsid w:val="00C827D5"/>
    <w:rsid w:val="00C83DFC"/>
    <w:rsid w:val="00C87683"/>
    <w:rsid w:val="00C923C3"/>
    <w:rsid w:val="00C92592"/>
    <w:rsid w:val="00C93FED"/>
    <w:rsid w:val="00C94F95"/>
    <w:rsid w:val="00C9553A"/>
    <w:rsid w:val="00C96833"/>
    <w:rsid w:val="00C970D7"/>
    <w:rsid w:val="00CA1785"/>
    <w:rsid w:val="00CA22E2"/>
    <w:rsid w:val="00CA57EB"/>
    <w:rsid w:val="00CA5842"/>
    <w:rsid w:val="00CA64BF"/>
    <w:rsid w:val="00CA65A1"/>
    <w:rsid w:val="00CA7918"/>
    <w:rsid w:val="00CA7E68"/>
    <w:rsid w:val="00CA7E96"/>
    <w:rsid w:val="00CB0EA6"/>
    <w:rsid w:val="00CB0F75"/>
    <w:rsid w:val="00CB1F6A"/>
    <w:rsid w:val="00CB2D00"/>
    <w:rsid w:val="00CB3FFE"/>
    <w:rsid w:val="00CB50A8"/>
    <w:rsid w:val="00CB52ED"/>
    <w:rsid w:val="00CB5528"/>
    <w:rsid w:val="00CB5ECE"/>
    <w:rsid w:val="00CB6A6E"/>
    <w:rsid w:val="00CB7CBD"/>
    <w:rsid w:val="00CB7ED6"/>
    <w:rsid w:val="00CB7EEC"/>
    <w:rsid w:val="00CC0A78"/>
    <w:rsid w:val="00CC5F03"/>
    <w:rsid w:val="00CC68DF"/>
    <w:rsid w:val="00CC7923"/>
    <w:rsid w:val="00CD05E3"/>
    <w:rsid w:val="00CD0B75"/>
    <w:rsid w:val="00CD2376"/>
    <w:rsid w:val="00CD310E"/>
    <w:rsid w:val="00CD3DD2"/>
    <w:rsid w:val="00CD41F3"/>
    <w:rsid w:val="00CD5538"/>
    <w:rsid w:val="00CD6617"/>
    <w:rsid w:val="00CD7578"/>
    <w:rsid w:val="00CD7B17"/>
    <w:rsid w:val="00CE0850"/>
    <w:rsid w:val="00CE3E5B"/>
    <w:rsid w:val="00CE535A"/>
    <w:rsid w:val="00CE5800"/>
    <w:rsid w:val="00CF07DD"/>
    <w:rsid w:val="00CF0A1D"/>
    <w:rsid w:val="00CF170E"/>
    <w:rsid w:val="00CF31BB"/>
    <w:rsid w:val="00CF3297"/>
    <w:rsid w:val="00CF3733"/>
    <w:rsid w:val="00CF374D"/>
    <w:rsid w:val="00CF4A49"/>
    <w:rsid w:val="00CF5E23"/>
    <w:rsid w:val="00CF7E42"/>
    <w:rsid w:val="00D01EC6"/>
    <w:rsid w:val="00D02E98"/>
    <w:rsid w:val="00D05BEE"/>
    <w:rsid w:val="00D07E3E"/>
    <w:rsid w:val="00D10569"/>
    <w:rsid w:val="00D11D6B"/>
    <w:rsid w:val="00D11FDC"/>
    <w:rsid w:val="00D136DA"/>
    <w:rsid w:val="00D1446B"/>
    <w:rsid w:val="00D14C72"/>
    <w:rsid w:val="00D14D31"/>
    <w:rsid w:val="00D20595"/>
    <w:rsid w:val="00D21910"/>
    <w:rsid w:val="00D23317"/>
    <w:rsid w:val="00D23ACC"/>
    <w:rsid w:val="00D24425"/>
    <w:rsid w:val="00D31707"/>
    <w:rsid w:val="00D3253E"/>
    <w:rsid w:val="00D33395"/>
    <w:rsid w:val="00D3426A"/>
    <w:rsid w:val="00D3483C"/>
    <w:rsid w:val="00D34E5D"/>
    <w:rsid w:val="00D351E8"/>
    <w:rsid w:val="00D35384"/>
    <w:rsid w:val="00D37563"/>
    <w:rsid w:val="00D40D07"/>
    <w:rsid w:val="00D41489"/>
    <w:rsid w:val="00D44A37"/>
    <w:rsid w:val="00D463CF"/>
    <w:rsid w:val="00D47E78"/>
    <w:rsid w:val="00D50BBF"/>
    <w:rsid w:val="00D50E2F"/>
    <w:rsid w:val="00D51136"/>
    <w:rsid w:val="00D53CCF"/>
    <w:rsid w:val="00D542CF"/>
    <w:rsid w:val="00D54D60"/>
    <w:rsid w:val="00D550F9"/>
    <w:rsid w:val="00D56153"/>
    <w:rsid w:val="00D574F2"/>
    <w:rsid w:val="00D61765"/>
    <w:rsid w:val="00D61E08"/>
    <w:rsid w:val="00D62D02"/>
    <w:rsid w:val="00D644C8"/>
    <w:rsid w:val="00D6462F"/>
    <w:rsid w:val="00D64B72"/>
    <w:rsid w:val="00D6552D"/>
    <w:rsid w:val="00D655B0"/>
    <w:rsid w:val="00D73BDC"/>
    <w:rsid w:val="00D74206"/>
    <w:rsid w:val="00D756F9"/>
    <w:rsid w:val="00D75803"/>
    <w:rsid w:val="00D7598E"/>
    <w:rsid w:val="00D80BB5"/>
    <w:rsid w:val="00D832A3"/>
    <w:rsid w:val="00D85EA8"/>
    <w:rsid w:val="00D87844"/>
    <w:rsid w:val="00D87C8B"/>
    <w:rsid w:val="00D91173"/>
    <w:rsid w:val="00D912CE"/>
    <w:rsid w:val="00D94CD8"/>
    <w:rsid w:val="00D94FDF"/>
    <w:rsid w:val="00D95CEF"/>
    <w:rsid w:val="00D96472"/>
    <w:rsid w:val="00D97990"/>
    <w:rsid w:val="00D97FBC"/>
    <w:rsid w:val="00DA0633"/>
    <w:rsid w:val="00DA1199"/>
    <w:rsid w:val="00DA13BB"/>
    <w:rsid w:val="00DA1736"/>
    <w:rsid w:val="00DA31E9"/>
    <w:rsid w:val="00DA5A75"/>
    <w:rsid w:val="00DA6A25"/>
    <w:rsid w:val="00DB0A23"/>
    <w:rsid w:val="00DB0D9B"/>
    <w:rsid w:val="00DB1501"/>
    <w:rsid w:val="00DB2054"/>
    <w:rsid w:val="00DB3143"/>
    <w:rsid w:val="00DB41D1"/>
    <w:rsid w:val="00DB5356"/>
    <w:rsid w:val="00DB6423"/>
    <w:rsid w:val="00DB7EA6"/>
    <w:rsid w:val="00DB7ED0"/>
    <w:rsid w:val="00DC471A"/>
    <w:rsid w:val="00DD75FC"/>
    <w:rsid w:val="00DD7DFD"/>
    <w:rsid w:val="00DE0F91"/>
    <w:rsid w:val="00DE1189"/>
    <w:rsid w:val="00DE2BF4"/>
    <w:rsid w:val="00DE53C4"/>
    <w:rsid w:val="00DF130F"/>
    <w:rsid w:val="00DF60AB"/>
    <w:rsid w:val="00E03ED0"/>
    <w:rsid w:val="00E0527C"/>
    <w:rsid w:val="00E10A1A"/>
    <w:rsid w:val="00E17BB7"/>
    <w:rsid w:val="00E21A8F"/>
    <w:rsid w:val="00E21DBF"/>
    <w:rsid w:val="00E26BE6"/>
    <w:rsid w:val="00E3181D"/>
    <w:rsid w:val="00E33BDC"/>
    <w:rsid w:val="00E34D91"/>
    <w:rsid w:val="00E34EE4"/>
    <w:rsid w:val="00E3519E"/>
    <w:rsid w:val="00E3698A"/>
    <w:rsid w:val="00E37CB8"/>
    <w:rsid w:val="00E4082B"/>
    <w:rsid w:val="00E42000"/>
    <w:rsid w:val="00E42EA9"/>
    <w:rsid w:val="00E43076"/>
    <w:rsid w:val="00E45B5D"/>
    <w:rsid w:val="00E466BB"/>
    <w:rsid w:val="00E50AEE"/>
    <w:rsid w:val="00E53CC8"/>
    <w:rsid w:val="00E569BC"/>
    <w:rsid w:val="00E573D4"/>
    <w:rsid w:val="00E57B62"/>
    <w:rsid w:val="00E6392A"/>
    <w:rsid w:val="00E63B76"/>
    <w:rsid w:val="00E6745D"/>
    <w:rsid w:val="00E67D71"/>
    <w:rsid w:val="00E7000B"/>
    <w:rsid w:val="00E702C1"/>
    <w:rsid w:val="00E71179"/>
    <w:rsid w:val="00E72C04"/>
    <w:rsid w:val="00E731A7"/>
    <w:rsid w:val="00E75D67"/>
    <w:rsid w:val="00E76B7C"/>
    <w:rsid w:val="00E83BD5"/>
    <w:rsid w:val="00E8410C"/>
    <w:rsid w:val="00E847EA"/>
    <w:rsid w:val="00E84EFB"/>
    <w:rsid w:val="00E85D4E"/>
    <w:rsid w:val="00E86C47"/>
    <w:rsid w:val="00E87FC3"/>
    <w:rsid w:val="00E91D48"/>
    <w:rsid w:val="00E926D0"/>
    <w:rsid w:val="00E927A3"/>
    <w:rsid w:val="00E92ED7"/>
    <w:rsid w:val="00E94B47"/>
    <w:rsid w:val="00E967CB"/>
    <w:rsid w:val="00EA1029"/>
    <w:rsid w:val="00EA2634"/>
    <w:rsid w:val="00EA3D09"/>
    <w:rsid w:val="00EA3F7F"/>
    <w:rsid w:val="00EA5F63"/>
    <w:rsid w:val="00EB0442"/>
    <w:rsid w:val="00EB1254"/>
    <w:rsid w:val="00EB5BB3"/>
    <w:rsid w:val="00EB5C32"/>
    <w:rsid w:val="00EB7B04"/>
    <w:rsid w:val="00EB7E23"/>
    <w:rsid w:val="00EC026D"/>
    <w:rsid w:val="00EC0B85"/>
    <w:rsid w:val="00EC0C6E"/>
    <w:rsid w:val="00EC1E2B"/>
    <w:rsid w:val="00EC262F"/>
    <w:rsid w:val="00EC3A3D"/>
    <w:rsid w:val="00EC3BBD"/>
    <w:rsid w:val="00EC7804"/>
    <w:rsid w:val="00ED2824"/>
    <w:rsid w:val="00ED2F8E"/>
    <w:rsid w:val="00ED4CDF"/>
    <w:rsid w:val="00ED4D8F"/>
    <w:rsid w:val="00ED7476"/>
    <w:rsid w:val="00EE2328"/>
    <w:rsid w:val="00EE25C4"/>
    <w:rsid w:val="00EE2DC5"/>
    <w:rsid w:val="00EE379D"/>
    <w:rsid w:val="00EE4C98"/>
    <w:rsid w:val="00EE5B73"/>
    <w:rsid w:val="00EE7958"/>
    <w:rsid w:val="00EF28C1"/>
    <w:rsid w:val="00EF384A"/>
    <w:rsid w:val="00EF3D5F"/>
    <w:rsid w:val="00EF4682"/>
    <w:rsid w:val="00EF6F93"/>
    <w:rsid w:val="00EF7115"/>
    <w:rsid w:val="00EF7624"/>
    <w:rsid w:val="00F002B9"/>
    <w:rsid w:val="00F02931"/>
    <w:rsid w:val="00F03595"/>
    <w:rsid w:val="00F051BF"/>
    <w:rsid w:val="00F11B23"/>
    <w:rsid w:val="00F11D90"/>
    <w:rsid w:val="00F12D8F"/>
    <w:rsid w:val="00F1380E"/>
    <w:rsid w:val="00F1390B"/>
    <w:rsid w:val="00F15570"/>
    <w:rsid w:val="00F204B3"/>
    <w:rsid w:val="00F23F1E"/>
    <w:rsid w:val="00F24327"/>
    <w:rsid w:val="00F243CF"/>
    <w:rsid w:val="00F25048"/>
    <w:rsid w:val="00F25B71"/>
    <w:rsid w:val="00F301EC"/>
    <w:rsid w:val="00F3124B"/>
    <w:rsid w:val="00F3393A"/>
    <w:rsid w:val="00F36846"/>
    <w:rsid w:val="00F40E09"/>
    <w:rsid w:val="00F41EEE"/>
    <w:rsid w:val="00F41EF0"/>
    <w:rsid w:val="00F43434"/>
    <w:rsid w:val="00F44C6A"/>
    <w:rsid w:val="00F45C03"/>
    <w:rsid w:val="00F50118"/>
    <w:rsid w:val="00F5089A"/>
    <w:rsid w:val="00F516A8"/>
    <w:rsid w:val="00F51990"/>
    <w:rsid w:val="00F530B7"/>
    <w:rsid w:val="00F54973"/>
    <w:rsid w:val="00F5595C"/>
    <w:rsid w:val="00F55BA0"/>
    <w:rsid w:val="00F576A9"/>
    <w:rsid w:val="00F57CC8"/>
    <w:rsid w:val="00F60BF4"/>
    <w:rsid w:val="00F617AF"/>
    <w:rsid w:val="00F62419"/>
    <w:rsid w:val="00F650DD"/>
    <w:rsid w:val="00F6546F"/>
    <w:rsid w:val="00F67E89"/>
    <w:rsid w:val="00F709FA"/>
    <w:rsid w:val="00F71266"/>
    <w:rsid w:val="00F71D7E"/>
    <w:rsid w:val="00F71FB8"/>
    <w:rsid w:val="00F73B1E"/>
    <w:rsid w:val="00F74E04"/>
    <w:rsid w:val="00F750EC"/>
    <w:rsid w:val="00F75644"/>
    <w:rsid w:val="00F805CB"/>
    <w:rsid w:val="00F819FA"/>
    <w:rsid w:val="00F81BEE"/>
    <w:rsid w:val="00F82445"/>
    <w:rsid w:val="00F83A02"/>
    <w:rsid w:val="00F87228"/>
    <w:rsid w:val="00F87B82"/>
    <w:rsid w:val="00F917D5"/>
    <w:rsid w:val="00F919B3"/>
    <w:rsid w:val="00F93E30"/>
    <w:rsid w:val="00F954FE"/>
    <w:rsid w:val="00F9629C"/>
    <w:rsid w:val="00F97C86"/>
    <w:rsid w:val="00FA1A46"/>
    <w:rsid w:val="00FA3CE0"/>
    <w:rsid w:val="00FA3F15"/>
    <w:rsid w:val="00FA4306"/>
    <w:rsid w:val="00FA480C"/>
    <w:rsid w:val="00FB1075"/>
    <w:rsid w:val="00FB2AB7"/>
    <w:rsid w:val="00FB3781"/>
    <w:rsid w:val="00FB3FA3"/>
    <w:rsid w:val="00FC024D"/>
    <w:rsid w:val="00FC3164"/>
    <w:rsid w:val="00FC386E"/>
    <w:rsid w:val="00FC3E05"/>
    <w:rsid w:val="00FC5DA9"/>
    <w:rsid w:val="00FC7B0B"/>
    <w:rsid w:val="00FD1D7B"/>
    <w:rsid w:val="00FD3B5A"/>
    <w:rsid w:val="00FD4BA4"/>
    <w:rsid w:val="00FD5066"/>
    <w:rsid w:val="00FE11D1"/>
    <w:rsid w:val="00FE18A2"/>
    <w:rsid w:val="00FE24F6"/>
    <w:rsid w:val="00FE447E"/>
    <w:rsid w:val="00FE59A0"/>
    <w:rsid w:val="00FE622D"/>
    <w:rsid w:val="00FE7456"/>
    <w:rsid w:val="00FE746E"/>
    <w:rsid w:val="00FE7D01"/>
    <w:rsid w:val="00FF06C7"/>
    <w:rsid w:val="00FF194A"/>
    <w:rsid w:val="00FF21B8"/>
    <w:rsid w:val="00FF2798"/>
    <w:rsid w:val="00FF28F4"/>
    <w:rsid w:val="00FF2D2B"/>
    <w:rsid w:val="00FF4682"/>
    <w:rsid w:val="00FF5CF1"/>
    <w:rsid w:val="00FF5D33"/>
    <w:rsid w:val="00FF5DF9"/>
    <w:rsid w:val="00FF74E6"/>
    <w:rsid w:val="3D347C7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C6220F"/>
  <w15:docId w15:val="{58F3E023-F25B-4D2A-B966-3A4837AD1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681E"/>
    <w:pPr>
      <w:suppressAutoHyphens/>
      <w:spacing w:line="240" w:lineRule="atLeast"/>
    </w:pPr>
    <w:rPr>
      <w:rFonts w:eastAsia="SimSun"/>
      <w:lang w:val="en-GB" w:eastAsia="zh-CN"/>
    </w:rPr>
  </w:style>
  <w:style w:type="paragraph" w:styleId="Heading1">
    <w:name w:val="heading 1"/>
    <w:aliases w:val="Table_G"/>
    <w:basedOn w:val="Normal"/>
    <w:next w:val="AnnoH23G"/>
    <w:link w:val="Heading1Char"/>
    <w:qFormat/>
    <w:rsid w:val="00FA1A46"/>
    <w:pPr>
      <w:ind w:left="1134"/>
      <w:outlineLvl w:val="0"/>
    </w:pPr>
  </w:style>
  <w:style w:type="paragraph" w:styleId="Heading2">
    <w:name w:val="heading 2"/>
    <w:basedOn w:val="Normal"/>
    <w:next w:val="Normal"/>
    <w:link w:val="Heading2Char"/>
    <w:qFormat/>
    <w:rsid w:val="00FA1A46"/>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FA1A46"/>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1A46"/>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FA1A46"/>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rsid w:val="00FA1A46"/>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FA1A46"/>
    <w:pPr>
      <w:keepNext/>
      <w:keepLines/>
      <w:spacing w:before="360" w:after="240" w:line="270" w:lineRule="exact"/>
      <w:ind w:left="1134" w:right="1134" w:hanging="1134"/>
    </w:pPr>
    <w:rPr>
      <w:b/>
      <w:sz w:val="24"/>
    </w:rPr>
  </w:style>
  <w:style w:type="paragraph" w:customStyle="1" w:styleId="H23G">
    <w:name w:val="_ H_2/3_G"/>
    <w:basedOn w:val="Normal"/>
    <w:next w:val="Normal"/>
    <w:rsid w:val="00FA1A46"/>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FA1A46"/>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FA1A46"/>
    <w:pPr>
      <w:keepNext/>
      <w:keepLines/>
      <w:tabs>
        <w:tab w:val="right" w:pos="851"/>
      </w:tabs>
      <w:spacing w:before="240" w:after="120" w:line="240" w:lineRule="exact"/>
      <w:ind w:left="1134" w:right="1134" w:hanging="1134"/>
    </w:pPr>
  </w:style>
  <w:style w:type="paragraph" w:customStyle="1" w:styleId="SingleTxtG">
    <w:name w:val="_ Single Txt_G"/>
    <w:basedOn w:val="Normal"/>
    <w:rsid w:val="00FA1A46"/>
    <w:pPr>
      <w:spacing w:after="120"/>
      <w:ind w:left="1134" w:right="1134"/>
      <w:jc w:val="both"/>
    </w:pPr>
    <w:rPr>
      <w:rFonts w:eastAsia="Times New Roman"/>
      <w:lang w:eastAsia="en-US"/>
    </w:rPr>
  </w:style>
  <w:style w:type="paragraph" w:customStyle="1" w:styleId="SLG">
    <w:name w:val="__S_L_G"/>
    <w:basedOn w:val="Normal"/>
    <w:next w:val="Normal"/>
    <w:rsid w:val="00FA1A46"/>
    <w:pPr>
      <w:keepNext/>
      <w:keepLines/>
      <w:spacing w:before="240" w:after="240" w:line="580" w:lineRule="exact"/>
      <w:ind w:left="1134" w:right="1134"/>
    </w:pPr>
    <w:rPr>
      <w:b/>
      <w:sz w:val="56"/>
    </w:rPr>
  </w:style>
  <w:style w:type="paragraph" w:customStyle="1" w:styleId="SMG">
    <w:name w:val="__S_M_G"/>
    <w:basedOn w:val="Normal"/>
    <w:next w:val="Normal"/>
    <w:rsid w:val="00FA1A46"/>
    <w:pPr>
      <w:keepNext/>
      <w:keepLines/>
      <w:spacing w:before="240" w:after="240" w:line="420" w:lineRule="exact"/>
      <w:ind w:left="1134" w:right="1134"/>
    </w:pPr>
    <w:rPr>
      <w:b/>
      <w:sz w:val="40"/>
    </w:rPr>
  </w:style>
  <w:style w:type="paragraph" w:customStyle="1" w:styleId="SSG">
    <w:name w:val="__S_S_G"/>
    <w:basedOn w:val="Normal"/>
    <w:next w:val="Normal"/>
    <w:rsid w:val="00FA1A46"/>
    <w:pPr>
      <w:keepNext/>
      <w:keepLines/>
      <w:spacing w:before="240" w:after="240" w:line="300" w:lineRule="exact"/>
      <w:ind w:left="1134" w:right="1134"/>
    </w:pPr>
    <w:rPr>
      <w:b/>
      <w:sz w:val="28"/>
    </w:rPr>
  </w:style>
  <w:style w:type="paragraph" w:customStyle="1" w:styleId="XLargeG">
    <w:name w:val="__XLarge_G"/>
    <w:basedOn w:val="Normal"/>
    <w:next w:val="Normal"/>
    <w:rsid w:val="00FA1A46"/>
    <w:pPr>
      <w:keepNext/>
      <w:keepLines/>
      <w:spacing w:before="240" w:after="240" w:line="420" w:lineRule="exact"/>
      <w:ind w:left="1134" w:right="1134"/>
    </w:pPr>
    <w:rPr>
      <w:b/>
      <w:sz w:val="40"/>
    </w:rPr>
  </w:style>
  <w:style w:type="paragraph" w:customStyle="1" w:styleId="Bullet1G">
    <w:name w:val="_Bullet 1_G"/>
    <w:basedOn w:val="Normal"/>
    <w:rsid w:val="00FA1A46"/>
    <w:pPr>
      <w:numPr>
        <w:numId w:val="4"/>
      </w:numPr>
      <w:spacing w:after="120"/>
      <w:ind w:right="1134"/>
      <w:jc w:val="both"/>
    </w:pPr>
  </w:style>
  <w:style w:type="paragraph" w:customStyle="1" w:styleId="Bullet2G">
    <w:name w:val="_Bullet 2_G"/>
    <w:basedOn w:val="Normal"/>
    <w:rsid w:val="00FA1A46"/>
    <w:pPr>
      <w:numPr>
        <w:numId w:val="5"/>
      </w:numPr>
      <w:spacing w:after="120"/>
      <w:ind w:right="1134"/>
      <w:jc w:val="both"/>
    </w:pPr>
  </w:style>
  <w:style w:type="paragraph" w:customStyle="1" w:styleId="AnnoHCHG">
    <w:name w:val="Anno _ H_CH_G"/>
    <w:basedOn w:val="Normal"/>
    <w:next w:val="AnnoH1G"/>
    <w:rsid w:val="00FA1A46"/>
    <w:pPr>
      <w:keepNext/>
      <w:keepLines/>
      <w:numPr>
        <w:numId w:val="6"/>
      </w:numPr>
      <w:spacing w:before="360" w:after="240" w:line="300" w:lineRule="exact"/>
      <w:ind w:right="1134"/>
    </w:pPr>
    <w:rPr>
      <w:b/>
      <w:sz w:val="28"/>
    </w:rPr>
  </w:style>
  <w:style w:type="paragraph" w:customStyle="1" w:styleId="AnnoH1G">
    <w:name w:val="Anno_ H_1_G"/>
    <w:basedOn w:val="Normal"/>
    <w:next w:val="AnnoH23G"/>
    <w:autoRedefine/>
    <w:rsid w:val="00FA1A46"/>
    <w:pPr>
      <w:keepNext/>
      <w:keepLines/>
      <w:numPr>
        <w:ilvl w:val="1"/>
        <w:numId w:val="6"/>
      </w:numPr>
      <w:spacing w:before="360" w:after="240" w:line="270" w:lineRule="exact"/>
      <w:ind w:right="1134"/>
    </w:pPr>
    <w:rPr>
      <w:b/>
      <w:sz w:val="24"/>
    </w:rPr>
  </w:style>
  <w:style w:type="paragraph" w:customStyle="1" w:styleId="AnnoH23G">
    <w:name w:val="Anno_ H_2/3_G"/>
    <w:basedOn w:val="Normal"/>
    <w:next w:val="AnnoSingleTxtG"/>
    <w:autoRedefine/>
    <w:rsid w:val="00FA1A46"/>
    <w:pPr>
      <w:keepNext/>
      <w:keepLines/>
      <w:numPr>
        <w:ilvl w:val="2"/>
        <w:numId w:val="6"/>
      </w:numPr>
      <w:spacing w:before="240" w:after="120" w:line="240" w:lineRule="exact"/>
      <w:ind w:right="1134"/>
    </w:pPr>
    <w:rPr>
      <w:u w:val="single"/>
    </w:rPr>
  </w:style>
  <w:style w:type="paragraph" w:customStyle="1" w:styleId="AnnoSingleTxtG">
    <w:name w:val="Anno_ Single Txt_G"/>
    <w:basedOn w:val="Normal"/>
    <w:rsid w:val="00FA1A46"/>
    <w:pPr>
      <w:numPr>
        <w:ilvl w:val="3"/>
        <w:numId w:val="6"/>
      </w:numPr>
      <w:spacing w:after="120"/>
      <w:ind w:right="1134"/>
      <w:jc w:val="both"/>
    </w:pPr>
  </w:style>
  <w:style w:type="character" w:styleId="FootnoteReference">
    <w:name w:val="footnote reference"/>
    <w:aliases w:val="4_G,16 Point,Superscript 6 Point,Ref,de nota al pie,Appel note de bas de page,BVI fnr,number,Footnote text,Footnote reference number,Footnote symbol,note TESI,-E Fußnotenzeichen,SUPERS,stylish,ftref,Superscript 6 Point + 11 pt,E FNZ"/>
    <w:link w:val="BVIfnrChar"/>
    <w:qFormat/>
    <w:rsid w:val="00FA1A46"/>
    <w:rPr>
      <w:rFonts w:ascii="Times New Roman" w:hAnsi="Times New Roman"/>
      <w:sz w:val="18"/>
      <w:vertAlign w:val="superscript"/>
    </w:rPr>
  </w:style>
  <w:style w:type="character" w:styleId="EndnoteReference">
    <w:name w:val="endnote reference"/>
    <w:aliases w:val="1_G"/>
    <w:rsid w:val="00FA1A46"/>
    <w:rPr>
      <w:rFonts w:ascii="Times New Roman" w:hAnsi="Times New Roman"/>
      <w:sz w:val="18"/>
      <w:vertAlign w:val="superscript"/>
    </w:rPr>
  </w:style>
  <w:style w:type="paragraph" w:styleId="EndnoteText">
    <w:name w:val="endnote text"/>
    <w:aliases w:val="2_G"/>
    <w:basedOn w:val="FootnoteText"/>
    <w:link w:val="EndnoteTextChar"/>
    <w:rsid w:val="00FA1A46"/>
  </w:style>
  <w:style w:type="paragraph" w:styleId="FootnoteText">
    <w:name w:val="footnote text"/>
    <w:aliases w:val="5_G,Geneva 9,Font: Geneva 9,Boston 10,f,fn,footnote text,Footnotes,Footnote ak,Char,Char Char Char Char,Default Paragraph Font Char Char,Default Paragraph Font Para Char Char Char Char,Default Paragraph Font Char Char11,Footno,single space"/>
    <w:basedOn w:val="Normal"/>
    <w:link w:val="FootnoteTextChar"/>
    <w:qFormat/>
    <w:rsid w:val="00FA1A46"/>
    <w:pPr>
      <w:tabs>
        <w:tab w:val="right" w:pos="1021"/>
      </w:tabs>
      <w:spacing w:line="220" w:lineRule="exact"/>
      <w:ind w:left="1134" w:right="1134" w:hanging="1134"/>
    </w:pPr>
    <w:rPr>
      <w:sz w:val="18"/>
    </w:rPr>
  </w:style>
  <w:style w:type="paragraph" w:styleId="Footer">
    <w:name w:val="footer"/>
    <w:aliases w:val="3_G"/>
    <w:basedOn w:val="Normal"/>
    <w:link w:val="FooterChar"/>
    <w:rsid w:val="00FA1A46"/>
    <w:rPr>
      <w:sz w:val="16"/>
    </w:rPr>
  </w:style>
  <w:style w:type="paragraph" w:customStyle="1" w:styleId="FootnoteTable">
    <w:name w:val="Footnote Table"/>
    <w:basedOn w:val="Normal"/>
    <w:rsid w:val="004B02E4"/>
    <w:pPr>
      <w:spacing w:before="60" w:line="220" w:lineRule="atLeast"/>
      <w:contextualSpacing/>
      <w:jc w:val="both"/>
    </w:pPr>
    <w:rPr>
      <w:sz w:val="18"/>
    </w:rPr>
  </w:style>
  <w:style w:type="paragraph" w:styleId="Header">
    <w:name w:val="header"/>
    <w:aliases w:val="6_G"/>
    <w:basedOn w:val="Normal"/>
    <w:link w:val="HeaderChar"/>
    <w:rsid w:val="00FA1A46"/>
    <w:pPr>
      <w:pBdr>
        <w:bottom w:val="single" w:sz="4" w:space="4" w:color="auto"/>
      </w:pBdr>
    </w:pPr>
    <w:rPr>
      <w:b/>
      <w:sz w:val="18"/>
    </w:rPr>
  </w:style>
  <w:style w:type="character" w:styleId="PageNumber">
    <w:name w:val="page number"/>
    <w:aliases w:val="7_G"/>
    <w:rsid w:val="00FA1A46"/>
    <w:rPr>
      <w:rFonts w:ascii="Times New Roman" w:hAnsi="Times New Roman"/>
      <w:b/>
      <w:sz w:val="18"/>
    </w:rPr>
  </w:style>
  <w:style w:type="paragraph" w:customStyle="1" w:styleId="RegHChG">
    <w:name w:val="Reg_H__Ch_G"/>
    <w:basedOn w:val="Normal"/>
    <w:next w:val="RegH1G"/>
    <w:rsid w:val="00FA1A46"/>
    <w:pPr>
      <w:keepNext/>
      <w:keepLines/>
      <w:numPr>
        <w:numId w:val="7"/>
      </w:numPr>
      <w:spacing w:before="360" w:after="240" w:line="300" w:lineRule="exact"/>
      <w:ind w:right="1134"/>
    </w:pPr>
    <w:rPr>
      <w:b/>
      <w:sz w:val="28"/>
    </w:rPr>
  </w:style>
  <w:style w:type="paragraph" w:customStyle="1" w:styleId="RegH1G">
    <w:name w:val="Reg_H_1_G"/>
    <w:basedOn w:val="Normal"/>
    <w:next w:val="RegH23G"/>
    <w:rsid w:val="00FA1A46"/>
    <w:pPr>
      <w:keepNext/>
      <w:keepLines/>
      <w:numPr>
        <w:ilvl w:val="1"/>
        <w:numId w:val="7"/>
      </w:numPr>
      <w:spacing w:before="360" w:after="240" w:line="270" w:lineRule="exact"/>
      <w:ind w:right="1134"/>
    </w:pPr>
    <w:rPr>
      <w:b/>
      <w:sz w:val="24"/>
    </w:rPr>
  </w:style>
  <w:style w:type="paragraph" w:customStyle="1" w:styleId="RegH23G">
    <w:name w:val="Reg_H_2/3_G"/>
    <w:basedOn w:val="Normal"/>
    <w:next w:val="RegH4G"/>
    <w:rsid w:val="00FA1A46"/>
    <w:pPr>
      <w:keepNext/>
      <w:keepLines/>
      <w:numPr>
        <w:ilvl w:val="2"/>
        <w:numId w:val="7"/>
      </w:numPr>
      <w:spacing w:before="240" w:after="120" w:line="240" w:lineRule="exact"/>
      <w:ind w:right="1134"/>
    </w:pPr>
    <w:rPr>
      <w:b/>
    </w:rPr>
  </w:style>
  <w:style w:type="paragraph" w:customStyle="1" w:styleId="RegSingleTxtG">
    <w:name w:val="Reg_Single Txt_G"/>
    <w:basedOn w:val="Normal"/>
    <w:link w:val="RegSingleTxtGChar"/>
    <w:rsid w:val="00FA1A46"/>
    <w:pPr>
      <w:numPr>
        <w:ilvl w:val="5"/>
        <w:numId w:val="7"/>
      </w:numPr>
      <w:tabs>
        <w:tab w:val="left" w:pos="1701"/>
      </w:tabs>
      <w:spacing w:after="120"/>
      <w:ind w:right="1134"/>
      <w:jc w:val="both"/>
    </w:pPr>
  </w:style>
  <w:style w:type="paragraph" w:styleId="TOC1">
    <w:name w:val="toc 1"/>
    <w:basedOn w:val="Normal"/>
    <w:next w:val="Normal"/>
    <w:autoRedefine/>
    <w:uiPriority w:val="39"/>
    <w:rsid w:val="00EC0B85"/>
    <w:pPr>
      <w:tabs>
        <w:tab w:val="right" w:pos="851"/>
        <w:tab w:val="left" w:pos="1134"/>
        <w:tab w:val="left" w:pos="1559"/>
        <w:tab w:val="left" w:pos="1985"/>
        <w:tab w:val="right" w:leader="dot" w:pos="8930"/>
        <w:tab w:val="right" w:pos="9639"/>
      </w:tabs>
      <w:spacing w:before="120" w:after="120"/>
      <w:ind w:left="1134"/>
    </w:pPr>
    <w:rPr>
      <w:noProof/>
    </w:rPr>
  </w:style>
  <w:style w:type="paragraph" w:styleId="TOC2">
    <w:name w:val="toc 2"/>
    <w:basedOn w:val="Normal"/>
    <w:next w:val="Normal"/>
    <w:autoRedefine/>
    <w:rsid w:val="00F36846"/>
    <w:pPr>
      <w:tabs>
        <w:tab w:val="right" w:pos="851"/>
        <w:tab w:val="left" w:pos="1134"/>
        <w:tab w:val="left" w:pos="1559"/>
        <w:tab w:val="left" w:pos="1985"/>
        <w:tab w:val="center" w:leader="dot" w:pos="8930"/>
        <w:tab w:val="right" w:pos="9639"/>
      </w:tabs>
      <w:spacing w:after="120"/>
    </w:pPr>
  </w:style>
  <w:style w:type="paragraph" w:styleId="TOC3">
    <w:name w:val="toc 3"/>
    <w:basedOn w:val="Normal"/>
    <w:next w:val="Normal"/>
    <w:autoRedefine/>
    <w:semiHidden/>
    <w:rsid w:val="00FA1A46"/>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A1A46"/>
    <w:pPr>
      <w:spacing w:line="240" w:lineRule="auto"/>
    </w:pPr>
    <w:rPr>
      <w:rFonts w:ascii="Tahoma" w:hAnsi="Tahoma" w:cs="Tahoma"/>
      <w:sz w:val="16"/>
      <w:szCs w:val="16"/>
    </w:rPr>
  </w:style>
  <w:style w:type="character" w:customStyle="1" w:styleId="BalloonTextChar">
    <w:name w:val="Balloon Text Char"/>
    <w:link w:val="BalloonText"/>
    <w:rsid w:val="00FA1A46"/>
    <w:rPr>
      <w:rFonts w:ascii="Tahoma" w:eastAsia="SimSun" w:hAnsi="Tahoma" w:cs="Tahoma"/>
      <w:sz w:val="16"/>
      <w:szCs w:val="16"/>
      <w:lang w:val="en-GB" w:eastAsia="zh-CN"/>
    </w:rPr>
  </w:style>
  <w:style w:type="paragraph" w:styleId="ListParagraph">
    <w:name w:val="List Paragraph"/>
    <w:basedOn w:val="Normal"/>
    <w:uiPriority w:val="34"/>
    <w:qFormat/>
    <w:rsid w:val="00FA1A46"/>
    <w:pPr>
      <w:ind w:left="720"/>
      <w:contextualSpacing/>
    </w:pPr>
  </w:style>
  <w:style w:type="character" w:customStyle="1" w:styleId="Heading2Char">
    <w:name w:val="Heading 2 Char"/>
    <w:link w:val="Heading2"/>
    <w:rsid w:val="00FA1A46"/>
    <w:rPr>
      <w:rFonts w:ascii="Cambria" w:hAnsi="Cambria"/>
      <w:b/>
      <w:bCs/>
      <w:color w:val="4F81BD"/>
      <w:sz w:val="26"/>
      <w:szCs w:val="26"/>
      <w:lang w:val="en-GB" w:eastAsia="zh-CN"/>
    </w:rPr>
  </w:style>
  <w:style w:type="character" w:customStyle="1" w:styleId="Heading4Char">
    <w:name w:val="Heading 4 Char"/>
    <w:link w:val="Heading4"/>
    <w:rsid w:val="00FA1A46"/>
    <w:rPr>
      <w:rFonts w:ascii="Cambria" w:hAnsi="Cambria"/>
      <w:b/>
      <w:bCs/>
      <w:i/>
      <w:iCs/>
      <w:color w:val="4F81BD"/>
      <w:lang w:val="en-GB" w:eastAsia="zh-CN"/>
    </w:rPr>
  </w:style>
  <w:style w:type="character" w:customStyle="1" w:styleId="Heading5Char">
    <w:name w:val="Heading 5 Char"/>
    <w:link w:val="Heading5"/>
    <w:rsid w:val="00FA1A46"/>
    <w:rPr>
      <w:rFonts w:ascii="Cambria" w:hAnsi="Cambria"/>
      <w:color w:val="243F60"/>
      <w:lang w:val="en-GB" w:eastAsia="zh-CN"/>
    </w:rPr>
  </w:style>
  <w:style w:type="paragraph" w:customStyle="1" w:styleId="ListParagraphforAnnexes">
    <w:name w:val="List Paragraph for Annexes"/>
    <w:basedOn w:val="ListParagraph"/>
    <w:qFormat/>
    <w:rsid w:val="00FA1A46"/>
    <w:pPr>
      <w:spacing w:before="120" w:after="120" w:line="240" w:lineRule="exact"/>
      <w:contextualSpacing w:val="0"/>
    </w:pPr>
  </w:style>
  <w:style w:type="paragraph" w:customStyle="1" w:styleId="RegH4G">
    <w:name w:val="Reg_H_4_G"/>
    <w:basedOn w:val="RegH23G"/>
    <w:next w:val="RegH5G"/>
    <w:qFormat/>
    <w:rsid w:val="00FA1A46"/>
    <w:pPr>
      <w:numPr>
        <w:ilvl w:val="3"/>
      </w:numPr>
    </w:pPr>
  </w:style>
  <w:style w:type="paragraph" w:customStyle="1" w:styleId="RegH5G">
    <w:name w:val="Reg_H_5_G"/>
    <w:basedOn w:val="RegH4G"/>
    <w:qFormat/>
    <w:rsid w:val="00FA1A46"/>
    <w:pPr>
      <w:numPr>
        <w:ilvl w:val="4"/>
      </w:numPr>
    </w:pPr>
    <w:rPr>
      <w:b w:val="0"/>
      <w:i/>
    </w:rPr>
  </w:style>
  <w:style w:type="paragraph" w:customStyle="1" w:styleId="TableFootnote">
    <w:name w:val="TableFootnote"/>
    <w:basedOn w:val="FootnoteTable"/>
    <w:qFormat/>
    <w:rsid w:val="00FA1A46"/>
    <w:pPr>
      <w:ind w:left="1134" w:right="1134" w:firstLine="170"/>
      <w:jc w:val="left"/>
    </w:pPr>
  </w:style>
  <w:style w:type="paragraph" w:customStyle="1" w:styleId="RegSingleTxtG2">
    <w:name w:val="Reg_Single Txt_G2"/>
    <w:basedOn w:val="RegSingleTxtG"/>
    <w:qFormat/>
    <w:rsid w:val="00FA1A46"/>
    <w:pPr>
      <w:numPr>
        <w:ilvl w:val="6"/>
      </w:numPr>
      <w:tabs>
        <w:tab w:val="clear" w:pos="1702"/>
      </w:tabs>
    </w:pPr>
  </w:style>
  <w:style w:type="paragraph" w:customStyle="1" w:styleId="RegSingleTxtG3">
    <w:name w:val="Reg_Single Txt_G3"/>
    <w:basedOn w:val="RegSingleTxtG"/>
    <w:qFormat/>
    <w:rsid w:val="00FA1A46"/>
    <w:pPr>
      <w:numPr>
        <w:ilvl w:val="7"/>
      </w:numPr>
    </w:pPr>
  </w:style>
  <w:style w:type="paragraph" w:customStyle="1" w:styleId="AtxtHdgs">
    <w:name w:val="Atxt_Hdgs"/>
    <w:basedOn w:val="Normal"/>
    <w:rsid w:val="00FA1A46"/>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FA1A46"/>
    <w:rPr>
      <w:b/>
      <w:bCs/>
    </w:rPr>
  </w:style>
  <w:style w:type="paragraph" w:styleId="TOC4">
    <w:name w:val="toc 4"/>
    <w:basedOn w:val="Normal"/>
    <w:next w:val="Normal"/>
    <w:autoRedefine/>
    <w:semiHidden/>
    <w:unhideWhenUsed/>
    <w:rsid w:val="00FA1A46"/>
    <w:pPr>
      <w:ind w:left="600"/>
    </w:pPr>
  </w:style>
  <w:style w:type="paragraph" w:styleId="TOC5">
    <w:name w:val="toc 5"/>
    <w:basedOn w:val="Normal"/>
    <w:next w:val="Normal"/>
    <w:autoRedefine/>
    <w:semiHidden/>
    <w:unhideWhenUsed/>
    <w:rsid w:val="00FA1A46"/>
    <w:pPr>
      <w:ind w:left="800"/>
    </w:pPr>
  </w:style>
  <w:style w:type="paragraph" w:styleId="TOC6">
    <w:name w:val="toc 6"/>
    <w:basedOn w:val="Normal"/>
    <w:next w:val="Normal"/>
    <w:autoRedefine/>
    <w:semiHidden/>
    <w:unhideWhenUsed/>
    <w:rsid w:val="00FA1A46"/>
    <w:pPr>
      <w:ind w:left="1000"/>
    </w:pPr>
  </w:style>
  <w:style w:type="paragraph" w:styleId="TOC7">
    <w:name w:val="toc 7"/>
    <w:basedOn w:val="Normal"/>
    <w:next w:val="Normal"/>
    <w:autoRedefine/>
    <w:semiHidden/>
    <w:unhideWhenUsed/>
    <w:rsid w:val="00FA1A46"/>
    <w:pPr>
      <w:ind w:left="1200"/>
    </w:pPr>
  </w:style>
  <w:style w:type="paragraph" w:styleId="TOC8">
    <w:name w:val="toc 8"/>
    <w:basedOn w:val="Normal"/>
    <w:next w:val="Normal"/>
    <w:autoRedefine/>
    <w:semiHidden/>
    <w:unhideWhenUsed/>
    <w:rsid w:val="00FA1A46"/>
    <w:pPr>
      <w:ind w:left="1400"/>
    </w:pPr>
  </w:style>
  <w:style w:type="paragraph" w:styleId="TOC9">
    <w:name w:val="toc 9"/>
    <w:basedOn w:val="Normal"/>
    <w:next w:val="Normal"/>
    <w:autoRedefine/>
    <w:semiHidden/>
    <w:unhideWhenUsed/>
    <w:rsid w:val="00FA1A46"/>
    <w:pPr>
      <w:ind w:left="1600"/>
    </w:pPr>
  </w:style>
  <w:style w:type="paragraph" w:customStyle="1" w:styleId="FC1">
    <w:name w:val="FC1"/>
    <w:basedOn w:val="RegSingleTxtG"/>
    <w:qFormat/>
    <w:rsid w:val="00FA1A46"/>
    <w:pPr>
      <w:numPr>
        <w:ilvl w:val="0"/>
        <w:numId w:val="0"/>
      </w:numPr>
      <w:ind w:left="1134"/>
      <w:jc w:val="left"/>
    </w:pPr>
  </w:style>
  <w:style w:type="paragraph" w:customStyle="1" w:styleId="SourcesFootnote">
    <w:name w:val="SourcesFootnote"/>
    <w:basedOn w:val="TableFootnote"/>
    <w:qFormat/>
    <w:rsid w:val="00FA1A46"/>
    <w:rPr>
      <w:i/>
    </w:rPr>
  </w:style>
  <w:style w:type="paragraph" w:customStyle="1" w:styleId="FC2">
    <w:name w:val="FC2"/>
    <w:basedOn w:val="FC1"/>
    <w:qFormat/>
    <w:rsid w:val="00FA1A46"/>
    <w:pPr>
      <w:keepNext/>
    </w:pPr>
  </w:style>
  <w:style w:type="numbering" w:customStyle="1" w:styleId="FCCCBoxfootnote">
    <w:name w:val="FCCC_Box_footnote"/>
    <w:uiPriority w:val="99"/>
    <w:rsid w:val="00E50AEE"/>
    <w:pPr>
      <w:numPr>
        <w:numId w:val="1"/>
      </w:numPr>
    </w:pPr>
  </w:style>
  <w:style w:type="numbering" w:customStyle="1" w:styleId="FCCCTextboxfootnote">
    <w:name w:val="FCCC Textbox footnote"/>
    <w:uiPriority w:val="99"/>
    <w:rsid w:val="00FC386E"/>
    <w:pPr>
      <w:numPr>
        <w:numId w:val="2"/>
      </w:numPr>
    </w:pPr>
  </w:style>
  <w:style w:type="numbering" w:customStyle="1" w:styleId="FigureFootnote">
    <w:name w:val="Figure Footnote"/>
    <w:uiPriority w:val="99"/>
    <w:rsid w:val="00FE622D"/>
    <w:pPr>
      <w:numPr>
        <w:numId w:val="3"/>
      </w:numPr>
    </w:pPr>
  </w:style>
  <w:style w:type="table" w:styleId="TableGrid">
    <w:name w:val="Table Grid"/>
    <w:basedOn w:val="TableNormal"/>
    <w:rsid w:val="00384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15183D"/>
    <w:rPr>
      <w:sz w:val="16"/>
      <w:szCs w:val="16"/>
    </w:rPr>
  </w:style>
  <w:style w:type="paragraph" w:styleId="CommentText">
    <w:name w:val="annotation text"/>
    <w:basedOn w:val="Normal"/>
    <w:link w:val="CommentTextChar"/>
    <w:semiHidden/>
    <w:unhideWhenUsed/>
    <w:rsid w:val="0015183D"/>
    <w:pPr>
      <w:spacing w:line="240" w:lineRule="auto"/>
    </w:pPr>
  </w:style>
  <w:style w:type="character" w:customStyle="1" w:styleId="CommentTextChar">
    <w:name w:val="Comment Text Char"/>
    <w:basedOn w:val="DefaultParagraphFont"/>
    <w:link w:val="CommentText"/>
    <w:semiHidden/>
    <w:rsid w:val="0015183D"/>
    <w:rPr>
      <w:rFonts w:eastAsia="SimSun"/>
      <w:lang w:val="en-GB" w:eastAsia="zh-CN"/>
    </w:rPr>
  </w:style>
  <w:style w:type="paragraph" w:customStyle="1" w:styleId="paragraph">
    <w:name w:val="paragraph"/>
    <w:basedOn w:val="Normal"/>
    <w:rsid w:val="001B0963"/>
    <w:pPr>
      <w:suppressAutoHyphens w:val="0"/>
      <w:spacing w:line="240" w:lineRule="auto"/>
    </w:pPr>
    <w:rPr>
      <w:rFonts w:eastAsia="Times New Roman"/>
      <w:sz w:val="24"/>
      <w:szCs w:val="24"/>
      <w:lang w:val="en-US" w:eastAsia="en-US"/>
    </w:rPr>
  </w:style>
  <w:style w:type="character" w:customStyle="1" w:styleId="normaltextrun1">
    <w:name w:val="normaltextrun1"/>
    <w:basedOn w:val="DefaultParagraphFont"/>
    <w:rsid w:val="001B0963"/>
  </w:style>
  <w:style w:type="character" w:customStyle="1" w:styleId="eop">
    <w:name w:val="eop"/>
    <w:basedOn w:val="DefaultParagraphFont"/>
    <w:rsid w:val="001B0963"/>
  </w:style>
  <w:style w:type="character" w:customStyle="1" w:styleId="superscript">
    <w:name w:val="superscript"/>
    <w:basedOn w:val="DefaultParagraphFont"/>
    <w:rsid w:val="00AD2427"/>
  </w:style>
  <w:style w:type="character" w:customStyle="1" w:styleId="pagebreaktextspan2">
    <w:name w:val="pagebreaktextspan2"/>
    <w:basedOn w:val="DefaultParagraphFont"/>
    <w:rsid w:val="00AD2427"/>
    <w:rPr>
      <w:shd w:val="clear" w:color="auto" w:fill="FFFFFF"/>
    </w:rPr>
  </w:style>
  <w:style w:type="character" w:customStyle="1" w:styleId="spellingerrorsuperscript">
    <w:name w:val="spellingerrorsuperscript"/>
    <w:basedOn w:val="DefaultParagraphFont"/>
    <w:rsid w:val="00AD2427"/>
  </w:style>
  <w:style w:type="character" w:styleId="Hyperlink">
    <w:name w:val="Hyperlink"/>
    <w:basedOn w:val="DefaultParagraphFont"/>
    <w:unhideWhenUsed/>
    <w:rsid w:val="0056647E"/>
    <w:rPr>
      <w:color w:val="0000FF" w:themeColor="hyperlink"/>
      <w:u w:val="single"/>
    </w:rPr>
  </w:style>
  <w:style w:type="character" w:customStyle="1" w:styleId="FootnoteTextChar">
    <w:name w:val="Footnote Text Char"/>
    <w:aliases w:val="5_G Char,Geneva 9 Char,Font: Geneva 9 Char,Boston 10 Char,f Char,fn Char,footnote text Char,Footnotes Char,Footnote ak Char,Char Char,Char Char Char Char Char,Default Paragraph Font Char Char Char,Footno Char,single space Char"/>
    <w:basedOn w:val="DefaultParagraphFont"/>
    <w:link w:val="FootnoteText"/>
    <w:uiPriority w:val="99"/>
    <w:locked/>
    <w:rsid w:val="0056647E"/>
    <w:rPr>
      <w:rFonts w:eastAsia="SimSun"/>
      <w:sz w:val="18"/>
      <w:lang w:val="en-GB" w:eastAsia="zh-CN"/>
    </w:rPr>
  </w:style>
  <w:style w:type="character" w:customStyle="1" w:styleId="RegSingleTxtGChar">
    <w:name w:val="Reg_Single Txt_G Char"/>
    <w:link w:val="RegSingleTxtG"/>
    <w:locked/>
    <w:rsid w:val="0056647E"/>
    <w:rPr>
      <w:rFonts w:eastAsia="SimSun"/>
      <w:lang w:val="en-GB" w:eastAsia="zh-CN"/>
    </w:rPr>
  </w:style>
  <w:style w:type="character" w:customStyle="1" w:styleId="Heading1Char">
    <w:name w:val="Heading 1 Char"/>
    <w:aliases w:val="Table_G Char1"/>
    <w:basedOn w:val="DefaultParagraphFont"/>
    <w:link w:val="Heading1"/>
    <w:rsid w:val="00BA605A"/>
    <w:rPr>
      <w:rFonts w:eastAsia="SimSun"/>
      <w:lang w:val="en-GB" w:eastAsia="zh-CN"/>
    </w:rPr>
  </w:style>
  <w:style w:type="character" w:styleId="FollowedHyperlink">
    <w:name w:val="FollowedHyperlink"/>
    <w:basedOn w:val="DefaultParagraphFont"/>
    <w:semiHidden/>
    <w:unhideWhenUsed/>
    <w:rsid w:val="00BA605A"/>
    <w:rPr>
      <w:color w:val="800080" w:themeColor="followedHyperlink"/>
      <w:u w:val="single"/>
    </w:rPr>
  </w:style>
  <w:style w:type="character" w:customStyle="1" w:styleId="Heading1Char1">
    <w:name w:val="Heading 1 Char1"/>
    <w:aliases w:val="Table_G Char"/>
    <w:basedOn w:val="DefaultParagraphFont"/>
    <w:rsid w:val="00BA605A"/>
    <w:rPr>
      <w:rFonts w:asciiTheme="majorHAnsi" w:eastAsiaTheme="majorEastAsia" w:hAnsiTheme="majorHAnsi" w:cstheme="majorBidi"/>
      <w:color w:val="365F91" w:themeColor="accent1" w:themeShade="BF"/>
      <w:sz w:val="32"/>
      <w:szCs w:val="32"/>
      <w:lang w:val="en-GB" w:eastAsia="zh-CN"/>
    </w:rPr>
  </w:style>
  <w:style w:type="paragraph" w:customStyle="1" w:styleId="msonormal0">
    <w:name w:val="msonormal"/>
    <w:basedOn w:val="Normal"/>
    <w:rsid w:val="00BA605A"/>
    <w:pPr>
      <w:suppressAutoHyphens w:val="0"/>
      <w:spacing w:before="100" w:beforeAutospacing="1" w:after="100" w:afterAutospacing="1" w:line="240" w:lineRule="auto"/>
    </w:pPr>
    <w:rPr>
      <w:rFonts w:eastAsia="Times New Roman"/>
      <w:sz w:val="24"/>
      <w:szCs w:val="24"/>
      <w:lang w:val="en-US" w:eastAsia="en-US"/>
    </w:rPr>
  </w:style>
  <w:style w:type="character" w:customStyle="1" w:styleId="FootnoteTextChar1">
    <w:name w:val="Footnote Text Char1"/>
    <w:aliases w:val="5_G Char1,Geneva 9 Char1,Font: Geneva 9 Char1,Boston 10 Char1,f Char1,fn Char1,footnote text Char1,Footnotes Char1,Footnote ak Char1,Char Char1,Char Char Char Char Char1,Default Paragraph Font Char Char Char1,Footno Char1"/>
    <w:basedOn w:val="DefaultParagraphFont"/>
    <w:semiHidden/>
    <w:rsid w:val="00BA605A"/>
    <w:rPr>
      <w:rFonts w:eastAsia="SimSun"/>
      <w:lang w:val="en-GB" w:eastAsia="zh-CN"/>
    </w:rPr>
  </w:style>
  <w:style w:type="character" w:customStyle="1" w:styleId="HeaderChar">
    <w:name w:val="Header Char"/>
    <w:aliases w:val="6_G Char"/>
    <w:basedOn w:val="DefaultParagraphFont"/>
    <w:link w:val="Header"/>
    <w:locked/>
    <w:rsid w:val="00BA605A"/>
    <w:rPr>
      <w:rFonts w:eastAsia="SimSun"/>
      <w:b/>
      <w:sz w:val="18"/>
      <w:lang w:val="en-GB" w:eastAsia="zh-CN"/>
    </w:rPr>
  </w:style>
  <w:style w:type="character" w:customStyle="1" w:styleId="HeaderChar1">
    <w:name w:val="Header Char1"/>
    <w:aliases w:val="6_G Char1"/>
    <w:basedOn w:val="DefaultParagraphFont"/>
    <w:semiHidden/>
    <w:rsid w:val="00BA605A"/>
    <w:rPr>
      <w:rFonts w:eastAsia="SimSun"/>
      <w:lang w:val="en-GB" w:eastAsia="zh-CN"/>
    </w:rPr>
  </w:style>
  <w:style w:type="character" w:customStyle="1" w:styleId="FooterChar">
    <w:name w:val="Footer Char"/>
    <w:aliases w:val="3_G Char"/>
    <w:basedOn w:val="DefaultParagraphFont"/>
    <w:link w:val="Footer"/>
    <w:locked/>
    <w:rsid w:val="00BA605A"/>
    <w:rPr>
      <w:rFonts w:eastAsia="SimSun"/>
      <w:sz w:val="16"/>
      <w:lang w:val="en-GB" w:eastAsia="zh-CN"/>
    </w:rPr>
  </w:style>
  <w:style w:type="character" w:customStyle="1" w:styleId="FooterChar1">
    <w:name w:val="Footer Char1"/>
    <w:aliases w:val="3_G Char1"/>
    <w:basedOn w:val="DefaultParagraphFont"/>
    <w:semiHidden/>
    <w:rsid w:val="00BA605A"/>
    <w:rPr>
      <w:rFonts w:eastAsia="SimSun"/>
      <w:lang w:val="en-GB" w:eastAsia="zh-CN"/>
    </w:rPr>
  </w:style>
  <w:style w:type="character" w:customStyle="1" w:styleId="EndnoteTextChar">
    <w:name w:val="Endnote Text Char"/>
    <w:aliases w:val="2_G Char"/>
    <w:basedOn w:val="DefaultParagraphFont"/>
    <w:link w:val="EndnoteText"/>
    <w:locked/>
    <w:rsid w:val="00BA605A"/>
    <w:rPr>
      <w:rFonts w:eastAsia="SimSun"/>
      <w:sz w:val="18"/>
      <w:lang w:val="en-GB" w:eastAsia="zh-CN"/>
    </w:rPr>
  </w:style>
  <w:style w:type="character" w:customStyle="1" w:styleId="EndnoteTextChar1">
    <w:name w:val="Endnote Text Char1"/>
    <w:aliases w:val="2_G Char1"/>
    <w:basedOn w:val="DefaultParagraphFont"/>
    <w:semiHidden/>
    <w:rsid w:val="00BA605A"/>
    <w:rPr>
      <w:rFonts w:eastAsia="SimSun"/>
      <w:lang w:val="en-GB" w:eastAsia="zh-CN"/>
    </w:rPr>
  </w:style>
  <w:style w:type="paragraph" w:styleId="CommentSubject">
    <w:name w:val="annotation subject"/>
    <w:basedOn w:val="CommentText"/>
    <w:next w:val="CommentText"/>
    <w:link w:val="CommentSubjectChar"/>
    <w:semiHidden/>
    <w:unhideWhenUsed/>
    <w:rsid w:val="00BA605A"/>
    <w:rPr>
      <w:b/>
      <w:bCs/>
    </w:rPr>
  </w:style>
  <w:style w:type="character" w:customStyle="1" w:styleId="CommentSubjectChar">
    <w:name w:val="Comment Subject Char"/>
    <w:basedOn w:val="CommentTextChar"/>
    <w:link w:val="CommentSubject"/>
    <w:semiHidden/>
    <w:rsid w:val="00BA605A"/>
    <w:rPr>
      <w:rFonts w:eastAsia="SimSun"/>
      <w:b/>
      <w:bCs/>
      <w:lang w:val="en-GB" w:eastAsia="zh-CN"/>
    </w:rPr>
  </w:style>
  <w:style w:type="paragraph" w:styleId="Revision">
    <w:name w:val="Revision"/>
    <w:uiPriority w:val="99"/>
    <w:semiHidden/>
    <w:rsid w:val="00BA605A"/>
    <w:rPr>
      <w:rFonts w:eastAsia="SimSun"/>
      <w:lang w:val="en-GB" w:eastAsia="zh-CN"/>
    </w:rPr>
  </w:style>
  <w:style w:type="character" w:customStyle="1" w:styleId="HChGChar">
    <w:name w:val="_ H _Ch_G Char"/>
    <w:link w:val="HChG"/>
    <w:locked/>
    <w:rsid w:val="00BA605A"/>
    <w:rPr>
      <w:rFonts w:eastAsia="SimSun"/>
      <w:b/>
      <w:sz w:val="28"/>
      <w:lang w:val="en-GB" w:eastAsia="zh-CN"/>
    </w:rPr>
  </w:style>
  <w:style w:type="paragraph" w:customStyle="1" w:styleId="BVIfnrChar">
    <w:name w:val="BVI fnr Char"/>
    <w:aliases w:val="BVI fnr Car Car Char,BVI fnr Car Char,BVI fnr Car Car Car Car Char Char,BVI fnr Car Car Car Car Char,BVI fnr Car Car Car Char,BVI fnr Car Car Car Car Car Char, BVI fnr Car Car Char, BVI fnr Car Car Car Car Char Char, BVI fnr Car Char"/>
    <w:basedOn w:val="Normal"/>
    <w:link w:val="FootnoteReference"/>
    <w:rsid w:val="00F002B9"/>
    <w:pPr>
      <w:suppressAutoHyphens w:val="0"/>
      <w:spacing w:after="160" w:line="240" w:lineRule="exact"/>
    </w:pPr>
    <w:rPr>
      <w:rFonts w:eastAsia="Times New Roman"/>
      <w:sz w:val="18"/>
      <w:vertAlign w:val="superscript"/>
      <w:lang w:val="en-US" w:eastAsia="en-US"/>
    </w:rPr>
  </w:style>
  <w:style w:type="character" w:styleId="UnresolvedMention">
    <w:name w:val="Unresolved Mention"/>
    <w:basedOn w:val="DefaultParagraphFont"/>
    <w:uiPriority w:val="99"/>
    <w:semiHidden/>
    <w:unhideWhenUsed/>
    <w:rsid w:val="004540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4268">
      <w:bodyDiv w:val="1"/>
      <w:marLeft w:val="0"/>
      <w:marRight w:val="0"/>
      <w:marTop w:val="0"/>
      <w:marBottom w:val="0"/>
      <w:divBdr>
        <w:top w:val="none" w:sz="0" w:space="0" w:color="auto"/>
        <w:left w:val="none" w:sz="0" w:space="0" w:color="auto"/>
        <w:bottom w:val="none" w:sz="0" w:space="0" w:color="auto"/>
        <w:right w:val="none" w:sz="0" w:space="0" w:color="auto"/>
      </w:divBdr>
    </w:div>
    <w:div w:id="420807344">
      <w:bodyDiv w:val="1"/>
      <w:marLeft w:val="0"/>
      <w:marRight w:val="0"/>
      <w:marTop w:val="0"/>
      <w:marBottom w:val="0"/>
      <w:divBdr>
        <w:top w:val="none" w:sz="0" w:space="0" w:color="auto"/>
        <w:left w:val="none" w:sz="0" w:space="0" w:color="auto"/>
        <w:bottom w:val="none" w:sz="0" w:space="0" w:color="auto"/>
        <w:right w:val="none" w:sz="0" w:space="0" w:color="auto"/>
      </w:divBdr>
    </w:div>
    <w:div w:id="426729389">
      <w:bodyDiv w:val="1"/>
      <w:marLeft w:val="0"/>
      <w:marRight w:val="0"/>
      <w:marTop w:val="0"/>
      <w:marBottom w:val="0"/>
      <w:divBdr>
        <w:top w:val="none" w:sz="0" w:space="0" w:color="auto"/>
        <w:left w:val="none" w:sz="0" w:space="0" w:color="auto"/>
        <w:bottom w:val="none" w:sz="0" w:space="0" w:color="auto"/>
        <w:right w:val="none" w:sz="0" w:space="0" w:color="auto"/>
      </w:divBdr>
      <w:divsChild>
        <w:div w:id="397943120">
          <w:marLeft w:val="0"/>
          <w:marRight w:val="0"/>
          <w:marTop w:val="0"/>
          <w:marBottom w:val="0"/>
          <w:divBdr>
            <w:top w:val="none" w:sz="0" w:space="0" w:color="auto"/>
            <w:left w:val="none" w:sz="0" w:space="0" w:color="auto"/>
            <w:bottom w:val="none" w:sz="0" w:space="0" w:color="auto"/>
            <w:right w:val="none" w:sz="0" w:space="0" w:color="auto"/>
          </w:divBdr>
          <w:divsChild>
            <w:div w:id="1855264180">
              <w:marLeft w:val="0"/>
              <w:marRight w:val="0"/>
              <w:marTop w:val="0"/>
              <w:marBottom w:val="0"/>
              <w:divBdr>
                <w:top w:val="none" w:sz="0" w:space="0" w:color="auto"/>
                <w:left w:val="none" w:sz="0" w:space="0" w:color="auto"/>
                <w:bottom w:val="none" w:sz="0" w:space="0" w:color="auto"/>
                <w:right w:val="none" w:sz="0" w:space="0" w:color="auto"/>
              </w:divBdr>
              <w:divsChild>
                <w:div w:id="201553671">
                  <w:marLeft w:val="0"/>
                  <w:marRight w:val="0"/>
                  <w:marTop w:val="0"/>
                  <w:marBottom w:val="0"/>
                  <w:divBdr>
                    <w:top w:val="none" w:sz="0" w:space="0" w:color="auto"/>
                    <w:left w:val="none" w:sz="0" w:space="0" w:color="auto"/>
                    <w:bottom w:val="none" w:sz="0" w:space="0" w:color="auto"/>
                    <w:right w:val="none" w:sz="0" w:space="0" w:color="auto"/>
                  </w:divBdr>
                  <w:divsChild>
                    <w:div w:id="55714445">
                      <w:marLeft w:val="0"/>
                      <w:marRight w:val="0"/>
                      <w:marTop w:val="0"/>
                      <w:marBottom w:val="0"/>
                      <w:divBdr>
                        <w:top w:val="none" w:sz="0" w:space="0" w:color="auto"/>
                        <w:left w:val="none" w:sz="0" w:space="0" w:color="auto"/>
                        <w:bottom w:val="none" w:sz="0" w:space="0" w:color="auto"/>
                        <w:right w:val="none" w:sz="0" w:space="0" w:color="auto"/>
                      </w:divBdr>
                      <w:divsChild>
                        <w:div w:id="200559234">
                          <w:marLeft w:val="0"/>
                          <w:marRight w:val="0"/>
                          <w:marTop w:val="0"/>
                          <w:marBottom w:val="0"/>
                          <w:divBdr>
                            <w:top w:val="none" w:sz="0" w:space="0" w:color="auto"/>
                            <w:left w:val="none" w:sz="0" w:space="0" w:color="auto"/>
                            <w:bottom w:val="none" w:sz="0" w:space="0" w:color="auto"/>
                            <w:right w:val="none" w:sz="0" w:space="0" w:color="auto"/>
                          </w:divBdr>
                          <w:divsChild>
                            <w:div w:id="1407799489">
                              <w:marLeft w:val="0"/>
                              <w:marRight w:val="0"/>
                              <w:marTop w:val="0"/>
                              <w:marBottom w:val="0"/>
                              <w:divBdr>
                                <w:top w:val="none" w:sz="0" w:space="0" w:color="auto"/>
                                <w:left w:val="none" w:sz="0" w:space="0" w:color="auto"/>
                                <w:bottom w:val="none" w:sz="0" w:space="0" w:color="auto"/>
                                <w:right w:val="none" w:sz="0" w:space="0" w:color="auto"/>
                              </w:divBdr>
                              <w:divsChild>
                                <w:div w:id="1428231575">
                                  <w:marLeft w:val="0"/>
                                  <w:marRight w:val="0"/>
                                  <w:marTop w:val="0"/>
                                  <w:marBottom w:val="0"/>
                                  <w:divBdr>
                                    <w:top w:val="none" w:sz="0" w:space="0" w:color="auto"/>
                                    <w:left w:val="none" w:sz="0" w:space="0" w:color="auto"/>
                                    <w:bottom w:val="none" w:sz="0" w:space="0" w:color="auto"/>
                                    <w:right w:val="none" w:sz="0" w:space="0" w:color="auto"/>
                                  </w:divBdr>
                                  <w:divsChild>
                                    <w:div w:id="2146386811">
                                      <w:marLeft w:val="0"/>
                                      <w:marRight w:val="0"/>
                                      <w:marTop w:val="0"/>
                                      <w:marBottom w:val="0"/>
                                      <w:divBdr>
                                        <w:top w:val="none" w:sz="0" w:space="0" w:color="auto"/>
                                        <w:left w:val="none" w:sz="0" w:space="0" w:color="auto"/>
                                        <w:bottom w:val="none" w:sz="0" w:space="0" w:color="auto"/>
                                        <w:right w:val="none" w:sz="0" w:space="0" w:color="auto"/>
                                      </w:divBdr>
                                      <w:divsChild>
                                        <w:div w:id="235750101">
                                          <w:marLeft w:val="0"/>
                                          <w:marRight w:val="0"/>
                                          <w:marTop w:val="0"/>
                                          <w:marBottom w:val="0"/>
                                          <w:divBdr>
                                            <w:top w:val="none" w:sz="0" w:space="0" w:color="auto"/>
                                            <w:left w:val="none" w:sz="0" w:space="0" w:color="auto"/>
                                            <w:bottom w:val="none" w:sz="0" w:space="0" w:color="auto"/>
                                            <w:right w:val="none" w:sz="0" w:space="0" w:color="auto"/>
                                          </w:divBdr>
                                          <w:divsChild>
                                            <w:div w:id="844175292">
                                              <w:marLeft w:val="0"/>
                                              <w:marRight w:val="0"/>
                                              <w:marTop w:val="0"/>
                                              <w:marBottom w:val="0"/>
                                              <w:divBdr>
                                                <w:top w:val="none" w:sz="0" w:space="0" w:color="auto"/>
                                                <w:left w:val="none" w:sz="0" w:space="0" w:color="auto"/>
                                                <w:bottom w:val="none" w:sz="0" w:space="0" w:color="auto"/>
                                                <w:right w:val="none" w:sz="0" w:space="0" w:color="auto"/>
                                              </w:divBdr>
                                              <w:divsChild>
                                                <w:div w:id="260652881">
                                                  <w:marLeft w:val="0"/>
                                                  <w:marRight w:val="0"/>
                                                  <w:marTop w:val="0"/>
                                                  <w:marBottom w:val="420"/>
                                                  <w:divBdr>
                                                    <w:top w:val="none" w:sz="0" w:space="0" w:color="auto"/>
                                                    <w:left w:val="none" w:sz="0" w:space="0" w:color="auto"/>
                                                    <w:bottom w:val="none" w:sz="0" w:space="0" w:color="auto"/>
                                                    <w:right w:val="none" w:sz="0" w:space="0" w:color="auto"/>
                                                  </w:divBdr>
                                                  <w:divsChild>
                                                    <w:div w:id="1472484802">
                                                      <w:marLeft w:val="0"/>
                                                      <w:marRight w:val="0"/>
                                                      <w:marTop w:val="0"/>
                                                      <w:marBottom w:val="0"/>
                                                      <w:divBdr>
                                                        <w:top w:val="none" w:sz="0" w:space="0" w:color="auto"/>
                                                        <w:left w:val="none" w:sz="0" w:space="0" w:color="auto"/>
                                                        <w:bottom w:val="none" w:sz="0" w:space="0" w:color="auto"/>
                                                        <w:right w:val="none" w:sz="0" w:space="0" w:color="auto"/>
                                                      </w:divBdr>
                                                      <w:divsChild>
                                                        <w:div w:id="448813782">
                                                          <w:marLeft w:val="0"/>
                                                          <w:marRight w:val="0"/>
                                                          <w:marTop w:val="0"/>
                                                          <w:marBottom w:val="0"/>
                                                          <w:divBdr>
                                                            <w:top w:val="single" w:sz="6" w:space="0" w:color="ABABAB"/>
                                                            <w:left w:val="single" w:sz="6" w:space="0" w:color="ABABAB"/>
                                                            <w:bottom w:val="single" w:sz="6" w:space="0" w:color="ABABAB"/>
                                                            <w:right w:val="single" w:sz="6" w:space="0" w:color="ABABAB"/>
                                                          </w:divBdr>
                                                          <w:divsChild>
                                                            <w:div w:id="2088111396">
                                                              <w:marLeft w:val="0"/>
                                                              <w:marRight w:val="0"/>
                                                              <w:marTop w:val="0"/>
                                                              <w:marBottom w:val="0"/>
                                                              <w:divBdr>
                                                                <w:top w:val="none" w:sz="0" w:space="0" w:color="auto"/>
                                                                <w:left w:val="none" w:sz="0" w:space="0" w:color="auto"/>
                                                                <w:bottom w:val="none" w:sz="0" w:space="0" w:color="auto"/>
                                                                <w:right w:val="none" w:sz="0" w:space="0" w:color="auto"/>
                                                              </w:divBdr>
                                                              <w:divsChild>
                                                                <w:div w:id="1812672492">
                                                                  <w:marLeft w:val="0"/>
                                                                  <w:marRight w:val="0"/>
                                                                  <w:marTop w:val="0"/>
                                                                  <w:marBottom w:val="0"/>
                                                                  <w:divBdr>
                                                                    <w:top w:val="none" w:sz="0" w:space="0" w:color="auto"/>
                                                                    <w:left w:val="none" w:sz="0" w:space="0" w:color="auto"/>
                                                                    <w:bottom w:val="none" w:sz="0" w:space="0" w:color="auto"/>
                                                                    <w:right w:val="none" w:sz="0" w:space="0" w:color="auto"/>
                                                                  </w:divBdr>
                                                                  <w:divsChild>
                                                                    <w:div w:id="2070377406">
                                                                      <w:marLeft w:val="0"/>
                                                                      <w:marRight w:val="0"/>
                                                                      <w:marTop w:val="0"/>
                                                                      <w:marBottom w:val="0"/>
                                                                      <w:divBdr>
                                                                        <w:top w:val="none" w:sz="0" w:space="0" w:color="auto"/>
                                                                        <w:left w:val="none" w:sz="0" w:space="0" w:color="auto"/>
                                                                        <w:bottom w:val="none" w:sz="0" w:space="0" w:color="auto"/>
                                                                        <w:right w:val="none" w:sz="0" w:space="0" w:color="auto"/>
                                                                      </w:divBdr>
                                                                      <w:divsChild>
                                                                        <w:div w:id="1919167394">
                                                                          <w:marLeft w:val="0"/>
                                                                          <w:marRight w:val="0"/>
                                                                          <w:marTop w:val="0"/>
                                                                          <w:marBottom w:val="0"/>
                                                                          <w:divBdr>
                                                                            <w:top w:val="none" w:sz="0" w:space="0" w:color="auto"/>
                                                                            <w:left w:val="none" w:sz="0" w:space="0" w:color="auto"/>
                                                                            <w:bottom w:val="none" w:sz="0" w:space="0" w:color="auto"/>
                                                                            <w:right w:val="none" w:sz="0" w:space="0" w:color="auto"/>
                                                                          </w:divBdr>
                                                                          <w:divsChild>
                                                                            <w:div w:id="863135491">
                                                                              <w:marLeft w:val="0"/>
                                                                              <w:marRight w:val="0"/>
                                                                              <w:marTop w:val="0"/>
                                                                              <w:marBottom w:val="0"/>
                                                                              <w:divBdr>
                                                                                <w:top w:val="none" w:sz="0" w:space="0" w:color="auto"/>
                                                                                <w:left w:val="none" w:sz="0" w:space="0" w:color="auto"/>
                                                                                <w:bottom w:val="none" w:sz="0" w:space="0" w:color="auto"/>
                                                                                <w:right w:val="none" w:sz="0" w:space="0" w:color="auto"/>
                                                                              </w:divBdr>
                                                                              <w:divsChild>
                                                                                <w:div w:id="814955806">
                                                                                  <w:marLeft w:val="0"/>
                                                                                  <w:marRight w:val="0"/>
                                                                                  <w:marTop w:val="0"/>
                                                                                  <w:marBottom w:val="0"/>
                                                                                  <w:divBdr>
                                                                                    <w:top w:val="none" w:sz="0" w:space="0" w:color="auto"/>
                                                                                    <w:left w:val="none" w:sz="0" w:space="0" w:color="auto"/>
                                                                                    <w:bottom w:val="none" w:sz="0" w:space="0" w:color="auto"/>
                                                                                    <w:right w:val="none" w:sz="0" w:space="0" w:color="auto"/>
                                                                                  </w:divBdr>
                                                                                  <w:divsChild>
                                                                                    <w:div w:id="197816743">
                                                                                      <w:marLeft w:val="0"/>
                                                                                      <w:marRight w:val="0"/>
                                                                                      <w:marTop w:val="0"/>
                                                                                      <w:marBottom w:val="0"/>
                                                                                      <w:divBdr>
                                                                                        <w:top w:val="none" w:sz="0" w:space="0" w:color="auto"/>
                                                                                        <w:left w:val="none" w:sz="0" w:space="0" w:color="auto"/>
                                                                                        <w:bottom w:val="none" w:sz="0" w:space="0" w:color="auto"/>
                                                                                        <w:right w:val="none" w:sz="0" w:space="0" w:color="auto"/>
                                                                                      </w:divBdr>
                                                                                    </w:div>
                                                                                    <w:div w:id="202258666">
                                                                                      <w:marLeft w:val="0"/>
                                                                                      <w:marRight w:val="0"/>
                                                                                      <w:marTop w:val="0"/>
                                                                                      <w:marBottom w:val="0"/>
                                                                                      <w:divBdr>
                                                                                        <w:top w:val="none" w:sz="0" w:space="0" w:color="auto"/>
                                                                                        <w:left w:val="none" w:sz="0" w:space="0" w:color="auto"/>
                                                                                        <w:bottom w:val="none" w:sz="0" w:space="0" w:color="auto"/>
                                                                                        <w:right w:val="none" w:sz="0" w:space="0" w:color="auto"/>
                                                                                      </w:divBdr>
                                                                                    </w:div>
                                                                                    <w:div w:id="255745906">
                                                                                      <w:marLeft w:val="0"/>
                                                                                      <w:marRight w:val="0"/>
                                                                                      <w:marTop w:val="0"/>
                                                                                      <w:marBottom w:val="0"/>
                                                                                      <w:divBdr>
                                                                                        <w:top w:val="none" w:sz="0" w:space="0" w:color="auto"/>
                                                                                        <w:left w:val="none" w:sz="0" w:space="0" w:color="auto"/>
                                                                                        <w:bottom w:val="none" w:sz="0" w:space="0" w:color="auto"/>
                                                                                        <w:right w:val="none" w:sz="0" w:space="0" w:color="auto"/>
                                                                                      </w:divBdr>
                                                                                    </w:div>
                                                                                    <w:div w:id="310254640">
                                                                                      <w:marLeft w:val="0"/>
                                                                                      <w:marRight w:val="0"/>
                                                                                      <w:marTop w:val="0"/>
                                                                                      <w:marBottom w:val="0"/>
                                                                                      <w:divBdr>
                                                                                        <w:top w:val="none" w:sz="0" w:space="0" w:color="auto"/>
                                                                                        <w:left w:val="none" w:sz="0" w:space="0" w:color="auto"/>
                                                                                        <w:bottom w:val="none" w:sz="0" w:space="0" w:color="auto"/>
                                                                                        <w:right w:val="none" w:sz="0" w:space="0" w:color="auto"/>
                                                                                      </w:divBdr>
                                                                                      <w:divsChild>
                                                                                        <w:div w:id="131101346">
                                                                                          <w:marLeft w:val="0"/>
                                                                                          <w:marRight w:val="0"/>
                                                                                          <w:marTop w:val="0"/>
                                                                                          <w:marBottom w:val="0"/>
                                                                                          <w:divBdr>
                                                                                            <w:top w:val="none" w:sz="0" w:space="0" w:color="auto"/>
                                                                                            <w:left w:val="none" w:sz="0" w:space="0" w:color="auto"/>
                                                                                            <w:bottom w:val="none" w:sz="0" w:space="0" w:color="auto"/>
                                                                                            <w:right w:val="none" w:sz="0" w:space="0" w:color="auto"/>
                                                                                          </w:divBdr>
                                                                                        </w:div>
                                                                                        <w:div w:id="852381829">
                                                                                          <w:marLeft w:val="0"/>
                                                                                          <w:marRight w:val="0"/>
                                                                                          <w:marTop w:val="0"/>
                                                                                          <w:marBottom w:val="0"/>
                                                                                          <w:divBdr>
                                                                                            <w:top w:val="none" w:sz="0" w:space="0" w:color="auto"/>
                                                                                            <w:left w:val="none" w:sz="0" w:space="0" w:color="auto"/>
                                                                                            <w:bottom w:val="none" w:sz="0" w:space="0" w:color="auto"/>
                                                                                            <w:right w:val="none" w:sz="0" w:space="0" w:color="auto"/>
                                                                                          </w:divBdr>
                                                                                        </w:div>
                                                                                        <w:div w:id="1182816394">
                                                                                          <w:marLeft w:val="0"/>
                                                                                          <w:marRight w:val="0"/>
                                                                                          <w:marTop w:val="0"/>
                                                                                          <w:marBottom w:val="0"/>
                                                                                          <w:divBdr>
                                                                                            <w:top w:val="none" w:sz="0" w:space="0" w:color="auto"/>
                                                                                            <w:left w:val="none" w:sz="0" w:space="0" w:color="auto"/>
                                                                                            <w:bottom w:val="none" w:sz="0" w:space="0" w:color="auto"/>
                                                                                            <w:right w:val="none" w:sz="0" w:space="0" w:color="auto"/>
                                                                                          </w:divBdr>
                                                                                        </w:div>
                                                                                        <w:div w:id="1627152085">
                                                                                          <w:marLeft w:val="0"/>
                                                                                          <w:marRight w:val="0"/>
                                                                                          <w:marTop w:val="0"/>
                                                                                          <w:marBottom w:val="0"/>
                                                                                          <w:divBdr>
                                                                                            <w:top w:val="none" w:sz="0" w:space="0" w:color="auto"/>
                                                                                            <w:left w:val="none" w:sz="0" w:space="0" w:color="auto"/>
                                                                                            <w:bottom w:val="none" w:sz="0" w:space="0" w:color="auto"/>
                                                                                            <w:right w:val="none" w:sz="0" w:space="0" w:color="auto"/>
                                                                                          </w:divBdr>
                                                                                        </w:div>
                                                                                        <w:div w:id="1863712992">
                                                                                          <w:marLeft w:val="0"/>
                                                                                          <w:marRight w:val="0"/>
                                                                                          <w:marTop w:val="0"/>
                                                                                          <w:marBottom w:val="0"/>
                                                                                          <w:divBdr>
                                                                                            <w:top w:val="none" w:sz="0" w:space="0" w:color="auto"/>
                                                                                            <w:left w:val="none" w:sz="0" w:space="0" w:color="auto"/>
                                                                                            <w:bottom w:val="none" w:sz="0" w:space="0" w:color="auto"/>
                                                                                            <w:right w:val="none" w:sz="0" w:space="0" w:color="auto"/>
                                                                                          </w:divBdr>
                                                                                        </w:div>
                                                                                      </w:divsChild>
                                                                                    </w:div>
                                                                                    <w:div w:id="765078781">
                                                                                      <w:marLeft w:val="0"/>
                                                                                      <w:marRight w:val="0"/>
                                                                                      <w:marTop w:val="0"/>
                                                                                      <w:marBottom w:val="0"/>
                                                                                      <w:divBdr>
                                                                                        <w:top w:val="none" w:sz="0" w:space="0" w:color="auto"/>
                                                                                        <w:left w:val="none" w:sz="0" w:space="0" w:color="auto"/>
                                                                                        <w:bottom w:val="none" w:sz="0" w:space="0" w:color="auto"/>
                                                                                        <w:right w:val="none" w:sz="0" w:space="0" w:color="auto"/>
                                                                                      </w:divBdr>
                                                                                    </w:div>
                                                                                    <w:div w:id="786043824">
                                                                                      <w:marLeft w:val="0"/>
                                                                                      <w:marRight w:val="0"/>
                                                                                      <w:marTop w:val="0"/>
                                                                                      <w:marBottom w:val="0"/>
                                                                                      <w:divBdr>
                                                                                        <w:top w:val="none" w:sz="0" w:space="0" w:color="auto"/>
                                                                                        <w:left w:val="none" w:sz="0" w:space="0" w:color="auto"/>
                                                                                        <w:bottom w:val="none" w:sz="0" w:space="0" w:color="auto"/>
                                                                                        <w:right w:val="none" w:sz="0" w:space="0" w:color="auto"/>
                                                                                      </w:divBdr>
                                                                                      <w:divsChild>
                                                                                        <w:div w:id="462963731">
                                                                                          <w:marLeft w:val="0"/>
                                                                                          <w:marRight w:val="0"/>
                                                                                          <w:marTop w:val="0"/>
                                                                                          <w:marBottom w:val="0"/>
                                                                                          <w:divBdr>
                                                                                            <w:top w:val="none" w:sz="0" w:space="0" w:color="auto"/>
                                                                                            <w:left w:val="none" w:sz="0" w:space="0" w:color="auto"/>
                                                                                            <w:bottom w:val="none" w:sz="0" w:space="0" w:color="auto"/>
                                                                                            <w:right w:val="none" w:sz="0" w:space="0" w:color="auto"/>
                                                                                          </w:divBdr>
                                                                                        </w:div>
                                                                                        <w:div w:id="583029810">
                                                                                          <w:marLeft w:val="0"/>
                                                                                          <w:marRight w:val="0"/>
                                                                                          <w:marTop w:val="0"/>
                                                                                          <w:marBottom w:val="0"/>
                                                                                          <w:divBdr>
                                                                                            <w:top w:val="none" w:sz="0" w:space="0" w:color="auto"/>
                                                                                            <w:left w:val="none" w:sz="0" w:space="0" w:color="auto"/>
                                                                                            <w:bottom w:val="none" w:sz="0" w:space="0" w:color="auto"/>
                                                                                            <w:right w:val="none" w:sz="0" w:space="0" w:color="auto"/>
                                                                                          </w:divBdr>
                                                                                        </w:div>
                                                                                        <w:div w:id="1381586510">
                                                                                          <w:marLeft w:val="0"/>
                                                                                          <w:marRight w:val="0"/>
                                                                                          <w:marTop w:val="0"/>
                                                                                          <w:marBottom w:val="0"/>
                                                                                          <w:divBdr>
                                                                                            <w:top w:val="none" w:sz="0" w:space="0" w:color="auto"/>
                                                                                            <w:left w:val="none" w:sz="0" w:space="0" w:color="auto"/>
                                                                                            <w:bottom w:val="none" w:sz="0" w:space="0" w:color="auto"/>
                                                                                            <w:right w:val="none" w:sz="0" w:space="0" w:color="auto"/>
                                                                                          </w:divBdr>
                                                                                        </w:div>
                                                                                        <w:div w:id="1573737196">
                                                                                          <w:marLeft w:val="0"/>
                                                                                          <w:marRight w:val="0"/>
                                                                                          <w:marTop w:val="0"/>
                                                                                          <w:marBottom w:val="0"/>
                                                                                          <w:divBdr>
                                                                                            <w:top w:val="none" w:sz="0" w:space="0" w:color="auto"/>
                                                                                            <w:left w:val="none" w:sz="0" w:space="0" w:color="auto"/>
                                                                                            <w:bottom w:val="none" w:sz="0" w:space="0" w:color="auto"/>
                                                                                            <w:right w:val="none" w:sz="0" w:space="0" w:color="auto"/>
                                                                                          </w:divBdr>
                                                                                        </w:div>
                                                                                      </w:divsChild>
                                                                                    </w:div>
                                                                                    <w:div w:id="889223292">
                                                                                      <w:marLeft w:val="0"/>
                                                                                      <w:marRight w:val="0"/>
                                                                                      <w:marTop w:val="0"/>
                                                                                      <w:marBottom w:val="0"/>
                                                                                      <w:divBdr>
                                                                                        <w:top w:val="none" w:sz="0" w:space="0" w:color="auto"/>
                                                                                        <w:left w:val="none" w:sz="0" w:space="0" w:color="auto"/>
                                                                                        <w:bottom w:val="none" w:sz="0" w:space="0" w:color="auto"/>
                                                                                        <w:right w:val="none" w:sz="0" w:space="0" w:color="auto"/>
                                                                                      </w:divBdr>
                                                                                    </w:div>
                                                                                    <w:div w:id="895434655">
                                                                                      <w:marLeft w:val="0"/>
                                                                                      <w:marRight w:val="0"/>
                                                                                      <w:marTop w:val="0"/>
                                                                                      <w:marBottom w:val="0"/>
                                                                                      <w:divBdr>
                                                                                        <w:top w:val="none" w:sz="0" w:space="0" w:color="auto"/>
                                                                                        <w:left w:val="none" w:sz="0" w:space="0" w:color="auto"/>
                                                                                        <w:bottom w:val="none" w:sz="0" w:space="0" w:color="auto"/>
                                                                                        <w:right w:val="none" w:sz="0" w:space="0" w:color="auto"/>
                                                                                      </w:divBdr>
                                                                                      <w:divsChild>
                                                                                        <w:div w:id="74477228">
                                                                                          <w:marLeft w:val="0"/>
                                                                                          <w:marRight w:val="0"/>
                                                                                          <w:marTop w:val="0"/>
                                                                                          <w:marBottom w:val="0"/>
                                                                                          <w:divBdr>
                                                                                            <w:top w:val="none" w:sz="0" w:space="0" w:color="auto"/>
                                                                                            <w:left w:val="none" w:sz="0" w:space="0" w:color="auto"/>
                                                                                            <w:bottom w:val="none" w:sz="0" w:space="0" w:color="auto"/>
                                                                                            <w:right w:val="none" w:sz="0" w:space="0" w:color="auto"/>
                                                                                          </w:divBdr>
                                                                                        </w:div>
                                                                                        <w:div w:id="246034894">
                                                                                          <w:marLeft w:val="0"/>
                                                                                          <w:marRight w:val="0"/>
                                                                                          <w:marTop w:val="0"/>
                                                                                          <w:marBottom w:val="0"/>
                                                                                          <w:divBdr>
                                                                                            <w:top w:val="none" w:sz="0" w:space="0" w:color="auto"/>
                                                                                            <w:left w:val="none" w:sz="0" w:space="0" w:color="auto"/>
                                                                                            <w:bottom w:val="none" w:sz="0" w:space="0" w:color="auto"/>
                                                                                            <w:right w:val="none" w:sz="0" w:space="0" w:color="auto"/>
                                                                                          </w:divBdr>
                                                                                        </w:div>
                                                                                        <w:div w:id="1404180001">
                                                                                          <w:marLeft w:val="0"/>
                                                                                          <w:marRight w:val="0"/>
                                                                                          <w:marTop w:val="0"/>
                                                                                          <w:marBottom w:val="0"/>
                                                                                          <w:divBdr>
                                                                                            <w:top w:val="none" w:sz="0" w:space="0" w:color="auto"/>
                                                                                            <w:left w:val="none" w:sz="0" w:space="0" w:color="auto"/>
                                                                                            <w:bottom w:val="none" w:sz="0" w:space="0" w:color="auto"/>
                                                                                            <w:right w:val="none" w:sz="0" w:space="0" w:color="auto"/>
                                                                                          </w:divBdr>
                                                                                        </w:div>
                                                                                        <w:div w:id="1759256716">
                                                                                          <w:marLeft w:val="0"/>
                                                                                          <w:marRight w:val="0"/>
                                                                                          <w:marTop w:val="0"/>
                                                                                          <w:marBottom w:val="0"/>
                                                                                          <w:divBdr>
                                                                                            <w:top w:val="none" w:sz="0" w:space="0" w:color="auto"/>
                                                                                            <w:left w:val="none" w:sz="0" w:space="0" w:color="auto"/>
                                                                                            <w:bottom w:val="none" w:sz="0" w:space="0" w:color="auto"/>
                                                                                            <w:right w:val="none" w:sz="0" w:space="0" w:color="auto"/>
                                                                                          </w:divBdr>
                                                                                        </w:div>
                                                                                        <w:div w:id="1986811969">
                                                                                          <w:marLeft w:val="0"/>
                                                                                          <w:marRight w:val="0"/>
                                                                                          <w:marTop w:val="0"/>
                                                                                          <w:marBottom w:val="0"/>
                                                                                          <w:divBdr>
                                                                                            <w:top w:val="none" w:sz="0" w:space="0" w:color="auto"/>
                                                                                            <w:left w:val="none" w:sz="0" w:space="0" w:color="auto"/>
                                                                                            <w:bottom w:val="none" w:sz="0" w:space="0" w:color="auto"/>
                                                                                            <w:right w:val="none" w:sz="0" w:space="0" w:color="auto"/>
                                                                                          </w:divBdr>
                                                                                        </w:div>
                                                                                      </w:divsChild>
                                                                                    </w:div>
                                                                                    <w:div w:id="1135490346">
                                                                                      <w:marLeft w:val="0"/>
                                                                                      <w:marRight w:val="0"/>
                                                                                      <w:marTop w:val="0"/>
                                                                                      <w:marBottom w:val="0"/>
                                                                                      <w:divBdr>
                                                                                        <w:top w:val="none" w:sz="0" w:space="0" w:color="auto"/>
                                                                                        <w:left w:val="none" w:sz="0" w:space="0" w:color="auto"/>
                                                                                        <w:bottom w:val="none" w:sz="0" w:space="0" w:color="auto"/>
                                                                                        <w:right w:val="none" w:sz="0" w:space="0" w:color="auto"/>
                                                                                      </w:divBdr>
                                                                                    </w:div>
                                                                                    <w:div w:id="1249852386">
                                                                                      <w:marLeft w:val="0"/>
                                                                                      <w:marRight w:val="0"/>
                                                                                      <w:marTop w:val="0"/>
                                                                                      <w:marBottom w:val="0"/>
                                                                                      <w:divBdr>
                                                                                        <w:top w:val="none" w:sz="0" w:space="0" w:color="auto"/>
                                                                                        <w:left w:val="none" w:sz="0" w:space="0" w:color="auto"/>
                                                                                        <w:bottom w:val="none" w:sz="0" w:space="0" w:color="auto"/>
                                                                                        <w:right w:val="none" w:sz="0" w:space="0" w:color="auto"/>
                                                                                      </w:divBdr>
                                                                                    </w:div>
                                                                                    <w:div w:id="1381788182">
                                                                                      <w:marLeft w:val="0"/>
                                                                                      <w:marRight w:val="0"/>
                                                                                      <w:marTop w:val="0"/>
                                                                                      <w:marBottom w:val="0"/>
                                                                                      <w:divBdr>
                                                                                        <w:top w:val="none" w:sz="0" w:space="0" w:color="auto"/>
                                                                                        <w:left w:val="none" w:sz="0" w:space="0" w:color="auto"/>
                                                                                        <w:bottom w:val="none" w:sz="0" w:space="0" w:color="auto"/>
                                                                                        <w:right w:val="none" w:sz="0" w:space="0" w:color="auto"/>
                                                                                      </w:divBdr>
                                                                                      <w:divsChild>
                                                                                        <w:div w:id="102964185">
                                                                                          <w:marLeft w:val="0"/>
                                                                                          <w:marRight w:val="0"/>
                                                                                          <w:marTop w:val="0"/>
                                                                                          <w:marBottom w:val="0"/>
                                                                                          <w:divBdr>
                                                                                            <w:top w:val="none" w:sz="0" w:space="0" w:color="auto"/>
                                                                                            <w:left w:val="none" w:sz="0" w:space="0" w:color="auto"/>
                                                                                            <w:bottom w:val="none" w:sz="0" w:space="0" w:color="auto"/>
                                                                                            <w:right w:val="none" w:sz="0" w:space="0" w:color="auto"/>
                                                                                          </w:divBdr>
                                                                                        </w:div>
                                                                                        <w:div w:id="522473289">
                                                                                          <w:marLeft w:val="0"/>
                                                                                          <w:marRight w:val="0"/>
                                                                                          <w:marTop w:val="0"/>
                                                                                          <w:marBottom w:val="0"/>
                                                                                          <w:divBdr>
                                                                                            <w:top w:val="none" w:sz="0" w:space="0" w:color="auto"/>
                                                                                            <w:left w:val="none" w:sz="0" w:space="0" w:color="auto"/>
                                                                                            <w:bottom w:val="none" w:sz="0" w:space="0" w:color="auto"/>
                                                                                            <w:right w:val="none" w:sz="0" w:space="0" w:color="auto"/>
                                                                                          </w:divBdr>
                                                                                        </w:div>
                                                                                        <w:div w:id="1220245297">
                                                                                          <w:marLeft w:val="0"/>
                                                                                          <w:marRight w:val="0"/>
                                                                                          <w:marTop w:val="0"/>
                                                                                          <w:marBottom w:val="0"/>
                                                                                          <w:divBdr>
                                                                                            <w:top w:val="none" w:sz="0" w:space="0" w:color="auto"/>
                                                                                            <w:left w:val="none" w:sz="0" w:space="0" w:color="auto"/>
                                                                                            <w:bottom w:val="none" w:sz="0" w:space="0" w:color="auto"/>
                                                                                            <w:right w:val="none" w:sz="0" w:space="0" w:color="auto"/>
                                                                                          </w:divBdr>
                                                                                        </w:div>
                                                                                        <w:div w:id="1556161238">
                                                                                          <w:marLeft w:val="0"/>
                                                                                          <w:marRight w:val="0"/>
                                                                                          <w:marTop w:val="0"/>
                                                                                          <w:marBottom w:val="0"/>
                                                                                          <w:divBdr>
                                                                                            <w:top w:val="none" w:sz="0" w:space="0" w:color="auto"/>
                                                                                            <w:left w:val="none" w:sz="0" w:space="0" w:color="auto"/>
                                                                                            <w:bottom w:val="none" w:sz="0" w:space="0" w:color="auto"/>
                                                                                            <w:right w:val="none" w:sz="0" w:space="0" w:color="auto"/>
                                                                                          </w:divBdr>
                                                                                        </w:div>
                                                                                        <w:div w:id="1680816812">
                                                                                          <w:marLeft w:val="0"/>
                                                                                          <w:marRight w:val="0"/>
                                                                                          <w:marTop w:val="0"/>
                                                                                          <w:marBottom w:val="0"/>
                                                                                          <w:divBdr>
                                                                                            <w:top w:val="none" w:sz="0" w:space="0" w:color="auto"/>
                                                                                            <w:left w:val="none" w:sz="0" w:space="0" w:color="auto"/>
                                                                                            <w:bottom w:val="none" w:sz="0" w:space="0" w:color="auto"/>
                                                                                            <w:right w:val="none" w:sz="0" w:space="0" w:color="auto"/>
                                                                                          </w:divBdr>
                                                                                        </w:div>
                                                                                      </w:divsChild>
                                                                                    </w:div>
                                                                                    <w:div w:id="1543788059">
                                                                                      <w:marLeft w:val="0"/>
                                                                                      <w:marRight w:val="0"/>
                                                                                      <w:marTop w:val="0"/>
                                                                                      <w:marBottom w:val="0"/>
                                                                                      <w:divBdr>
                                                                                        <w:top w:val="none" w:sz="0" w:space="0" w:color="auto"/>
                                                                                        <w:left w:val="none" w:sz="0" w:space="0" w:color="auto"/>
                                                                                        <w:bottom w:val="none" w:sz="0" w:space="0" w:color="auto"/>
                                                                                        <w:right w:val="none" w:sz="0" w:space="0" w:color="auto"/>
                                                                                      </w:divBdr>
                                                                                    </w:div>
                                                                                    <w:div w:id="1779989150">
                                                                                      <w:marLeft w:val="0"/>
                                                                                      <w:marRight w:val="0"/>
                                                                                      <w:marTop w:val="0"/>
                                                                                      <w:marBottom w:val="0"/>
                                                                                      <w:divBdr>
                                                                                        <w:top w:val="none" w:sz="0" w:space="0" w:color="auto"/>
                                                                                        <w:left w:val="none" w:sz="0" w:space="0" w:color="auto"/>
                                                                                        <w:bottom w:val="none" w:sz="0" w:space="0" w:color="auto"/>
                                                                                        <w:right w:val="none" w:sz="0" w:space="0" w:color="auto"/>
                                                                                      </w:divBdr>
                                                                                      <w:divsChild>
                                                                                        <w:div w:id="419569837">
                                                                                          <w:marLeft w:val="0"/>
                                                                                          <w:marRight w:val="0"/>
                                                                                          <w:marTop w:val="0"/>
                                                                                          <w:marBottom w:val="0"/>
                                                                                          <w:divBdr>
                                                                                            <w:top w:val="none" w:sz="0" w:space="0" w:color="auto"/>
                                                                                            <w:left w:val="none" w:sz="0" w:space="0" w:color="auto"/>
                                                                                            <w:bottom w:val="none" w:sz="0" w:space="0" w:color="auto"/>
                                                                                            <w:right w:val="none" w:sz="0" w:space="0" w:color="auto"/>
                                                                                          </w:divBdr>
                                                                                        </w:div>
                                                                                        <w:div w:id="548109847">
                                                                                          <w:marLeft w:val="0"/>
                                                                                          <w:marRight w:val="0"/>
                                                                                          <w:marTop w:val="0"/>
                                                                                          <w:marBottom w:val="0"/>
                                                                                          <w:divBdr>
                                                                                            <w:top w:val="none" w:sz="0" w:space="0" w:color="auto"/>
                                                                                            <w:left w:val="none" w:sz="0" w:space="0" w:color="auto"/>
                                                                                            <w:bottom w:val="none" w:sz="0" w:space="0" w:color="auto"/>
                                                                                            <w:right w:val="none" w:sz="0" w:space="0" w:color="auto"/>
                                                                                          </w:divBdr>
                                                                                        </w:div>
                                                                                        <w:div w:id="1072779531">
                                                                                          <w:marLeft w:val="0"/>
                                                                                          <w:marRight w:val="0"/>
                                                                                          <w:marTop w:val="0"/>
                                                                                          <w:marBottom w:val="0"/>
                                                                                          <w:divBdr>
                                                                                            <w:top w:val="none" w:sz="0" w:space="0" w:color="auto"/>
                                                                                            <w:left w:val="none" w:sz="0" w:space="0" w:color="auto"/>
                                                                                            <w:bottom w:val="none" w:sz="0" w:space="0" w:color="auto"/>
                                                                                            <w:right w:val="none" w:sz="0" w:space="0" w:color="auto"/>
                                                                                          </w:divBdr>
                                                                                        </w:div>
                                                                                        <w:div w:id="1746994824">
                                                                                          <w:marLeft w:val="0"/>
                                                                                          <w:marRight w:val="0"/>
                                                                                          <w:marTop w:val="0"/>
                                                                                          <w:marBottom w:val="0"/>
                                                                                          <w:divBdr>
                                                                                            <w:top w:val="none" w:sz="0" w:space="0" w:color="auto"/>
                                                                                            <w:left w:val="none" w:sz="0" w:space="0" w:color="auto"/>
                                                                                            <w:bottom w:val="none" w:sz="0" w:space="0" w:color="auto"/>
                                                                                            <w:right w:val="none" w:sz="0" w:space="0" w:color="auto"/>
                                                                                          </w:divBdr>
                                                                                        </w:div>
                                                                                        <w:div w:id="2014718132">
                                                                                          <w:marLeft w:val="0"/>
                                                                                          <w:marRight w:val="0"/>
                                                                                          <w:marTop w:val="0"/>
                                                                                          <w:marBottom w:val="0"/>
                                                                                          <w:divBdr>
                                                                                            <w:top w:val="none" w:sz="0" w:space="0" w:color="auto"/>
                                                                                            <w:left w:val="none" w:sz="0" w:space="0" w:color="auto"/>
                                                                                            <w:bottom w:val="none" w:sz="0" w:space="0" w:color="auto"/>
                                                                                            <w:right w:val="none" w:sz="0" w:space="0" w:color="auto"/>
                                                                                          </w:divBdr>
                                                                                        </w:div>
                                                                                      </w:divsChild>
                                                                                    </w:div>
                                                                                    <w:div w:id="1913929112">
                                                                                      <w:marLeft w:val="0"/>
                                                                                      <w:marRight w:val="0"/>
                                                                                      <w:marTop w:val="0"/>
                                                                                      <w:marBottom w:val="0"/>
                                                                                      <w:divBdr>
                                                                                        <w:top w:val="none" w:sz="0" w:space="0" w:color="auto"/>
                                                                                        <w:left w:val="none" w:sz="0" w:space="0" w:color="auto"/>
                                                                                        <w:bottom w:val="none" w:sz="0" w:space="0" w:color="auto"/>
                                                                                        <w:right w:val="none" w:sz="0" w:space="0" w:color="auto"/>
                                                                                      </w:divBdr>
                                                                                    </w:div>
                                                                                    <w:div w:id="2025014562">
                                                                                      <w:marLeft w:val="0"/>
                                                                                      <w:marRight w:val="0"/>
                                                                                      <w:marTop w:val="0"/>
                                                                                      <w:marBottom w:val="0"/>
                                                                                      <w:divBdr>
                                                                                        <w:top w:val="none" w:sz="0" w:space="0" w:color="auto"/>
                                                                                        <w:left w:val="none" w:sz="0" w:space="0" w:color="auto"/>
                                                                                        <w:bottom w:val="none" w:sz="0" w:space="0" w:color="auto"/>
                                                                                        <w:right w:val="none" w:sz="0" w:space="0" w:color="auto"/>
                                                                                      </w:divBdr>
                                                                                      <w:divsChild>
                                                                                        <w:div w:id="34624893">
                                                                                          <w:marLeft w:val="0"/>
                                                                                          <w:marRight w:val="0"/>
                                                                                          <w:marTop w:val="0"/>
                                                                                          <w:marBottom w:val="0"/>
                                                                                          <w:divBdr>
                                                                                            <w:top w:val="none" w:sz="0" w:space="0" w:color="auto"/>
                                                                                            <w:left w:val="none" w:sz="0" w:space="0" w:color="auto"/>
                                                                                            <w:bottom w:val="none" w:sz="0" w:space="0" w:color="auto"/>
                                                                                            <w:right w:val="none" w:sz="0" w:space="0" w:color="auto"/>
                                                                                          </w:divBdr>
                                                                                        </w:div>
                                                                                        <w:div w:id="99491181">
                                                                                          <w:marLeft w:val="0"/>
                                                                                          <w:marRight w:val="0"/>
                                                                                          <w:marTop w:val="0"/>
                                                                                          <w:marBottom w:val="0"/>
                                                                                          <w:divBdr>
                                                                                            <w:top w:val="none" w:sz="0" w:space="0" w:color="auto"/>
                                                                                            <w:left w:val="none" w:sz="0" w:space="0" w:color="auto"/>
                                                                                            <w:bottom w:val="none" w:sz="0" w:space="0" w:color="auto"/>
                                                                                            <w:right w:val="none" w:sz="0" w:space="0" w:color="auto"/>
                                                                                          </w:divBdr>
                                                                                        </w:div>
                                                                                        <w:div w:id="788478612">
                                                                                          <w:marLeft w:val="0"/>
                                                                                          <w:marRight w:val="0"/>
                                                                                          <w:marTop w:val="0"/>
                                                                                          <w:marBottom w:val="0"/>
                                                                                          <w:divBdr>
                                                                                            <w:top w:val="none" w:sz="0" w:space="0" w:color="auto"/>
                                                                                            <w:left w:val="none" w:sz="0" w:space="0" w:color="auto"/>
                                                                                            <w:bottom w:val="none" w:sz="0" w:space="0" w:color="auto"/>
                                                                                            <w:right w:val="none" w:sz="0" w:space="0" w:color="auto"/>
                                                                                          </w:divBdr>
                                                                                        </w:div>
                                                                                        <w:div w:id="1767076040">
                                                                                          <w:marLeft w:val="0"/>
                                                                                          <w:marRight w:val="0"/>
                                                                                          <w:marTop w:val="0"/>
                                                                                          <w:marBottom w:val="0"/>
                                                                                          <w:divBdr>
                                                                                            <w:top w:val="none" w:sz="0" w:space="0" w:color="auto"/>
                                                                                            <w:left w:val="none" w:sz="0" w:space="0" w:color="auto"/>
                                                                                            <w:bottom w:val="none" w:sz="0" w:space="0" w:color="auto"/>
                                                                                            <w:right w:val="none" w:sz="0" w:space="0" w:color="auto"/>
                                                                                          </w:divBdr>
                                                                                        </w:div>
                                                                                        <w:div w:id="1929119409">
                                                                                          <w:marLeft w:val="0"/>
                                                                                          <w:marRight w:val="0"/>
                                                                                          <w:marTop w:val="0"/>
                                                                                          <w:marBottom w:val="0"/>
                                                                                          <w:divBdr>
                                                                                            <w:top w:val="none" w:sz="0" w:space="0" w:color="auto"/>
                                                                                            <w:left w:val="none" w:sz="0" w:space="0" w:color="auto"/>
                                                                                            <w:bottom w:val="none" w:sz="0" w:space="0" w:color="auto"/>
                                                                                            <w:right w:val="none" w:sz="0" w:space="0" w:color="auto"/>
                                                                                          </w:divBdr>
                                                                                        </w:div>
                                                                                      </w:divsChild>
                                                                                    </w:div>
                                                                                    <w:div w:id="2046174881">
                                                                                      <w:marLeft w:val="0"/>
                                                                                      <w:marRight w:val="0"/>
                                                                                      <w:marTop w:val="0"/>
                                                                                      <w:marBottom w:val="0"/>
                                                                                      <w:divBdr>
                                                                                        <w:top w:val="none" w:sz="0" w:space="0" w:color="auto"/>
                                                                                        <w:left w:val="none" w:sz="0" w:space="0" w:color="auto"/>
                                                                                        <w:bottom w:val="none" w:sz="0" w:space="0" w:color="auto"/>
                                                                                        <w:right w:val="none" w:sz="0" w:space="0" w:color="auto"/>
                                                                                      </w:divBdr>
                                                                                    </w:div>
                                                                                    <w:div w:id="2065829223">
                                                                                      <w:marLeft w:val="0"/>
                                                                                      <w:marRight w:val="0"/>
                                                                                      <w:marTop w:val="0"/>
                                                                                      <w:marBottom w:val="0"/>
                                                                                      <w:divBdr>
                                                                                        <w:top w:val="none" w:sz="0" w:space="0" w:color="auto"/>
                                                                                        <w:left w:val="none" w:sz="0" w:space="0" w:color="auto"/>
                                                                                        <w:bottom w:val="none" w:sz="0" w:space="0" w:color="auto"/>
                                                                                        <w:right w:val="none" w:sz="0" w:space="0" w:color="auto"/>
                                                                                      </w:divBdr>
                                                                                      <w:divsChild>
                                                                                        <w:div w:id="85737127">
                                                                                          <w:marLeft w:val="0"/>
                                                                                          <w:marRight w:val="0"/>
                                                                                          <w:marTop w:val="0"/>
                                                                                          <w:marBottom w:val="0"/>
                                                                                          <w:divBdr>
                                                                                            <w:top w:val="none" w:sz="0" w:space="0" w:color="auto"/>
                                                                                            <w:left w:val="none" w:sz="0" w:space="0" w:color="auto"/>
                                                                                            <w:bottom w:val="none" w:sz="0" w:space="0" w:color="auto"/>
                                                                                            <w:right w:val="none" w:sz="0" w:space="0" w:color="auto"/>
                                                                                          </w:divBdr>
                                                                                        </w:div>
                                                                                        <w:div w:id="947346054">
                                                                                          <w:marLeft w:val="0"/>
                                                                                          <w:marRight w:val="0"/>
                                                                                          <w:marTop w:val="0"/>
                                                                                          <w:marBottom w:val="0"/>
                                                                                          <w:divBdr>
                                                                                            <w:top w:val="none" w:sz="0" w:space="0" w:color="auto"/>
                                                                                            <w:left w:val="none" w:sz="0" w:space="0" w:color="auto"/>
                                                                                            <w:bottom w:val="none" w:sz="0" w:space="0" w:color="auto"/>
                                                                                            <w:right w:val="none" w:sz="0" w:space="0" w:color="auto"/>
                                                                                          </w:divBdr>
                                                                                        </w:div>
                                                                                        <w:div w:id="1144279312">
                                                                                          <w:marLeft w:val="0"/>
                                                                                          <w:marRight w:val="0"/>
                                                                                          <w:marTop w:val="0"/>
                                                                                          <w:marBottom w:val="0"/>
                                                                                          <w:divBdr>
                                                                                            <w:top w:val="none" w:sz="0" w:space="0" w:color="auto"/>
                                                                                            <w:left w:val="none" w:sz="0" w:space="0" w:color="auto"/>
                                                                                            <w:bottom w:val="none" w:sz="0" w:space="0" w:color="auto"/>
                                                                                            <w:right w:val="none" w:sz="0" w:space="0" w:color="auto"/>
                                                                                          </w:divBdr>
                                                                                        </w:div>
                                                                                        <w:div w:id="1485509997">
                                                                                          <w:marLeft w:val="0"/>
                                                                                          <w:marRight w:val="0"/>
                                                                                          <w:marTop w:val="0"/>
                                                                                          <w:marBottom w:val="0"/>
                                                                                          <w:divBdr>
                                                                                            <w:top w:val="none" w:sz="0" w:space="0" w:color="auto"/>
                                                                                            <w:left w:val="none" w:sz="0" w:space="0" w:color="auto"/>
                                                                                            <w:bottom w:val="none" w:sz="0" w:space="0" w:color="auto"/>
                                                                                            <w:right w:val="none" w:sz="0" w:space="0" w:color="auto"/>
                                                                                          </w:divBdr>
                                                                                        </w:div>
                                                                                        <w:div w:id="1880311983">
                                                                                          <w:marLeft w:val="0"/>
                                                                                          <w:marRight w:val="0"/>
                                                                                          <w:marTop w:val="0"/>
                                                                                          <w:marBottom w:val="0"/>
                                                                                          <w:divBdr>
                                                                                            <w:top w:val="none" w:sz="0" w:space="0" w:color="auto"/>
                                                                                            <w:left w:val="none" w:sz="0" w:space="0" w:color="auto"/>
                                                                                            <w:bottom w:val="none" w:sz="0" w:space="0" w:color="auto"/>
                                                                                            <w:right w:val="none" w:sz="0" w:space="0" w:color="auto"/>
                                                                                          </w:divBdr>
                                                                                        </w:div>
                                                                                      </w:divsChild>
                                                                                    </w:div>
                                                                                    <w:div w:id="2080709376">
                                                                                      <w:marLeft w:val="0"/>
                                                                                      <w:marRight w:val="0"/>
                                                                                      <w:marTop w:val="0"/>
                                                                                      <w:marBottom w:val="0"/>
                                                                                      <w:divBdr>
                                                                                        <w:top w:val="none" w:sz="0" w:space="0" w:color="auto"/>
                                                                                        <w:left w:val="none" w:sz="0" w:space="0" w:color="auto"/>
                                                                                        <w:bottom w:val="none" w:sz="0" w:space="0" w:color="auto"/>
                                                                                        <w:right w:val="none" w:sz="0" w:space="0" w:color="auto"/>
                                                                                      </w:divBdr>
                                                                                      <w:divsChild>
                                                                                        <w:div w:id="121268878">
                                                                                          <w:marLeft w:val="-75"/>
                                                                                          <w:marRight w:val="0"/>
                                                                                          <w:marTop w:val="30"/>
                                                                                          <w:marBottom w:val="30"/>
                                                                                          <w:divBdr>
                                                                                            <w:top w:val="none" w:sz="0" w:space="0" w:color="auto"/>
                                                                                            <w:left w:val="none" w:sz="0" w:space="0" w:color="auto"/>
                                                                                            <w:bottom w:val="none" w:sz="0" w:space="0" w:color="auto"/>
                                                                                            <w:right w:val="none" w:sz="0" w:space="0" w:color="auto"/>
                                                                                          </w:divBdr>
                                                                                          <w:divsChild>
                                                                                            <w:div w:id="8651210">
                                                                                              <w:marLeft w:val="0"/>
                                                                                              <w:marRight w:val="0"/>
                                                                                              <w:marTop w:val="0"/>
                                                                                              <w:marBottom w:val="0"/>
                                                                                              <w:divBdr>
                                                                                                <w:top w:val="none" w:sz="0" w:space="0" w:color="auto"/>
                                                                                                <w:left w:val="none" w:sz="0" w:space="0" w:color="auto"/>
                                                                                                <w:bottom w:val="none" w:sz="0" w:space="0" w:color="auto"/>
                                                                                                <w:right w:val="none" w:sz="0" w:space="0" w:color="auto"/>
                                                                                              </w:divBdr>
                                                                                              <w:divsChild>
                                                                                                <w:div w:id="285545563">
                                                                                                  <w:marLeft w:val="0"/>
                                                                                                  <w:marRight w:val="0"/>
                                                                                                  <w:marTop w:val="0"/>
                                                                                                  <w:marBottom w:val="0"/>
                                                                                                  <w:divBdr>
                                                                                                    <w:top w:val="none" w:sz="0" w:space="0" w:color="auto"/>
                                                                                                    <w:left w:val="none" w:sz="0" w:space="0" w:color="auto"/>
                                                                                                    <w:bottom w:val="none" w:sz="0" w:space="0" w:color="auto"/>
                                                                                                    <w:right w:val="none" w:sz="0" w:space="0" w:color="auto"/>
                                                                                                  </w:divBdr>
                                                                                                </w:div>
                                                                                              </w:divsChild>
                                                                                            </w:div>
                                                                                            <w:div w:id="64184497">
                                                                                              <w:marLeft w:val="0"/>
                                                                                              <w:marRight w:val="0"/>
                                                                                              <w:marTop w:val="0"/>
                                                                                              <w:marBottom w:val="0"/>
                                                                                              <w:divBdr>
                                                                                                <w:top w:val="none" w:sz="0" w:space="0" w:color="auto"/>
                                                                                                <w:left w:val="none" w:sz="0" w:space="0" w:color="auto"/>
                                                                                                <w:bottom w:val="none" w:sz="0" w:space="0" w:color="auto"/>
                                                                                                <w:right w:val="none" w:sz="0" w:space="0" w:color="auto"/>
                                                                                              </w:divBdr>
                                                                                              <w:divsChild>
                                                                                                <w:div w:id="1187981582">
                                                                                                  <w:marLeft w:val="0"/>
                                                                                                  <w:marRight w:val="0"/>
                                                                                                  <w:marTop w:val="0"/>
                                                                                                  <w:marBottom w:val="0"/>
                                                                                                  <w:divBdr>
                                                                                                    <w:top w:val="none" w:sz="0" w:space="0" w:color="auto"/>
                                                                                                    <w:left w:val="none" w:sz="0" w:space="0" w:color="auto"/>
                                                                                                    <w:bottom w:val="none" w:sz="0" w:space="0" w:color="auto"/>
                                                                                                    <w:right w:val="none" w:sz="0" w:space="0" w:color="auto"/>
                                                                                                  </w:divBdr>
                                                                                                </w:div>
                                                                                              </w:divsChild>
                                                                                            </w:div>
                                                                                            <w:div w:id="142698089">
                                                                                              <w:marLeft w:val="0"/>
                                                                                              <w:marRight w:val="0"/>
                                                                                              <w:marTop w:val="0"/>
                                                                                              <w:marBottom w:val="0"/>
                                                                                              <w:divBdr>
                                                                                                <w:top w:val="none" w:sz="0" w:space="0" w:color="auto"/>
                                                                                                <w:left w:val="none" w:sz="0" w:space="0" w:color="auto"/>
                                                                                                <w:bottom w:val="none" w:sz="0" w:space="0" w:color="auto"/>
                                                                                                <w:right w:val="none" w:sz="0" w:space="0" w:color="auto"/>
                                                                                              </w:divBdr>
                                                                                              <w:divsChild>
                                                                                                <w:div w:id="1960917420">
                                                                                                  <w:marLeft w:val="0"/>
                                                                                                  <w:marRight w:val="0"/>
                                                                                                  <w:marTop w:val="0"/>
                                                                                                  <w:marBottom w:val="0"/>
                                                                                                  <w:divBdr>
                                                                                                    <w:top w:val="none" w:sz="0" w:space="0" w:color="auto"/>
                                                                                                    <w:left w:val="none" w:sz="0" w:space="0" w:color="auto"/>
                                                                                                    <w:bottom w:val="none" w:sz="0" w:space="0" w:color="auto"/>
                                                                                                    <w:right w:val="none" w:sz="0" w:space="0" w:color="auto"/>
                                                                                                  </w:divBdr>
                                                                                                </w:div>
                                                                                              </w:divsChild>
                                                                                            </w:div>
                                                                                            <w:div w:id="421073154">
                                                                                              <w:marLeft w:val="0"/>
                                                                                              <w:marRight w:val="0"/>
                                                                                              <w:marTop w:val="0"/>
                                                                                              <w:marBottom w:val="0"/>
                                                                                              <w:divBdr>
                                                                                                <w:top w:val="none" w:sz="0" w:space="0" w:color="auto"/>
                                                                                                <w:left w:val="none" w:sz="0" w:space="0" w:color="auto"/>
                                                                                                <w:bottom w:val="none" w:sz="0" w:space="0" w:color="auto"/>
                                                                                                <w:right w:val="none" w:sz="0" w:space="0" w:color="auto"/>
                                                                                              </w:divBdr>
                                                                                              <w:divsChild>
                                                                                                <w:div w:id="370427059">
                                                                                                  <w:marLeft w:val="0"/>
                                                                                                  <w:marRight w:val="0"/>
                                                                                                  <w:marTop w:val="0"/>
                                                                                                  <w:marBottom w:val="0"/>
                                                                                                  <w:divBdr>
                                                                                                    <w:top w:val="none" w:sz="0" w:space="0" w:color="auto"/>
                                                                                                    <w:left w:val="none" w:sz="0" w:space="0" w:color="auto"/>
                                                                                                    <w:bottom w:val="none" w:sz="0" w:space="0" w:color="auto"/>
                                                                                                    <w:right w:val="none" w:sz="0" w:space="0" w:color="auto"/>
                                                                                                  </w:divBdr>
                                                                                                </w:div>
                                                                                              </w:divsChild>
                                                                                            </w:div>
                                                                                            <w:div w:id="642082924">
                                                                                              <w:marLeft w:val="0"/>
                                                                                              <w:marRight w:val="0"/>
                                                                                              <w:marTop w:val="0"/>
                                                                                              <w:marBottom w:val="0"/>
                                                                                              <w:divBdr>
                                                                                                <w:top w:val="none" w:sz="0" w:space="0" w:color="auto"/>
                                                                                                <w:left w:val="none" w:sz="0" w:space="0" w:color="auto"/>
                                                                                                <w:bottom w:val="none" w:sz="0" w:space="0" w:color="auto"/>
                                                                                                <w:right w:val="none" w:sz="0" w:space="0" w:color="auto"/>
                                                                                              </w:divBdr>
                                                                                              <w:divsChild>
                                                                                                <w:div w:id="827281551">
                                                                                                  <w:marLeft w:val="0"/>
                                                                                                  <w:marRight w:val="0"/>
                                                                                                  <w:marTop w:val="0"/>
                                                                                                  <w:marBottom w:val="0"/>
                                                                                                  <w:divBdr>
                                                                                                    <w:top w:val="none" w:sz="0" w:space="0" w:color="auto"/>
                                                                                                    <w:left w:val="none" w:sz="0" w:space="0" w:color="auto"/>
                                                                                                    <w:bottom w:val="none" w:sz="0" w:space="0" w:color="auto"/>
                                                                                                    <w:right w:val="none" w:sz="0" w:space="0" w:color="auto"/>
                                                                                                  </w:divBdr>
                                                                                                </w:div>
                                                                                              </w:divsChild>
                                                                                            </w:div>
                                                                                            <w:div w:id="681444038">
                                                                                              <w:marLeft w:val="0"/>
                                                                                              <w:marRight w:val="0"/>
                                                                                              <w:marTop w:val="0"/>
                                                                                              <w:marBottom w:val="0"/>
                                                                                              <w:divBdr>
                                                                                                <w:top w:val="none" w:sz="0" w:space="0" w:color="auto"/>
                                                                                                <w:left w:val="none" w:sz="0" w:space="0" w:color="auto"/>
                                                                                                <w:bottom w:val="none" w:sz="0" w:space="0" w:color="auto"/>
                                                                                                <w:right w:val="none" w:sz="0" w:space="0" w:color="auto"/>
                                                                                              </w:divBdr>
                                                                                              <w:divsChild>
                                                                                                <w:div w:id="2123766650">
                                                                                                  <w:marLeft w:val="0"/>
                                                                                                  <w:marRight w:val="0"/>
                                                                                                  <w:marTop w:val="0"/>
                                                                                                  <w:marBottom w:val="0"/>
                                                                                                  <w:divBdr>
                                                                                                    <w:top w:val="none" w:sz="0" w:space="0" w:color="auto"/>
                                                                                                    <w:left w:val="none" w:sz="0" w:space="0" w:color="auto"/>
                                                                                                    <w:bottom w:val="none" w:sz="0" w:space="0" w:color="auto"/>
                                                                                                    <w:right w:val="none" w:sz="0" w:space="0" w:color="auto"/>
                                                                                                  </w:divBdr>
                                                                                                </w:div>
                                                                                              </w:divsChild>
                                                                                            </w:div>
                                                                                            <w:div w:id="800080439">
                                                                                              <w:marLeft w:val="0"/>
                                                                                              <w:marRight w:val="0"/>
                                                                                              <w:marTop w:val="0"/>
                                                                                              <w:marBottom w:val="0"/>
                                                                                              <w:divBdr>
                                                                                                <w:top w:val="none" w:sz="0" w:space="0" w:color="auto"/>
                                                                                                <w:left w:val="none" w:sz="0" w:space="0" w:color="auto"/>
                                                                                                <w:bottom w:val="none" w:sz="0" w:space="0" w:color="auto"/>
                                                                                                <w:right w:val="none" w:sz="0" w:space="0" w:color="auto"/>
                                                                                              </w:divBdr>
                                                                                              <w:divsChild>
                                                                                                <w:div w:id="809175952">
                                                                                                  <w:marLeft w:val="0"/>
                                                                                                  <w:marRight w:val="0"/>
                                                                                                  <w:marTop w:val="0"/>
                                                                                                  <w:marBottom w:val="0"/>
                                                                                                  <w:divBdr>
                                                                                                    <w:top w:val="none" w:sz="0" w:space="0" w:color="auto"/>
                                                                                                    <w:left w:val="none" w:sz="0" w:space="0" w:color="auto"/>
                                                                                                    <w:bottom w:val="none" w:sz="0" w:space="0" w:color="auto"/>
                                                                                                    <w:right w:val="none" w:sz="0" w:space="0" w:color="auto"/>
                                                                                                  </w:divBdr>
                                                                                                </w:div>
                                                                                              </w:divsChild>
                                                                                            </w:div>
                                                                                            <w:div w:id="1021202091">
                                                                                              <w:marLeft w:val="0"/>
                                                                                              <w:marRight w:val="0"/>
                                                                                              <w:marTop w:val="0"/>
                                                                                              <w:marBottom w:val="0"/>
                                                                                              <w:divBdr>
                                                                                                <w:top w:val="none" w:sz="0" w:space="0" w:color="auto"/>
                                                                                                <w:left w:val="none" w:sz="0" w:space="0" w:color="auto"/>
                                                                                                <w:bottom w:val="none" w:sz="0" w:space="0" w:color="auto"/>
                                                                                                <w:right w:val="none" w:sz="0" w:space="0" w:color="auto"/>
                                                                                              </w:divBdr>
                                                                                              <w:divsChild>
                                                                                                <w:div w:id="1978338777">
                                                                                                  <w:marLeft w:val="0"/>
                                                                                                  <w:marRight w:val="0"/>
                                                                                                  <w:marTop w:val="0"/>
                                                                                                  <w:marBottom w:val="0"/>
                                                                                                  <w:divBdr>
                                                                                                    <w:top w:val="none" w:sz="0" w:space="0" w:color="auto"/>
                                                                                                    <w:left w:val="none" w:sz="0" w:space="0" w:color="auto"/>
                                                                                                    <w:bottom w:val="none" w:sz="0" w:space="0" w:color="auto"/>
                                                                                                    <w:right w:val="none" w:sz="0" w:space="0" w:color="auto"/>
                                                                                                  </w:divBdr>
                                                                                                </w:div>
                                                                                              </w:divsChild>
                                                                                            </w:div>
                                                                                            <w:div w:id="1172186954">
                                                                                              <w:marLeft w:val="0"/>
                                                                                              <w:marRight w:val="0"/>
                                                                                              <w:marTop w:val="0"/>
                                                                                              <w:marBottom w:val="0"/>
                                                                                              <w:divBdr>
                                                                                                <w:top w:val="none" w:sz="0" w:space="0" w:color="auto"/>
                                                                                                <w:left w:val="none" w:sz="0" w:space="0" w:color="auto"/>
                                                                                                <w:bottom w:val="none" w:sz="0" w:space="0" w:color="auto"/>
                                                                                                <w:right w:val="none" w:sz="0" w:space="0" w:color="auto"/>
                                                                                              </w:divBdr>
                                                                                              <w:divsChild>
                                                                                                <w:div w:id="1206068051">
                                                                                                  <w:marLeft w:val="0"/>
                                                                                                  <w:marRight w:val="0"/>
                                                                                                  <w:marTop w:val="0"/>
                                                                                                  <w:marBottom w:val="0"/>
                                                                                                  <w:divBdr>
                                                                                                    <w:top w:val="none" w:sz="0" w:space="0" w:color="auto"/>
                                                                                                    <w:left w:val="none" w:sz="0" w:space="0" w:color="auto"/>
                                                                                                    <w:bottom w:val="none" w:sz="0" w:space="0" w:color="auto"/>
                                                                                                    <w:right w:val="none" w:sz="0" w:space="0" w:color="auto"/>
                                                                                                  </w:divBdr>
                                                                                                </w:div>
                                                                                              </w:divsChild>
                                                                                            </w:div>
                                                                                            <w:div w:id="1222399373">
                                                                                              <w:marLeft w:val="0"/>
                                                                                              <w:marRight w:val="0"/>
                                                                                              <w:marTop w:val="0"/>
                                                                                              <w:marBottom w:val="0"/>
                                                                                              <w:divBdr>
                                                                                                <w:top w:val="none" w:sz="0" w:space="0" w:color="auto"/>
                                                                                                <w:left w:val="none" w:sz="0" w:space="0" w:color="auto"/>
                                                                                                <w:bottom w:val="none" w:sz="0" w:space="0" w:color="auto"/>
                                                                                                <w:right w:val="none" w:sz="0" w:space="0" w:color="auto"/>
                                                                                              </w:divBdr>
                                                                                              <w:divsChild>
                                                                                                <w:div w:id="1168249075">
                                                                                                  <w:marLeft w:val="0"/>
                                                                                                  <w:marRight w:val="0"/>
                                                                                                  <w:marTop w:val="0"/>
                                                                                                  <w:marBottom w:val="0"/>
                                                                                                  <w:divBdr>
                                                                                                    <w:top w:val="none" w:sz="0" w:space="0" w:color="auto"/>
                                                                                                    <w:left w:val="none" w:sz="0" w:space="0" w:color="auto"/>
                                                                                                    <w:bottom w:val="none" w:sz="0" w:space="0" w:color="auto"/>
                                                                                                    <w:right w:val="none" w:sz="0" w:space="0" w:color="auto"/>
                                                                                                  </w:divBdr>
                                                                                                </w:div>
                                                                                              </w:divsChild>
                                                                                            </w:div>
                                                                                            <w:div w:id="1243832633">
                                                                                              <w:marLeft w:val="0"/>
                                                                                              <w:marRight w:val="0"/>
                                                                                              <w:marTop w:val="0"/>
                                                                                              <w:marBottom w:val="0"/>
                                                                                              <w:divBdr>
                                                                                                <w:top w:val="none" w:sz="0" w:space="0" w:color="auto"/>
                                                                                                <w:left w:val="none" w:sz="0" w:space="0" w:color="auto"/>
                                                                                                <w:bottom w:val="none" w:sz="0" w:space="0" w:color="auto"/>
                                                                                                <w:right w:val="none" w:sz="0" w:space="0" w:color="auto"/>
                                                                                              </w:divBdr>
                                                                                              <w:divsChild>
                                                                                                <w:div w:id="456409458">
                                                                                                  <w:marLeft w:val="0"/>
                                                                                                  <w:marRight w:val="0"/>
                                                                                                  <w:marTop w:val="0"/>
                                                                                                  <w:marBottom w:val="0"/>
                                                                                                  <w:divBdr>
                                                                                                    <w:top w:val="none" w:sz="0" w:space="0" w:color="auto"/>
                                                                                                    <w:left w:val="none" w:sz="0" w:space="0" w:color="auto"/>
                                                                                                    <w:bottom w:val="none" w:sz="0" w:space="0" w:color="auto"/>
                                                                                                    <w:right w:val="none" w:sz="0" w:space="0" w:color="auto"/>
                                                                                                  </w:divBdr>
                                                                                                </w:div>
                                                                                              </w:divsChild>
                                                                                            </w:div>
                                                                                            <w:div w:id="1409422649">
                                                                                              <w:marLeft w:val="0"/>
                                                                                              <w:marRight w:val="0"/>
                                                                                              <w:marTop w:val="0"/>
                                                                                              <w:marBottom w:val="0"/>
                                                                                              <w:divBdr>
                                                                                                <w:top w:val="none" w:sz="0" w:space="0" w:color="auto"/>
                                                                                                <w:left w:val="none" w:sz="0" w:space="0" w:color="auto"/>
                                                                                                <w:bottom w:val="none" w:sz="0" w:space="0" w:color="auto"/>
                                                                                                <w:right w:val="none" w:sz="0" w:space="0" w:color="auto"/>
                                                                                              </w:divBdr>
                                                                                              <w:divsChild>
                                                                                                <w:div w:id="1209877754">
                                                                                                  <w:marLeft w:val="0"/>
                                                                                                  <w:marRight w:val="0"/>
                                                                                                  <w:marTop w:val="0"/>
                                                                                                  <w:marBottom w:val="0"/>
                                                                                                  <w:divBdr>
                                                                                                    <w:top w:val="none" w:sz="0" w:space="0" w:color="auto"/>
                                                                                                    <w:left w:val="none" w:sz="0" w:space="0" w:color="auto"/>
                                                                                                    <w:bottom w:val="none" w:sz="0" w:space="0" w:color="auto"/>
                                                                                                    <w:right w:val="none" w:sz="0" w:space="0" w:color="auto"/>
                                                                                                  </w:divBdr>
                                                                                                </w:div>
                                                                                              </w:divsChild>
                                                                                            </w:div>
                                                                                            <w:div w:id="1490436314">
                                                                                              <w:marLeft w:val="0"/>
                                                                                              <w:marRight w:val="0"/>
                                                                                              <w:marTop w:val="0"/>
                                                                                              <w:marBottom w:val="0"/>
                                                                                              <w:divBdr>
                                                                                                <w:top w:val="none" w:sz="0" w:space="0" w:color="auto"/>
                                                                                                <w:left w:val="none" w:sz="0" w:space="0" w:color="auto"/>
                                                                                                <w:bottom w:val="none" w:sz="0" w:space="0" w:color="auto"/>
                                                                                                <w:right w:val="none" w:sz="0" w:space="0" w:color="auto"/>
                                                                                              </w:divBdr>
                                                                                              <w:divsChild>
                                                                                                <w:div w:id="806319198">
                                                                                                  <w:marLeft w:val="0"/>
                                                                                                  <w:marRight w:val="0"/>
                                                                                                  <w:marTop w:val="0"/>
                                                                                                  <w:marBottom w:val="0"/>
                                                                                                  <w:divBdr>
                                                                                                    <w:top w:val="none" w:sz="0" w:space="0" w:color="auto"/>
                                                                                                    <w:left w:val="none" w:sz="0" w:space="0" w:color="auto"/>
                                                                                                    <w:bottom w:val="none" w:sz="0" w:space="0" w:color="auto"/>
                                                                                                    <w:right w:val="none" w:sz="0" w:space="0" w:color="auto"/>
                                                                                                  </w:divBdr>
                                                                                                </w:div>
                                                                                              </w:divsChild>
                                                                                            </w:div>
                                                                                            <w:div w:id="1826699196">
                                                                                              <w:marLeft w:val="0"/>
                                                                                              <w:marRight w:val="0"/>
                                                                                              <w:marTop w:val="0"/>
                                                                                              <w:marBottom w:val="0"/>
                                                                                              <w:divBdr>
                                                                                                <w:top w:val="none" w:sz="0" w:space="0" w:color="auto"/>
                                                                                                <w:left w:val="none" w:sz="0" w:space="0" w:color="auto"/>
                                                                                                <w:bottom w:val="none" w:sz="0" w:space="0" w:color="auto"/>
                                                                                                <w:right w:val="none" w:sz="0" w:space="0" w:color="auto"/>
                                                                                              </w:divBdr>
                                                                                              <w:divsChild>
                                                                                                <w:div w:id="1023746120">
                                                                                                  <w:marLeft w:val="0"/>
                                                                                                  <w:marRight w:val="0"/>
                                                                                                  <w:marTop w:val="0"/>
                                                                                                  <w:marBottom w:val="0"/>
                                                                                                  <w:divBdr>
                                                                                                    <w:top w:val="none" w:sz="0" w:space="0" w:color="auto"/>
                                                                                                    <w:left w:val="none" w:sz="0" w:space="0" w:color="auto"/>
                                                                                                    <w:bottom w:val="none" w:sz="0" w:space="0" w:color="auto"/>
                                                                                                    <w:right w:val="none" w:sz="0" w:space="0" w:color="auto"/>
                                                                                                  </w:divBdr>
                                                                                                </w:div>
                                                                                              </w:divsChild>
                                                                                            </w:div>
                                                                                            <w:div w:id="1860393776">
                                                                                              <w:marLeft w:val="0"/>
                                                                                              <w:marRight w:val="0"/>
                                                                                              <w:marTop w:val="0"/>
                                                                                              <w:marBottom w:val="0"/>
                                                                                              <w:divBdr>
                                                                                                <w:top w:val="none" w:sz="0" w:space="0" w:color="auto"/>
                                                                                                <w:left w:val="none" w:sz="0" w:space="0" w:color="auto"/>
                                                                                                <w:bottom w:val="none" w:sz="0" w:space="0" w:color="auto"/>
                                                                                                <w:right w:val="none" w:sz="0" w:space="0" w:color="auto"/>
                                                                                              </w:divBdr>
                                                                                              <w:divsChild>
                                                                                                <w:div w:id="358629954">
                                                                                                  <w:marLeft w:val="0"/>
                                                                                                  <w:marRight w:val="0"/>
                                                                                                  <w:marTop w:val="0"/>
                                                                                                  <w:marBottom w:val="0"/>
                                                                                                  <w:divBdr>
                                                                                                    <w:top w:val="none" w:sz="0" w:space="0" w:color="auto"/>
                                                                                                    <w:left w:val="none" w:sz="0" w:space="0" w:color="auto"/>
                                                                                                    <w:bottom w:val="none" w:sz="0" w:space="0" w:color="auto"/>
                                                                                                    <w:right w:val="none" w:sz="0" w:space="0" w:color="auto"/>
                                                                                                  </w:divBdr>
                                                                                                </w:div>
                                                                                              </w:divsChild>
                                                                                            </w:div>
                                                                                            <w:div w:id="2075161462">
                                                                                              <w:marLeft w:val="0"/>
                                                                                              <w:marRight w:val="0"/>
                                                                                              <w:marTop w:val="0"/>
                                                                                              <w:marBottom w:val="0"/>
                                                                                              <w:divBdr>
                                                                                                <w:top w:val="none" w:sz="0" w:space="0" w:color="auto"/>
                                                                                                <w:left w:val="none" w:sz="0" w:space="0" w:color="auto"/>
                                                                                                <w:bottom w:val="none" w:sz="0" w:space="0" w:color="auto"/>
                                                                                                <w:right w:val="none" w:sz="0" w:space="0" w:color="auto"/>
                                                                                              </w:divBdr>
                                                                                              <w:divsChild>
                                                                                                <w:div w:id="194445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07665">
                                                                                      <w:marLeft w:val="0"/>
                                                                                      <w:marRight w:val="0"/>
                                                                                      <w:marTop w:val="0"/>
                                                                                      <w:marBottom w:val="0"/>
                                                                                      <w:divBdr>
                                                                                        <w:top w:val="none" w:sz="0" w:space="0" w:color="auto"/>
                                                                                        <w:left w:val="none" w:sz="0" w:space="0" w:color="auto"/>
                                                                                        <w:bottom w:val="none" w:sz="0" w:space="0" w:color="auto"/>
                                                                                        <w:right w:val="none" w:sz="0" w:space="0" w:color="auto"/>
                                                                                      </w:divBdr>
                                                                                    </w:div>
                                                                                    <w:div w:id="209023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65244829">
      <w:bodyDiv w:val="1"/>
      <w:marLeft w:val="0"/>
      <w:marRight w:val="0"/>
      <w:marTop w:val="0"/>
      <w:marBottom w:val="0"/>
      <w:divBdr>
        <w:top w:val="none" w:sz="0" w:space="0" w:color="auto"/>
        <w:left w:val="none" w:sz="0" w:space="0" w:color="auto"/>
        <w:bottom w:val="none" w:sz="0" w:space="0" w:color="auto"/>
        <w:right w:val="none" w:sz="0" w:space="0" w:color="auto"/>
      </w:divBdr>
    </w:div>
    <w:div w:id="478618597">
      <w:bodyDiv w:val="1"/>
      <w:marLeft w:val="0"/>
      <w:marRight w:val="0"/>
      <w:marTop w:val="0"/>
      <w:marBottom w:val="0"/>
      <w:divBdr>
        <w:top w:val="none" w:sz="0" w:space="0" w:color="auto"/>
        <w:left w:val="none" w:sz="0" w:space="0" w:color="auto"/>
        <w:bottom w:val="none" w:sz="0" w:space="0" w:color="auto"/>
        <w:right w:val="none" w:sz="0" w:space="0" w:color="auto"/>
      </w:divBdr>
      <w:divsChild>
        <w:div w:id="93325130">
          <w:marLeft w:val="0"/>
          <w:marRight w:val="0"/>
          <w:marTop w:val="0"/>
          <w:marBottom w:val="0"/>
          <w:divBdr>
            <w:top w:val="none" w:sz="0" w:space="0" w:color="auto"/>
            <w:left w:val="none" w:sz="0" w:space="0" w:color="auto"/>
            <w:bottom w:val="none" w:sz="0" w:space="0" w:color="auto"/>
            <w:right w:val="none" w:sz="0" w:space="0" w:color="auto"/>
          </w:divBdr>
          <w:divsChild>
            <w:div w:id="851914165">
              <w:marLeft w:val="0"/>
              <w:marRight w:val="0"/>
              <w:marTop w:val="0"/>
              <w:marBottom w:val="0"/>
              <w:divBdr>
                <w:top w:val="none" w:sz="0" w:space="0" w:color="auto"/>
                <w:left w:val="none" w:sz="0" w:space="0" w:color="auto"/>
                <w:bottom w:val="none" w:sz="0" w:space="0" w:color="auto"/>
                <w:right w:val="none" w:sz="0" w:space="0" w:color="auto"/>
              </w:divBdr>
              <w:divsChild>
                <w:div w:id="624238445">
                  <w:marLeft w:val="0"/>
                  <w:marRight w:val="0"/>
                  <w:marTop w:val="0"/>
                  <w:marBottom w:val="0"/>
                  <w:divBdr>
                    <w:top w:val="none" w:sz="0" w:space="0" w:color="auto"/>
                    <w:left w:val="none" w:sz="0" w:space="0" w:color="auto"/>
                    <w:bottom w:val="none" w:sz="0" w:space="0" w:color="auto"/>
                    <w:right w:val="none" w:sz="0" w:space="0" w:color="auto"/>
                  </w:divBdr>
                  <w:divsChild>
                    <w:div w:id="1669938922">
                      <w:marLeft w:val="0"/>
                      <w:marRight w:val="0"/>
                      <w:marTop w:val="0"/>
                      <w:marBottom w:val="0"/>
                      <w:divBdr>
                        <w:top w:val="none" w:sz="0" w:space="0" w:color="auto"/>
                        <w:left w:val="none" w:sz="0" w:space="0" w:color="auto"/>
                        <w:bottom w:val="none" w:sz="0" w:space="0" w:color="auto"/>
                        <w:right w:val="none" w:sz="0" w:space="0" w:color="auto"/>
                      </w:divBdr>
                      <w:divsChild>
                        <w:div w:id="1343557292">
                          <w:marLeft w:val="0"/>
                          <w:marRight w:val="0"/>
                          <w:marTop w:val="0"/>
                          <w:marBottom w:val="0"/>
                          <w:divBdr>
                            <w:top w:val="none" w:sz="0" w:space="0" w:color="auto"/>
                            <w:left w:val="none" w:sz="0" w:space="0" w:color="auto"/>
                            <w:bottom w:val="none" w:sz="0" w:space="0" w:color="auto"/>
                            <w:right w:val="none" w:sz="0" w:space="0" w:color="auto"/>
                          </w:divBdr>
                          <w:divsChild>
                            <w:div w:id="1817410834">
                              <w:marLeft w:val="0"/>
                              <w:marRight w:val="0"/>
                              <w:marTop w:val="0"/>
                              <w:marBottom w:val="0"/>
                              <w:divBdr>
                                <w:top w:val="none" w:sz="0" w:space="0" w:color="auto"/>
                                <w:left w:val="none" w:sz="0" w:space="0" w:color="auto"/>
                                <w:bottom w:val="none" w:sz="0" w:space="0" w:color="auto"/>
                                <w:right w:val="none" w:sz="0" w:space="0" w:color="auto"/>
                              </w:divBdr>
                              <w:divsChild>
                                <w:div w:id="207422791">
                                  <w:marLeft w:val="0"/>
                                  <w:marRight w:val="0"/>
                                  <w:marTop w:val="0"/>
                                  <w:marBottom w:val="0"/>
                                  <w:divBdr>
                                    <w:top w:val="none" w:sz="0" w:space="0" w:color="auto"/>
                                    <w:left w:val="none" w:sz="0" w:space="0" w:color="auto"/>
                                    <w:bottom w:val="none" w:sz="0" w:space="0" w:color="auto"/>
                                    <w:right w:val="none" w:sz="0" w:space="0" w:color="auto"/>
                                  </w:divBdr>
                                  <w:divsChild>
                                    <w:div w:id="1898395826">
                                      <w:marLeft w:val="0"/>
                                      <w:marRight w:val="0"/>
                                      <w:marTop w:val="0"/>
                                      <w:marBottom w:val="0"/>
                                      <w:divBdr>
                                        <w:top w:val="none" w:sz="0" w:space="0" w:color="auto"/>
                                        <w:left w:val="none" w:sz="0" w:space="0" w:color="auto"/>
                                        <w:bottom w:val="none" w:sz="0" w:space="0" w:color="auto"/>
                                        <w:right w:val="none" w:sz="0" w:space="0" w:color="auto"/>
                                      </w:divBdr>
                                      <w:divsChild>
                                        <w:div w:id="1170102314">
                                          <w:marLeft w:val="0"/>
                                          <w:marRight w:val="0"/>
                                          <w:marTop w:val="0"/>
                                          <w:marBottom w:val="0"/>
                                          <w:divBdr>
                                            <w:top w:val="none" w:sz="0" w:space="0" w:color="auto"/>
                                            <w:left w:val="none" w:sz="0" w:space="0" w:color="auto"/>
                                            <w:bottom w:val="none" w:sz="0" w:space="0" w:color="auto"/>
                                            <w:right w:val="none" w:sz="0" w:space="0" w:color="auto"/>
                                          </w:divBdr>
                                          <w:divsChild>
                                            <w:div w:id="802844425">
                                              <w:marLeft w:val="0"/>
                                              <w:marRight w:val="0"/>
                                              <w:marTop w:val="0"/>
                                              <w:marBottom w:val="0"/>
                                              <w:divBdr>
                                                <w:top w:val="none" w:sz="0" w:space="0" w:color="auto"/>
                                                <w:left w:val="none" w:sz="0" w:space="0" w:color="auto"/>
                                                <w:bottom w:val="none" w:sz="0" w:space="0" w:color="auto"/>
                                                <w:right w:val="none" w:sz="0" w:space="0" w:color="auto"/>
                                              </w:divBdr>
                                              <w:divsChild>
                                                <w:div w:id="934902774">
                                                  <w:marLeft w:val="0"/>
                                                  <w:marRight w:val="0"/>
                                                  <w:marTop w:val="0"/>
                                                  <w:marBottom w:val="390"/>
                                                  <w:divBdr>
                                                    <w:top w:val="none" w:sz="0" w:space="0" w:color="auto"/>
                                                    <w:left w:val="none" w:sz="0" w:space="0" w:color="auto"/>
                                                    <w:bottom w:val="none" w:sz="0" w:space="0" w:color="auto"/>
                                                    <w:right w:val="none" w:sz="0" w:space="0" w:color="auto"/>
                                                  </w:divBdr>
                                                  <w:divsChild>
                                                    <w:div w:id="792792113">
                                                      <w:marLeft w:val="0"/>
                                                      <w:marRight w:val="0"/>
                                                      <w:marTop w:val="0"/>
                                                      <w:marBottom w:val="0"/>
                                                      <w:divBdr>
                                                        <w:top w:val="none" w:sz="0" w:space="0" w:color="auto"/>
                                                        <w:left w:val="none" w:sz="0" w:space="0" w:color="auto"/>
                                                        <w:bottom w:val="none" w:sz="0" w:space="0" w:color="auto"/>
                                                        <w:right w:val="none" w:sz="0" w:space="0" w:color="auto"/>
                                                      </w:divBdr>
                                                      <w:divsChild>
                                                        <w:div w:id="1677926517">
                                                          <w:marLeft w:val="0"/>
                                                          <w:marRight w:val="0"/>
                                                          <w:marTop w:val="0"/>
                                                          <w:marBottom w:val="0"/>
                                                          <w:divBdr>
                                                            <w:top w:val="single" w:sz="6" w:space="0" w:color="ABABAB"/>
                                                            <w:left w:val="single" w:sz="6" w:space="0" w:color="ABABAB"/>
                                                            <w:bottom w:val="single" w:sz="6" w:space="0" w:color="ABABAB"/>
                                                            <w:right w:val="single" w:sz="6" w:space="0" w:color="ABABAB"/>
                                                          </w:divBdr>
                                                          <w:divsChild>
                                                            <w:div w:id="2059427048">
                                                              <w:marLeft w:val="0"/>
                                                              <w:marRight w:val="0"/>
                                                              <w:marTop w:val="0"/>
                                                              <w:marBottom w:val="0"/>
                                                              <w:divBdr>
                                                                <w:top w:val="none" w:sz="0" w:space="0" w:color="auto"/>
                                                                <w:left w:val="none" w:sz="0" w:space="0" w:color="auto"/>
                                                                <w:bottom w:val="none" w:sz="0" w:space="0" w:color="auto"/>
                                                                <w:right w:val="none" w:sz="0" w:space="0" w:color="auto"/>
                                                              </w:divBdr>
                                                              <w:divsChild>
                                                                <w:div w:id="736632804">
                                                                  <w:marLeft w:val="0"/>
                                                                  <w:marRight w:val="0"/>
                                                                  <w:marTop w:val="0"/>
                                                                  <w:marBottom w:val="0"/>
                                                                  <w:divBdr>
                                                                    <w:top w:val="none" w:sz="0" w:space="0" w:color="auto"/>
                                                                    <w:left w:val="none" w:sz="0" w:space="0" w:color="auto"/>
                                                                    <w:bottom w:val="none" w:sz="0" w:space="0" w:color="auto"/>
                                                                    <w:right w:val="none" w:sz="0" w:space="0" w:color="auto"/>
                                                                  </w:divBdr>
                                                                  <w:divsChild>
                                                                    <w:div w:id="589584571">
                                                                      <w:marLeft w:val="0"/>
                                                                      <w:marRight w:val="0"/>
                                                                      <w:marTop w:val="0"/>
                                                                      <w:marBottom w:val="0"/>
                                                                      <w:divBdr>
                                                                        <w:top w:val="none" w:sz="0" w:space="0" w:color="auto"/>
                                                                        <w:left w:val="none" w:sz="0" w:space="0" w:color="auto"/>
                                                                        <w:bottom w:val="none" w:sz="0" w:space="0" w:color="auto"/>
                                                                        <w:right w:val="none" w:sz="0" w:space="0" w:color="auto"/>
                                                                      </w:divBdr>
                                                                      <w:divsChild>
                                                                        <w:div w:id="774134434">
                                                                          <w:marLeft w:val="0"/>
                                                                          <w:marRight w:val="0"/>
                                                                          <w:marTop w:val="0"/>
                                                                          <w:marBottom w:val="0"/>
                                                                          <w:divBdr>
                                                                            <w:top w:val="none" w:sz="0" w:space="0" w:color="auto"/>
                                                                            <w:left w:val="none" w:sz="0" w:space="0" w:color="auto"/>
                                                                            <w:bottom w:val="none" w:sz="0" w:space="0" w:color="auto"/>
                                                                            <w:right w:val="none" w:sz="0" w:space="0" w:color="auto"/>
                                                                          </w:divBdr>
                                                                          <w:divsChild>
                                                                            <w:div w:id="1540168840">
                                                                              <w:marLeft w:val="0"/>
                                                                              <w:marRight w:val="0"/>
                                                                              <w:marTop w:val="0"/>
                                                                              <w:marBottom w:val="0"/>
                                                                              <w:divBdr>
                                                                                <w:top w:val="none" w:sz="0" w:space="0" w:color="auto"/>
                                                                                <w:left w:val="none" w:sz="0" w:space="0" w:color="auto"/>
                                                                                <w:bottom w:val="none" w:sz="0" w:space="0" w:color="auto"/>
                                                                                <w:right w:val="none" w:sz="0" w:space="0" w:color="auto"/>
                                                                              </w:divBdr>
                                                                              <w:divsChild>
                                                                                <w:div w:id="729351561">
                                                                                  <w:marLeft w:val="0"/>
                                                                                  <w:marRight w:val="0"/>
                                                                                  <w:marTop w:val="0"/>
                                                                                  <w:marBottom w:val="0"/>
                                                                                  <w:divBdr>
                                                                                    <w:top w:val="none" w:sz="0" w:space="0" w:color="auto"/>
                                                                                    <w:left w:val="none" w:sz="0" w:space="0" w:color="auto"/>
                                                                                    <w:bottom w:val="none" w:sz="0" w:space="0" w:color="auto"/>
                                                                                    <w:right w:val="none" w:sz="0" w:space="0" w:color="auto"/>
                                                                                  </w:divBdr>
                                                                                  <w:divsChild>
                                                                                    <w:div w:id="440686155">
                                                                                      <w:marLeft w:val="0"/>
                                                                                      <w:marRight w:val="0"/>
                                                                                      <w:marTop w:val="0"/>
                                                                                      <w:marBottom w:val="0"/>
                                                                                      <w:divBdr>
                                                                                        <w:top w:val="none" w:sz="0" w:space="0" w:color="auto"/>
                                                                                        <w:left w:val="none" w:sz="0" w:space="0" w:color="auto"/>
                                                                                        <w:bottom w:val="none" w:sz="0" w:space="0" w:color="auto"/>
                                                                                        <w:right w:val="none" w:sz="0" w:space="0" w:color="auto"/>
                                                                                      </w:divBdr>
                                                                                      <w:divsChild>
                                                                                        <w:div w:id="392437238">
                                                                                          <w:marLeft w:val="0"/>
                                                                                          <w:marRight w:val="0"/>
                                                                                          <w:marTop w:val="0"/>
                                                                                          <w:marBottom w:val="0"/>
                                                                                          <w:divBdr>
                                                                                            <w:top w:val="none" w:sz="0" w:space="0" w:color="auto"/>
                                                                                            <w:left w:val="none" w:sz="0" w:space="0" w:color="auto"/>
                                                                                            <w:bottom w:val="none" w:sz="0" w:space="0" w:color="auto"/>
                                                                                            <w:right w:val="none" w:sz="0" w:space="0" w:color="auto"/>
                                                                                          </w:divBdr>
                                                                                        </w:div>
                                                                                        <w:div w:id="1296180423">
                                                                                          <w:marLeft w:val="0"/>
                                                                                          <w:marRight w:val="0"/>
                                                                                          <w:marTop w:val="0"/>
                                                                                          <w:marBottom w:val="0"/>
                                                                                          <w:divBdr>
                                                                                            <w:top w:val="none" w:sz="0" w:space="0" w:color="auto"/>
                                                                                            <w:left w:val="none" w:sz="0" w:space="0" w:color="auto"/>
                                                                                            <w:bottom w:val="none" w:sz="0" w:space="0" w:color="auto"/>
                                                                                            <w:right w:val="none" w:sz="0" w:space="0" w:color="auto"/>
                                                                                          </w:divBdr>
                                                                                        </w:div>
                                                                                        <w:div w:id="1988582957">
                                                                                          <w:marLeft w:val="0"/>
                                                                                          <w:marRight w:val="0"/>
                                                                                          <w:marTop w:val="0"/>
                                                                                          <w:marBottom w:val="0"/>
                                                                                          <w:divBdr>
                                                                                            <w:top w:val="none" w:sz="0" w:space="0" w:color="auto"/>
                                                                                            <w:left w:val="none" w:sz="0" w:space="0" w:color="auto"/>
                                                                                            <w:bottom w:val="none" w:sz="0" w:space="0" w:color="auto"/>
                                                                                            <w:right w:val="none" w:sz="0" w:space="0" w:color="auto"/>
                                                                                          </w:divBdr>
                                                                                        </w:div>
                                                                                        <w:div w:id="2067490797">
                                                                                          <w:marLeft w:val="0"/>
                                                                                          <w:marRight w:val="0"/>
                                                                                          <w:marTop w:val="0"/>
                                                                                          <w:marBottom w:val="0"/>
                                                                                          <w:divBdr>
                                                                                            <w:top w:val="none" w:sz="0" w:space="0" w:color="auto"/>
                                                                                            <w:left w:val="none" w:sz="0" w:space="0" w:color="auto"/>
                                                                                            <w:bottom w:val="none" w:sz="0" w:space="0" w:color="auto"/>
                                                                                            <w:right w:val="none" w:sz="0" w:space="0" w:color="auto"/>
                                                                                          </w:divBdr>
                                                                                        </w:div>
                                                                                      </w:divsChild>
                                                                                    </w:div>
                                                                                    <w:div w:id="1081483942">
                                                                                      <w:marLeft w:val="0"/>
                                                                                      <w:marRight w:val="0"/>
                                                                                      <w:marTop w:val="0"/>
                                                                                      <w:marBottom w:val="0"/>
                                                                                      <w:divBdr>
                                                                                        <w:top w:val="none" w:sz="0" w:space="0" w:color="auto"/>
                                                                                        <w:left w:val="none" w:sz="0" w:space="0" w:color="auto"/>
                                                                                        <w:bottom w:val="none" w:sz="0" w:space="0" w:color="auto"/>
                                                                                        <w:right w:val="none" w:sz="0" w:space="0" w:color="auto"/>
                                                                                      </w:divBdr>
                                                                                    </w:div>
                                                                                    <w:div w:id="130947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46589794">
      <w:bodyDiv w:val="1"/>
      <w:marLeft w:val="0"/>
      <w:marRight w:val="0"/>
      <w:marTop w:val="0"/>
      <w:marBottom w:val="0"/>
      <w:divBdr>
        <w:top w:val="none" w:sz="0" w:space="0" w:color="auto"/>
        <w:left w:val="none" w:sz="0" w:space="0" w:color="auto"/>
        <w:bottom w:val="none" w:sz="0" w:space="0" w:color="auto"/>
        <w:right w:val="none" w:sz="0" w:space="0" w:color="auto"/>
      </w:divBdr>
    </w:div>
    <w:div w:id="659962069">
      <w:bodyDiv w:val="1"/>
      <w:marLeft w:val="0"/>
      <w:marRight w:val="0"/>
      <w:marTop w:val="0"/>
      <w:marBottom w:val="0"/>
      <w:divBdr>
        <w:top w:val="none" w:sz="0" w:space="0" w:color="auto"/>
        <w:left w:val="none" w:sz="0" w:space="0" w:color="auto"/>
        <w:bottom w:val="none" w:sz="0" w:space="0" w:color="auto"/>
        <w:right w:val="none" w:sz="0" w:space="0" w:color="auto"/>
      </w:divBdr>
    </w:div>
    <w:div w:id="683554637">
      <w:bodyDiv w:val="1"/>
      <w:marLeft w:val="0"/>
      <w:marRight w:val="0"/>
      <w:marTop w:val="0"/>
      <w:marBottom w:val="0"/>
      <w:divBdr>
        <w:top w:val="none" w:sz="0" w:space="0" w:color="auto"/>
        <w:left w:val="none" w:sz="0" w:space="0" w:color="auto"/>
        <w:bottom w:val="none" w:sz="0" w:space="0" w:color="auto"/>
        <w:right w:val="none" w:sz="0" w:space="0" w:color="auto"/>
      </w:divBdr>
      <w:divsChild>
        <w:div w:id="1573082679">
          <w:marLeft w:val="0"/>
          <w:marRight w:val="0"/>
          <w:marTop w:val="0"/>
          <w:marBottom w:val="0"/>
          <w:divBdr>
            <w:top w:val="none" w:sz="0" w:space="0" w:color="auto"/>
            <w:left w:val="none" w:sz="0" w:space="0" w:color="auto"/>
            <w:bottom w:val="none" w:sz="0" w:space="0" w:color="auto"/>
            <w:right w:val="none" w:sz="0" w:space="0" w:color="auto"/>
          </w:divBdr>
          <w:divsChild>
            <w:div w:id="294676760">
              <w:marLeft w:val="0"/>
              <w:marRight w:val="0"/>
              <w:marTop w:val="0"/>
              <w:marBottom w:val="0"/>
              <w:divBdr>
                <w:top w:val="none" w:sz="0" w:space="0" w:color="auto"/>
                <w:left w:val="none" w:sz="0" w:space="0" w:color="auto"/>
                <w:bottom w:val="none" w:sz="0" w:space="0" w:color="auto"/>
                <w:right w:val="none" w:sz="0" w:space="0" w:color="auto"/>
              </w:divBdr>
              <w:divsChild>
                <w:div w:id="1472021939">
                  <w:marLeft w:val="0"/>
                  <w:marRight w:val="0"/>
                  <w:marTop w:val="0"/>
                  <w:marBottom w:val="0"/>
                  <w:divBdr>
                    <w:top w:val="none" w:sz="0" w:space="0" w:color="auto"/>
                    <w:left w:val="none" w:sz="0" w:space="0" w:color="auto"/>
                    <w:bottom w:val="none" w:sz="0" w:space="0" w:color="auto"/>
                    <w:right w:val="none" w:sz="0" w:space="0" w:color="auto"/>
                  </w:divBdr>
                  <w:divsChild>
                    <w:div w:id="47383895">
                      <w:marLeft w:val="0"/>
                      <w:marRight w:val="0"/>
                      <w:marTop w:val="0"/>
                      <w:marBottom w:val="0"/>
                      <w:divBdr>
                        <w:top w:val="none" w:sz="0" w:space="0" w:color="auto"/>
                        <w:left w:val="none" w:sz="0" w:space="0" w:color="auto"/>
                        <w:bottom w:val="none" w:sz="0" w:space="0" w:color="auto"/>
                        <w:right w:val="none" w:sz="0" w:space="0" w:color="auto"/>
                      </w:divBdr>
                      <w:divsChild>
                        <w:div w:id="2138599158">
                          <w:marLeft w:val="0"/>
                          <w:marRight w:val="0"/>
                          <w:marTop w:val="0"/>
                          <w:marBottom w:val="0"/>
                          <w:divBdr>
                            <w:top w:val="none" w:sz="0" w:space="0" w:color="auto"/>
                            <w:left w:val="none" w:sz="0" w:space="0" w:color="auto"/>
                            <w:bottom w:val="none" w:sz="0" w:space="0" w:color="auto"/>
                            <w:right w:val="none" w:sz="0" w:space="0" w:color="auto"/>
                          </w:divBdr>
                          <w:divsChild>
                            <w:div w:id="177159062">
                              <w:marLeft w:val="0"/>
                              <w:marRight w:val="0"/>
                              <w:marTop w:val="0"/>
                              <w:marBottom w:val="0"/>
                              <w:divBdr>
                                <w:top w:val="none" w:sz="0" w:space="0" w:color="auto"/>
                                <w:left w:val="none" w:sz="0" w:space="0" w:color="auto"/>
                                <w:bottom w:val="none" w:sz="0" w:space="0" w:color="auto"/>
                                <w:right w:val="none" w:sz="0" w:space="0" w:color="auto"/>
                              </w:divBdr>
                              <w:divsChild>
                                <w:div w:id="1483277219">
                                  <w:marLeft w:val="0"/>
                                  <w:marRight w:val="0"/>
                                  <w:marTop w:val="0"/>
                                  <w:marBottom w:val="0"/>
                                  <w:divBdr>
                                    <w:top w:val="none" w:sz="0" w:space="0" w:color="auto"/>
                                    <w:left w:val="none" w:sz="0" w:space="0" w:color="auto"/>
                                    <w:bottom w:val="none" w:sz="0" w:space="0" w:color="auto"/>
                                    <w:right w:val="none" w:sz="0" w:space="0" w:color="auto"/>
                                  </w:divBdr>
                                  <w:divsChild>
                                    <w:div w:id="1100761916">
                                      <w:marLeft w:val="0"/>
                                      <w:marRight w:val="0"/>
                                      <w:marTop w:val="0"/>
                                      <w:marBottom w:val="0"/>
                                      <w:divBdr>
                                        <w:top w:val="none" w:sz="0" w:space="0" w:color="auto"/>
                                        <w:left w:val="none" w:sz="0" w:space="0" w:color="auto"/>
                                        <w:bottom w:val="none" w:sz="0" w:space="0" w:color="auto"/>
                                        <w:right w:val="none" w:sz="0" w:space="0" w:color="auto"/>
                                      </w:divBdr>
                                      <w:divsChild>
                                        <w:div w:id="1412045741">
                                          <w:marLeft w:val="0"/>
                                          <w:marRight w:val="0"/>
                                          <w:marTop w:val="0"/>
                                          <w:marBottom w:val="0"/>
                                          <w:divBdr>
                                            <w:top w:val="none" w:sz="0" w:space="0" w:color="auto"/>
                                            <w:left w:val="none" w:sz="0" w:space="0" w:color="auto"/>
                                            <w:bottom w:val="none" w:sz="0" w:space="0" w:color="auto"/>
                                            <w:right w:val="none" w:sz="0" w:space="0" w:color="auto"/>
                                          </w:divBdr>
                                          <w:divsChild>
                                            <w:div w:id="830097365">
                                              <w:marLeft w:val="0"/>
                                              <w:marRight w:val="0"/>
                                              <w:marTop w:val="0"/>
                                              <w:marBottom w:val="0"/>
                                              <w:divBdr>
                                                <w:top w:val="none" w:sz="0" w:space="0" w:color="auto"/>
                                                <w:left w:val="none" w:sz="0" w:space="0" w:color="auto"/>
                                                <w:bottom w:val="none" w:sz="0" w:space="0" w:color="auto"/>
                                                <w:right w:val="none" w:sz="0" w:space="0" w:color="auto"/>
                                              </w:divBdr>
                                              <w:divsChild>
                                                <w:div w:id="1880777830">
                                                  <w:marLeft w:val="0"/>
                                                  <w:marRight w:val="0"/>
                                                  <w:marTop w:val="0"/>
                                                  <w:marBottom w:val="390"/>
                                                  <w:divBdr>
                                                    <w:top w:val="none" w:sz="0" w:space="0" w:color="auto"/>
                                                    <w:left w:val="none" w:sz="0" w:space="0" w:color="auto"/>
                                                    <w:bottom w:val="none" w:sz="0" w:space="0" w:color="auto"/>
                                                    <w:right w:val="none" w:sz="0" w:space="0" w:color="auto"/>
                                                  </w:divBdr>
                                                  <w:divsChild>
                                                    <w:div w:id="399056250">
                                                      <w:marLeft w:val="0"/>
                                                      <w:marRight w:val="0"/>
                                                      <w:marTop w:val="0"/>
                                                      <w:marBottom w:val="0"/>
                                                      <w:divBdr>
                                                        <w:top w:val="none" w:sz="0" w:space="0" w:color="auto"/>
                                                        <w:left w:val="none" w:sz="0" w:space="0" w:color="auto"/>
                                                        <w:bottom w:val="none" w:sz="0" w:space="0" w:color="auto"/>
                                                        <w:right w:val="none" w:sz="0" w:space="0" w:color="auto"/>
                                                      </w:divBdr>
                                                      <w:divsChild>
                                                        <w:div w:id="288820736">
                                                          <w:marLeft w:val="0"/>
                                                          <w:marRight w:val="0"/>
                                                          <w:marTop w:val="0"/>
                                                          <w:marBottom w:val="0"/>
                                                          <w:divBdr>
                                                            <w:top w:val="single" w:sz="6" w:space="0" w:color="ABABAB"/>
                                                            <w:left w:val="single" w:sz="6" w:space="0" w:color="ABABAB"/>
                                                            <w:bottom w:val="single" w:sz="6" w:space="0" w:color="ABABAB"/>
                                                            <w:right w:val="single" w:sz="6" w:space="0" w:color="ABABAB"/>
                                                          </w:divBdr>
                                                          <w:divsChild>
                                                            <w:div w:id="978805010">
                                                              <w:marLeft w:val="0"/>
                                                              <w:marRight w:val="0"/>
                                                              <w:marTop w:val="0"/>
                                                              <w:marBottom w:val="0"/>
                                                              <w:divBdr>
                                                                <w:top w:val="none" w:sz="0" w:space="0" w:color="auto"/>
                                                                <w:left w:val="none" w:sz="0" w:space="0" w:color="auto"/>
                                                                <w:bottom w:val="none" w:sz="0" w:space="0" w:color="auto"/>
                                                                <w:right w:val="none" w:sz="0" w:space="0" w:color="auto"/>
                                                              </w:divBdr>
                                                              <w:divsChild>
                                                                <w:div w:id="1322611972">
                                                                  <w:marLeft w:val="0"/>
                                                                  <w:marRight w:val="0"/>
                                                                  <w:marTop w:val="0"/>
                                                                  <w:marBottom w:val="0"/>
                                                                  <w:divBdr>
                                                                    <w:top w:val="none" w:sz="0" w:space="0" w:color="auto"/>
                                                                    <w:left w:val="none" w:sz="0" w:space="0" w:color="auto"/>
                                                                    <w:bottom w:val="none" w:sz="0" w:space="0" w:color="auto"/>
                                                                    <w:right w:val="none" w:sz="0" w:space="0" w:color="auto"/>
                                                                  </w:divBdr>
                                                                  <w:divsChild>
                                                                    <w:div w:id="400300619">
                                                                      <w:marLeft w:val="0"/>
                                                                      <w:marRight w:val="0"/>
                                                                      <w:marTop w:val="0"/>
                                                                      <w:marBottom w:val="0"/>
                                                                      <w:divBdr>
                                                                        <w:top w:val="none" w:sz="0" w:space="0" w:color="auto"/>
                                                                        <w:left w:val="none" w:sz="0" w:space="0" w:color="auto"/>
                                                                        <w:bottom w:val="none" w:sz="0" w:space="0" w:color="auto"/>
                                                                        <w:right w:val="none" w:sz="0" w:space="0" w:color="auto"/>
                                                                      </w:divBdr>
                                                                      <w:divsChild>
                                                                        <w:div w:id="775828034">
                                                                          <w:marLeft w:val="0"/>
                                                                          <w:marRight w:val="0"/>
                                                                          <w:marTop w:val="0"/>
                                                                          <w:marBottom w:val="0"/>
                                                                          <w:divBdr>
                                                                            <w:top w:val="none" w:sz="0" w:space="0" w:color="auto"/>
                                                                            <w:left w:val="none" w:sz="0" w:space="0" w:color="auto"/>
                                                                            <w:bottom w:val="none" w:sz="0" w:space="0" w:color="auto"/>
                                                                            <w:right w:val="none" w:sz="0" w:space="0" w:color="auto"/>
                                                                          </w:divBdr>
                                                                          <w:divsChild>
                                                                            <w:div w:id="462969657">
                                                                              <w:marLeft w:val="0"/>
                                                                              <w:marRight w:val="0"/>
                                                                              <w:marTop w:val="0"/>
                                                                              <w:marBottom w:val="0"/>
                                                                              <w:divBdr>
                                                                                <w:top w:val="none" w:sz="0" w:space="0" w:color="auto"/>
                                                                                <w:left w:val="none" w:sz="0" w:space="0" w:color="auto"/>
                                                                                <w:bottom w:val="none" w:sz="0" w:space="0" w:color="auto"/>
                                                                                <w:right w:val="none" w:sz="0" w:space="0" w:color="auto"/>
                                                                              </w:divBdr>
                                                                              <w:divsChild>
                                                                                <w:div w:id="1083452189">
                                                                                  <w:marLeft w:val="0"/>
                                                                                  <w:marRight w:val="0"/>
                                                                                  <w:marTop w:val="0"/>
                                                                                  <w:marBottom w:val="0"/>
                                                                                  <w:divBdr>
                                                                                    <w:top w:val="none" w:sz="0" w:space="0" w:color="auto"/>
                                                                                    <w:left w:val="none" w:sz="0" w:space="0" w:color="auto"/>
                                                                                    <w:bottom w:val="none" w:sz="0" w:space="0" w:color="auto"/>
                                                                                    <w:right w:val="none" w:sz="0" w:space="0" w:color="auto"/>
                                                                                  </w:divBdr>
                                                                                  <w:divsChild>
                                                                                    <w:div w:id="308171206">
                                                                                      <w:marLeft w:val="0"/>
                                                                                      <w:marRight w:val="0"/>
                                                                                      <w:marTop w:val="0"/>
                                                                                      <w:marBottom w:val="0"/>
                                                                                      <w:divBdr>
                                                                                        <w:top w:val="none" w:sz="0" w:space="0" w:color="auto"/>
                                                                                        <w:left w:val="none" w:sz="0" w:space="0" w:color="auto"/>
                                                                                        <w:bottom w:val="none" w:sz="0" w:space="0" w:color="auto"/>
                                                                                        <w:right w:val="none" w:sz="0" w:space="0" w:color="auto"/>
                                                                                      </w:divBdr>
                                                                                      <w:divsChild>
                                                                                        <w:div w:id="93404392">
                                                                                          <w:marLeft w:val="0"/>
                                                                                          <w:marRight w:val="0"/>
                                                                                          <w:marTop w:val="0"/>
                                                                                          <w:marBottom w:val="0"/>
                                                                                          <w:divBdr>
                                                                                            <w:top w:val="none" w:sz="0" w:space="0" w:color="auto"/>
                                                                                            <w:left w:val="none" w:sz="0" w:space="0" w:color="auto"/>
                                                                                            <w:bottom w:val="none" w:sz="0" w:space="0" w:color="auto"/>
                                                                                            <w:right w:val="none" w:sz="0" w:space="0" w:color="auto"/>
                                                                                          </w:divBdr>
                                                                                        </w:div>
                                                                                        <w:div w:id="446975287">
                                                                                          <w:marLeft w:val="0"/>
                                                                                          <w:marRight w:val="0"/>
                                                                                          <w:marTop w:val="0"/>
                                                                                          <w:marBottom w:val="0"/>
                                                                                          <w:divBdr>
                                                                                            <w:top w:val="none" w:sz="0" w:space="0" w:color="auto"/>
                                                                                            <w:left w:val="none" w:sz="0" w:space="0" w:color="auto"/>
                                                                                            <w:bottom w:val="none" w:sz="0" w:space="0" w:color="auto"/>
                                                                                            <w:right w:val="none" w:sz="0" w:space="0" w:color="auto"/>
                                                                                          </w:divBdr>
                                                                                        </w:div>
                                                                                        <w:div w:id="1639991738">
                                                                                          <w:marLeft w:val="0"/>
                                                                                          <w:marRight w:val="0"/>
                                                                                          <w:marTop w:val="0"/>
                                                                                          <w:marBottom w:val="0"/>
                                                                                          <w:divBdr>
                                                                                            <w:top w:val="none" w:sz="0" w:space="0" w:color="auto"/>
                                                                                            <w:left w:val="none" w:sz="0" w:space="0" w:color="auto"/>
                                                                                            <w:bottom w:val="none" w:sz="0" w:space="0" w:color="auto"/>
                                                                                            <w:right w:val="none" w:sz="0" w:space="0" w:color="auto"/>
                                                                                          </w:divBdr>
                                                                                        </w:div>
                                                                                        <w:div w:id="1887831327">
                                                                                          <w:marLeft w:val="0"/>
                                                                                          <w:marRight w:val="0"/>
                                                                                          <w:marTop w:val="0"/>
                                                                                          <w:marBottom w:val="0"/>
                                                                                          <w:divBdr>
                                                                                            <w:top w:val="none" w:sz="0" w:space="0" w:color="auto"/>
                                                                                            <w:left w:val="none" w:sz="0" w:space="0" w:color="auto"/>
                                                                                            <w:bottom w:val="none" w:sz="0" w:space="0" w:color="auto"/>
                                                                                            <w:right w:val="none" w:sz="0" w:space="0" w:color="auto"/>
                                                                                          </w:divBdr>
                                                                                        </w:div>
                                                                                      </w:divsChild>
                                                                                    </w:div>
                                                                                    <w:div w:id="993490038">
                                                                                      <w:marLeft w:val="0"/>
                                                                                      <w:marRight w:val="0"/>
                                                                                      <w:marTop w:val="0"/>
                                                                                      <w:marBottom w:val="0"/>
                                                                                      <w:divBdr>
                                                                                        <w:top w:val="none" w:sz="0" w:space="0" w:color="auto"/>
                                                                                        <w:left w:val="none" w:sz="0" w:space="0" w:color="auto"/>
                                                                                        <w:bottom w:val="none" w:sz="0" w:space="0" w:color="auto"/>
                                                                                        <w:right w:val="none" w:sz="0" w:space="0" w:color="auto"/>
                                                                                      </w:divBdr>
                                                                                    </w:div>
                                                                                    <w:div w:id="147752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2464396">
      <w:bodyDiv w:val="1"/>
      <w:marLeft w:val="0"/>
      <w:marRight w:val="0"/>
      <w:marTop w:val="0"/>
      <w:marBottom w:val="0"/>
      <w:divBdr>
        <w:top w:val="none" w:sz="0" w:space="0" w:color="auto"/>
        <w:left w:val="none" w:sz="0" w:space="0" w:color="auto"/>
        <w:bottom w:val="none" w:sz="0" w:space="0" w:color="auto"/>
        <w:right w:val="none" w:sz="0" w:space="0" w:color="auto"/>
      </w:divBdr>
      <w:divsChild>
        <w:div w:id="2016884304">
          <w:marLeft w:val="0"/>
          <w:marRight w:val="0"/>
          <w:marTop w:val="0"/>
          <w:marBottom w:val="0"/>
          <w:divBdr>
            <w:top w:val="none" w:sz="0" w:space="0" w:color="auto"/>
            <w:left w:val="none" w:sz="0" w:space="0" w:color="auto"/>
            <w:bottom w:val="none" w:sz="0" w:space="0" w:color="auto"/>
            <w:right w:val="none" w:sz="0" w:space="0" w:color="auto"/>
          </w:divBdr>
          <w:divsChild>
            <w:div w:id="1780679616">
              <w:marLeft w:val="0"/>
              <w:marRight w:val="0"/>
              <w:marTop w:val="0"/>
              <w:marBottom w:val="0"/>
              <w:divBdr>
                <w:top w:val="none" w:sz="0" w:space="0" w:color="auto"/>
                <w:left w:val="none" w:sz="0" w:space="0" w:color="auto"/>
                <w:bottom w:val="none" w:sz="0" w:space="0" w:color="auto"/>
                <w:right w:val="none" w:sz="0" w:space="0" w:color="auto"/>
              </w:divBdr>
              <w:divsChild>
                <w:div w:id="985663758">
                  <w:marLeft w:val="0"/>
                  <w:marRight w:val="0"/>
                  <w:marTop w:val="0"/>
                  <w:marBottom w:val="0"/>
                  <w:divBdr>
                    <w:top w:val="none" w:sz="0" w:space="0" w:color="auto"/>
                    <w:left w:val="none" w:sz="0" w:space="0" w:color="auto"/>
                    <w:bottom w:val="none" w:sz="0" w:space="0" w:color="auto"/>
                    <w:right w:val="none" w:sz="0" w:space="0" w:color="auto"/>
                  </w:divBdr>
                  <w:divsChild>
                    <w:div w:id="1851290250">
                      <w:marLeft w:val="0"/>
                      <w:marRight w:val="0"/>
                      <w:marTop w:val="0"/>
                      <w:marBottom w:val="0"/>
                      <w:divBdr>
                        <w:top w:val="none" w:sz="0" w:space="0" w:color="auto"/>
                        <w:left w:val="none" w:sz="0" w:space="0" w:color="auto"/>
                        <w:bottom w:val="none" w:sz="0" w:space="0" w:color="auto"/>
                        <w:right w:val="none" w:sz="0" w:space="0" w:color="auto"/>
                      </w:divBdr>
                      <w:divsChild>
                        <w:div w:id="559755804">
                          <w:marLeft w:val="0"/>
                          <w:marRight w:val="0"/>
                          <w:marTop w:val="0"/>
                          <w:marBottom w:val="0"/>
                          <w:divBdr>
                            <w:top w:val="none" w:sz="0" w:space="0" w:color="auto"/>
                            <w:left w:val="none" w:sz="0" w:space="0" w:color="auto"/>
                            <w:bottom w:val="none" w:sz="0" w:space="0" w:color="auto"/>
                            <w:right w:val="none" w:sz="0" w:space="0" w:color="auto"/>
                          </w:divBdr>
                          <w:divsChild>
                            <w:div w:id="1095202752">
                              <w:marLeft w:val="0"/>
                              <w:marRight w:val="0"/>
                              <w:marTop w:val="0"/>
                              <w:marBottom w:val="0"/>
                              <w:divBdr>
                                <w:top w:val="none" w:sz="0" w:space="0" w:color="auto"/>
                                <w:left w:val="none" w:sz="0" w:space="0" w:color="auto"/>
                                <w:bottom w:val="none" w:sz="0" w:space="0" w:color="auto"/>
                                <w:right w:val="none" w:sz="0" w:space="0" w:color="auto"/>
                              </w:divBdr>
                              <w:divsChild>
                                <w:div w:id="1198542578">
                                  <w:marLeft w:val="0"/>
                                  <w:marRight w:val="0"/>
                                  <w:marTop w:val="0"/>
                                  <w:marBottom w:val="0"/>
                                  <w:divBdr>
                                    <w:top w:val="none" w:sz="0" w:space="0" w:color="auto"/>
                                    <w:left w:val="none" w:sz="0" w:space="0" w:color="auto"/>
                                    <w:bottom w:val="none" w:sz="0" w:space="0" w:color="auto"/>
                                    <w:right w:val="none" w:sz="0" w:space="0" w:color="auto"/>
                                  </w:divBdr>
                                  <w:divsChild>
                                    <w:div w:id="625429244">
                                      <w:marLeft w:val="0"/>
                                      <w:marRight w:val="0"/>
                                      <w:marTop w:val="0"/>
                                      <w:marBottom w:val="0"/>
                                      <w:divBdr>
                                        <w:top w:val="none" w:sz="0" w:space="0" w:color="auto"/>
                                        <w:left w:val="none" w:sz="0" w:space="0" w:color="auto"/>
                                        <w:bottom w:val="none" w:sz="0" w:space="0" w:color="auto"/>
                                        <w:right w:val="none" w:sz="0" w:space="0" w:color="auto"/>
                                      </w:divBdr>
                                      <w:divsChild>
                                        <w:div w:id="445274743">
                                          <w:marLeft w:val="0"/>
                                          <w:marRight w:val="0"/>
                                          <w:marTop w:val="0"/>
                                          <w:marBottom w:val="0"/>
                                          <w:divBdr>
                                            <w:top w:val="none" w:sz="0" w:space="0" w:color="auto"/>
                                            <w:left w:val="none" w:sz="0" w:space="0" w:color="auto"/>
                                            <w:bottom w:val="none" w:sz="0" w:space="0" w:color="auto"/>
                                            <w:right w:val="none" w:sz="0" w:space="0" w:color="auto"/>
                                          </w:divBdr>
                                          <w:divsChild>
                                            <w:div w:id="165443002">
                                              <w:marLeft w:val="0"/>
                                              <w:marRight w:val="0"/>
                                              <w:marTop w:val="0"/>
                                              <w:marBottom w:val="0"/>
                                              <w:divBdr>
                                                <w:top w:val="none" w:sz="0" w:space="0" w:color="auto"/>
                                                <w:left w:val="none" w:sz="0" w:space="0" w:color="auto"/>
                                                <w:bottom w:val="none" w:sz="0" w:space="0" w:color="auto"/>
                                                <w:right w:val="none" w:sz="0" w:space="0" w:color="auto"/>
                                              </w:divBdr>
                                              <w:divsChild>
                                                <w:div w:id="1306354812">
                                                  <w:marLeft w:val="0"/>
                                                  <w:marRight w:val="0"/>
                                                  <w:marTop w:val="0"/>
                                                  <w:marBottom w:val="390"/>
                                                  <w:divBdr>
                                                    <w:top w:val="none" w:sz="0" w:space="0" w:color="auto"/>
                                                    <w:left w:val="none" w:sz="0" w:space="0" w:color="auto"/>
                                                    <w:bottom w:val="none" w:sz="0" w:space="0" w:color="auto"/>
                                                    <w:right w:val="none" w:sz="0" w:space="0" w:color="auto"/>
                                                  </w:divBdr>
                                                  <w:divsChild>
                                                    <w:div w:id="1663074238">
                                                      <w:marLeft w:val="0"/>
                                                      <w:marRight w:val="0"/>
                                                      <w:marTop w:val="0"/>
                                                      <w:marBottom w:val="0"/>
                                                      <w:divBdr>
                                                        <w:top w:val="none" w:sz="0" w:space="0" w:color="auto"/>
                                                        <w:left w:val="none" w:sz="0" w:space="0" w:color="auto"/>
                                                        <w:bottom w:val="none" w:sz="0" w:space="0" w:color="auto"/>
                                                        <w:right w:val="none" w:sz="0" w:space="0" w:color="auto"/>
                                                      </w:divBdr>
                                                      <w:divsChild>
                                                        <w:div w:id="506602898">
                                                          <w:marLeft w:val="0"/>
                                                          <w:marRight w:val="0"/>
                                                          <w:marTop w:val="0"/>
                                                          <w:marBottom w:val="0"/>
                                                          <w:divBdr>
                                                            <w:top w:val="single" w:sz="6" w:space="0" w:color="ABABAB"/>
                                                            <w:left w:val="single" w:sz="6" w:space="0" w:color="ABABAB"/>
                                                            <w:bottom w:val="single" w:sz="6" w:space="0" w:color="ABABAB"/>
                                                            <w:right w:val="single" w:sz="6" w:space="0" w:color="ABABAB"/>
                                                          </w:divBdr>
                                                          <w:divsChild>
                                                            <w:div w:id="538591731">
                                                              <w:marLeft w:val="0"/>
                                                              <w:marRight w:val="0"/>
                                                              <w:marTop w:val="0"/>
                                                              <w:marBottom w:val="0"/>
                                                              <w:divBdr>
                                                                <w:top w:val="none" w:sz="0" w:space="0" w:color="auto"/>
                                                                <w:left w:val="none" w:sz="0" w:space="0" w:color="auto"/>
                                                                <w:bottom w:val="none" w:sz="0" w:space="0" w:color="auto"/>
                                                                <w:right w:val="none" w:sz="0" w:space="0" w:color="auto"/>
                                                              </w:divBdr>
                                                              <w:divsChild>
                                                                <w:div w:id="1821271338">
                                                                  <w:marLeft w:val="0"/>
                                                                  <w:marRight w:val="0"/>
                                                                  <w:marTop w:val="0"/>
                                                                  <w:marBottom w:val="0"/>
                                                                  <w:divBdr>
                                                                    <w:top w:val="none" w:sz="0" w:space="0" w:color="auto"/>
                                                                    <w:left w:val="none" w:sz="0" w:space="0" w:color="auto"/>
                                                                    <w:bottom w:val="none" w:sz="0" w:space="0" w:color="auto"/>
                                                                    <w:right w:val="none" w:sz="0" w:space="0" w:color="auto"/>
                                                                  </w:divBdr>
                                                                  <w:divsChild>
                                                                    <w:div w:id="1128428985">
                                                                      <w:marLeft w:val="0"/>
                                                                      <w:marRight w:val="0"/>
                                                                      <w:marTop w:val="0"/>
                                                                      <w:marBottom w:val="0"/>
                                                                      <w:divBdr>
                                                                        <w:top w:val="none" w:sz="0" w:space="0" w:color="auto"/>
                                                                        <w:left w:val="none" w:sz="0" w:space="0" w:color="auto"/>
                                                                        <w:bottom w:val="none" w:sz="0" w:space="0" w:color="auto"/>
                                                                        <w:right w:val="none" w:sz="0" w:space="0" w:color="auto"/>
                                                                      </w:divBdr>
                                                                      <w:divsChild>
                                                                        <w:div w:id="1270313894">
                                                                          <w:marLeft w:val="0"/>
                                                                          <w:marRight w:val="0"/>
                                                                          <w:marTop w:val="0"/>
                                                                          <w:marBottom w:val="0"/>
                                                                          <w:divBdr>
                                                                            <w:top w:val="none" w:sz="0" w:space="0" w:color="auto"/>
                                                                            <w:left w:val="none" w:sz="0" w:space="0" w:color="auto"/>
                                                                            <w:bottom w:val="none" w:sz="0" w:space="0" w:color="auto"/>
                                                                            <w:right w:val="none" w:sz="0" w:space="0" w:color="auto"/>
                                                                          </w:divBdr>
                                                                          <w:divsChild>
                                                                            <w:div w:id="1757969355">
                                                                              <w:marLeft w:val="0"/>
                                                                              <w:marRight w:val="0"/>
                                                                              <w:marTop w:val="0"/>
                                                                              <w:marBottom w:val="0"/>
                                                                              <w:divBdr>
                                                                                <w:top w:val="none" w:sz="0" w:space="0" w:color="auto"/>
                                                                                <w:left w:val="none" w:sz="0" w:space="0" w:color="auto"/>
                                                                                <w:bottom w:val="none" w:sz="0" w:space="0" w:color="auto"/>
                                                                                <w:right w:val="none" w:sz="0" w:space="0" w:color="auto"/>
                                                                              </w:divBdr>
                                                                              <w:divsChild>
                                                                                <w:div w:id="684746525">
                                                                                  <w:marLeft w:val="0"/>
                                                                                  <w:marRight w:val="0"/>
                                                                                  <w:marTop w:val="0"/>
                                                                                  <w:marBottom w:val="0"/>
                                                                                  <w:divBdr>
                                                                                    <w:top w:val="none" w:sz="0" w:space="0" w:color="auto"/>
                                                                                    <w:left w:val="none" w:sz="0" w:space="0" w:color="auto"/>
                                                                                    <w:bottom w:val="none" w:sz="0" w:space="0" w:color="auto"/>
                                                                                    <w:right w:val="none" w:sz="0" w:space="0" w:color="auto"/>
                                                                                  </w:divBdr>
                                                                                  <w:divsChild>
                                                                                    <w:div w:id="252205614">
                                                                                      <w:marLeft w:val="0"/>
                                                                                      <w:marRight w:val="0"/>
                                                                                      <w:marTop w:val="0"/>
                                                                                      <w:marBottom w:val="0"/>
                                                                                      <w:divBdr>
                                                                                        <w:top w:val="none" w:sz="0" w:space="0" w:color="auto"/>
                                                                                        <w:left w:val="none" w:sz="0" w:space="0" w:color="auto"/>
                                                                                        <w:bottom w:val="none" w:sz="0" w:space="0" w:color="auto"/>
                                                                                        <w:right w:val="none" w:sz="0" w:space="0" w:color="auto"/>
                                                                                      </w:divBdr>
                                                                                      <w:divsChild>
                                                                                        <w:div w:id="651762275">
                                                                                          <w:marLeft w:val="0"/>
                                                                                          <w:marRight w:val="0"/>
                                                                                          <w:marTop w:val="0"/>
                                                                                          <w:marBottom w:val="0"/>
                                                                                          <w:divBdr>
                                                                                            <w:top w:val="none" w:sz="0" w:space="0" w:color="auto"/>
                                                                                            <w:left w:val="none" w:sz="0" w:space="0" w:color="auto"/>
                                                                                            <w:bottom w:val="none" w:sz="0" w:space="0" w:color="auto"/>
                                                                                            <w:right w:val="none" w:sz="0" w:space="0" w:color="auto"/>
                                                                                          </w:divBdr>
                                                                                        </w:div>
                                                                                        <w:div w:id="1566532304">
                                                                                          <w:marLeft w:val="0"/>
                                                                                          <w:marRight w:val="0"/>
                                                                                          <w:marTop w:val="0"/>
                                                                                          <w:marBottom w:val="0"/>
                                                                                          <w:divBdr>
                                                                                            <w:top w:val="none" w:sz="0" w:space="0" w:color="auto"/>
                                                                                            <w:left w:val="none" w:sz="0" w:space="0" w:color="auto"/>
                                                                                            <w:bottom w:val="none" w:sz="0" w:space="0" w:color="auto"/>
                                                                                            <w:right w:val="none" w:sz="0" w:space="0" w:color="auto"/>
                                                                                          </w:divBdr>
                                                                                        </w:div>
                                                                                        <w:div w:id="1585728070">
                                                                                          <w:marLeft w:val="0"/>
                                                                                          <w:marRight w:val="0"/>
                                                                                          <w:marTop w:val="0"/>
                                                                                          <w:marBottom w:val="0"/>
                                                                                          <w:divBdr>
                                                                                            <w:top w:val="none" w:sz="0" w:space="0" w:color="auto"/>
                                                                                            <w:left w:val="none" w:sz="0" w:space="0" w:color="auto"/>
                                                                                            <w:bottom w:val="none" w:sz="0" w:space="0" w:color="auto"/>
                                                                                            <w:right w:val="none" w:sz="0" w:space="0" w:color="auto"/>
                                                                                          </w:divBdr>
                                                                                        </w:div>
                                                                                        <w:div w:id="2104103218">
                                                                                          <w:marLeft w:val="0"/>
                                                                                          <w:marRight w:val="0"/>
                                                                                          <w:marTop w:val="0"/>
                                                                                          <w:marBottom w:val="0"/>
                                                                                          <w:divBdr>
                                                                                            <w:top w:val="none" w:sz="0" w:space="0" w:color="auto"/>
                                                                                            <w:left w:val="none" w:sz="0" w:space="0" w:color="auto"/>
                                                                                            <w:bottom w:val="none" w:sz="0" w:space="0" w:color="auto"/>
                                                                                            <w:right w:val="none" w:sz="0" w:space="0" w:color="auto"/>
                                                                                          </w:divBdr>
                                                                                        </w:div>
                                                                                      </w:divsChild>
                                                                                    </w:div>
                                                                                    <w:div w:id="1613434077">
                                                                                      <w:marLeft w:val="0"/>
                                                                                      <w:marRight w:val="0"/>
                                                                                      <w:marTop w:val="0"/>
                                                                                      <w:marBottom w:val="0"/>
                                                                                      <w:divBdr>
                                                                                        <w:top w:val="none" w:sz="0" w:space="0" w:color="auto"/>
                                                                                        <w:left w:val="none" w:sz="0" w:space="0" w:color="auto"/>
                                                                                        <w:bottom w:val="none" w:sz="0" w:space="0" w:color="auto"/>
                                                                                        <w:right w:val="none" w:sz="0" w:space="0" w:color="auto"/>
                                                                                      </w:divBdr>
                                                                                    </w:div>
                                                                                    <w:div w:id="195887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6272328">
      <w:bodyDiv w:val="1"/>
      <w:marLeft w:val="0"/>
      <w:marRight w:val="0"/>
      <w:marTop w:val="0"/>
      <w:marBottom w:val="0"/>
      <w:divBdr>
        <w:top w:val="none" w:sz="0" w:space="0" w:color="auto"/>
        <w:left w:val="none" w:sz="0" w:space="0" w:color="auto"/>
        <w:bottom w:val="none" w:sz="0" w:space="0" w:color="auto"/>
        <w:right w:val="none" w:sz="0" w:space="0" w:color="auto"/>
      </w:divBdr>
    </w:div>
    <w:div w:id="873922959">
      <w:bodyDiv w:val="1"/>
      <w:marLeft w:val="0"/>
      <w:marRight w:val="0"/>
      <w:marTop w:val="0"/>
      <w:marBottom w:val="0"/>
      <w:divBdr>
        <w:top w:val="none" w:sz="0" w:space="0" w:color="auto"/>
        <w:left w:val="none" w:sz="0" w:space="0" w:color="auto"/>
        <w:bottom w:val="none" w:sz="0" w:space="0" w:color="auto"/>
        <w:right w:val="none" w:sz="0" w:space="0" w:color="auto"/>
      </w:divBdr>
    </w:div>
    <w:div w:id="909652693">
      <w:bodyDiv w:val="1"/>
      <w:marLeft w:val="0"/>
      <w:marRight w:val="0"/>
      <w:marTop w:val="0"/>
      <w:marBottom w:val="0"/>
      <w:divBdr>
        <w:top w:val="none" w:sz="0" w:space="0" w:color="auto"/>
        <w:left w:val="none" w:sz="0" w:space="0" w:color="auto"/>
        <w:bottom w:val="none" w:sz="0" w:space="0" w:color="auto"/>
        <w:right w:val="none" w:sz="0" w:space="0" w:color="auto"/>
      </w:divBdr>
    </w:div>
    <w:div w:id="1117062500">
      <w:bodyDiv w:val="1"/>
      <w:marLeft w:val="0"/>
      <w:marRight w:val="0"/>
      <w:marTop w:val="0"/>
      <w:marBottom w:val="0"/>
      <w:divBdr>
        <w:top w:val="none" w:sz="0" w:space="0" w:color="auto"/>
        <w:left w:val="none" w:sz="0" w:space="0" w:color="auto"/>
        <w:bottom w:val="none" w:sz="0" w:space="0" w:color="auto"/>
        <w:right w:val="none" w:sz="0" w:space="0" w:color="auto"/>
      </w:divBdr>
    </w:div>
    <w:div w:id="1230919598">
      <w:bodyDiv w:val="1"/>
      <w:marLeft w:val="0"/>
      <w:marRight w:val="0"/>
      <w:marTop w:val="0"/>
      <w:marBottom w:val="0"/>
      <w:divBdr>
        <w:top w:val="none" w:sz="0" w:space="0" w:color="auto"/>
        <w:left w:val="none" w:sz="0" w:space="0" w:color="auto"/>
        <w:bottom w:val="none" w:sz="0" w:space="0" w:color="auto"/>
        <w:right w:val="none" w:sz="0" w:space="0" w:color="auto"/>
      </w:divBdr>
    </w:div>
    <w:div w:id="1246107806">
      <w:bodyDiv w:val="1"/>
      <w:marLeft w:val="0"/>
      <w:marRight w:val="0"/>
      <w:marTop w:val="0"/>
      <w:marBottom w:val="0"/>
      <w:divBdr>
        <w:top w:val="none" w:sz="0" w:space="0" w:color="auto"/>
        <w:left w:val="none" w:sz="0" w:space="0" w:color="auto"/>
        <w:bottom w:val="none" w:sz="0" w:space="0" w:color="auto"/>
        <w:right w:val="none" w:sz="0" w:space="0" w:color="auto"/>
      </w:divBdr>
    </w:div>
    <w:div w:id="1452941115">
      <w:bodyDiv w:val="1"/>
      <w:marLeft w:val="0"/>
      <w:marRight w:val="0"/>
      <w:marTop w:val="0"/>
      <w:marBottom w:val="0"/>
      <w:divBdr>
        <w:top w:val="none" w:sz="0" w:space="0" w:color="auto"/>
        <w:left w:val="none" w:sz="0" w:space="0" w:color="auto"/>
        <w:bottom w:val="none" w:sz="0" w:space="0" w:color="auto"/>
        <w:right w:val="none" w:sz="0" w:space="0" w:color="auto"/>
      </w:divBdr>
    </w:div>
    <w:div w:id="1816019775">
      <w:bodyDiv w:val="1"/>
      <w:marLeft w:val="0"/>
      <w:marRight w:val="0"/>
      <w:marTop w:val="0"/>
      <w:marBottom w:val="0"/>
      <w:divBdr>
        <w:top w:val="none" w:sz="0" w:space="0" w:color="auto"/>
        <w:left w:val="none" w:sz="0" w:space="0" w:color="auto"/>
        <w:bottom w:val="none" w:sz="0" w:space="0" w:color="auto"/>
        <w:right w:val="none" w:sz="0" w:space="0" w:color="auto"/>
      </w:divBdr>
    </w:div>
    <w:div w:id="193239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6.xml"/><Relationship Id="rId21" Type="http://schemas.openxmlformats.org/officeDocument/2006/relationships/footer" Target="footer5.xml"/><Relationship Id="rId42" Type="http://schemas.openxmlformats.org/officeDocument/2006/relationships/footer" Target="footer18.xml"/><Relationship Id="rId47" Type="http://schemas.openxmlformats.org/officeDocument/2006/relationships/footer" Target="footer21.xml"/><Relationship Id="rId63" Type="http://schemas.openxmlformats.org/officeDocument/2006/relationships/footer" Target="footer31.xml"/><Relationship Id="rId68" Type="http://schemas.openxmlformats.org/officeDocument/2006/relationships/footer" Target="footer34.xml"/><Relationship Id="rId84" Type="http://schemas.openxmlformats.org/officeDocument/2006/relationships/footer" Target="footer43.xml"/><Relationship Id="rId16" Type="http://schemas.openxmlformats.org/officeDocument/2006/relationships/footer" Target="footer2.xml"/><Relationship Id="rId11" Type="http://schemas.openxmlformats.org/officeDocument/2006/relationships/endnotes" Target="endnotes.xml"/><Relationship Id="rId32" Type="http://schemas.openxmlformats.org/officeDocument/2006/relationships/footer" Target="footer12.xml"/><Relationship Id="rId37" Type="http://schemas.openxmlformats.org/officeDocument/2006/relationships/footer" Target="footer15.xml"/><Relationship Id="rId53" Type="http://schemas.openxmlformats.org/officeDocument/2006/relationships/header" Target="header16.xml"/><Relationship Id="rId58" Type="http://schemas.openxmlformats.org/officeDocument/2006/relationships/footer" Target="footer27.xml"/><Relationship Id="rId74" Type="http://schemas.openxmlformats.org/officeDocument/2006/relationships/header" Target="header24.xml"/><Relationship Id="rId79" Type="http://schemas.openxmlformats.org/officeDocument/2006/relationships/footer" Target="footer40.xml"/><Relationship Id="rId5" Type="http://schemas.openxmlformats.org/officeDocument/2006/relationships/customXml" Target="../customXml/item5.xml"/><Relationship Id="rId19" Type="http://schemas.openxmlformats.org/officeDocument/2006/relationships/footer" Target="footer3.xm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footer" Target="footer8.xml"/><Relationship Id="rId30" Type="http://schemas.openxmlformats.org/officeDocument/2006/relationships/header" Target="header7.xml"/><Relationship Id="rId35" Type="http://schemas.openxmlformats.org/officeDocument/2006/relationships/footer" Target="footer13.xml"/><Relationship Id="rId43" Type="http://schemas.openxmlformats.org/officeDocument/2006/relationships/header" Target="header12.xml"/><Relationship Id="rId48" Type="http://schemas.openxmlformats.org/officeDocument/2006/relationships/header" Target="header14.xml"/><Relationship Id="rId56" Type="http://schemas.openxmlformats.org/officeDocument/2006/relationships/header" Target="header17.xml"/><Relationship Id="rId64" Type="http://schemas.openxmlformats.org/officeDocument/2006/relationships/header" Target="header20.xml"/><Relationship Id="rId69" Type="http://schemas.openxmlformats.org/officeDocument/2006/relationships/header" Target="header22.xml"/><Relationship Id="rId77" Type="http://schemas.openxmlformats.org/officeDocument/2006/relationships/header" Target="header25.xml"/><Relationship Id="rId8" Type="http://schemas.openxmlformats.org/officeDocument/2006/relationships/settings" Target="settings.xml"/><Relationship Id="rId51" Type="http://schemas.openxmlformats.org/officeDocument/2006/relationships/footer" Target="footer23.xml"/><Relationship Id="rId72" Type="http://schemas.openxmlformats.org/officeDocument/2006/relationships/footer" Target="footer36.xml"/><Relationship Id="rId80" Type="http://schemas.openxmlformats.org/officeDocument/2006/relationships/footer" Target="footer41.xml"/><Relationship Id="rId85" Type="http://schemas.openxmlformats.org/officeDocument/2006/relationships/footer" Target="footer44.xml"/><Relationship Id="rId3" Type="http://schemas.openxmlformats.org/officeDocument/2006/relationships/customXml" Target="../customXml/item3.xml"/><Relationship Id="rId12" Type="http://schemas.openxmlformats.org/officeDocument/2006/relationships/image" Target="media/image1.wmf"/><Relationship Id="rId17" Type="http://schemas.openxmlformats.org/officeDocument/2006/relationships/header" Target="header2.xml"/><Relationship Id="rId25" Type="http://schemas.openxmlformats.org/officeDocument/2006/relationships/header" Target="header5.xml"/><Relationship Id="rId33" Type="http://schemas.openxmlformats.org/officeDocument/2006/relationships/header" Target="header8.xml"/><Relationship Id="rId38" Type="http://schemas.openxmlformats.org/officeDocument/2006/relationships/header" Target="header10.xml"/><Relationship Id="rId46" Type="http://schemas.openxmlformats.org/officeDocument/2006/relationships/footer" Target="footer20.xml"/><Relationship Id="rId59" Type="http://schemas.openxmlformats.org/officeDocument/2006/relationships/footer" Target="footer28.xml"/><Relationship Id="rId67" Type="http://schemas.openxmlformats.org/officeDocument/2006/relationships/footer" Target="footer33.xml"/><Relationship Id="rId20" Type="http://schemas.openxmlformats.org/officeDocument/2006/relationships/footer" Target="footer4.xml"/><Relationship Id="rId41" Type="http://schemas.openxmlformats.org/officeDocument/2006/relationships/footer" Target="footer17.xml"/><Relationship Id="rId54" Type="http://schemas.openxmlformats.org/officeDocument/2006/relationships/footer" Target="footer25.xml"/><Relationship Id="rId62" Type="http://schemas.openxmlformats.org/officeDocument/2006/relationships/footer" Target="footer30.xml"/><Relationship Id="rId70" Type="http://schemas.openxmlformats.org/officeDocument/2006/relationships/header" Target="header23.xml"/><Relationship Id="rId75" Type="http://schemas.openxmlformats.org/officeDocument/2006/relationships/footer" Target="footer38.xml"/><Relationship Id="rId83" Type="http://schemas.openxmlformats.org/officeDocument/2006/relationships/footer" Target="footer42.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6.xml"/><Relationship Id="rId28" Type="http://schemas.openxmlformats.org/officeDocument/2006/relationships/footer" Target="footer9.xml"/><Relationship Id="rId36" Type="http://schemas.openxmlformats.org/officeDocument/2006/relationships/footer" Target="footer14.xml"/><Relationship Id="rId49" Type="http://schemas.openxmlformats.org/officeDocument/2006/relationships/header" Target="header15.xml"/><Relationship Id="rId57" Type="http://schemas.openxmlformats.org/officeDocument/2006/relationships/header" Target="header18.xml"/><Relationship Id="rId10" Type="http://schemas.openxmlformats.org/officeDocument/2006/relationships/footnotes" Target="footnotes.xml"/><Relationship Id="rId31" Type="http://schemas.openxmlformats.org/officeDocument/2006/relationships/footer" Target="footer11.xml"/><Relationship Id="rId44" Type="http://schemas.openxmlformats.org/officeDocument/2006/relationships/header" Target="header13.xml"/><Relationship Id="rId52" Type="http://schemas.openxmlformats.org/officeDocument/2006/relationships/footer" Target="footer24.xml"/><Relationship Id="rId60" Type="http://schemas.openxmlformats.org/officeDocument/2006/relationships/footer" Target="footer29.xml"/><Relationship Id="rId65" Type="http://schemas.openxmlformats.org/officeDocument/2006/relationships/header" Target="header21.xml"/><Relationship Id="rId73" Type="http://schemas.openxmlformats.org/officeDocument/2006/relationships/footer" Target="footer37.xml"/><Relationship Id="rId78" Type="http://schemas.openxmlformats.org/officeDocument/2006/relationships/header" Target="header26.xml"/><Relationship Id="rId81" Type="http://schemas.openxmlformats.org/officeDocument/2006/relationships/header" Target="header27.xml"/><Relationship Id="rId86"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3.xml"/><Relationship Id="rId39" Type="http://schemas.openxmlformats.org/officeDocument/2006/relationships/header" Target="header11.xml"/><Relationship Id="rId34" Type="http://schemas.openxmlformats.org/officeDocument/2006/relationships/header" Target="header9.xml"/><Relationship Id="rId50" Type="http://schemas.openxmlformats.org/officeDocument/2006/relationships/footer" Target="footer22.xml"/><Relationship Id="rId55" Type="http://schemas.openxmlformats.org/officeDocument/2006/relationships/footer" Target="footer26.xml"/><Relationship Id="rId76" Type="http://schemas.openxmlformats.org/officeDocument/2006/relationships/footer" Target="footer39.xml"/><Relationship Id="rId7" Type="http://schemas.openxmlformats.org/officeDocument/2006/relationships/styles" Target="styles.xml"/><Relationship Id="rId71" Type="http://schemas.openxmlformats.org/officeDocument/2006/relationships/footer" Target="footer35.xml"/><Relationship Id="rId29" Type="http://schemas.openxmlformats.org/officeDocument/2006/relationships/footer" Target="footer10.xml"/><Relationship Id="rId24" Type="http://schemas.openxmlformats.org/officeDocument/2006/relationships/footer" Target="footer7.xml"/><Relationship Id="rId40" Type="http://schemas.openxmlformats.org/officeDocument/2006/relationships/footer" Target="footer16.xml"/><Relationship Id="rId45" Type="http://schemas.openxmlformats.org/officeDocument/2006/relationships/footer" Target="footer19.xml"/><Relationship Id="rId66" Type="http://schemas.openxmlformats.org/officeDocument/2006/relationships/footer" Target="footer32.xml"/><Relationship Id="rId87" Type="http://schemas.openxmlformats.org/officeDocument/2006/relationships/theme" Target="theme/theme1.xml"/><Relationship Id="rId61" Type="http://schemas.openxmlformats.org/officeDocument/2006/relationships/header" Target="header19.xml"/><Relationship Id="rId82" Type="http://schemas.openxmlformats.org/officeDocument/2006/relationships/header" Target="header28.xml"/></Relationships>
</file>

<file path=word/_rels/footnotes.xml.rels><?xml version="1.0" encoding="UTF-8" standalone="yes"?>
<Relationships xmlns="http://schemas.openxmlformats.org/package/2006/relationships"><Relationship Id="rId8" Type="http://schemas.openxmlformats.org/officeDocument/2006/relationships/hyperlink" Target="https://unfccc.int/topics/mitigation/workstreams/response-measures/workshops-and-events" TargetMode="External"/><Relationship Id="rId3" Type="http://schemas.openxmlformats.org/officeDocument/2006/relationships/hyperlink" Target="https://www4.unfccc.int/sites/submissionsstaging/Pages/Home.aspx" TargetMode="External"/><Relationship Id="rId7" Type="http://schemas.openxmlformats.org/officeDocument/2006/relationships/hyperlink" Target="https://unfccc.int/process-and-meetings/bodies/constituted-bodies/KCI" TargetMode="External"/><Relationship Id="rId2" Type="http://schemas.openxmlformats.org/officeDocument/2006/relationships/hyperlink" Target="https://www.adaptation-fund.org/document/mid-term-review-of-the-medium-term-strategy-of-the-adaptation-fund/" TargetMode="External"/><Relationship Id="rId1" Type="http://schemas.openxmlformats.org/officeDocument/2006/relationships/hyperlink" Target="https://www.adaptation-fund.org/document/medium-term-strategy-2018-2022/" TargetMode="External"/><Relationship Id="rId6" Type="http://schemas.openxmlformats.org/officeDocument/2006/relationships/hyperlink" Target="https://unfccc.int/topics/capacity-building/workstreams/capacity-building-portal" TargetMode="External"/><Relationship Id="rId5" Type="http://schemas.openxmlformats.org/officeDocument/2006/relationships/hyperlink" Target="https://www.adaptation-fund.org/document/mid-term-review-of-the-medium-term-strategy-of-the-adaptation-fund/" TargetMode="External"/><Relationship Id="rId4" Type="http://schemas.openxmlformats.org/officeDocument/2006/relationships/hyperlink" Target="https://www.adaptation-fund.org/document/management-response-overall-evaluation-fund-second-phase-action-plan/" TargetMode="External"/><Relationship Id="rId9" Type="http://schemas.openxmlformats.org/officeDocument/2006/relationships/hyperlink" Target="https://www4.unfccc.int/sites/submissionsstaging/Pages/Home.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9d8c265a-5436-43a7-80c1-713d2827ffde"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Props1.xml><?xml version="1.0" encoding="utf-8"?>
<ds:datastoreItem xmlns:ds="http://schemas.openxmlformats.org/officeDocument/2006/customXml" ds:itemID="{5E41317A-1173-45FA-A329-8D2843FED716}"/>
</file>

<file path=customXml/itemProps2.xml><?xml version="1.0" encoding="utf-8"?>
<ds:datastoreItem xmlns:ds="http://schemas.openxmlformats.org/officeDocument/2006/customXml" ds:itemID="{1486B715-EBBC-493A-8EA4-8D13F0753004}">
  <ds:schemaRefs>
    <ds:schemaRef ds:uri="Microsoft.SharePoint.Taxonomy.ContentTypeSync"/>
  </ds:schemaRefs>
</ds:datastoreItem>
</file>

<file path=customXml/itemProps3.xml><?xml version="1.0" encoding="utf-8"?>
<ds:datastoreItem xmlns:ds="http://schemas.openxmlformats.org/officeDocument/2006/customXml" ds:itemID="{5B5E0EFB-F9FF-49C3-A365-E8AA90176512}">
  <ds:schemaRefs>
    <ds:schemaRef ds:uri="http://schemas.microsoft.com/sharepoint/v3/contenttype/forms"/>
  </ds:schemaRefs>
</ds:datastoreItem>
</file>

<file path=customXml/itemProps4.xml><?xml version="1.0" encoding="utf-8"?>
<ds:datastoreItem xmlns:ds="http://schemas.openxmlformats.org/officeDocument/2006/customXml" ds:itemID="{D4A015F9-ECBB-4268-BC30-3D0AB44921D8}">
  <ds:schemaRefs>
    <ds:schemaRef ds:uri="http://schemas.openxmlformats.org/officeDocument/2006/bibliography"/>
  </ds:schemaRefs>
</ds:datastoreItem>
</file>

<file path=customXml/itemProps5.xml><?xml version="1.0" encoding="utf-8"?>
<ds:datastoreItem xmlns:ds="http://schemas.openxmlformats.org/officeDocument/2006/customXml" ds:itemID="{A04784F1-FE3A-418B-A484-18D9EFC31C2F}">
  <ds:schemaRefs>
    <ds:schemaRef ds:uri="http://schemas.microsoft.com/office/2006/metadata/properties"/>
    <ds:schemaRef ds:uri="http://schemas.microsoft.com/office/infopath/2007/PartnerControls"/>
    <ds:schemaRef ds:uri="eb4559c4-8463-4985-927f-f0d558bff8f0"/>
    <ds:schemaRef ds:uri="0d8f00d2-86fc-4eff-afef-8f73dd50878e"/>
  </ds:schemaRefs>
</ds:datastoreItem>
</file>

<file path=docProps/app.xml><?xml version="1.0" encoding="utf-8"?>
<Properties xmlns="http://schemas.openxmlformats.org/officeDocument/2006/extended-properties" xmlns:vt="http://schemas.openxmlformats.org/officeDocument/2006/docPropsVTypes">
  <Template>FCCC</Template>
  <TotalTime>3</TotalTime>
  <Pages>5</Pages>
  <Words>12353</Words>
  <Characters>70418</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Report of the Conference of the Parties serving as the meeting of the Parties to the Kyoto Protocol on its sixteenth session, held in Glasgow from 31 October to 12 November 2021. Addendum</vt:lpstr>
    </vt:vector>
  </TitlesOfParts>
  <Company>UNFCCC</Company>
  <LinksUpToDate>false</LinksUpToDate>
  <CharactersWithSpaces>82606</CharactersWithSpaces>
  <SharedDoc>false</SharedDoc>
  <HLinks>
    <vt:vector size="120" baseType="variant">
      <vt:variant>
        <vt:i4>7864438</vt:i4>
      </vt:variant>
      <vt:variant>
        <vt:i4>30</vt:i4>
      </vt:variant>
      <vt:variant>
        <vt:i4>0</vt:i4>
      </vt:variant>
      <vt:variant>
        <vt:i4>5</vt:i4>
      </vt:variant>
      <vt:variant>
        <vt:lpwstr/>
      </vt:variant>
      <vt:variant>
        <vt:lpwstr>Resolution1</vt:lpwstr>
      </vt:variant>
      <vt:variant>
        <vt:i4>3866666</vt:i4>
      </vt:variant>
      <vt:variant>
        <vt:i4>27</vt:i4>
      </vt:variant>
      <vt:variant>
        <vt:i4>0</vt:i4>
      </vt:variant>
      <vt:variant>
        <vt:i4>5</vt:i4>
      </vt:variant>
      <vt:variant>
        <vt:lpwstr/>
      </vt:variant>
      <vt:variant>
        <vt:lpwstr>Decision10</vt:lpwstr>
      </vt:variant>
      <vt:variant>
        <vt:i4>720923</vt:i4>
      </vt:variant>
      <vt:variant>
        <vt:i4>24</vt:i4>
      </vt:variant>
      <vt:variant>
        <vt:i4>0</vt:i4>
      </vt:variant>
      <vt:variant>
        <vt:i4>5</vt:i4>
      </vt:variant>
      <vt:variant>
        <vt:lpwstr/>
      </vt:variant>
      <vt:variant>
        <vt:lpwstr>Decision9</vt:lpwstr>
      </vt:variant>
      <vt:variant>
        <vt:i4>720923</vt:i4>
      </vt:variant>
      <vt:variant>
        <vt:i4>21</vt:i4>
      </vt:variant>
      <vt:variant>
        <vt:i4>0</vt:i4>
      </vt:variant>
      <vt:variant>
        <vt:i4>5</vt:i4>
      </vt:variant>
      <vt:variant>
        <vt:lpwstr/>
      </vt:variant>
      <vt:variant>
        <vt:lpwstr>Decision8</vt:lpwstr>
      </vt:variant>
      <vt:variant>
        <vt:i4>720923</vt:i4>
      </vt:variant>
      <vt:variant>
        <vt:i4>18</vt:i4>
      </vt:variant>
      <vt:variant>
        <vt:i4>0</vt:i4>
      </vt:variant>
      <vt:variant>
        <vt:i4>5</vt:i4>
      </vt:variant>
      <vt:variant>
        <vt:lpwstr/>
      </vt:variant>
      <vt:variant>
        <vt:lpwstr>Decision7</vt:lpwstr>
      </vt:variant>
      <vt:variant>
        <vt:i4>720923</vt:i4>
      </vt:variant>
      <vt:variant>
        <vt:i4>15</vt:i4>
      </vt:variant>
      <vt:variant>
        <vt:i4>0</vt:i4>
      </vt:variant>
      <vt:variant>
        <vt:i4>5</vt:i4>
      </vt:variant>
      <vt:variant>
        <vt:lpwstr/>
      </vt:variant>
      <vt:variant>
        <vt:lpwstr>Decision6</vt:lpwstr>
      </vt:variant>
      <vt:variant>
        <vt:i4>720923</vt:i4>
      </vt:variant>
      <vt:variant>
        <vt:i4>12</vt:i4>
      </vt:variant>
      <vt:variant>
        <vt:i4>0</vt:i4>
      </vt:variant>
      <vt:variant>
        <vt:i4>5</vt:i4>
      </vt:variant>
      <vt:variant>
        <vt:lpwstr/>
      </vt:variant>
      <vt:variant>
        <vt:lpwstr>Decision5</vt:lpwstr>
      </vt:variant>
      <vt:variant>
        <vt:i4>720923</vt:i4>
      </vt:variant>
      <vt:variant>
        <vt:i4>9</vt:i4>
      </vt:variant>
      <vt:variant>
        <vt:i4>0</vt:i4>
      </vt:variant>
      <vt:variant>
        <vt:i4>5</vt:i4>
      </vt:variant>
      <vt:variant>
        <vt:lpwstr/>
      </vt:variant>
      <vt:variant>
        <vt:lpwstr>Decision4</vt:lpwstr>
      </vt:variant>
      <vt:variant>
        <vt:i4>720923</vt:i4>
      </vt:variant>
      <vt:variant>
        <vt:i4>6</vt:i4>
      </vt:variant>
      <vt:variant>
        <vt:i4>0</vt:i4>
      </vt:variant>
      <vt:variant>
        <vt:i4>5</vt:i4>
      </vt:variant>
      <vt:variant>
        <vt:lpwstr/>
      </vt:variant>
      <vt:variant>
        <vt:lpwstr>Decision3</vt:lpwstr>
      </vt:variant>
      <vt:variant>
        <vt:i4>720923</vt:i4>
      </vt:variant>
      <vt:variant>
        <vt:i4>3</vt:i4>
      </vt:variant>
      <vt:variant>
        <vt:i4>0</vt:i4>
      </vt:variant>
      <vt:variant>
        <vt:i4>5</vt:i4>
      </vt:variant>
      <vt:variant>
        <vt:lpwstr/>
      </vt:variant>
      <vt:variant>
        <vt:lpwstr>Decision2</vt:lpwstr>
      </vt:variant>
      <vt:variant>
        <vt:i4>720923</vt:i4>
      </vt:variant>
      <vt:variant>
        <vt:i4>0</vt:i4>
      </vt:variant>
      <vt:variant>
        <vt:i4>0</vt:i4>
      </vt:variant>
      <vt:variant>
        <vt:i4>5</vt:i4>
      </vt:variant>
      <vt:variant>
        <vt:lpwstr/>
      </vt:variant>
      <vt:variant>
        <vt:lpwstr>Decision1</vt:lpwstr>
      </vt:variant>
      <vt:variant>
        <vt:i4>5898268</vt:i4>
      </vt:variant>
      <vt:variant>
        <vt:i4>24</vt:i4>
      </vt:variant>
      <vt:variant>
        <vt:i4>0</vt:i4>
      </vt:variant>
      <vt:variant>
        <vt:i4>5</vt:i4>
      </vt:variant>
      <vt:variant>
        <vt:lpwstr>https://www4.unfccc.int/sites/submissionsstaging/Pages/Home.aspx</vt:lpwstr>
      </vt:variant>
      <vt:variant>
        <vt:lpwstr/>
      </vt:variant>
      <vt:variant>
        <vt:i4>6684784</vt:i4>
      </vt:variant>
      <vt:variant>
        <vt:i4>21</vt:i4>
      </vt:variant>
      <vt:variant>
        <vt:i4>0</vt:i4>
      </vt:variant>
      <vt:variant>
        <vt:i4>5</vt:i4>
      </vt:variant>
      <vt:variant>
        <vt:lpwstr>https://unfccc.int/topics/mitigation/workstreams/response-measures/workshops-and-events</vt:lpwstr>
      </vt:variant>
      <vt:variant>
        <vt:lpwstr/>
      </vt:variant>
      <vt:variant>
        <vt:i4>69</vt:i4>
      </vt:variant>
      <vt:variant>
        <vt:i4>18</vt:i4>
      </vt:variant>
      <vt:variant>
        <vt:i4>0</vt:i4>
      </vt:variant>
      <vt:variant>
        <vt:i4>5</vt:i4>
      </vt:variant>
      <vt:variant>
        <vt:lpwstr>https://unfccc.int/process-and-meetings/bodies/constituted-bodies/KCI</vt:lpwstr>
      </vt:variant>
      <vt:variant>
        <vt:lpwstr/>
      </vt:variant>
      <vt:variant>
        <vt:i4>524383</vt:i4>
      </vt:variant>
      <vt:variant>
        <vt:i4>15</vt:i4>
      </vt:variant>
      <vt:variant>
        <vt:i4>0</vt:i4>
      </vt:variant>
      <vt:variant>
        <vt:i4>5</vt:i4>
      </vt:variant>
      <vt:variant>
        <vt:lpwstr>https://unfccc.int/topics/capacity-building/workstreams/capacity-building-portal</vt:lpwstr>
      </vt:variant>
      <vt:variant>
        <vt:lpwstr/>
      </vt:variant>
      <vt:variant>
        <vt:i4>327685</vt:i4>
      </vt:variant>
      <vt:variant>
        <vt:i4>12</vt:i4>
      </vt:variant>
      <vt:variant>
        <vt:i4>0</vt:i4>
      </vt:variant>
      <vt:variant>
        <vt:i4>5</vt:i4>
      </vt:variant>
      <vt:variant>
        <vt:lpwstr>https://www.adaptation-fund.org/document/mid-term-review-of-the-medium-term-strategy-of-the-adaptation-fund/</vt:lpwstr>
      </vt:variant>
      <vt:variant>
        <vt:lpwstr/>
      </vt:variant>
      <vt:variant>
        <vt:i4>7340071</vt:i4>
      </vt:variant>
      <vt:variant>
        <vt:i4>9</vt:i4>
      </vt:variant>
      <vt:variant>
        <vt:i4>0</vt:i4>
      </vt:variant>
      <vt:variant>
        <vt:i4>5</vt:i4>
      </vt:variant>
      <vt:variant>
        <vt:lpwstr>https://www.adaptation-fund.org/document/management-response-overall-evaluation-fund-second-phase-action-plan/</vt:lpwstr>
      </vt:variant>
      <vt:variant>
        <vt:lpwstr/>
      </vt:variant>
      <vt:variant>
        <vt:i4>5898268</vt:i4>
      </vt:variant>
      <vt:variant>
        <vt:i4>6</vt:i4>
      </vt:variant>
      <vt:variant>
        <vt:i4>0</vt:i4>
      </vt:variant>
      <vt:variant>
        <vt:i4>5</vt:i4>
      </vt:variant>
      <vt:variant>
        <vt:lpwstr>https://www4.unfccc.int/sites/submissionsstaging/Pages/Home.aspx</vt:lpwstr>
      </vt:variant>
      <vt:variant>
        <vt:lpwstr/>
      </vt:variant>
      <vt:variant>
        <vt:i4>327685</vt:i4>
      </vt:variant>
      <vt:variant>
        <vt:i4>3</vt:i4>
      </vt:variant>
      <vt:variant>
        <vt:i4>0</vt:i4>
      </vt:variant>
      <vt:variant>
        <vt:i4>5</vt:i4>
      </vt:variant>
      <vt:variant>
        <vt:lpwstr>https://www.adaptation-fund.org/document/mid-term-review-of-the-medium-term-strategy-of-the-adaptation-fund/</vt:lpwstr>
      </vt:variant>
      <vt:variant>
        <vt:lpwstr/>
      </vt:variant>
      <vt:variant>
        <vt:i4>720991</vt:i4>
      </vt:variant>
      <vt:variant>
        <vt:i4>0</vt:i4>
      </vt:variant>
      <vt:variant>
        <vt:i4>0</vt:i4>
      </vt:variant>
      <vt:variant>
        <vt:i4>5</vt:i4>
      </vt:variant>
      <vt:variant>
        <vt:lpwstr>https://www.adaptation-fund.org/document/medium-term-strategy-2018-2022/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Conference of the Parties serving as the meeting of the Parties to the Kyoto Protocol on its sixteenth session, held in Glasgow from 31 October to 12 November 2021. Addendum</dc:title>
  <dc:subject/>
  <dc:creator>Aisulu Aldasheva</dc:creator>
  <cp:keywords/>
  <dc:description/>
  <cp:lastModifiedBy>Toni Williams</cp:lastModifiedBy>
  <cp:revision>5</cp:revision>
  <cp:lastPrinted>2016-08-21T23:12:00Z</cp:lastPrinted>
  <dcterms:created xsi:type="dcterms:W3CDTF">2022-03-07T12:11:00Z</dcterms:created>
  <dcterms:modified xsi:type="dcterms:W3CDTF">2022-11-12T13:31:00Z</dcterms:modified>
  <cp:category>UNFCCC Template 2021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ymbol1">
    <vt:lpwstr>FCCC/KP/CMP/2021/X/Add.1</vt:lpwstr>
  </property>
  <property fmtid="{D5CDD505-2E9C-101B-9397-08002B2CF9AE}" pid="3" name="docSymbol2">
    <vt:lpwstr/>
  </property>
  <property fmtid="{D5CDD505-2E9C-101B-9397-08002B2CF9AE}" pid="4" name="templateVersion">
    <vt:lpwstr>v.Feb2021</vt:lpwstr>
  </property>
  <property fmtid="{D5CDD505-2E9C-101B-9397-08002B2CF9AE}" pid="5" name="originalCreationDate">
    <vt:lpwstr>29/6/2021 14:46:06</vt:lpwstr>
  </property>
  <property fmtid="{D5CDD505-2E9C-101B-9397-08002B2CF9AE}" pid="6" name="ContentTypeId">
    <vt:lpwstr>0x01010093B27815B4C26448A2AC74C6D94E050B</vt:lpwstr>
  </property>
  <property fmtid="{D5CDD505-2E9C-101B-9397-08002B2CF9AE}" pid="7" name="_dlc_DocIdItemGuid">
    <vt:lpwstr>9d3d8eee-1584-42f8-819d-e46d1df08166</vt:lpwstr>
  </property>
  <property fmtid="{D5CDD505-2E9C-101B-9397-08002B2CF9AE}" pid="8" name="fccc_body">
    <vt:lpwstr>85;#Conference of the Parties serving as the meeting of the Parties to the Kyoto Protocol (CMP)|38118d30-6ed6-42bf-9f20-9c3046d01012</vt:lpwstr>
  </property>
  <property fmtid="{D5CDD505-2E9C-101B-9397-08002B2CF9AE}" pid="9" name="kb2e315405fe407aa7f85ff4a1d5bcda">
    <vt:lpwstr/>
  </property>
  <property fmtid="{D5CDD505-2E9C-101B-9397-08002B2CF9AE}" pid="10" name="Agenda Item">
    <vt:lpwstr/>
  </property>
  <property fmtid="{D5CDD505-2E9C-101B-9397-08002B2CF9AE}" pid="11" name="fccc_substantive_topic">
    <vt:lpwstr>46;#Sessional proceedings|ff7bdb8c-f4ee-4fbb-ab88-7747669b7746</vt:lpwstr>
  </property>
  <property fmtid="{D5CDD505-2E9C-101B-9397-08002B2CF9AE}" pid="12" name="fccc_Keywords">
    <vt:lpwstr>105;#conferences|b310ccc6-61a0-4f83-a3b7-1510e8eef4cb;#264;#High-level segments|e5b5f8cd-a8c3-46d5-adaf-daa2da506eb9;#80;#Kyoto Protocol|e7d28fb7-528b-476d-8ef5-47004fb4c3a6;#159;#Kyoto mechanisms|a26c0d37-4d58-4a2d-98b6-5bed3224a3fa</vt:lpwstr>
  </property>
  <property fmtid="{D5CDD505-2E9C-101B-9397-08002B2CF9AE}" pid="13" name="fccc_session">
    <vt:lpwstr>316;#CMP 16|273dbe8b-fabc-4dc2-b633-946ef950a130</vt:lpwstr>
  </property>
  <property fmtid="{D5CDD505-2E9C-101B-9397-08002B2CF9AE}" pid="14" name="LinkedUNFCCCDocumentTracker">
    <vt:lpwstr>2877</vt:lpwstr>
  </property>
  <property fmtid="{D5CDD505-2E9C-101B-9397-08002B2CF9AE}" pid="15" name="Web_x0020_doc_x0020_type">
    <vt:lpwstr/>
  </property>
  <property fmtid="{D5CDD505-2E9C-101B-9397-08002B2CF9AE}" pid="16" name="Web doc type">
    <vt:lpwstr/>
  </property>
  <property fmtid="{D5CDD505-2E9C-101B-9397-08002B2CF9AE}" pid="17" name="MediaServiceImageTags">
    <vt:lpwstr/>
  </property>
</Properties>
</file>