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BF288E" w14:paraId="5A71B4E5" w14:textId="77777777" w:rsidTr="007F65FD">
        <w:trPr>
          <w:cantSplit/>
          <w:trHeight w:hRule="exact" w:val="1134"/>
        </w:trPr>
        <w:tc>
          <w:tcPr>
            <w:tcW w:w="1242" w:type="dxa"/>
            <w:vAlign w:val="bottom"/>
          </w:tcPr>
          <w:p w14:paraId="37375111" w14:textId="77777777" w:rsidR="002D66A2" w:rsidRPr="00BF288E" w:rsidRDefault="002D66A2" w:rsidP="007F65FD">
            <w:bookmarkStart w:id="0" w:name="_Hlk55297588"/>
            <w:bookmarkEnd w:id="0"/>
            <w:r w:rsidRPr="00BF288E">
              <w:rPr>
                <w:noProof/>
                <w:lang w:val="en-US" w:eastAsia="en-US"/>
              </w:rPr>
              <w:drawing>
                <wp:inline distT="0" distB="0" distL="0" distR="0" wp14:anchorId="7E189B75" wp14:editId="1110C43A">
                  <wp:extent cx="668020" cy="564515"/>
                  <wp:effectExtent l="0" t="0" r="0" b="0"/>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552" w:type="dxa"/>
            <w:vAlign w:val="bottom"/>
          </w:tcPr>
          <w:p w14:paraId="602DBFE8" w14:textId="77777777" w:rsidR="002D66A2" w:rsidRPr="00BF288E" w:rsidRDefault="002D66A2" w:rsidP="007F65FD">
            <w:pPr>
              <w:ind w:left="113"/>
              <w:rPr>
                <w:sz w:val="28"/>
                <w:szCs w:val="28"/>
              </w:rPr>
            </w:pPr>
            <w:r w:rsidRPr="00BF288E">
              <w:rPr>
                <w:sz w:val="28"/>
                <w:szCs w:val="28"/>
              </w:rPr>
              <w:t>United Nations</w:t>
            </w:r>
          </w:p>
        </w:tc>
        <w:tc>
          <w:tcPr>
            <w:tcW w:w="5845" w:type="dxa"/>
            <w:gridSpan w:val="3"/>
            <w:vAlign w:val="bottom"/>
          </w:tcPr>
          <w:p w14:paraId="5628131A" w14:textId="13B8ACDA" w:rsidR="002D66A2" w:rsidRPr="00310DE3" w:rsidRDefault="00310DE3" w:rsidP="00310DE3">
            <w:pPr>
              <w:jc w:val="right"/>
            </w:pPr>
            <w:r w:rsidRPr="00310DE3">
              <w:rPr>
                <w:sz w:val="40"/>
              </w:rPr>
              <w:t>FCCC</w:t>
            </w:r>
            <w:r>
              <w:t>/KP/CMP/2022/9/Add.1</w:t>
            </w:r>
          </w:p>
        </w:tc>
      </w:tr>
      <w:tr w:rsidR="002D66A2" w:rsidRPr="00BF288E" w14:paraId="5A042767" w14:textId="77777777" w:rsidTr="007F65FD">
        <w:trPr>
          <w:cantSplit/>
          <w:trHeight w:hRule="exact" w:val="2552"/>
        </w:trPr>
        <w:tc>
          <w:tcPr>
            <w:tcW w:w="4511" w:type="dxa"/>
            <w:gridSpan w:val="3"/>
          </w:tcPr>
          <w:p w14:paraId="573596F9" w14:textId="77777777" w:rsidR="002D66A2" w:rsidRPr="00BF288E" w:rsidRDefault="002D66A2" w:rsidP="007F65FD">
            <w:r w:rsidRPr="00BF288E">
              <w:rPr>
                <w:noProof/>
                <w:lang w:val="en-US" w:eastAsia="en-US"/>
              </w:rPr>
              <w:drawing>
                <wp:anchor distT="0" distB="0" distL="114300" distR="114300" simplePos="0" relativeHeight="251658240" behindDoc="1" locked="0" layoutInCell="1" allowOverlap="1" wp14:anchorId="4B44AE20" wp14:editId="00290742">
                  <wp:simplePos x="0" y="0"/>
                  <wp:positionH relativeFrom="column">
                    <wp:posOffset>-2034</wp:posOffset>
                  </wp:positionH>
                  <wp:positionV relativeFrom="paragraph">
                    <wp:posOffset>2010</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EDA9DF" w14:textId="05FF6540" w:rsidR="002D66A2" w:rsidRPr="00BF288E" w:rsidRDefault="002D66A2" w:rsidP="007F65FD"/>
          <w:p w14:paraId="619A9A90" w14:textId="77777777" w:rsidR="002D66A2" w:rsidRPr="00BF288E" w:rsidRDefault="002D66A2" w:rsidP="007F65FD"/>
          <w:p w14:paraId="03287C41" w14:textId="77777777" w:rsidR="002D66A2" w:rsidRPr="00BF288E" w:rsidRDefault="002D66A2" w:rsidP="007F65FD"/>
        </w:tc>
        <w:tc>
          <w:tcPr>
            <w:tcW w:w="2293" w:type="dxa"/>
          </w:tcPr>
          <w:p w14:paraId="43337958" w14:textId="77777777" w:rsidR="002D66A2" w:rsidRPr="00BF288E" w:rsidRDefault="002D66A2" w:rsidP="007F65FD"/>
        </w:tc>
        <w:tc>
          <w:tcPr>
            <w:tcW w:w="2835" w:type="dxa"/>
          </w:tcPr>
          <w:p w14:paraId="0C59FA92" w14:textId="77777777" w:rsidR="005F1250" w:rsidRDefault="00310DE3" w:rsidP="00310DE3">
            <w:pPr>
              <w:spacing w:before="240" w:line="240" w:lineRule="exact"/>
              <w:ind w:left="143"/>
            </w:pPr>
            <w:r>
              <w:t>Distr.: General</w:t>
            </w:r>
          </w:p>
          <w:p w14:paraId="6FE29F3A" w14:textId="28C04224" w:rsidR="00310DE3" w:rsidRDefault="00310DE3" w:rsidP="00310DE3">
            <w:pPr>
              <w:spacing w:line="240" w:lineRule="exact"/>
              <w:ind w:left="143"/>
            </w:pPr>
            <w:r>
              <w:t>1</w:t>
            </w:r>
            <w:r w:rsidR="0013462D">
              <w:t>7</w:t>
            </w:r>
            <w:r>
              <w:t xml:space="preserve"> March 2023</w:t>
            </w:r>
          </w:p>
          <w:p w14:paraId="71FB257C" w14:textId="77777777" w:rsidR="00310DE3" w:rsidRDefault="00310DE3" w:rsidP="00310DE3">
            <w:pPr>
              <w:spacing w:line="240" w:lineRule="exact"/>
              <w:ind w:left="143"/>
            </w:pPr>
          </w:p>
          <w:p w14:paraId="28C2F37F" w14:textId="4AD9F2FE" w:rsidR="00310DE3" w:rsidRPr="00BF288E" w:rsidRDefault="00310DE3" w:rsidP="00310DE3">
            <w:pPr>
              <w:spacing w:line="240" w:lineRule="exact"/>
              <w:ind w:left="143"/>
            </w:pPr>
            <w:r>
              <w:t>Original: English</w:t>
            </w:r>
          </w:p>
        </w:tc>
      </w:tr>
    </w:tbl>
    <w:p w14:paraId="6C687335" w14:textId="5F068A8A" w:rsidR="00D832A3" w:rsidRPr="00BF288E" w:rsidRDefault="009E43EE" w:rsidP="008C1A24">
      <w:pPr>
        <w:spacing w:before="120"/>
        <w:rPr>
          <w:b/>
          <w:sz w:val="24"/>
          <w:szCs w:val="24"/>
        </w:rPr>
      </w:pPr>
      <w:r w:rsidRPr="00BF288E">
        <w:rPr>
          <w:b/>
          <w:sz w:val="24"/>
          <w:szCs w:val="24"/>
        </w:rPr>
        <w:t>Conference of the Parties</w:t>
      </w:r>
      <w:r w:rsidR="008B33C9" w:rsidRPr="00BF288E">
        <w:rPr>
          <w:b/>
          <w:sz w:val="24"/>
          <w:szCs w:val="24"/>
        </w:rPr>
        <w:t xml:space="preserve"> </w:t>
      </w:r>
      <w:bookmarkStart w:id="1" w:name="_Hlk75869726"/>
      <w:r w:rsidR="008B33C9" w:rsidRPr="00BF288E">
        <w:rPr>
          <w:b/>
          <w:sz w:val="24"/>
          <w:szCs w:val="24"/>
        </w:rPr>
        <w:t xml:space="preserve">serving as the meeting </w:t>
      </w:r>
      <w:r w:rsidR="008B33C9" w:rsidRPr="00BF288E">
        <w:rPr>
          <w:b/>
          <w:sz w:val="24"/>
          <w:szCs w:val="24"/>
        </w:rPr>
        <w:br/>
        <w:t xml:space="preserve">of the Parties to the </w:t>
      </w:r>
      <w:r w:rsidR="00F243CF" w:rsidRPr="00BF288E">
        <w:rPr>
          <w:b/>
          <w:sz w:val="24"/>
          <w:szCs w:val="24"/>
        </w:rPr>
        <w:t>Kyoto Protocol</w:t>
      </w:r>
      <w:bookmarkEnd w:id="1"/>
    </w:p>
    <w:p w14:paraId="3FB7183E" w14:textId="11A17329" w:rsidR="006C100B" w:rsidRPr="00BF288E" w:rsidRDefault="006C100B" w:rsidP="00EA1E20">
      <w:pPr>
        <w:pStyle w:val="RegHChG"/>
        <w:numPr>
          <w:ilvl w:val="0"/>
          <w:numId w:val="0"/>
        </w:numPr>
        <w:ind w:left="1135" w:hanging="454"/>
      </w:pPr>
      <w:bookmarkStart w:id="2" w:name="_Toc120701102"/>
      <w:r w:rsidRPr="00BF288E">
        <w:t xml:space="preserve">Report of the Conference of the Parties serving as the meeting of the Parties to the Kyoto Protocol on its seventeenth session, held in </w:t>
      </w:r>
      <w:r w:rsidRPr="00BF288E">
        <w:rPr>
          <w:bCs/>
          <w:lang w:val="en-US"/>
        </w:rPr>
        <w:t>Sharm el-Sheikh</w:t>
      </w:r>
      <w:r w:rsidRPr="00BF288E">
        <w:t xml:space="preserve"> from </w:t>
      </w:r>
      <w:r w:rsidRPr="00BF288E">
        <w:rPr>
          <w:bCs/>
          <w:lang w:val="en-US"/>
        </w:rPr>
        <w:t>6</w:t>
      </w:r>
      <w:r w:rsidR="00506878" w:rsidRPr="00BF288E">
        <w:rPr>
          <w:bCs/>
          <w:lang w:val="en-US"/>
        </w:rPr>
        <w:t xml:space="preserve"> to </w:t>
      </w:r>
      <w:r w:rsidR="00316D98" w:rsidRPr="00BF288E">
        <w:rPr>
          <w:bCs/>
          <w:lang w:val="en-US"/>
        </w:rPr>
        <w:t>20</w:t>
      </w:r>
      <w:r w:rsidRPr="00BF288E">
        <w:rPr>
          <w:bCs/>
          <w:lang w:val="en-US"/>
        </w:rPr>
        <w:t xml:space="preserve"> November 2022</w:t>
      </w:r>
      <w:bookmarkEnd w:id="2"/>
    </w:p>
    <w:p w14:paraId="5A41D6CA" w14:textId="0300C440" w:rsidR="000D5339" w:rsidRPr="00BF288E" w:rsidRDefault="000D5339" w:rsidP="00EA1E20">
      <w:pPr>
        <w:pStyle w:val="RegH1G"/>
        <w:numPr>
          <w:ilvl w:val="0"/>
          <w:numId w:val="0"/>
        </w:numPr>
        <w:ind w:left="1135" w:hanging="454"/>
      </w:pPr>
      <w:bookmarkStart w:id="3" w:name="_Toc120701103"/>
      <w:r w:rsidRPr="00BF288E">
        <w:t>Addendum</w:t>
      </w:r>
      <w:bookmarkEnd w:id="3"/>
    </w:p>
    <w:p w14:paraId="4F7575E2" w14:textId="494C99A1" w:rsidR="00316D98" w:rsidRPr="00BF288E" w:rsidRDefault="00316D98" w:rsidP="00EA1E20">
      <w:pPr>
        <w:pStyle w:val="RegH1G"/>
        <w:numPr>
          <w:ilvl w:val="0"/>
          <w:numId w:val="0"/>
        </w:numPr>
        <w:ind w:left="1135" w:hanging="454"/>
      </w:pPr>
      <w:bookmarkStart w:id="4" w:name="_Toc120701104"/>
      <w:r w:rsidRPr="00BF288E">
        <w:t>Part two: Action taken by the Conference of the Parties serving as the meeting of the Parties to the Kyoto Protocol at its seventeenth session</w:t>
      </w:r>
      <w:bookmarkEnd w:id="4"/>
    </w:p>
    <w:p w14:paraId="6AB42225" w14:textId="1F04E447" w:rsidR="008C1A24" w:rsidRPr="00BF288E" w:rsidRDefault="00ED4532" w:rsidP="00ED4532">
      <w:pPr>
        <w:spacing w:after="120"/>
        <w:rPr>
          <w:sz w:val="28"/>
        </w:rPr>
      </w:pPr>
      <w:r w:rsidRPr="00BF288E">
        <w:rPr>
          <w:sz w:val="28"/>
        </w:rPr>
        <w:t>Contents</w:t>
      </w:r>
    </w:p>
    <w:p w14:paraId="19B64738" w14:textId="195E82B3" w:rsidR="00ED4532" w:rsidRPr="00BF288E" w:rsidRDefault="00ED4532" w:rsidP="00EA1E20">
      <w:pPr>
        <w:pStyle w:val="RegHChG"/>
        <w:numPr>
          <w:ilvl w:val="0"/>
          <w:numId w:val="0"/>
        </w:numPr>
        <w:ind w:left="1135" w:hanging="454"/>
      </w:pPr>
      <w:r w:rsidRPr="00BF288E">
        <w:t>Decisions adopted by the Conference of the Parties serving as the meeting of the Parties to the Kyoto Protocol</w:t>
      </w:r>
    </w:p>
    <w:p w14:paraId="3FA86ADB" w14:textId="2659039E" w:rsidR="00ED4532" w:rsidRPr="00BF288E" w:rsidRDefault="00DF4CF2" w:rsidP="00DF4CF2">
      <w:pPr>
        <w:tabs>
          <w:tab w:val="left" w:pos="1134"/>
          <w:tab w:val="right" w:pos="9638"/>
        </w:tabs>
        <w:spacing w:after="120"/>
        <w:ind w:left="283"/>
      </w:pPr>
      <w:r w:rsidRPr="00BF288E">
        <w:rPr>
          <w:i/>
          <w:sz w:val="18"/>
        </w:rPr>
        <w:tab/>
      </w:r>
      <w:r w:rsidR="00ED4532" w:rsidRPr="00BF288E">
        <w:rPr>
          <w:i/>
          <w:sz w:val="18"/>
        </w:rPr>
        <w:t>Decision</w:t>
      </w:r>
      <w:r w:rsidR="00ED4532" w:rsidRPr="00BF288E">
        <w:rPr>
          <w:i/>
          <w:sz w:val="18"/>
        </w:rPr>
        <w:tab/>
        <w:t>Page</w:t>
      </w:r>
    </w:p>
    <w:p w14:paraId="74DC154A" w14:textId="57B33493" w:rsidR="00ED4532" w:rsidRPr="00BF288E" w:rsidRDefault="00ED4532" w:rsidP="00773E04">
      <w:pPr>
        <w:pStyle w:val="TOC1"/>
      </w:pPr>
      <w:r w:rsidRPr="00BF288E">
        <w:tab/>
      </w:r>
      <w:r w:rsidR="002214AD" w:rsidRPr="00BF288E">
        <w:tab/>
      </w:r>
      <w:hyperlink w:anchor="Decision_1" w:history="1">
        <w:r w:rsidR="002214AD" w:rsidRPr="00BF288E">
          <w:rPr>
            <w:rStyle w:val="Hyperlink"/>
          </w:rPr>
          <w:t>1/CMP.17</w:t>
        </w:r>
      </w:hyperlink>
      <w:r w:rsidR="008A63DD" w:rsidRPr="00BF288E">
        <w:tab/>
      </w:r>
      <w:r w:rsidR="00720703" w:rsidRPr="00BF288E">
        <w:t xml:space="preserve">Date of completion of the expert review process under Article 8 of the </w:t>
      </w:r>
      <w:r w:rsidR="00720703" w:rsidRPr="00BF288E">
        <w:br/>
      </w:r>
      <w:r w:rsidR="00720703" w:rsidRPr="00BF288E">
        <w:tab/>
      </w:r>
      <w:r w:rsidR="00720703" w:rsidRPr="00BF288E">
        <w:tab/>
      </w:r>
      <w:r w:rsidR="00720703" w:rsidRPr="00BF288E">
        <w:tab/>
      </w:r>
      <w:r w:rsidR="00720703" w:rsidRPr="00BF288E">
        <w:tab/>
        <w:t>Kyoto Protocol for the second commitment period</w:t>
      </w:r>
      <w:r w:rsidR="00720703" w:rsidRPr="00BF288E">
        <w:tab/>
      </w:r>
      <w:r w:rsidR="00904B4F" w:rsidRPr="00BF288E">
        <w:tab/>
        <w:t>2</w:t>
      </w:r>
    </w:p>
    <w:p w14:paraId="3DC85BEC" w14:textId="1B001906" w:rsidR="008A63DD" w:rsidRPr="00BF288E" w:rsidRDefault="008A63DD" w:rsidP="00720703">
      <w:pPr>
        <w:pStyle w:val="TOC1"/>
      </w:pPr>
      <w:r w:rsidRPr="00BF288E">
        <w:tab/>
      </w:r>
      <w:r w:rsidRPr="00BF288E">
        <w:tab/>
      </w:r>
      <w:hyperlink w:anchor="Decision_2" w:history="1">
        <w:r w:rsidRPr="00BF288E">
          <w:rPr>
            <w:rStyle w:val="Hyperlink"/>
          </w:rPr>
          <w:t>2/CMP.17</w:t>
        </w:r>
      </w:hyperlink>
      <w:r w:rsidRPr="00BF288E">
        <w:tab/>
      </w:r>
      <w:r w:rsidR="00720703" w:rsidRPr="00BF288E">
        <w:t>Guidance relating to the clean development mechanism</w:t>
      </w:r>
      <w:r w:rsidR="00720703" w:rsidRPr="00BF288E">
        <w:tab/>
      </w:r>
      <w:r w:rsidR="00904B4F" w:rsidRPr="00BF288E">
        <w:tab/>
        <w:t>4</w:t>
      </w:r>
    </w:p>
    <w:p w14:paraId="67312A28" w14:textId="61A86571" w:rsidR="008A63DD" w:rsidRPr="00BF288E" w:rsidRDefault="008A63DD" w:rsidP="00720703">
      <w:pPr>
        <w:pStyle w:val="TOC1"/>
      </w:pPr>
      <w:r w:rsidRPr="00BF288E">
        <w:tab/>
      </w:r>
      <w:r w:rsidRPr="00BF288E">
        <w:tab/>
      </w:r>
      <w:hyperlink w:anchor="Decision_3" w:history="1">
        <w:r w:rsidRPr="00BF288E">
          <w:rPr>
            <w:rStyle w:val="Hyperlink"/>
          </w:rPr>
          <w:t>3/CMP</w:t>
        </w:r>
        <w:r w:rsidR="00773E04" w:rsidRPr="00BF288E">
          <w:rPr>
            <w:rStyle w:val="Hyperlink"/>
          </w:rPr>
          <w:t>.</w:t>
        </w:r>
        <w:r w:rsidRPr="00BF288E">
          <w:rPr>
            <w:rStyle w:val="Hyperlink"/>
          </w:rPr>
          <w:t>17</w:t>
        </w:r>
      </w:hyperlink>
      <w:r w:rsidR="00773E04" w:rsidRPr="00BF288E">
        <w:tab/>
      </w:r>
      <w:r w:rsidR="00720703" w:rsidRPr="00BF288E">
        <w:t>Guidance on the implementation of Article 6 of the Kyoto Protocol</w:t>
      </w:r>
      <w:r w:rsidR="00720703" w:rsidRPr="00BF288E">
        <w:tab/>
      </w:r>
      <w:r w:rsidR="00904B4F" w:rsidRPr="00BF288E">
        <w:tab/>
        <w:t>9</w:t>
      </w:r>
    </w:p>
    <w:p w14:paraId="2316F572" w14:textId="15D7C366" w:rsidR="008A63DD" w:rsidRPr="00BF288E" w:rsidRDefault="008A63DD" w:rsidP="00720703">
      <w:pPr>
        <w:pStyle w:val="TOC1"/>
      </w:pPr>
      <w:r w:rsidRPr="00BF288E">
        <w:tab/>
      </w:r>
      <w:r w:rsidRPr="00BF288E">
        <w:tab/>
      </w:r>
      <w:hyperlink w:anchor="Decision_4" w:history="1">
        <w:r w:rsidRPr="00BF288E">
          <w:rPr>
            <w:rStyle w:val="Hyperlink"/>
          </w:rPr>
          <w:t>4/CMP</w:t>
        </w:r>
        <w:r w:rsidR="00773E04" w:rsidRPr="00BF288E">
          <w:rPr>
            <w:rStyle w:val="Hyperlink"/>
          </w:rPr>
          <w:t>.17</w:t>
        </w:r>
      </w:hyperlink>
      <w:r w:rsidR="00720703" w:rsidRPr="00BF288E">
        <w:tab/>
        <w:t>Report of the Adaptation Fund Board for 2022</w:t>
      </w:r>
      <w:r w:rsidR="00720703" w:rsidRPr="00BF288E">
        <w:tab/>
      </w:r>
      <w:r w:rsidR="00904B4F" w:rsidRPr="00BF288E">
        <w:tab/>
        <w:t>10</w:t>
      </w:r>
    </w:p>
    <w:p w14:paraId="3A89CECA" w14:textId="5ADA0E1D" w:rsidR="00773E04" w:rsidRPr="00BF288E" w:rsidRDefault="00773E04" w:rsidP="00720703">
      <w:pPr>
        <w:pStyle w:val="TOC1"/>
      </w:pPr>
      <w:r w:rsidRPr="00BF288E">
        <w:tab/>
      </w:r>
      <w:r w:rsidRPr="00BF288E">
        <w:tab/>
      </w:r>
      <w:hyperlink w:anchor="Decision_5" w:history="1">
        <w:r w:rsidRPr="00BF288E">
          <w:rPr>
            <w:rStyle w:val="Hyperlink"/>
          </w:rPr>
          <w:t>5/CMP.17</w:t>
        </w:r>
      </w:hyperlink>
      <w:r w:rsidR="00720703" w:rsidRPr="00BF288E">
        <w:tab/>
        <w:t>Fourth review of the Adaptation Fund</w:t>
      </w:r>
      <w:r w:rsidR="00720703" w:rsidRPr="00BF288E">
        <w:tab/>
      </w:r>
      <w:r w:rsidR="00904B4F" w:rsidRPr="00BF288E">
        <w:tab/>
        <w:t>13</w:t>
      </w:r>
    </w:p>
    <w:p w14:paraId="0B78B524" w14:textId="0CCB6C79" w:rsidR="00773E04" w:rsidRPr="00BF288E" w:rsidRDefault="00773E04" w:rsidP="00720703">
      <w:pPr>
        <w:pStyle w:val="TOC1"/>
      </w:pPr>
      <w:r w:rsidRPr="00BF288E">
        <w:tab/>
      </w:r>
      <w:r w:rsidRPr="00BF288E">
        <w:tab/>
      </w:r>
      <w:hyperlink w:anchor="Decision_6" w:history="1">
        <w:r w:rsidRPr="00BF288E">
          <w:rPr>
            <w:rStyle w:val="Hyperlink"/>
          </w:rPr>
          <w:t>6/CMP.17</w:t>
        </w:r>
      </w:hyperlink>
      <w:r w:rsidR="00720703" w:rsidRPr="00BF288E">
        <w:tab/>
        <w:t>Compliance Committee</w:t>
      </w:r>
      <w:r w:rsidR="00720703" w:rsidRPr="00BF288E">
        <w:tab/>
      </w:r>
      <w:r w:rsidR="00904B4F" w:rsidRPr="00BF288E">
        <w:tab/>
        <w:t>16</w:t>
      </w:r>
    </w:p>
    <w:p w14:paraId="6BE6591E" w14:textId="6A64F024" w:rsidR="002A1EC1" w:rsidRPr="00BF288E" w:rsidRDefault="002A1EC1" w:rsidP="002A1EC1">
      <w:pPr>
        <w:pStyle w:val="TOC1"/>
      </w:pPr>
      <w:r w:rsidRPr="00BF288E">
        <w:tab/>
      </w:r>
      <w:r w:rsidRPr="00BF288E">
        <w:tab/>
      </w:r>
      <w:hyperlink w:anchor="Decision_7" w:history="1">
        <w:r w:rsidRPr="00BF288E">
          <w:rPr>
            <w:rStyle w:val="Hyperlink"/>
          </w:rPr>
          <w:t>7/CMP.17</w:t>
        </w:r>
      </w:hyperlink>
      <w:r w:rsidRPr="00BF288E">
        <w:tab/>
        <w:t>Report of the forum on the impact of the implementation of response measures</w:t>
      </w:r>
      <w:r w:rsidRPr="00BF288E">
        <w:tab/>
      </w:r>
      <w:r w:rsidR="00904B4F" w:rsidRPr="00BF288E">
        <w:tab/>
        <w:t>18</w:t>
      </w:r>
    </w:p>
    <w:p w14:paraId="54968300" w14:textId="5B17CD68" w:rsidR="00773E04" w:rsidRPr="00BF288E" w:rsidRDefault="00773E04" w:rsidP="00720703">
      <w:pPr>
        <w:pStyle w:val="TOC1"/>
      </w:pPr>
      <w:r w:rsidRPr="00BF288E">
        <w:tab/>
      </w:r>
      <w:r w:rsidRPr="00BF288E">
        <w:tab/>
      </w:r>
      <w:hyperlink w:anchor="Decision_8" w:history="1">
        <w:r w:rsidRPr="00BF288E">
          <w:rPr>
            <w:rStyle w:val="Hyperlink"/>
          </w:rPr>
          <w:t>8/CMP.17</w:t>
        </w:r>
      </w:hyperlink>
      <w:r w:rsidR="00720703" w:rsidRPr="00BF288E">
        <w:tab/>
        <w:t>Administrative, financial and institutional matters</w:t>
      </w:r>
      <w:r w:rsidR="00720703" w:rsidRPr="00BF288E">
        <w:tab/>
      </w:r>
      <w:r w:rsidR="00904B4F" w:rsidRPr="00BF288E">
        <w:tab/>
        <w:t>23</w:t>
      </w:r>
    </w:p>
    <w:p w14:paraId="74E8DF95" w14:textId="63DEA747" w:rsidR="00773E04" w:rsidRPr="00BF288E" w:rsidRDefault="00773E04" w:rsidP="00720703">
      <w:pPr>
        <w:pStyle w:val="TOC1"/>
      </w:pPr>
      <w:r w:rsidRPr="00BF288E">
        <w:tab/>
      </w:r>
      <w:r w:rsidRPr="00BF288E">
        <w:tab/>
      </w:r>
      <w:hyperlink w:anchor="Decision_9" w:history="1">
        <w:r w:rsidRPr="00BF288E">
          <w:rPr>
            <w:rStyle w:val="Hyperlink"/>
          </w:rPr>
          <w:t>9/CMP.17</w:t>
        </w:r>
      </w:hyperlink>
      <w:r w:rsidR="00720703" w:rsidRPr="00BF288E">
        <w:tab/>
        <w:t>Administrative, financial and institutional matters</w:t>
      </w:r>
      <w:r w:rsidR="00720703" w:rsidRPr="00BF288E">
        <w:tab/>
      </w:r>
      <w:r w:rsidR="00BF288E" w:rsidRPr="00BF288E">
        <w:tab/>
        <w:t>30</w:t>
      </w:r>
    </w:p>
    <w:p w14:paraId="2307450A" w14:textId="2E20FA4F" w:rsidR="00720703" w:rsidRPr="00BF288E" w:rsidRDefault="00720703" w:rsidP="00720703">
      <w:pPr>
        <w:pStyle w:val="TOC1"/>
        <w:rPr>
          <w:i/>
        </w:rPr>
      </w:pPr>
      <w:r w:rsidRPr="00BF288E">
        <w:tab/>
      </w:r>
      <w:r w:rsidRPr="00BF288E">
        <w:tab/>
      </w:r>
      <w:r w:rsidRPr="00BF288E">
        <w:rPr>
          <w:i/>
        </w:rPr>
        <w:t>Resolution</w:t>
      </w:r>
    </w:p>
    <w:p w14:paraId="422F67CB" w14:textId="2DEDBA5C" w:rsidR="00720703" w:rsidRPr="00BF288E" w:rsidRDefault="00720703" w:rsidP="00720703">
      <w:pPr>
        <w:pStyle w:val="TOC1"/>
      </w:pPr>
      <w:r w:rsidRPr="00BF288E">
        <w:tab/>
      </w:r>
      <w:r w:rsidRPr="00BF288E">
        <w:tab/>
      </w:r>
      <w:hyperlink w:anchor="Resolution" w:history="1">
        <w:r w:rsidRPr="00BF288E">
          <w:rPr>
            <w:rStyle w:val="Hyperlink"/>
          </w:rPr>
          <w:t>1/CMP.17</w:t>
        </w:r>
      </w:hyperlink>
      <w:r w:rsidRPr="00BF288E">
        <w:tab/>
      </w:r>
      <w:r w:rsidR="00856066" w:rsidRPr="00BF288E">
        <w:t>Expression of gratitude to the Government of the Arab Republic of Egypt and</w:t>
      </w:r>
      <w:r w:rsidR="00856066" w:rsidRPr="00BF288E">
        <w:br/>
      </w:r>
      <w:r w:rsidR="00856066" w:rsidRPr="00BF288E">
        <w:tab/>
      </w:r>
      <w:r w:rsidR="00856066" w:rsidRPr="00BF288E">
        <w:tab/>
      </w:r>
      <w:r w:rsidR="00856066" w:rsidRPr="00BF288E">
        <w:tab/>
      </w:r>
      <w:r w:rsidR="00856066" w:rsidRPr="00BF288E">
        <w:tab/>
        <w:t>the people of the city of Sharm el-Sheikh</w:t>
      </w:r>
      <w:r w:rsidR="00856066" w:rsidRPr="00BF288E">
        <w:tab/>
      </w:r>
      <w:r w:rsidR="00BF288E" w:rsidRPr="00BF288E">
        <w:tab/>
        <w:t>32</w:t>
      </w:r>
    </w:p>
    <w:p w14:paraId="254D9784" w14:textId="34D485D1" w:rsidR="00DB7D19" w:rsidRPr="00BF288E" w:rsidRDefault="00DB7D19" w:rsidP="00ED4532">
      <w:pPr>
        <w:tabs>
          <w:tab w:val="right" w:pos="850"/>
          <w:tab w:val="left" w:pos="1134"/>
          <w:tab w:val="left" w:pos="1559"/>
          <w:tab w:val="left" w:pos="1984"/>
          <w:tab w:val="center" w:leader="dot" w:pos="8929"/>
          <w:tab w:val="right" w:pos="9638"/>
        </w:tabs>
        <w:spacing w:after="120"/>
      </w:pPr>
      <w:r w:rsidRPr="00BF288E">
        <w:br w:type="page"/>
      </w:r>
    </w:p>
    <w:p w14:paraId="581E7EA3" w14:textId="280CC55A" w:rsidR="00ED4532" w:rsidRPr="00BF288E" w:rsidRDefault="00835B66" w:rsidP="00E23942">
      <w:pPr>
        <w:pStyle w:val="HChG"/>
        <w:jc w:val="both"/>
      </w:pPr>
      <w:r w:rsidRPr="00BF288E">
        <w:lastRenderedPageBreak/>
        <w:tab/>
      </w:r>
      <w:r w:rsidRPr="00BF288E">
        <w:tab/>
      </w:r>
      <w:bookmarkStart w:id="5" w:name="Decision_1"/>
      <w:r w:rsidR="00DB7D19" w:rsidRPr="00BF288E">
        <w:t>Decision 1/CMP.17</w:t>
      </w:r>
      <w:bookmarkEnd w:id="5"/>
    </w:p>
    <w:p w14:paraId="4270CAEF" w14:textId="5CC71BC0" w:rsidR="001C7452" w:rsidRPr="00BF288E" w:rsidRDefault="001C7452" w:rsidP="001C7452">
      <w:pPr>
        <w:pStyle w:val="HChG"/>
        <w:jc w:val="both"/>
      </w:pPr>
      <w:r w:rsidRPr="00BF288E">
        <w:tab/>
      </w:r>
      <w:r w:rsidRPr="00BF288E">
        <w:tab/>
        <w:t>Date of completion of the expert review process under Article</w:t>
      </w:r>
      <w:r w:rsidR="00AB560B" w:rsidRPr="00BF288E">
        <w:t> </w:t>
      </w:r>
      <w:r w:rsidRPr="00BF288E">
        <w:t>8 of the Kyoto Protocol for the second commitment period</w:t>
      </w:r>
    </w:p>
    <w:p w14:paraId="7C261833" w14:textId="77777777" w:rsidR="001C7452" w:rsidRPr="00BF288E" w:rsidRDefault="001C7452" w:rsidP="001C7452">
      <w:pPr>
        <w:pStyle w:val="SingleTxtG"/>
        <w:ind w:firstLine="567"/>
        <w:rPr>
          <w:i/>
          <w:lang w:val="en-US"/>
        </w:rPr>
      </w:pPr>
      <w:r w:rsidRPr="00BF288E">
        <w:rPr>
          <w:i/>
          <w:lang w:val="en-US"/>
        </w:rPr>
        <w:t>The Conference of the Parties serving as the meeting of the Parties to the Kyoto Protocol</w:t>
      </w:r>
      <w:r w:rsidRPr="00BF288E">
        <w:rPr>
          <w:lang w:val="en-US"/>
        </w:rPr>
        <w:t>,</w:t>
      </w:r>
      <w:r w:rsidRPr="00BF288E">
        <w:rPr>
          <w:i/>
          <w:lang w:val="en-US"/>
        </w:rPr>
        <w:t xml:space="preserve"> </w:t>
      </w:r>
    </w:p>
    <w:p w14:paraId="5C7B5383" w14:textId="25B1AAEA" w:rsidR="001C7452" w:rsidRPr="00BF288E" w:rsidRDefault="001C7452" w:rsidP="001C7452">
      <w:pPr>
        <w:pStyle w:val="SingleTxtG"/>
        <w:spacing w:line="240" w:lineRule="exact"/>
        <w:rPr>
          <w:lang w:val="en-US"/>
        </w:rPr>
      </w:pPr>
      <w:r w:rsidRPr="00BF288E">
        <w:rPr>
          <w:lang w:val="en-US"/>
        </w:rPr>
        <w:tab/>
      </w:r>
      <w:r w:rsidRPr="00BF288E">
        <w:rPr>
          <w:lang w:val="en-US"/>
        </w:rPr>
        <w:tab/>
      </w:r>
      <w:r w:rsidRPr="00BF288E">
        <w:rPr>
          <w:i/>
          <w:lang w:val="en-US"/>
        </w:rPr>
        <w:t>Recalling</w:t>
      </w:r>
      <w:r w:rsidRPr="00BF288E">
        <w:rPr>
          <w:lang w:val="en-US"/>
        </w:rPr>
        <w:t xml:space="preserve"> Article 3, paragraph 1 bis, of the Kyoto Protocol, as amended,</w:t>
      </w:r>
    </w:p>
    <w:p w14:paraId="023FB384" w14:textId="77777777" w:rsidR="001C7452" w:rsidRPr="00BF288E" w:rsidRDefault="001C7452" w:rsidP="00E23942">
      <w:pPr>
        <w:pStyle w:val="SingleTxtG"/>
        <w:spacing w:line="240" w:lineRule="exact"/>
        <w:ind w:firstLine="567"/>
      </w:pPr>
      <w:r w:rsidRPr="00BF288E">
        <w:rPr>
          <w:i/>
          <w:iCs/>
        </w:rPr>
        <w:t xml:space="preserve">Also recalling </w:t>
      </w:r>
      <w:r w:rsidRPr="00BF288E">
        <w:t xml:space="preserve">decisions 13/CMP.1, 14/CMP.1, 22/CMP.1, 3/CMP.11, 4/CMP.11, 10/CMP.11, 8/CMP.16 and 22/CP.26, </w:t>
      </w:r>
    </w:p>
    <w:p w14:paraId="60D68A25" w14:textId="77777777" w:rsidR="001C7452" w:rsidRPr="00BF288E" w:rsidRDefault="001C7452" w:rsidP="00E23942">
      <w:pPr>
        <w:pStyle w:val="SingleTxtG"/>
        <w:spacing w:line="240" w:lineRule="exact"/>
        <w:ind w:firstLine="567"/>
      </w:pPr>
      <w:r w:rsidRPr="00BF288E">
        <w:rPr>
          <w:i/>
          <w:iCs/>
        </w:rPr>
        <w:t xml:space="preserve">Further recalling </w:t>
      </w:r>
      <w:r w:rsidRPr="00BF288E">
        <w:t xml:space="preserve">decision 27/CMP.1, annex, chapter XIII, and decision 1/CMP.8, annex I, chapter C, </w:t>
      </w:r>
    </w:p>
    <w:p w14:paraId="217E9A51" w14:textId="717E20F6" w:rsidR="001C7452" w:rsidRPr="00BF288E" w:rsidRDefault="001C7452" w:rsidP="001C7452">
      <w:pPr>
        <w:pStyle w:val="SingleTxtG"/>
        <w:spacing w:line="240" w:lineRule="exact"/>
        <w:ind w:firstLine="567"/>
      </w:pPr>
      <w:r w:rsidRPr="00BF288E">
        <w:rPr>
          <w:i/>
          <w:iCs/>
        </w:rPr>
        <w:t xml:space="preserve">Clarifying </w:t>
      </w:r>
      <w:r w:rsidRPr="00BF288E">
        <w:t>that, with regard to decision 27/CMP.1, annex, chapter XIII, for the purposes of the second commitment period the reference to Article 3, paragraph 1, of the Kyoto Protocol shall be read as a reference to Article 3, paragraph 1 bis, of the Kyoto Protocol as amended,</w:t>
      </w:r>
    </w:p>
    <w:p w14:paraId="10F2DCFC" w14:textId="7BA192FF" w:rsidR="001C7452" w:rsidRPr="00BF288E" w:rsidRDefault="001C7452" w:rsidP="00C37D2F">
      <w:pPr>
        <w:pStyle w:val="SingleTxtG"/>
        <w:spacing w:line="240" w:lineRule="exact"/>
        <w:ind w:firstLine="567"/>
      </w:pPr>
      <w:r w:rsidRPr="00BF288E">
        <w:rPr>
          <w:i/>
          <w:iCs/>
        </w:rPr>
        <w:t xml:space="preserve">Emphasizing </w:t>
      </w:r>
      <w:r w:rsidRPr="00BF288E">
        <w:t>the importance of the expert review process under Article 8 of the Kyoto Protocol for the final year of the second commitment period in view of its central role in the assessment of each Party’s compliance with its commitments under Article 3, paragraph 1</w:t>
      </w:r>
      <w:r w:rsidR="006D32DE" w:rsidRPr="00BF288E">
        <w:t> </w:t>
      </w:r>
      <w:r w:rsidRPr="00BF288E">
        <w:t xml:space="preserve">bis, of the Kyoto Protocol as amended, </w:t>
      </w:r>
    </w:p>
    <w:p w14:paraId="501474EE" w14:textId="77777777" w:rsidR="001C7452" w:rsidRPr="00BF288E" w:rsidRDefault="001C7452" w:rsidP="00C37D2F">
      <w:pPr>
        <w:pStyle w:val="SingleTxtG"/>
        <w:spacing w:line="240" w:lineRule="exact"/>
        <w:ind w:firstLine="567"/>
      </w:pPr>
      <w:r w:rsidRPr="00BF288E">
        <w:rPr>
          <w:i/>
          <w:iCs/>
        </w:rPr>
        <w:t xml:space="preserve">Recognizing </w:t>
      </w:r>
      <w:r w:rsidRPr="00BF288E">
        <w:t xml:space="preserve">that there may be difficulties in finalizing the annual review reports for the 2022 review process by 15 April 2023 owing to the complexity of the process, as it is the final review for the second commitment period, </w:t>
      </w:r>
    </w:p>
    <w:p w14:paraId="3BD6AFF1" w14:textId="77777777" w:rsidR="001C7452" w:rsidRPr="00BF288E" w:rsidRDefault="001C7452" w:rsidP="00C37D2F">
      <w:pPr>
        <w:pStyle w:val="SingleTxtG"/>
        <w:spacing w:line="240" w:lineRule="exact"/>
        <w:ind w:firstLine="567"/>
        <w:rPr>
          <w:sz w:val="12"/>
          <w:szCs w:val="12"/>
        </w:rPr>
      </w:pPr>
      <w:r w:rsidRPr="00BF288E">
        <w:rPr>
          <w:i/>
          <w:iCs/>
        </w:rPr>
        <w:t xml:space="preserve">Noting </w:t>
      </w:r>
      <w:r w:rsidRPr="00BF288E">
        <w:t>the timely submission of the annual submissions due in 2022 of Parties included in Annex I,</w:t>
      </w:r>
      <w:r w:rsidRPr="00BF288E">
        <w:rPr>
          <w:rStyle w:val="FootnoteReference"/>
        </w:rPr>
        <w:footnoteReference w:id="2"/>
      </w:r>
    </w:p>
    <w:p w14:paraId="36289674" w14:textId="77777777" w:rsidR="001C7452" w:rsidRPr="00BF288E" w:rsidRDefault="001C7452" w:rsidP="00C37D2F">
      <w:pPr>
        <w:pStyle w:val="SingleTxtG"/>
        <w:spacing w:line="240" w:lineRule="exact"/>
        <w:ind w:firstLine="567"/>
      </w:pPr>
      <w:r w:rsidRPr="00BF288E">
        <w:rPr>
          <w:i/>
          <w:iCs/>
        </w:rPr>
        <w:t xml:space="preserve">Also noting </w:t>
      </w:r>
      <w:r w:rsidRPr="00BF288E">
        <w:t xml:space="preserve">the need for Parties to continue to support and facilitate the review process, including through the participation of nominated national experts in the greenhouse gas inventory review process, </w:t>
      </w:r>
    </w:p>
    <w:p w14:paraId="4E20BB2E" w14:textId="7E8505A9" w:rsidR="001C7452" w:rsidRPr="00BF288E" w:rsidRDefault="001C7452" w:rsidP="001C7452">
      <w:pPr>
        <w:pStyle w:val="SingleTxtG"/>
        <w:spacing w:line="240" w:lineRule="exact"/>
        <w:ind w:firstLine="567"/>
      </w:pPr>
      <w:r w:rsidRPr="00BF288E">
        <w:rPr>
          <w:i/>
          <w:iCs/>
        </w:rPr>
        <w:t xml:space="preserve">Recalling </w:t>
      </w:r>
      <w:r w:rsidRPr="00BF288E">
        <w:t>that the secretariat maintains a compilation and accounting database to compile and account for emissions and assigned amounts, pursuant to Article 3, paragraphs 7 bis, 8 and 8 bis, of the Kyoto Protocol, as amended, and of additions to, and subtractions from, assigned amounts, pursuant to the same paragraphs, for the accounting of the compliance assessment, in order to facilitate the assessment of the compliance of each Party included in Annex I with its commitments under Article 3, paragraph 1 bis, of the Kyoto Protocol, as amended,</w:t>
      </w:r>
    </w:p>
    <w:p w14:paraId="58B9A1C9" w14:textId="3CA98D15" w:rsidR="001C7452" w:rsidRPr="00BF288E" w:rsidRDefault="00EA1E20" w:rsidP="00EA1E20">
      <w:pPr>
        <w:pStyle w:val="RegSingleTxtG"/>
        <w:numPr>
          <w:ilvl w:val="0"/>
          <w:numId w:val="0"/>
        </w:numPr>
        <w:tabs>
          <w:tab w:val="left" w:pos="568"/>
        </w:tabs>
        <w:ind w:left="1135"/>
      </w:pPr>
      <w:r w:rsidRPr="00BF288E">
        <w:t>1.</w:t>
      </w:r>
      <w:r w:rsidRPr="00BF288E">
        <w:tab/>
      </w:r>
      <w:r w:rsidR="001C7452" w:rsidRPr="00BF288E">
        <w:rPr>
          <w:i/>
        </w:rPr>
        <w:t xml:space="preserve">Decides </w:t>
      </w:r>
      <w:r w:rsidR="001C7452" w:rsidRPr="00BF288E">
        <w:t xml:space="preserve">that the expert review process under Article 8 of the Kyoto Protocol for the final year of the second commitment period shall be completed by 1 June 2023 subject to the availability of resources, and </w:t>
      </w:r>
      <w:r w:rsidR="00194ECB" w:rsidRPr="00BF288E">
        <w:rPr>
          <w:i/>
          <w:iCs/>
        </w:rPr>
        <w:t>also</w:t>
      </w:r>
      <w:r w:rsidR="00194ECB" w:rsidRPr="00BF288E">
        <w:t xml:space="preserve"> </w:t>
      </w:r>
      <w:r w:rsidR="001C7452" w:rsidRPr="00BF288E">
        <w:rPr>
          <w:i/>
          <w:iCs/>
        </w:rPr>
        <w:t xml:space="preserve">decides </w:t>
      </w:r>
      <w:r w:rsidR="001C7452" w:rsidRPr="00BF288E">
        <w:t xml:space="preserve">that, if the expert review process is not completed by that date, it shall continue, and the date of completion shall be the date of publication of the final inventory review report for the final year of the second commitment period; </w:t>
      </w:r>
    </w:p>
    <w:p w14:paraId="64808032" w14:textId="0CE15C96" w:rsidR="001C7452" w:rsidRPr="00BF288E" w:rsidRDefault="00EA1E20" w:rsidP="00EA1E20">
      <w:pPr>
        <w:pStyle w:val="RegSingleTxtG"/>
        <w:numPr>
          <w:ilvl w:val="0"/>
          <w:numId w:val="0"/>
        </w:numPr>
        <w:tabs>
          <w:tab w:val="left" w:pos="568"/>
        </w:tabs>
        <w:ind w:left="1135"/>
      </w:pPr>
      <w:r w:rsidRPr="00BF288E">
        <w:t>2.</w:t>
      </w:r>
      <w:r w:rsidRPr="00BF288E">
        <w:tab/>
      </w:r>
      <w:r w:rsidR="001C7452" w:rsidRPr="00BF288E">
        <w:rPr>
          <w:i/>
          <w:iCs/>
        </w:rPr>
        <w:t xml:space="preserve">Urges </w:t>
      </w:r>
      <w:r w:rsidR="001C7452" w:rsidRPr="00BF288E">
        <w:t xml:space="preserve">Parties, expert review teams and the secretariat to expedite the review process in order to meet that deadline; </w:t>
      </w:r>
    </w:p>
    <w:p w14:paraId="30C2F8BF" w14:textId="7A96F928" w:rsidR="001C7452" w:rsidRPr="00BF288E" w:rsidRDefault="00EA1E20" w:rsidP="00EA1E20">
      <w:pPr>
        <w:pStyle w:val="RegSingleTxtG"/>
        <w:numPr>
          <w:ilvl w:val="0"/>
          <w:numId w:val="0"/>
        </w:numPr>
        <w:tabs>
          <w:tab w:val="left" w:pos="568"/>
        </w:tabs>
        <w:ind w:left="1135"/>
      </w:pPr>
      <w:r w:rsidRPr="00BF288E">
        <w:t>3.</w:t>
      </w:r>
      <w:r w:rsidRPr="00BF288E">
        <w:tab/>
      </w:r>
      <w:r w:rsidR="001C7452" w:rsidRPr="00BF288E">
        <w:rPr>
          <w:i/>
          <w:iCs/>
        </w:rPr>
        <w:t xml:space="preserve">Decides </w:t>
      </w:r>
      <w:r w:rsidR="001C7452" w:rsidRPr="00BF288E">
        <w:t xml:space="preserve">that the report upon expiration of the additional period for fulfilling commitments for the second commitment period, covering the information required in decision 13/CMP.1, annex, paragraph 49, using the standard electronic format tables as agreed in decision 3/CMP.11, shall be submitted as soon as practicable but not later than 45 days after the expiration of the additional period for fulfilling commitments for the second commitment period (the true-up period); </w:t>
      </w:r>
    </w:p>
    <w:p w14:paraId="42CD9785" w14:textId="508788C6" w:rsidR="001C7452" w:rsidRPr="00BF288E" w:rsidRDefault="00EA1E20" w:rsidP="00EA1E20">
      <w:pPr>
        <w:pStyle w:val="RegSingleTxtG"/>
        <w:numPr>
          <w:ilvl w:val="0"/>
          <w:numId w:val="0"/>
        </w:numPr>
        <w:tabs>
          <w:tab w:val="left" w:pos="568"/>
        </w:tabs>
        <w:ind w:left="1135"/>
        <w:rPr>
          <w:szCs w:val="22"/>
        </w:rPr>
      </w:pPr>
      <w:r w:rsidRPr="00BF288E">
        <w:rPr>
          <w:szCs w:val="22"/>
        </w:rPr>
        <w:lastRenderedPageBreak/>
        <w:t>4.</w:t>
      </w:r>
      <w:r w:rsidRPr="00BF288E">
        <w:rPr>
          <w:szCs w:val="22"/>
        </w:rPr>
        <w:tab/>
      </w:r>
      <w:r w:rsidR="001C7452" w:rsidRPr="00BF288E">
        <w:rPr>
          <w:i/>
          <w:iCs/>
          <w:szCs w:val="22"/>
        </w:rPr>
        <w:t>Also decides</w:t>
      </w:r>
      <w:r w:rsidR="001C7452" w:rsidRPr="00BF288E">
        <w:rPr>
          <w:szCs w:val="22"/>
        </w:rPr>
        <w:t xml:space="preserve"> that the secretariat shall produce in electronic format, on 30 July 2023 and every four weeks thereafter until the month of completion of the true-up period, the following information for each Party included in Annex I with a commitment inscribed in the third column of Annex B in the Doha Amendment to the Kyoto Protocol for the second commitment period, indicating clearly the source of the information:</w:t>
      </w:r>
    </w:p>
    <w:p w14:paraId="643AA4E0" w14:textId="77777777" w:rsidR="001C7452" w:rsidRPr="00BF288E" w:rsidRDefault="001C7452" w:rsidP="001C7452">
      <w:pPr>
        <w:pStyle w:val="RegSingleTxtG"/>
        <w:numPr>
          <w:ilvl w:val="0"/>
          <w:numId w:val="0"/>
        </w:numPr>
        <w:ind w:left="1135"/>
        <w:rPr>
          <w:szCs w:val="22"/>
        </w:rPr>
      </w:pPr>
      <w:r w:rsidRPr="00BF288E">
        <w:rPr>
          <w:szCs w:val="22"/>
        </w:rPr>
        <w:tab/>
        <w:t>(a)</w:t>
      </w:r>
      <w:r w:rsidRPr="00BF288E">
        <w:rPr>
          <w:szCs w:val="22"/>
        </w:rPr>
        <w:tab/>
        <w:t>Inventory data for each year of the second commitment period;</w:t>
      </w:r>
    </w:p>
    <w:p w14:paraId="38D4243B" w14:textId="4446AEB9" w:rsidR="001C7452" w:rsidRPr="00BF288E" w:rsidRDefault="001C7452" w:rsidP="001C7452">
      <w:pPr>
        <w:pStyle w:val="RegSingleTxtG"/>
        <w:numPr>
          <w:ilvl w:val="0"/>
          <w:numId w:val="0"/>
        </w:numPr>
        <w:ind w:left="1135"/>
        <w:rPr>
          <w:szCs w:val="22"/>
        </w:rPr>
      </w:pPr>
      <w:r w:rsidRPr="00BF288E">
        <w:rPr>
          <w:szCs w:val="22"/>
        </w:rPr>
        <w:tab/>
        <w:t>(b)</w:t>
      </w:r>
      <w:r w:rsidRPr="00BF288E">
        <w:rPr>
          <w:szCs w:val="22"/>
        </w:rPr>
        <w:tab/>
        <w:t>Total emissions over the second commitment period;</w:t>
      </w:r>
    </w:p>
    <w:p w14:paraId="3D7EB2C4" w14:textId="66A9C84B" w:rsidR="001C7452" w:rsidRPr="00BF288E" w:rsidRDefault="001C7452" w:rsidP="001C7452">
      <w:pPr>
        <w:pStyle w:val="RegSingleTxtG"/>
        <w:numPr>
          <w:ilvl w:val="0"/>
          <w:numId w:val="0"/>
        </w:numPr>
        <w:ind w:left="1134"/>
        <w:rPr>
          <w:szCs w:val="22"/>
        </w:rPr>
      </w:pPr>
      <w:r w:rsidRPr="00BF288E">
        <w:rPr>
          <w:szCs w:val="22"/>
        </w:rPr>
        <w:tab/>
        <w:t>(c)</w:t>
      </w:r>
      <w:r w:rsidRPr="00BF288E">
        <w:rPr>
          <w:szCs w:val="22"/>
        </w:rPr>
        <w:tab/>
        <w:t xml:space="preserve">Total quantity of units held in Party holding accounts, cancellation accounts and the retirement account; </w:t>
      </w:r>
    </w:p>
    <w:p w14:paraId="409CE00C" w14:textId="2E3F6161" w:rsidR="001C7452" w:rsidRPr="00BF288E" w:rsidRDefault="00EA1E20" w:rsidP="00EA1E20">
      <w:pPr>
        <w:pStyle w:val="RegSingleTxtG"/>
        <w:numPr>
          <w:ilvl w:val="0"/>
          <w:numId w:val="0"/>
        </w:numPr>
        <w:tabs>
          <w:tab w:val="left" w:pos="568"/>
        </w:tabs>
        <w:ind w:left="1135"/>
      </w:pPr>
      <w:r w:rsidRPr="00BF288E">
        <w:t>5.</w:t>
      </w:r>
      <w:r w:rsidRPr="00BF288E">
        <w:tab/>
      </w:r>
      <w:r w:rsidR="001C7452" w:rsidRPr="00BF288E">
        <w:rPr>
          <w:i/>
          <w:iCs/>
        </w:rPr>
        <w:t xml:space="preserve">Further decides </w:t>
      </w:r>
      <w:r w:rsidR="001C7452" w:rsidRPr="00BF288E">
        <w:t xml:space="preserve">that this information should include the total quantity of aggregated holdings in the clean development mechanism registry; </w:t>
      </w:r>
    </w:p>
    <w:p w14:paraId="5D4BF3D7" w14:textId="1D8FBC81" w:rsidR="001C7452" w:rsidRPr="00BF288E" w:rsidRDefault="00EA1E20" w:rsidP="00EA1E20">
      <w:pPr>
        <w:pStyle w:val="RegSingleTxtG"/>
        <w:numPr>
          <w:ilvl w:val="0"/>
          <w:numId w:val="0"/>
        </w:numPr>
        <w:tabs>
          <w:tab w:val="left" w:pos="568"/>
        </w:tabs>
        <w:ind w:left="1135"/>
      </w:pPr>
      <w:r w:rsidRPr="00BF288E">
        <w:t>6.</w:t>
      </w:r>
      <w:r w:rsidRPr="00BF288E">
        <w:tab/>
      </w:r>
      <w:r w:rsidR="001C7452" w:rsidRPr="00BF288E">
        <w:rPr>
          <w:i/>
          <w:iCs/>
        </w:rPr>
        <w:t xml:space="preserve">Decides </w:t>
      </w:r>
      <w:r w:rsidR="001C7452" w:rsidRPr="00BF288E">
        <w:t>that information on the review processes remaining to be completed should be provided by the secretariat together with the information referred to in paragraph 4 above, including information on which reviews are incomplete, which stage the incomplete review processes have reached, on what dates previous stages were completed and, to the extent possible, when outstanding stages are expected to be completed.</w:t>
      </w:r>
    </w:p>
    <w:p w14:paraId="28B48234" w14:textId="70A09CEF" w:rsidR="00756A1A" w:rsidRPr="00BF288E" w:rsidRDefault="00BC7BAB" w:rsidP="00A50A9A">
      <w:pPr>
        <w:ind w:right="1133"/>
        <w:jc w:val="right"/>
        <w:rPr>
          <w:i/>
        </w:rPr>
      </w:pPr>
      <w:r w:rsidRPr="00BF288E">
        <w:rPr>
          <w:i/>
        </w:rPr>
        <w:t>9</w:t>
      </w:r>
      <w:r w:rsidRPr="00BF288E">
        <w:rPr>
          <w:i/>
          <w:vertAlign w:val="superscript"/>
        </w:rPr>
        <w:t>th</w:t>
      </w:r>
      <w:r w:rsidRPr="00BF288E">
        <w:rPr>
          <w:i/>
        </w:rPr>
        <w:t xml:space="preserve"> </w:t>
      </w:r>
      <w:r w:rsidR="00756A1A" w:rsidRPr="00BF288E">
        <w:rPr>
          <w:i/>
        </w:rPr>
        <w:t>plenary meeting</w:t>
      </w:r>
    </w:p>
    <w:p w14:paraId="2C720A84" w14:textId="2D02B372" w:rsidR="00756A1A" w:rsidRPr="00BF288E" w:rsidRDefault="00756A1A" w:rsidP="00A50A9A">
      <w:pPr>
        <w:ind w:right="1133"/>
        <w:jc w:val="right"/>
        <w:rPr>
          <w:i/>
        </w:rPr>
      </w:pPr>
      <w:r w:rsidRPr="00BF288E">
        <w:rPr>
          <w:i/>
        </w:rPr>
        <w:t>1</w:t>
      </w:r>
      <w:r w:rsidR="00BC7BAB" w:rsidRPr="00BF288E">
        <w:rPr>
          <w:i/>
        </w:rPr>
        <w:t>7</w:t>
      </w:r>
      <w:r w:rsidRPr="00BF288E">
        <w:rPr>
          <w:i/>
        </w:rPr>
        <w:t xml:space="preserve"> November 202</w:t>
      </w:r>
      <w:r w:rsidR="00BC7BAB" w:rsidRPr="00BF288E">
        <w:rPr>
          <w:i/>
        </w:rPr>
        <w:t>2</w:t>
      </w:r>
    </w:p>
    <w:p w14:paraId="0E96A1B0" w14:textId="77777777" w:rsidR="005E2012" w:rsidRPr="00BF288E" w:rsidRDefault="005E2012" w:rsidP="005E2012"/>
    <w:p w14:paraId="3FC00A13" w14:textId="77777777" w:rsidR="005E2012" w:rsidRPr="00BF288E" w:rsidRDefault="005E2012" w:rsidP="005E2012">
      <w:pPr>
        <w:pStyle w:val="RegSingleTxtG"/>
        <w:numPr>
          <w:ilvl w:val="0"/>
          <w:numId w:val="0"/>
        </w:numPr>
        <w:ind w:left="1134"/>
        <w:sectPr w:rsidR="005E2012" w:rsidRPr="00BF288E" w:rsidSect="00310DE3">
          <w:headerReference w:type="even" r:id="rId13"/>
          <w:headerReference w:type="default" r:id="rId14"/>
          <w:footerReference w:type="even" r:id="rId15"/>
          <w:footerReference w:type="default" r:id="rId16"/>
          <w:headerReference w:type="first" r:id="rId17"/>
          <w:footnotePr>
            <w:numRestart w:val="eachSect"/>
          </w:footnotePr>
          <w:endnotePr>
            <w:numFmt w:val="lowerLetter"/>
            <w:numRestart w:val="eachSect"/>
          </w:endnotePr>
          <w:type w:val="continuous"/>
          <w:pgSz w:w="11906" w:h="16838" w:code="9"/>
          <w:pgMar w:top="1417" w:right="1134" w:bottom="1134" w:left="1134" w:header="850" w:footer="567" w:gutter="0"/>
          <w:cols w:space="708"/>
          <w:titlePg/>
          <w:docGrid w:linePitch="360"/>
        </w:sectPr>
      </w:pPr>
    </w:p>
    <w:p w14:paraId="1F9ACCF2" w14:textId="7A74D101" w:rsidR="00EB6B16" w:rsidRPr="00BF288E" w:rsidRDefault="00835B66" w:rsidP="00BD4107">
      <w:pPr>
        <w:pStyle w:val="HChG"/>
        <w:spacing w:before="240"/>
      </w:pPr>
      <w:r w:rsidRPr="00BF288E">
        <w:tab/>
      </w:r>
      <w:r w:rsidRPr="00BF288E">
        <w:tab/>
      </w:r>
      <w:bookmarkStart w:id="6" w:name="Decision_2"/>
      <w:r w:rsidR="00EB6B16" w:rsidRPr="00BF288E">
        <w:t xml:space="preserve">Decision </w:t>
      </w:r>
      <w:r w:rsidR="005E2012" w:rsidRPr="00BF288E">
        <w:t>2</w:t>
      </w:r>
      <w:r w:rsidR="00EB6B16" w:rsidRPr="00BF288E">
        <w:t>/CMP.17</w:t>
      </w:r>
      <w:bookmarkEnd w:id="6"/>
    </w:p>
    <w:p w14:paraId="10B521A1" w14:textId="333C8E53" w:rsidR="00EB6B16" w:rsidRPr="00BF288E" w:rsidRDefault="00835B66" w:rsidP="0084714B">
      <w:pPr>
        <w:pStyle w:val="HChG"/>
      </w:pPr>
      <w:r w:rsidRPr="00BF288E">
        <w:tab/>
      </w:r>
      <w:r w:rsidRPr="00BF288E">
        <w:tab/>
      </w:r>
      <w:r w:rsidR="00EB6B16" w:rsidRPr="00BF288E">
        <w:t>Guidance relating to the clean development mechanism</w:t>
      </w:r>
    </w:p>
    <w:p w14:paraId="0FD7DC6E" w14:textId="77777777" w:rsidR="00EB6B16" w:rsidRPr="00BF288E" w:rsidRDefault="00EB6B16" w:rsidP="0084714B">
      <w:pPr>
        <w:pStyle w:val="SingleTxtG"/>
        <w:ind w:firstLine="567"/>
      </w:pPr>
      <w:r w:rsidRPr="00BF288E">
        <w:rPr>
          <w:i/>
          <w:iCs/>
        </w:rPr>
        <w:t>The Conference of the Parties serving as the meeting of the Parties to the Kyoto Protocol</w:t>
      </w:r>
      <w:r w:rsidRPr="00BF288E">
        <w:t>,</w:t>
      </w:r>
    </w:p>
    <w:p w14:paraId="6730319D" w14:textId="77777777" w:rsidR="00EB6B16" w:rsidRPr="00BF288E" w:rsidRDefault="00EB6B16" w:rsidP="0084714B">
      <w:pPr>
        <w:pStyle w:val="SingleTxtG"/>
        <w:ind w:firstLine="567"/>
      </w:pPr>
      <w:r w:rsidRPr="00BF288E">
        <w:rPr>
          <w:i/>
          <w:iCs/>
        </w:rPr>
        <w:t>Recalling</w:t>
      </w:r>
      <w:r w:rsidRPr="00BF288E">
        <w:t xml:space="preserve"> Articles 3 and 12 of the Kyoto Protocol,</w:t>
      </w:r>
    </w:p>
    <w:p w14:paraId="3EEC4314" w14:textId="77777777" w:rsidR="00EB6B16" w:rsidRPr="00BF288E" w:rsidRDefault="00EB6B16" w:rsidP="0084714B">
      <w:pPr>
        <w:pStyle w:val="SingleTxtG"/>
        <w:ind w:firstLine="567"/>
      </w:pPr>
      <w:r w:rsidRPr="00BF288E">
        <w:rPr>
          <w:i/>
          <w:iCs/>
        </w:rPr>
        <w:t>Also recalling</w:t>
      </w:r>
      <w:r w:rsidRPr="00BF288E">
        <w:t xml:space="preserve"> decision 3/CMP.1 and subsequent guidance provided by the Conference of the Parties serving as the meeting of the Parties to the Kyoto Protocol relating to the clean development mechanism,</w:t>
      </w:r>
    </w:p>
    <w:p w14:paraId="08D63774" w14:textId="77777777" w:rsidR="00EB6B16" w:rsidRPr="00BF288E" w:rsidRDefault="00EB6B16" w:rsidP="0084714B">
      <w:pPr>
        <w:pStyle w:val="SingleTxtG"/>
        <w:ind w:firstLine="567"/>
      </w:pPr>
      <w:r w:rsidRPr="00BF288E">
        <w:rPr>
          <w:i/>
          <w:iCs/>
        </w:rPr>
        <w:t>Acknowledging</w:t>
      </w:r>
      <w:r w:rsidRPr="00BF288E">
        <w:t xml:space="preserve"> the contribution to global efforts to address climate change of the clean development mechanism, which as at 31 October 2022 was responsible for 7,844 project activities being registered, 361 programmes of activities being registered and over 2.32 billion certified emission reductions being issued, of which over 389 million had been voluntarily cancelled either in national registries or in the clean development mechanism registry,</w:t>
      </w:r>
    </w:p>
    <w:p w14:paraId="1D1A00CF" w14:textId="77777777" w:rsidR="00EB6B16" w:rsidRPr="00BF288E" w:rsidRDefault="00EB6B16" w:rsidP="0084714B">
      <w:pPr>
        <w:pStyle w:val="SingleTxtG"/>
        <w:ind w:firstLine="567"/>
      </w:pPr>
      <w:r w:rsidRPr="00BF288E">
        <w:rPr>
          <w:i/>
          <w:iCs/>
        </w:rPr>
        <w:t>Welcoming</w:t>
      </w:r>
      <w:r w:rsidRPr="00BF288E">
        <w:t xml:space="preserve"> the entry into force of the Doha Amendment to the Kyoto Protocol,</w:t>
      </w:r>
      <w:r w:rsidRPr="00BF288E">
        <w:rPr>
          <w:rStyle w:val="FootnoteReference"/>
        </w:rPr>
        <w:footnoteReference w:id="3"/>
      </w:r>
    </w:p>
    <w:p w14:paraId="099DCA5D" w14:textId="175E279A" w:rsidR="00EB6B16" w:rsidRPr="00BF288E" w:rsidRDefault="00EB6B16" w:rsidP="0084714B">
      <w:pPr>
        <w:pStyle w:val="SingleTxtG"/>
        <w:ind w:firstLine="567"/>
      </w:pPr>
      <w:r w:rsidRPr="00BF288E">
        <w:rPr>
          <w:i/>
          <w:iCs/>
        </w:rPr>
        <w:t>Cognizant</w:t>
      </w:r>
      <w:r w:rsidRPr="00BF288E">
        <w:t xml:space="preserve"> of decisions 3/CMA.3 and </w:t>
      </w:r>
      <w:r w:rsidR="00647EB0" w:rsidRPr="00BF288E">
        <w:t>7</w:t>
      </w:r>
      <w:r w:rsidRPr="00BF288E">
        <w:t>/CMA.4 and their annexes,</w:t>
      </w:r>
    </w:p>
    <w:p w14:paraId="0568F801" w14:textId="77777777" w:rsidR="00EB6B16" w:rsidRPr="00BF288E" w:rsidRDefault="00EB6B16" w:rsidP="0084714B">
      <w:pPr>
        <w:pStyle w:val="SingleTxtG"/>
        <w:ind w:firstLine="567"/>
      </w:pPr>
      <w:r w:rsidRPr="00BF288E">
        <w:rPr>
          <w:i/>
          <w:iCs/>
        </w:rPr>
        <w:t>Recognizing</w:t>
      </w:r>
      <w:r w:rsidRPr="00BF288E">
        <w:t xml:space="preserve"> the need for a smooth transition from the clean development mechanism to the mechanism established by Article 6, paragraph 4, of the Paris Agreement,</w:t>
      </w:r>
    </w:p>
    <w:p w14:paraId="26FEE3E7" w14:textId="45D528EC" w:rsidR="00EB6B16" w:rsidRPr="00BF288E" w:rsidRDefault="00EA1E20" w:rsidP="00EA1E20">
      <w:pPr>
        <w:pStyle w:val="RegHChG"/>
        <w:numPr>
          <w:ilvl w:val="0"/>
          <w:numId w:val="0"/>
        </w:numPr>
        <w:tabs>
          <w:tab w:val="left" w:pos="1135"/>
        </w:tabs>
        <w:ind w:left="1135" w:hanging="454"/>
      </w:pPr>
      <w:r w:rsidRPr="00BF288E">
        <w:t>I.</w:t>
      </w:r>
      <w:r w:rsidRPr="00BF288E">
        <w:tab/>
      </w:r>
      <w:r w:rsidR="00EB6B16" w:rsidRPr="00BF288E">
        <w:t>General</w:t>
      </w:r>
    </w:p>
    <w:p w14:paraId="1B79EED6" w14:textId="0591CF95" w:rsidR="00EB6B16" w:rsidRPr="00BF288E" w:rsidRDefault="00EA1E20" w:rsidP="00EA1E20">
      <w:pPr>
        <w:pStyle w:val="RegSingleTxtG"/>
        <w:numPr>
          <w:ilvl w:val="0"/>
          <w:numId w:val="0"/>
        </w:numPr>
        <w:tabs>
          <w:tab w:val="clear" w:pos="1701"/>
        </w:tabs>
        <w:ind w:left="1134"/>
      </w:pPr>
      <w:r w:rsidRPr="00BF288E">
        <w:t>1.</w:t>
      </w:r>
      <w:r w:rsidRPr="00BF288E">
        <w:tab/>
      </w:r>
      <w:r w:rsidR="00EB6B16" w:rsidRPr="00BF288E">
        <w:rPr>
          <w:i/>
          <w:iCs/>
        </w:rPr>
        <w:t>Welcomes</w:t>
      </w:r>
      <w:r w:rsidR="00EB6B16" w:rsidRPr="00BF288E">
        <w:t xml:space="preserve"> the annual report of the Executive Board of the clean development mechanism to the Conference of the Parties serving as the meeting of the Parties to the Kyoto Protocol;</w:t>
      </w:r>
      <w:r w:rsidR="00EB6B16" w:rsidRPr="00BF288E">
        <w:rPr>
          <w:rStyle w:val="FootnoteReference"/>
        </w:rPr>
        <w:footnoteReference w:id="4"/>
      </w:r>
    </w:p>
    <w:p w14:paraId="2FCC3A05" w14:textId="09B1D054" w:rsidR="00EB6B16" w:rsidRPr="00BF288E" w:rsidRDefault="00EA1E20" w:rsidP="00EA1E20">
      <w:pPr>
        <w:pStyle w:val="RegSingleTxtG"/>
        <w:numPr>
          <w:ilvl w:val="0"/>
          <w:numId w:val="0"/>
        </w:numPr>
        <w:tabs>
          <w:tab w:val="clear" w:pos="1701"/>
        </w:tabs>
        <w:ind w:left="1134"/>
        <w:rPr>
          <w:lang w:val="en-AU"/>
        </w:rPr>
      </w:pPr>
      <w:r w:rsidRPr="00BF288E">
        <w:rPr>
          <w:lang w:val="en-AU"/>
        </w:rPr>
        <w:t>2.</w:t>
      </w:r>
      <w:r w:rsidRPr="00BF288E">
        <w:rPr>
          <w:lang w:val="en-AU"/>
        </w:rPr>
        <w:tab/>
      </w:r>
      <w:r w:rsidR="00EB6B16" w:rsidRPr="00BF288E">
        <w:rPr>
          <w:i/>
          <w:iCs/>
          <w:lang w:val="en-AU"/>
        </w:rPr>
        <w:t>Takes note</w:t>
      </w:r>
      <w:r w:rsidR="00EB6B16" w:rsidRPr="00BF288E">
        <w:rPr>
          <w:lang w:val="en-AU"/>
        </w:rPr>
        <w:t xml:space="preserve"> of the work undertaken from 10 September 2021 to 8 September 2022 by the Executive Board, its panels and the secretariat in overseeing the implementation of the clean development mechanism and maintaining stakeholder engagement in its operations;</w:t>
      </w:r>
    </w:p>
    <w:p w14:paraId="48DAA716" w14:textId="596EC614" w:rsidR="00EB6B16" w:rsidRPr="00BF288E" w:rsidRDefault="00EA1E20" w:rsidP="00EA1E20">
      <w:pPr>
        <w:pStyle w:val="RegSingleTxtG"/>
        <w:numPr>
          <w:ilvl w:val="0"/>
          <w:numId w:val="0"/>
        </w:numPr>
        <w:tabs>
          <w:tab w:val="clear" w:pos="1701"/>
        </w:tabs>
        <w:ind w:left="1134"/>
        <w:rPr>
          <w:lang w:val="en-AU"/>
        </w:rPr>
      </w:pPr>
      <w:r w:rsidRPr="00BF288E">
        <w:rPr>
          <w:lang w:val="en-AU"/>
        </w:rPr>
        <w:t>3.</w:t>
      </w:r>
      <w:r w:rsidRPr="00BF288E">
        <w:rPr>
          <w:lang w:val="en-AU"/>
        </w:rPr>
        <w:tab/>
      </w:r>
      <w:r w:rsidR="00EB6B16" w:rsidRPr="00BF288E">
        <w:rPr>
          <w:i/>
          <w:iCs/>
          <w:lang w:val="en-AU"/>
        </w:rPr>
        <w:t>Designates</w:t>
      </w:r>
      <w:r w:rsidR="00EB6B16" w:rsidRPr="00BF288E">
        <w:rPr>
          <w:lang w:val="en-AU"/>
        </w:rPr>
        <w:t xml:space="preserve"> as operational entities those entities that have been accredited and provisionally designated as such by the Executive Board to carry out sectoral scope-specific validation and/or verification functions as set out in the annex;</w:t>
      </w:r>
    </w:p>
    <w:p w14:paraId="0748C599" w14:textId="034717F5" w:rsidR="00EB6B16" w:rsidRPr="00BF288E" w:rsidRDefault="00EA1E20" w:rsidP="00EA1E20">
      <w:pPr>
        <w:pStyle w:val="RegHChG"/>
        <w:numPr>
          <w:ilvl w:val="0"/>
          <w:numId w:val="0"/>
        </w:numPr>
        <w:tabs>
          <w:tab w:val="left" w:pos="1135"/>
        </w:tabs>
        <w:ind w:left="1135" w:hanging="454"/>
      </w:pPr>
      <w:r w:rsidRPr="00BF288E">
        <w:t>II.</w:t>
      </w:r>
      <w:r w:rsidRPr="00BF288E">
        <w:tab/>
      </w:r>
      <w:r w:rsidR="00EB6B16" w:rsidRPr="00BF288E">
        <w:t>Functioning of the clean development mechanism beyond the end of the second commitment period of the Kyoto Protocol</w:t>
      </w:r>
    </w:p>
    <w:p w14:paraId="0DD12074" w14:textId="74DAA70A" w:rsidR="00EB6B16" w:rsidRPr="00BF288E" w:rsidRDefault="00EA1E20" w:rsidP="00EA1E20">
      <w:pPr>
        <w:pStyle w:val="RegSingleTxtG"/>
        <w:numPr>
          <w:ilvl w:val="0"/>
          <w:numId w:val="0"/>
        </w:numPr>
        <w:tabs>
          <w:tab w:val="clear" w:pos="1701"/>
        </w:tabs>
        <w:ind w:left="1134"/>
      </w:pPr>
      <w:bookmarkStart w:id="7" w:name="_Ref119152237"/>
      <w:r w:rsidRPr="00BF288E">
        <w:t>4.</w:t>
      </w:r>
      <w:r w:rsidRPr="00BF288E">
        <w:tab/>
      </w:r>
      <w:r w:rsidR="00EB6B16" w:rsidRPr="00BF288E">
        <w:rPr>
          <w:i/>
          <w:iCs/>
        </w:rPr>
        <w:t>Acknowledges</w:t>
      </w:r>
      <w:r w:rsidR="00EB6B16" w:rsidRPr="00BF288E">
        <w:t xml:space="preserve"> that the Executive Board recommended that the Conference of the Parties serving as the meeting of the Parties to the Kyoto Protocol provide guidance on specific processes under the clean development mechanism relating to its functioning in the future;</w:t>
      </w:r>
      <w:r w:rsidR="00EB6B16" w:rsidRPr="00BF288E">
        <w:rPr>
          <w:rStyle w:val="FootnoteReference"/>
        </w:rPr>
        <w:footnoteReference w:id="5"/>
      </w:r>
      <w:bookmarkEnd w:id="7"/>
    </w:p>
    <w:p w14:paraId="2AD6B984" w14:textId="2E61B146" w:rsidR="00EB6B16" w:rsidRPr="00BF288E" w:rsidRDefault="00EA1E20" w:rsidP="00EA1E20">
      <w:pPr>
        <w:pStyle w:val="RegSingleTxtG"/>
        <w:numPr>
          <w:ilvl w:val="0"/>
          <w:numId w:val="0"/>
        </w:numPr>
        <w:ind w:left="1134"/>
      </w:pPr>
      <w:bookmarkStart w:id="8" w:name="_Ref117872001"/>
      <w:bookmarkStart w:id="9" w:name="_Ref119349990"/>
      <w:r w:rsidRPr="00BF288E">
        <w:t>5.</w:t>
      </w:r>
      <w:r w:rsidRPr="00BF288E">
        <w:tab/>
      </w:r>
      <w:r w:rsidR="00EB6B16" w:rsidRPr="00BF288E">
        <w:rPr>
          <w:i/>
          <w:iCs/>
        </w:rPr>
        <w:t xml:space="preserve">Also acknowledges </w:t>
      </w:r>
      <w:r w:rsidR="00EB6B16" w:rsidRPr="00BF288E">
        <w:t>that, pursuant to paragraph 15 of decision 2/CMP.16, the Executive Board may continue to receive and process, under the temporary measures adopted at its 108</w:t>
      </w:r>
      <w:r w:rsidR="00EB6B16" w:rsidRPr="00BF288E">
        <w:rPr>
          <w:vertAlign w:val="superscript"/>
        </w:rPr>
        <w:t>th</w:t>
      </w:r>
      <w:r w:rsidR="00EB6B16" w:rsidRPr="00BF288E">
        <w:t xml:space="preserve"> meeting, requests for registration, renewal of crediting period and issuance of certified emission reductions for project activities and equivalent submissions for programmes of activities and the component project activities relating to emission reductions occurring after 31 December 2020</w:t>
      </w:r>
      <w:bookmarkEnd w:id="8"/>
      <w:bookmarkEnd w:id="9"/>
      <w:r w:rsidR="00EB6B16" w:rsidRPr="00BF288E">
        <w:t xml:space="preserve"> until the date when the process for submission of requests to the secretariat to transition the requests and other submissions that have been accorded provisional status to the mechanism established by Article 6, paragraph 4, of the Paris Agreement becomes operational; </w:t>
      </w:r>
    </w:p>
    <w:p w14:paraId="0A97B959" w14:textId="21A76886" w:rsidR="00EB6B16" w:rsidRPr="00BF288E" w:rsidRDefault="00EA1E20" w:rsidP="00EA1E20">
      <w:pPr>
        <w:pStyle w:val="RegSingleTxtG"/>
        <w:numPr>
          <w:ilvl w:val="0"/>
          <w:numId w:val="0"/>
        </w:numPr>
        <w:tabs>
          <w:tab w:val="clear" w:pos="1701"/>
        </w:tabs>
        <w:ind w:left="1134"/>
      </w:pPr>
      <w:r w:rsidRPr="00BF288E">
        <w:t>6.</w:t>
      </w:r>
      <w:r w:rsidRPr="00BF288E">
        <w:tab/>
      </w:r>
      <w:r w:rsidR="00EB6B16" w:rsidRPr="00BF288E">
        <w:rPr>
          <w:i/>
          <w:iCs/>
        </w:rPr>
        <w:t>Requests</w:t>
      </w:r>
      <w:r w:rsidR="00EB6B16" w:rsidRPr="00BF288E">
        <w:t xml:space="preserve"> the secretariat to prepare a technical paper to support the consideration by the Conference of the Parties serving as the meeting of the Parties to the Kyoto Protocol at its eighteenth session (November–December 2023) on the functioning and operation of the processes and institutions of the clean development mechanism in the future,</w:t>
      </w:r>
      <w:r w:rsidR="00EB6B16" w:rsidRPr="00BF288E" w:rsidDel="00917FDD">
        <w:t xml:space="preserve"> </w:t>
      </w:r>
      <w:r w:rsidR="00EB6B16" w:rsidRPr="00BF288E">
        <w:t>including appropriate time frames, with a view to avoiding a gap before the operationalization of the corresponding processes under the Article 6, paragraph 4, mechanism, including the following:</w:t>
      </w:r>
    </w:p>
    <w:p w14:paraId="79AE4E3D" w14:textId="3F4A54E3" w:rsidR="00EB6B16" w:rsidRPr="00BF288E" w:rsidRDefault="00EA1E20" w:rsidP="00EA1E20">
      <w:pPr>
        <w:pStyle w:val="RegSingleTxtG2"/>
        <w:numPr>
          <w:ilvl w:val="0"/>
          <w:numId w:val="0"/>
        </w:numPr>
        <w:tabs>
          <w:tab w:val="left" w:pos="1702"/>
        </w:tabs>
        <w:ind w:left="1134" w:firstLine="567"/>
      </w:pPr>
      <w:r w:rsidRPr="00BF288E">
        <w:rPr>
          <w:szCs w:val="28"/>
        </w:rPr>
        <w:t>(a)</w:t>
      </w:r>
      <w:r w:rsidRPr="00BF288E">
        <w:rPr>
          <w:szCs w:val="28"/>
        </w:rPr>
        <w:tab/>
      </w:r>
      <w:r w:rsidR="00EB6B16" w:rsidRPr="00BF288E">
        <w:t>Submissions to the secretariat of requests for issuance of certified emission reductions for monitoring periods ending before 1 January 2021 in accordance with the relevant procedure developed by the Executive Board;</w:t>
      </w:r>
    </w:p>
    <w:p w14:paraId="2EFC823B" w14:textId="2B10D1B8" w:rsidR="00EB6B16" w:rsidRPr="00BF288E" w:rsidRDefault="00EA1E20" w:rsidP="00EA1E20">
      <w:pPr>
        <w:pStyle w:val="RegSingleTxtG2"/>
        <w:numPr>
          <w:ilvl w:val="0"/>
          <w:numId w:val="0"/>
        </w:numPr>
        <w:tabs>
          <w:tab w:val="left" w:pos="1702"/>
        </w:tabs>
        <w:ind w:left="1134" w:firstLine="567"/>
      </w:pPr>
      <w:r w:rsidRPr="00BF288E">
        <w:rPr>
          <w:szCs w:val="28"/>
        </w:rPr>
        <w:t>(b)</w:t>
      </w:r>
      <w:r w:rsidRPr="00BF288E">
        <w:rPr>
          <w:szCs w:val="28"/>
        </w:rPr>
        <w:tab/>
      </w:r>
      <w:r w:rsidR="00EB6B16" w:rsidRPr="00BF288E">
        <w:rPr>
          <w:rFonts w:eastAsia="Times New Roman"/>
          <w:lang w:val="en-AU"/>
        </w:rPr>
        <w:t>Submissions to the secretariat of requests for voluntary cancellation of certified emission reductions in accordance with the relevant procedure developed by the Executive Board;</w:t>
      </w:r>
    </w:p>
    <w:p w14:paraId="281CE5E1" w14:textId="7895EF78" w:rsidR="00EB6B16" w:rsidRPr="00BF288E" w:rsidRDefault="00EA1E20" w:rsidP="00EA1E20">
      <w:pPr>
        <w:pStyle w:val="RegSingleTxtG2"/>
        <w:numPr>
          <w:ilvl w:val="0"/>
          <w:numId w:val="0"/>
        </w:numPr>
        <w:tabs>
          <w:tab w:val="left" w:pos="1702"/>
        </w:tabs>
        <w:ind w:left="1134" w:firstLine="567"/>
      </w:pPr>
      <w:r w:rsidRPr="00BF288E">
        <w:rPr>
          <w:szCs w:val="28"/>
        </w:rPr>
        <w:t>(c)</w:t>
      </w:r>
      <w:r w:rsidRPr="00BF288E">
        <w:rPr>
          <w:szCs w:val="28"/>
        </w:rPr>
        <w:tab/>
      </w:r>
      <w:r w:rsidR="00EB6B16" w:rsidRPr="00BF288E">
        <w:t>Approval of new and revised methodologies, methodological tools and standardized baselines submitted under the bottom-up and initiated under the top-down process in accordance with the relevant procedure developed by the Executive Board;</w:t>
      </w:r>
    </w:p>
    <w:p w14:paraId="77ABB769" w14:textId="397FD833" w:rsidR="00EB6B16" w:rsidRPr="00BF288E" w:rsidDel="00574FA8" w:rsidRDefault="00EA1E20" w:rsidP="00EA1E20">
      <w:pPr>
        <w:pStyle w:val="RegSingleTxtG2"/>
        <w:numPr>
          <w:ilvl w:val="0"/>
          <w:numId w:val="0"/>
        </w:numPr>
        <w:tabs>
          <w:tab w:val="left" w:pos="1702"/>
        </w:tabs>
        <w:ind w:left="1134" w:firstLine="567"/>
      </w:pPr>
      <w:r w:rsidRPr="00BF288E" w:rsidDel="00574FA8">
        <w:rPr>
          <w:szCs w:val="28"/>
        </w:rPr>
        <w:t>(d)</w:t>
      </w:r>
      <w:r w:rsidRPr="00BF288E" w:rsidDel="00574FA8">
        <w:rPr>
          <w:szCs w:val="28"/>
        </w:rPr>
        <w:tab/>
      </w:r>
      <w:r w:rsidR="00EB6B16" w:rsidRPr="00BF288E">
        <w:t>Operation of the accreditation processes under the clean development mechanism</w:t>
      </w:r>
      <w:r w:rsidR="00194ECB" w:rsidRPr="00BF288E">
        <w:t>;</w:t>
      </w:r>
    </w:p>
    <w:p w14:paraId="11A82CB6" w14:textId="7F1DE8FB" w:rsidR="00EB6B16" w:rsidRPr="00BF288E" w:rsidRDefault="00EA1E20" w:rsidP="00EA1E20">
      <w:pPr>
        <w:pStyle w:val="RegSingleTxtG"/>
        <w:numPr>
          <w:ilvl w:val="0"/>
          <w:numId w:val="0"/>
        </w:numPr>
        <w:tabs>
          <w:tab w:val="clear" w:pos="1701"/>
        </w:tabs>
        <w:ind w:left="1134"/>
      </w:pPr>
      <w:r w:rsidRPr="00BF288E">
        <w:t>7.</w:t>
      </w:r>
      <w:r w:rsidRPr="00BF288E">
        <w:tab/>
      </w:r>
      <w:r w:rsidR="00EB6B16" w:rsidRPr="00BF288E">
        <w:rPr>
          <w:i/>
        </w:rPr>
        <w:t>Also requests</w:t>
      </w:r>
      <w:r w:rsidR="00EB6B16" w:rsidRPr="00BF288E">
        <w:t xml:space="preserve"> the Executive Board to assess the technical feasibility, as priority, to allow submissions of requests for registration, issuance and renewal of afforestation and reforestation project activities and programmes of activities under the temporary measures referred to in paragraph 5 above, and revise the procedure for the temporary measures, as necessary, without prejudice to the ongoing consideration by the Conference of the Parties serving as the meeting of the Parties to the Paris Agreement of activities involving removals under the Article 6, paragraph 4, mechanism</w:t>
      </w:r>
      <w:r w:rsidR="00194ECB" w:rsidRPr="00BF288E">
        <w:t>;</w:t>
      </w:r>
    </w:p>
    <w:p w14:paraId="7BC7F571" w14:textId="18F160DE" w:rsidR="00EB6B16" w:rsidRPr="00BF288E" w:rsidRDefault="00EA1E20" w:rsidP="00EA1E20">
      <w:pPr>
        <w:pStyle w:val="RegHChG"/>
        <w:numPr>
          <w:ilvl w:val="0"/>
          <w:numId w:val="0"/>
        </w:numPr>
        <w:tabs>
          <w:tab w:val="left" w:pos="1135"/>
        </w:tabs>
        <w:ind w:left="1135" w:hanging="454"/>
      </w:pPr>
      <w:r w:rsidRPr="00BF288E">
        <w:t>III.</w:t>
      </w:r>
      <w:r w:rsidRPr="00BF288E">
        <w:tab/>
      </w:r>
      <w:r w:rsidR="00EB6B16" w:rsidRPr="00BF288E">
        <w:t>Transfer of certified emission reductions to the mechanism registry of the Article 6, paragraph 4, mechanism under the Paris Agreement</w:t>
      </w:r>
    </w:p>
    <w:p w14:paraId="411FDA26" w14:textId="4343BE89" w:rsidR="00EB6B16" w:rsidRPr="00BF288E" w:rsidRDefault="00EA1E20" w:rsidP="00EA1E20">
      <w:pPr>
        <w:pStyle w:val="RegSingleTxtG"/>
        <w:numPr>
          <w:ilvl w:val="0"/>
          <w:numId w:val="0"/>
        </w:numPr>
        <w:spacing w:before="120"/>
        <w:ind w:left="1134"/>
      </w:pPr>
      <w:r w:rsidRPr="00BF288E">
        <w:t>8.</w:t>
      </w:r>
      <w:r w:rsidRPr="00BF288E">
        <w:tab/>
      </w:r>
      <w:r w:rsidR="00194ECB" w:rsidRPr="00BF288E">
        <w:rPr>
          <w:i/>
          <w:iCs/>
        </w:rPr>
        <w:t>R</w:t>
      </w:r>
      <w:r w:rsidR="00EB6B16" w:rsidRPr="00BF288E">
        <w:rPr>
          <w:i/>
          <w:iCs/>
        </w:rPr>
        <w:t>equests</w:t>
      </w:r>
      <w:r w:rsidR="00EB6B16" w:rsidRPr="00BF288E">
        <w:t xml:space="preserve"> the clean development mechanism registry administrator, in accordance with paragraph 75(a) of the annex to decision 3/CMA.3, to identify certified emission reductions held in the clean development mechanism registry</w:t>
      </w:r>
      <w:r w:rsidR="00EB6B16" w:rsidRPr="00BF288E">
        <w:rPr>
          <w:rStyle w:val="FootnoteReference"/>
        </w:rPr>
        <w:footnoteReference w:id="6"/>
      </w:r>
      <w:r w:rsidR="00EB6B16" w:rsidRPr="00BF288E">
        <w:t xml:space="preserve"> that are eligible for transfer to the mechanism registry for the Article 6, paragraph 4, mechanism, referred to in chapter VI (Mechanism registry) of the annex to decision 3/CMA.3 (eligible certified emission reductions);</w:t>
      </w:r>
    </w:p>
    <w:p w14:paraId="7E00C56F" w14:textId="32856A17" w:rsidR="00EB6B16" w:rsidRPr="00BF288E" w:rsidRDefault="00EA1E20" w:rsidP="00EA1E20">
      <w:pPr>
        <w:pStyle w:val="RegSingleTxtG"/>
        <w:numPr>
          <w:ilvl w:val="0"/>
          <w:numId w:val="0"/>
        </w:numPr>
        <w:spacing w:before="120"/>
        <w:ind w:left="1134"/>
      </w:pPr>
      <w:bookmarkStart w:id="10" w:name="_Ref119568610"/>
      <w:r w:rsidRPr="00BF288E">
        <w:t>9.</w:t>
      </w:r>
      <w:r w:rsidRPr="00BF288E">
        <w:tab/>
      </w:r>
      <w:r w:rsidR="00EB6B16" w:rsidRPr="00BF288E">
        <w:rPr>
          <w:i/>
          <w:iCs/>
        </w:rPr>
        <w:t>Decides</w:t>
      </w:r>
      <w:r w:rsidR="00EB6B16" w:rsidRPr="00BF288E">
        <w:t xml:space="preserve"> that the transfer of eligible certified emission reductions, in accordance with paragraph 75(b) of the annex to decision 3/CMA.3, shall be effected through administrative cancellation of the eligible certified emission reductions in a dedicated administrative cancellation account in the clean development mechanism registry</w:t>
      </w:r>
      <w:r w:rsidR="004A19D5" w:rsidRPr="00BF288E">
        <w:t>,</w:t>
      </w:r>
      <w:r w:rsidR="00EB6B16" w:rsidRPr="00BF288E">
        <w:t xml:space="preserve"> and </w:t>
      </w:r>
      <w:r w:rsidR="00EB6B16" w:rsidRPr="00BF288E">
        <w:rPr>
          <w:rFonts w:eastAsia="Times New Roman"/>
        </w:rPr>
        <w:t xml:space="preserve">then the complete set of serial numbers of those cancelled eligible </w:t>
      </w:r>
      <w:r w:rsidR="00EB6B16" w:rsidRPr="00BF288E">
        <w:t>certified emission reduction</w:t>
      </w:r>
      <w:r w:rsidR="00EB6B16" w:rsidRPr="00BF288E">
        <w:rPr>
          <w:rFonts w:eastAsia="Times New Roman"/>
        </w:rPr>
        <w:t xml:space="preserve">s and the details of the receiving account </w:t>
      </w:r>
      <w:r w:rsidR="00257DCB" w:rsidRPr="00BF288E">
        <w:rPr>
          <w:rFonts w:eastAsia="Times New Roman"/>
        </w:rPr>
        <w:t xml:space="preserve">shall be </w:t>
      </w:r>
      <w:r w:rsidR="00EB6B16" w:rsidRPr="00BF288E">
        <w:rPr>
          <w:rFonts w:eastAsia="Times New Roman"/>
        </w:rPr>
        <w:t>communicated to the mechanism registry</w:t>
      </w:r>
      <w:r w:rsidR="00EB6B16" w:rsidRPr="00BF288E">
        <w:t xml:space="preserve"> to enable their re-creation in the mechanism registry;</w:t>
      </w:r>
      <w:bookmarkEnd w:id="10"/>
    </w:p>
    <w:p w14:paraId="7EA32729" w14:textId="56C72FE6" w:rsidR="00EB6B16" w:rsidRPr="00BF288E" w:rsidRDefault="00EA1E20" w:rsidP="00EA1E20">
      <w:pPr>
        <w:pStyle w:val="RegSingleTxtG"/>
        <w:numPr>
          <w:ilvl w:val="0"/>
          <w:numId w:val="0"/>
        </w:numPr>
        <w:spacing w:before="120"/>
        <w:ind w:left="1134"/>
      </w:pPr>
      <w:r w:rsidRPr="00BF288E">
        <w:t>10.</w:t>
      </w:r>
      <w:r w:rsidRPr="00BF288E">
        <w:tab/>
      </w:r>
      <w:r w:rsidR="00EB6B16" w:rsidRPr="00BF288E">
        <w:rPr>
          <w:i/>
        </w:rPr>
        <w:t>Invites</w:t>
      </w:r>
      <w:r w:rsidR="00EB6B16" w:rsidRPr="00BF288E">
        <w:rPr>
          <w:iCs/>
        </w:rPr>
        <w:t xml:space="preserve"> the </w:t>
      </w:r>
      <w:r w:rsidR="00EB6B16" w:rsidRPr="00BF288E">
        <w:t>Conference of the Parties serving as the meeting of the Parties to the Paris Agreement to request the Supervisory Body to cooperate with the Executive Board on implementing the process for transferring eligible certified emission reductions to the mechanism registry;</w:t>
      </w:r>
    </w:p>
    <w:p w14:paraId="54224934" w14:textId="6F1D6C0D" w:rsidR="00EB6B16" w:rsidRPr="00BF288E" w:rsidRDefault="00EA1E20" w:rsidP="00EA1E20">
      <w:pPr>
        <w:pStyle w:val="RegSingleTxtG"/>
        <w:numPr>
          <w:ilvl w:val="0"/>
          <w:numId w:val="0"/>
        </w:numPr>
        <w:spacing w:before="120"/>
        <w:ind w:left="1134"/>
      </w:pPr>
      <w:r w:rsidRPr="00BF288E">
        <w:t>11.</w:t>
      </w:r>
      <w:r w:rsidRPr="00BF288E">
        <w:tab/>
      </w:r>
      <w:r w:rsidR="00EB6B16" w:rsidRPr="00BF288E">
        <w:rPr>
          <w:i/>
          <w:iCs/>
        </w:rPr>
        <w:t>Requests</w:t>
      </w:r>
      <w:r w:rsidR="00EB6B16" w:rsidRPr="00BF288E">
        <w:t xml:space="preserve"> the Executive Board, in coordination with the Supervisory Body and taking into account the timelines for implementing the mechanism registry and any relevant future decisions of the Conference of the Parties serving as the meeting of the Parties to the Kyoto Protocol and the Conference of the Parties serving as the meeting of the Parties to the Paris Agreement, to:</w:t>
      </w:r>
    </w:p>
    <w:p w14:paraId="425F2CBA" w14:textId="5B693B86" w:rsidR="00EB6B16" w:rsidRPr="00BF288E" w:rsidRDefault="00EA1E20" w:rsidP="00EA1E20">
      <w:pPr>
        <w:pStyle w:val="RegSingleTxtG2"/>
        <w:numPr>
          <w:ilvl w:val="0"/>
          <w:numId w:val="0"/>
        </w:numPr>
        <w:spacing w:before="120"/>
        <w:ind w:left="1134" w:firstLine="567"/>
        <w:rPr>
          <w:i/>
          <w:iCs/>
        </w:rPr>
      </w:pPr>
      <w:r w:rsidRPr="00BF288E">
        <w:rPr>
          <w:iCs/>
          <w:szCs w:val="28"/>
        </w:rPr>
        <w:t>(a)</w:t>
      </w:r>
      <w:r w:rsidRPr="00BF288E">
        <w:rPr>
          <w:iCs/>
          <w:szCs w:val="28"/>
        </w:rPr>
        <w:tab/>
      </w:r>
      <w:r w:rsidR="00EB6B16" w:rsidRPr="00BF288E">
        <w:t>Develop and implement a procedure for project participants and Parties holding eligible certified emission reductions in the clean development mechanism registry, as well as the Trustee of the Adaptation Fund,</w:t>
      </w:r>
      <w:r w:rsidR="00EB6B16" w:rsidRPr="00BF288E">
        <w:rPr>
          <w:rStyle w:val="FootnoteReference"/>
        </w:rPr>
        <w:footnoteReference w:id="7"/>
      </w:r>
      <w:r w:rsidR="00EB6B16" w:rsidRPr="00BF288E">
        <w:t xml:space="preserve"> to request the transfer of such certified emission reductions to the mechanism registry, noting that such</w:t>
      </w:r>
      <w:r w:rsidR="00EB6B16" w:rsidRPr="00BF288E" w:rsidDel="00BE776E">
        <w:t xml:space="preserve"> </w:t>
      </w:r>
      <w:r w:rsidR="00EB6B16" w:rsidRPr="00BF288E">
        <w:t>project participants, Parties and the Trustee of the Adaptation Fund</w:t>
      </w:r>
      <w:r w:rsidR="00EB6B16" w:rsidRPr="00BF288E" w:rsidDel="00BE776E">
        <w:t xml:space="preserve"> </w:t>
      </w:r>
      <w:r w:rsidR="00EB6B16" w:rsidRPr="00BF288E">
        <w:t>shall provide in their transfer requests:</w:t>
      </w:r>
    </w:p>
    <w:p w14:paraId="5843B76E" w14:textId="6C06C966" w:rsidR="00EB6B16" w:rsidRPr="00BF288E" w:rsidRDefault="00EA1E20" w:rsidP="00EA1E20">
      <w:pPr>
        <w:pStyle w:val="RegSingleTxtG3"/>
        <w:numPr>
          <w:ilvl w:val="0"/>
          <w:numId w:val="0"/>
        </w:numPr>
        <w:ind w:left="1701"/>
      </w:pPr>
      <w:r w:rsidRPr="00BF288E">
        <w:t>(i)</w:t>
      </w:r>
      <w:r w:rsidRPr="00BF288E">
        <w:tab/>
      </w:r>
      <w:r w:rsidR="00EB6B16" w:rsidRPr="00BF288E">
        <w:rPr>
          <w:iCs/>
        </w:rPr>
        <w:t xml:space="preserve">The serial numbers of the eligible </w:t>
      </w:r>
      <w:r w:rsidR="00EB6B16" w:rsidRPr="00BF288E">
        <w:t>certified emission reduction</w:t>
      </w:r>
      <w:r w:rsidR="00EB6B16" w:rsidRPr="00BF288E">
        <w:rPr>
          <w:iCs/>
        </w:rPr>
        <w:t>s requested to be transferred;</w:t>
      </w:r>
    </w:p>
    <w:p w14:paraId="38E0EB53" w14:textId="7F4DF040" w:rsidR="00EB6B16" w:rsidRPr="00BF288E" w:rsidRDefault="00EA1E20" w:rsidP="00EA1E20">
      <w:pPr>
        <w:pStyle w:val="RegSingleTxtG3"/>
        <w:numPr>
          <w:ilvl w:val="0"/>
          <w:numId w:val="0"/>
        </w:numPr>
        <w:ind w:left="1701"/>
      </w:pPr>
      <w:r w:rsidRPr="00BF288E">
        <w:t>(ii)</w:t>
      </w:r>
      <w:r w:rsidRPr="00BF288E">
        <w:tab/>
      </w:r>
      <w:r w:rsidR="00EB6B16" w:rsidRPr="00BF288E">
        <w:t>The details of their receiving accounts in the mechanism registry to which the certified emission reductions are to be transferred;</w:t>
      </w:r>
    </w:p>
    <w:p w14:paraId="27B0AC5D" w14:textId="3EEC0378" w:rsidR="00EB6B16" w:rsidRPr="00BF288E" w:rsidRDefault="00EA1E20" w:rsidP="00EA1E20">
      <w:pPr>
        <w:pStyle w:val="RegSingleTxtG2"/>
        <w:numPr>
          <w:ilvl w:val="0"/>
          <w:numId w:val="0"/>
        </w:numPr>
        <w:tabs>
          <w:tab w:val="left" w:pos="1702"/>
        </w:tabs>
        <w:spacing w:before="120"/>
        <w:ind w:left="1134" w:firstLine="567"/>
      </w:pPr>
      <w:r w:rsidRPr="00BF288E">
        <w:rPr>
          <w:szCs w:val="28"/>
        </w:rPr>
        <w:t>(b)</w:t>
      </w:r>
      <w:r w:rsidRPr="00BF288E">
        <w:rPr>
          <w:szCs w:val="28"/>
        </w:rPr>
        <w:tab/>
      </w:r>
      <w:r w:rsidR="00EB6B16" w:rsidRPr="00BF288E">
        <w:t>Develop and implement a procedure that includes the following steps:</w:t>
      </w:r>
    </w:p>
    <w:p w14:paraId="3FD14420" w14:textId="3F3A6972" w:rsidR="00EB6B16" w:rsidRPr="00BF288E" w:rsidRDefault="00EA1E20" w:rsidP="00EA1E20">
      <w:pPr>
        <w:pStyle w:val="RegSingleTxtG3"/>
        <w:numPr>
          <w:ilvl w:val="0"/>
          <w:numId w:val="0"/>
        </w:numPr>
        <w:tabs>
          <w:tab w:val="clear" w:pos="1701"/>
        </w:tabs>
        <w:spacing w:before="120"/>
        <w:ind w:left="1701"/>
      </w:pPr>
      <w:r w:rsidRPr="00BF288E">
        <w:t>(i)</w:t>
      </w:r>
      <w:r w:rsidRPr="00BF288E">
        <w:tab/>
      </w:r>
      <w:r w:rsidR="00EB6B16" w:rsidRPr="00BF288E">
        <w:t>Providing to the host Party written notice of the request for transfer;</w:t>
      </w:r>
    </w:p>
    <w:p w14:paraId="5A2F5F62" w14:textId="20F702FD" w:rsidR="00EB6B16" w:rsidRPr="00BF288E" w:rsidRDefault="00EA1E20" w:rsidP="00EA1E20">
      <w:pPr>
        <w:pStyle w:val="RegSingleTxtG3"/>
        <w:numPr>
          <w:ilvl w:val="0"/>
          <w:numId w:val="0"/>
        </w:numPr>
        <w:tabs>
          <w:tab w:val="clear" w:pos="1701"/>
        </w:tabs>
        <w:spacing w:before="120"/>
        <w:ind w:left="1701"/>
      </w:pPr>
      <w:r w:rsidRPr="00BF288E">
        <w:t>(ii)</w:t>
      </w:r>
      <w:r w:rsidRPr="00BF288E">
        <w:tab/>
      </w:r>
      <w:r w:rsidR="00EB6B16" w:rsidRPr="00BF288E">
        <w:t>Effecting the transfer if no written objection from the host Party is received within a time frame to be specified by the Executive Board;</w:t>
      </w:r>
    </w:p>
    <w:p w14:paraId="666B11AF" w14:textId="0A7AB824" w:rsidR="00EB6B16" w:rsidRPr="00BF288E" w:rsidRDefault="00EA1E20" w:rsidP="00EA1E20">
      <w:pPr>
        <w:pStyle w:val="RegSingleTxtG2"/>
        <w:numPr>
          <w:ilvl w:val="0"/>
          <w:numId w:val="0"/>
        </w:numPr>
        <w:tabs>
          <w:tab w:val="left" w:pos="1702"/>
        </w:tabs>
        <w:spacing w:before="120"/>
        <w:ind w:left="1134" w:firstLine="567"/>
      </w:pPr>
      <w:r w:rsidRPr="00BF288E">
        <w:rPr>
          <w:szCs w:val="28"/>
        </w:rPr>
        <w:t>(c)</w:t>
      </w:r>
      <w:r w:rsidRPr="00BF288E">
        <w:rPr>
          <w:szCs w:val="28"/>
        </w:rPr>
        <w:tab/>
      </w:r>
      <w:r w:rsidR="00EB6B16" w:rsidRPr="00BF288E">
        <w:t>Report on the implementation of the procedure for requesting the transfer of eligible certified emission reductions to the mechanism registry in its annual report to the Conference of the Parties serving as the meeting of the Parties to the Kyoto Protocol;</w:t>
      </w:r>
    </w:p>
    <w:p w14:paraId="349253AC" w14:textId="45027621" w:rsidR="00EB6B16" w:rsidRPr="00BF288E" w:rsidRDefault="00EA1E20" w:rsidP="00EA1E20">
      <w:pPr>
        <w:pStyle w:val="RegSingleTxtG"/>
        <w:numPr>
          <w:ilvl w:val="0"/>
          <w:numId w:val="0"/>
        </w:numPr>
        <w:spacing w:before="120"/>
        <w:ind w:left="1134"/>
      </w:pPr>
      <w:bookmarkStart w:id="11" w:name="_Ref119568717"/>
      <w:r w:rsidRPr="00BF288E">
        <w:t>12.</w:t>
      </w:r>
      <w:r w:rsidRPr="00BF288E">
        <w:tab/>
      </w:r>
      <w:r w:rsidR="00EB6B16" w:rsidRPr="00BF288E">
        <w:rPr>
          <w:i/>
          <w:iCs/>
        </w:rPr>
        <w:t>Also requests</w:t>
      </w:r>
      <w:r w:rsidR="00EB6B16" w:rsidRPr="00BF288E">
        <w:t xml:space="preserve"> the clean development mechanism registry administrator to:</w:t>
      </w:r>
      <w:bookmarkEnd w:id="11"/>
    </w:p>
    <w:p w14:paraId="6CA0B2F1" w14:textId="402ACCE0" w:rsidR="00EB6B16" w:rsidRPr="00BF288E" w:rsidRDefault="00EA1E20" w:rsidP="00EA1E20">
      <w:pPr>
        <w:pStyle w:val="RegSingleTxtG2"/>
        <w:numPr>
          <w:ilvl w:val="0"/>
          <w:numId w:val="0"/>
        </w:numPr>
        <w:tabs>
          <w:tab w:val="left" w:pos="1702"/>
        </w:tabs>
        <w:spacing w:before="120"/>
        <w:ind w:left="1134" w:firstLine="567"/>
      </w:pPr>
      <w:r w:rsidRPr="00BF288E">
        <w:rPr>
          <w:szCs w:val="28"/>
        </w:rPr>
        <w:t>(a)</w:t>
      </w:r>
      <w:r w:rsidRPr="00BF288E">
        <w:rPr>
          <w:szCs w:val="28"/>
        </w:rPr>
        <w:tab/>
      </w:r>
      <w:r w:rsidR="00EB6B16" w:rsidRPr="00BF288E">
        <w:t>Implement the modifications to the clean development mechanism registry necessary for the transfer referred to in paragraph 9 above in a cost-efficient manner, leveraging the existing capabilities of the clean development mechanism registry;</w:t>
      </w:r>
    </w:p>
    <w:p w14:paraId="6BFDB000" w14:textId="0DE25D87" w:rsidR="00EB6B16" w:rsidRPr="00BF288E" w:rsidRDefault="00EA1E20" w:rsidP="00EA1E20">
      <w:pPr>
        <w:pStyle w:val="RegSingleTxtG2"/>
        <w:numPr>
          <w:ilvl w:val="0"/>
          <w:numId w:val="0"/>
        </w:numPr>
        <w:tabs>
          <w:tab w:val="left" w:pos="1702"/>
        </w:tabs>
        <w:spacing w:before="120"/>
        <w:ind w:left="1134" w:firstLine="567"/>
      </w:pPr>
      <w:r w:rsidRPr="00BF288E">
        <w:rPr>
          <w:szCs w:val="28"/>
        </w:rPr>
        <w:t>(b)</w:t>
      </w:r>
      <w:r w:rsidRPr="00BF288E">
        <w:rPr>
          <w:szCs w:val="28"/>
        </w:rPr>
        <w:tab/>
      </w:r>
      <w:r w:rsidR="00EB6B16" w:rsidRPr="00BF288E">
        <w:t>Open the dedicated administrative cancellation account referred to in paragraph 9 above;</w:t>
      </w:r>
    </w:p>
    <w:p w14:paraId="7E55D1EE" w14:textId="5160E948" w:rsidR="00EB6B16" w:rsidRPr="00BF288E" w:rsidRDefault="00EA1E20" w:rsidP="00EA1E20">
      <w:pPr>
        <w:pStyle w:val="RegSingleTxtG2"/>
        <w:numPr>
          <w:ilvl w:val="0"/>
          <w:numId w:val="0"/>
        </w:numPr>
        <w:tabs>
          <w:tab w:val="left" w:pos="1702"/>
        </w:tabs>
        <w:spacing w:before="120"/>
        <w:ind w:left="1134" w:firstLine="567"/>
      </w:pPr>
      <w:bookmarkStart w:id="12" w:name="_Ref119568710"/>
      <w:r w:rsidRPr="00BF288E">
        <w:rPr>
          <w:szCs w:val="28"/>
        </w:rPr>
        <w:t>(c)</w:t>
      </w:r>
      <w:r w:rsidRPr="00BF288E">
        <w:rPr>
          <w:szCs w:val="28"/>
        </w:rPr>
        <w:tab/>
      </w:r>
      <w:r w:rsidR="00EB6B16" w:rsidRPr="00BF288E">
        <w:t>Establish the technical arrangements necessary for facilitating the electronic communication and reconciliation of data related to the cancelled eligible certified emission reductions to the mechanism registry;</w:t>
      </w:r>
      <w:bookmarkEnd w:id="12"/>
    </w:p>
    <w:p w14:paraId="3D6380E3" w14:textId="60D7C9AD" w:rsidR="00EB6B16" w:rsidRPr="00BF288E" w:rsidRDefault="00EA1E20" w:rsidP="00EA1E20">
      <w:pPr>
        <w:pStyle w:val="RegSingleTxtG2"/>
        <w:numPr>
          <w:ilvl w:val="0"/>
          <w:numId w:val="0"/>
        </w:numPr>
        <w:tabs>
          <w:tab w:val="left" w:pos="1702"/>
        </w:tabs>
        <w:spacing w:before="120"/>
        <w:ind w:left="1134" w:firstLine="567"/>
      </w:pPr>
      <w:r w:rsidRPr="00BF288E">
        <w:rPr>
          <w:szCs w:val="28"/>
        </w:rPr>
        <w:t>(d)</w:t>
      </w:r>
      <w:r w:rsidRPr="00BF288E">
        <w:rPr>
          <w:szCs w:val="28"/>
        </w:rPr>
        <w:tab/>
      </w:r>
      <w:r w:rsidR="00EB6B16" w:rsidRPr="00BF288E">
        <w:t>Coordinate with the mechanism registry administrator on:</w:t>
      </w:r>
    </w:p>
    <w:p w14:paraId="2D544DD2" w14:textId="63EB9C4B" w:rsidR="00EB6B16" w:rsidRPr="00BF288E" w:rsidRDefault="00EA1E20" w:rsidP="00EA1E20">
      <w:pPr>
        <w:pStyle w:val="RegSingleTxtG3"/>
        <w:numPr>
          <w:ilvl w:val="0"/>
          <w:numId w:val="0"/>
        </w:numPr>
        <w:spacing w:before="120"/>
        <w:ind w:left="1701"/>
      </w:pPr>
      <w:r w:rsidRPr="00BF288E">
        <w:t>(i)</w:t>
      </w:r>
      <w:r w:rsidRPr="00BF288E">
        <w:tab/>
      </w:r>
      <w:r w:rsidR="00EB6B16" w:rsidRPr="00BF288E">
        <w:t>Establishing the technical arrangements referred to in paragraph 12(c) above;</w:t>
      </w:r>
    </w:p>
    <w:p w14:paraId="163A4476" w14:textId="1E48A4EB" w:rsidR="00EB6B16" w:rsidRPr="00BF288E" w:rsidRDefault="00EA1E20" w:rsidP="00EA1E20">
      <w:pPr>
        <w:pStyle w:val="RegSingleTxtG3"/>
        <w:numPr>
          <w:ilvl w:val="0"/>
          <w:numId w:val="0"/>
        </w:numPr>
        <w:spacing w:before="120"/>
        <w:ind w:left="1701"/>
      </w:pPr>
      <w:r w:rsidRPr="00BF288E">
        <w:t>(ii)</w:t>
      </w:r>
      <w:r w:rsidRPr="00BF288E">
        <w:tab/>
      </w:r>
      <w:r w:rsidR="00EB6B16" w:rsidRPr="00BF288E">
        <w:t>Reconciling data on cancelled eligible certified emission reductions communicated to the mechanism registry;</w:t>
      </w:r>
    </w:p>
    <w:p w14:paraId="54612E2B" w14:textId="4F7A34CE" w:rsidR="00EB6B16" w:rsidRPr="00BF288E" w:rsidRDefault="00EA1E20" w:rsidP="00EA1E20">
      <w:pPr>
        <w:pStyle w:val="RegSingleTxtG2"/>
        <w:numPr>
          <w:ilvl w:val="0"/>
          <w:numId w:val="0"/>
        </w:numPr>
        <w:tabs>
          <w:tab w:val="left" w:pos="1702"/>
        </w:tabs>
        <w:spacing w:before="120"/>
        <w:ind w:left="1134" w:firstLine="567"/>
      </w:pPr>
      <w:r w:rsidRPr="00BF288E">
        <w:rPr>
          <w:szCs w:val="28"/>
        </w:rPr>
        <w:t>(e)</w:t>
      </w:r>
      <w:r w:rsidRPr="00BF288E">
        <w:rPr>
          <w:szCs w:val="28"/>
        </w:rPr>
        <w:tab/>
      </w:r>
      <w:r w:rsidR="00EB6B16" w:rsidRPr="00BF288E">
        <w:t>Include information on eligible certified emission reductions transferred to the mechanism registry in its regular reports to the designated national authorities of the host Parties of the activities that generated the certified emission reductions;</w:t>
      </w:r>
    </w:p>
    <w:p w14:paraId="2F351684" w14:textId="312765D4" w:rsidR="00EB6B16" w:rsidRPr="00BF288E" w:rsidRDefault="00EA1E20" w:rsidP="00EA1E20">
      <w:pPr>
        <w:pStyle w:val="RegSingleTxtG2"/>
        <w:numPr>
          <w:ilvl w:val="0"/>
          <w:numId w:val="0"/>
        </w:numPr>
        <w:tabs>
          <w:tab w:val="left" w:pos="1702"/>
        </w:tabs>
        <w:spacing w:before="120"/>
        <w:ind w:left="1134" w:firstLine="567"/>
        <w:rPr>
          <w:b/>
          <w:u w:val="single"/>
        </w:rPr>
      </w:pPr>
      <w:r w:rsidRPr="00BF288E">
        <w:rPr>
          <w:szCs w:val="28"/>
        </w:rPr>
        <w:t>(f)</w:t>
      </w:r>
      <w:r w:rsidRPr="00BF288E">
        <w:rPr>
          <w:szCs w:val="28"/>
        </w:rPr>
        <w:tab/>
      </w:r>
      <w:r w:rsidR="00EB6B16" w:rsidRPr="00BF288E">
        <w:t xml:space="preserve">Publish the </w:t>
      </w:r>
      <w:r w:rsidR="00EB6B16" w:rsidRPr="00BF288E">
        <w:rPr>
          <w:rFonts w:eastAsia="Times New Roman"/>
        </w:rPr>
        <w:t xml:space="preserve">complete set of serial numbers </w:t>
      </w:r>
      <w:r w:rsidR="00EB6B16" w:rsidRPr="00BF288E">
        <w:t>of cancelled eligible certified emission reductions transferred to the mechanism registry on the clean development mechanism registry web page</w:t>
      </w:r>
      <w:r w:rsidR="0055401C" w:rsidRPr="00BF288E">
        <w:t>;</w:t>
      </w:r>
      <w:r w:rsidR="00EB6B16" w:rsidRPr="00BF288E">
        <w:rPr>
          <w:rStyle w:val="FootnoteReference"/>
        </w:rPr>
        <w:footnoteReference w:id="8"/>
      </w:r>
    </w:p>
    <w:p w14:paraId="22AD9933" w14:textId="055536E3" w:rsidR="00EB6B16" w:rsidRPr="00BF288E" w:rsidRDefault="00EA1E20" w:rsidP="00EA1E20">
      <w:pPr>
        <w:pStyle w:val="RegHChG"/>
        <w:numPr>
          <w:ilvl w:val="0"/>
          <w:numId w:val="0"/>
        </w:numPr>
        <w:tabs>
          <w:tab w:val="left" w:pos="1135"/>
        </w:tabs>
        <w:ind w:left="1135" w:hanging="454"/>
      </w:pPr>
      <w:r w:rsidRPr="00BF288E">
        <w:t>IV.</w:t>
      </w:r>
      <w:r w:rsidRPr="00BF288E">
        <w:tab/>
      </w:r>
      <w:r w:rsidR="00EB6B16" w:rsidRPr="00BF288E">
        <w:t>Management of financial resources</w:t>
      </w:r>
    </w:p>
    <w:p w14:paraId="78DB0BCC" w14:textId="1ED5A630" w:rsidR="00EB6B16" w:rsidRPr="00BF288E" w:rsidRDefault="00EA1E20" w:rsidP="00EA1E20">
      <w:pPr>
        <w:pStyle w:val="RegSingleTxtG"/>
        <w:numPr>
          <w:ilvl w:val="0"/>
          <w:numId w:val="0"/>
        </w:numPr>
        <w:tabs>
          <w:tab w:val="clear" w:pos="1701"/>
        </w:tabs>
        <w:ind w:left="1134"/>
        <w:rPr>
          <w:lang w:val="en-AU"/>
        </w:rPr>
      </w:pPr>
      <w:r w:rsidRPr="00BF288E">
        <w:rPr>
          <w:lang w:val="en-AU"/>
        </w:rPr>
        <w:t>13.</w:t>
      </w:r>
      <w:r w:rsidRPr="00BF288E">
        <w:rPr>
          <w:lang w:val="en-AU"/>
        </w:rPr>
        <w:tab/>
      </w:r>
      <w:r w:rsidR="0055401C" w:rsidRPr="00BF288E">
        <w:rPr>
          <w:i/>
          <w:lang w:eastAsia="en-US"/>
        </w:rPr>
        <w:t>R</w:t>
      </w:r>
      <w:r w:rsidR="00EB6B16" w:rsidRPr="00BF288E">
        <w:rPr>
          <w:i/>
          <w:lang w:eastAsia="en-US"/>
        </w:rPr>
        <w:t xml:space="preserve">equests </w:t>
      </w:r>
      <w:r w:rsidR="00EB6B16" w:rsidRPr="00BF288E">
        <w:rPr>
          <w:lang w:eastAsia="en-US"/>
        </w:rPr>
        <w:t>the</w:t>
      </w:r>
      <w:r w:rsidR="00EB6B16" w:rsidRPr="00BF288E">
        <w:rPr>
          <w:iCs/>
          <w:lang w:eastAsia="en-US"/>
        </w:rPr>
        <w:t xml:space="preserve"> </w:t>
      </w:r>
      <w:r w:rsidR="00EB6B16" w:rsidRPr="00BF288E">
        <w:t>Executive Board and the secretariat to ensure the efficient and prudent use of resources from the Trust Fund for the Clean Development Mechanism until the end of the operation of the processes under the clean development mechanism and its institutions, as per a timeline to be determined by the Conference of the Parties serving as the meeting of the Parties to the Kyoto Protocol;</w:t>
      </w:r>
    </w:p>
    <w:p w14:paraId="06607BE3" w14:textId="5975FF72" w:rsidR="00EB6B16" w:rsidRPr="00BF288E" w:rsidRDefault="00EA1E20" w:rsidP="00EA1E20">
      <w:pPr>
        <w:pStyle w:val="RegSingleTxtG"/>
        <w:numPr>
          <w:ilvl w:val="0"/>
          <w:numId w:val="0"/>
        </w:numPr>
        <w:tabs>
          <w:tab w:val="clear" w:pos="1701"/>
        </w:tabs>
        <w:ind w:left="1134"/>
      </w:pPr>
      <w:r w:rsidRPr="00BF288E">
        <w:t>14.</w:t>
      </w:r>
      <w:r w:rsidRPr="00BF288E">
        <w:tab/>
      </w:r>
      <w:r w:rsidR="00EB6B16" w:rsidRPr="00BF288E">
        <w:rPr>
          <w:i/>
        </w:rPr>
        <w:t>Recalls</w:t>
      </w:r>
      <w:r w:rsidR="00EB6B16" w:rsidRPr="00BF288E">
        <w:t xml:space="preserve"> its request</w:t>
      </w:r>
      <w:r w:rsidR="00EB6B16" w:rsidRPr="00BF288E">
        <w:rPr>
          <w:rStyle w:val="FootnoteReference"/>
        </w:rPr>
        <w:footnoteReference w:id="9"/>
      </w:r>
      <w:r w:rsidR="00EB6B16" w:rsidRPr="00BF288E">
        <w:t xml:space="preserve"> to the Subsidiary Body for Implementation to review the status of the Trust Fund for the Clean Development Mechanism and to develop recommendations for consideration by the Conference of the Parties serving as the meeting of the Parties to the Kyoto Protocol at its eighteenth session.</w:t>
      </w:r>
    </w:p>
    <w:p w14:paraId="523F124C" w14:textId="77777777" w:rsidR="00387B41" w:rsidRPr="00BF288E" w:rsidRDefault="00387B41" w:rsidP="00EA1E20">
      <w:pPr>
        <w:pStyle w:val="RegH5G"/>
        <w:numPr>
          <w:ilvl w:val="0"/>
          <w:numId w:val="0"/>
        </w:numPr>
        <w:ind w:left="1135" w:hanging="454"/>
        <w:rPr>
          <w:i w:val="0"/>
          <w:iCs/>
        </w:rPr>
        <w:sectPr w:rsidR="00387B41" w:rsidRPr="00BF288E" w:rsidSect="00310DE3">
          <w:headerReference w:type="even" r:id="rId18"/>
          <w:headerReference w:type="default" r:id="rId19"/>
          <w:footerReference w:type="even" r:id="rId20"/>
          <w:footerReference w:type="default" r:id="rId21"/>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6AF747D3" w14:textId="1739E318" w:rsidR="00EB6B16" w:rsidRPr="00BF288E" w:rsidRDefault="006507D9" w:rsidP="00593140">
      <w:pPr>
        <w:pStyle w:val="HChG"/>
        <w:spacing w:before="240"/>
      </w:pPr>
      <w:r w:rsidRPr="00BF288E">
        <w:t xml:space="preserve">Annex </w:t>
      </w:r>
    </w:p>
    <w:p w14:paraId="2B8B6210" w14:textId="77777777" w:rsidR="00EB6B16" w:rsidRPr="00BF288E" w:rsidRDefault="00EB6B16" w:rsidP="00EB6B16">
      <w:pPr>
        <w:pStyle w:val="HChG"/>
      </w:pPr>
      <w:r w:rsidRPr="00BF288E">
        <w:tab/>
      </w:r>
      <w:r w:rsidRPr="00BF288E">
        <w:tab/>
        <w:t>Entities accredited and provisionally designated by the Executive Board of the clean development mechanism</w:t>
      </w:r>
    </w:p>
    <w:p w14:paraId="1D3DD5C2" w14:textId="77777777" w:rsidR="00EB6B16" w:rsidRPr="00BF288E" w:rsidRDefault="00EB6B16" w:rsidP="0084714B">
      <w:pPr>
        <w:spacing w:after="240"/>
        <w:ind w:right="1133"/>
        <w:jc w:val="right"/>
      </w:pPr>
      <w:r w:rsidRPr="00BF288E">
        <w:t>[English only]</w:t>
      </w:r>
    </w:p>
    <w:tbl>
      <w:tblPr>
        <w:tblW w:w="7370" w:type="dxa"/>
        <w:tblInd w:w="1134" w:type="dxa"/>
        <w:tblBorders>
          <w:top w:val="single" w:sz="4" w:space="0" w:color="auto"/>
        </w:tblBorders>
        <w:tblCellMar>
          <w:left w:w="0" w:type="dxa"/>
          <w:right w:w="0" w:type="dxa"/>
        </w:tblCellMar>
        <w:tblLook w:val="04A0" w:firstRow="1" w:lastRow="0" w:firstColumn="1" w:lastColumn="0" w:noHBand="0" w:noVBand="1"/>
      </w:tblPr>
      <w:tblGrid>
        <w:gridCol w:w="5405"/>
        <w:gridCol w:w="1965"/>
      </w:tblGrid>
      <w:tr w:rsidR="00EB6B16" w:rsidRPr="00BF288E" w14:paraId="4791A951" w14:textId="77777777" w:rsidTr="00045A58">
        <w:trPr>
          <w:cantSplit/>
          <w:trHeight w:val="240"/>
          <w:tblHeader/>
        </w:trPr>
        <w:tc>
          <w:tcPr>
            <w:tcW w:w="3667" w:type="pct"/>
            <w:tcBorders>
              <w:top w:val="single" w:sz="4" w:space="0" w:color="auto"/>
              <w:bottom w:val="single" w:sz="12" w:space="0" w:color="auto"/>
            </w:tcBorders>
            <w:shd w:val="clear" w:color="auto" w:fill="auto"/>
            <w:tcMar>
              <w:top w:w="0" w:type="dxa"/>
              <w:bottom w:w="0" w:type="dxa"/>
            </w:tcMar>
            <w:vAlign w:val="bottom"/>
          </w:tcPr>
          <w:p w14:paraId="683E3410" w14:textId="77777777" w:rsidR="00EB6B16" w:rsidRPr="00BF288E" w:rsidRDefault="00EB6B16" w:rsidP="00045A58">
            <w:pPr>
              <w:suppressAutoHyphens w:val="0"/>
              <w:spacing w:before="40" w:after="40" w:line="180" w:lineRule="exact"/>
              <w:ind w:right="113"/>
              <w:rPr>
                <w:i/>
                <w:sz w:val="16"/>
                <w:szCs w:val="16"/>
              </w:rPr>
            </w:pPr>
            <w:r w:rsidRPr="00BF288E">
              <w:rPr>
                <w:i/>
                <w:sz w:val="16"/>
                <w:szCs w:val="16"/>
              </w:rPr>
              <w:t>Name of entity</w:t>
            </w:r>
          </w:p>
        </w:tc>
        <w:tc>
          <w:tcPr>
            <w:tcW w:w="1333" w:type="pct"/>
            <w:tcBorders>
              <w:top w:val="single" w:sz="4" w:space="0" w:color="auto"/>
              <w:bottom w:val="single" w:sz="12" w:space="0" w:color="auto"/>
            </w:tcBorders>
            <w:shd w:val="clear" w:color="auto" w:fill="auto"/>
            <w:tcMar>
              <w:top w:w="0" w:type="dxa"/>
              <w:bottom w:w="0" w:type="dxa"/>
            </w:tcMar>
            <w:vAlign w:val="bottom"/>
          </w:tcPr>
          <w:p w14:paraId="356039AE" w14:textId="77777777" w:rsidR="00EB6B16" w:rsidRPr="00BF288E" w:rsidRDefault="00EB6B16" w:rsidP="00045A58">
            <w:pPr>
              <w:suppressAutoHyphens w:val="0"/>
              <w:spacing w:before="40" w:after="40" w:line="180" w:lineRule="exact"/>
              <w:ind w:left="113" w:right="113"/>
              <w:jc w:val="right"/>
              <w:rPr>
                <w:i/>
                <w:sz w:val="16"/>
                <w:szCs w:val="16"/>
              </w:rPr>
            </w:pPr>
            <w:r w:rsidRPr="00BF288E">
              <w:rPr>
                <w:i/>
                <w:sz w:val="16"/>
                <w:szCs w:val="16"/>
              </w:rPr>
              <w:t>Sectoral scopes (validation and verification)</w:t>
            </w:r>
          </w:p>
        </w:tc>
      </w:tr>
      <w:tr w:rsidR="00EB6B16" w:rsidRPr="00BF288E" w14:paraId="6F40F185" w14:textId="77777777" w:rsidTr="00045A58">
        <w:trPr>
          <w:cantSplit/>
          <w:trHeight w:val="240"/>
        </w:trPr>
        <w:tc>
          <w:tcPr>
            <w:tcW w:w="3667" w:type="pct"/>
            <w:tcBorders>
              <w:top w:val="single" w:sz="12" w:space="0" w:color="auto"/>
            </w:tcBorders>
            <w:shd w:val="clear" w:color="auto" w:fill="auto"/>
          </w:tcPr>
          <w:p w14:paraId="3A1971DA" w14:textId="78082558" w:rsidR="00EB6B16" w:rsidRPr="00BF288E" w:rsidRDefault="00EB6B16" w:rsidP="00045A58">
            <w:pPr>
              <w:suppressAutoHyphens w:val="0"/>
              <w:spacing w:before="40" w:after="40" w:line="200" w:lineRule="exact"/>
              <w:ind w:right="113"/>
              <w:rPr>
                <w:sz w:val="18"/>
              </w:rPr>
            </w:pPr>
            <w:r w:rsidRPr="00BF288E">
              <w:rPr>
                <w:sz w:val="18"/>
              </w:rPr>
              <w:t>Ampere for Renewable Energy (Ampere)</w:t>
            </w:r>
            <w:r w:rsidR="00EF13FC" w:rsidRPr="00BF288E">
              <w:rPr>
                <w:i/>
                <w:sz w:val="18"/>
                <w:szCs w:val="18"/>
                <w:vertAlign w:val="superscript"/>
              </w:rPr>
              <w:t>a</w:t>
            </w:r>
          </w:p>
        </w:tc>
        <w:tc>
          <w:tcPr>
            <w:tcW w:w="1333" w:type="pct"/>
            <w:tcBorders>
              <w:top w:val="single" w:sz="12" w:space="0" w:color="auto"/>
            </w:tcBorders>
            <w:shd w:val="clear" w:color="auto" w:fill="auto"/>
            <w:vAlign w:val="bottom"/>
          </w:tcPr>
          <w:p w14:paraId="7D318179"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1, 3, 13</w:t>
            </w:r>
          </w:p>
        </w:tc>
      </w:tr>
      <w:tr w:rsidR="00EB6B16" w:rsidRPr="00BF288E" w14:paraId="1A9D8443" w14:textId="77777777" w:rsidTr="00045A58">
        <w:trPr>
          <w:cantSplit/>
          <w:trHeight w:val="240"/>
        </w:trPr>
        <w:tc>
          <w:tcPr>
            <w:tcW w:w="3667" w:type="pct"/>
            <w:shd w:val="clear" w:color="auto" w:fill="auto"/>
          </w:tcPr>
          <w:p w14:paraId="297E712E" w14:textId="77777777" w:rsidR="00EB6B16" w:rsidRPr="00BF288E" w:rsidRDefault="00EB6B16" w:rsidP="00045A58">
            <w:pPr>
              <w:suppressAutoHyphens w:val="0"/>
              <w:spacing w:before="40" w:after="40" w:line="200" w:lineRule="exact"/>
              <w:ind w:right="113"/>
              <w:rPr>
                <w:sz w:val="18"/>
              </w:rPr>
            </w:pPr>
            <w:r w:rsidRPr="00BF288E">
              <w:rPr>
                <w:sz w:val="18"/>
              </w:rPr>
              <w:t>China Environmental United Certification Center Co., Ltd. (CEC)</w:t>
            </w:r>
            <w:r w:rsidRPr="00BF288E">
              <w:rPr>
                <w:i/>
                <w:sz w:val="18"/>
                <w:szCs w:val="18"/>
                <w:vertAlign w:val="superscript"/>
              </w:rPr>
              <w:t>a</w:t>
            </w:r>
          </w:p>
        </w:tc>
        <w:tc>
          <w:tcPr>
            <w:tcW w:w="1333" w:type="pct"/>
            <w:shd w:val="clear" w:color="auto" w:fill="auto"/>
            <w:vAlign w:val="bottom"/>
          </w:tcPr>
          <w:p w14:paraId="72C8C0E8"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1–15</w:t>
            </w:r>
          </w:p>
        </w:tc>
      </w:tr>
      <w:tr w:rsidR="00EB6B16" w:rsidRPr="00BF288E" w14:paraId="6310C169" w14:textId="77777777" w:rsidTr="00045A58">
        <w:trPr>
          <w:cantSplit/>
          <w:trHeight w:val="240"/>
        </w:trPr>
        <w:tc>
          <w:tcPr>
            <w:tcW w:w="3667" w:type="pct"/>
            <w:shd w:val="clear" w:color="auto" w:fill="auto"/>
          </w:tcPr>
          <w:p w14:paraId="27E7BB1C" w14:textId="77777777" w:rsidR="00EB6B16" w:rsidRPr="00BF288E" w:rsidRDefault="00EB6B16" w:rsidP="00045A58">
            <w:pPr>
              <w:suppressAutoHyphens w:val="0"/>
              <w:spacing w:before="40" w:after="40" w:line="200" w:lineRule="exact"/>
              <w:ind w:right="113"/>
              <w:rPr>
                <w:sz w:val="18"/>
              </w:rPr>
            </w:pPr>
            <w:r w:rsidRPr="00BF288E">
              <w:rPr>
                <w:sz w:val="18"/>
              </w:rPr>
              <w:t>Japan Quality Assurance Organisation (JQA)</w:t>
            </w:r>
            <w:r w:rsidRPr="00BF288E">
              <w:rPr>
                <w:i/>
                <w:sz w:val="18"/>
                <w:szCs w:val="18"/>
                <w:vertAlign w:val="superscript"/>
              </w:rPr>
              <w:t>a</w:t>
            </w:r>
          </w:p>
        </w:tc>
        <w:tc>
          <w:tcPr>
            <w:tcW w:w="1333" w:type="pct"/>
            <w:shd w:val="clear" w:color="auto" w:fill="auto"/>
            <w:vAlign w:val="bottom"/>
          </w:tcPr>
          <w:p w14:paraId="0001E091" w14:textId="4627EE6C" w:rsidR="00EB6B16" w:rsidRPr="00BF288E" w:rsidRDefault="00EB6B16" w:rsidP="00045A58">
            <w:pPr>
              <w:suppressAutoHyphens w:val="0"/>
              <w:spacing w:before="40" w:after="40" w:line="200" w:lineRule="exact"/>
              <w:ind w:left="113" w:right="113"/>
              <w:jc w:val="right"/>
              <w:rPr>
                <w:sz w:val="18"/>
              </w:rPr>
            </w:pPr>
            <w:r w:rsidRPr="00BF288E">
              <w:rPr>
                <w:sz w:val="18"/>
              </w:rPr>
              <w:t>1, 3–5, 10, 13</w:t>
            </w:r>
            <w:r w:rsidR="00924403" w:rsidRPr="00BF288E">
              <w:rPr>
                <w:sz w:val="18"/>
              </w:rPr>
              <w:t>–</w:t>
            </w:r>
            <w:r w:rsidRPr="00BF288E">
              <w:rPr>
                <w:sz w:val="18"/>
              </w:rPr>
              <w:t>14</w:t>
            </w:r>
          </w:p>
        </w:tc>
      </w:tr>
      <w:tr w:rsidR="00EB6B16" w:rsidRPr="00BF288E" w14:paraId="761B3FF7" w14:textId="77777777" w:rsidTr="00045A58">
        <w:trPr>
          <w:cantSplit/>
          <w:trHeight w:val="240"/>
        </w:trPr>
        <w:tc>
          <w:tcPr>
            <w:tcW w:w="3667" w:type="pct"/>
            <w:shd w:val="clear" w:color="auto" w:fill="auto"/>
          </w:tcPr>
          <w:p w14:paraId="14D8D5D4" w14:textId="77777777" w:rsidR="00EB6B16" w:rsidRPr="00BF288E" w:rsidRDefault="00EB6B16" w:rsidP="00045A58">
            <w:pPr>
              <w:suppressAutoHyphens w:val="0"/>
              <w:spacing w:before="40" w:after="40" w:line="200" w:lineRule="exact"/>
              <w:ind w:right="113"/>
              <w:rPr>
                <w:sz w:val="18"/>
              </w:rPr>
            </w:pPr>
            <w:r w:rsidRPr="00BF288E">
              <w:rPr>
                <w:sz w:val="18"/>
              </w:rPr>
              <w:t>Korea Energy Agency (KEA)</w:t>
            </w:r>
            <w:r w:rsidRPr="00BF288E">
              <w:rPr>
                <w:i/>
                <w:sz w:val="18"/>
                <w:szCs w:val="18"/>
                <w:vertAlign w:val="superscript"/>
              </w:rPr>
              <w:t>a</w:t>
            </w:r>
          </w:p>
        </w:tc>
        <w:tc>
          <w:tcPr>
            <w:tcW w:w="1333" w:type="pct"/>
            <w:shd w:val="clear" w:color="auto" w:fill="auto"/>
            <w:vAlign w:val="bottom"/>
          </w:tcPr>
          <w:p w14:paraId="5D8FF0F1"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 3–5, 7, 9, 11–15</w:t>
            </w:r>
          </w:p>
        </w:tc>
      </w:tr>
      <w:tr w:rsidR="00EB6B16" w:rsidRPr="00BF288E" w14:paraId="3CB3A2CD" w14:textId="77777777" w:rsidTr="00045A58">
        <w:trPr>
          <w:cantSplit/>
          <w:trHeight w:val="240"/>
        </w:trPr>
        <w:tc>
          <w:tcPr>
            <w:tcW w:w="3667" w:type="pct"/>
            <w:shd w:val="clear" w:color="auto" w:fill="auto"/>
          </w:tcPr>
          <w:p w14:paraId="0E71CE96" w14:textId="77777777" w:rsidR="00EB6B16" w:rsidRPr="00BF288E" w:rsidRDefault="00EB6B16" w:rsidP="00045A58">
            <w:pPr>
              <w:suppressAutoHyphens w:val="0"/>
              <w:spacing w:before="40" w:after="40" w:line="200" w:lineRule="exact"/>
              <w:ind w:right="113"/>
              <w:rPr>
                <w:sz w:val="18"/>
              </w:rPr>
            </w:pPr>
            <w:r w:rsidRPr="00BF288E">
              <w:rPr>
                <w:sz w:val="18"/>
              </w:rPr>
              <w:t>Korea Testing &amp; Research Institute (KTR)</w:t>
            </w:r>
            <w:r w:rsidRPr="00BF288E">
              <w:rPr>
                <w:i/>
                <w:sz w:val="18"/>
                <w:szCs w:val="18"/>
                <w:vertAlign w:val="superscript"/>
              </w:rPr>
              <w:t>a</w:t>
            </w:r>
          </w:p>
        </w:tc>
        <w:tc>
          <w:tcPr>
            <w:tcW w:w="1333" w:type="pct"/>
            <w:shd w:val="clear" w:color="auto" w:fill="auto"/>
            <w:vAlign w:val="bottom"/>
          </w:tcPr>
          <w:p w14:paraId="3F0EFAAD"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 3–5, 11, 13</w:t>
            </w:r>
          </w:p>
        </w:tc>
      </w:tr>
      <w:tr w:rsidR="00EB6B16" w:rsidRPr="00BF288E" w14:paraId="2B47026A" w14:textId="77777777" w:rsidTr="00045A58">
        <w:trPr>
          <w:cantSplit/>
          <w:trHeight w:val="240"/>
        </w:trPr>
        <w:tc>
          <w:tcPr>
            <w:tcW w:w="3667" w:type="pct"/>
            <w:shd w:val="clear" w:color="auto" w:fill="auto"/>
          </w:tcPr>
          <w:p w14:paraId="52797826" w14:textId="77777777" w:rsidR="00EB6B16" w:rsidRPr="00BF288E" w:rsidRDefault="00EB6B16" w:rsidP="00045A58">
            <w:pPr>
              <w:suppressAutoHyphens w:val="0"/>
              <w:spacing w:before="40" w:after="40" w:line="200" w:lineRule="exact"/>
              <w:ind w:right="113"/>
              <w:rPr>
                <w:sz w:val="18"/>
              </w:rPr>
            </w:pPr>
            <w:r w:rsidRPr="00BF288E">
              <w:rPr>
                <w:sz w:val="18"/>
              </w:rPr>
              <w:t>Korean Foundation for Quality (KFQ)</w:t>
            </w:r>
            <w:r w:rsidRPr="00BF288E">
              <w:rPr>
                <w:i/>
                <w:sz w:val="18"/>
                <w:szCs w:val="18"/>
                <w:vertAlign w:val="superscript"/>
              </w:rPr>
              <w:t>a</w:t>
            </w:r>
          </w:p>
        </w:tc>
        <w:tc>
          <w:tcPr>
            <w:tcW w:w="1333" w:type="pct"/>
            <w:shd w:val="clear" w:color="auto" w:fill="auto"/>
            <w:vAlign w:val="bottom"/>
          </w:tcPr>
          <w:p w14:paraId="1903364E"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1–5, 9, 11, 13, 15</w:t>
            </w:r>
          </w:p>
        </w:tc>
      </w:tr>
      <w:tr w:rsidR="00EB6B16" w:rsidRPr="00BF288E" w14:paraId="00CD464A" w14:textId="77777777" w:rsidTr="00045A58">
        <w:trPr>
          <w:cantSplit/>
          <w:trHeight w:val="240"/>
        </w:trPr>
        <w:tc>
          <w:tcPr>
            <w:tcW w:w="3667" w:type="pct"/>
            <w:shd w:val="clear" w:color="auto" w:fill="auto"/>
          </w:tcPr>
          <w:p w14:paraId="5E345933" w14:textId="77777777" w:rsidR="00EB6B16" w:rsidRPr="00BF288E" w:rsidRDefault="00EB6B16" w:rsidP="00045A58">
            <w:pPr>
              <w:suppressAutoHyphens w:val="0"/>
              <w:spacing w:before="40" w:after="40" w:line="200" w:lineRule="exact"/>
              <w:ind w:right="113"/>
              <w:rPr>
                <w:sz w:val="18"/>
              </w:rPr>
            </w:pPr>
            <w:r w:rsidRPr="00BF288E">
              <w:rPr>
                <w:sz w:val="18"/>
              </w:rPr>
              <w:t>Korean Standards Association (KSA)</w:t>
            </w:r>
            <w:r w:rsidRPr="00BF288E">
              <w:rPr>
                <w:i/>
                <w:sz w:val="18"/>
                <w:szCs w:val="18"/>
                <w:vertAlign w:val="superscript"/>
              </w:rPr>
              <w:t>a</w:t>
            </w:r>
          </w:p>
        </w:tc>
        <w:tc>
          <w:tcPr>
            <w:tcW w:w="1333" w:type="pct"/>
            <w:shd w:val="clear" w:color="auto" w:fill="auto"/>
            <w:vAlign w:val="bottom"/>
          </w:tcPr>
          <w:p w14:paraId="194ED850" w14:textId="04F2812D" w:rsidR="00EB6B16" w:rsidRPr="00BF288E" w:rsidRDefault="00EB6B16" w:rsidP="00045A58">
            <w:pPr>
              <w:suppressAutoHyphens w:val="0"/>
              <w:spacing w:before="40" w:after="40" w:line="200" w:lineRule="exact"/>
              <w:ind w:left="113" w:right="113"/>
              <w:jc w:val="right"/>
              <w:rPr>
                <w:sz w:val="18"/>
              </w:rPr>
            </w:pPr>
            <w:r w:rsidRPr="00BF288E">
              <w:rPr>
                <w:sz w:val="18"/>
              </w:rPr>
              <w:t>1–5, 9</w:t>
            </w:r>
            <w:r w:rsidR="00924403" w:rsidRPr="00BF288E">
              <w:rPr>
                <w:sz w:val="18"/>
              </w:rPr>
              <w:t>–</w:t>
            </w:r>
            <w:r w:rsidRPr="00BF288E">
              <w:rPr>
                <w:sz w:val="18"/>
              </w:rPr>
              <w:t>10, 13–15</w:t>
            </w:r>
          </w:p>
        </w:tc>
      </w:tr>
      <w:tr w:rsidR="00EB6B16" w:rsidRPr="00BF288E" w14:paraId="20F14243" w14:textId="77777777" w:rsidTr="00045A58">
        <w:trPr>
          <w:cantSplit/>
          <w:trHeight w:val="240"/>
        </w:trPr>
        <w:tc>
          <w:tcPr>
            <w:tcW w:w="3667" w:type="pct"/>
            <w:shd w:val="clear" w:color="auto" w:fill="auto"/>
          </w:tcPr>
          <w:p w14:paraId="5E0E3476" w14:textId="77777777" w:rsidR="00EB6B16" w:rsidRPr="00BF288E" w:rsidRDefault="00EB6B16" w:rsidP="00045A58">
            <w:pPr>
              <w:suppressAutoHyphens w:val="0"/>
              <w:spacing w:before="40" w:after="40" w:line="200" w:lineRule="exact"/>
              <w:ind w:right="113"/>
              <w:rPr>
                <w:sz w:val="18"/>
              </w:rPr>
            </w:pPr>
            <w:r w:rsidRPr="00BF288E">
              <w:rPr>
                <w:sz w:val="18"/>
              </w:rPr>
              <w:t xml:space="preserve">Re Carbon Gözetim Denetim ve Belgelendirme Limited Sirketi </w:t>
            </w:r>
            <w:r w:rsidRPr="00BF288E">
              <w:rPr>
                <w:sz w:val="18"/>
              </w:rPr>
              <w:br/>
              <w:t>(Re Carbon)</w:t>
            </w:r>
            <w:r w:rsidRPr="00BF288E">
              <w:rPr>
                <w:i/>
                <w:sz w:val="18"/>
                <w:szCs w:val="18"/>
                <w:vertAlign w:val="superscript"/>
              </w:rPr>
              <w:t>a</w:t>
            </w:r>
          </w:p>
        </w:tc>
        <w:tc>
          <w:tcPr>
            <w:tcW w:w="1333" w:type="pct"/>
            <w:shd w:val="clear" w:color="auto" w:fill="auto"/>
            <w:vAlign w:val="bottom"/>
          </w:tcPr>
          <w:p w14:paraId="61FF79D1"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1–3, 13, 15</w:t>
            </w:r>
          </w:p>
        </w:tc>
      </w:tr>
      <w:tr w:rsidR="00EB6B16" w:rsidRPr="00BF288E" w14:paraId="50480A10" w14:textId="77777777" w:rsidTr="00045A58">
        <w:trPr>
          <w:cantSplit/>
          <w:trHeight w:val="240"/>
        </w:trPr>
        <w:tc>
          <w:tcPr>
            <w:tcW w:w="3667" w:type="pct"/>
            <w:shd w:val="clear" w:color="auto" w:fill="auto"/>
          </w:tcPr>
          <w:p w14:paraId="6287B711" w14:textId="77777777" w:rsidR="00EB6B16" w:rsidRPr="00BF288E" w:rsidRDefault="00EB6B16" w:rsidP="00045A58">
            <w:pPr>
              <w:suppressAutoHyphens w:val="0"/>
              <w:spacing w:before="40" w:after="40" w:line="200" w:lineRule="exact"/>
              <w:ind w:right="113"/>
              <w:rPr>
                <w:sz w:val="18"/>
                <w:lang w:val="es-ES"/>
              </w:rPr>
            </w:pPr>
            <w:r w:rsidRPr="00BF288E">
              <w:rPr>
                <w:sz w:val="18"/>
                <w:lang w:val="es-ES"/>
              </w:rPr>
              <w:t>RINA Services S.p.A. (RINA)</w:t>
            </w:r>
            <w:r w:rsidRPr="00BF288E">
              <w:rPr>
                <w:i/>
                <w:iCs/>
                <w:sz w:val="18"/>
                <w:szCs w:val="18"/>
                <w:vertAlign w:val="superscript"/>
                <w:lang w:val="es-ES"/>
              </w:rPr>
              <w:t>a</w:t>
            </w:r>
          </w:p>
        </w:tc>
        <w:tc>
          <w:tcPr>
            <w:tcW w:w="1333" w:type="pct"/>
            <w:shd w:val="clear" w:color="auto" w:fill="auto"/>
            <w:vAlign w:val="bottom"/>
          </w:tcPr>
          <w:p w14:paraId="0B86DFE5"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1–7, 9–11, 13–15</w:t>
            </w:r>
          </w:p>
        </w:tc>
      </w:tr>
      <w:tr w:rsidR="00EB6B16" w:rsidRPr="00BF288E" w14:paraId="6D0E0080" w14:textId="77777777" w:rsidTr="00045A58">
        <w:trPr>
          <w:cantSplit/>
          <w:trHeight w:val="240"/>
        </w:trPr>
        <w:tc>
          <w:tcPr>
            <w:tcW w:w="3667" w:type="pct"/>
            <w:shd w:val="clear" w:color="auto" w:fill="auto"/>
          </w:tcPr>
          <w:p w14:paraId="76B6F8A7" w14:textId="5D31FD9E" w:rsidR="00EB6B16" w:rsidRPr="00BF288E" w:rsidRDefault="00EB6B16" w:rsidP="00045A58">
            <w:pPr>
              <w:suppressAutoHyphens w:val="0"/>
              <w:spacing w:before="40" w:after="40" w:line="200" w:lineRule="exact"/>
              <w:ind w:right="113"/>
              <w:rPr>
                <w:b/>
                <w:sz w:val="18"/>
              </w:rPr>
            </w:pPr>
            <w:r w:rsidRPr="00BF288E">
              <w:rPr>
                <w:sz w:val="18"/>
              </w:rPr>
              <w:t>ERM Certification and Verification Services Limited (ERM CVS)</w:t>
            </w:r>
            <w:r w:rsidR="00EF13FC" w:rsidRPr="00BF288E">
              <w:rPr>
                <w:i/>
                <w:sz w:val="18"/>
                <w:szCs w:val="18"/>
                <w:vertAlign w:val="superscript"/>
              </w:rPr>
              <w:t>b</w:t>
            </w:r>
          </w:p>
        </w:tc>
        <w:tc>
          <w:tcPr>
            <w:tcW w:w="1333" w:type="pct"/>
            <w:shd w:val="clear" w:color="auto" w:fill="auto"/>
            <w:vAlign w:val="bottom"/>
          </w:tcPr>
          <w:p w14:paraId="646E0DA3"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 3–5, 8–10, 13</w:t>
            </w:r>
          </w:p>
        </w:tc>
      </w:tr>
      <w:tr w:rsidR="00EB6B16" w:rsidRPr="00BF288E" w14:paraId="2ED20D17" w14:textId="77777777" w:rsidTr="00045A58">
        <w:trPr>
          <w:cantSplit/>
          <w:trHeight w:val="240"/>
        </w:trPr>
        <w:tc>
          <w:tcPr>
            <w:tcW w:w="3667" w:type="pct"/>
            <w:tcBorders>
              <w:bottom w:val="single" w:sz="12" w:space="0" w:color="auto"/>
            </w:tcBorders>
            <w:shd w:val="clear" w:color="auto" w:fill="auto"/>
          </w:tcPr>
          <w:p w14:paraId="4D3629FB" w14:textId="665249F3" w:rsidR="00EB6B16" w:rsidRPr="00BF288E" w:rsidRDefault="00EB6B16" w:rsidP="00045A58">
            <w:pPr>
              <w:suppressAutoHyphens w:val="0"/>
              <w:spacing w:before="40" w:after="40" w:line="200" w:lineRule="exact"/>
              <w:ind w:right="113"/>
              <w:rPr>
                <w:sz w:val="18"/>
              </w:rPr>
            </w:pPr>
            <w:r w:rsidRPr="00BF288E">
              <w:rPr>
                <w:sz w:val="18"/>
              </w:rPr>
              <w:t xml:space="preserve">Foundation for Industrial Development </w:t>
            </w:r>
            <w:r w:rsidR="003E2585" w:rsidRPr="00BF288E">
              <w:rPr>
                <w:sz w:val="18"/>
              </w:rPr>
              <w:t>–</w:t>
            </w:r>
            <w:r w:rsidRPr="00BF288E">
              <w:rPr>
                <w:sz w:val="18"/>
              </w:rPr>
              <w:t xml:space="preserve"> Management System Certification Institute (Thailand) (MASCI)</w:t>
            </w:r>
            <w:r w:rsidRPr="00BF288E">
              <w:rPr>
                <w:i/>
                <w:sz w:val="18"/>
                <w:szCs w:val="18"/>
                <w:vertAlign w:val="superscript"/>
              </w:rPr>
              <w:t>b</w:t>
            </w:r>
          </w:p>
        </w:tc>
        <w:tc>
          <w:tcPr>
            <w:tcW w:w="1333" w:type="pct"/>
            <w:tcBorders>
              <w:bottom w:val="single" w:sz="12" w:space="0" w:color="auto"/>
            </w:tcBorders>
            <w:shd w:val="clear" w:color="auto" w:fill="auto"/>
            <w:vAlign w:val="bottom"/>
          </w:tcPr>
          <w:p w14:paraId="31F56936" w14:textId="77777777" w:rsidR="00EB6B16" w:rsidRPr="00BF288E" w:rsidRDefault="00EB6B16" w:rsidP="00045A58">
            <w:pPr>
              <w:suppressAutoHyphens w:val="0"/>
              <w:spacing w:before="40" w:after="40" w:line="200" w:lineRule="exact"/>
              <w:ind w:left="113" w:right="113"/>
              <w:jc w:val="right"/>
              <w:rPr>
                <w:sz w:val="18"/>
              </w:rPr>
            </w:pPr>
            <w:r w:rsidRPr="00BF288E">
              <w:rPr>
                <w:sz w:val="18"/>
              </w:rPr>
              <w:t>1, 13</w:t>
            </w:r>
          </w:p>
        </w:tc>
      </w:tr>
    </w:tbl>
    <w:p w14:paraId="4E904F3B" w14:textId="42C8775D" w:rsidR="008C1A24" w:rsidRPr="00BF288E" w:rsidRDefault="00912A62" w:rsidP="0084714B">
      <w:pPr>
        <w:spacing w:before="60" w:line="220" w:lineRule="exact"/>
        <w:ind w:left="1134" w:firstLine="142"/>
        <w:rPr>
          <w:sz w:val="18"/>
          <w:szCs w:val="18"/>
        </w:rPr>
      </w:pPr>
      <w:r w:rsidRPr="00BF288E">
        <w:rPr>
          <w:i/>
          <w:sz w:val="18"/>
          <w:szCs w:val="18"/>
          <w:vertAlign w:val="superscript"/>
        </w:rPr>
        <w:t xml:space="preserve">a  </w:t>
      </w:r>
      <w:r w:rsidR="000169E5" w:rsidRPr="00BF288E">
        <w:rPr>
          <w:sz w:val="18"/>
          <w:szCs w:val="18"/>
        </w:rPr>
        <w:t>Accreditation granted for five years</w:t>
      </w:r>
      <w:r w:rsidR="00F66CA6" w:rsidRPr="00BF288E">
        <w:rPr>
          <w:sz w:val="18"/>
          <w:szCs w:val="18"/>
        </w:rPr>
        <w:t>.</w:t>
      </w:r>
    </w:p>
    <w:p w14:paraId="1F980A19" w14:textId="319846F2" w:rsidR="00F66CA6" w:rsidRPr="00BF288E" w:rsidRDefault="00F66CA6" w:rsidP="0084714B">
      <w:pPr>
        <w:spacing w:after="180" w:line="220" w:lineRule="exact"/>
        <w:ind w:left="1134" w:firstLine="142"/>
        <w:rPr>
          <w:u w:val="single"/>
        </w:rPr>
      </w:pPr>
      <w:r w:rsidRPr="00BF288E">
        <w:rPr>
          <w:i/>
          <w:sz w:val="18"/>
          <w:szCs w:val="18"/>
          <w:vertAlign w:val="superscript"/>
        </w:rPr>
        <w:t xml:space="preserve">b  </w:t>
      </w:r>
      <w:r w:rsidR="006F1BB5" w:rsidRPr="00BF288E">
        <w:rPr>
          <w:sz w:val="18"/>
          <w:szCs w:val="18"/>
        </w:rPr>
        <w:t>Expiration of the accreditation in its entirety</w:t>
      </w:r>
      <w:r w:rsidR="006F1BB5" w:rsidRPr="00BF288E">
        <w:t>.</w:t>
      </w:r>
    </w:p>
    <w:p w14:paraId="28917DC9" w14:textId="75E8EC5B" w:rsidR="0063432A" w:rsidRPr="00BF288E" w:rsidRDefault="0063432A" w:rsidP="0063432A">
      <w:pPr>
        <w:ind w:right="1133"/>
        <w:jc w:val="right"/>
        <w:rPr>
          <w:i/>
        </w:rPr>
      </w:pPr>
      <w:bookmarkStart w:id="13" w:name="_Hlk120790126"/>
      <w:r w:rsidRPr="00BF288E">
        <w:rPr>
          <w:i/>
        </w:rPr>
        <w:t>10</w:t>
      </w:r>
      <w:r w:rsidRPr="00BF288E">
        <w:rPr>
          <w:i/>
          <w:vertAlign w:val="superscript"/>
        </w:rPr>
        <w:t>th</w:t>
      </w:r>
      <w:r w:rsidRPr="00BF288E">
        <w:rPr>
          <w:i/>
        </w:rPr>
        <w:t xml:space="preserve"> plenary meeting</w:t>
      </w:r>
    </w:p>
    <w:p w14:paraId="7093448F" w14:textId="7B0E30FB" w:rsidR="0063432A" w:rsidRPr="00BF288E" w:rsidRDefault="0063432A" w:rsidP="0063432A">
      <w:pPr>
        <w:ind w:right="1133"/>
        <w:jc w:val="right"/>
        <w:rPr>
          <w:i/>
        </w:rPr>
      </w:pPr>
      <w:r w:rsidRPr="00BF288E">
        <w:rPr>
          <w:i/>
        </w:rPr>
        <w:t>20 November 2022</w:t>
      </w:r>
    </w:p>
    <w:bookmarkEnd w:id="13"/>
    <w:p w14:paraId="1722A4FC" w14:textId="77777777" w:rsidR="005E2012" w:rsidRPr="00BF288E" w:rsidRDefault="005E2012" w:rsidP="00387B41">
      <w:pPr>
        <w:rPr>
          <w:u w:val="single"/>
        </w:rPr>
      </w:pPr>
    </w:p>
    <w:p w14:paraId="25639E6C" w14:textId="49387D10" w:rsidR="005E2012" w:rsidRPr="00BF288E" w:rsidRDefault="005E2012" w:rsidP="00387B41">
      <w:pPr>
        <w:rPr>
          <w:u w:val="single"/>
        </w:rPr>
        <w:sectPr w:rsidR="005E2012" w:rsidRPr="00BF288E" w:rsidSect="00310DE3">
          <w:headerReference w:type="even" r:id="rId22"/>
          <w:footerReference w:type="even" r:id="rId23"/>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59CDF9C7" w14:textId="748CDF99" w:rsidR="00351CCC" w:rsidRPr="00BF288E" w:rsidRDefault="00351CCC" w:rsidP="00EA1E20">
      <w:pPr>
        <w:pStyle w:val="RegHChG"/>
        <w:numPr>
          <w:ilvl w:val="0"/>
          <w:numId w:val="0"/>
        </w:numPr>
        <w:spacing w:before="120"/>
        <w:ind w:left="1134" w:hanging="454"/>
      </w:pPr>
      <w:bookmarkStart w:id="14" w:name="Decision_3"/>
      <w:r w:rsidRPr="00BF288E">
        <w:t>Decision 3/CMP.17</w:t>
      </w:r>
      <w:bookmarkEnd w:id="14"/>
    </w:p>
    <w:p w14:paraId="4DF4318A" w14:textId="300E2804" w:rsidR="00351CCC" w:rsidRPr="00BF288E" w:rsidRDefault="00351CCC" w:rsidP="00EA1E20">
      <w:pPr>
        <w:pStyle w:val="RegHChG"/>
        <w:numPr>
          <w:ilvl w:val="0"/>
          <w:numId w:val="0"/>
        </w:numPr>
        <w:ind w:left="1135" w:hanging="454"/>
      </w:pPr>
      <w:r w:rsidRPr="00BF288E">
        <w:t>Guidance on the implementation of Article 6 of the Kyoto Protocol</w:t>
      </w:r>
    </w:p>
    <w:p w14:paraId="2C1D6AB4" w14:textId="77777777" w:rsidR="00351CCC" w:rsidRPr="00BF288E" w:rsidRDefault="00351CCC" w:rsidP="00351CCC">
      <w:pPr>
        <w:pStyle w:val="SingleTxtG"/>
        <w:ind w:firstLine="567"/>
        <w:rPr>
          <w:i/>
          <w:lang w:val="en-US"/>
        </w:rPr>
      </w:pPr>
      <w:r w:rsidRPr="00BF288E">
        <w:rPr>
          <w:i/>
          <w:lang w:val="en-US"/>
        </w:rPr>
        <w:t>The Conference of the Parties serving as the meeting of the Parties to the Kyoto Protocol</w:t>
      </w:r>
      <w:r w:rsidRPr="00BF288E">
        <w:rPr>
          <w:lang w:val="en-US"/>
        </w:rPr>
        <w:t>,</w:t>
      </w:r>
      <w:r w:rsidRPr="00BF288E">
        <w:rPr>
          <w:i/>
          <w:lang w:val="en-US"/>
        </w:rPr>
        <w:t xml:space="preserve"> </w:t>
      </w:r>
    </w:p>
    <w:p w14:paraId="7F93409F" w14:textId="77777777" w:rsidR="00351CCC" w:rsidRPr="00BF288E" w:rsidRDefault="00351CCC" w:rsidP="00110BA9">
      <w:pPr>
        <w:pStyle w:val="SingleTxtG"/>
        <w:ind w:firstLine="567"/>
      </w:pPr>
      <w:r w:rsidRPr="00BF288E">
        <w:rPr>
          <w:lang w:val="en-US"/>
        </w:rPr>
        <w:tab/>
      </w:r>
      <w:r w:rsidRPr="00BF288E">
        <w:rPr>
          <w:i/>
          <w:lang w:val="en-US"/>
        </w:rPr>
        <w:t xml:space="preserve">Recalling </w:t>
      </w:r>
      <w:r w:rsidRPr="00BF288E">
        <w:rPr>
          <w:lang w:val="en-US"/>
        </w:rPr>
        <w:t>Articles 3 and 6 of the Kyoto Protocol,</w:t>
      </w:r>
    </w:p>
    <w:p w14:paraId="4F230DAB" w14:textId="77777777" w:rsidR="00351CCC" w:rsidRPr="00BF288E" w:rsidRDefault="00351CCC" w:rsidP="00110BA9">
      <w:pPr>
        <w:pStyle w:val="SingleTxtG"/>
        <w:ind w:firstLine="567"/>
        <w:rPr>
          <w:lang w:val="en-US"/>
        </w:rPr>
      </w:pPr>
      <w:r w:rsidRPr="00BF288E">
        <w:tab/>
      </w:r>
      <w:r w:rsidRPr="00BF288E">
        <w:rPr>
          <w:i/>
          <w:lang w:val="en-US"/>
        </w:rPr>
        <w:t>Also recalling</w:t>
      </w:r>
      <w:r w:rsidRPr="00BF288E">
        <w:t xml:space="preserve"> decision 9/CMP.1 and subsequent guidance provided by the Conference of the Parties serving as the meeting of the Parties to the Kyoto Protocol relating to joint implementation</w:t>
      </w:r>
      <w:r w:rsidRPr="00BF288E">
        <w:rPr>
          <w:lang w:val="en-US"/>
        </w:rPr>
        <w:t>,</w:t>
      </w:r>
    </w:p>
    <w:p w14:paraId="0ED04758" w14:textId="50C2BA68" w:rsidR="00351CCC" w:rsidRPr="00BF288E" w:rsidRDefault="00EA1E20" w:rsidP="00EA1E20">
      <w:pPr>
        <w:pStyle w:val="RegSingleTxtG"/>
        <w:numPr>
          <w:ilvl w:val="0"/>
          <w:numId w:val="0"/>
        </w:numPr>
        <w:tabs>
          <w:tab w:val="left" w:pos="568"/>
        </w:tabs>
        <w:ind w:left="1135"/>
      </w:pPr>
      <w:bookmarkStart w:id="15" w:name="_Hlk118308012"/>
      <w:bookmarkStart w:id="16" w:name="_Ref118302739"/>
      <w:r w:rsidRPr="00BF288E">
        <w:t>1.</w:t>
      </w:r>
      <w:r w:rsidRPr="00BF288E">
        <w:tab/>
      </w:r>
      <w:r w:rsidR="00351CCC" w:rsidRPr="00BF288E">
        <w:rPr>
          <w:i/>
          <w:iCs/>
        </w:rPr>
        <w:t>Takes note with appreciation</w:t>
      </w:r>
      <w:r w:rsidR="00351CCC" w:rsidRPr="00BF288E">
        <w:t xml:space="preserve"> of the latest annual report of the Joint Implementation Supervisory Committee to the Conference of the Parties serving as the meeting of the Parties to the Kyoto Protocol</w:t>
      </w:r>
      <w:bookmarkEnd w:id="15"/>
      <w:r w:rsidR="00351CCC" w:rsidRPr="00BF288E">
        <w:rPr>
          <w:vertAlign w:val="superscript"/>
        </w:rPr>
        <w:footnoteReference w:id="10"/>
      </w:r>
      <w:r w:rsidR="00351CCC" w:rsidRPr="00BF288E">
        <w:t xml:space="preserve"> and </w:t>
      </w:r>
      <w:bookmarkEnd w:id="16"/>
      <w:r w:rsidR="00351CCC" w:rsidRPr="00BF288E">
        <w:t>the recommendation therein to consider discontinuing the Committee’s activities and functions;</w:t>
      </w:r>
      <w:r w:rsidR="00351CCC" w:rsidRPr="00BF288E">
        <w:rPr>
          <w:i/>
          <w:iCs/>
        </w:rPr>
        <w:t xml:space="preserve"> </w:t>
      </w:r>
    </w:p>
    <w:p w14:paraId="674DB5DC" w14:textId="49796273" w:rsidR="00351CCC" w:rsidRPr="00BF288E" w:rsidRDefault="00EA1E20" w:rsidP="00EA1E20">
      <w:pPr>
        <w:pStyle w:val="RegSingleTxtG"/>
        <w:numPr>
          <w:ilvl w:val="0"/>
          <w:numId w:val="0"/>
        </w:numPr>
        <w:tabs>
          <w:tab w:val="left" w:pos="568"/>
        </w:tabs>
        <w:ind w:left="1135"/>
      </w:pPr>
      <w:bookmarkStart w:id="17" w:name="_Hlk118363208"/>
      <w:r w:rsidRPr="00BF288E">
        <w:t>2.</w:t>
      </w:r>
      <w:r w:rsidRPr="00BF288E">
        <w:tab/>
      </w:r>
      <w:r w:rsidR="00351CCC" w:rsidRPr="00BF288E">
        <w:rPr>
          <w:i/>
          <w:iCs/>
        </w:rPr>
        <w:t xml:space="preserve">Notes </w:t>
      </w:r>
      <w:r w:rsidR="00351CCC" w:rsidRPr="00BF288E">
        <w:t>the low level of activity under joint implementation, with the most recent activity under Track 1</w:t>
      </w:r>
      <w:r w:rsidR="00351CCC" w:rsidRPr="00BF288E">
        <w:rPr>
          <w:vertAlign w:val="superscript"/>
        </w:rPr>
        <w:footnoteReference w:id="11"/>
      </w:r>
      <w:r w:rsidR="00351CCC" w:rsidRPr="00BF288E">
        <w:t xml:space="preserve"> and Track 2</w:t>
      </w:r>
      <w:r w:rsidR="00351CCC" w:rsidRPr="00BF288E">
        <w:rPr>
          <w:vertAlign w:val="superscript"/>
        </w:rPr>
        <w:footnoteReference w:id="12"/>
      </w:r>
      <w:r w:rsidR="00351CCC" w:rsidRPr="00BF288E">
        <w:t xml:space="preserve"> occurring in 2015 and 2014 respectively;</w:t>
      </w:r>
    </w:p>
    <w:p w14:paraId="2B46B049" w14:textId="055C857B" w:rsidR="00351CCC" w:rsidRPr="00BF288E" w:rsidRDefault="00EA1E20" w:rsidP="00EA1E20">
      <w:pPr>
        <w:pStyle w:val="RegSingleTxtG"/>
        <w:numPr>
          <w:ilvl w:val="0"/>
          <w:numId w:val="0"/>
        </w:numPr>
        <w:tabs>
          <w:tab w:val="left" w:pos="568"/>
        </w:tabs>
        <w:ind w:left="1135"/>
      </w:pPr>
      <w:r w:rsidRPr="00BF288E">
        <w:t>3.</w:t>
      </w:r>
      <w:r w:rsidRPr="00BF288E">
        <w:tab/>
      </w:r>
      <w:r w:rsidR="00351CCC" w:rsidRPr="00BF288E">
        <w:rPr>
          <w:i/>
          <w:iCs/>
        </w:rPr>
        <w:t xml:space="preserve">Commends </w:t>
      </w:r>
      <w:r w:rsidR="00351CCC" w:rsidRPr="00BF288E">
        <w:t>the work undertaken by the Joint Implementation Supervisory Committee since its 1</w:t>
      </w:r>
      <w:r w:rsidR="00351CCC" w:rsidRPr="00BF288E">
        <w:rPr>
          <w:vertAlign w:val="superscript"/>
        </w:rPr>
        <w:t>st</w:t>
      </w:r>
      <w:r w:rsidR="00351CCC" w:rsidRPr="00BF288E">
        <w:t xml:space="preserve"> meeting, in February 2006;</w:t>
      </w:r>
    </w:p>
    <w:bookmarkEnd w:id="17"/>
    <w:p w14:paraId="51E5A18E" w14:textId="1000AF94" w:rsidR="00351CCC" w:rsidRPr="00BF288E" w:rsidRDefault="00EA1E20" w:rsidP="00EA1E20">
      <w:pPr>
        <w:pStyle w:val="RegSingleTxtG"/>
        <w:numPr>
          <w:ilvl w:val="0"/>
          <w:numId w:val="0"/>
        </w:numPr>
        <w:tabs>
          <w:tab w:val="left" w:pos="568"/>
        </w:tabs>
        <w:ind w:left="1135"/>
      </w:pPr>
      <w:r w:rsidRPr="00BF288E">
        <w:t>4.</w:t>
      </w:r>
      <w:r w:rsidRPr="00BF288E">
        <w:tab/>
      </w:r>
      <w:r w:rsidR="00351CCC" w:rsidRPr="00BF288E">
        <w:rPr>
          <w:i/>
          <w:iCs/>
        </w:rPr>
        <w:t xml:space="preserve">Decides </w:t>
      </w:r>
      <w:r w:rsidR="00351CCC" w:rsidRPr="00BF288E">
        <w:t xml:space="preserve">to terminate the Joint Implementation Supervisory Committee established by </w:t>
      </w:r>
      <w:r w:rsidR="00E50738" w:rsidRPr="00BF288E">
        <w:t>d</w:t>
      </w:r>
      <w:r w:rsidR="00351CCC" w:rsidRPr="00BF288E">
        <w:t xml:space="preserve">ecision 9/CMP.1, paragraph 3; </w:t>
      </w:r>
    </w:p>
    <w:p w14:paraId="7173B7E6" w14:textId="4BA4E562" w:rsidR="00351CCC" w:rsidRPr="00BF288E" w:rsidRDefault="00EA1E20" w:rsidP="00EA1E20">
      <w:pPr>
        <w:pStyle w:val="RegSingleTxtG"/>
        <w:numPr>
          <w:ilvl w:val="0"/>
          <w:numId w:val="0"/>
        </w:numPr>
        <w:tabs>
          <w:tab w:val="left" w:pos="568"/>
        </w:tabs>
        <w:ind w:left="1135"/>
      </w:pPr>
      <w:r w:rsidRPr="00BF288E">
        <w:t>5.</w:t>
      </w:r>
      <w:r w:rsidRPr="00BF288E">
        <w:tab/>
      </w:r>
      <w:r w:rsidR="00351CCC" w:rsidRPr="00BF288E">
        <w:rPr>
          <w:i/>
          <w:iCs/>
        </w:rPr>
        <w:t>Requests</w:t>
      </w:r>
      <w:r w:rsidR="00351CCC" w:rsidRPr="00BF288E">
        <w:t xml:space="preserve"> the secretariat to take the necessary steps to conclude matters relating to the operations of the Committee and to prepare a report on the operation of Track 2, with recommendations on the orderly management of residual resources and other matters relevant to the termination of the Committee, for consideration by the Conference of the Parties serving as the meeting of the Parties to the Kyoto Protocol at its eighteenth session (November</w:t>
      </w:r>
      <w:r w:rsidR="002139CC" w:rsidRPr="00BF288E">
        <w:t>–December</w:t>
      </w:r>
      <w:r w:rsidR="00351CCC" w:rsidRPr="00BF288E">
        <w:t xml:space="preserve"> 2023).</w:t>
      </w:r>
      <w:r w:rsidR="00351CCC" w:rsidRPr="00BF288E">
        <w:rPr>
          <w:szCs w:val="22"/>
        </w:rPr>
        <w:t xml:space="preserve"> </w:t>
      </w:r>
    </w:p>
    <w:p w14:paraId="5A673517" w14:textId="77777777" w:rsidR="0063432A" w:rsidRPr="00BF288E" w:rsidRDefault="0063432A" w:rsidP="0063432A">
      <w:pPr>
        <w:ind w:right="1133"/>
        <w:jc w:val="right"/>
        <w:rPr>
          <w:i/>
        </w:rPr>
      </w:pPr>
      <w:r w:rsidRPr="00BF288E">
        <w:rPr>
          <w:i/>
        </w:rPr>
        <w:t>10</w:t>
      </w:r>
      <w:r w:rsidRPr="00BF288E">
        <w:rPr>
          <w:i/>
          <w:vertAlign w:val="superscript"/>
        </w:rPr>
        <w:t>th</w:t>
      </w:r>
      <w:r w:rsidRPr="00BF288E">
        <w:rPr>
          <w:i/>
        </w:rPr>
        <w:t xml:space="preserve"> plenary meeting</w:t>
      </w:r>
    </w:p>
    <w:p w14:paraId="446C87A6" w14:textId="77777777" w:rsidR="0063432A" w:rsidRPr="00BF288E" w:rsidRDefault="0063432A" w:rsidP="0063432A">
      <w:pPr>
        <w:ind w:right="1133"/>
        <w:jc w:val="right"/>
        <w:rPr>
          <w:i/>
        </w:rPr>
      </w:pPr>
      <w:r w:rsidRPr="00BF288E">
        <w:rPr>
          <w:i/>
        </w:rPr>
        <w:t>20 November 2022</w:t>
      </w:r>
    </w:p>
    <w:p w14:paraId="1AC71BB1" w14:textId="637E17FC" w:rsidR="00351CCC" w:rsidRPr="00BF288E" w:rsidRDefault="00351CCC" w:rsidP="00387B41">
      <w:pPr>
        <w:rPr>
          <w:u w:val="single"/>
        </w:rPr>
      </w:pPr>
    </w:p>
    <w:p w14:paraId="6C0778A5" w14:textId="77777777" w:rsidR="00351CCC" w:rsidRPr="00BF288E" w:rsidRDefault="00351CCC" w:rsidP="00387B41">
      <w:pPr>
        <w:rPr>
          <w:u w:val="single"/>
        </w:rPr>
        <w:sectPr w:rsidR="00351CCC" w:rsidRPr="00BF288E" w:rsidSect="00310DE3">
          <w:headerReference w:type="default" r:id="rId24"/>
          <w:footerReference w:type="default" r:id="rId25"/>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1F8F20CC" w14:textId="4956FFFE" w:rsidR="004673C0" w:rsidRPr="00BF288E" w:rsidRDefault="004673C0" w:rsidP="00EA1E20">
      <w:pPr>
        <w:pStyle w:val="RegHChG"/>
        <w:numPr>
          <w:ilvl w:val="0"/>
          <w:numId w:val="0"/>
        </w:numPr>
        <w:spacing w:before="120"/>
        <w:ind w:left="1134" w:hanging="454"/>
      </w:pPr>
      <w:bookmarkStart w:id="18" w:name="Decision_4"/>
      <w:r w:rsidRPr="00BF288E">
        <w:t xml:space="preserve">Decision </w:t>
      </w:r>
      <w:r w:rsidR="00C81ACD" w:rsidRPr="00BF288E">
        <w:t>4</w:t>
      </w:r>
      <w:r w:rsidRPr="00BF288E">
        <w:t>/CMP.17</w:t>
      </w:r>
      <w:bookmarkEnd w:id="18"/>
    </w:p>
    <w:p w14:paraId="50EA008F" w14:textId="77777777" w:rsidR="004673C0" w:rsidRPr="00BF288E" w:rsidRDefault="004673C0" w:rsidP="00EA1E20">
      <w:pPr>
        <w:pStyle w:val="RegHChG"/>
        <w:numPr>
          <w:ilvl w:val="0"/>
          <w:numId w:val="0"/>
        </w:numPr>
        <w:ind w:left="1135" w:hanging="454"/>
      </w:pPr>
      <w:r w:rsidRPr="00BF288E">
        <w:t>Report of the Adaptation Fund Board for 2022</w:t>
      </w:r>
    </w:p>
    <w:p w14:paraId="3C244E9B" w14:textId="77777777" w:rsidR="004673C0" w:rsidRPr="00BF288E" w:rsidRDefault="004673C0" w:rsidP="00E33A84">
      <w:pPr>
        <w:pStyle w:val="SingleTxtG"/>
        <w:ind w:firstLine="567"/>
        <w:rPr>
          <w:i/>
          <w:lang w:val="en-US"/>
        </w:rPr>
      </w:pPr>
      <w:r w:rsidRPr="00BF288E" w:rsidDel="00673F06">
        <w:rPr>
          <w:i/>
          <w:lang w:val="en-US"/>
        </w:rPr>
        <w:t xml:space="preserve">The Conference of the Parties serving as the meeting of the Parties to the </w:t>
      </w:r>
      <w:r w:rsidRPr="00BF288E">
        <w:rPr>
          <w:i/>
          <w:lang w:val="en-US"/>
        </w:rPr>
        <w:t>Kyoto Protocol</w:t>
      </w:r>
      <w:r w:rsidRPr="00BF288E" w:rsidDel="00673F06">
        <w:rPr>
          <w:iCs/>
          <w:lang w:val="en-US"/>
        </w:rPr>
        <w:t>,</w:t>
      </w:r>
    </w:p>
    <w:p w14:paraId="57E87649" w14:textId="77777777" w:rsidR="004673C0" w:rsidRPr="00BF288E" w:rsidRDefault="004673C0" w:rsidP="00AE5C3D">
      <w:pPr>
        <w:pStyle w:val="SingleTxtG"/>
        <w:ind w:firstLine="567"/>
      </w:pPr>
      <w:r w:rsidRPr="00BF288E">
        <w:rPr>
          <w:i/>
        </w:rPr>
        <w:t>Recalling</w:t>
      </w:r>
      <w:r w:rsidRPr="00BF288E">
        <w:t xml:space="preserve"> decisions 1/CMP.3, 1/CMP.4, 2/CMP.10, 1/CMP.11, 2/CMP.12, 1/CMP.13, 1/CMP.14, 3/CMP.15 and 3/CMP.16,</w:t>
      </w:r>
    </w:p>
    <w:p w14:paraId="0C0EB087" w14:textId="77777777" w:rsidR="004673C0" w:rsidRPr="00BF288E" w:rsidRDefault="004673C0" w:rsidP="00AE5C3D">
      <w:pPr>
        <w:pStyle w:val="SingleTxtG"/>
        <w:ind w:firstLine="567"/>
        <w:rPr>
          <w:b/>
          <w:i/>
        </w:rPr>
      </w:pPr>
      <w:r w:rsidRPr="00BF288E">
        <w:rPr>
          <w:i/>
        </w:rPr>
        <w:t>Also recalling</w:t>
      </w:r>
      <w:r w:rsidRPr="00BF288E">
        <w:rPr>
          <w:iCs/>
        </w:rPr>
        <w:t xml:space="preserve"> decision 13/CMA.1,</w:t>
      </w:r>
    </w:p>
    <w:p w14:paraId="2A96F500" w14:textId="07BF296D" w:rsidR="004673C0" w:rsidRPr="00BF288E" w:rsidRDefault="00EA1E20" w:rsidP="00EA1E20">
      <w:pPr>
        <w:pStyle w:val="RegSingleTxtG"/>
        <w:numPr>
          <w:ilvl w:val="0"/>
          <w:numId w:val="0"/>
        </w:numPr>
        <w:ind w:left="1134"/>
      </w:pPr>
      <w:r w:rsidRPr="00BF288E">
        <w:t>1.</w:t>
      </w:r>
      <w:r w:rsidRPr="00BF288E">
        <w:tab/>
      </w:r>
      <w:r w:rsidR="004673C0" w:rsidRPr="00BF288E">
        <w:rPr>
          <w:i/>
        </w:rPr>
        <w:t xml:space="preserve">Takes note </w:t>
      </w:r>
      <w:r w:rsidR="004673C0" w:rsidRPr="00BF288E">
        <w:rPr>
          <w:iCs/>
        </w:rPr>
        <w:t xml:space="preserve">of </w:t>
      </w:r>
      <w:r w:rsidR="004673C0" w:rsidRPr="00BF288E">
        <w:t>the annual report of the Adaptation Fund Board for 2022, including its addendum, and the information therein;</w:t>
      </w:r>
      <w:r w:rsidR="004673C0" w:rsidRPr="00BF288E">
        <w:rPr>
          <w:rStyle w:val="FootnoteReference"/>
        </w:rPr>
        <w:footnoteReference w:id="13"/>
      </w:r>
      <w:r w:rsidR="004673C0" w:rsidRPr="00BF288E">
        <w:t xml:space="preserve"> </w:t>
      </w:r>
    </w:p>
    <w:p w14:paraId="7C41BF30" w14:textId="79D55231" w:rsidR="004673C0" w:rsidRPr="00BF288E" w:rsidRDefault="00EA1E20" w:rsidP="00EA1E20">
      <w:pPr>
        <w:pStyle w:val="RegSingleTxtG"/>
        <w:numPr>
          <w:ilvl w:val="0"/>
          <w:numId w:val="0"/>
        </w:numPr>
        <w:tabs>
          <w:tab w:val="left" w:pos="568"/>
        </w:tabs>
        <w:ind w:left="1134"/>
        <w:rPr>
          <w:i/>
          <w:szCs w:val="24"/>
        </w:rPr>
      </w:pPr>
      <w:r w:rsidRPr="00BF288E">
        <w:rPr>
          <w:szCs w:val="24"/>
        </w:rPr>
        <w:t>2.</w:t>
      </w:r>
      <w:r w:rsidRPr="00BF288E">
        <w:rPr>
          <w:szCs w:val="24"/>
        </w:rPr>
        <w:tab/>
      </w:r>
      <w:r w:rsidR="004673C0" w:rsidRPr="00BF288E">
        <w:rPr>
          <w:i/>
          <w:szCs w:val="24"/>
        </w:rPr>
        <w:t xml:space="preserve">Notes </w:t>
      </w:r>
      <w:r w:rsidR="004673C0" w:rsidRPr="00BF288E">
        <w:rPr>
          <w:szCs w:val="24"/>
        </w:rPr>
        <w:t xml:space="preserve">the following </w:t>
      </w:r>
      <w:r w:rsidR="004673C0" w:rsidRPr="00BF288E">
        <w:t>information</w:t>
      </w:r>
      <w:r w:rsidR="004673C0" w:rsidRPr="00BF288E">
        <w:rPr>
          <w:szCs w:val="24"/>
        </w:rPr>
        <w:t xml:space="preserve">, actions and decisions relating to the Adaptation Fund Board presented in the report </w:t>
      </w:r>
      <w:r w:rsidR="004673C0" w:rsidRPr="00BF288E">
        <w:t>referred</w:t>
      </w:r>
      <w:r w:rsidR="004673C0" w:rsidRPr="00BF288E">
        <w:rPr>
          <w:szCs w:val="24"/>
        </w:rPr>
        <w:t xml:space="preserve"> to in paragraph 1 above:</w:t>
      </w:r>
    </w:p>
    <w:p w14:paraId="01508B81" w14:textId="20D08043" w:rsidR="004673C0" w:rsidRPr="00BF288E" w:rsidRDefault="00EA1E20" w:rsidP="00EA1E20">
      <w:pPr>
        <w:pStyle w:val="RegSingleTxtG2"/>
        <w:numPr>
          <w:ilvl w:val="0"/>
          <w:numId w:val="0"/>
        </w:numPr>
        <w:tabs>
          <w:tab w:val="left" w:pos="1702"/>
          <w:tab w:val="num" w:pos="2269"/>
        </w:tabs>
        <w:ind w:left="1134" w:firstLine="567"/>
        <w:rPr>
          <w:iCs/>
          <w:szCs w:val="24"/>
        </w:rPr>
      </w:pPr>
      <w:bookmarkStart w:id="19" w:name="_Hlk119136790"/>
      <w:bookmarkStart w:id="20" w:name="_Hlk119144364"/>
      <w:r w:rsidRPr="00BF288E">
        <w:rPr>
          <w:iCs/>
          <w:szCs w:val="28"/>
        </w:rPr>
        <w:t>(a)</w:t>
      </w:r>
      <w:r w:rsidRPr="00BF288E">
        <w:rPr>
          <w:iCs/>
          <w:szCs w:val="28"/>
        </w:rPr>
        <w:tab/>
      </w:r>
      <w:r w:rsidR="004673C0" w:rsidRPr="00BF288E">
        <w:t>The accreditation of 1 national implementing entity and 2 regional implementing entities (with the national implementing entities granted direct access to resources from the Adaptation Fund), resulting in a total number of accredited implementing entities of 34 national (of which 10 in the least developed countries and 7 in small island developing States), 14 multilateral and 9 regional implementing entities, of which 33 were reaccredited (17 national implementing entities, 5 regional implementing entities and 11 multilateral implementing entities) for accessing resources from the Adaptation Fund directly;</w:t>
      </w:r>
      <w:bookmarkEnd w:id="19"/>
    </w:p>
    <w:p w14:paraId="0A04791B" w14:textId="355F3712"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(b)</w:t>
      </w:r>
      <w:r w:rsidRPr="00BF288E">
        <w:rPr>
          <w:iCs/>
          <w:szCs w:val="28"/>
        </w:rPr>
        <w:tab/>
      </w:r>
      <w:r w:rsidR="004673C0" w:rsidRPr="00BF288E">
        <w:t>Cumulative</w:t>
      </w:r>
      <w:r w:rsidR="004673C0" w:rsidRPr="00BF288E">
        <w:rPr>
          <w:iCs/>
          <w:szCs w:val="24"/>
        </w:rPr>
        <w:t xml:space="preserve"> receipts of USD 1,235.06 million, as at 30 June 2022, into the Adaptation Fund Trust </w:t>
      </w:r>
      <w:r w:rsidR="004673C0" w:rsidRPr="00BF288E">
        <w:t>Fund</w:t>
      </w:r>
      <w:r w:rsidR="004673C0" w:rsidRPr="00BF288E">
        <w:rPr>
          <w:iCs/>
          <w:szCs w:val="24"/>
        </w:rPr>
        <w:t>, comprising USD 211.80 million from the monetization of certified emission reductions, USD 982.00 million from contributions and USD 41.26 million from investment income earned on the Trust Fund balance;</w:t>
      </w:r>
    </w:p>
    <w:p w14:paraId="68A6BED9" w14:textId="49755589"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(c)</w:t>
      </w:r>
      <w:r w:rsidRPr="00BF288E">
        <w:rPr>
          <w:iCs/>
          <w:szCs w:val="28"/>
        </w:rPr>
        <w:tab/>
      </w:r>
      <w:r w:rsidR="004673C0" w:rsidRPr="00BF288E">
        <w:rPr>
          <w:iCs/>
          <w:szCs w:val="24"/>
        </w:rPr>
        <w:t>Contributions of USD 127.65 million,</w:t>
      </w:r>
      <w:r w:rsidR="004673C0" w:rsidRPr="00BF288E" w:rsidDel="00D3275D">
        <w:rPr>
          <w:iCs/>
          <w:szCs w:val="24"/>
        </w:rPr>
        <w:t xml:space="preserve"> </w:t>
      </w:r>
      <w:r w:rsidR="004673C0" w:rsidRPr="00BF288E">
        <w:rPr>
          <w:iCs/>
          <w:szCs w:val="24"/>
        </w:rPr>
        <w:t xml:space="preserve">of which USD 3.42 million from the monetization of certified </w:t>
      </w:r>
      <w:r w:rsidR="004673C0" w:rsidRPr="00BF288E">
        <w:t>emission</w:t>
      </w:r>
      <w:r w:rsidR="004673C0" w:rsidRPr="00BF288E">
        <w:rPr>
          <w:iCs/>
          <w:szCs w:val="24"/>
        </w:rPr>
        <w:t xml:space="preserve"> reductions, USD 123.18 million from additional contributions and USD 1.05 million from investment income, received between 1 July 2021 and 30 June 2022;</w:t>
      </w:r>
    </w:p>
    <w:p w14:paraId="5FF47F75" w14:textId="5BD9B158"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(d)</w:t>
      </w:r>
      <w:r w:rsidRPr="00BF288E">
        <w:rPr>
          <w:iCs/>
          <w:szCs w:val="28"/>
        </w:rPr>
        <w:tab/>
      </w:r>
      <w:r w:rsidR="004673C0" w:rsidRPr="00BF288E">
        <w:t>Contributions</w:t>
      </w:r>
      <w:r w:rsidR="004673C0" w:rsidRPr="00BF288E">
        <w:rPr>
          <w:iCs/>
          <w:szCs w:val="24"/>
        </w:rPr>
        <w:t xml:space="preserve"> amounting to USD 123.18 million received between 1 July 2021 and 30 June 2022 and new pledges amounting to USD 349.00 million, of which USD 174.40 million received as at 8 November 2022, </w:t>
      </w:r>
      <w:r w:rsidR="004673C0" w:rsidRPr="00BF288E">
        <w:t>towards</w:t>
      </w:r>
      <w:r w:rsidR="004673C0" w:rsidRPr="00BF288E">
        <w:rPr>
          <w:iCs/>
          <w:szCs w:val="24"/>
        </w:rPr>
        <w:t xml:space="preserve"> the Adaptation Fund resource mobilization target of USD 120.00 million per year for the biennium 2020–2021;</w:t>
      </w:r>
      <w:r w:rsidR="004673C0" w:rsidRPr="00BF288E" w:rsidDel="00D67D95">
        <w:rPr>
          <w:iCs/>
          <w:szCs w:val="24"/>
        </w:rPr>
        <w:t xml:space="preserve"> </w:t>
      </w:r>
    </w:p>
    <w:p w14:paraId="41CA8DF6" w14:textId="38883157" w:rsidR="004673C0" w:rsidRPr="00BF288E" w:rsidRDefault="00EA1E20" w:rsidP="00EA1E20">
      <w:pPr>
        <w:pStyle w:val="RegSingleTxtG2"/>
        <w:numPr>
          <w:ilvl w:val="0"/>
          <w:numId w:val="0"/>
        </w:numPr>
        <w:tabs>
          <w:tab w:val="left" w:pos="1702"/>
          <w:tab w:val="num" w:pos="2269"/>
        </w:tabs>
        <w:ind w:left="1134" w:firstLine="567"/>
      </w:pPr>
      <w:r w:rsidRPr="00BF288E">
        <w:rPr>
          <w:szCs w:val="28"/>
        </w:rPr>
        <w:t>(e)</w:t>
      </w:r>
      <w:r w:rsidRPr="00BF288E">
        <w:rPr>
          <w:szCs w:val="28"/>
        </w:rPr>
        <w:tab/>
      </w:r>
      <w:r w:rsidR="004673C0" w:rsidRPr="00BF288E">
        <w:t>Outstanding pledged contributions of USD 174.60 million as at 8 November 2022;</w:t>
      </w:r>
    </w:p>
    <w:p w14:paraId="12B4E3C5" w14:textId="37E71E75" w:rsidR="004673C0" w:rsidRPr="00BF288E" w:rsidRDefault="00EA1E20" w:rsidP="00EA1E20">
      <w:pPr>
        <w:pStyle w:val="RegSingleTxtG2"/>
        <w:numPr>
          <w:ilvl w:val="0"/>
          <w:numId w:val="0"/>
        </w:numPr>
        <w:tabs>
          <w:tab w:val="left" w:pos="1702"/>
          <w:tab w:val="num" w:pos="2269"/>
        </w:tabs>
        <w:ind w:left="1134" w:firstLine="567"/>
      </w:pPr>
      <w:r w:rsidRPr="00BF288E">
        <w:rPr>
          <w:szCs w:val="28"/>
        </w:rPr>
        <w:t>(f)</w:t>
      </w:r>
      <w:r w:rsidRPr="00BF288E">
        <w:rPr>
          <w:szCs w:val="28"/>
        </w:rPr>
        <w:tab/>
      </w:r>
      <w:r w:rsidR="004673C0" w:rsidRPr="00BF288E">
        <w:t>Resources available for new funding approvals amounting to USD 219.25 million as at 30 June 2022;</w:t>
      </w:r>
    </w:p>
    <w:p w14:paraId="4092C865" w14:textId="608DB860" w:rsidR="004673C0" w:rsidRPr="00BF288E" w:rsidRDefault="00EA1E20" w:rsidP="00EA1E20">
      <w:pPr>
        <w:pStyle w:val="RegSingleTxtG2"/>
        <w:numPr>
          <w:ilvl w:val="0"/>
          <w:numId w:val="0"/>
        </w:numPr>
        <w:tabs>
          <w:tab w:val="left" w:pos="1702"/>
          <w:tab w:val="num" w:pos="2269"/>
        </w:tabs>
        <w:ind w:left="1134" w:firstLine="567"/>
      </w:pPr>
      <w:r w:rsidRPr="00BF288E">
        <w:rPr>
          <w:szCs w:val="28"/>
        </w:rPr>
        <w:t>(g)</w:t>
      </w:r>
      <w:r w:rsidRPr="00BF288E">
        <w:rPr>
          <w:szCs w:val="28"/>
        </w:rPr>
        <w:tab/>
      </w:r>
      <w:r w:rsidR="004673C0" w:rsidRPr="00BF288E">
        <w:t>New funding approvals, including for concrete single-country and regional (multi-country) proposals, grant proposals under the Medium-Term Strategy of the Adaptation Fund for 2018–2022</w:t>
      </w:r>
      <w:r w:rsidR="004673C0" w:rsidRPr="00BF288E">
        <w:rPr>
          <w:rStyle w:val="FootnoteReference"/>
        </w:rPr>
        <w:footnoteReference w:id="14"/>
      </w:r>
      <w:r w:rsidR="004673C0" w:rsidRPr="00BF288E">
        <w:t xml:space="preserve"> and readiness grants, amounting to USD 94.10 million as at 30 June 2022;</w:t>
      </w:r>
    </w:p>
    <w:p w14:paraId="5A1E9DA3" w14:textId="1A022D3A"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(h)</w:t>
      </w:r>
      <w:r w:rsidRPr="00BF288E">
        <w:rPr>
          <w:iCs/>
          <w:szCs w:val="28"/>
        </w:rPr>
        <w:tab/>
      </w:r>
      <w:r w:rsidR="004673C0" w:rsidRPr="00BF288E">
        <w:t>An</w:t>
      </w:r>
      <w:r w:rsidR="004673C0" w:rsidRPr="00BF288E">
        <w:rPr>
          <w:iCs/>
          <w:szCs w:val="24"/>
        </w:rPr>
        <w:t xml:space="preserve"> active pipeline of project and programme proposals amounting to USD 333.70 million as at 30 June 2022, </w:t>
      </w:r>
      <w:r w:rsidR="004673C0" w:rsidRPr="00BF288E">
        <w:t>reflecting</w:t>
      </w:r>
      <w:r w:rsidR="004673C0" w:rsidRPr="00BF288E">
        <w:rPr>
          <w:iCs/>
          <w:szCs w:val="24"/>
        </w:rPr>
        <w:t xml:space="preserve"> an upward trend from previous years;</w:t>
      </w:r>
    </w:p>
    <w:p w14:paraId="639252F9" w14:textId="57740C21"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(i)</w:t>
      </w:r>
      <w:r w:rsidRPr="00BF288E">
        <w:rPr>
          <w:iCs/>
          <w:szCs w:val="28"/>
        </w:rPr>
        <w:tab/>
      </w:r>
      <w:r w:rsidR="004673C0" w:rsidRPr="00BF288E">
        <w:rPr>
          <w:iCs/>
          <w:szCs w:val="24"/>
        </w:rPr>
        <w:t>Cumulative project and programme approvals increasing by around 11 per cent to USD 929.72 million between 1 July 2021 and 30 June 2022;</w:t>
      </w:r>
    </w:p>
    <w:p w14:paraId="7F8615B6" w14:textId="72DE5BC8" w:rsidR="004673C0" w:rsidRPr="00BF288E" w:rsidRDefault="00EA1E20" w:rsidP="00EA1E20">
      <w:pPr>
        <w:pStyle w:val="RegSingleTxtG2"/>
        <w:numPr>
          <w:ilvl w:val="0"/>
          <w:numId w:val="0"/>
        </w:numPr>
        <w:tabs>
          <w:tab w:val="left" w:pos="1702"/>
          <w:tab w:val="num" w:pos="2269"/>
        </w:tabs>
        <w:ind w:left="1134" w:firstLine="567"/>
        <w:rPr>
          <w:iCs/>
          <w:szCs w:val="24"/>
        </w:rPr>
      </w:pPr>
      <w:bookmarkStart w:id="21" w:name="_Hlk118972273"/>
      <w:r w:rsidRPr="00BF288E">
        <w:rPr>
          <w:iCs/>
          <w:szCs w:val="28"/>
        </w:rPr>
        <w:t>(j)</w:t>
      </w:r>
      <w:r w:rsidRPr="00BF288E">
        <w:rPr>
          <w:iCs/>
          <w:szCs w:val="28"/>
        </w:rPr>
        <w:tab/>
      </w:r>
      <w:r w:rsidR="004673C0" w:rsidRPr="00BF288E">
        <w:t>The</w:t>
      </w:r>
      <w:r w:rsidR="004673C0" w:rsidRPr="00BF288E">
        <w:rPr>
          <w:iCs/>
          <w:szCs w:val="24"/>
        </w:rPr>
        <w:t xml:space="preserve"> approval of eight single-country project </w:t>
      </w:r>
      <w:bookmarkEnd w:id="21"/>
      <w:r w:rsidR="004673C0" w:rsidRPr="00BF288E">
        <w:rPr>
          <w:iCs/>
          <w:szCs w:val="24"/>
        </w:rPr>
        <w:t xml:space="preserve">or programme proposals submitted by implementing entities, totalling </w:t>
      </w:r>
      <w:r w:rsidR="004673C0" w:rsidRPr="00BF288E">
        <w:t>USD</w:t>
      </w:r>
      <w:r w:rsidR="004673C0" w:rsidRPr="00BF288E">
        <w:rPr>
          <w:iCs/>
          <w:szCs w:val="24"/>
        </w:rPr>
        <w:t> </w:t>
      </w:r>
      <w:r w:rsidR="004673C0" w:rsidRPr="00BF288E">
        <w:rPr>
          <w:szCs w:val="24"/>
        </w:rPr>
        <w:t>53.</w:t>
      </w:r>
      <w:r w:rsidR="00BC1957" w:rsidRPr="00BF288E">
        <w:rPr>
          <w:szCs w:val="24"/>
        </w:rPr>
        <w:t>1</w:t>
      </w:r>
      <w:r w:rsidR="004673C0" w:rsidRPr="00BF288E" w:rsidDel="00BC1957">
        <w:rPr>
          <w:szCs w:val="24"/>
        </w:rPr>
        <w:t>0</w:t>
      </w:r>
      <w:r w:rsidR="004673C0" w:rsidRPr="00BF288E">
        <w:rPr>
          <w:iCs/>
          <w:szCs w:val="24"/>
        </w:rPr>
        <w:t xml:space="preserve"> million, of which two proposals submitted by national implementing entities, amounting to USD 1.80 million; one single-country proposal submitted by a regional implementing entity, amounting to USD 10.00 million; and five single-country proposals submitted by multilateral implementing entities, totalling USD 41.30 million;</w:t>
      </w:r>
    </w:p>
    <w:p w14:paraId="55FBDF9A" w14:textId="61938190"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(k)</w:t>
      </w:r>
      <w:r w:rsidRPr="00BF288E">
        <w:rPr>
          <w:iCs/>
          <w:szCs w:val="28"/>
        </w:rPr>
        <w:tab/>
      </w:r>
      <w:r w:rsidR="004673C0" w:rsidRPr="00BF288E">
        <w:rPr>
          <w:iCs/>
          <w:szCs w:val="24"/>
        </w:rPr>
        <w:t>The approval of three multi-</w:t>
      </w:r>
      <w:r w:rsidR="004673C0" w:rsidRPr="00BF288E">
        <w:t>country</w:t>
      </w:r>
      <w:r w:rsidR="004673C0" w:rsidRPr="00BF288E">
        <w:rPr>
          <w:iCs/>
          <w:szCs w:val="24"/>
        </w:rPr>
        <w:t xml:space="preserve"> projects, amounting to USD 39.90 million;</w:t>
      </w:r>
    </w:p>
    <w:p w14:paraId="3ABDF3C8" w14:textId="7652CD1B"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(l)</w:t>
      </w:r>
      <w:r w:rsidRPr="00BF288E">
        <w:rPr>
          <w:iCs/>
          <w:szCs w:val="28"/>
        </w:rPr>
        <w:tab/>
      </w:r>
      <w:r w:rsidR="004673C0" w:rsidRPr="00BF288E">
        <w:t>Cumulative</w:t>
      </w:r>
      <w:r w:rsidR="004673C0" w:rsidRPr="00BF288E">
        <w:rPr>
          <w:iCs/>
          <w:szCs w:val="24"/>
        </w:rPr>
        <w:t xml:space="preserve"> disbursements to the 132 projects approved since the operationalization of the Adaptation Fund </w:t>
      </w:r>
      <w:r w:rsidR="004673C0" w:rsidRPr="00BF288E">
        <w:t>amounting</w:t>
      </w:r>
      <w:r w:rsidR="004673C0" w:rsidRPr="00BF288E">
        <w:rPr>
          <w:iCs/>
          <w:szCs w:val="24"/>
        </w:rPr>
        <w:t xml:space="preserve"> to USD 567.84 million, including USD 76.40 million disbursed between 1 July 2021 and 30 June 2022; </w:t>
      </w:r>
    </w:p>
    <w:p w14:paraId="243E1B85" w14:textId="6FC1BBE9"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(m)</w:t>
      </w:r>
      <w:r w:rsidRPr="00BF288E">
        <w:rPr>
          <w:iCs/>
          <w:szCs w:val="28"/>
        </w:rPr>
        <w:tab/>
      </w:r>
      <w:r w:rsidR="004673C0" w:rsidRPr="00BF288E" w:rsidDel="00E32A73">
        <w:rPr>
          <w:iCs/>
          <w:szCs w:val="24"/>
        </w:rPr>
        <w:t>The implementation of 80 projects</w:t>
      </w:r>
      <w:r w:rsidR="004673C0" w:rsidRPr="00BF288E">
        <w:rPr>
          <w:iCs/>
          <w:szCs w:val="24"/>
        </w:rPr>
        <w:t>,</w:t>
      </w:r>
      <w:r w:rsidR="004673C0" w:rsidRPr="00BF288E" w:rsidDel="00E32A73">
        <w:rPr>
          <w:iCs/>
          <w:szCs w:val="24"/>
        </w:rPr>
        <w:t xml:space="preserve"> of which 5 initiated and 10 completed</w:t>
      </w:r>
      <w:r w:rsidR="004673C0" w:rsidRPr="00BF288E">
        <w:rPr>
          <w:iCs/>
          <w:szCs w:val="24"/>
        </w:rPr>
        <w:t>,</w:t>
      </w:r>
      <w:r w:rsidR="004673C0" w:rsidRPr="00BF288E" w:rsidDel="00E32A73">
        <w:rPr>
          <w:iCs/>
          <w:szCs w:val="24"/>
        </w:rPr>
        <w:t xml:space="preserve"> between 1 July 2021 and 30 </w:t>
      </w:r>
      <w:r w:rsidR="004673C0" w:rsidRPr="00BF288E" w:rsidDel="00E32A73">
        <w:t>June</w:t>
      </w:r>
      <w:r w:rsidR="004673C0" w:rsidRPr="00BF288E" w:rsidDel="00E32A73">
        <w:rPr>
          <w:iCs/>
          <w:szCs w:val="24"/>
        </w:rPr>
        <w:t xml:space="preserve"> 2022</w:t>
      </w:r>
      <w:r w:rsidR="004673C0" w:rsidRPr="00BF288E">
        <w:rPr>
          <w:iCs/>
          <w:szCs w:val="24"/>
        </w:rPr>
        <w:t>;</w:t>
      </w:r>
      <w:r w:rsidR="004673C0" w:rsidRPr="00BF288E" w:rsidDel="00CE4E50">
        <w:rPr>
          <w:iCs/>
          <w:szCs w:val="24"/>
        </w:rPr>
        <w:t xml:space="preserve"> </w:t>
      </w:r>
    </w:p>
    <w:p w14:paraId="7DB28B50" w14:textId="32FB5A3E"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(n)</w:t>
      </w:r>
      <w:r w:rsidRPr="00BF288E">
        <w:rPr>
          <w:iCs/>
          <w:szCs w:val="28"/>
        </w:rPr>
        <w:tab/>
      </w:r>
      <w:r w:rsidR="004673C0" w:rsidRPr="00BF288E">
        <w:t>The approval of two small-grant proposals for innovation amounting to USD 0.50 million and one learning</w:t>
      </w:r>
      <w:r w:rsidR="004673C0" w:rsidRPr="00BF288E" w:rsidDel="002B1638">
        <w:t xml:space="preserve"> grant</w:t>
      </w:r>
      <w:r w:rsidR="004673C0" w:rsidRPr="00BF288E">
        <w:t xml:space="preserve"> amounting to USD 0.15 million as well as the commencement of the second year of implementation of the Adaptation Fund Climate Innovation Accelerator;</w:t>
      </w:r>
    </w:p>
    <w:p w14:paraId="45977FA3" w14:textId="07A729CD" w:rsidR="004673C0" w:rsidRPr="00BF288E" w:rsidRDefault="00EA1E20" w:rsidP="00EA1E20">
      <w:pPr>
        <w:pStyle w:val="RegSingleTxtG2"/>
        <w:numPr>
          <w:ilvl w:val="0"/>
          <w:numId w:val="0"/>
        </w:numPr>
        <w:tabs>
          <w:tab w:val="left" w:pos="1702"/>
          <w:tab w:val="num" w:pos="2269"/>
        </w:tabs>
        <w:ind w:left="1134" w:firstLine="567"/>
      </w:pPr>
      <w:r w:rsidRPr="00BF288E">
        <w:rPr>
          <w:szCs w:val="28"/>
        </w:rPr>
        <w:t>(o)</w:t>
      </w:r>
      <w:r w:rsidRPr="00BF288E">
        <w:rPr>
          <w:szCs w:val="28"/>
        </w:rPr>
        <w:tab/>
      </w:r>
      <w:r w:rsidR="004673C0" w:rsidRPr="00BF288E">
        <w:t>Access for developing countries to the Adaptation Fund Climate Innovation Accelerator through the United Nations Development Programme, in addition to through the United Nations Environment Programme and the Climate Technology Centre and Network for countries without national implementing entities;</w:t>
      </w:r>
    </w:p>
    <w:p w14:paraId="6008688E" w14:textId="5D364FFB" w:rsidR="004673C0" w:rsidRPr="00BF288E" w:rsidRDefault="00EA1E20" w:rsidP="00EA1E20">
      <w:pPr>
        <w:pStyle w:val="RegSingleTxtG2"/>
        <w:numPr>
          <w:ilvl w:val="0"/>
          <w:numId w:val="0"/>
        </w:numPr>
        <w:tabs>
          <w:tab w:val="left" w:pos="1702"/>
          <w:tab w:val="num" w:pos="2269"/>
        </w:tabs>
        <w:ind w:left="1134" w:firstLine="567"/>
        <w:rPr>
          <w:rFonts w:eastAsia="Times New Roman"/>
          <w:b/>
          <w:i/>
          <w:color w:val="000000" w:themeColor="text1"/>
        </w:rPr>
      </w:pPr>
      <w:r w:rsidRPr="00BF288E">
        <w:rPr>
          <w:rFonts w:eastAsia="Times New Roman"/>
          <w:szCs w:val="28"/>
        </w:rPr>
        <w:t>(p)</w:t>
      </w:r>
      <w:r w:rsidRPr="00BF288E">
        <w:rPr>
          <w:rFonts w:eastAsia="Times New Roman"/>
          <w:szCs w:val="28"/>
        </w:rPr>
        <w:tab/>
      </w:r>
      <w:r w:rsidR="004673C0" w:rsidRPr="00BF288E">
        <w:t>New activities under the Medium-Term Strategy of the Adaptation Fund for 2018–2022, including the approval of large grants for innovation,</w:t>
      </w:r>
      <w:r w:rsidR="004673C0" w:rsidRPr="00BF288E" w:rsidDel="001C1706">
        <w:t xml:space="preserve"> </w:t>
      </w:r>
      <w:r w:rsidR="004673C0" w:rsidRPr="00BF288E">
        <w:t>a funding window for enhanced direct access and</w:t>
      </w:r>
      <w:r w:rsidR="004673C0" w:rsidRPr="00BF288E">
        <w:rPr>
          <w:iCs/>
          <w:szCs w:val="24"/>
        </w:rPr>
        <w:t xml:space="preserve"> guidance for implementing entities</w:t>
      </w:r>
      <w:r w:rsidR="004673C0" w:rsidRPr="00BF288E">
        <w:t>;</w:t>
      </w:r>
      <w:r w:rsidR="004673C0" w:rsidRPr="00BF288E" w:rsidDel="00031813">
        <w:rPr>
          <w:rFonts w:eastAsia="Times New Roman"/>
          <w:b/>
          <w:bCs/>
          <w:i/>
          <w:iCs/>
          <w:color w:val="000000" w:themeColor="text1"/>
        </w:rPr>
        <w:t xml:space="preserve"> </w:t>
      </w:r>
    </w:p>
    <w:p w14:paraId="3D9FEF58" w14:textId="2DACE768"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(q)</w:t>
      </w:r>
      <w:r w:rsidRPr="00BF288E">
        <w:rPr>
          <w:iCs/>
          <w:szCs w:val="28"/>
        </w:rPr>
        <w:tab/>
      </w:r>
      <w:r w:rsidR="004673C0" w:rsidRPr="00BF288E">
        <w:rPr>
          <w:iCs/>
          <w:szCs w:val="24"/>
        </w:rPr>
        <w:t xml:space="preserve">The launch of a virtual learning course on accessing project scale-up grants, the publication of knowledge </w:t>
      </w:r>
      <w:r w:rsidR="004673C0" w:rsidRPr="00BF288E">
        <w:t>products</w:t>
      </w:r>
      <w:r w:rsidR="004673C0" w:rsidRPr="00BF288E">
        <w:rPr>
          <w:iCs/>
          <w:szCs w:val="24"/>
        </w:rPr>
        <w:t xml:space="preserve"> on key emerging themes in relation to climate adaptation, including transboundary approaches and youth engagement, and the streamlining of the Adaptation Fund accreditation process; </w:t>
      </w:r>
    </w:p>
    <w:p w14:paraId="3BADE20E" w14:textId="65EC19F6" w:rsidR="004673C0" w:rsidRPr="00BF288E" w:rsidRDefault="00EA1E20" w:rsidP="00EA1E20">
      <w:pPr>
        <w:pStyle w:val="RegSingleTxtG2"/>
        <w:numPr>
          <w:ilvl w:val="0"/>
          <w:numId w:val="0"/>
        </w:numPr>
        <w:tabs>
          <w:tab w:val="left" w:pos="1702"/>
          <w:tab w:val="num" w:pos="2269"/>
        </w:tabs>
        <w:ind w:left="1134" w:firstLine="567"/>
        <w:rPr>
          <w:iCs/>
          <w:szCs w:val="24"/>
        </w:rPr>
      </w:pPr>
      <w:r w:rsidRPr="00BF288E">
        <w:rPr>
          <w:iCs/>
          <w:szCs w:val="28"/>
        </w:rPr>
        <w:t>(r)</w:t>
      </w:r>
      <w:r w:rsidRPr="00BF288E">
        <w:rPr>
          <w:iCs/>
          <w:szCs w:val="28"/>
        </w:rPr>
        <w:tab/>
      </w:r>
      <w:r w:rsidR="004673C0" w:rsidRPr="00BF288E">
        <w:t>The</w:t>
      </w:r>
      <w:r w:rsidR="004673C0" w:rsidRPr="00BF288E">
        <w:rPr>
          <w:iCs/>
          <w:szCs w:val="24"/>
        </w:rPr>
        <w:t xml:space="preserve"> organization of readiness events, held virtually, for accredited national implementing entities, including seminars, workshops and learning events on accessing Adaptation Fund grants, innovation, global accreditation and enhanced direct access, and a country exchange for South–South learning;</w:t>
      </w:r>
    </w:p>
    <w:p w14:paraId="18C5F9D2" w14:textId="1F965949" w:rsidR="004673C0" w:rsidRPr="00BF288E" w:rsidRDefault="00EA1E20" w:rsidP="00EA1E20">
      <w:pPr>
        <w:pStyle w:val="RegSingleTxtG2"/>
        <w:numPr>
          <w:ilvl w:val="0"/>
          <w:numId w:val="0"/>
        </w:numPr>
        <w:tabs>
          <w:tab w:val="left" w:pos="1702"/>
          <w:tab w:val="num" w:pos="2269"/>
        </w:tabs>
        <w:ind w:left="1134" w:firstLine="567"/>
      </w:pPr>
      <w:r w:rsidRPr="00BF288E">
        <w:rPr>
          <w:szCs w:val="28"/>
        </w:rPr>
        <w:t>(s)</w:t>
      </w:r>
      <w:r w:rsidRPr="00BF288E">
        <w:rPr>
          <w:szCs w:val="28"/>
        </w:rPr>
        <w:tab/>
      </w:r>
      <w:r w:rsidR="004673C0" w:rsidRPr="00BF288E">
        <w:rPr>
          <w:szCs w:val="24"/>
        </w:rPr>
        <w:t>The</w:t>
      </w:r>
      <w:r w:rsidR="004673C0" w:rsidRPr="00BF288E">
        <w:t xml:space="preserve"> approval of the 2022–2025 resource mobilization strategy</w:t>
      </w:r>
      <w:r w:rsidR="004673C0" w:rsidRPr="00BF288E">
        <w:rPr>
          <w:rStyle w:val="FootnoteReference"/>
        </w:rPr>
        <w:footnoteReference w:id="15"/>
      </w:r>
      <w:r w:rsidR="004673C0" w:rsidRPr="00BF288E">
        <w:t xml:space="preserve"> and the resource mobilization action plan of the Adaptation Fund;</w:t>
      </w:r>
      <w:r w:rsidR="004673C0" w:rsidRPr="00BF288E">
        <w:rPr>
          <w:rStyle w:val="FootnoteReference"/>
        </w:rPr>
        <w:footnoteReference w:id="16"/>
      </w:r>
    </w:p>
    <w:p w14:paraId="7E0DB2BE" w14:textId="18DE34A5" w:rsidR="004673C0" w:rsidRPr="00BF288E" w:rsidRDefault="00EA1E20" w:rsidP="00EA1E20">
      <w:pPr>
        <w:pStyle w:val="RegSingleTxtG2"/>
        <w:numPr>
          <w:ilvl w:val="0"/>
          <w:numId w:val="0"/>
        </w:numPr>
        <w:tabs>
          <w:tab w:val="left" w:pos="1702"/>
          <w:tab w:val="num" w:pos="2269"/>
        </w:tabs>
        <w:ind w:left="1134" w:firstLine="567"/>
      </w:pPr>
      <w:r w:rsidRPr="00BF288E">
        <w:rPr>
          <w:szCs w:val="28"/>
        </w:rPr>
        <w:t>(t)</w:t>
      </w:r>
      <w:r w:rsidRPr="00BF288E">
        <w:rPr>
          <w:szCs w:val="28"/>
        </w:rPr>
        <w:tab/>
      </w:r>
      <w:r w:rsidR="004673C0" w:rsidRPr="00BF288E">
        <w:t>The</w:t>
      </w:r>
      <w:r w:rsidR="004673C0" w:rsidRPr="00BF288E">
        <w:rPr>
          <w:iCs/>
          <w:szCs w:val="24"/>
        </w:rPr>
        <w:t xml:space="preserve"> approval of options for enhancing civil society participation and engagement in Adaptation </w:t>
      </w:r>
      <w:r w:rsidR="004673C0" w:rsidRPr="00BF288E">
        <w:t>Fund</w:t>
      </w:r>
      <w:r w:rsidR="004673C0" w:rsidRPr="00BF288E">
        <w:rPr>
          <w:iCs/>
          <w:szCs w:val="24"/>
        </w:rPr>
        <w:t xml:space="preserve"> work; </w:t>
      </w:r>
    </w:p>
    <w:p w14:paraId="6E8F31D6" w14:textId="23AF5861" w:rsidR="004673C0" w:rsidRPr="00BF288E" w:rsidRDefault="00EA1E20" w:rsidP="00EA1E20">
      <w:pPr>
        <w:pStyle w:val="RegSingleTxtG2"/>
        <w:numPr>
          <w:ilvl w:val="0"/>
          <w:numId w:val="0"/>
        </w:numPr>
        <w:tabs>
          <w:tab w:val="left" w:pos="1702"/>
          <w:tab w:val="num" w:pos="2269"/>
        </w:tabs>
        <w:ind w:left="1134" w:firstLine="567"/>
      </w:pPr>
      <w:r w:rsidRPr="00BF288E">
        <w:rPr>
          <w:szCs w:val="28"/>
        </w:rPr>
        <w:t>(u)</w:t>
      </w:r>
      <w:r w:rsidRPr="00BF288E">
        <w:rPr>
          <w:szCs w:val="28"/>
        </w:rPr>
        <w:tab/>
      </w:r>
      <w:r w:rsidR="004673C0" w:rsidRPr="00BF288E">
        <w:t xml:space="preserve">The approval of the </w:t>
      </w:r>
      <w:r w:rsidR="004673C0" w:rsidRPr="00BF288E" w:rsidDel="003552B0">
        <w:t>Adaptation Fund</w:t>
      </w:r>
      <w:r w:rsidR="004673C0" w:rsidRPr="00BF288E">
        <w:t xml:space="preserve"> evaluation policy,</w:t>
      </w:r>
      <w:r w:rsidR="004673C0" w:rsidRPr="00BF288E">
        <w:rPr>
          <w:rStyle w:val="FootnoteReference"/>
        </w:rPr>
        <w:footnoteReference w:id="17"/>
      </w:r>
      <w:r w:rsidR="004673C0" w:rsidRPr="00BF288E">
        <w:t xml:space="preserve"> which replaces the current evaluation framework; </w:t>
      </w:r>
    </w:p>
    <w:p w14:paraId="0677C0AD" w14:textId="01DA02F0" w:rsidR="004673C0" w:rsidRPr="00BF288E" w:rsidRDefault="00EA1E20" w:rsidP="00EA1E20">
      <w:pPr>
        <w:pStyle w:val="RegSingleTxtG2"/>
        <w:numPr>
          <w:ilvl w:val="0"/>
          <w:numId w:val="0"/>
        </w:numPr>
        <w:tabs>
          <w:tab w:val="left" w:pos="1702"/>
          <w:tab w:val="num" w:pos="2269"/>
        </w:tabs>
        <w:ind w:left="1134" w:firstLine="567"/>
      </w:pPr>
      <w:r w:rsidRPr="00BF288E">
        <w:rPr>
          <w:szCs w:val="28"/>
        </w:rPr>
        <w:t>(v)</w:t>
      </w:r>
      <w:r w:rsidRPr="00BF288E">
        <w:rPr>
          <w:szCs w:val="28"/>
        </w:rPr>
        <w:tab/>
      </w:r>
      <w:r w:rsidR="004673C0" w:rsidRPr="00BF288E">
        <w:t>The</w:t>
      </w:r>
      <w:r w:rsidR="004673C0" w:rsidRPr="00BF288E" w:rsidDel="00744055">
        <w:t xml:space="preserve"> </w:t>
      </w:r>
      <w:r w:rsidR="004673C0" w:rsidRPr="00BF288E">
        <w:t xml:space="preserve">application of the updated Adaptation Fund gender policy and action plan and the consideration of ways to advance gender equality and </w:t>
      </w:r>
      <w:r w:rsidR="004673C0" w:rsidRPr="00BF288E" w:rsidDel="00D73066">
        <w:t xml:space="preserve">the </w:t>
      </w:r>
      <w:r w:rsidR="004673C0" w:rsidRPr="00BF288E">
        <w:t>empower</w:t>
      </w:r>
      <w:r w:rsidR="004673C0" w:rsidRPr="00BF288E" w:rsidDel="00D73066">
        <w:t>ment of</w:t>
      </w:r>
      <w:r w:rsidR="004673C0" w:rsidRPr="00BF288E">
        <w:t xml:space="preserve"> women and girls in relation to addressing climate change; </w:t>
      </w:r>
    </w:p>
    <w:p w14:paraId="3B276FE9" w14:textId="56E748A0" w:rsidR="004673C0" w:rsidRPr="00BF288E" w:rsidRDefault="00EA1E20" w:rsidP="00EA1E20">
      <w:pPr>
        <w:pStyle w:val="RegSingleTxtG2"/>
        <w:numPr>
          <w:ilvl w:val="0"/>
          <w:numId w:val="0"/>
        </w:numPr>
        <w:tabs>
          <w:tab w:val="left" w:pos="1702"/>
          <w:tab w:val="num" w:pos="2269"/>
        </w:tabs>
        <w:ind w:left="1134" w:firstLine="567"/>
      </w:pPr>
      <w:r w:rsidRPr="00BF288E">
        <w:rPr>
          <w:szCs w:val="28"/>
        </w:rPr>
        <w:t>(w)</w:t>
      </w:r>
      <w:r w:rsidRPr="00BF288E">
        <w:rPr>
          <w:szCs w:val="28"/>
        </w:rPr>
        <w:tab/>
      </w:r>
      <w:r w:rsidR="004673C0" w:rsidRPr="00BF288E">
        <w:t>The approval by the Adaptation Fund Board of the amendments to the strategic priorities, policies and guidelines, and operational policies and guidelines of the Adaptation Fund;</w:t>
      </w:r>
      <w:r w:rsidR="004673C0" w:rsidRPr="00BF288E">
        <w:rPr>
          <w:rStyle w:val="FootnoteReference"/>
        </w:rPr>
        <w:footnoteReference w:id="18"/>
      </w:r>
    </w:p>
    <w:p w14:paraId="72FD06EC" w14:textId="2270A7EF" w:rsidR="004673C0" w:rsidRPr="00BF288E" w:rsidRDefault="00EA1E20" w:rsidP="00EA1E20">
      <w:pPr>
        <w:pStyle w:val="RegSingleTxtG2"/>
        <w:numPr>
          <w:ilvl w:val="0"/>
          <w:numId w:val="0"/>
        </w:numPr>
        <w:tabs>
          <w:tab w:val="left" w:pos="1702"/>
          <w:tab w:val="num" w:pos="2269"/>
        </w:tabs>
        <w:ind w:left="1134" w:firstLine="567"/>
      </w:pPr>
      <w:r w:rsidRPr="00BF288E">
        <w:rPr>
          <w:szCs w:val="28"/>
        </w:rPr>
        <w:t>(x)</w:t>
      </w:r>
      <w:r w:rsidRPr="00BF288E">
        <w:rPr>
          <w:szCs w:val="28"/>
        </w:rPr>
        <w:tab/>
      </w:r>
      <w:r w:rsidR="004673C0" w:rsidRPr="00BF288E">
        <w:t>The promotion of linkages of the Adaptation Fund with other UNFCCC bodies, such as the Adaptation Committee, the Climate Technology Centre and Network, the Global Environment Facility, the Green Climate Fund, the Paris Committee on Capacity-building and the Standing Committee on Finance, with the Adaptation Fund Board having progress</w:t>
      </w:r>
      <w:r w:rsidR="004673C0" w:rsidRPr="00BF288E" w:rsidDel="003570A0">
        <w:t>ed</w:t>
      </w:r>
      <w:r w:rsidR="004673C0" w:rsidRPr="00BF288E">
        <w:t xml:space="preserve"> in establishing linkages between the Adaptation Fund and the Green Climate Fund, including through a framework for promoting the scale-up of funded projects and the Community of Practice for Direct Access Entities; </w:t>
      </w:r>
    </w:p>
    <w:p w14:paraId="6FFF7E4C" w14:textId="38E0C84B" w:rsidR="004673C0" w:rsidRPr="00BF288E" w:rsidRDefault="00EA1E20" w:rsidP="00EA1E20">
      <w:pPr>
        <w:pStyle w:val="RegSingleTxtG2"/>
        <w:numPr>
          <w:ilvl w:val="0"/>
          <w:numId w:val="0"/>
        </w:numPr>
        <w:tabs>
          <w:tab w:val="left" w:pos="1702"/>
          <w:tab w:val="num" w:pos="2269"/>
        </w:tabs>
        <w:ind w:left="1134" w:firstLine="567"/>
        <w:rPr>
          <w:i/>
        </w:rPr>
      </w:pPr>
      <w:r w:rsidRPr="00BF288E">
        <w:rPr>
          <w:szCs w:val="28"/>
        </w:rPr>
        <w:t>(y)</w:t>
      </w:r>
      <w:r w:rsidRPr="00BF288E">
        <w:rPr>
          <w:szCs w:val="28"/>
        </w:rPr>
        <w:tab/>
      </w:r>
      <w:r w:rsidR="004673C0" w:rsidRPr="00BF288E">
        <w:t>The adoption of the Medium-Term Strategy of the Adaptation Fund for 2023–</w:t>
      </w:r>
      <w:r w:rsidR="00E37164" w:rsidRPr="00BF288E">
        <w:t>‍</w:t>
      </w:r>
      <w:r w:rsidR="004673C0" w:rsidRPr="00BF288E">
        <w:t>2027</w:t>
      </w:r>
      <w:bookmarkEnd w:id="20"/>
      <w:r w:rsidR="004673C0" w:rsidRPr="00BF288E">
        <w:t>;</w:t>
      </w:r>
    </w:p>
    <w:p w14:paraId="379D1F79" w14:textId="37DD1E51" w:rsidR="004673C0" w:rsidRPr="00BF288E" w:rsidRDefault="00EA1E20" w:rsidP="00EA1E20">
      <w:pPr>
        <w:pStyle w:val="RegSingleTxtG"/>
        <w:numPr>
          <w:ilvl w:val="0"/>
          <w:numId w:val="0"/>
        </w:numPr>
        <w:tabs>
          <w:tab w:val="left" w:pos="568"/>
        </w:tabs>
        <w:ind w:left="1134"/>
      </w:pPr>
      <w:r w:rsidRPr="00BF288E">
        <w:t>3.</w:t>
      </w:r>
      <w:r w:rsidRPr="00BF288E">
        <w:tab/>
      </w:r>
      <w:r w:rsidR="004673C0" w:rsidRPr="00BF288E">
        <w:rPr>
          <w:i/>
          <w:iCs/>
        </w:rPr>
        <w:t xml:space="preserve">Welcomes </w:t>
      </w:r>
      <w:r w:rsidR="004673C0" w:rsidRPr="00BF288E">
        <w:t>the financial pledges to the Adaptation Fund made by the Governments of Austria, France, Germany, Iceland, Ireland, Japan, New Zealand, Norway, Portugal, Republic of Korea, Spain, Sweden, Switzerland and the United States of America, as well as the government of the Walloon Region of Belgium and the provincial government of Quebec, equivalent to USD 211.58 million;</w:t>
      </w:r>
    </w:p>
    <w:p w14:paraId="21CD3429" w14:textId="7E5FAF83" w:rsidR="004673C0" w:rsidRPr="00BF288E" w:rsidRDefault="00EA1E20" w:rsidP="00EA1E20">
      <w:pPr>
        <w:pStyle w:val="RegSingleTxtG"/>
        <w:numPr>
          <w:ilvl w:val="0"/>
          <w:numId w:val="0"/>
        </w:numPr>
        <w:tabs>
          <w:tab w:val="left" w:pos="568"/>
        </w:tabs>
        <w:ind w:left="1134"/>
      </w:pPr>
      <w:r w:rsidRPr="00BF288E">
        <w:t>4.</w:t>
      </w:r>
      <w:r w:rsidRPr="00BF288E">
        <w:tab/>
      </w:r>
      <w:r w:rsidR="004673C0" w:rsidRPr="00BF288E">
        <w:rPr>
          <w:i/>
          <w:iCs/>
        </w:rPr>
        <w:t>Stresses</w:t>
      </w:r>
      <w:r w:rsidR="004673C0" w:rsidRPr="00BF288E">
        <w:t xml:space="preserve"> the urgency of enhancing ambition and action in relation to adaptation and adaptation finance in this critical decade;</w:t>
      </w:r>
    </w:p>
    <w:p w14:paraId="5856BC25" w14:textId="387F1544" w:rsidR="004673C0" w:rsidRPr="00BF288E" w:rsidRDefault="00EA1E20" w:rsidP="00EA1E20">
      <w:pPr>
        <w:pStyle w:val="RegSingleTxtG"/>
        <w:numPr>
          <w:ilvl w:val="0"/>
          <w:numId w:val="0"/>
        </w:numPr>
        <w:tabs>
          <w:tab w:val="left" w:pos="568"/>
        </w:tabs>
        <w:ind w:left="1134"/>
      </w:pPr>
      <w:r w:rsidRPr="00BF288E">
        <w:t>5.</w:t>
      </w:r>
      <w:r w:rsidRPr="00BF288E">
        <w:tab/>
      </w:r>
      <w:r w:rsidR="004673C0" w:rsidRPr="00BF288E">
        <w:rPr>
          <w:i/>
          <w:iCs/>
        </w:rPr>
        <w:t>Notes</w:t>
      </w:r>
      <w:r w:rsidR="004673C0" w:rsidRPr="00BF288E">
        <w:t xml:space="preserve"> the outstanding pledged contributions to the Adaptation Fund and </w:t>
      </w:r>
      <w:r w:rsidR="004673C0" w:rsidRPr="00BF288E">
        <w:rPr>
          <w:i/>
          <w:iCs/>
        </w:rPr>
        <w:t>urges</w:t>
      </w:r>
      <w:r w:rsidR="004673C0" w:rsidRPr="00BF288E">
        <w:t xml:space="preserve"> Parties to fulfil their pledges as soon as possible;</w:t>
      </w:r>
    </w:p>
    <w:p w14:paraId="127CBA93" w14:textId="1DF76F8C" w:rsidR="004673C0" w:rsidRPr="00BF288E" w:rsidRDefault="00EA1E20" w:rsidP="00EA1E20">
      <w:pPr>
        <w:pStyle w:val="RegSingleTxtG"/>
        <w:numPr>
          <w:ilvl w:val="0"/>
          <w:numId w:val="0"/>
        </w:numPr>
        <w:tabs>
          <w:tab w:val="left" w:pos="568"/>
        </w:tabs>
        <w:ind w:left="1134"/>
        <w:rPr>
          <w:i/>
          <w:iCs/>
        </w:rPr>
      </w:pPr>
      <w:r w:rsidRPr="00BF288E">
        <w:rPr>
          <w:iCs/>
        </w:rPr>
        <w:t>6.</w:t>
      </w:r>
      <w:r w:rsidRPr="00BF288E">
        <w:rPr>
          <w:iCs/>
        </w:rPr>
        <w:tab/>
      </w:r>
      <w:r w:rsidR="004673C0" w:rsidRPr="00BF288E">
        <w:rPr>
          <w:i/>
          <w:iCs/>
        </w:rPr>
        <w:t>Encourages</w:t>
      </w:r>
      <w:r w:rsidR="004673C0" w:rsidRPr="00BF288E">
        <w:t xml:space="preserve"> continued and increased voluntary contributions of financial resources to the Adaptation Fund in line with the 2022–2025 resource mobilization strategy of the Fund; </w:t>
      </w:r>
    </w:p>
    <w:p w14:paraId="560E58CA" w14:textId="3F619755" w:rsidR="004673C0" w:rsidRPr="00BF288E" w:rsidRDefault="00EA1E20" w:rsidP="00EA1E20">
      <w:pPr>
        <w:pStyle w:val="RegSingleTxtG"/>
        <w:numPr>
          <w:ilvl w:val="0"/>
          <w:numId w:val="0"/>
        </w:numPr>
        <w:tabs>
          <w:tab w:val="left" w:pos="568"/>
        </w:tabs>
        <w:ind w:left="1134"/>
      </w:pPr>
      <w:bookmarkStart w:id="22" w:name="_Hlk119321329"/>
      <w:r w:rsidRPr="00BF288E">
        <w:t>7.</w:t>
      </w:r>
      <w:r w:rsidRPr="00BF288E">
        <w:tab/>
      </w:r>
      <w:r w:rsidR="004673C0" w:rsidRPr="00BF288E">
        <w:rPr>
          <w:i/>
        </w:rPr>
        <w:t>Recalls</w:t>
      </w:r>
      <w:r w:rsidR="004673C0" w:rsidRPr="00BF288E">
        <w:rPr>
          <w:i/>
          <w:iCs/>
        </w:rPr>
        <w:t xml:space="preserve"> </w:t>
      </w:r>
      <w:r w:rsidR="004673C0" w:rsidRPr="00BF288E">
        <w:t>the invitation of the Conference of the Parties serving as the meeting of the Parties to the Paris Agreement</w:t>
      </w:r>
      <w:r w:rsidR="004673C0" w:rsidRPr="00BF288E">
        <w:rPr>
          <w:rStyle w:val="FootnoteReference"/>
        </w:rPr>
        <w:footnoteReference w:id="19"/>
      </w:r>
      <w:r w:rsidR="004673C0" w:rsidRPr="00BF288E">
        <w:t xml:space="preserve"> to developed country Parties to consider multi-annual pledges to the Fund</w:t>
      </w:r>
      <w:bookmarkEnd w:id="22"/>
      <w:r w:rsidR="004673C0" w:rsidRPr="00BF288E">
        <w:t xml:space="preserve">; </w:t>
      </w:r>
    </w:p>
    <w:p w14:paraId="7F7130D8" w14:textId="4F886A44" w:rsidR="004673C0" w:rsidRPr="00BF288E" w:rsidRDefault="00EA1E20" w:rsidP="00EA1E20">
      <w:pPr>
        <w:pStyle w:val="RegSingleTxtG"/>
        <w:numPr>
          <w:ilvl w:val="0"/>
          <w:numId w:val="0"/>
        </w:numPr>
        <w:tabs>
          <w:tab w:val="left" w:pos="568"/>
        </w:tabs>
        <w:ind w:left="1134"/>
      </w:pPr>
      <w:r w:rsidRPr="00BF288E">
        <w:t>8.</w:t>
      </w:r>
      <w:r w:rsidRPr="00BF288E">
        <w:tab/>
      </w:r>
      <w:r w:rsidR="004673C0" w:rsidRPr="00BF288E">
        <w:rPr>
          <w:i/>
          <w:iCs/>
        </w:rPr>
        <w:t xml:space="preserve">Underscores </w:t>
      </w:r>
      <w:r w:rsidR="004673C0" w:rsidRPr="00BF288E">
        <w:t>the urgency of scaling up financial resources, including the provision of voluntary support, that are additional to the share of proceeds levied on certified emission reductions in order to support the resource mobilization efforts of the Adaptation Fund Board with a view to strengthening the Adaptation Fund;</w:t>
      </w:r>
    </w:p>
    <w:p w14:paraId="346BCB27" w14:textId="6D2F6D7E" w:rsidR="004673C0" w:rsidRPr="00BF288E" w:rsidRDefault="00EA1E20" w:rsidP="00EA1E20">
      <w:pPr>
        <w:pStyle w:val="RegSingleTxtG"/>
        <w:numPr>
          <w:ilvl w:val="0"/>
          <w:numId w:val="0"/>
        </w:numPr>
        <w:tabs>
          <w:tab w:val="left" w:pos="568"/>
        </w:tabs>
        <w:ind w:left="1134"/>
      </w:pPr>
      <w:r w:rsidRPr="00BF288E">
        <w:t>9.</w:t>
      </w:r>
      <w:r w:rsidRPr="00BF288E">
        <w:tab/>
      </w:r>
      <w:r w:rsidR="004673C0" w:rsidRPr="00BF288E">
        <w:rPr>
          <w:i/>
          <w:iCs/>
        </w:rPr>
        <w:t xml:space="preserve">Emphasizes </w:t>
      </w:r>
      <w:r w:rsidR="004673C0" w:rsidRPr="00BF288E">
        <w:t>the importance of continuing to take actions to promote the adequacy and predictability of adaptation finance, taking into account the role of the Adaptation Fund in delivering dedicated support for adaptation;</w:t>
      </w:r>
    </w:p>
    <w:p w14:paraId="265D543D" w14:textId="0A8A0D5D" w:rsidR="004673C0" w:rsidRPr="00BF288E" w:rsidRDefault="00EA1E20" w:rsidP="00EA1E20">
      <w:pPr>
        <w:pStyle w:val="RegSingleTxtG"/>
        <w:numPr>
          <w:ilvl w:val="0"/>
          <w:numId w:val="0"/>
        </w:numPr>
        <w:tabs>
          <w:tab w:val="left" w:pos="568"/>
        </w:tabs>
        <w:ind w:left="1134"/>
      </w:pPr>
      <w:r w:rsidRPr="00BF288E">
        <w:t>10.</w:t>
      </w:r>
      <w:r w:rsidRPr="00BF288E">
        <w:tab/>
      </w:r>
      <w:r w:rsidR="004673C0" w:rsidRPr="00BF288E">
        <w:rPr>
          <w:i/>
          <w:iCs/>
        </w:rPr>
        <w:t>Notes with appreciation</w:t>
      </w:r>
      <w:r w:rsidR="004673C0" w:rsidRPr="00BF288E">
        <w:t xml:space="preserve"> the work of the Adaptation Fund Board on adopting the amended operational policies and guidelines</w:t>
      </w:r>
      <w:r w:rsidR="004673C0" w:rsidRPr="00BF288E">
        <w:rPr>
          <w:rStyle w:val="FootnoteReference"/>
        </w:rPr>
        <w:footnoteReference w:id="20"/>
      </w:r>
      <w:r w:rsidR="004673C0" w:rsidRPr="00BF288E">
        <w:t xml:space="preserve"> for developing country Parties to access resources from the Adaptation Fund and </w:t>
      </w:r>
      <w:r w:rsidR="004673C0" w:rsidRPr="00BF288E">
        <w:rPr>
          <w:i/>
          <w:iCs/>
        </w:rPr>
        <w:t>adopts</w:t>
      </w:r>
      <w:r w:rsidR="004673C0" w:rsidRPr="00BF288E">
        <w:t xml:space="preserve"> the amended strategic priorities, policies and guidelines of the Adaptation Fund;</w:t>
      </w:r>
      <w:r w:rsidR="004673C0" w:rsidRPr="00BF288E">
        <w:rPr>
          <w:rStyle w:val="FootnoteReference"/>
        </w:rPr>
        <w:footnoteReference w:id="21"/>
      </w:r>
    </w:p>
    <w:p w14:paraId="65755D0F" w14:textId="71454C39" w:rsidR="004673C0" w:rsidRPr="00BF288E" w:rsidRDefault="00EA1E20" w:rsidP="00EA1E20">
      <w:pPr>
        <w:pStyle w:val="RegSingleTxtG"/>
        <w:numPr>
          <w:ilvl w:val="0"/>
          <w:numId w:val="0"/>
        </w:numPr>
        <w:tabs>
          <w:tab w:val="left" w:pos="568"/>
        </w:tabs>
        <w:ind w:left="1134"/>
      </w:pPr>
      <w:r w:rsidRPr="00BF288E">
        <w:t>11.</w:t>
      </w:r>
      <w:r w:rsidRPr="00BF288E">
        <w:tab/>
      </w:r>
      <w:r w:rsidR="004673C0" w:rsidRPr="00BF288E">
        <w:rPr>
          <w:i/>
          <w:iCs/>
        </w:rPr>
        <w:t xml:space="preserve">Requests </w:t>
      </w:r>
      <w:r w:rsidR="004673C0" w:rsidRPr="00BF288E">
        <w:t>the Adaptation Fund Board to consider, in line with its mandate and decision 1/CMP.3, providing support for country-driven adaptation projects and programmes in developing countries with a view to assisting them in enhancing implementation of their national adaptation plans and other voluntary adaptation planning processes;</w:t>
      </w:r>
    </w:p>
    <w:p w14:paraId="627FEB6D" w14:textId="02C5972D" w:rsidR="004673C0" w:rsidRPr="00BF288E" w:rsidRDefault="00EA1E20" w:rsidP="00EA1E20">
      <w:pPr>
        <w:pStyle w:val="RegSingleTxtG"/>
        <w:numPr>
          <w:ilvl w:val="0"/>
          <w:numId w:val="0"/>
        </w:numPr>
        <w:ind w:left="1134"/>
      </w:pPr>
      <w:r w:rsidRPr="00BF288E">
        <w:t>12.</w:t>
      </w:r>
      <w:r w:rsidRPr="00BF288E">
        <w:tab/>
      </w:r>
      <w:r w:rsidR="004673C0" w:rsidRPr="00BF288E">
        <w:rPr>
          <w:i/>
          <w:iCs/>
        </w:rPr>
        <w:t>Takes note</w:t>
      </w:r>
      <w:r w:rsidR="004673C0" w:rsidRPr="00BF288E">
        <w:t xml:space="preserve"> of the Board’s work on complementarity and coherence with other multilateral climate funds with respect to accreditation and other areas of operations and </w:t>
      </w:r>
      <w:r w:rsidR="004673C0" w:rsidRPr="00BF288E">
        <w:rPr>
          <w:i/>
          <w:iCs/>
        </w:rPr>
        <w:t>encourages</w:t>
      </w:r>
      <w:r w:rsidR="004673C0" w:rsidRPr="00BF288E">
        <w:t xml:space="preserve"> the Board to continue this work to streamline access modalities for project approval and the interoperability of reporting requirements, as appropriate;</w:t>
      </w:r>
    </w:p>
    <w:p w14:paraId="6077B2C6" w14:textId="7256B0B2" w:rsidR="004673C0" w:rsidRPr="00BF288E" w:rsidRDefault="00EA1E20" w:rsidP="00EA1E20">
      <w:pPr>
        <w:pStyle w:val="RegSingleTxtG"/>
        <w:numPr>
          <w:ilvl w:val="0"/>
          <w:numId w:val="0"/>
        </w:numPr>
        <w:tabs>
          <w:tab w:val="left" w:pos="568"/>
        </w:tabs>
        <w:ind w:left="1134"/>
      </w:pPr>
      <w:r w:rsidRPr="00BF288E">
        <w:t>13.</w:t>
      </w:r>
      <w:r w:rsidRPr="00BF288E">
        <w:tab/>
      </w:r>
      <w:r w:rsidR="004673C0" w:rsidRPr="00BF288E">
        <w:rPr>
          <w:i/>
          <w:iCs/>
        </w:rPr>
        <w:t xml:space="preserve">Requests </w:t>
      </w:r>
      <w:r w:rsidR="004673C0" w:rsidRPr="00BF288E">
        <w:t>the Board to adopt a policy on safeguarding against sexual exploitation and abuse and sexual harassment.</w:t>
      </w:r>
    </w:p>
    <w:p w14:paraId="517C3EE2" w14:textId="77777777" w:rsidR="0063432A" w:rsidRPr="00BF288E" w:rsidRDefault="0063432A" w:rsidP="00831D97">
      <w:pPr>
        <w:ind w:right="1133"/>
        <w:jc w:val="right"/>
        <w:rPr>
          <w:i/>
        </w:rPr>
      </w:pPr>
      <w:r w:rsidRPr="00BF288E">
        <w:rPr>
          <w:i/>
        </w:rPr>
        <w:t>10</w:t>
      </w:r>
      <w:r w:rsidRPr="00BF288E">
        <w:rPr>
          <w:i/>
          <w:vertAlign w:val="superscript"/>
        </w:rPr>
        <w:t>th</w:t>
      </w:r>
      <w:r w:rsidRPr="00BF288E">
        <w:rPr>
          <w:i/>
        </w:rPr>
        <w:t xml:space="preserve"> plenary meeting</w:t>
      </w:r>
    </w:p>
    <w:p w14:paraId="26853F4B" w14:textId="77777777" w:rsidR="0063432A" w:rsidRPr="00BF288E" w:rsidRDefault="0063432A" w:rsidP="00831D97">
      <w:pPr>
        <w:ind w:right="1133"/>
        <w:jc w:val="right"/>
        <w:rPr>
          <w:i/>
        </w:rPr>
      </w:pPr>
      <w:r w:rsidRPr="00BF288E">
        <w:rPr>
          <w:i/>
        </w:rPr>
        <w:t>20 November 2022</w:t>
      </w:r>
    </w:p>
    <w:p w14:paraId="4B94BFBB" w14:textId="3DD222F3" w:rsidR="003D419A" w:rsidRPr="00BF288E" w:rsidRDefault="003D419A" w:rsidP="003D419A">
      <w:pPr>
        <w:pStyle w:val="RegSingleTxtG"/>
        <w:numPr>
          <w:ilvl w:val="0"/>
          <w:numId w:val="0"/>
        </w:numPr>
        <w:ind w:left="1134"/>
        <w:rPr>
          <w:i/>
          <w:iCs/>
        </w:rPr>
      </w:pPr>
    </w:p>
    <w:p w14:paraId="628E849E" w14:textId="77777777" w:rsidR="00A274C0" w:rsidRPr="00BF288E" w:rsidRDefault="00A274C0" w:rsidP="003D419A">
      <w:pPr>
        <w:pStyle w:val="RegSingleTxtG"/>
        <w:numPr>
          <w:ilvl w:val="0"/>
          <w:numId w:val="0"/>
        </w:numPr>
        <w:ind w:left="1134"/>
        <w:sectPr w:rsidR="00A274C0" w:rsidRPr="00BF288E" w:rsidSect="00310DE3">
          <w:headerReference w:type="even" r:id="rId26"/>
          <w:headerReference w:type="default" r:id="rId27"/>
          <w:footerReference w:type="even" r:id="rId28"/>
          <w:footerReference w:type="default" r:id="rId29"/>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4FF2AB3C" w14:textId="1D924F8D" w:rsidR="00BF290E" w:rsidRPr="00BF288E" w:rsidRDefault="00BF290E" w:rsidP="00EA1E20">
      <w:pPr>
        <w:pStyle w:val="RegHChG"/>
        <w:numPr>
          <w:ilvl w:val="0"/>
          <w:numId w:val="0"/>
        </w:numPr>
        <w:ind w:left="1135" w:hanging="454"/>
      </w:pPr>
      <w:bookmarkStart w:id="23" w:name="Decision_5"/>
      <w:r w:rsidRPr="00BF288E">
        <w:t xml:space="preserve">Decision </w:t>
      </w:r>
      <w:r w:rsidR="00C81ACD" w:rsidRPr="00BF288E">
        <w:t>5</w:t>
      </w:r>
      <w:r w:rsidRPr="00BF288E">
        <w:t>/CMP.17</w:t>
      </w:r>
      <w:bookmarkEnd w:id="23"/>
    </w:p>
    <w:p w14:paraId="2BA00F10" w14:textId="46F94D84" w:rsidR="00BF290E" w:rsidRPr="00BF288E" w:rsidRDefault="00BF290E" w:rsidP="00EA1E20">
      <w:pPr>
        <w:pStyle w:val="RegHChG"/>
        <w:numPr>
          <w:ilvl w:val="0"/>
          <w:numId w:val="0"/>
        </w:numPr>
        <w:ind w:left="1135" w:hanging="454"/>
      </w:pPr>
      <w:r w:rsidRPr="00BF288E">
        <w:t>Fourth review of the Adaptation Fund</w:t>
      </w:r>
    </w:p>
    <w:p w14:paraId="366EB2BA" w14:textId="77777777" w:rsidR="00BF290E" w:rsidRPr="00BF288E" w:rsidRDefault="00BF290E" w:rsidP="00BF290E">
      <w:pPr>
        <w:pStyle w:val="RegSingleTxtG"/>
        <w:numPr>
          <w:ilvl w:val="0"/>
          <w:numId w:val="0"/>
        </w:numPr>
        <w:ind w:left="1134"/>
      </w:pPr>
      <w:r w:rsidRPr="00BF288E">
        <w:tab/>
      </w:r>
      <w:r w:rsidRPr="00BF288E">
        <w:rPr>
          <w:i/>
          <w:iCs/>
        </w:rPr>
        <w:t>The Conference of the Parties serving as the meeting of the Parties to the Kyoto Protocol</w:t>
      </w:r>
      <w:r w:rsidRPr="00BF288E">
        <w:t>,</w:t>
      </w:r>
    </w:p>
    <w:p w14:paraId="4FCB6236" w14:textId="24EC0233" w:rsidR="00BF290E" w:rsidRPr="00BF288E" w:rsidRDefault="00BF290E" w:rsidP="00BF290E">
      <w:pPr>
        <w:pStyle w:val="RegSingleTxtG"/>
        <w:numPr>
          <w:ilvl w:val="0"/>
          <w:numId w:val="0"/>
        </w:numPr>
        <w:ind w:left="1134"/>
        <w:rPr>
          <w:b/>
          <w:bCs/>
        </w:rPr>
      </w:pPr>
      <w:r w:rsidRPr="00BF288E">
        <w:tab/>
      </w:r>
      <w:r w:rsidRPr="00BF288E">
        <w:rPr>
          <w:i/>
          <w:iCs/>
        </w:rPr>
        <w:t>Recalling</w:t>
      </w:r>
      <w:r w:rsidRPr="00BF288E">
        <w:t xml:space="preserve"> decisions 1/CMP.8, 2/CMP.13 and 4/CMP.16,</w:t>
      </w:r>
    </w:p>
    <w:p w14:paraId="488386E3" w14:textId="77777777" w:rsidR="00BF290E" w:rsidRPr="00BF288E" w:rsidRDefault="00BF290E" w:rsidP="00BF290E">
      <w:pPr>
        <w:pStyle w:val="RegSingleTxtG"/>
        <w:numPr>
          <w:ilvl w:val="0"/>
          <w:numId w:val="0"/>
        </w:numPr>
        <w:ind w:left="1134"/>
      </w:pPr>
      <w:r w:rsidRPr="00BF288E">
        <w:rPr>
          <w:i/>
          <w:iCs/>
        </w:rPr>
        <w:tab/>
      </w:r>
      <w:r w:rsidRPr="00BF288E">
        <w:rPr>
          <w:i/>
          <w:iCs/>
        </w:rPr>
        <w:tab/>
        <w:t xml:space="preserve">Reiterating </w:t>
      </w:r>
      <w:r w:rsidRPr="00BF288E">
        <w:t>the crucial importance of the Adaptation Fund as an essential channel for supporting adaptation action and a pioneer of direct access to adaptation finance, together with its focus on funding the full costs of concrete adaptation projects and programmes in developing countries,</w:t>
      </w:r>
    </w:p>
    <w:p w14:paraId="78DA8110" w14:textId="77777777" w:rsidR="00BF290E" w:rsidRPr="00BF288E" w:rsidRDefault="00BF290E" w:rsidP="00BF290E">
      <w:pPr>
        <w:pStyle w:val="RegSingleTxtG"/>
        <w:numPr>
          <w:ilvl w:val="0"/>
          <w:numId w:val="0"/>
        </w:numPr>
        <w:ind w:left="1134"/>
      </w:pPr>
      <w:r w:rsidRPr="00BF288E">
        <w:rPr>
          <w:i/>
          <w:iCs/>
        </w:rPr>
        <w:tab/>
        <w:t xml:space="preserve">Noting with concern </w:t>
      </w:r>
      <w:r w:rsidRPr="00BF288E">
        <w:t>the continued issues related to the sustainability, adequacy and predictability of funding from the Adaptation Fund, given the current prices of certified emission reductions, which affect its ability to fulfil its mandate,</w:t>
      </w:r>
    </w:p>
    <w:p w14:paraId="71963167" w14:textId="77777777" w:rsidR="00BF290E" w:rsidRPr="00BF288E" w:rsidRDefault="00BF290E" w:rsidP="00BF290E">
      <w:pPr>
        <w:pStyle w:val="RegSingleTxtG"/>
        <w:numPr>
          <w:ilvl w:val="0"/>
          <w:numId w:val="0"/>
        </w:numPr>
        <w:ind w:left="1134"/>
        <w:rPr>
          <w:i/>
          <w:iCs/>
        </w:rPr>
      </w:pPr>
      <w:r w:rsidRPr="00BF288E">
        <w:rPr>
          <w:i/>
          <w:iCs/>
        </w:rPr>
        <w:tab/>
        <w:t xml:space="preserve">Noting </w:t>
      </w:r>
      <w:r w:rsidRPr="00BF288E">
        <w:t xml:space="preserve">the importance of the full operationalization of Article 6 of the Paris Agreement in the context of scaling up the mobilization of Adaptation Fund resources, </w:t>
      </w:r>
    </w:p>
    <w:p w14:paraId="29F24085" w14:textId="7BEA9B59" w:rsidR="00BF290E" w:rsidRPr="00BF288E" w:rsidRDefault="00EA1E20" w:rsidP="00EA1E20">
      <w:pPr>
        <w:pStyle w:val="RegSingleTxtG"/>
        <w:numPr>
          <w:ilvl w:val="0"/>
          <w:numId w:val="0"/>
        </w:numPr>
        <w:ind w:left="1134"/>
      </w:pPr>
      <w:r w:rsidRPr="00BF288E">
        <w:t>1.</w:t>
      </w:r>
      <w:r w:rsidRPr="00BF288E">
        <w:tab/>
      </w:r>
      <w:r w:rsidR="00BF290E" w:rsidRPr="00BF288E">
        <w:rPr>
          <w:i/>
          <w:iCs/>
        </w:rPr>
        <w:t>Takes note</w:t>
      </w:r>
      <w:r w:rsidR="00BF290E" w:rsidRPr="00BF288E">
        <w:t xml:space="preserve"> of the technical paper on the fourth review (covering 2018–2021) of the Adaptation Fund,</w:t>
      </w:r>
      <w:r w:rsidR="00BF290E" w:rsidRPr="00BF288E">
        <w:rPr>
          <w:rStyle w:val="FootnoteReference"/>
        </w:rPr>
        <w:footnoteReference w:id="22"/>
      </w:r>
      <w:r w:rsidR="00BF290E" w:rsidRPr="00BF288E">
        <w:t xml:space="preserve"> which was prepared on the basis of the terms of reference for the review;</w:t>
      </w:r>
      <w:r w:rsidR="00BF290E" w:rsidRPr="00BF288E">
        <w:rPr>
          <w:rStyle w:val="FootnoteReference"/>
        </w:rPr>
        <w:footnoteReference w:id="23"/>
      </w:r>
      <w:r w:rsidR="00BF290E" w:rsidRPr="00BF288E">
        <w:t xml:space="preserve"> </w:t>
      </w:r>
    </w:p>
    <w:p w14:paraId="4DA1EAC8" w14:textId="21B01A38" w:rsidR="00BF290E" w:rsidRPr="00BF288E" w:rsidRDefault="00EA1E20" w:rsidP="00EA1E20">
      <w:pPr>
        <w:pStyle w:val="RegSingleTxtG"/>
        <w:numPr>
          <w:ilvl w:val="0"/>
          <w:numId w:val="0"/>
        </w:numPr>
        <w:tabs>
          <w:tab w:val="left" w:pos="568"/>
        </w:tabs>
        <w:ind w:left="1134"/>
        <w:rPr>
          <w:i/>
          <w:iCs/>
        </w:rPr>
      </w:pPr>
      <w:r w:rsidRPr="00BF288E">
        <w:rPr>
          <w:iCs/>
        </w:rPr>
        <w:t>2.</w:t>
      </w:r>
      <w:r w:rsidRPr="00BF288E">
        <w:rPr>
          <w:iCs/>
        </w:rPr>
        <w:tab/>
      </w:r>
      <w:r w:rsidR="00BF290E" w:rsidRPr="00BF288E">
        <w:rPr>
          <w:i/>
          <w:iCs/>
        </w:rPr>
        <w:t>Welcomes</w:t>
      </w:r>
      <w:r w:rsidR="00BF290E" w:rsidRPr="00BF288E">
        <w:t xml:space="preserve"> the positive results and performance of the Adaptation Fund, including its relevance, efficiency and effectiveness;</w:t>
      </w:r>
    </w:p>
    <w:p w14:paraId="57B8EAE6" w14:textId="1A614C12" w:rsidR="00BF290E" w:rsidRPr="00BF288E" w:rsidRDefault="00EA1E20" w:rsidP="00EA1E20">
      <w:pPr>
        <w:pStyle w:val="RegSingleTxtG"/>
        <w:numPr>
          <w:ilvl w:val="0"/>
          <w:numId w:val="0"/>
        </w:numPr>
        <w:tabs>
          <w:tab w:val="left" w:pos="568"/>
        </w:tabs>
        <w:ind w:left="1134"/>
      </w:pPr>
      <w:r w:rsidRPr="00BF288E">
        <w:t>3.</w:t>
      </w:r>
      <w:r w:rsidRPr="00BF288E">
        <w:tab/>
      </w:r>
      <w:r w:rsidR="00BF290E" w:rsidRPr="00BF288E">
        <w:rPr>
          <w:i/>
          <w:iCs/>
        </w:rPr>
        <w:t>Recognizes</w:t>
      </w:r>
      <w:r w:rsidR="00BF290E" w:rsidRPr="00BF288E">
        <w:t xml:space="preserve"> the comparative advantages of the Adaptation Fund, including the speed of project approval, strategic engagement of stakeholders at the subnational level, various institutional benefits, efficiency of institutional arrangements, enhancement of country ownership in the funding process, direct and regional access modalities and readiness programmes;</w:t>
      </w:r>
    </w:p>
    <w:p w14:paraId="6C185723" w14:textId="4C2DF6C9" w:rsidR="00BF290E" w:rsidRPr="00BF288E" w:rsidRDefault="00EA1E20" w:rsidP="00EA1E20">
      <w:pPr>
        <w:pStyle w:val="RegSingleTxtG"/>
        <w:numPr>
          <w:ilvl w:val="0"/>
          <w:numId w:val="0"/>
        </w:numPr>
        <w:tabs>
          <w:tab w:val="left" w:pos="568"/>
        </w:tabs>
        <w:ind w:left="1134"/>
      </w:pPr>
      <w:r w:rsidRPr="00BF288E">
        <w:t>4.</w:t>
      </w:r>
      <w:r w:rsidRPr="00BF288E">
        <w:tab/>
      </w:r>
      <w:r w:rsidR="00BF290E" w:rsidRPr="00BF288E">
        <w:rPr>
          <w:i/>
          <w:iCs/>
        </w:rPr>
        <w:t>Also recognizes</w:t>
      </w:r>
      <w:r w:rsidR="00BF290E" w:rsidRPr="00BF288E">
        <w:t xml:space="preserve"> the lessons learned and progress made since the third review of the Adaptation Fund, including the launch of new funding windows,</w:t>
      </w:r>
      <w:r w:rsidR="00BF290E" w:rsidRPr="00BF288E">
        <w:rPr>
          <w:rStyle w:val="FootnoteReference"/>
        </w:rPr>
        <w:footnoteReference w:id="24"/>
      </w:r>
      <w:r w:rsidR="00BF290E" w:rsidRPr="00BF288E">
        <w:t xml:space="preserve"> the growth of the Fund’s project portfolio and the update of the Fund’s gender and evaluation policies, while acknowledging opportunities for improvement with regard to, inter alia, instruments, financial windows and knowledge management;</w:t>
      </w:r>
    </w:p>
    <w:p w14:paraId="7CD3D4E5" w14:textId="6C4FCB0F" w:rsidR="00BF290E" w:rsidRPr="00BF288E" w:rsidRDefault="00EA1E20" w:rsidP="00EA1E20">
      <w:pPr>
        <w:pStyle w:val="RegSingleTxtG"/>
        <w:numPr>
          <w:ilvl w:val="0"/>
          <w:numId w:val="0"/>
        </w:numPr>
        <w:tabs>
          <w:tab w:val="left" w:pos="568"/>
        </w:tabs>
        <w:ind w:left="1134"/>
      </w:pPr>
      <w:r w:rsidRPr="00BF288E">
        <w:t>5.</w:t>
      </w:r>
      <w:r w:rsidRPr="00BF288E">
        <w:tab/>
      </w:r>
      <w:r w:rsidR="00BF290E" w:rsidRPr="00BF288E">
        <w:rPr>
          <w:i/>
          <w:iCs/>
        </w:rPr>
        <w:t>Encourages</w:t>
      </w:r>
      <w:r w:rsidR="00BF290E" w:rsidRPr="00BF288E">
        <w:t xml:space="preserve"> the Adaptation Fund to strengthen ongoing efforts related to promoting resilience measures, improving policies and regulation, innovation, and development and diffusion of innovative adaptation practices, tools and technologies;</w:t>
      </w:r>
    </w:p>
    <w:p w14:paraId="659B46B5" w14:textId="1A0FD44A" w:rsidR="00BF290E" w:rsidRPr="00BF288E" w:rsidRDefault="00EA1E20" w:rsidP="00EA1E20">
      <w:pPr>
        <w:pStyle w:val="RegSingleTxtG"/>
        <w:numPr>
          <w:ilvl w:val="0"/>
          <w:numId w:val="0"/>
        </w:numPr>
        <w:tabs>
          <w:tab w:val="left" w:pos="568"/>
        </w:tabs>
        <w:ind w:left="1134"/>
      </w:pPr>
      <w:r w:rsidRPr="00BF288E">
        <w:t>6.</w:t>
      </w:r>
      <w:r w:rsidRPr="00BF288E">
        <w:tab/>
      </w:r>
      <w:r w:rsidR="00BF290E" w:rsidRPr="00BF288E">
        <w:rPr>
          <w:i/>
          <w:iCs/>
        </w:rPr>
        <w:t xml:space="preserve">Welcomes </w:t>
      </w:r>
      <w:r w:rsidR="00BF290E" w:rsidRPr="00BF288E">
        <w:t>the increased contributions made to the Adaptation Fund during the fourth review period compared with the previous period;</w:t>
      </w:r>
      <w:r w:rsidR="00BF290E" w:rsidRPr="00BF288E">
        <w:rPr>
          <w:rStyle w:val="FootnoteReference"/>
        </w:rPr>
        <w:footnoteReference w:id="25"/>
      </w:r>
    </w:p>
    <w:p w14:paraId="10F46ECA" w14:textId="7EBC54D8" w:rsidR="00BF290E" w:rsidRPr="00BF288E" w:rsidRDefault="00EA1E20" w:rsidP="00EA1E20">
      <w:pPr>
        <w:pStyle w:val="RegSingleTxtG"/>
        <w:numPr>
          <w:ilvl w:val="0"/>
          <w:numId w:val="0"/>
        </w:numPr>
        <w:tabs>
          <w:tab w:val="left" w:pos="568"/>
        </w:tabs>
        <w:ind w:left="1134"/>
      </w:pPr>
      <w:r w:rsidRPr="00BF288E">
        <w:t>7.</w:t>
      </w:r>
      <w:r w:rsidRPr="00BF288E">
        <w:tab/>
      </w:r>
      <w:r w:rsidR="00BF290E" w:rsidRPr="00BF288E">
        <w:rPr>
          <w:i/>
          <w:iCs/>
        </w:rPr>
        <w:t>Notes</w:t>
      </w:r>
      <w:r w:rsidR="00BF290E" w:rsidRPr="00BF288E">
        <w:t xml:space="preserve"> </w:t>
      </w:r>
      <w:r w:rsidR="00BF290E" w:rsidRPr="00BF288E">
        <w:rPr>
          <w:i/>
          <w:iCs/>
        </w:rPr>
        <w:t>with concern</w:t>
      </w:r>
      <w:r w:rsidR="00BF290E" w:rsidRPr="00BF288E">
        <w:t xml:space="preserve"> the outstanding pledged contributions to the Adaptation Fund and </w:t>
      </w:r>
      <w:r w:rsidR="00BF290E" w:rsidRPr="00BF288E">
        <w:rPr>
          <w:i/>
          <w:iCs/>
        </w:rPr>
        <w:t>urges</w:t>
      </w:r>
      <w:r w:rsidR="00BF290E" w:rsidRPr="00BF288E">
        <w:t xml:space="preserve"> Parties that have not fulfilled their pledges to do so as soon as possible;</w:t>
      </w:r>
    </w:p>
    <w:p w14:paraId="0C4AF77B" w14:textId="71D475E9" w:rsidR="00BF290E" w:rsidRPr="00BF288E" w:rsidRDefault="00EA1E20" w:rsidP="00EA1E20">
      <w:pPr>
        <w:pStyle w:val="RegSingleTxtG"/>
        <w:numPr>
          <w:ilvl w:val="0"/>
          <w:numId w:val="0"/>
        </w:numPr>
        <w:tabs>
          <w:tab w:val="left" w:pos="568"/>
        </w:tabs>
        <w:ind w:left="1134"/>
      </w:pPr>
      <w:r w:rsidRPr="00BF288E">
        <w:t>8.</w:t>
      </w:r>
      <w:r w:rsidRPr="00BF288E">
        <w:tab/>
      </w:r>
      <w:r w:rsidR="00BF290E" w:rsidRPr="00BF288E">
        <w:rPr>
          <w:i/>
          <w:iCs/>
        </w:rPr>
        <w:t xml:space="preserve">Stresses </w:t>
      </w:r>
      <w:r w:rsidR="00BF290E" w:rsidRPr="00BF288E">
        <w:t>the importance of financial contributions to the Adaptation Fund, including in the context of urging developed country Parties to at least double their collective provision of climate finance for adaptation to developing countries from 2019 levels by 2025, in the context of achieving a balance between mitigation and adaptation in the provision of scaled</w:t>
      </w:r>
      <w:r w:rsidR="00BF290E" w:rsidRPr="00BF288E">
        <w:noBreakHyphen/>
        <w:t>up financial resources, recalling Article 9, paragraph 4, of the Paris Agreement, as per decision 1/CMA.3, para</w:t>
      </w:r>
      <w:r w:rsidR="00D67947" w:rsidRPr="00BF288E">
        <w:t>graph</w:t>
      </w:r>
      <w:r w:rsidR="00BF290E" w:rsidRPr="00BF288E">
        <w:t xml:space="preserve"> 18;</w:t>
      </w:r>
    </w:p>
    <w:p w14:paraId="3304D0B9" w14:textId="02076C5A" w:rsidR="00BF290E" w:rsidRPr="00BF288E" w:rsidRDefault="00EA1E20" w:rsidP="00EA1E20">
      <w:pPr>
        <w:pStyle w:val="RegSingleTxtG"/>
        <w:numPr>
          <w:ilvl w:val="0"/>
          <w:numId w:val="0"/>
        </w:numPr>
        <w:tabs>
          <w:tab w:val="left" w:pos="568"/>
        </w:tabs>
        <w:ind w:left="1134"/>
        <w:rPr>
          <w:i/>
          <w:iCs/>
        </w:rPr>
      </w:pPr>
      <w:r w:rsidRPr="00BF288E">
        <w:rPr>
          <w:iCs/>
        </w:rPr>
        <w:t>9.</w:t>
      </w:r>
      <w:r w:rsidRPr="00BF288E">
        <w:rPr>
          <w:iCs/>
        </w:rPr>
        <w:tab/>
      </w:r>
      <w:r w:rsidR="00BF290E" w:rsidRPr="00BF288E">
        <w:rPr>
          <w:i/>
          <w:iCs/>
        </w:rPr>
        <w:t>Calls</w:t>
      </w:r>
      <w:r w:rsidR="00BF290E" w:rsidRPr="00BF288E">
        <w:t xml:space="preserve"> </w:t>
      </w:r>
      <w:r w:rsidR="00BF290E" w:rsidRPr="00BF288E">
        <w:rPr>
          <w:i/>
          <w:iCs/>
        </w:rPr>
        <w:t>for</w:t>
      </w:r>
      <w:r w:rsidR="00BF290E" w:rsidRPr="00BF288E">
        <w:t xml:space="preserve"> continued and increased voluntary contributions of financial resources to the Adaptation Fund;</w:t>
      </w:r>
    </w:p>
    <w:p w14:paraId="5AC81508" w14:textId="79886E96" w:rsidR="00BF290E" w:rsidRPr="00BF288E" w:rsidRDefault="00EA1E20" w:rsidP="00EA1E20">
      <w:pPr>
        <w:pStyle w:val="RegSingleTxtG"/>
        <w:numPr>
          <w:ilvl w:val="0"/>
          <w:numId w:val="0"/>
        </w:numPr>
        <w:tabs>
          <w:tab w:val="left" w:pos="568"/>
        </w:tabs>
        <w:ind w:left="1134"/>
      </w:pPr>
      <w:r w:rsidRPr="00BF288E">
        <w:t>10.</w:t>
      </w:r>
      <w:r w:rsidRPr="00BF288E">
        <w:tab/>
      </w:r>
      <w:r w:rsidR="00BF290E" w:rsidRPr="00BF288E">
        <w:rPr>
          <w:i/>
          <w:iCs/>
        </w:rPr>
        <w:t xml:space="preserve">Notes </w:t>
      </w:r>
      <w:r w:rsidR="00BF290E" w:rsidRPr="00BF288E">
        <w:t>the importance of further enhancing the predictability of resources channelled through the Adaptation Fund;</w:t>
      </w:r>
    </w:p>
    <w:p w14:paraId="48DBCD37" w14:textId="19CA1B5D" w:rsidR="00BF290E" w:rsidRPr="00BF288E" w:rsidRDefault="00EA1E20" w:rsidP="00EA1E20">
      <w:pPr>
        <w:pStyle w:val="RegSingleTxtG"/>
        <w:numPr>
          <w:ilvl w:val="0"/>
          <w:numId w:val="0"/>
        </w:numPr>
        <w:tabs>
          <w:tab w:val="left" w:pos="568"/>
        </w:tabs>
        <w:ind w:left="1134"/>
      </w:pPr>
      <w:r w:rsidRPr="00BF288E">
        <w:t>11.</w:t>
      </w:r>
      <w:r w:rsidRPr="00BF288E">
        <w:tab/>
      </w:r>
      <w:r w:rsidR="00BF290E" w:rsidRPr="00BF288E">
        <w:rPr>
          <w:i/>
          <w:iCs/>
        </w:rPr>
        <w:t>Also notes</w:t>
      </w:r>
      <w:r w:rsidR="00BF290E" w:rsidRPr="00BF288E">
        <w:t xml:space="preserve"> that multi-year contributions to the Adaptation Fund enhance the predictability of its funding, </w:t>
      </w:r>
      <w:r w:rsidR="00BF290E" w:rsidRPr="00BF288E">
        <w:rPr>
          <w:i/>
          <w:iCs/>
        </w:rPr>
        <w:t>acknowledges</w:t>
      </w:r>
      <w:r w:rsidR="00BF290E" w:rsidRPr="00BF288E">
        <w:t xml:space="preserve"> that some developed country Parties have already committed to multi-year contributions to the Fund and </w:t>
      </w:r>
      <w:r w:rsidR="00BF290E" w:rsidRPr="00BF288E">
        <w:rPr>
          <w:i/>
          <w:iCs/>
        </w:rPr>
        <w:t>encourages</w:t>
      </w:r>
      <w:r w:rsidR="00BF290E" w:rsidRPr="00BF288E">
        <w:t xml:space="preserve"> additional multi-year contributions to the Fund;</w:t>
      </w:r>
    </w:p>
    <w:p w14:paraId="335C93BE" w14:textId="1F68FD4C" w:rsidR="00BF290E" w:rsidRPr="00BF288E" w:rsidRDefault="00EA1E20" w:rsidP="00EA1E20">
      <w:pPr>
        <w:pStyle w:val="RegSingleTxtG"/>
        <w:numPr>
          <w:ilvl w:val="0"/>
          <w:numId w:val="0"/>
        </w:numPr>
        <w:tabs>
          <w:tab w:val="left" w:pos="568"/>
        </w:tabs>
        <w:ind w:left="1134"/>
      </w:pPr>
      <w:r w:rsidRPr="00BF288E">
        <w:t>12.</w:t>
      </w:r>
      <w:r w:rsidRPr="00BF288E">
        <w:tab/>
      </w:r>
      <w:r w:rsidR="00BF290E" w:rsidRPr="00BF288E">
        <w:rPr>
          <w:i/>
          <w:iCs/>
        </w:rPr>
        <w:t xml:space="preserve">Notes </w:t>
      </w:r>
      <w:r w:rsidR="00BF290E" w:rsidRPr="00BF288E">
        <w:t>the resource mobilization strategy of the Adaptation Fund (2017–2020),</w:t>
      </w:r>
      <w:r w:rsidR="00BF290E" w:rsidRPr="00BF288E">
        <w:rPr>
          <w:rStyle w:val="FootnoteReference"/>
        </w:rPr>
        <w:footnoteReference w:id="26"/>
      </w:r>
      <w:r w:rsidR="00BF290E" w:rsidRPr="00BF288E">
        <w:t xml:space="preserve"> which refers for the first time to subnational governments, the private sector and charitable foundations as possible additional sources of finance for the Adaptation Fund and </w:t>
      </w:r>
      <w:r w:rsidR="00BF290E" w:rsidRPr="00BF288E">
        <w:rPr>
          <w:i/>
          <w:iCs/>
        </w:rPr>
        <w:t>encourages</w:t>
      </w:r>
      <w:r w:rsidR="00BF290E" w:rsidRPr="00BF288E">
        <w:t xml:space="preserve"> the Adaptation Fund Board to continue its efforts to mobilize finance from a variety of sources under its next resource mobilization strategy (2022–2025);</w:t>
      </w:r>
      <w:r w:rsidR="00BF290E" w:rsidRPr="00BF288E">
        <w:rPr>
          <w:rStyle w:val="FootnoteReference"/>
        </w:rPr>
        <w:footnoteReference w:id="27"/>
      </w:r>
    </w:p>
    <w:p w14:paraId="019CB4EC" w14:textId="743B3B90" w:rsidR="00BF290E" w:rsidRPr="00BF288E" w:rsidRDefault="00EA1E20" w:rsidP="00EA1E20">
      <w:pPr>
        <w:pStyle w:val="RegSingleTxtG"/>
        <w:numPr>
          <w:ilvl w:val="0"/>
          <w:numId w:val="0"/>
        </w:numPr>
        <w:tabs>
          <w:tab w:val="left" w:pos="568"/>
        </w:tabs>
        <w:ind w:left="1134"/>
      </w:pPr>
      <w:r w:rsidRPr="00BF288E">
        <w:t>13.</w:t>
      </w:r>
      <w:r w:rsidRPr="00BF288E">
        <w:tab/>
      </w:r>
      <w:r w:rsidR="00BF290E" w:rsidRPr="00BF288E">
        <w:rPr>
          <w:i/>
          <w:iCs/>
        </w:rPr>
        <w:t>Also encourages</w:t>
      </w:r>
      <w:r w:rsidR="00BF290E" w:rsidRPr="00BF288E">
        <w:t xml:space="preserve"> the Adaptation Fund Board to continue to enhance access to the Fund, including by:</w:t>
      </w:r>
    </w:p>
    <w:p w14:paraId="73D56D7D" w14:textId="287D9148" w:rsidR="00BF290E" w:rsidRPr="00BF288E" w:rsidRDefault="00EA1E20" w:rsidP="00EA1E20">
      <w:pPr>
        <w:pStyle w:val="RegSingleTxtG2"/>
        <w:numPr>
          <w:ilvl w:val="0"/>
          <w:numId w:val="0"/>
        </w:numPr>
        <w:tabs>
          <w:tab w:val="left" w:pos="1702"/>
          <w:tab w:val="num" w:pos="2269"/>
        </w:tabs>
        <w:ind w:left="1134" w:firstLine="567"/>
      </w:pPr>
      <w:r w:rsidRPr="00BF288E">
        <w:rPr>
          <w:szCs w:val="28"/>
        </w:rPr>
        <w:t>(a)</w:t>
      </w:r>
      <w:r w:rsidRPr="00BF288E">
        <w:rPr>
          <w:szCs w:val="28"/>
        </w:rPr>
        <w:tab/>
      </w:r>
      <w:r w:rsidR="00BF290E" w:rsidRPr="00BF288E">
        <w:t>Strengthening engagement with and support for building the institutional capacity of national implementing entities;</w:t>
      </w:r>
    </w:p>
    <w:p w14:paraId="5DD6579C" w14:textId="388D86EA" w:rsidR="00BF290E" w:rsidRPr="00BF288E" w:rsidRDefault="00EA1E20" w:rsidP="00EA1E20">
      <w:pPr>
        <w:pStyle w:val="RegSingleTxtG2"/>
        <w:numPr>
          <w:ilvl w:val="0"/>
          <w:numId w:val="0"/>
        </w:numPr>
        <w:tabs>
          <w:tab w:val="left" w:pos="1702"/>
          <w:tab w:val="num" w:pos="2269"/>
        </w:tabs>
        <w:ind w:left="1134" w:firstLine="567"/>
      </w:pPr>
      <w:r w:rsidRPr="00BF288E">
        <w:rPr>
          <w:szCs w:val="28"/>
        </w:rPr>
        <w:t>(b)</w:t>
      </w:r>
      <w:r w:rsidRPr="00BF288E">
        <w:rPr>
          <w:szCs w:val="28"/>
        </w:rPr>
        <w:tab/>
      </w:r>
      <w:r w:rsidR="00BF290E" w:rsidRPr="00BF288E">
        <w:t>Expediting the disbursement of approved adaptation grants;</w:t>
      </w:r>
    </w:p>
    <w:p w14:paraId="02EBE327" w14:textId="319191A7" w:rsidR="00BF290E" w:rsidRPr="00BF288E" w:rsidRDefault="00EA1E20" w:rsidP="00EA1E20">
      <w:pPr>
        <w:pStyle w:val="RegSingleTxtG2"/>
        <w:numPr>
          <w:ilvl w:val="0"/>
          <w:numId w:val="0"/>
        </w:numPr>
        <w:tabs>
          <w:tab w:val="left" w:pos="1702"/>
          <w:tab w:val="num" w:pos="2269"/>
        </w:tabs>
        <w:ind w:left="1134" w:firstLine="567"/>
      </w:pPr>
      <w:r w:rsidRPr="00BF288E">
        <w:rPr>
          <w:szCs w:val="28"/>
        </w:rPr>
        <w:t>(c)</w:t>
      </w:r>
      <w:r w:rsidRPr="00BF288E">
        <w:rPr>
          <w:szCs w:val="28"/>
        </w:rPr>
        <w:tab/>
      </w:r>
      <w:r w:rsidR="00BF290E" w:rsidRPr="00BF288E">
        <w:t>Further strengthening coherence and complementarity between the Adaptation Fund and other institutions</w:t>
      </w:r>
      <w:r w:rsidR="00B408AE" w:rsidRPr="00BF288E">
        <w:t>’</w:t>
      </w:r>
      <w:r w:rsidR="00BF290E" w:rsidRPr="00BF288E">
        <w:t xml:space="preserve"> funding adaptation projects and programmes, including the Green Climate Fund, in order to facilitate streamlining access modalities, as appropriate, </w:t>
      </w:r>
      <w:r w:rsidR="00BF290E" w:rsidRPr="00BF288E" w:rsidDel="00797846">
        <w:t>including for accreditation</w:t>
      </w:r>
      <w:r w:rsidR="00BF290E" w:rsidRPr="00BF288E">
        <w:t>, and scaling up Adaptation Fund projects;</w:t>
      </w:r>
    </w:p>
    <w:p w14:paraId="2E75FCBA" w14:textId="7FF33DAA" w:rsidR="00BF290E" w:rsidRPr="00BF288E" w:rsidRDefault="00EA1E20" w:rsidP="00EA1E20">
      <w:pPr>
        <w:pStyle w:val="RegSingleTxtG2"/>
        <w:numPr>
          <w:ilvl w:val="0"/>
          <w:numId w:val="0"/>
        </w:numPr>
        <w:tabs>
          <w:tab w:val="left" w:pos="1702"/>
          <w:tab w:val="num" w:pos="2269"/>
        </w:tabs>
        <w:ind w:left="1134" w:firstLine="567"/>
      </w:pPr>
      <w:r w:rsidRPr="00BF288E">
        <w:rPr>
          <w:szCs w:val="28"/>
        </w:rPr>
        <w:t>(d)</w:t>
      </w:r>
      <w:r w:rsidRPr="00BF288E">
        <w:rPr>
          <w:szCs w:val="28"/>
        </w:rPr>
        <w:tab/>
      </w:r>
      <w:r w:rsidR="00BF290E" w:rsidRPr="00BF288E">
        <w:t xml:space="preserve">Further improving geographical and thematic coverage in the accreditation of national and regional implementing entities; </w:t>
      </w:r>
    </w:p>
    <w:p w14:paraId="7F6D2FD4" w14:textId="2C02BC01" w:rsidR="00BF290E" w:rsidRPr="00BF288E" w:rsidRDefault="00EA1E20" w:rsidP="00EA1E20">
      <w:pPr>
        <w:pStyle w:val="RegSingleTxtG"/>
        <w:numPr>
          <w:ilvl w:val="0"/>
          <w:numId w:val="0"/>
        </w:numPr>
        <w:tabs>
          <w:tab w:val="left" w:pos="568"/>
        </w:tabs>
        <w:ind w:left="1134"/>
      </w:pPr>
      <w:r w:rsidRPr="00BF288E">
        <w:t>14.</w:t>
      </w:r>
      <w:r w:rsidRPr="00BF288E">
        <w:tab/>
      </w:r>
      <w:r w:rsidR="00BF290E" w:rsidRPr="00BF288E">
        <w:rPr>
          <w:i/>
          <w:iCs/>
        </w:rPr>
        <w:t>Requests</w:t>
      </w:r>
      <w:r w:rsidR="00BF290E" w:rsidRPr="00BF288E">
        <w:t xml:space="preserve"> the Adaptation Fund Board to include in its annual report to the Conference of the Parties serving as the meeting of the Parties to the Kyoto Protocol at its eighteenth session and the Conference of the Parties serving as the meeting of the Parties to the Paris Agreement at its fifth session (November</w:t>
      </w:r>
      <w:r w:rsidR="00D529EF" w:rsidRPr="00BF288E">
        <w:t>–December</w:t>
      </w:r>
      <w:r w:rsidR="00BF290E" w:rsidRPr="00BF288E">
        <w:t xml:space="preserve"> 2023) information on aggregated actual results of projects and programmes funded by the Adaptation Fund, in particular across the Fund’s five core indicators, accompanied by qualitative analysis of successes, challenges and lessons learned; </w:t>
      </w:r>
    </w:p>
    <w:p w14:paraId="1AD0DB11" w14:textId="378CB4D9" w:rsidR="00BF290E" w:rsidRPr="00BF288E" w:rsidRDefault="00EA1E20" w:rsidP="00EA1E20">
      <w:pPr>
        <w:pStyle w:val="RegSingleTxtG"/>
        <w:numPr>
          <w:ilvl w:val="0"/>
          <w:numId w:val="0"/>
        </w:numPr>
        <w:tabs>
          <w:tab w:val="left" w:pos="568"/>
        </w:tabs>
        <w:ind w:left="1134"/>
      </w:pPr>
      <w:r w:rsidRPr="00BF288E">
        <w:t>15.</w:t>
      </w:r>
      <w:r w:rsidRPr="00BF288E">
        <w:tab/>
      </w:r>
      <w:r w:rsidR="00BF290E" w:rsidRPr="00BF288E">
        <w:rPr>
          <w:i/>
          <w:iCs/>
        </w:rPr>
        <w:t xml:space="preserve">Also requests </w:t>
      </w:r>
      <w:r w:rsidR="00BF290E" w:rsidRPr="00BF288E">
        <w:t xml:space="preserve">the Board to review and update the environmental and social safeguard policy of the Adaptation Fund, as needed; </w:t>
      </w:r>
    </w:p>
    <w:p w14:paraId="5970E92D" w14:textId="08762597" w:rsidR="00BF290E" w:rsidRPr="00BF288E" w:rsidRDefault="00EA1E20" w:rsidP="00EA1E20">
      <w:pPr>
        <w:pStyle w:val="RegSingleTxtG"/>
        <w:numPr>
          <w:ilvl w:val="0"/>
          <w:numId w:val="0"/>
        </w:numPr>
        <w:tabs>
          <w:tab w:val="left" w:pos="568"/>
        </w:tabs>
        <w:ind w:left="1134"/>
      </w:pPr>
      <w:r w:rsidRPr="00BF288E">
        <w:t>16.</w:t>
      </w:r>
      <w:r w:rsidRPr="00BF288E">
        <w:tab/>
      </w:r>
      <w:r w:rsidR="00BF290E" w:rsidRPr="00BF288E">
        <w:rPr>
          <w:i/>
          <w:iCs/>
        </w:rPr>
        <w:t xml:space="preserve">Further requests </w:t>
      </w:r>
      <w:r w:rsidR="00BF290E" w:rsidRPr="00BF288E">
        <w:t xml:space="preserve">the Board to increase the gender-responsiveness of the resources provided by the Adaptation Fund; </w:t>
      </w:r>
    </w:p>
    <w:p w14:paraId="5BAE408F" w14:textId="5CD8E92C" w:rsidR="00BF290E" w:rsidRPr="00BF288E" w:rsidRDefault="00EA1E20" w:rsidP="00EA1E20">
      <w:pPr>
        <w:pStyle w:val="RegSingleTxtG"/>
        <w:numPr>
          <w:ilvl w:val="0"/>
          <w:numId w:val="0"/>
        </w:numPr>
        <w:tabs>
          <w:tab w:val="left" w:pos="568"/>
        </w:tabs>
        <w:ind w:left="1134"/>
      </w:pPr>
      <w:r w:rsidRPr="00BF288E">
        <w:t>17.</w:t>
      </w:r>
      <w:r w:rsidRPr="00BF288E">
        <w:tab/>
      </w:r>
      <w:r w:rsidR="00BF290E" w:rsidRPr="00BF288E">
        <w:rPr>
          <w:i/>
          <w:iCs/>
        </w:rPr>
        <w:t>Invites</w:t>
      </w:r>
      <w:r w:rsidR="00BF290E" w:rsidRPr="00BF288E">
        <w:t xml:space="preserve"> the Board to consider ways to strengthen the engagement of the Adaptation Fund with the private sector in order to increase private sector participation in adaptation action; </w:t>
      </w:r>
    </w:p>
    <w:p w14:paraId="46EF864A" w14:textId="325E0B01" w:rsidR="00BF290E" w:rsidRPr="00BF288E" w:rsidRDefault="00EA1E20" w:rsidP="00EA1E20">
      <w:pPr>
        <w:pStyle w:val="RegSingleTxtG"/>
        <w:numPr>
          <w:ilvl w:val="0"/>
          <w:numId w:val="0"/>
        </w:numPr>
        <w:tabs>
          <w:tab w:val="left" w:pos="568"/>
        </w:tabs>
        <w:ind w:left="1134"/>
      </w:pPr>
      <w:r w:rsidRPr="00BF288E">
        <w:t>18.</w:t>
      </w:r>
      <w:r w:rsidRPr="00BF288E">
        <w:tab/>
      </w:r>
      <w:r w:rsidR="00BF290E" w:rsidRPr="00BF288E">
        <w:rPr>
          <w:i/>
          <w:iCs/>
        </w:rPr>
        <w:t>Notes</w:t>
      </w:r>
      <w:r w:rsidR="00BF290E" w:rsidRPr="00BF288E">
        <w:t xml:space="preserve"> that some Adaptation Fund policy and guidance documents and readiness activities are available or conducted in multiple official languages of the United Nations and </w:t>
      </w:r>
      <w:r w:rsidR="00BF290E" w:rsidRPr="00BF288E">
        <w:rPr>
          <w:i/>
          <w:iCs/>
        </w:rPr>
        <w:t>invites</w:t>
      </w:r>
      <w:r w:rsidR="00BF290E" w:rsidRPr="00BF288E">
        <w:t xml:space="preserve"> the Adaptation Fund Board to continue to strengthen its provision of support and country engagement at the regional level;</w:t>
      </w:r>
    </w:p>
    <w:p w14:paraId="6DFFA4A4" w14:textId="52C0327F" w:rsidR="00BF290E" w:rsidRPr="00BF288E" w:rsidRDefault="00EA1E20" w:rsidP="00EA1E20">
      <w:pPr>
        <w:pStyle w:val="RegSingleTxtG"/>
        <w:numPr>
          <w:ilvl w:val="0"/>
          <w:numId w:val="0"/>
        </w:numPr>
        <w:tabs>
          <w:tab w:val="left" w:pos="568"/>
        </w:tabs>
        <w:ind w:left="1134"/>
      </w:pPr>
      <w:r w:rsidRPr="00BF288E">
        <w:t>19.</w:t>
      </w:r>
      <w:r w:rsidRPr="00BF288E">
        <w:tab/>
      </w:r>
      <w:r w:rsidR="00BF290E" w:rsidRPr="00BF288E">
        <w:rPr>
          <w:i/>
          <w:iCs/>
        </w:rPr>
        <w:t>Requests</w:t>
      </w:r>
      <w:r w:rsidR="00BF290E" w:rsidRPr="00BF288E">
        <w:t xml:space="preserve"> the Subsidiary Body for Implementation at its sixty-second session (June 2025) to initiate the fifth review of the Adaptation Fund in accordance with the terms of reference contained in the annex to decision 4/CMP.16, or as amended, and to report back to its governing bodies at the session to be convened in conjunction with the thirty-first session of the Conference of the Parties (2026);</w:t>
      </w:r>
    </w:p>
    <w:p w14:paraId="035C06AB" w14:textId="358F3A66" w:rsidR="00BF290E" w:rsidRPr="00BF288E" w:rsidRDefault="00EA1E20" w:rsidP="00EA1E20">
      <w:pPr>
        <w:pStyle w:val="RegSingleTxtG"/>
        <w:numPr>
          <w:ilvl w:val="0"/>
          <w:numId w:val="0"/>
        </w:numPr>
        <w:tabs>
          <w:tab w:val="left" w:pos="568"/>
        </w:tabs>
        <w:ind w:left="1134"/>
      </w:pPr>
      <w:r w:rsidRPr="00BF288E">
        <w:t>20.</w:t>
      </w:r>
      <w:r w:rsidRPr="00BF288E">
        <w:tab/>
      </w:r>
      <w:r w:rsidR="00BF290E" w:rsidRPr="00BF288E">
        <w:rPr>
          <w:i/>
          <w:iCs/>
        </w:rPr>
        <w:t>Notes</w:t>
      </w:r>
      <w:r w:rsidR="00BF290E" w:rsidRPr="00BF288E">
        <w:t xml:space="preserve"> the recommendation of the Subsidiary Body for Implementation</w:t>
      </w:r>
      <w:r w:rsidR="00BF290E" w:rsidRPr="00BF288E">
        <w:rPr>
          <w:rStyle w:val="FootnoteReference"/>
        </w:rPr>
        <w:footnoteReference w:id="28"/>
      </w:r>
      <w:r w:rsidR="00BF290E" w:rsidRPr="00BF288E">
        <w:t xml:space="preserve"> that subsequent reviews of the Adaptation Fund include a request for the secretariat to prepare a technical paper on the review, including inputs and submissions from Parties, for consideration by the Subsidiary Body for Implementation at its session that follows the adoption of the relevant terms of reference, to allow for substantive engagement.</w:t>
      </w:r>
    </w:p>
    <w:p w14:paraId="2AF6A276" w14:textId="77777777" w:rsidR="00831D97" w:rsidRPr="00BF288E" w:rsidRDefault="00831D97" w:rsidP="00831D97">
      <w:pPr>
        <w:ind w:right="1133"/>
        <w:jc w:val="right"/>
        <w:rPr>
          <w:i/>
        </w:rPr>
      </w:pPr>
      <w:r w:rsidRPr="00BF288E">
        <w:rPr>
          <w:i/>
        </w:rPr>
        <w:t>10</w:t>
      </w:r>
      <w:r w:rsidRPr="00BF288E">
        <w:rPr>
          <w:i/>
          <w:vertAlign w:val="superscript"/>
        </w:rPr>
        <w:t>th</w:t>
      </w:r>
      <w:r w:rsidRPr="00BF288E">
        <w:rPr>
          <w:i/>
        </w:rPr>
        <w:t xml:space="preserve"> plenary meeting</w:t>
      </w:r>
    </w:p>
    <w:p w14:paraId="52C34389" w14:textId="77777777" w:rsidR="00831D97" w:rsidRPr="00BF288E" w:rsidRDefault="00831D97" w:rsidP="00831D97">
      <w:pPr>
        <w:ind w:right="1133"/>
        <w:jc w:val="right"/>
        <w:rPr>
          <w:i/>
        </w:rPr>
      </w:pPr>
      <w:r w:rsidRPr="00BF288E">
        <w:rPr>
          <w:i/>
        </w:rPr>
        <w:t>20 November 2022</w:t>
      </w:r>
    </w:p>
    <w:p w14:paraId="08163766" w14:textId="575801DF" w:rsidR="00C81ACD" w:rsidRPr="00BF288E" w:rsidRDefault="00C81ACD" w:rsidP="00387B41">
      <w:pPr>
        <w:rPr>
          <w:u w:val="single"/>
        </w:rPr>
      </w:pPr>
    </w:p>
    <w:p w14:paraId="70828D3C" w14:textId="77777777" w:rsidR="00C81ACD" w:rsidRPr="00BF288E" w:rsidRDefault="00C81ACD" w:rsidP="00387B41">
      <w:pPr>
        <w:rPr>
          <w:u w:val="single"/>
        </w:rPr>
        <w:sectPr w:rsidR="00C81ACD" w:rsidRPr="00BF288E" w:rsidSect="00310DE3">
          <w:headerReference w:type="even" r:id="rId30"/>
          <w:headerReference w:type="default" r:id="rId31"/>
          <w:footerReference w:type="even" r:id="rId32"/>
          <w:footerReference w:type="default" r:id="rId33"/>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2AE122D4" w14:textId="07D385DC" w:rsidR="00564E45" w:rsidRPr="00BF288E" w:rsidRDefault="00564E45" w:rsidP="00D013D4">
      <w:pPr>
        <w:pStyle w:val="HChG"/>
        <w:tabs>
          <w:tab w:val="clear" w:pos="851"/>
        </w:tabs>
        <w:spacing w:before="120"/>
        <w:ind w:firstLine="0"/>
      </w:pPr>
      <w:bookmarkStart w:id="24" w:name="Decision_6"/>
      <w:r w:rsidRPr="00BF288E">
        <w:t>Decision 6/CMP</w:t>
      </w:r>
      <w:r w:rsidR="00FE7668" w:rsidRPr="00BF288E">
        <w:t>.</w:t>
      </w:r>
      <w:r w:rsidRPr="00BF288E">
        <w:t>17</w:t>
      </w:r>
      <w:bookmarkEnd w:id="24"/>
    </w:p>
    <w:p w14:paraId="195BF293" w14:textId="77777777" w:rsidR="00D55F4F" w:rsidRPr="00BF288E" w:rsidRDefault="00D55F4F" w:rsidP="00F9006F">
      <w:pPr>
        <w:pStyle w:val="HChG"/>
        <w:tabs>
          <w:tab w:val="clear" w:pos="851"/>
        </w:tabs>
        <w:ind w:firstLine="0"/>
      </w:pPr>
      <w:r w:rsidRPr="00BF288E">
        <w:t>Compliance Committee</w:t>
      </w:r>
    </w:p>
    <w:p w14:paraId="7775A9AC" w14:textId="77777777" w:rsidR="00D55F4F" w:rsidRPr="00BF288E" w:rsidRDefault="00D55F4F" w:rsidP="00D55F4F">
      <w:pPr>
        <w:pStyle w:val="SingleTxtG"/>
        <w:ind w:firstLine="567"/>
      </w:pPr>
      <w:r w:rsidRPr="00BF288E">
        <w:rPr>
          <w:color w:val="000000"/>
        </w:rPr>
        <w:tab/>
      </w:r>
      <w:r w:rsidRPr="00BF288E" w:rsidDel="00673F06">
        <w:rPr>
          <w:i/>
        </w:rPr>
        <w:t xml:space="preserve">The Conference of the Parties serving as the meeting of the Parties to the </w:t>
      </w:r>
      <w:r w:rsidRPr="00BF288E">
        <w:rPr>
          <w:i/>
        </w:rPr>
        <w:t>Kyoto Protocol</w:t>
      </w:r>
      <w:r w:rsidRPr="00BF288E" w:rsidDel="00673F06">
        <w:rPr>
          <w:iCs/>
        </w:rPr>
        <w:t>,</w:t>
      </w:r>
    </w:p>
    <w:p w14:paraId="77FB1521" w14:textId="77777777" w:rsidR="00D55F4F" w:rsidRPr="00BF288E" w:rsidRDefault="00D55F4F" w:rsidP="00D55F4F">
      <w:pPr>
        <w:pStyle w:val="SingleTxtG"/>
        <w:ind w:firstLine="567"/>
      </w:pPr>
      <w:r w:rsidRPr="00BF288E">
        <w:tab/>
      </w:r>
      <w:r w:rsidRPr="00BF288E">
        <w:rPr>
          <w:i/>
        </w:rPr>
        <w:t>Recalling</w:t>
      </w:r>
      <w:r w:rsidRPr="00BF288E">
        <w:t xml:space="preserve"> </w:t>
      </w:r>
      <w:r w:rsidRPr="00BF288E">
        <w:rPr>
          <w:color w:val="000000"/>
        </w:rPr>
        <w:t>Article 18 of the Kyoto Protocol,</w:t>
      </w:r>
    </w:p>
    <w:p w14:paraId="766697AF" w14:textId="00D07A07" w:rsidR="00D55F4F" w:rsidRPr="00BF288E" w:rsidRDefault="00D55F4F" w:rsidP="00D55F4F">
      <w:pPr>
        <w:pStyle w:val="SingleTxtG"/>
        <w:ind w:firstLine="567"/>
      </w:pPr>
      <w:r w:rsidRPr="00BF288E">
        <w:tab/>
      </w:r>
      <w:r w:rsidRPr="00BF288E">
        <w:rPr>
          <w:i/>
        </w:rPr>
        <w:t>Also</w:t>
      </w:r>
      <w:r w:rsidRPr="00BF288E">
        <w:t xml:space="preserve"> </w:t>
      </w:r>
      <w:r w:rsidRPr="00BF288E">
        <w:rPr>
          <w:i/>
        </w:rPr>
        <w:t>recalling</w:t>
      </w:r>
      <w:r w:rsidRPr="00BF288E">
        <w:t xml:space="preserve"> </w:t>
      </w:r>
      <w:r w:rsidRPr="00BF288E">
        <w:rPr>
          <w:iCs/>
          <w:color w:val="000000"/>
        </w:rPr>
        <w:t>decisions 27/CMP.1, 4/CMP.2, 4/CMP.4 and 8/CMP.9</w:t>
      </w:r>
      <w:r w:rsidRPr="00BF288E">
        <w:rPr>
          <w:color w:val="000000"/>
        </w:rPr>
        <w:t>,</w:t>
      </w:r>
    </w:p>
    <w:p w14:paraId="58D608C9" w14:textId="77777777" w:rsidR="00D55F4F" w:rsidRPr="00BF288E" w:rsidRDefault="00D55F4F" w:rsidP="00D55F4F">
      <w:pPr>
        <w:pStyle w:val="SingleTxtG"/>
        <w:ind w:firstLine="567"/>
        <w:rPr>
          <w:i/>
          <w:color w:val="000000"/>
        </w:rPr>
      </w:pPr>
      <w:r w:rsidRPr="00BF288E">
        <w:tab/>
      </w:r>
      <w:r w:rsidRPr="00BF288E">
        <w:rPr>
          <w:i/>
        </w:rPr>
        <w:t>Having</w:t>
      </w:r>
      <w:r w:rsidRPr="00BF288E">
        <w:t xml:space="preserve"> </w:t>
      </w:r>
      <w:r w:rsidRPr="00BF288E">
        <w:rPr>
          <w:i/>
          <w:iCs/>
          <w:color w:val="000000"/>
        </w:rPr>
        <w:t>considered</w:t>
      </w:r>
      <w:r w:rsidRPr="00BF288E">
        <w:rPr>
          <w:color w:val="000000"/>
        </w:rPr>
        <w:t xml:space="preserve"> the annual report of the Compliance Committee to the Conference of the Parties serving as the meeting of the Parties to the Kyoto Protocol</w:t>
      </w:r>
      <w:r w:rsidRPr="00BF288E">
        <w:rPr>
          <w:iCs/>
          <w:color w:val="000000"/>
        </w:rPr>
        <w:t>,</w:t>
      </w:r>
      <w:r w:rsidRPr="00BF288E">
        <w:rPr>
          <w:rStyle w:val="FootnoteReference"/>
          <w:color w:val="000000"/>
        </w:rPr>
        <w:footnoteReference w:id="29"/>
      </w:r>
    </w:p>
    <w:p w14:paraId="261BFCBC" w14:textId="77777777" w:rsidR="00D55F4F" w:rsidRPr="00BF288E" w:rsidRDefault="00D55F4F" w:rsidP="00D55F4F">
      <w:pPr>
        <w:pStyle w:val="SingleTxtG"/>
        <w:ind w:firstLine="567"/>
      </w:pPr>
      <w:r w:rsidRPr="00BF288E">
        <w:tab/>
      </w:r>
      <w:r w:rsidRPr="00BF288E">
        <w:rPr>
          <w:i/>
        </w:rPr>
        <w:t>Recognizing</w:t>
      </w:r>
      <w:r w:rsidRPr="00BF288E">
        <w:t xml:space="preserve"> </w:t>
      </w:r>
      <w:r w:rsidRPr="00BF288E">
        <w:rPr>
          <w:iCs/>
          <w:color w:val="000000"/>
        </w:rPr>
        <w:t>the importance of</w:t>
      </w:r>
      <w:r w:rsidRPr="00BF288E">
        <w:rPr>
          <w:iCs/>
        </w:rPr>
        <w:t xml:space="preserve"> </w:t>
      </w:r>
      <w:r w:rsidRPr="00BF288E">
        <w:rPr>
          <w:iCs/>
          <w:color w:val="000000"/>
        </w:rPr>
        <w:t xml:space="preserve">enabling members and alternate members of the Compliance Committee of the Kyoto Protocol to remain in office until their successors have been elected and </w:t>
      </w:r>
      <w:r w:rsidRPr="00BF288E">
        <w:rPr>
          <w:iCs/>
          <w:color w:val="000000"/>
          <w:lang w:val="en-US"/>
        </w:rPr>
        <w:t>allowing</w:t>
      </w:r>
      <w:r w:rsidRPr="00BF288E">
        <w:rPr>
          <w:iCs/>
          <w:color w:val="000000"/>
        </w:rPr>
        <w:t xml:space="preserve"> for the intersessional replacement of members and alternate members</w:t>
      </w:r>
      <w:r w:rsidRPr="00BF288E">
        <w:rPr>
          <w:color w:val="000000"/>
        </w:rPr>
        <w:t>,</w:t>
      </w:r>
    </w:p>
    <w:p w14:paraId="1ABB797D" w14:textId="58E61623" w:rsidR="00D55F4F" w:rsidRPr="00BF288E" w:rsidRDefault="00D55F4F" w:rsidP="00D55F4F">
      <w:pPr>
        <w:pStyle w:val="SingleTxtG"/>
        <w:ind w:firstLine="567"/>
        <w:rPr>
          <w:iCs/>
          <w:color w:val="000000"/>
        </w:rPr>
      </w:pPr>
      <w:r w:rsidRPr="00BF288E">
        <w:tab/>
      </w:r>
      <w:r w:rsidRPr="00BF288E">
        <w:rPr>
          <w:i/>
        </w:rPr>
        <w:t>Noting</w:t>
      </w:r>
      <w:r w:rsidRPr="00BF288E">
        <w:t xml:space="preserve"> </w:t>
      </w:r>
      <w:r w:rsidRPr="00BF288E">
        <w:rPr>
          <w:i/>
        </w:rPr>
        <w:t>with</w:t>
      </w:r>
      <w:r w:rsidRPr="00BF288E">
        <w:t xml:space="preserve"> </w:t>
      </w:r>
      <w:r w:rsidRPr="00BF288E">
        <w:rPr>
          <w:i/>
        </w:rPr>
        <w:t>appreciation</w:t>
      </w:r>
      <w:r w:rsidRPr="00BF288E">
        <w:t xml:space="preserve"> the work of the Compliance Committee during the reporting period</w:t>
      </w:r>
      <w:r w:rsidRPr="00BF288E">
        <w:rPr>
          <w:iCs/>
          <w:color w:val="000000"/>
        </w:rPr>
        <w:t>,</w:t>
      </w:r>
    </w:p>
    <w:p w14:paraId="253064F0" w14:textId="741A71DE" w:rsidR="00D55F4F" w:rsidRPr="00BF288E" w:rsidRDefault="00EA1E20" w:rsidP="00EA1E20">
      <w:pPr>
        <w:pStyle w:val="RegSingleTxtG"/>
        <w:numPr>
          <w:ilvl w:val="0"/>
          <w:numId w:val="0"/>
        </w:numPr>
        <w:ind w:left="1134"/>
      </w:pPr>
      <w:r w:rsidRPr="00BF288E">
        <w:t>1.</w:t>
      </w:r>
      <w:r w:rsidRPr="00BF288E">
        <w:tab/>
      </w:r>
      <w:r w:rsidR="00D55F4F" w:rsidRPr="00BF288E">
        <w:rPr>
          <w:i/>
        </w:rPr>
        <w:t>Adopts</w:t>
      </w:r>
      <w:r w:rsidR="00D55F4F" w:rsidRPr="00BF288E">
        <w:t xml:space="preserve"> the amendments to the rules of procedure of the Compliance Committee of the Kyoto Protocol contained in the annex, in accordance with the provisions of decision 27/CMP.1, annex, chapter III, paragraph 2(d);</w:t>
      </w:r>
    </w:p>
    <w:p w14:paraId="4C9D0B53" w14:textId="27DD6939" w:rsidR="00D55F4F" w:rsidRPr="00BF288E" w:rsidRDefault="00EA1E20" w:rsidP="00EA1E20">
      <w:pPr>
        <w:pStyle w:val="RegSingleTxtG"/>
        <w:numPr>
          <w:ilvl w:val="0"/>
          <w:numId w:val="0"/>
        </w:numPr>
        <w:ind w:left="1134"/>
      </w:pPr>
      <w:r w:rsidRPr="00BF288E">
        <w:t>2.</w:t>
      </w:r>
      <w:r w:rsidRPr="00BF288E">
        <w:tab/>
      </w:r>
      <w:r w:rsidR="00D55F4F" w:rsidRPr="00BF288E">
        <w:rPr>
          <w:i/>
        </w:rPr>
        <w:t>Encourages</w:t>
      </w:r>
      <w:r w:rsidR="00D55F4F" w:rsidRPr="00BF288E">
        <w:t xml:space="preserve"> Parties to ensure sufficient allocation of resources when considering the budget of the Legal Affairs division of the secretariat for the biennium 2024–2025 in support of the work of the Compliance Committee. </w:t>
      </w:r>
    </w:p>
    <w:p w14:paraId="3FC85B93" w14:textId="77777777" w:rsidR="00D55F4F" w:rsidRPr="00BF288E" w:rsidRDefault="00D55F4F" w:rsidP="00D55F4F">
      <w:pPr>
        <w:pStyle w:val="RegSingleTxtG"/>
        <w:numPr>
          <w:ilvl w:val="0"/>
          <w:numId w:val="0"/>
        </w:numPr>
      </w:pPr>
      <w:r w:rsidRPr="00BF288E">
        <w:br w:type="page"/>
      </w:r>
    </w:p>
    <w:p w14:paraId="046DE9E0" w14:textId="77777777" w:rsidR="00D55F4F" w:rsidRPr="00BF288E" w:rsidRDefault="00D55F4F" w:rsidP="00593140">
      <w:pPr>
        <w:pStyle w:val="HChG"/>
        <w:spacing w:before="240"/>
      </w:pPr>
      <w:r w:rsidRPr="00BF288E">
        <w:t xml:space="preserve">Annex </w:t>
      </w:r>
    </w:p>
    <w:p w14:paraId="07B1F731" w14:textId="77777777" w:rsidR="00D55F4F" w:rsidRPr="00BF288E" w:rsidRDefault="00D55F4F" w:rsidP="00D55F4F">
      <w:pPr>
        <w:pStyle w:val="HChG"/>
        <w:tabs>
          <w:tab w:val="clear" w:pos="851"/>
        </w:tabs>
        <w:ind w:firstLine="0"/>
      </w:pPr>
      <w:r w:rsidRPr="00BF288E">
        <w:t>Amendments to the rules of procedure of the Compliance Committee of the Kyoto Protocol</w:t>
      </w:r>
    </w:p>
    <w:p w14:paraId="5164CAD9" w14:textId="77777777" w:rsidR="00D55F4F" w:rsidRPr="00BF288E" w:rsidRDefault="00D55F4F" w:rsidP="00D55F4F">
      <w:pPr>
        <w:pStyle w:val="SingleTxtG"/>
        <w:ind w:firstLine="567"/>
      </w:pPr>
      <w:r w:rsidRPr="00BF288E">
        <w:t xml:space="preserve">The “Rules of procedure of the Compliance Committee of the Kyoto Protocol” contained in the annex to decision 4/CMP.2, as amended by decisions 4/CMP.4 and 8/CMP.9, are further amended as follows: </w:t>
      </w:r>
    </w:p>
    <w:p w14:paraId="22C6BB94" w14:textId="77777777" w:rsidR="00D55F4F" w:rsidRPr="00BF288E" w:rsidRDefault="00D55F4F" w:rsidP="00D55F4F">
      <w:pPr>
        <w:pStyle w:val="SingleTxtG"/>
        <w:ind w:firstLine="567"/>
      </w:pPr>
      <w:r w:rsidRPr="00BF288E">
        <w:t>(a)</w:t>
      </w:r>
      <w:r w:rsidRPr="00BF288E">
        <w:tab/>
        <w:t xml:space="preserve">The following text should be inserted at the end of rule 3, paragraph 1: </w:t>
      </w:r>
    </w:p>
    <w:p w14:paraId="3D16E0F3" w14:textId="77777777" w:rsidR="00D55F4F" w:rsidRPr="00BF288E" w:rsidRDefault="00D55F4F" w:rsidP="00D55F4F">
      <w:pPr>
        <w:pStyle w:val="SingleTxtG"/>
        <w:ind w:left="1701"/>
      </w:pPr>
      <w:r w:rsidRPr="00BF288E">
        <w:t>“Each member and alternate member shall remain in office until his or her successor is elected.”</w:t>
      </w:r>
    </w:p>
    <w:p w14:paraId="31C0AF5B" w14:textId="77777777" w:rsidR="00D55F4F" w:rsidRPr="00BF288E" w:rsidRDefault="00D55F4F" w:rsidP="00D55F4F">
      <w:pPr>
        <w:pStyle w:val="SingleTxtG"/>
        <w:ind w:firstLine="567"/>
      </w:pPr>
      <w:r w:rsidRPr="00BF288E">
        <w:t>(b)</w:t>
      </w:r>
      <w:r w:rsidRPr="00BF288E">
        <w:tab/>
        <w:t>The following text should replace rule 3, paragraph 5:</w:t>
      </w:r>
    </w:p>
    <w:p w14:paraId="4814112C" w14:textId="77777777" w:rsidR="00D55F4F" w:rsidRPr="00BF288E" w:rsidRDefault="00D55F4F" w:rsidP="00D55F4F">
      <w:pPr>
        <w:pStyle w:val="SingleTxtG"/>
        <w:ind w:left="1701"/>
      </w:pPr>
      <w:r w:rsidRPr="00BF288E">
        <w:t>“If a member or an alternate member resigns or is otherwise unable to complete the assigned term of office or to perform the functions of that office, the Committee may decide, bearing in mind the proximity of the next session of the Conference of the Parties serving as the meeting of the Parties to the Kyoto Protocol, to appoint another member or alternate member from the same group or constituency to replace the said member or alternate member for the remainder of the term of that member or alternate member, in which case the appointment shall count as one term.”</w:t>
      </w:r>
    </w:p>
    <w:p w14:paraId="44E39A07" w14:textId="77777777" w:rsidR="00D55F4F" w:rsidRPr="00BF288E" w:rsidRDefault="00D55F4F" w:rsidP="00D55F4F">
      <w:pPr>
        <w:ind w:right="1133"/>
        <w:jc w:val="right"/>
        <w:rPr>
          <w:i/>
        </w:rPr>
      </w:pPr>
      <w:r w:rsidRPr="00BF288E">
        <w:rPr>
          <w:i/>
        </w:rPr>
        <w:t>9</w:t>
      </w:r>
      <w:r w:rsidRPr="00BF288E">
        <w:rPr>
          <w:i/>
          <w:vertAlign w:val="superscript"/>
        </w:rPr>
        <w:t>th</w:t>
      </w:r>
      <w:r w:rsidRPr="00BF288E">
        <w:rPr>
          <w:i/>
        </w:rPr>
        <w:t xml:space="preserve"> plenary meeting</w:t>
      </w:r>
    </w:p>
    <w:p w14:paraId="6A98DE99" w14:textId="0669263D" w:rsidR="00D55F4F" w:rsidRPr="00BF288E" w:rsidRDefault="00D55F4F" w:rsidP="00D55F4F">
      <w:pPr>
        <w:ind w:right="1133"/>
        <w:jc w:val="right"/>
        <w:rPr>
          <w:i/>
        </w:rPr>
      </w:pPr>
      <w:r w:rsidRPr="00BF288E">
        <w:rPr>
          <w:i/>
        </w:rPr>
        <w:t>17 November 2022</w:t>
      </w:r>
    </w:p>
    <w:p w14:paraId="0AECA2F1" w14:textId="77777777" w:rsidR="004D7020" w:rsidRPr="00BF288E" w:rsidRDefault="004D7020" w:rsidP="00F9006F">
      <w:pPr>
        <w:ind w:right="1133"/>
        <w:rPr>
          <w:i/>
        </w:rPr>
      </w:pPr>
    </w:p>
    <w:p w14:paraId="060AB2A1" w14:textId="77777777" w:rsidR="00970F18" w:rsidRPr="00BF288E" w:rsidRDefault="00970F18" w:rsidP="00EA1E20">
      <w:pPr>
        <w:pStyle w:val="RegHChG"/>
        <w:numPr>
          <w:ilvl w:val="0"/>
          <w:numId w:val="0"/>
        </w:numPr>
        <w:ind w:left="1135" w:hanging="454"/>
        <w:sectPr w:rsidR="00970F18" w:rsidRPr="00BF288E" w:rsidSect="00310DE3">
          <w:headerReference w:type="even" r:id="rId34"/>
          <w:headerReference w:type="default" r:id="rId35"/>
          <w:footerReference w:type="even" r:id="rId36"/>
          <w:footerReference w:type="default" r:id="rId37"/>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4ABEEB76" w14:textId="747CA242" w:rsidR="00D55F4F" w:rsidRPr="00BF288E" w:rsidRDefault="00440CCD" w:rsidP="005F2EAF">
      <w:pPr>
        <w:pStyle w:val="HChG"/>
        <w:tabs>
          <w:tab w:val="clear" w:pos="851"/>
        </w:tabs>
        <w:ind w:firstLine="0"/>
      </w:pPr>
      <w:bookmarkStart w:id="25" w:name="Decision_7"/>
      <w:r w:rsidRPr="00BF288E">
        <w:tab/>
      </w:r>
      <w:r w:rsidR="00970F18" w:rsidRPr="00BF288E">
        <w:t>Decision 7/CMP.17</w:t>
      </w:r>
      <w:bookmarkEnd w:id="25"/>
    </w:p>
    <w:p w14:paraId="2E52FD5D" w14:textId="2D80D6A8" w:rsidR="00564E45" w:rsidRPr="00BF288E" w:rsidRDefault="00C30137" w:rsidP="005F2EAF">
      <w:pPr>
        <w:pStyle w:val="HChG"/>
        <w:tabs>
          <w:tab w:val="clear" w:pos="851"/>
        </w:tabs>
        <w:ind w:firstLine="0"/>
      </w:pPr>
      <w:r w:rsidRPr="00BF288E">
        <w:tab/>
      </w:r>
      <w:r w:rsidR="00E94DF4" w:rsidRPr="00BF288E">
        <w:t>Report of the forum on the impact of the implementation of</w:t>
      </w:r>
      <w:r w:rsidR="00CB066A" w:rsidRPr="00BF288E">
        <w:t xml:space="preserve"> </w:t>
      </w:r>
      <w:r w:rsidR="00E94DF4" w:rsidRPr="00BF288E">
        <w:t>response measures</w:t>
      </w:r>
    </w:p>
    <w:p w14:paraId="21240F14" w14:textId="6227DCEB" w:rsidR="00C81ACD" w:rsidRPr="00BF288E" w:rsidRDefault="00C81ACD" w:rsidP="005F2EAF">
      <w:pPr>
        <w:pStyle w:val="SingleTxtG"/>
        <w:ind w:right="1133" w:firstLine="567"/>
        <w:rPr>
          <w:i/>
          <w:iCs/>
        </w:rPr>
      </w:pPr>
      <w:r w:rsidRPr="00BF288E">
        <w:tab/>
      </w:r>
      <w:r w:rsidRPr="00BF288E">
        <w:rPr>
          <w:i/>
        </w:rPr>
        <w:t xml:space="preserve">The </w:t>
      </w:r>
      <w:r w:rsidRPr="00BF288E">
        <w:rPr>
          <w:i/>
          <w:iCs/>
        </w:rPr>
        <w:t>Conference of the Parties and the Conference of the Parties serving as the meeting of the Parties to the Kyoto Protocol</w:t>
      </w:r>
      <w:r w:rsidRPr="00BF288E">
        <w:t>,</w:t>
      </w:r>
    </w:p>
    <w:p w14:paraId="7F6329B6" w14:textId="77777777" w:rsidR="00C81ACD" w:rsidRPr="00BF288E" w:rsidRDefault="00C81ACD" w:rsidP="005F2EAF">
      <w:pPr>
        <w:pStyle w:val="SingleTxtG"/>
        <w:ind w:right="1133" w:firstLine="567"/>
        <w:rPr>
          <w:b/>
          <w:bCs/>
        </w:rPr>
      </w:pPr>
      <w:r w:rsidRPr="00BF288E">
        <w:rPr>
          <w:i/>
          <w:iCs/>
        </w:rPr>
        <w:tab/>
        <w:t>Recalling</w:t>
      </w:r>
      <w:r w:rsidRPr="00BF288E">
        <w:t xml:space="preserve"> decisions 7/CP.24, 3/CMP.14, 7/CMA.1, 4/CP.25, 4/CMP.15, 19/CP.26 and 7/CMP.16,</w:t>
      </w:r>
    </w:p>
    <w:p w14:paraId="1A4414D8" w14:textId="2B99018E" w:rsidR="00C81ACD" w:rsidRPr="00BF288E" w:rsidRDefault="00EA1E20" w:rsidP="00EA1E20">
      <w:pPr>
        <w:pStyle w:val="RegSingleTxtG"/>
        <w:numPr>
          <w:ilvl w:val="0"/>
          <w:numId w:val="0"/>
        </w:numPr>
        <w:ind w:left="1134" w:right="1133"/>
      </w:pPr>
      <w:r w:rsidRPr="00BF288E">
        <w:t>1.</w:t>
      </w:r>
      <w:r w:rsidRPr="00BF288E">
        <w:tab/>
      </w:r>
      <w:r w:rsidR="00C81ACD" w:rsidRPr="00BF288E">
        <w:rPr>
          <w:i/>
        </w:rPr>
        <w:t>Welcome</w:t>
      </w:r>
      <w:r w:rsidR="00C81ACD" w:rsidRPr="00BF288E">
        <w:t xml:space="preserve"> the Katowice Committee </w:t>
      </w:r>
      <w:r w:rsidR="00B503AE" w:rsidRPr="00BF288E">
        <w:t xml:space="preserve">of Experts </w:t>
      </w:r>
      <w:r w:rsidR="00C81ACD" w:rsidRPr="00BF288E">
        <w:t xml:space="preserve">on </w:t>
      </w:r>
      <w:r w:rsidR="00B503AE" w:rsidRPr="00BF288E">
        <w:t xml:space="preserve">the </w:t>
      </w:r>
      <w:r w:rsidR="00C81ACD" w:rsidRPr="00BF288E">
        <w:t xml:space="preserve">Impacts of the </w:t>
      </w:r>
      <w:r w:rsidR="00B503AE" w:rsidRPr="00BF288E">
        <w:t>I</w:t>
      </w:r>
      <w:r w:rsidR="00C81ACD" w:rsidRPr="00BF288E">
        <w:t xml:space="preserve">mplementation of </w:t>
      </w:r>
      <w:r w:rsidR="00B503AE" w:rsidRPr="00BF288E">
        <w:t>R</w:t>
      </w:r>
      <w:r w:rsidR="00C81ACD" w:rsidRPr="00BF288E">
        <w:t xml:space="preserve">esponse </w:t>
      </w:r>
      <w:r w:rsidR="00B503AE" w:rsidRPr="00BF288E">
        <w:t>M</w:t>
      </w:r>
      <w:r w:rsidR="00C81ACD" w:rsidRPr="00BF288E">
        <w:t>easures annual reports for 2019</w:t>
      </w:r>
      <w:r w:rsidR="00C81ACD" w:rsidRPr="00BF288E">
        <w:rPr>
          <w:rStyle w:val="FootnoteReference"/>
        </w:rPr>
        <w:footnoteReference w:id="30"/>
      </w:r>
      <w:r w:rsidR="00C81ACD" w:rsidRPr="00BF288E">
        <w:t xml:space="preserve"> and 2021–2022;</w:t>
      </w:r>
      <w:r w:rsidR="00C81ACD" w:rsidRPr="00BF288E">
        <w:rPr>
          <w:rStyle w:val="FootnoteReference"/>
        </w:rPr>
        <w:footnoteReference w:id="31"/>
      </w:r>
      <w:r w:rsidR="00C81ACD" w:rsidRPr="00BF288E">
        <w:t xml:space="preserve"> </w:t>
      </w:r>
      <w:bookmarkStart w:id="26" w:name="_Hlk118976186"/>
    </w:p>
    <w:p w14:paraId="40E06155" w14:textId="2AC03AB5" w:rsidR="00C81ACD" w:rsidRPr="00BF288E" w:rsidRDefault="00EA1E20" w:rsidP="00EA1E20">
      <w:pPr>
        <w:pStyle w:val="RegSingleTxtG"/>
        <w:numPr>
          <w:ilvl w:val="0"/>
          <w:numId w:val="0"/>
        </w:numPr>
        <w:tabs>
          <w:tab w:val="left" w:pos="568"/>
        </w:tabs>
        <w:ind w:left="1134" w:right="1133"/>
      </w:pPr>
      <w:r w:rsidRPr="00BF288E">
        <w:t>2.</w:t>
      </w:r>
      <w:r w:rsidRPr="00BF288E">
        <w:tab/>
      </w:r>
      <w:r w:rsidR="00C81ACD" w:rsidRPr="00BF288E">
        <w:rPr>
          <w:i/>
        </w:rPr>
        <w:t xml:space="preserve">Take note </w:t>
      </w:r>
      <w:r w:rsidR="00C81ACD" w:rsidRPr="00BF288E">
        <w:t>of the conclusion of consideration of the Katowice Committee on Impacts annual reports for 2019 and 2021–2022 by the forum on the impact of the implementation of response measures</w:t>
      </w:r>
      <w:bookmarkEnd w:id="26"/>
      <w:r w:rsidR="00C81ACD" w:rsidRPr="00BF288E">
        <w:t>;</w:t>
      </w:r>
    </w:p>
    <w:p w14:paraId="7B02E2ED" w14:textId="0F50D320" w:rsidR="00C81ACD" w:rsidRPr="00BF288E" w:rsidRDefault="00EA1E20" w:rsidP="00EA1E20">
      <w:pPr>
        <w:pStyle w:val="RegSingleTxtG"/>
        <w:numPr>
          <w:ilvl w:val="0"/>
          <w:numId w:val="0"/>
        </w:numPr>
        <w:tabs>
          <w:tab w:val="left" w:pos="568"/>
        </w:tabs>
        <w:ind w:left="1134" w:right="1133"/>
      </w:pPr>
      <w:r w:rsidRPr="00BF288E">
        <w:t>3.</w:t>
      </w:r>
      <w:r w:rsidRPr="00BF288E">
        <w:tab/>
      </w:r>
      <w:r w:rsidR="00C81ACD" w:rsidRPr="00BF288E">
        <w:rPr>
          <w:i/>
        </w:rPr>
        <w:t>Adopt</w:t>
      </w:r>
      <w:r w:rsidR="00C81ACD" w:rsidRPr="00BF288E">
        <w:t xml:space="preserve"> the recommendations forwarded by the forum contained in sections I–VI below, pertaining to:</w:t>
      </w:r>
    </w:p>
    <w:p w14:paraId="38C89143" w14:textId="22722060"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Lessons learned and best practices from analysis and assessment of positive and negative impacts of the implementation of response measures by Parties;</w:t>
      </w:r>
    </w:p>
    <w:p w14:paraId="0179983A" w14:textId="4F1CE460"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Activities 2, 3, 4, 5 and 11 respectively of the workplan of the forum and its Katowice Committee on Impacts;</w:t>
      </w:r>
      <w:r w:rsidR="00C81ACD" w:rsidRPr="00BF288E">
        <w:rPr>
          <w:rStyle w:val="FootnoteReference"/>
        </w:rPr>
        <w:footnoteReference w:id="32"/>
      </w:r>
    </w:p>
    <w:p w14:paraId="30D1973A" w14:textId="07F4A2F9" w:rsidR="00C81ACD" w:rsidRPr="00BF288E" w:rsidRDefault="00EA1E20" w:rsidP="00EA1E20">
      <w:pPr>
        <w:pStyle w:val="RegSingleTxtG"/>
        <w:numPr>
          <w:ilvl w:val="0"/>
          <w:numId w:val="0"/>
        </w:numPr>
        <w:tabs>
          <w:tab w:val="left" w:pos="568"/>
        </w:tabs>
        <w:ind w:left="1134" w:right="1133"/>
      </w:pPr>
      <w:r w:rsidRPr="00BF288E">
        <w:t>4.</w:t>
      </w:r>
      <w:r w:rsidRPr="00BF288E">
        <w:tab/>
      </w:r>
      <w:r w:rsidR="00C81ACD" w:rsidRPr="00BF288E">
        <w:rPr>
          <w:i/>
        </w:rPr>
        <w:t>Invite</w:t>
      </w:r>
      <w:r w:rsidR="00C81ACD" w:rsidRPr="00BF288E">
        <w:t xml:space="preserve"> Parties, observer organizations and stakeholders to implement the recommendations in sections I–VI below, as applicable;</w:t>
      </w:r>
    </w:p>
    <w:p w14:paraId="73A361B6" w14:textId="14687F9F" w:rsidR="00C81ACD" w:rsidRPr="00BF288E" w:rsidRDefault="00EA1E20" w:rsidP="00EA1E20">
      <w:pPr>
        <w:pStyle w:val="RegSingleTxtG"/>
        <w:numPr>
          <w:ilvl w:val="0"/>
          <w:numId w:val="0"/>
        </w:numPr>
        <w:tabs>
          <w:tab w:val="left" w:pos="568"/>
        </w:tabs>
        <w:ind w:left="1134" w:right="1133"/>
      </w:pPr>
      <w:r w:rsidRPr="00BF288E">
        <w:t>5.</w:t>
      </w:r>
      <w:r w:rsidRPr="00BF288E">
        <w:tab/>
      </w:r>
      <w:r w:rsidR="00C81ACD" w:rsidRPr="00BF288E">
        <w:rPr>
          <w:i/>
        </w:rPr>
        <w:t xml:space="preserve">Request </w:t>
      </w:r>
      <w:r w:rsidR="00C81ACD" w:rsidRPr="00BF288E">
        <w:t>the forum and its Katowice Committee on Impacts and the secretariat to implement the recommendations in sections I–VI below, as applicable;</w:t>
      </w:r>
    </w:p>
    <w:p w14:paraId="5DE8800F" w14:textId="21B0BDA7" w:rsidR="00C81ACD" w:rsidRPr="00BF288E" w:rsidRDefault="00EA1E20" w:rsidP="00EA1E20">
      <w:pPr>
        <w:pStyle w:val="RegSingleTxtG"/>
        <w:numPr>
          <w:ilvl w:val="0"/>
          <w:numId w:val="0"/>
        </w:numPr>
        <w:tabs>
          <w:tab w:val="left" w:pos="568"/>
        </w:tabs>
        <w:ind w:left="1134" w:right="1133"/>
      </w:pPr>
      <w:r w:rsidRPr="00BF288E">
        <w:t>6.</w:t>
      </w:r>
      <w:r w:rsidRPr="00BF288E">
        <w:tab/>
      </w:r>
      <w:r w:rsidR="00C81ACD" w:rsidRPr="00BF288E">
        <w:rPr>
          <w:i/>
        </w:rPr>
        <w:t xml:space="preserve">Appreciate </w:t>
      </w:r>
      <w:r w:rsidR="00C81ACD" w:rsidRPr="00BF288E">
        <w:t>the progress of the Katowice Committee on Impacts in supporting the work of the forum on the impact of the implementation of response measures;</w:t>
      </w:r>
    </w:p>
    <w:p w14:paraId="3B85A820" w14:textId="578EF097" w:rsidR="00C81ACD" w:rsidRPr="00BF288E" w:rsidRDefault="00EA1E20" w:rsidP="00EA1E20">
      <w:pPr>
        <w:pStyle w:val="RegSingleTxtG"/>
        <w:numPr>
          <w:ilvl w:val="0"/>
          <w:numId w:val="0"/>
        </w:numPr>
        <w:tabs>
          <w:tab w:val="left" w:pos="568"/>
        </w:tabs>
        <w:ind w:left="1134" w:right="1133"/>
      </w:pPr>
      <w:r w:rsidRPr="00BF288E">
        <w:t>7.</w:t>
      </w:r>
      <w:r w:rsidRPr="00BF288E">
        <w:tab/>
      </w:r>
      <w:r w:rsidR="00C81ACD" w:rsidRPr="00BF288E">
        <w:rPr>
          <w:i/>
        </w:rPr>
        <w:t>Welcome</w:t>
      </w:r>
      <w:r w:rsidR="00C81ACD" w:rsidRPr="00BF288E">
        <w:t xml:space="preserve"> the informal notes prepared by the Chairs of the Subsidiary Body for Scientific and Technological Advice and the Subsidiary Body for</w:t>
      </w:r>
      <w:r w:rsidR="00C81ACD" w:rsidRPr="00BF288E" w:rsidDel="00937183">
        <w:t xml:space="preserve"> </w:t>
      </w:r>
      <w:r w:rsidR="00C81ACD" w:rsidRPr="00BF288E">
        <w:t>Implementation for the workshops held in conjunction with the fifty-sixth sessions of the subsidiary bodies on workplan activities 3, 4, 9 and 11;</w:t>
      </w:r>
    </w:p>
    <w:p w14:paraId="118FA3F4" w14:textId="2E3237AF" w:rsidR="00C81ACD" w:rsidRPr="00BF288E" w:rsidRDefault="00EA1E20" w:rsidP="00EA1E20">
      <w:pPr>
        <w:pStyle w:val="RegSingleTxtG"/>
        <w:numPr>
          <w:ilvl w:val="0"/>
          <w:numId w:val="0"/>
        </w:numPr>
        <w:tabs>
          <w:tab w:val="left" w:pos="568"/>
        </w:tabs>
        <w:ind w:left="1134" w:right="1133"/>
      </w:pPr>
      <w:r w:rsidRPr="00BF288E">
        <w:t>8.</w:t>
      </w:r>
      <w:r w:rsidRPr="00BF288E">
        <w:tab/>
      </w:r>
      <w:r w:rsidR="00C81ACD" w:rsidRPr="00BF288E">
        <w:rPr>
          <w:i/>
        </w:rPr>
        <w:t>Appreciate</w:t>
      </w:r>
      <w:r w:rsidR="00C81ACD" w:rsidRPr="00BF288E">
        <w:t xml:space="preserve"> the technical session on implementing activities 5 and 11 of the workplan</w:t>
      </w:r>
      <w:r w:rsidR="00C81ACD" w:rsidRPr="00BF288E">
        <w:rPr>
          <w:rStyle w:val="FootnoteReference"/>
        </w:rPr>
        <w:t xml:space="preserve"> </w:t>
      </w:r>
      <w:r w:rsidR="00C81ACD" w:rsidRPr="00BF288E">
        <w:t xml:space="preserve">and </w:t>
      </w:r>
      <w:r w:rsidR="00C81ACD" w:rsidRPr="00BF288E">
        <w:rPr>
          <w:i/>
        </w:rPr>
        <w:t>express</w:t>
      </w:r>
      <w:r w:rsidR="00C81ACD" w:rsidRPr="00BF288E">
        <w:rPr>
          <w:i/>
          <w:iCs/>
        </w:rPr>
        <w:t xml:space="preserve"> their gratitude</w:t>
      </w:r>
      <w:r w:rsidR="00C81ACD" w:rsidRPr="00BF288E">
        <w:t xml:space="preserve"> to the experts contributing to the work of the forum and its Katowice Committee on Impacts;</w:t>
      </w:r>
    </w:p>
    <w:p w14:paraId="4E917053" w14:textId="654549EF" w:rsidR="00C81ACD" w:rsidRPr="00BF288E" w:rsidRDefault="00EA1E20" w:rsidP="00EA1E20">
      <w:pPr>
        <w:pStyle w:val="RegSingleTxtG"/>
        <w:numPr>
          <w:ilvl w:val="0"/>
          <w:numId w:val="0"/>
        </w:numPr>
        <w:tabs>
          <w:tab w:val="left" w:pos="568"/>
        </w:tabs>
        <w:ind w:left="1134" w:right="1133"/>
      </w:pPr>
      <w:r w:rsidRPr="00BF288E">
        <w:t>9.</w:t>
      </w:r>
      <w:r w:rsidRPr="00BF288E">
        <w:tab/>
      </w:r>
      <w:r w:rsidR="00C81ACD" w:rsidRPr="00BF288E">
        <w:rPr>
          <w:i/>
        </w:rPr>
        <w:t>Also express</w:t>
      </w:r>
      <w:r w:rsidR="00C81ACD" w:rsidRPr="00BF288E">
        <w:rPr>
          <w:i/>
          <w:iCs/>
        </w:rPr>
        <w:t xml:space="preserve"> their gratitude</w:t>
      </w:r>
      <w:r w:rsidR="00C81ACD" w:rsidRPr="00BF288E">
        <w:t xml:space="preserve"> to the Government of Antigua and Barbuda, the Government of Senegal, the International Labour Organization and the United Nations Development Programme for their in-kind, financial, administrative and substantive support that contributed to the success of the regional workshops held </w:t>
      </w:r>
      <w:r w:rsidR="00BE62F6" w:rsidRPr="00BF288E">
        <w:t>from</w:t>
      </w:r>
      <w:r w:rsidR="00C81ACD" w:rsidRPr="00BF288E">
        <w:t xml:space="preserve"> 20</w:t>
      </w:r>
      <w:r w:rsidR="00BE62F6" w:rsidRPr="00BF288E">
        <w:t xml:space="preserve"> to </w:t>
      </w:r>
      <w:r w:rsidR="00C81ACD" w:rsidRPr="00BF288E">
        <w:t xml:space="preserve">22 April 2022 in St. John’s, Antigua and Barbuda, and </w:t>
      </w:r>
      <w:r w:rsidR="00BE62F6" w:rsidRPr="00BF288E">
        <w:t xml:space="preserve">from </w:t>
      </w:r>
      <w:bookmarkStart w:id="27" w:name="_Hlk118545287"/>
      <w:r w:rsidR="00C81ACD" w:rsidRPr="00BF288E">
        <w:t>21</w:t>
      </w:r>
      <w:r w:rsidR="000A5EA5" w:rsidRPr="00BF288E">
        <w:t xml:space="preserve"> to </w:t>
      </w:r>
      <w:r w:rsidR="00C81ACD" w:rsidRPr="00BF288E">
        <w:t>23</w:t>
      </w:r>
      <w:bookmarkEnd w:id="27"/>
      <w:r w:rsidR="00C81ACD" w:rsidRPr="00BF288E">
        <w:t xml:space="preserve"> September 2022 in Saly, Senegal, on activity 3 of the workplan;</w:t>
      </w:r>
      <w:bookmarkStart w:id="28" w:name="_Hlk119611988"/>
    </w:p>
    <w:p w14:paraId="3C8F1232" w14:textId="3943489C" w:rsidR="00C81ACD" w:rsidRPr="00BF288E" w:rsidRDefault="00EA1E20" w:rsidP="00EA1E20">
      <w:pPr>
        <w:pStyle w:val="RegSingleTxtG"/>
        <w:numPr>
          <w:ilvl w:val="0"/>
          <w:numId w:val="0"/>
        </w:numPr>
        <w:tabs>
          <w:tab w:val="left" w:pos="568"/>
        </w:tabs>
        <w:ind w:left="1134" w:right="1133"/>
      </w:pPr>
      <w:r w:rsidRPr="00BF288E">
        <w:t>10.</w:t>
      </w:r>
      <w:r w:rsidRPr="00BF288E">
        <w:tab/>
      </w:r>
      <w:r w:rsidR="00C81ACD" w:rsidRPr="00BF288E">
        <w:rPr>
          <w:i/>
        </w:rPr>
        <w:t>Note</w:t>
      </w:r>
      <w:r w:rsidR="00C81ACD" w:rsidRPr="00BF288E">
        <w:t xml:space="preserve"> that the midterm review of the workplan of the forum could not be concluded at these sessions, </w:t>
      </w:r>
      <w:r w:rsidR="00C81ACD" w:rsidRPr="00BF288E">
        <w:rPr>
          <w:i/>
        </w:rPr>
        <w:t>take note</w:t>
      </w:r>
      <w:r w:rsidR="00C81ACD" w:rsidRPr="00BF288E">
        <w:t xml:space="preserve"> of the informal note on the midterm review</w:t>
      </w:r>
      <w:r w:rsidR="00C81ACD" w:rsidRPr="00BF288E">
        <w:rPr>
          <w:rStyle w:val="FootnoteReference"/>
        </w:rPr>
        <w:footnoteReference w:id="33"/>
      </w:r>
      <w:r w:rsidR="00C81ACD" w:rsidRPr="00BF288E">
        <w:t xml:space="preserve"> and </w:t>
      </w:r>
      <w:r w:rsidR="00C81ACD" w:rsidRPr="00BF288E">
        <w:rPr>
          <w:i/>
        </w:rPr>
        <w:t>request</w:t>
      </w:r>
      <w:r w:rsidR="00C81ACD" w:rsidRPr="00BF288E">
        <w:t xml:space="preserve"> the forum to continue the midterm review at the fifty-eighth sessions of the subsidiary bodies (June 2023);</w:t>
      </w:r>
      <w:bookmarkEnd w:id="28"/>
    </w:p>
    <w:p w14:paraId="57B9CD2C" w14:textId="0CFBF71A" w:rsidR="00C81ACD" w:rsidRPr="00BF288E" w:rsidRDefault="00EA1E20" w:rsidP="00EA1E20">
      <w:pPr>
        <w:pStyle w:val="RegSingleTxtG"/>
        <w:keepLines/>
        <w:numPr>
          <w:ilvl w:val="0"/>
          <w:numId w:val="0"/>
        </w:numPr>
        <w:tabs>
          <w:tab w:val="left" w:pos="568"/>
        </w:tabs>
        <w:ind w:left="1134"/>
      </w:pPr>
      <w:r w:rsidRPr="00BF288E">
        <w:t>11.</w:t>
      </w:r>
      <w:r w:rsidRPr="00BF288E">
        <w:tab/>
      </w:r>
      <w:r w:rsidR="00C81ACD" w:rsidRPr="00BF288E">
        <w:rPr>
          <w:i/>
        </w:rPr>
        <w:t>Also request</w:t>
      </w:r>
      <w:r w:rsidR="00C81ACD" w:rsidRPr="00BF288E">
        <w:t xml:space="preserve"> the secretariat to organize a regional workshop on activity 3 of the workplan by the fifty-ninth sessions of the subsidiary bodies (November–December 2023), in collaboration with relevant organizations and stakeholders, to address regional needs and acknowledge the work that has been carried out by the Katowice Committee on Impacts and </w:t>
      </w:r>
      <w:r w:rsidR="00C81ACD" w:rsidRPr="00BF288E">
        <w:rPr>
          <w:i/>
        </w:rPr>
        <w:t>note</w:t>
      </w:r>
      <w:r w:rsidR="00C81ACD" w:rsidRPr="00BF288E">
        <w:t xml:space="preserve"> that further regional workshops on activity 3 can be decided </w:t>
      </w:r>
      <w:r w:rsidR="00892680" w:rsidRPr="00BF288E">
        <w:t xml:space="preserve">on </w:t>
      </w:r>
      <w:r w:rsidR="00C81ACD" w:rsidRPr="00BF288E">
        <w:t>by the forum;</w:t>
      </w:r>
    </w:p>
    <w:p w14:paraId="0E00F5FE" w14:textId="4E3972F5" w:rsidR="00C81ACD" w:rsidRPr="00BF288E" w:rsidRDefault="00EA1E20" w:rsidP="00EA1E20">
      <w:pPr>
        <w:pStyle w:val="RegSingleTxtG"/>
        <w:numPr>
          <w:ilvl w:val="0"/>
          <w:numId w:val="0"/>
        </w:numPr>
        <w:tabs>
          <w:tab w:val="left" w:pos="568"/>
        </w:tabs>
        <w:ind w:left="1134" w:right="1133"/>
      </w:pPr>
      <w:r w:rsidRPr="00BF288E">
        <w:t>12.</w:t>
      </w:r>
      <w:r w:rsidRPr="00BF288E">
        <w:tab/>
      </w:r>
      <w:r w:rsidR="00C81ACD" w:rsidRPr="00BF288E">
        <w:rPr>
          <w:i/>
        </w:rPr>
        <w:t>Invite</w:t>
      </w:r>
      <w:r w:rsidR="00C81ACD" w:rsidRPr="00BF288E">
        <w:t xml:space="preserve"> Parties and observers to submit via the submission portal</w:t>
      </w:r>
      <w:r w:rsidR="007C5EA1" w:rsidRPr="00BF288E">
        <w:t>,</w:t>
      </w:r>
      <w:r w:rsidR="007C5EA1" w:rsidRPr="00BF288E">
        <w:rPr>
          <w:rStyle w:val="FootnoteReference"/>
        </w:rPr>
        <w:footnoteReference w:id="34"/>
      </w:r>
      <w:r w:rsidR="00C81ACD" w:rsidRPr="00BF288E">
        <w:t xml:space="preserve"> by April 2023</w:t>
      </w:r>
      <w:r w:rsidR="009B1FCF" w:rsidRPr="00BF288E">
        <w:t>,</w:t>
      </w:r>
      <w:r w:rsidR="00C81ACD" w:rsidRPr="00BF288E">
        <w:t xml:space="preserve"> their views and guiding questions for the review of the functions, work programme and modalities of the forum</w:t>
      </w:r>
      <w:r w:rsidR="00C81ACD" w:rsidRPr="00BF288E">
        <w:rPr>
          <w:rStyle w:val="FootnoteReference"/>
        </w:rPr>
        <w:footnoteReference w:id="35"/>
      </w:r>
      <w:r w:rsidR="00C81ACD" w:rsidRPr="00BF288E">
        <w:t xml:space="preserve"> and </w:t>
      </w:r>
      <w:r w:rsidR="00C81ACD" w:rsidRPr="00BF288E">
        <w:rPr>
          <w:i/>
        </w:rPr>
        <w:t>request</w:t>
      </w:r>
      <w:r w:rsidR="00C81ACD" w:rsidRPr="00BF288E">
        <w:t xml:space="preserve"> the secretariat to prepare the summary of the submissions as a basis of the discussion of the review, which is to start at the fifty-eighth and conclude at the fifty-ninth sessions of the subsidiary bodies;</w:t>
      </w:r>
    </w:p>
    <w:p w14:paraId="55E9BF0E" w14:textId="61E5F6C9" w:rsidR="00C81ACD" w:rsidRPr="00BF288E" w:rsidRDefault="00EA1E20" w:rsidP="00EA1E20">
      <w:pPr>
        <w:pStyle w:val="RegSingleTxtG"/>
        <w:numPr>
          <w:ilvl w:val="0"/>
          <w:numId w:val="0"/>
        </w:numPr>
        <w:tabs>
          <w:tab w:val="left" w:pos="568"/>
        </w:tabs>
        <w:ind w:left="1134" w:right="1133"/>
      </w:pPr>
      <w:r w:rsidRPr="00BF288E">
        <w:t>13.</w:t>
      </w:r>
      <w:r w:rsidRPr="00BF288E">
        <w:tab/>
      </w:r>
      <w:r w:rsidR="00C81ACD" w:rsidRPr="00BF288E">
        <w:rPr>
          <w:i/>
          <w:iCs/>
        </w:rPr>
        <w:t>Take note</w:t>
      </w:r>
      <w:r w:rsidR="00C81ACD" w:rsidRPr="00BF288E">
        <w:t xml:space="preserve"> of the estimated budgetary implications of the activities to be undertaken by the secretariat referred to in paragraphs 3, 11 </w:t>
      </w:r>
      <w:r w:rsidR="008E0C96" w:rsidRPr="00BF288E">
        <w:t xml:space="preserve">and </w:t>
      </w:r>
      <w:r w:rsidR="00C81ACD" w:rsidRPr="00BF288E">
        <w:t>12 above;</w:t>
      </w:r>
    </w:p>
    <w:p w14:paraId="03535541" w14:textId="1DC3216C" w:rsidR="00C81ACD" w:rsidRPr="00BF288E" w:rsidRDefault="00EA1E20" w:rsidP="00EA1E20">
      <w:pPr>
        <w:pStyle w:val="RegSingleTxtG"/>
        <w:numPr>
          <w:ilvl w:val="0"/>
          <w:numId w:val="0"/>
        </w:numPr>
        <w:tabs>
          <w:tab w:val="left" w:pos="568"/>
        </w:tabs>
        <w:ind w:left="1134" w:right="1133"/>
      </w:pPr>
      <w:r w:rsidRPr="00BF288E">
        <w:t>14.</w:t>
      </w:r>
      <w:r w:rsidRPr="00BF288E">
        <w:tab/>
      </w:r>
      <w:r w:rsidR="00C81ACD" w:rsidRPr="00BF288E">
        <w:rPr>
          <w:i/>
        </w:rPr>
        <w:t>Request</w:t>
      </w:r>
      <w:r w:rsidR="00C81ACD" w:rsidRPr="00BF288E">
        <w:t xml:space="preserve"> that the actions of the secretariat called for in this decision be undertaken subject to the availability of financial resources;</w:t>
      </w:r>
    </w:p>
    <w:p w14:paraId="2EFA57EF" w14:textId="7D78C8FA" w:rsidR="00C81ACD" w:rsidRPr="00BF288E" w:rsidRDefault="00EA1E20" w:rsidP="00EA1E20">
      <w:pPr>
        <w:pStyle w:val="RegHChG"/>
        <w:numPr>
          <w:ilvl w:val="0"/>
          <w:numId w:val="0"/>
        </w:numPr>
        <w:tabs>
          <w:tab w:val="left" w:pos="1135"/>
        </w:tabs>
        <w:ind w:left="1135" w:right="1133" w:hanging="454"/>
      </w:pPr>
      <w:r w:rsidRPr="00BF288E">
        <w:t>I.</w:t>
      </w:r>
      <w:r w:rsidRPr="00BF288E">
        <w:tab/>
      </w:r>
      <w:r w:rsidR="00C81ACD" w:rsidRPr="00BF288E">
        <w:t>Lessons learned and best practices from analysis and assessment of positive and negative impacts of the implementation of response measures by Parties</w:t>
      </w:r>
    </w:p>
    <w:p w14:paraId="550C43F1" w14:textId="177BA515" w:rsidR="00C81ACD" w:rsidRPr="00BF288E" w:rsidRDefault="00EA1E20" w:rsidP="00EA1E20">
      <w:pPr>
        <w:pStyle w:val="RegSingleTxtG"/>
        <w:numPr>
          <w:ilvl w:val="0"/>
          <w:numId w:val="0"/>
        </w:numPr>
        <w:tabs>
          <w:tab w:val="left" w:pos="568"/>
        </w:tabs>
        <w:ind w:left="1134" w:right="1133"/>
      </w:pPr>
      <w:r w:rsidRPr="00BF288E">
        <w:t>15.</w:t>
      </w:r>
      <w:r w:rsidRPr="00BF288E">
        <w:tab/>
      </w:r>
      <w:r w:rsidR="00C81ACD" w:rsidRPr="00BF288E">
        <w:rPr>
          <w:i/>
        </w:rPr>
        <w:t>Encourage</w:t>
      </w:r>
      <w:r w:rsidR="00C81ACD" w:rsidRPr="00BF288E">
        <w:t xml:space="preserve"> Parties to consider:</w:t>
      </w:r>
    </w:p>
    <w:p w14:paraId="52975668" w14:textId="0C7FA222"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Developing methodologies and tools, including modelling tools, for the assessment and analysis of the impacts of the implementation of response measures in consultation with technical experts, practitioners and other relevant stakeholders, as appropriate;</w:t>
      </w:r>
    </w:p>
    <w:p w14:paraId="12DAB62A" w14:textId="4A03BD3D"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Building capacity for development and deployment of methodologies and tools, in particular of developing country Parties, to inform and support national climate change mitigation and sustainable development priorities and policies;</w:t>
      </w:r>
    </w:p>
    <w:p w14:paraId="6B8B2FB0" w14:textId="0E7217B2" w:rsidR="00C81ACD" w:rsidRPr="00BF288E" w:rsidRDefault="00EA1E20" w:rsidP="00EA1E20">
      <w:pPr>
        <w:pStyle w:val="RegSingleTxtG2"/>
        <w:numPr>
          <w:ilvl w:val="0"/>
          <w:numId w:val="0"/>
        </w:numPr>
        <w:ind w:left="1134" w:right="1133" w:firstLine="567"/>
      </w:pPr>
      <w:r w:rsidRPr="00BF288E">
        <w:rPr>
          <w:szCs w:val="28"/>
        </w:rPr>
        <w:t>(c)</w:t>
      </w:r>
      <w:r w:rsidRPr="00BF288E">
        <w:rPr>
          <w:szCs w:val="28"/>
        </w:rPr>
        <w:tab/>
      </w:r>
      <w:r w:rsidR="00C81ACD" w:rsidRPr="00BF288E">
        <w:t>Developing more national, regional and sector-specific case studies involving the assessment and analysis of the impacts of the implementation of response measures to enable an exchange of experience among Parties;</w:t>
      </w:r>
    </w:p>
    <w:p w14:paraId="55B16940" w14:textId="4DF01568" w:rsidR="00C81ACD" w:rsidRPr="00BF288E" w:rsidRDefault="00EA1E20" w:rsidP="00EA1E20">
      <w:pPr>
        <w:pStyle w:val="RegHChG"/>
        <w:numPr>
          <w:ilvl w:val="0"/>
          <w:numId w:val="0"/>
        </w:numPr>
        <w:tabs>
          <w:tab w:val="left" w:pos="1135"/>
        </w:tabs>
        <w:ind w:left="1135" w:right="1133" w:hanging="454"/>
      </w:pPr>
      <w:r w:rsidRPr="00BF288E">
        <w:t>II.</w:t>
      </w:r>
      <w:r w:rsidRPr="00BF288E">
        <w:tab/>
      </w:r>
      <w:r w:rsidR="00C81ACD" w:rsidRPr="00BF288E">
        <w:t>Activity 2</w:t>
      </w:r>
      <w:r w:rsidR="00C81ACD" w:rsidRPr="00BF288E">
        <w:rPr>
          <w:rStyle w:val="FootnoteReference"/>
          <w:sz w:val="24"/>
          <w:szCs w:val="24"/>
        </w:rPr>
        <w:footnoteReference w:id="36"/>
      </w:r>
      <w:r w:rsidR="00C81ACD" w:rsidRPr="00BF288E">
        <w:t xml:space="preserve"> of the workplan</w:t>
      </w:r>
    </w:p>
    <w:p w14:paraId="121F8EE6" w14:textId="03E04628" w:rsidR="00C81ACD" w:rsidRPr="00BF288E" w:rsidRDefault="00EA1E20" w:rsidP="00EA1E20">
      <w:pPr>
        <w:pStyle w:val="RegSingleTxtG"/>
        <w:numPr>
          <w:ilvl w:val="0"/>
          <w:numId w:val="0"/>
        </w:numPr>
        <w:tabs>
          <w:tab w:val="left" w:pos="568"/>
        </w:tabs>
        <w:ind w:left="1134" w:right="1133"/>
      </w:pPr>
      <w:r w:rsidRPr="00BF288E">
        <w:t>16.</w:t>
      </w:r>
      <w:r w:rsidRPr="00BF288E">
        <w:tab/>
      </w:r>
      <w:r w:rsidR="00C81ACD" w:rsidRPr="00BF288E">
        <w:rPr>
          <w:i/>
          <w:iCs/>
        </w:rPr>
        <w:t>Encourage</w:t>
      </w:r>
      <w:r w:rsidR="00C81ACD" w:rsidRPr="00BF288E">
        <w:t xml:space="preserve"> Parties to invest in the early planning of just transition policies that are inclusive and based on stakeholder engagement;</w:t>
      </w:r>
    </w:p>
    <w:p w14:paraId="5FB9CE71" w14:textId="0254A23A" w:rsidR="00C81ACD" w:rsidRPr="00BF288E" w:rsidRDefault="00EA1E20" w:rsidP="00EA1E20">
      <w:pPr>
        <w:pStyle w:val="RegSingleTxtG"/>
        <w:numPr>
          <w:ilvl w:val="0"/>
          <w:numId w:val="0"/>
        </w:numPr>
        <w:tabs>
          <w:tab w:val="left" w:pos="568"/>
        </w:tabs>
        <w:ind w:left="1134" w:right="1133"/>
      </w:pPr>
      <w:r w:rsidRPr="00BF288E">
        <w:t>17.</w:t>
      </w:r>
      <w:r w:rsidRPr="00BF288E">
        <w:tab/>
      </w:r>
      <w:r w:rsidR="00C81ACD" w:rsidRPr="00BF288E">
        <w:rPr>
          <w:i/>
        </w:rPr>
        <w:t xml:space="preserve">Also encourage </w:t>
      </w:r>
      <w:r w:rsidR="00C81ACD" w:rsidRPr="00BF288E">
        <w:t>countries at very low levels of economic development to prioritize getting the fundamentals right prior to undertaking economic diversification, noting that as countries develop, multiple diversification paths become available;</w:t>
      </w:r>
    </w:p>
    <w:p w14:paraId="7631AA6D" w14:textId="1DCDFC4C" w:rsidR="00C81ACD" w:rsidRPr="00BF288E" w:rsidRDefault="00EA1E20" w:rsidP="00EA1E20">
      <w:pPr>
        <w:pStyle w:val="RegSingleTxtG"/>
        <w:numPr>
          <w:ilvl w:val="0"/>
          <w:numId w:val="0"/>
        </w:numPr>
        <w:tabs>
          <w:tab w:val="left" w:pos="568"/>
        </w:tabs>
        <w:ind w:left="1134" w:right="1133"/>
      </w:pPr>
      <w:r w:rsidRPr="00BF288E">
        <w:t>18.</w:t>
      </w:r>
      <w:r w:rsidRPr="00BF288E">
        <w:tab/>
      </w:r>
      <w:r w:rsidR="00C81ACD" w:rsidRPr="00BF288E">
        <w:rPr>
          <w:i/>
          <w:iCs/>
        </w:rPr>
        <w:t>Request</w:t>
      </w:r>
      <w:r w:rsidR="00C81ACD" w:rsidRPr="00BF288E">
        <w:t xml:space="preserve"> the secretariat, while noting that national circumstances differ, to conduct peer-to-peer learning, where possible, to facilitate planning and implementation of effective policies;</w:t>
      </w:r>
    </w:p>
    <w:p w14:paraId="6A640E95" w14:textId="105B68BE" w:rsidR="00C81ACD" w:rsidRPr="00BF288E" w:rsidRDefault="00EA1E20" w:rsidP="00EA1E20">
      <w:pPr>
        <w:pStyle w:val="RegHChG"/>
        <w:numPr>
          <w:ilvl w:val="0"/>
          <w:numId w:val="0"/>
        </w:numPr>
        <w:tabs>
          <w:tab w:val="left" w:pos="1135"/>
        </w:tabs>
        <w:ind w:left="1135" w:right="1133" w:hanging="454"/>
      </w:pPr>
      <w:r w:rsidRPr="00BF288E">
        <w:t>III.</w:t>
      </w:r>
      <w:r w:rsidRPr="00BF288E">
        <w:tab/>
      </w:r>
      <w:r w:rsidR="00C81ACD" w:rsidRPr="00BF288E" w:rsidDel="00433BC3">
        <w:t>A</w:t>
      </w:r>
      <w:r w:rsidR="00C81ACD" w:rsidRPr="00BF288E">
        <w:t>ctivity 3</w:t>
      </w:r>
      <w:r w:rsidR="00C81ACD" w:rsidRPr="00BF288E">
        <w:rPr>
          <w:rStyle w:val="FootnoteReference"/>
          <w:sz w:val="24"/>
          <w:szCs w:val="24"/>
        </w:rPr>
        <w:footnoteReference w:id="37"/>
      </w:r>
      <w:r w:rsidR="00C81ACD" w:rsidRPr="00BF288E">
        <w:t xml:space="preserve"> of the workplan</w:t>
      </w:r>
    </w:p>
    <w:p w14:paraId="1B90550E" w14:textId="0196C6F5" w:rsidR="00C81ACD" w:rsidRPr="00BF288E" w:rsidRDefault="00EA1E20" w:rsidP="00EA1E20">
      <w:pPr>
        <w:pStyle w:val="RegSingleTxtG"/>
        <w:numPr>
          <w:ilvl w:val="0"/>
          <w:numId w:val="0"/>
        </w:numPr>
        <w:tabs>
          <w:tab w:val="left" w:pos="568"/>
        </w:tabs>
        <w:ind w:left="1134" w:right="1133"/>
      </w:pPr>
      <w:r w:rsidRPr="00BF288E">
        <w:t>19.</w:t>
      </w:r>
      <w:r w:rsidRPr="00BF288E">
        <w:tab/>
      </w:r>
      <w:r w:rsidR="00C81ACD" w:rsidRPr="00BF288E">
        <w:rPr>
          <w:i/>
        </w:rPr>
        <w:t>Encourage</w:t>
      </w:r>
      <w:r w:rsidR="00C81ACD" w:rsidRPr="00BF288E">
        <w:t xml:space="preserve"> Parties to:</w:t>
      </w:r>
    </w:p>
    <w:p w14:paraId="0B1BB548" w14:textId="4897C614"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Consider the availability of country-level expertise, training, support and consultancy services when selecting a tool or methodology for assessing the impacts of the implementation of response measures;</w:t>
      </w:r>
    </w:p>
    <w:p w14:paraId="410651AA" w14:textId="1F097344"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Invest in data collection in line with national and international standards (for example, the United Nations System of National Accounts or the System of Environmental-Economic Accounting);</w:t>
      </w:r>
    </w:p>
    <w:p w14:paraId="2A77BDAD" w14:textId="05C9853F" w:rsidR="00C81ACD" w:rsidRPr="00BF288E" w:rsidRDefault="00EA1E20" w:rsidP="00EA1E20">
      <w:pPr>
        <w:pStyle w:val="RegSingleTxtG2"/>
        <w:numPr>
          <w:ilvl w:val="0"/>
          <w:numId w:val="0"/>
        </w:numPr>
        <w:ind w:left="1134" w:right="1133" w:firstLine="567"/>
      </w:pPr>
      <w:r w:rsidRPr="00BF288E">
        <w:rPr>
          <w:szCs w:val="28"/>
        </w:rPr>
        <w:t>(c)</w:t>
      </w:r>
      <w:r w:rsidRPr="00BF288E">
        <w:rPr>
          <w:szCs w:val="28"/>
        </w:rPr>
        <w:tab/>
      </w:r>
      <w:r w:rsidR="00C81ACD" w:rsidRPr="00BF288E">
        <w:t>Establish capacity-building partnerships and networks for increasing the representation of developing countries in the use and development of impact assessment tools and methods for assessing the impacts of the implementation of response measures;</w:t>
      </w:r>
    </w:p>
    <w:p w14:paraId="4EB4644C" w14:textId="31543031" w:rsidR="00C81ACD" w:rsidRPr="00BF288E" w:rsidRDefault="00EA1E20" w:rsidP="00EA1E20">
      <w:pPr>
        <w:pStyle w:val="RegSingleTxtG2"/>
        <w:numPr>
          <w:ilvl w:val="0"/>
          <w:numId w:val="0"/>
        </w:numPr>
        <w:ind w:left="1134" w:right="1133" w:firstLine="567"/>
      </w:pPr>
      <w:r w:rsidRPr="00BF288E">
        <w:rPr>
          <w:szCs w:val="28"/>
        </w:rPr>
        <w:t>(d)</w:t>
      </w:r>
      <w:r w:rsidRPr="00BF288E">
        <w:rPr>
          <w:szCs w:val="28"/>
        </w:rPr>
        <w:tab/>
      </w:r>
      <w:r w:rsidR="00C81ACD" w:rsidRPr="00BF288E">
        <w:t>Consider both qualitative and quantitative methods for assessing the impact of the implementation of response measures;</w:t>
      </w:r>
    </w:p>
    <w:p w14:paraId="79789844" w14:textId="64AF3A15" w:rsidR="00C81ACD" w:rsidRPr="00BF288E" w:rsidRDefault="00EA1E20" w:rsidP="00EA1E20">
      <w:pPr>
        <w:pStyle w:val="RegSingleTxtG"/>
        <w:numPr>
          <w:ilvl w:val="0"/>
          <w:numId w:val="0"/>
        </w:numPr>
        <w:tabs>
          <w:tab w:val="left" w:pos="568"/>
        </w:tabs>
        <w:ind w:left="1134" w:right="1133"/>
      </w:pPr>
      <w:r w:rsidRPr="00BF288E">
        <w:t>20.</w:t>
      </w:r>
      <w:r w:rsidRPr="00BF288E">
        <w:tab/>
      </w:r>
      <w:r w:rsidR="00C81ACD" w:rsidRPr="00BF288E">
        <w:rPr>
          <w:i/>
        </w:rPr>
        <w:t>Request</w:t>
      </w:r>
      <w:r w:rsidR="00C81ACD" w:rsidRPr="00BF288E">
        <w:t xml:space="preserve"> the forum and its Katowice Committee on Impacts to:</w:t>
      </w:r>
    </w:p>
    <w:p w14:paraId="22764EAF" w14:textId="7CD724E4"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Facilitate the enhancement of the capacity of Parties, in particular developing country Parties, to develop and use impact assessment methodologies and tools for conducting their own assessments and analyses of the impacts of response measures, including on decent work and quality jobs, and economic, social, environmental, domestic, cross-border, positive and negative impacts; this includes facilitating the development of case studies as appropriate and the organization of targeted regional hands-on training workshops;</w:t>
      </w:r>
    </w:p>
    <w:p w14:paraId="2FB54B4B" w14:textId="22BE628B"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Develop and maintain a web-based user interface for selecting tools and methodologies and promote its use among Parties and stakeholders, as appropriate; a user manual for the interface could also be developed;</w:t>
      </w:r>
    </w:p>
    <w:p w14:paraId="59164D2B" w14:textId="227CA478" w:rsidR="00C81ACD" w:rsidRPr="00BF288E" w:rsidRDefault="00EA1E20" w:rsidP="00EA1E20">
      <w:pPr>
        <w:pStyle w:val="RegSingleTxtG"/>
        <w:numPr>
          <w:ilvl w:val="0"/>
          <w:numId w:val="0"/>
        </w:numPr>
        <w:tabs>
          <w:tab w:val="left" w:pos="568"/>
        </w:tabs>
        <w:ind w:left="1134" w:right="1133"/>
      </w:pPr>
      <w:r w:rsidRPr="00BF288E">
        <w:t>21.</w:t>
      </w:r>
      <w:r w:rsidRPr="00BF288E">
        <w:tab/>
      </w:r>
      <w:r w:rsidR="00C81ACD" w:rsidRPr="00BF288E">
        <w:rPr>
          <w:i/>
        </w:rPr>
        <w:t>Also request</w:t>
      </w:r>
      <w:r w:rsidR="00C81ACD" w:rsidRPr="00BF288E">
        <w:t xml:space="preserve"> the secretariat to regularly update the existing database of tools and methodologies suitable for assessing the impacts of the implementation of response measures, as needed and as appropriate;</w:t>
      </w:r>
    </w:p>
    <w:p w14:paraId="479B4B0E" w14:textId="79E00715" w:rsidR="00C81ACD" w:rsidRPr="00BF288E" w:rsidRDefault="00EA1E20" w:rsidP="00EA1E20">
      <w:pPr>
        <w:pStyle w:val="RegHChG"/>
        <w:numPr>
          <w:ilvl w:val="0"/>
          <w:numId w:val="0"/>
        </w:numPr>
        <w:tabs>
          <w:tab w:val="left" w:pos="1135"/>
        </w:tabs>
        <w:ind w:left="1135" w:right="1133" w:hanging="454"/>
      </w:pPr>
      <w:r w:rsidRPr="00BF288E">
        <w:t>IV.</w:t>
      </w:r>
      <w:r w:rsidRPr="00BF288E">
        <w:tab/>
      </w:r>
      <w:r w:rsidR="00C81ACD" w:rsidRPr="00BF288E">
        <w:t>Activity 4</w:t>
      </w:r>
      <w:r w:rsidR="00C81ACD" w:rsidRPr="00BF288E">
        <w:rPr>
          <w:rStyle w:val="FootnoteReference"/>
          <w:sz w:val="24"/>
          <w:szCs w:val="24"/>
        </w:rPr>
        <w:footnoteReference w:id="38"/>
      </w:r>
      <w:r w:rsidR="00C81ACD" w:rsidRPr="00BF288E">
        <w:t xml:space="preserve"> of the workplan</w:t>
      </w:r>
    </w:p>
    <w:p w14:paraId="2B9B2929" w14:textId="0E5BFC05" w:rsidR="00C81ACD" w:rsidRPr="00BF288E" w:rsidRDefault="00EA1E20" w:rsidP="00EA1E20">
      <w:pPr>
        <w:pStyle w:val="RegSingleTxtG"/>
        <w:numPr>
          <w:ilvl w:val="0"/>
          <w:numId w:val="0"/>
        </w:numPr>
        <w:tabs>
          <w:tab w:val="left" w:pos="568"/>
        </w:tabs>
        <w:ind w:left="1134" w:right="1133"/>
      </w:pPr>
      <w:r w:rsidRPr="00BF288E">
        <w:t>22.</w:t>
      </w:r>
      <w:r w:rsidRPr="00BF288E">
        <w:tab/>
      </w:r>
      <w:r w:rsidR="00C81ACD" w:rsidRPr="00BF288E">
        <w:rPr>
          <w:i/>
        </w:rPr>
        <w:t>Encourage</w:t>
      </w:r>
      <w:r w:rsidR="00C81ACD" w:rsidRPr="00BF288E">
        <w:t xml:space="preserve"> Parties to:</w:t>
      </w:r>
    </w:p>
    <w:p w14:paraId="7A86D1E6" w14:textId="7C1A0C6F"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Foster international cooperation to identify and share best practices and experience of countries that have successfully diversified their economies;</w:t>
      </w:r>
    </w:p>
    <w:p w14:paraId="212F53C0" w14:textId="2301189D"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Identify barriers, domestic and non-domestic alike, as well as ways in which the international community could facilitate the sustainable economic development of all Parties;</w:t>
      </w:r>
    </w:p>
    <w:p w14:paraId="2FACB582" w14:textId="00A05C49" w:rsidR="00C81ACD" w:rsidRPr="00BF288E" w:rsidRDefault="00EA1E20" w:rsidP="00EA1E20">
      <w:pPr>
        <w:pStyle w:val="RegSingleTxtG"/>
        <w:numPr>
          <w:ilvl w:val="0"/>
          <w:numId w:val="0"/>
        </w:numPr>
        <w:tabs>
          <w:tab w:val="left" w:pos="568"/>
        </w:tabs>
        <w:ind w:left="1134" w:right="1133"/>
      </w:pPr>
      <w:r w:rsidRPr="00BF288E">
        <w:t>23.</w:t>
      </w:r>
      <w:r w:rsidRPr="00BF288E">
        <w:tab/>
      </w:r>
      <w:r w:rsidR="00C81ACD" w:rsidRPr="00BF288E">
        <w:rPr>
          <w:i/>
        </w:rPr>
        <w:t>Request</w:t>
      </w:r>
      <w:r w:rsidR="00C81ACD" w:rsidRPr="00BF288E">
        <w:t xml:space="preserve"> prioritization of the developing and sharing of case studies by Parties and experts, in particular on developing country Parties, on both just transition and economic diversification and transformation in order to understand the opportunities and challenges faced in their planning and implementation;</w:t>
      </w:r>
    </w:p>
    <w:p w14:paraId="0FBBFE04" w14:textId="1ACB3441" w:rsidR="00C81ACD" w:rsidRPr="00BF288E" w:rsidRDefault="00EA1E20" w:rsidP="00EA1E20">
      <w:pPr>
        <w:pStyle w:val="RegSingleTxtG"/>
        <w:numPr>
          <w:ilvl w:val="0"/>
          <w:numId w:val="0"/>
        </w:numPr>
        <w:tabs>
          <w:tab w:val="left" w:pos="568"/>
        </w:tabs>
        <w:ind w:left="1134" w:right="1133"/>
      </w:pPr>
      <w:r w:rsidRPr="00BF288E">
        <w:t>24.</w:t>
      </w:r>
      <w:r w:rsidRPr="00BF288E">
        <w:tab/>
      </w:r>
      <w:r w:rsidR="005D6540" w:rsidRPr="00BF288E">
        <w:rPr>
          <w:i/>
        </w:rPr>
        <w:t>Also r</w:t>
      </w:r>
      <w:r w:rsidR="00C81ACD" w:rsidRPr="00BF288E">
        <w:rPr>
          <w:i/>
        </w:rPr>
        <w:t>equest</w:t>
      </w:r>
      <w:r w:rsidR="00C81ACD" w:rsidRPr="00BF288E">
        <w:t xml:space="preserve"> facilitation of the development of robust assessment tools and methodologies that can capture a range of multidimensional impacts of the implementation of response measures;</w:t>
      </w:r>
    </w:p>
    <w:p w14:paraId="3A0CA55D" w14:textId="3F181ADC" w:rsidR="00C81ACD" w:rsidRPr="00BF288E" w:rsidRDefault="00EA1E20" w:rsidP="00EA1E20">
      <w:pPr>
        <w:pStyle w:val="RegSingleTxtG"/>
        <w:numPr>
          <w:ilvl w:val="0"/>
          <w:numId w:val="0"/>
        </w:numPr>
        <w:tabs>
          <w:tab w:val="left" w:pos="568"/>
        </w:tabs>
        <w:ind w:left="1134" w:right="1133"/>
      </w:pPr>
      <w:r w:rsidRPr="00BF288E">
        <w:t>25.</w:t>
      </w:r>
      <w:r w:rsidRPr="00BF288E">
        <w:tab/>
      </w:r>
      <w:r w:rsidR="00C81ACD" w:rsidRPr="00BF288E">
        <w:rPr>
          <w:i/>
        </w:rPr>
        <w:t>Encourage</w:t>
      </w:r>
      <w:r w:rsidR="00C81ACD" w:rsidRPr="00BF288E">
        <w:t xml:space="preserve"> relevant agencies, financial institutions and UNFCCC constituted bodies to enhance support for addressing issues related to the assessment and analysis of the impacts of the implementation of mitigation actions, policies and programmes, including nationally determined contributions and long-term low-emission development strategies, with a view to addressing the adverse impacts and maximizing opportunities;</w:t>
      </w:r>
    </w:p>
    <w:p w14:paraId="1230A652" w14:textId="043D4F4E" w:rsidR="00C81ACD" w:rsidRPr="00BF288E" w:rsidRDefault="00EA1E20" w:rsidP="00EA1E20">
      <w:pPr>
        <w:pStyle w:val="RegSingleTxtG"/>
        <w:numPr>
          <w:ilvl w:val="0"/>
          <w:numId w:val="0"/>
        </w:numPr>
        <w:tabs>
          <w:tab w:val="left" w:pos="568"/>
        </w:tabs>
        <w:ind w:left="1134" w:right="1133"/>
      </w:pPr>
      <w:r w:rsidRPr="00BF288E">
        <w:t>26.</w:t>
      </w:r>
      <w:r w:rsidRPr="00BF288E">
        <w:tab/>
      </w:r>
      <w:r w:rsidR="00C81ACD" w:rsidRPr="00BF288E">
        <w:rPr>
          <w:i/>
        </w:rPr>
        <w:t>Also encourage</w:t>
      </w:r>
      <w:r w:rsidR="00C81ACD" w:rsidRPr="00BF288E">
        <w:t xml:space="preserve"> relevant agencies to enhance and develop their existing training frameworks and modules on assessment and analysis so that they can be used for country-level training programmes and for developing impact assessment tools and methods;</w:t>
      </w:r>
    </w:p>
    <w:p w14:paraId="6F6960D7" w14:textId="6331B017" w:rsidR="00C81ACD" w:rsidRPr="00BF288E" w:rsidRDefault="00EA1E20" w:rsidP="00EA1E20">
      <w:pPr>
        <w:pStyle w:val="RegHChG"/>
        <w:numPr>
          <w:ilvl w:val="0"/>
          <w:numId w:val="0"/>
        </w:numPr>
        <w:tabs>
          <w:tab w:val="left" w:pos="1135"/>
        </w:tabs>
        <w:ind w:left="1135" w:right="1133" w:hanging="454"/>
      </w:pPr>
      <w:r w:rsidRPr="00BF288E">
        <w:t>V.</w:t>
      </w:r>
      <w:r w:rsidRPr="00BF288E">
        <w:tab/>
      </w:r>
      <w:r w:rsidR="00C81ACD" w:rsidRPr="00BF288E">
        <w:t>Activity 5</w:t>
      </w:r>
      <w:r w:rsidR="00C81ACD" w:rsidRPr="00BF288E">
        <w:rPr>
          <w:rStyle w:val="FootnoteReference"/>
          <w:sz w:val="24"/>
          <w:szCs w:val="24"/>
        </w:rPr>
        <w:footnoteReference w:id="39"/>
      </w:r>
      <w:r w:rsidR="00C81ACD" w:rsidRPr="00BF288E">
        <w:t xml:space="preserve"> of the workplan</w:t>
      </w:r>
    </w:p>
    <w:p w14:paraId="38B51C21" w14:textId="6618DF0C" w:rsidR="00C81ACD" w:rsidRPr="00BF288E" w:rsidRDefault="00EA1E20" w:rsidP="00EA1E20">
      <w:pPr>
        <w:pStyle w:val="RegSingleTxtG"/>
        <w:numPr>
          <w:ilvl w:val="0"/>
          <w:numId w:val="0"/>
        </w:numPr>
        <w:tabs>
          <w:tab w:val="left" w:pos="568"/>
        </w:tabs>
        <w:ind w:left="1134" w:right="1133"/>
      </w:pPr>
      <w:r w:rsidRPr="00BF288E">
        <w:t>27.</w:t>
      </w:r>
      <w:r w:rsidRPr="00BF288E">
        <w:tab/>
      </w:r>
      <w:r w:rsidR="00C81ACD" w:rsidRPr="00BF288E">
        <w:rPr>
          <w:i/>
        </w:rPr>
        <w:t xml:space="preserve">Encourage </w:t>
      </w:r>
      <w:r w:rsidR="00C81ACD" w:rsidRPr="00BF288E">
        <w:t>Parties to:</w:t>
      </w:r>
    </w:p>
    <w:p w14:paraId="1704F9EE" w14:textId="6E58F76C" w:rsidR="00C81ACD" w:rsidRPr="00BF288E" w:rsidRDefault="00EA1E20" w:rsidP="00EA1E20">
      <w:pPr>
        <w:pStyle w:val="RegSingleTxtG2"/>
        <w:numPr>
          <w:ilvl w:val="0"/>
          <w:numId w:val="0"/>
        </w:numPr>
        <w:ind w:left="1134" w:right="1133" w:firstLine="567"/>
      </w:pPr>
      <w:r w:rsidRPr="00BF288E">
        <w:rPr>
          <w:szCs w:val="28"/>
        </w:rPr>
        <w:t>(a)</w:t>
      </w:r>
      <w:r w:rsidRPr="00BF288E">
        <w:rPr>
          <w:szCs w:val="28"/>
        </w:rPr>
        <w:tab/>
      </w:r>
      <w:r w:rsidR="00C81ACD" w:rsidRPr="00BF288E">
        <w:t>Promote partnerships in research and development, including identifying risks and opportunities, and peer-to-peer learning involving relevant national and international stakeholders from public and private sectors, as well as civil society, local communities and indigenous peoples, youth, workers and research and academia in new industries and businesses;</w:t>
      </w:r>
    </w:p>
    <w:p w14:paraId="34F4CE11" w14:textId="282D566A" w:rsidR="00C81ACD" w:rsidRPr="00BF288E" w:rsidRDefault="00EA1E20" w:rsidP="00EA1E20">
      <w:pPr>
        <w:pStyle w:val="RegSingleTxtG2"/>
        <w:numPr>
          <w:ilvl w:val="0"/>
          <w:numId w:val="0"/>
        </w:numPr>
        <w:ind w:left="1134" w:right="1133" w:firstLine="567"/>
      </w:pPr>
      <w:r w:rsidRPr="00BF288E">
        <w:rPr>
          <w:szCs w:val="28"/>
        </w:rPr>
        <w:t>(b)</w:t>
      </w:r>
      <w:r w:rsidRPr="00BF288E">
        <w:rPr>
          <w:szCs w:val="28"/>
        </w:rPr>
        <w:tab/>
      </w:r>
      <w:r w:rsidR="00C81ACD" w:rsidRPr="00BF288E">
        <w:t>Promote inter- and intracountry exchange of experience, best practices, research outcomes and learning on new industries and businesses, including by identifying relevant skills, making best use of existing knowledge and capabilities, and developing new skills through targeted training, retooling, retraining and reskilling;</w:t>
      </w:r>
    </w:p>
    <w:p w14:paraId="2E923B44" w14:textId="5F4D0107" w:rsidR="00C81ACD" w:rsidRPr="00BF288E" w:rsidRDefault="00EA1E20" w:rsidP="00EA1E20">
      <w:pPr>
        <w:pStyle w:val="RegSingleTxtG2"/>
        <w:numPr>
          <w:ilvl w:val="0"/>
          <w:numId w:val="0"/>
        </w:numPr>
        <w:ind w:left="1134" w:right="1133" w:firstLine="567"/>
      </w:pPr>
      <w:r w:rsidRPr="00BF288E">
        <w:rPr>
          <w:szCs w:val="28"/>
        </w:rPr>
        <w:t>(c)</w:t>
      </w:r>
      <w:r w:rsidRPr="00BF288E">
        <w:rPr>
          <w:szCs w:val="28"/>
        </w:rPr>
        <w:tab/>
      </w:r>
      <w:r w:rsidR="00C81ACD" w:rsidRPr="00BF288E">
        <w:t>Explore new technologies, carbon capture, utilization and storage, hydrogen and artificial intelligence tools to maximize the positive and minimize the negative impacts of the implementation of response measures;</w:t>
      </w:r>
    </w:p>
    <w:p w14:paraId="3AF8786B" w14:textId="10E293CE" w:rsidR="00C81ACD" w:rsidRPr="00BF288E" w:rsidRDefault="00EA1E20" w:rsidP="00EA1E20">
      <w:pPr>
        <w:pStyle w:val="RegSingleTxtG2"/>
        <w:numPr>
          <w:ilvl w:val="0"/>
          <w:numId w:val="0"/>
        </w:numPr>
        <w:ind w:left="1134" w:right="1133" w:firstLine="567"/>
      </w:pPr>
      <w:r w:rsidRPr="00BF288E">
        <w:rPr>
          <w:szCs w:val="28"/>
        </w:rPr>
        <w:t>(d)</w:t>
      </w:r>
      <w:r w:rsidRPr="00BF288E">
        <w:rPr>
          <w:szCs w:val="28"/>
        </w:rPr>
        <w:tab/>
      </w:r>
      <w:r w:rsidR="00C81ACD" w:rsidRPr="00BF288E">
        <w:t>Develop regulatory frameworks, as appropriate, for carbon capture, transport, utilization and storage, and hydrogen production, infrastructure and transport at the national, regional or global level to explore the possibility of standardizing the design and application, as appropriate, while ensuring high safety standards;</w:t>
      </w:r>
    </w:p>
    <w:p w14:paraId="69307D1B" w14:textId="1905DC56" w:rsidR="00C81ACD" w:rsidRPr="00BF288E" w:rsidRDefault="00EA1E20" w:rsidP="00EA1E20">
      <w:pPr>
        <w:pStyle w:val="RegSingleTxtG2"/>
        <w:numPr>
          <w:ilvl w:val="0"/>
          <w:numId w:val="0"/>
        </w:numPr>
        <w:ind w:left="1134" w:right="1133" w:firstLine="567"/>
      </w:pPr>
      <w:r w:rsidRPr="00BF288E">
        <w:rPr>
          <w:szCs w:val="28"/>
        </w:rPr>
        <w:t>(e)</w:t>
      </w:r>
      <w:r w:rsidRPr="00BF288E">
        <w:rPr>
          <w:szCs w:val="28"/>
        </w:rPr>
        <w:tab/>
      </w:r>
      <w:r w:rsidR="00C81ACD" w:rsidRPr="00BF288E">
        <w:t>Remove barriers and strengthen policy support for carbon capture, utilization and storage to drive innovation and deployment to the scale-up, ensuring specific policy incentives critical to expanding the market frontier worldwide;</w:t>
      </w:r>
    </w:p>
    <w:p w14:paraId="043C65A8" w14:textId="5B6A532D" w:rsidR="00C81ACD" w:rsidRPr="00BF288E" w:rsidRDefault="00EA1E20" w:rsidP="00EA1E20">
      <w:pPr>
        <w:pStyle w:val="RegSingleTxtG2"/>
        <w:numPr>
          <w:ilvl w:val="0"/>
          <w:numId w:val="0"/>
        </w:numPr>
        <w:ind w:left="1134" w:right="1133" w:firstLine="567"/>
      </w:pPr>
      <w:r w:rsidRPr="00BF288E">
        <w:rPr>
          <w:szCs w:val="28"/>
        </w:rPr>
        <w:t>(f)</w:t>
      </w:r>
      <w:r w:rsidRPr="00BF288E">
        <w:rPr>
          <w:szCs w:val="28"/>
        </w:rPr>
        <w:tab/>
      </w:r>
      <w:r w:rsidR="00C81ACD" w:rsidRPr="00BF288E">
        <w:t>Collaborate on methodologies for calculating life cycle greenhouse gas emissions from hydrogen production, as needed, and developing comprehensive and science-based terminology and relevant standards for hydrogen deployment to promote widespread adoption of the hydrogen economy, while also removing barriers;</w:t>
      </w:r>
    </w:p>
    <w:p w14:paraId="1C148047" w14:textId="39610E31" w:rsidR="00C81ACD" w:rsidRPr="00BF288E" w:rsidRDefault="00EA1E20" w:rsidP="00EA1E20">
      <w:pPr>
        <w:pStyle w:val="RegSingleTxtG"/>
        <w:numPr>
          <w:ilvl w:val="0"/>
          <w:numId w:val="0"/>
        </w:numPr>
        <w:tabs>
          <w:tab w:val="left" w:pos="568"/>
        </w:tabs>
        <w:ind w:left="1134" w:right="1133"/>
      </w:pPr>
      <w:r w:rsidRPr="00BF288E">
        <w:t>28.</w:t>
      </w:r>
      <w:r w:rsidRPr="00BF288E">
        <w:tab/>
      </w:r>
      <w:r w:rsidR="00C81ACD" w:rsidRPr="00BF288E">
        <w:rPr>
          <w:i/>
        </w:rPr>
        <w:t>Also encourage</w:t>
      </w:r>
      <w:r w:rsidR="00C81ACD" w:rsidRPr="00BF288E">
        <w:t xml:space="preserve"> Parties, observer organizations and other relevant stakeholders to engage the private sector, including small and medium-sized enterprises, to facilitate the identification and exchange of experience and best practices to promote the creation of decent work and quality jobs in new industries and businesses;</w:t>
      </w:r>
    </w:p>
    <w:p w14:paraId="5989D7A4" w14:textId="08F851A6" w:rsidR="00C81ACD" w:rsidRPr="00BF288E" w:rsidRDefault="00EA1E20" w:rsidP="00EA1E20">
      <w:pPr>
        <w:pStyle w:val="RegSingleTxtG"/>
        <w:numPr>
          <w:ilvl w:val="0"/>
          <w:numId w:val="0"/>
        </w:numPr>
        <w:tabs>
          <w:tab w:val="left" w:pos="568"/>
        </w:tabs>
        <w:ind w:left="1134" w:right="1133"/>
      </w:pPr>
      <w:r w:rsidRPr="00BF288E">
        <w:t>29.</w:t>
      </w:r>
      <w:r w:rsidRPr="00BF288E">
        <w:tab/>
      </w:r>
      <w:r w:rsidR="00C81ACD" w:rsidRPr="00BF288E">
        <w:rPr>
          <w:i/>
        </w:rPr>
        <w:t>Further encourage</w:t>
      </w:r>
      <w:r w:rsidR="00C81ACD" w:rsidRPr="00BF288E">
        <w:t xml:space="preserve"> Parties and stakeholders to foster collaboration, undertake joint pilot activities and programmes, and share knowledge, lessons learned and best practices, including from governments, business communities, research and academia, artificial intelligence experts and civil society groups;</w:t>
      </w:r>
    </w:p>
    <w:p w14:paraId="1822A318" w14:textId="1E038B00" w:rsidR="00C81ACD" w:rsidRPr="00BF288E" w:rsidRDefault="00EA1E20" w:rsidP="00EA1E20">
      <w:pPr>
        <w:pStyle w:val="RegSingleTxtG"/>
        <w:numPr>
          <w:ilvl w:val="0"/>
          <w:numId w:val="0"/>
        </w:numPr>
        <w:tabs>
          <w:tab w:val="left" w:pos="568"/>
        </w:tabs>
        <w:ind w:left="1134" w:right="1133"/>
      </w:pPr>
      <w:r w:rsidRPr="00BF288E">
        <w:t>30.</w:t>
      </w:r>
      <w:r w:rsidRPr="00BF288E">
        <w:tab/>
      </w:r>
      <w:r w:rsidR="00C81ACD" w:rsidRPr="00BF288E">
        <w:rPr>
          <w:i/>
        </w:rPr>
        <w:t>Encourage</w:t>
      </w:r>
      <w:r w:rsidR="00C81ACD" w:rsidRPr="00BF288E">
        <w:t xml:space="preserve"> relevant stakeholders to undertake economic and financial analyses, including assessment of the diversification of investments and business models, for investment in the hydrogen economy, and to undertake scientific assessments to understand the national resource endowment potential for sustainable hydrogen production;</w:t>
      </w:r>
    </w:p>
    <w:p w14:paraId="03D79482" w14:textId="16322D60" w:rsidR="00C81ACD" w:rsidRPr="00BF288E" w:rsidRDefault="00EA1E20" w:rsidP="00EA1E20">
      <w:pPr>
        <w:pStyle w:val="RegHChG"/>
        <w:numPr>
          <w:ilvl w:val="0"/>
          <w:numId w:val="0"/>
        </w:numPr>
        <w:tabs>
          <w:tab w:val="left" w:pos="1135"/>
        </w:tabs>
        <w:ind w:left="1135" w:right="1133" w:hanging="454"/>
      </w:pPr>
      <w:r w:rsidRPr="00BF288E">
        <w:t>VI.</w:t>
      </w:r>
      <w:r w:rsidRPr="00BF288E">
        <w:tab/>
      </w:r>
      <w:r w:rsidR="00C81ACD" w:rsidRPr="00BF288E">
        <w:t>Activity 11</w:t>
      </w:r>
      <w:r w:rsidR="00C81ACD" w:rsidRPr="00BF288E">
        <w:rPr>
          <w:rStyle w:val="FootnoteReference"/>
          <w:sz w:val="24"/>
          <w:szCs w:val="24"/>
        </w:rPr>
        <w:footnoteReference w:id="40"/>
      </w:r>
      <w:r w:rsidR="00C81ACD" w:rsidRPr="00BF288E">
        <w:t xml:space="preserve"> of the workplan</w:t>
      </w:r>
    </w:p>
    <w:p w14:paraId="0068E8F7" w14:textId="3EAD3760" w:rsidR="00C81ACD" w:rsidRPr="00BF288E" w:rsidRDefault="00EA1E20" w:rsidP="00EA1E20">
      <w:pPr>
        <w:pStyle w:val="RegSingleTxtG"/>
        <w:numPr>
          <w:ilvl w:val="0"/>
          <w:numId w:val="0"/>
        </w:numPr>
        <w:tabs>
          <w:tab w:val="left" w:pos="568"/>
        </w:tabs>
        <w:ind w:left="1134" w:right="1133"/>
      </w:pPr>
      <w:r w:rsidRPr="00BF288E">
        <w:t>31.</w:t>
      </w:r>
      <w:r w:rsidRPr="00BF288E">
        <w:tab/>
      </w:r>
      <w:r w:rsidR="00C81ACD" w:rsidRPr="00BF288E">
        <w:rPr>
          <w:i/>
        </w:rPr>
        <w:t>Encourage</w:t>
      </w:r>
      <w:r w:rsidR="00C81ACD" w:rsidRPr="00BF288E">
        <w:t xml:space="preserve"> Parties to undertake more in-depth analysis on the impacts of response measures, quantifying the co-benefits for the response measures, categorizing where the co</w:t>
      </w:r>
      <w:r w:rsidR="00C81ACD" w:rsidRPr="00BF288E">
        <w:noBreakHyphen/>
        <w:t>benefits come from and who the beneficiaries of the co-benefits are, with a view to informing integrated climate actions;</w:t>
      </w:r>
    </w:p>
    <w:p w14:paraId="53BE05E0" w14:textId="2DE17E0B" w:rsidR="00C81ACD" w:rsidRPr="00BF288E" w:rsidRDefault="00EA1E20" w:rsidP="00EA1E20">
      <w:pPr>
        <w:pStyle w:val="RegSingleTxtG"/>
        <w:numPr>
          <w:ilvl w:val="0"/>
          <w:numId w:val="0"/>
        </w:numPr>
        <w:tabs>
          <w:tab w:val="left" w:pos="568"/>
        </w:tabs>
        <w:ind w:left="1134" w:right="1133"/>
      </w:pPr>
      <w:r w:rsidRPr="00BF288E">
        <w:t>32.</w:t>
      </w:r>
      <w:r w:rsidRPr="00BF288E">
        <w:tab/>
      </w:r>
      <w:r w:rsidR="00C81ACD" w:rsidRPr="00BF288E">
        <w:rPr>
          <w:i/>
        </w:rPr>
        <w:t>Request</w:t>
      </w:r>
      <w:r w:rsidR="00C81ACD" w:rsidRPr="00BF288E">
        <w:t xml:space="preserve"> the Katowice Committee on Impacts to enhance the capacity of Parties, in particular developing country Parties, to develop and use country-specific tools and methodologies for assessing the environmental, social and economic co-benefits of climate change policies and actions.</w:t>
      </w:r>
    </w:p>
    <w:p w14:paraId="197560CC" w14:textId="74BF859C" w:rsidR="00831D97" w:rsidRPr="00BF288E" w:rsidRDefault="00831D97" w:rsidP="00892680">
      <w:pPr>
        <w:ind w:right="1133"/>
        <w:jc w:val="right"/>
        <w:rPr>
          <w:i/>
        </w:rPr>
      </w:pPr>
      <w:r w:rsidRPr="00BF288E">
        <w:rPr>
          <w:i/>
        </w:rPr>
        <w:t>10</w:t>
      </w:r>
      <w:r w:rsidRPr="00BF288E">
        <w:rPr>
          <w:i/>
          <w:vertAlign w:val="superscript"/>
        </w:rPr>
        <w:t>th</w:t>
      </w:r>
      <w:r w:rsidRPr="00BF288E">
        <w:rPr>
          <w:i/>
        </w:rPr>
        <w:t xml:space="preserve"> plenary meeting</w:t>
      </w:r>
    </w:p>
    <w:p w14:paraId="664C9C3B" w14:textId="470F44AE" w:rsidR="00C81ACD" w:rsidRPr="00BF288E" w:rsidRDefault="00831D97" w:rsidP="007C5EA1">
      <w:pPr>
        <w:ind w:right="1133"/>
        <w:jc w:val="right"/>
        <w:rPr>
          <w:i/>
        </w:rPr>
      </w:pPr>
      <w:r w:rsidRPr="00BF288E">
        <w:rPr>
          <w:i/>
        </w:rPr>
        <w:t>20 November 2022</w:t>
      </w:r>
    </w:p>
    <w:p w14:paraId="73A27661" w14:textId="3AA461E6" w:rsidR="00725115" w:rsidRPr="00BF288E" w:rsidRDefault="00725115" w:rsidP="00387B41">
      <w:pPr>
        <w:rPr>
          <w:u w:val="single"/>
        </w:rPr>
      </w:pPr>
    </w:p>
    <w:p w14:paraId="32297616" w14:textId="77777777" w:rsidR="001F5D46" w:rsidRPr="00BF288E" w:rsidRDefault="001F5D46" w:rsidP="00387B41">
      <w:pPr>
        <w:rPr>
          <w:u w:val="single"/>
        </w:rPr>
        <w:sectPr w:rsidR="001F5D46" w:rsidRPr="00BF288E" w:rsidSect="00310DE3">
          <w:headerReference w:type="even" r:id="rId38"/>
          <w:headerReference w:type="default" r:id="rId39"/>
          <w:footerReference w:type="even" r:id="rId40"/>
          <w:footerReference w:type="default" r:id="rId41"/>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276F5826" w14:textId="459E7B48" w:rsidR="00E8575E" w:rsidRPr="00BF288E" w:rsidRDefault="00E8575E" w:rsidP="00EA1E20">
      <w:pPr>
        <w:pStyle w:val="RegHChG"/>
        <w:numPr>
          <w:ilvl w:val="0"/>
          <w:numId w:val="0"/>
        </w:numPr>
        <w:spacing w:before="120"/>
        <w:ind w:left="1134" w:hanging="454"/>
      </w:pPr>
      <w:bookmarkStart w:id="29" w:name="Decision_8"/>
      <w:r w:rsidRPr="00BF288E">
        <w:t xml:space="preserve">Decision </w:t>
      </w:r>
      <w:r w:rsidR="00125EB3" w:rsidRPr="00BF288E">
        <w:t>8</w:t>
      </w:r>
      <w:r w:rsidRPr="00BF288E">
        <w:t>/CMP.17</w:t>
      </w:r>
      <w:bookmarkEnd w:id="29"/>
    </w:p>
    <w:p w14:paraId="75956E23" w14:textId="53017457" w:rsidR="00E8575E" w:rsidRPr="00BF288E" w:rsidRDefault="00E8575E" w:rsidP="00EA1E20">
      <w:pPr>
        <w:pStyle w:val="RegHChG"/>
        <w:numPr>
          <w:ilvl w:val="0"/>
          <w:numId w:val="0"/>
        </w:numPr>
        <w:ind w:left="1135" w:hanging="454"/>
      </w:pPr>
      <w:r w:rsidRPr="00BF288E">
        <w:t>Administrative, financial and institutional matters</w:t>
      </w:r>
    </w:p>
    <w:p w14:paraId="00AF27BC" w14:textId="77777777" w:rsidR="00E8575E" w:rsidRPr="00BF288E" w:rsidRDefault="00E8575E" w:rsidP="009F1C7D">
      <w:pPr>
        <w:pStyle w:val="SingleTxtG"/>
        <w:ind w:right="1133" w:firstLine="567"/>
        <w:rPr>
          <w:i/>
        </w:rPr>
      </w:pPr>
      <w:r w:rsidRPr="00BF288E">
        <w:rPr>
          <w:i/>
        </w:rPr>
        <w:t>The Conference of the Parties serving as the meeting of the Parties to the Kyoto Protocol</w:t>
      </w:r>
      <w:r w:rsidRPr="00BF288E">
        <w:t>,</w:t>
      </w:r>
    </w:p>
    <w:p w14:paraId="5A9403E1" w14:textId="77777777" w:rsidR="00E8575E" w:rsidRPr="00BF288E" w:rsidRDefault="00E8575E" w:rsidP="009F1C7D">
      <w:pPr>
        <w:pStyle w:val="SingleTxtG"/>
        <w:ind w:right="1133" w:firstLine="567"/>
      </w:pPr>
      <w:r w:rsidRPr="00BF288E">
        <w:rPr>
          <w:i/>
        </w:rPr>
        <w:t xml:space="preserve">Recalling </w:t>
      </w:r>
      <w:r w:rsidRPr="00BF288E">
        <w:t>Article 13, paragraph 5, of the Kyoto Protocol,</w:t>
      </w:r>
    </w:p>
    <w:p w14:paraId="7B65AB7F" w14:textId="77777777" w:rsidR="00E8575E" w:rsidRPr="00BF288E" w:rsidRDefault="00E8575E" w:rsidP="009F1C7D">
      <w:pPr>
        <w:pStyle w:val="SingleTxtG"/>
        <w:ind w:right="1133" w:firstLine="567"/>
      </w:pPr>
      <w:r w:rsidRPr="00BF288E">
        <w:rPr>
          <w:i/>
          <w:iCs/>
        </w:rPr>
        <w:t>Also recalling</w:t>
      </w:r>
      <w:r w:rsidRPr="00BF288E">
        <w:t xml:space="preserve"> the financial procedures for the Conference of the Parties, which also apply to the Kyoto Protocol,</w:t>
      </w:r>
      <w:r w:rsidRPr="00BF288E">
        <w:rPr>
          <w:rStyle w:val="FootnoteReference"/>
        </w:rPr>
        <w:footnoteReference w:id="41"/>
      </w:r>
    </w:p>
    <w:p w14:paraId="06712DDD" w14:textId="77777777" w:rsidR="00E8575E" w:rsidRPr="00BF288E" w:rsidRDefault="00E8575E" w:rsidP="009F1C7D">
      <w:pPr>
        <w:pStyle w:val="SingleTxtG"/>
        <w:ind w:right="1133" w:firstLine="567"/>
        <w:rPr>
          <w:lang w:val="en-US"/>
        </w:rPr>
      </w:pPr>
      <w:r w:rsidRPr="00BF288E">
        <w:rPr>
          <w:i/>
        </w:rPr>
        <w:t>Having</w:t>
      </w:r>
      <w:r w:rsidRPr="00BF288E">
        <w:rPr>
          <w:i/>
          <w:lang w:val="en-US"/>
        </w:rPr>
        <w:t xml:space="preserve"> </w:t>
      </w:r>
      <w:r w:rsidRPr="00BF288E">
        <w:rPr>
          <w:i/>
        </w:rPr>
        <w:t>considered</w:t>
      </w:r>
      <w:r w:rsidRPr="00BF288E">
        <w:rPr>
          <w:i/>
          <w:lang w:val="en-US"/>
        </w:rPr>
        <w:t xml:space="preserve"> </w:t>
      </w:r>
      <w:r w:rsidRPr="00BF288E">
        <w:rPr>
          <w:lang w:val="en-US"/>
        </w:rPr>
        <w:t>the information contained in the documents prepared by the secretariat on administrative, financial and institutional matters,</w:t>
      </w:r>
      <w:r w:rsidRPr="00BF288E">
        <w:rPr>
          <w:rStyle w:val="FootnoteReference"/>
          <w:lang w:val="en-US"/>
        </w:rPr>
        <w:footnoteReference w:id="42"/>
      </w:r>
    </w:p>
    <w:p w14:paraId="3EF91B2D" w14:textId="3B32FB5A" w:rsidR="00E8575E" w:rsidRPr="00BF288E" w:rsidRDefault="00EA1E20" w:rsidP="00EA1E20">
      <w:pPr>
        <w:pStyle w:val="RegHChG"/>
        <w:numPr>
          <w:ilvl w:val="0"/>
          <w:numId w:val="0"/>
        </w:numPr>
        <w:tabs>
          <w:tab w:val="left" w:pos="1135"/>
        </w:tabs>
        <w:ind w:left="1135" w:hanging="454"/>
      </w:pPr>
      <w:r w:rsidRPr="00BF288E">
        <w:t>I.</w:t>
      </w:r>
      <w:r w:rsidRPr="00BF288E">
        <w:tab/>
      </w:r>
      <w:r w:rsidR="00E8575E" w:rsidRPr="00BF288E">
        <w:t>Budget performance for the biennium 2020–2021</w:t>
      </w:r>
    </w:p>
    <w:p w14:paraId="75946769" w14:textId="5908A1C6" w:rsidR="00E8575E" w:rsidRPr="00BF288E" w:rsidRDefault="00EA1E20" w:rsidP="00EA1E20">
      <w:pPr>
        <w:pStyle w:val="RegSingleTxtG"/>
        <w:numPr>
          <w:ilvl w:val="0"/>
          <w:numId w:val="0"/>
        </w:numPr>
        <w:ind w:left="1134"/>
        <w:rPr>
          <w:lang w:eastAsia="en-US"/>
        </w:rPr>
      </w:pPr>
      <w:r w:rsidRPr="00BF288E">
        <w:rPr>
          <w:lang w:eastAsia="en-US"/>
        </w:rPr>
        <w:t>1.</w:t>
      </w:r>
      <w:r w:rsidRPr="00BF288E">
        <w:rPr>
          <w:lang w:eastAsia="en-US"/>
        </w:rPr>
        <w:tab/>
      </w:r>
      <w:r w:rsidR="00E8575E" w:rsidRPr="00BF288E">
        <w:rPr>
          <w:i/>
          <w:lang w:eastAsia="en-US"/>
        </w:rPr>
        <w:t>Takes note</w:t>
      </w:r>
      <w:r w:rsidR="00E8575E" w:rsidRPr="00BF288E">
        <w:rPr>
          <w:lang w:eastAsia="en-US"/>
        </w:rPr>
        <w:t xml:space="preserve"> of the information contained in the report on budget performance for the biennium 2020–2021 as at 31 December 2021</w:t>
      </w:r>
      <w:r w:rsidR="00E8575E" w:rsidRPr="00BF288E">
        <w:rPr>
          <w:rStyle w:val="FootnoteReference"/>
          <w:rFonts w:eastAsia="Times New Roman"/>
          <w:lang w:eastAsia="en-US"/>
        </w:rPr>
        <w:footnoteReference w:id="43"/>
      </w:r>
      <w:r w:rsidR="00E8575E" w:rsidRPr="00BF288E">
        <w:rPr>
          <w:lang w:eastAsia="en-US"/>
        </w:rPr>
        <w:t xml:space="preserve"> and the note </w:t>
      </w:r>
      <w:r w:rsidR="00E8575E" w:rsidRPr="00BF288E">
        <w:t>on</w:t>
      </w:r>
      <w:r w:rsidR="00E8575E" w:rsidRPr="00BF288E">
        <w:rPr>
          <w:lang w:eastAsia="en-US"/>
        </w:rPr>
        <w:t xml:space="preserve"> the status of contributions to the trust funds administered by the secretariat as at 23 May 2022;</w:t>
      </w:r>
      <w:r w:rsidR="00E8575E" w:rsidRPr="00BF288E">
        <w:rPr>
          <w:rStyle w:val="FootnoteReference"/>
          <w:rFonts w:eastAsia="Times New Roman"/>
          <w:lang w:eastAsia="en-US"/>
        </w:rPr>
        <w:footnoteReference w:id="44"/>
      </w:r>
    </w:p>
    <w:p w14:paraId="59500DB8" w14:textId="43421411" w:rsidR="00E8575E" w:rsidRPr="00BF288E" w:rsidRDefault="00EA1E20" w:rsidP="00EA1E20">
      <w:pPr>
        <w:pStyle w:val="RegSingleTxtG"/>
        <w:numPr>
          <w:ilvl w:val="0"/>
          <w:numId w:val="0"/>
        </w:numPr>
        <w:ind w:left="1135"/>
      </w:pPr>
      <w:r w:rsidRPr="00BF288E">
        <w:t>2.</w:t>
      </w:r>
      <w:r w:rsidRPr="00BF288E">
        <w:tab/>
      </w:r>
      <w:r w:rsidR="00E8575E" w:rsidRPr="00BF288E">
        <w:rPr>
          <w:rFonts w:eastAsia="Times New Roman"/>
          <w:i/>
          <w:lang w:eastAsia="en-US"/>
        </w:rPr>
        <w:t xml:space="preserve">Expresses its </w:t>
      </w:r>
      <w:r w:rsidR="00E8575E" w:rsidRPr="00BF288E">
        <w:rPr>
          <w:i/>
        </w:rPr>
        <w:t>appreciation</w:t>
      </w:r>
      <w:r w:rsidR="00E8575E" w:rsidRPr="00BF288E">
        <w:t xml:space="preserve"> to Parties that made contributions to the core budget in a timely manner;</w:t>
      </w:r>
    </w:p>
    <w:p w14:paraId="6F2B3F4E" w14:textId="4604DA93" w:rsidR="00E8575E" w:rsidRPr="00BF288E" w:rsidRDefault="00EA1E20" w:rsidP="00EA1E20">
      <w:pPr>
        <w:pStyle w:val="RegSingleTxtG"/>
        <w:numPr>
          <w:ilvl w:val="0"/>
          <w:numId w:val="0"/>
        </w:numPr>
        <w:ind w:left="1135"/>
      </w:pPr>
      <w:r w:rsidRPr="00BF288E">
        <w:t>3.</w:t>
      </w:r>
      <w:r w:rsidRPr="00BF288E">
        <w:tab/>
      </w:r>
      <w:r w:rsidR="00E8575E" w:rsidRPr="00BF288E">
        <w:rPr>
          <w:i/>
        </w:rPr>
        <w:t>Expresses concern</w:t>
      </w:r>
      <w:r w:rsidR="00E8575E" w:rsidRPr="00BF288E">
        <w:t xml:space="preserve"> regarding the high level of outstanding contributions to the core budget for the current and previous bienniums, which has resulted in difficulties with cash flow and the effective implementation of activities;</w:t>
      </w:r>
    </w:p>
    <w:p w14:paraId="69289004" w14:textId="4CDFEFF1" w:rsidR="00E8575E" w:rsidRPr="00BF288E" w:rsidRDefault="00EA1E20" w:rsidP="00EA1E20">
      <w:pPr>
        <w:pStyle w:val="RegSingleTxtG"/>
        <w:numPr>
          <w:ilvl w:val="0"/>
          <w:numId w:val="0"/>
        </w:numPr>
        <w:ind w:left="1135"/>
      </w:pPr>
      <w:r w:rsidRPr="00BF288E">
        <w:t>4.</w:t>
      </w:r>
      <w:r w:rsidRPr="00BF288E">
        <w:tab/>
      </w:r>
      <w:r w:rsidR="00E8575E" w:rsidRPr="00BF288E">
        <w:rPr>
          <w:i/>
        </w:rPr>
        <w:t>Strongly urges</w:t>
      </w:r>
      <w:r w:rsidR="00E8575E" w:rsidRPr="00BF288E">
        <w:t xml:space="preserve"> Parties that have not made contributions in full to the core budget for the current and/or previous bienniums to do so without further delay;</w:t>
      </w:r>
    </w:p>
    <w:p w14:paraId="5429CCE2" w14:textId="68317845" w:rsidR="00E8575E" w:rsidRPr="00BF288E" w:rsidRDefault="00EA1E20" w:rsidP="00EA1E20">
      <w:pPr>
        <w:pStyle w:val="RegSingleTxtG"/>
        <w:numPr>
          <w:ilvl w:val="0"/>
          <w:numId w:val="0"/>
        </w:numPr>
        <w:ind w:left="1135"/>
      </w:pPr>
      <w:r w:rsidRPr="00BF288E">
        <w:t>5.</w:t>
      </w:r>
      <w:r w:rsidRPr="00BF288E">
        <w:tab/>
      </w:r>
      <w:r w:rsidR="00E8575E" w:rsidRPr="00BF288E">
        <w:rPr>
          <w:i/>
        </w:rPr>
        <w:t>Expresses its appreciation</w:t>
      </w:r>
      <w:r w:rsidR="00E8575E" w:rsidRPr="00BF288E">
        <w:t xml:space="preserve"> for the contributions to the Trust Fund for Participation in the UNFCCC Process and to the Trust Fund for Supplementary Activities received from Parties, including those contributions that allow for greater flexibility in allocation;</w:t>
      </w:r>
    </w:p>
    <w:p w14:paraId="62A5D55D" w14:textId="62B58162" w:rsidR="00E8575E" w:rsidRPr="00BF288E" w:rsidRDefault="00EA1E20" w:rsidP="00EA1E20">
      <w:pPr>
        <w:pStyle w:val="RegSingleTxtG"/>
        <w:numPr>
          <w:ilvl w:val="0"/>
          <w:numId w:val="0"/>
        </w:numPr>
        <w:ind w:left="1134"/>
      </w:pPr>
      <w:r w:rsidRPr="00BF288E">
        <w:t>6.</w:t>
      </w:r>
      <w:r w:rsidRPr="00BF288E">
        <w:tab/>
      </w:r>
      <w:r w:rsidR="00E8575E" w:rsidRPr="00BF288E">
        <w:rPr>
          <w:i/>
        </w:rPr>
        <w:t>Urges</w:t>
      </w:r>
      <w:r w:rsidR="00E8575E" w:rsidRPr="00BF288E">
        <w:t xml:space="preserve"> Parties to further contribute to the Trust Fund for Participation in the UNFCCC Process in order to ensure the widest possible participation in the process in 2022–2023, and to the Trust Fund for Supplementary Activities to ensure a high level of implementation of the UNFCCC work programme; </w:t>
      </w:r>
    </w:p>
    <w:p w14:paraId="0EF733C5" w14:textId="290FEAF5" w:rsidR="00E8575E" w:rsidRPr="00BF288E" w:rsidRDefault="00EA1E20" w:rsidP="00EA1E20">
      <w:pPr>
        <w:pStyle w:val="RegSingleTxtG"/>
        <w:numPr>
          <w:ilvl w:val="0"/>
          <w:numId w:val="0"/>
        </w:numPr>
        <w:ind w:left="1135"/>
        <w:rPr>
          <w:rFonts w:eastAsia="Times New Roman"/>
          <w:lang w:eastAsia="en-US"/>
        </w:rPr>
      </w:pPr>
      <w:r w:rsidRPr="00BF288E">
        <w:rPr>
          <w:rFonts w:eastAsia="Times New Roman"/>
          <w:lang w:eastAsia="en-US"/>
        </w:rPr>
        <w:t>7.</w:t>
      </w:r>
      <w:r w:rsidRPr="00BF288E">
        <w:rPr>
          <w:rFonts w:eastAsia="Times New Roman"/>
          <w:lang w:eastAsia="en-US"/>
        </w:rPr>
        <w:tab/>
      </w:r>
      <w:r w:rsidR="00E8575E" w:rsidRPr="00BF288E">
        <w:rPr>
          <w:i/>
        </w:rPr>
        <w:t>Reiterates its appreciation</w:t>
      </w:r>
      <w:r w:rsidR="00E8575E" w:rsidRPr="00BF288E">
        <w:t xml:space="preserve"> to the Government of Germany for its annual voluntary contribution to the core budget of EUR 766,938 and its special contribution</w:t>
      </w:r>
      <w:r w:rsidR="00E8575E" w:rsidRPr="00BF288E">
        <w:rPr>
          <w:rFonts w:eastAsia="Times New Roman"/>
          <w:lang w:eastAsia="en-US"/>
        </w:rPr>
        <w:t xml:space="preserve"> of EUR 1,789,522 as Host Government of the secretariat;</w:t>
      </w:r>
    </w:p>
    <w:p w14:paraId="3C89BE05" w14:textId="4BC393F5" w:rsidR="00E8575E" w:rsidRPr="00BF288E" w:rsidRDefault="00EA1E20" w:rsidP="00EA1E20">
      <w:pPr>
        <w:pStyle w:val="RegSingleTxtG"/>
        <w:numPr>
          <w:ilvl w:val="0"/>
          <w:numId w:val="0"/>
        </w:numPr>
        <w:ind w:left="1135"/>
        <w:rPr>
          <w:rFonts w:eastAsia="Times New Roman"/>
          <w:lang w:eastAsia="en-US"/>
        </w:rPr>
      </w:pPr>
      <w:r w:rsidRPr="00BF288E">
        <w:rPr>
          <w:rFonts w:eastAsia="Times New Roman"/>
          <w:lang w:eastAsia="en-US"/>
        </w:rPr>
        <w:t>8.</w:t>
      </w:r>
      <w:r w:rsidRPr="00BF288E">
        <w:rPr>
          <w:rFonts w:eastAsia="Times New Roman"/>
          <w:lang w:eastAsia="en-US"/>
        </w:rPr>
        <w:tab/>
      </w:r>
      <w:r w:rsidR="00E8575E" w:rsidRPr="00BF288E">
        <w:rPr>
          <w:i/>
          <w:lang w:eastAsia="en-US"/>
        </w:rPr>
        <w:t>Requests</w:t>
      </w:r>
      <w:r w:rsidR="00E8575E" w:rsidRPr="00BF288E">
        <w:rPr>
          <w:lang w:eastAsia="en-US"/>
        </w:rPr>
        <w:t xml:space="preserve"> the Executive Secretary </w:t>
      </w:r>
      <w:r w:rsidR="00E8575E" w:rsidRPr="00BF288E">
        <w:t xml:space="preserve">to </w:t>
      </w:r>
      <w:r w:rsidR="00E8575E" w:rsidRPr="00BF288E">
        <w:rPr>
          <w:lang w:eastAsia="en-US"/>
        </w:rPr>
        <w:t xml:space="preserve">take further measures to </w:t>
      </w:r>
      <w:r w:rsidR="00E8575E" w:rsidRPr="00BF288E">
        <w:rPr>
          <w:rFonts w:eastAsia="Times New Roman"/>
          <w:lang w:eastAsia="en-US"/>
        </w:rPr>
        <w:t>reduce Parties’ outstanding contributions;</w:t>
      </w:r>
    </w:p>
    <w:p w14:paraId="0B4B9B2A" w14:textId="0497B9E7" w:rsidR="00E8575E" w:rsidRPr="00BF288E" w:rsidRDefault="00EA1E20" w:rsidP="00EA1E20">
      <w:pPr>
        <w:pStyle w:val="RegHChG"/>
        <w:numPr>
          <w:ilvl w:val="0"/>
          <w:numId w:val="0"/>
        </w:numPr>
        <w:tabs>
          <w:tab w:val="left" w:pos="1135"/>
        </w:tabs>
        <w:ind w:left="1135" w:hanging="454"/>
      </w:pPr>
      <w:r w:rsidRPr="00BF288E">
        <w:t>II.</w:t>
      </w:r>
      <w:r w:rsidRPr="00BF288E">
        <w:tab/>
      </w:r>
      <w:r w:rsidR="00E8575E" w:rsidRPr="00BF288E">
        <w:t>Other budgetary matters</w:t>
      </w:r>
    </w:p>
    <w:p w14:paraId="6E8C4976" w14:textId="1A76ACCB" w:rsidR="00E8575E" w:rsidRPr="00BF288E" w:rsidRDefault="00EA1E20" w:rsidP="00EA1E20">
      <w:pPr>
        <w:pStyle w:val="RegSingleTxtG"/>
        <w:numPr>
          <w:ilvl w:val="0"/>
          <w:numId w:val="0"/>
        </w:numPr>
        <w:ind w:left="1135"/>
      </w:pPr>
      <w:bookmarkStart w:id="30" w:name="_Hlk103269736"/>
      <w:r w:rsidRPr="00BF288E">
        <w:t>9.</w:t>
      </w:r>
      <w:r w:rsidRPr="00BF288E">
        <w:tab/>
      </w:r>
      <w:r w:rsidR="00E8575E" w:rsidRPr="00BF288E">
        <w:rPr>
          <w:i/>
          <w:iCs/>
        </w:rPr>
        <w:t>Takes note</w:t>
      </w:r>
      <w:r w:rsidR="00E8575E" w:rsidRPr="00BF288E">
        <w:t xml:space="preserve"> of the information contained in the document prepared by the secretariat on efforts to further improve the efficiency and transparency of the UNFCCC budget process;</w:t>
      </w:r>
      <w:r w:rsidR="00E8575E" w:rsidRPr="00BF288E">
        <w:rPr>
          <w:rStyle w:val="FootnoteReference"/>
        </w:rPr>
        <w:footnoteReference w:id="45"/>
      </w:r>
      <w:r w:rsidR="00E8575E" w:rsidRPr="00BF288E">
        <w:t xml:space="preserve"> </w:t>
      </w:r>
    </w:p>
    <w:bookmarkEnd w:id="30"/>
    <w:p w14:paraId="16EB1E58" w14:textId="77412D60" w:rsidR="00E8575E" w:rsidRPr="00BF288E" w:rsidRDefault="00EA1E20" w:rsidP="00EA1E20">
      <w:pPr>
        <w:pStyle w:val="RegSingleTxtG"/>
        <w:numPr>
          <w:ilvl w:val="0"/>
          <w:numId w:val="0"/>
        </w:numPr>
        <w:ind w:left="1135"/>
      </w:pPr>
      <w:r w:rsidRPr="00BF288E">
        <w:t>10.</w:t>
      </w:r>
      <w:r w:rsidRPr="00BF288E">
        <w:tab/>
      </w:r>
      <w:r w:rsidR="00E8575E" w:rsidRPr="00BF288E">
        <w:rPr>
          <w:i/>
          <w:iCs/>
        </w:rPr>
        <w:t>Also takes note</w:t>
      </w:r>
      <w:r w:rsidR="00E8575E" w:rsidRPr="00BF288E">
        <w:t xml:space="preserve"> of the information contained in the note by the secretariat on the revised scales of indicative contributions for 2022–2023;</w:t>
      </w:r>
      <w:r w:rsidR="00E8575E" w:rsidRPr="00BF288E">
        <w:rPr>
          <w:rStyle w:val="FootnoteReference"/>
        </w:rPr>
        <w:footnoteReference w:id="46"/>
      </w:r>
    </w:p>
    <w:p w14:paraId="54F7CDCA" w14:textId="07EBAC64" w:rsidR="00E8575E" w:rsidRPr="00BF288E" w:rsidRDefault="00EA1E20" w:rsidP="00EA1E20">
      <w:pPr>
        <w:pStyle w:val="RegSingleTxtG"/>
        <w:numPr>
          <w:ilvl w:val="0"/>
          <w:numId w:val="0"/>
        </w:numPr>
        <w:ind w:left="1135"/>
      </w:pPr>
      <w:r w:rsidRPr="00BF288E">
        <w:t>11.</w:t>
      </w:r>
      <w:r w:rsidRPr="00BF288E">
        <w:tab/>
      </w:r>
      <w:r w:rsidR="00E8575E" w:rsidRPr="00BF288E">
        <w:rPr>
          <w:i/>
          <w:iCs/>
        </w:rPr>
        <w:t>Adopts</w:t>
      </w:r>
      <w:r w:rsidR="00E8575E" w:rsidRPr="00BF288E">
        <w:t xml:space="preserve"> the indicative scale of contributions contained in the annex;</w:t>
      </w:r>
    </w:p>
    <w:p w14:paraId="419EA496" w14:textId="595AB557" w:rsidR="00E8575E" w:rsidRPr="00BF288E" w:rsidRDefault="00EA1E20" w:rsidP="00EA1E20">
      <w:pPr>
        <w:pStyle w:val="RegSingleTxtG"/>
        <w:numPr>
          <w:ilvl w:val="0"/>
          <w:numId w:val="0"/>
        </w:numPr>
        <w:ind w:left="1135"/>
      </w:pPr>
      <w:r w:rsidRPr="00BF288E">
        <w:t>12.</w:t>
      </w:r>
      <w:r w:rsidRPr="00BF288E">
        <w:tab/>
      </w:r>
      <w:r w:rsidR="00E8575E" w:rsidRPr="00BF288E">
        <w:rPr>
          <w:i/>
          <w:iCs/>
        </w:rPr>
        <w:t>Decides</w:t>
      </w:r>
      <w:r w:rsidR="00E8575E" w:rsidRPr="00BF288E">
        <w:t xml:space="preserve"> that the scale of contributions contained in the annex shall also be applicable for 2022, covering 11 per cent of the contributions specified in table 1 in decision 22/CP.26; </w:t>
      </w:r>
    </w:p>
    <w:p w14:paraId="7E1CDF09" w14:textId="4AB9EA34" w:rsidR="00E8575E" w:rsidRPr="00BF288E" w:rsidRDefault="00EA1E20" w:rsidP="00EA1E20">
      <w:pPr>
        <w:pStyle w:val="RegSingleTxtG"/>
        <w:numPr>
          <w:ilvl w:val="0"/>
          <w:numId w:val="0"/>
        </w:numPr>
        <w:ind w:left="1135"/>
      </w:pPr>
      <w:r w:rsidRPr="00BF288E">
        <w:t>13.</w:t>
      </w:r>
      <w:r w:rsidRPr="00BF288E">
        <w:tab/>
      </w:r>
      <w:r w:rsidR="00E8575E" w:rsidRPr="00BF288E">
        <w:rPr>
          <w:i/>
          <w:iCs/>
        </w:rPr>
        <w:t>Takes note</w:t>
      </w:r>
      <w:r w:rsidR="00E8575E" w:rsidRPr="00BF288E">
        <w:t xml:space="preserve"> of the information contained in the note on the updated work programme of the secretariat for the biennium 2022–2023;</w:t>
      </w:r>
      <w:r w:rsidR="00E8575E" w:rsidRPr="00BF288E">
        <w:rPr>
          <w:rStyle w:val="FootnoteReference"/>
        </w:rPr>
        <w:footnoteReference w:id="47"/>
      </w:r>
    </w:p>
    <w:p w14:paraId="34A56697" w14:textId="524C0DCA" w:rsidR="00E8575E" w:rsidRPr="00BF288E" w:rsidRDefault="00EA1E20" w:rsidP="00EA1E20">
      <w:pPr>
        <w:pStyle w:val="RegSingleTxtG"/>
        <w:numPr>
          <w:ilvl w:val="0"/>
          <w:numId w:val="0"/>
        </w:numPr>
        <w:ind w:left="1135"/>
      </w:pPr>
      <w:r w:rsidRPr="00BF288E">
        <w:t>14.</w:t>
      </w:r>
      <w:r w:rsidRPr="00BF288E">
        <w:tab/>
      </w:r>
      <w:r w:rsidR="00E8575E" w:rsidRPr="00BF288E">
        <w:rPr>
          <w:i/>
          <w:iCs/>
        </w:rPr>
        <w:t>Also takes note</w:t>
      </w:r>
      <w:r w:rsidR="00E8575E" w:rsidRPr="00BF288E">
        <w:t xml:space="preserve"> of the information contained in the note on possible long-term financing strategies for secretariat employee benefit liabilities;</w:t>
      </w:r>
      <w:r w:rsidR="00E8575E" w:rsidRPr="00BF288E">
        <w:rPr>
          <w:rStyle w:val="FootnoteReference"/>
        </w:rPr>
        <w:footnoteReference w:id="48"/>
      </w:r>
    </w:p>
    <w:p w14:paraId="485D6E52" w14:textId="5115F45A" w:rsidR="00E8575E" w:rsidRPr="00BF288E" w:rsidRDefault="00EA1E20" w:rsidP="00EA1E20">
      <w:pPr>
        <w:pStyle w:val="RegSingleTxtG"/>
        <w:numPr>
          <w:ilvl w:val="0"/>
          <w:numId w:val="0"/>
        </w:numPr>
        <w:ind w:left="1135"/>
      </w:pPr>
      <w:r w:rsidRPr="00BF288E">
        <w:t>15.</w:t>
      </w:r>
      <w:r w:rsidRPr="00BF288E">
        <w:tab/>
      </w:r>
      <w:r w:rsidR="00E8575E" w:rsidRPr="00BF288E">
        <w:rPr>
          <w:i/>
          <w:iCs/>
        </w:rPr>
        <w:t>Further takes note</w:t>
      </w:r>
      <w:r w:rsidR="00E8575E" w:rsidRPr="00BF288E">
        <w:t xml:space="preserve"> of the mechanisms currently in place for funding employee benefits, as summarized in section III of the note referred to in paragraph 14 above;</w:t>
      </w:r>
    </w:p>
    <w:p w14:paraId="435E13DC" w14:textId="1EB2EC0A" w:rsidR="00E8575E" w:rsidRPr="00BF288E" w:rsidRDefault="00EA1E20" w:rsidP="00EA1E20">
      <w:pPr>
        <w:pStyle w:val="RegSingleTxtG"/>
        <w:numPr>
          <w:ilvl w:val="0"/>
          <w:numId w:val="0"/>
        </w:numPr>
        <w:ind w:left="1135"/>
      </w:pPr>
      <w:r w:rsidRPr="00BF288E">
        <w:t>16.</w:t>
      </w:r>
      <w:r w:rsidRPr="00BF288E">
        <w:tab/>
      </w:r>
      <w:r w:rsidR="00E8575E" w:rsidRPr="00BF288E">
        <w:rPr>
          <w:i/>
          <w:iCs/>
        </w:rPr>
        <w:t xml:space="preserve">Requests </w:t>
      </w:r>
      <w:r w:rsidR="00E8575E" w:rsidRPr="00BF288E">
        <w:t>the secretariat to continue implementing the mechanisms referred in paragraph 15 above;</w:t>
      </w:r>
    </w:p>
    <w:p w14:paraId="0B2CB11F" w14:textId="25EA0AF4" w:rsidR="00E8575E" w:rsidRPr="00BF288E" w:rsidRDefault="00EA1E20" w:rsidP="00EA1E20">
      <w:pPr>
        <w:pStyle w:val="RegSingleTxtG"/>
        <w:numPr>
          <w:ilvl w:val="0"/>
          <w:numId w:val="0"/>
        </w:numPr>
        <w:ind w:left="1135"/>
      </w:pPr>
      <w:r w:rsidRPr="00BF288E">
        <w:t>17.</w:t>
      </w:r>
      <w:r w:rsidRPr="00BF288E">
        <w:tab/>
      </w:r>
      <w:r w:rsidR="00E8575E" w:rsidRPr="00BF288E">
        <w:rPr>
          <w:i/>
          <w:iCs/>
        </w:rPr>
        <w:t xml:space="preserve">Also requests </w:t>
      </w:r>
      <w:r w:rsidR="00E8575E" w:rsidRPr="00BF288E">
        <w:t>the secretariat to inform the Subsidiary Body for Implementation of any relevant developments with regard to the funding of employee benefits, including any relevant resolutions adopted by the United Nations General Assembly;</w:t>
      </w:r>
    </w:p>
    <w:p w14:paraId="4C93AFB4" w14:textId="697E1B4B" w:rsidR="00E8575E" w:rsidRPr="00BF288E" w:rsidRDefault="00EA1E20" w:rsidP="00EA1E20">
      <w:pPr>
        <w:pStyle w:val="RegSingleTxtG"/>
        <w:numPr>
          <w:ilvl w:val="0"/>
          <w:numId w:val="0"/>
        </w:numPr>
        <w:ind w:left="1135"/>
      </w:pPr>
      <w:r w:rsidRPr="00BF288E">
        <w:t>18.</w:t>
      </w:r>
      <w:r w:rsidRPr="00BF288E">
        <w:tab/>
      </w:r>
      <w:r w:rsidR="00E8575E" w:rsidRPr="00BF288E">
        <w:rPr>
          <w:i/>
          <w:iCs/>
        </w:rPr>
        <w:t xml:space="preserve">Strongly urges </w:t>
      </w:r>
      <w:r w:rsidR="00E8575E" w:rsidRPr="00BF288E">
        <w:t>the secretariat to publish documents on budgetary matters in a timely manner;</w:t>
      </w:r>
    </w:p>
    <w:p w14:paraId="58C86421" w14:textId="084F690F" w:rsidR="00E8575E" w:rsidRPr="00BF288E" w:rsidRDefault="00EA1E20" w:rsidP="00EA1E20">
      <w:pPr>
        <w:pStyle w:val="RegHChG"/>
        <w:numPr>
          <w:ilvl w:val="0"/>
          <w:numId w:val="0"/>
        </w:numPr>
        <w:tabs>
          <w:tab w:val="left" w:pos="1135"/>
        </w:tabs>
        <w:ind w:left="1135" w:hanging="454"/>
      </w:pPr>
      <w:r w:rsidRPr="00BF288E">
        <w:t>III.</w:t>
      </w:r>
      <w:r w:rsidRPr="00BF288E">
        <w:tab/>
      </w:r>
      <w:r w:rsidR="00E8575E" w:rsidRPr="00BF288E">
        <w:rPr>
          <w:lang w:eastAsia="en-US"/>
        </w:rPr>
        <w:t xml:space="preserve">UNFCCC </w:t>
      </w:r>
      <w:r w:rsidR="00E8575E" w:rsidRPr="00BF288E">
        <w:t>annual</w:t>
      </w:r>
      <w:r w:rsidR="00E8575E" w:rsidRPr="00BF288E">
        <w:rPr>
          <w:lang w:eastAsia="en-US"/>
        </w:rPr>
        <w:t xml:space="preserve"> report</w:t>
      </w:r>
    </w:p>
    <w:p w14:paraId="1AB63ABB" w14:textId="61E77A65" w:rsidR="00E8575E" w:rsidRPr="00BF288E" w:rsidRDefault="00EA1E20" w:rsidP="00EA1E20">
      <w:pPr>
        <w:pStyle w:val="RegSingleTxtG"/>
        <w:numPr>
          <w:ilvl w:val="0"/>
          <w:numId w:val="0"/>
        </w:numPr>
        <w:suppressAutoHyphens w:val="0"/>
        <w:spacing w:line="240" w:lineRule="auto"/>
        <w:ind w:left="1135"/>
      </w:pPr>
      <w:r w:rsidRPr="00BF288E">
        <w:t>19.</w:t>
      </w:r>
      <w:r w:rsidRPr="00BF288E">
        <w:tab/>
      </w:r>
      <w:r w:rsidR="00E8575E" w:rsidRPr="00BF288E">
        <w:rPr>
          <w:lang w:eastAsia="en-US"/>
        </w:rPr>
        <w:tab/>
      </w:r>
      <w:r w:rsidR="00E8575E" w:rsidRPr="00BF288E">
        <w:rPr>
          <w:i/>
          <w:iCs/>
        </w:rPr>
        <w:t>Takes note</w:t>
      </w:r>
      <w:r w:rsidR="00E8575E" w:rsidRPr="00BF288E">
        <w:t xml:space="preserve"> of the information contained in the annual report on 2021 secretariat activities, programme delivery highlights and financial performance.</w:t>
      </w:r>
      <w:r w:rsidR="00E8575E" w:rsidRPr="00BF288E">
        <w:rPr>
          <w:rStyle w:val="FootnoteReference"/>
        </w:rPr>
        <w:footnoteReference w:id="49"/>
      </w:r>
    </w:p>
    <w:p w14:paraId="4C3D8D13" w14:textId="77777777" w:rsidR="00E8575E" w:rsidRPr="00BF288E" w:rsidRDefault="00E8575E" w:rsidP="00BF288E">
      <w:pPr>
        <w:suppressAutoHyphens w:val="0"/>
        <w:spacing w:line="240" w:lineRule="auto"/>
        <w:ind w:right="1134"/>
      </w:pPr>
      <w:r w:rsidRPr="00BF288E">
        <w:br w:type="page"/>
      </w:r>
    </w:p>
    <w:p w14:paraId="7059F388" w14:textId="77777777" w:rsidR="00E8575E" w:rsidRPr="00BF288E" w:rsidRDefault="00E8575E" w:rsidP="00F4194B">
      <w:pPr>
        <w:pStyle w:val="HChG"/>
        <w:spacing w:before="240"/>
      </w:pPr>
      <w:r w:rsidRPr="00BF288E">
        <w:t xml:space="preserve">Annex </w:t>
      </w:r>
    </w:p>
    <w:p w14:paraId="45E09C3F" w14:textId="77777777" w:rsidR="00E8575E" w:rsidRPr="00BF288E" w:rsidRDefault="00E8575E" w:rsidP="00D80135">
      <w:pPr>
        <w:pStyle w:val="HChG"/>
      </w:pPr>
      <w:r w:rsidRPr="00BF288E">
        <w:tab/>
      </w:r>
      <w:r w:rsidRPr="00BF288E">
        <w:tab/>
        <w:t>Indicative scale of contributions from Parties to the Kyoto Protocol for 2022–2023</w:t>
      </w:r>
    </w:p>
    <w:tbl>
      <w:tblPr>
        <w:tblStyle w:val="TableGrid"/>
        <w:tblW w:w="8505" w:type="dxa"/>
        <w:tblInd w:w="1134" w:type="dxa"/>
        <w:tblBorders>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038"/>
        <w:gridCol w:w="2734"/>
        <w:gridCol w:w="2733"/>
      </w:tblGrid>
      <w:tr w:rsidR="00E8575E" w:rsidRPr="00BF288E" w14:paraId="53028A94" w14:textId="77777777" w:rsidTr="003122EA">
        <w:trPr>
          <w:trHeight w:val="255"/>
          <w:tblHeader/>
        </w:trPr>
        <w:tc>
          <w:tcPr>
            <w:tcW w:w="2835" w:type="dxa"/>
            <w:tcBorders>
              <w:top w:val="single" w:sz="4" w:space="0" w:color="auto"/>
              <w:left w:val="nil"/>
              <w:bottom w:val="single" w:sz="12" w:space="0" w:color="auto"/>
              <w:right w:val="nil"/>
            </w:tcBorders>
            <w:noWrap/>
            <w:vAlign w:val="bottom"/>
            <w:hideMark/>
          </w:tcPr>
          <w:p w14:paraId="54D6EFD5" w14:textId="77777777" w:rsidR="00E8575E" w:rsidRPr="00BF288E" w:rsidRDefault="00E8575E" w:rsidP="00045A58">
            <w:pPr>
              <w:suppressAutoHyphens w:val="0"/>
              <w:spacing w:before="40" w:after="40" w:line="180" w:lineRule="exact"/>
              <w:rPr>
                <w:i/>
                <w:sz w:val="16"/>
              </w:rPr>
            </w:pPr>
            <w:r w:rsidRPr="00BF288E">
              <w:rPr>
                <w:i/>
                <w:sz w:val="16"/>
              </w:rPr>
              <w:t>Party</w:t>
            </w:r>
          </w:p>
        </w:tc>
        <w:tc>
          <w:tcPr>
            <w:tcW w:w="2552" w:type="dxa"/>
            <w:tcBorders>
              <w:top w:val="single" w:sz="4" w:space="0" w:color="auto"/>
              <w:left w:val="nil"/>
              <w:bottom w:val="single" w:sz="12" w:space="0" w:color="auto"/>
              <w:right w:val="nil"/>
            </w:tcBorders>
            <w:noWrap/>
            <w:vAlign w:val="bottom"/>
            <w:hideMark/>
          </w:tcPr>
          <w:p w14:paraId="54BB9B24" w14:textId="77777777" w:rsidR="00E8575E" w:rsidRPr="00BF288E" w:rsidRDefault="00E8575E" w:rsidP="00045A58">
            <w:pPr>
              <w:suppressAutoHyphens w:val="0"/>
              <w:spacing w:before="40" w:after="40" w:line="180" w:lineRule="exact"/>
              <w:ind w:left="113" w:right="57"/>
              <w:jc w:val="right"/>
              <w:rPr>
                <w:i/>
                <w:sz w:val="16"/>
              </w:rPr>
            </w:pPr>
            <w:r w:rsidRPr="00BF288E">
              <w:rPr>
                <w:i/>
                <w:sz w:val="16"/>
              </w:rPr>
              <w:t>United Nations scale of assessments for 2022–2024 (%)</w:t>
            </w:r>
          </w:p>
        </w:tc>
        <w:tc>
          <w:tcPr>
            <w:tcW w:w="2551" w:type="dxa"/>
            <w:tcBorders>
              <w:top w:val="single" w:sz="4" w:space="0" w:color="auto"/>
              <w:left w:val="nil"/>
              <w:bottom w:val="single" w:sz="12" w:space="0" w:color="auto"/>
              <w:right w:val="nil"/>
            </w:tcBorders>
            <w:noWrap/>
            <w:vAlign w:val="bottom"/>
            <w:hideMark/>
          </w:tcPr>
          <w:p w14:paraId="3C3B88F9" w14:textId="77777777" w:rsidR="00E8575E" w:rsidRPr="00BF288E" w:rsidRDefault="00E8575E" w:rsidP="00045A58">
            <w:pPr>
              <w:suppressAutoHyphens w:val="0"/>
              <w:spacing w:before="40" w:after="40" w:line="180" w:lineRule="exact"/>
              <w:ind w:left="113" w:right="57"/>
              <w:jc w:val="right"/>
              <w:rPr>
                <w:i/>
                <w:sz w:val="16"/>
              </w:rPr>
            </w:pPr>
            <w:r w:rsidRPr="00BF288E">
              <w:rPr>
                <w:i/>
                <w:sz w:val="16"/>
              </w:rPr>
              <w:t>UNFCCC revised indicative scale of contributions for 2022–2023 (%)</w:t>
            </w:r>
          </w:p>
        </w:tc>
      </w:tr>
      <w:tr w:rsidR="00E8575E" w:rsidRPr="00BF288E" w14:paraId="5313ABBD" w14:textId="77777777" w:rsidTr="003122EA">
        <w:trPr>
          <w:trHeight w:val="255"/>
        </w:trPr>
        <w:tc>
          <w:tcPr>
            <w:tcW w:w="2835" w:type="dxa"/>
            <w:tcBorders>
              <w:top w:val="single" w:sz="12" w:space="0" w:color="auto"/>
              <w:left w:val="nil"/>
              <w:bottom w:val="nil"/>
              <w:right w:val="nil"/>
            </w:tcBorders>
            <w:noWrap/>
            <w:tcMar>
              <w:top w:w="0" w:type="dxa"/>
              <w:left w:w="108" w:type="dxa"/>
              <w:bottom w:w="0" w:type="dxa"/>
              <w:right w:w="108" w:type="dxa"/>
            </w:tcMar>
            <w:hideMark/>
          </w:tcPr>
          <w:p w14:paraId="238B2C9B" w14:textId="77777777" w:rsidR="00E8575E" w:rsidRPr="00BF288E" w:rsidRDefault="00E8575E" w:rsidP="00045A58">
            <w:pPr>
              <w:suppressAutoHyphens w:val="0"/>
              <w:spacing w:before="40" w:after="40" w:line="200" w:lineRule="exact"/>
              <w:ind w:left="-108"/>
              <w:rPr>
                <w:sz w:val="18"/>
              </w:rPr>
            </w:pPr>
            <w:r w:rsidRPr="00BF288E">
              <w:rPr>
                <w:rFonts w:eastAsia="MS Mincho"/>
                <w:color w:val="000000"/>
                <w:sz w:val="18"/>
                <w:szCs w:val="18"/>
                <w:lang w:eastAsia="de-DE"/>
              </w:rPr>
              <w:t>Afghanistan</w:t>
            </w:r>
          </w:p>
        </w:tc>
        <w:tc>
          <w:tcPr>
            <w:tcW w:w="2552" w:type="dxa"/>
            <w:tcBorders>
              <w:top w:val="single" w:sz="12" w:space="0" w:color="auto"/>
              <w:left w:val="nil"/>
              <w:bottom w:val="nil"/>
              <w:right w:val="nil"/>
            </w:tcBorders>
            <w:shd w:val="clear" w:color="auto" w:fill="FFFFFF"/>
            <w:noWrap/>
            <w:tcMar>
              <w:top w:w="0" w:type="dxa"/>
              <w:left w:w="108" w:type="dxa"/>
              <w:bottom w:w="0" w:type="dxa"/>
              <w:right w:w="108" w:type="dxa"/>
            </w:tcMar>
            <w:vAlign w:val="bottom"/>
            <w:hideMark/>
          </w:tcPr>
          <w:p w14:paraId="2D3AEBC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c>
          <w:tcPr>
            <w:tcW w:w="2551" w:type="dxa"/>
            <w:tcBorders>
              <w:top w:val="single" w:sz="12" w:space="0" w:color="auto"/>
              <w:left w:val="nil"/>
              <w:bottom w:val="nil"/>
              <w:right w:val="nil"/>
            </w:tcBorders>
            <w:shd w:val="clear" w:color="auto" w:fill="FFFFFF"/>
            <w:noWrap/>
            <w:tcMar>
              <w:top w:w="0" w:type="dxa"/>
              <w:left w:w="108" w:type="dxa"/>
              <w:bottom w:w="0" w:type="dxa"/>
              <w:right w:w="108" w:type="dxa"/>
            </w:tcMar>
            <w:vAlign w:val="bottom"/>
            <w:hideMark/>
          </w:tcPr>
          <w:p w14:paraId="4875323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r>
      <w:tr w:rsidR="00E8575E" w:rsidRPr="00BF288E" w14:paraId="1124710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4B04A0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Albania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13C1C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FD0E9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76795C7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E119ED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Algeria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506A06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A4364A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0.141</w:t>
            </w:r>
          </w:p>
        </w:tc>
      </w:tr>
      <w:tr w:rsidR="00E8575E" w:rsidRPr="00BF288E" w14:paraId="59CF4C6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8DC4BF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Angola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5B38B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9CAE1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6843B80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0B2A6B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Antigua and Barbuda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B1B2A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1EE4F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725C0A7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8F85AB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Argentina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BBB98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0.719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EC839B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0.930</w:t>
            </w:r>
          </w:p>
        </w:tc>
      </w:tr>
      <w:tr w:rsidR="00E8575E" w:rsidRPr="00BF288E" w14:paraId="7D0480E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00B166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Armenia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685CA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B6E1E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2BB82D4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0D2FE8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Australia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7B79C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FAAC7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2.731</w:t>
            </w:r>
          </w:p>
        </w:tc>
      </w:tr>
      <w:tr w:rsidR="00E8575E" w:rsidRPr="00BF288E" w14:paraId="76BFB61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3ADA58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Austria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B516B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0.679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35F9E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0.878</w:t>
            </w:r>
          </w:p>
        </w:tc>
      </w:tr>
      <w:tr w:rsidR="00E8575E" w:rsidRPr="00BF288E" w14:paraId="0377AF3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3B9F85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Azerbaijan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78BC8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E482B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0.039</w:t>
            </w:r>
          </w:p>
        </w:tc>
      </w:tr>
      <w:tr w:rsidR="00E8575E" w:rsidRPr="00BF288E" w14:paraId="5C55CBB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18A160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Bahamas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97B02F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2D6A5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0.025</w:t>
            </w:r>
          </w:p>
        </w:tc>
      </w:tr>
      <w:tr w:rsidR="00E8575E" w:rsidRPr="00BF288E" w14:paraId="4CB9597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275478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Bahrain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46FA2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F6EB9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0.070</w:t>
            </w:r>
          </w:p>
        </w:tc>
      </w:tr>
      <w:tr w:rsidR="00E8575E" w:rsidRPr="00BF288E" w14:paraId="0754CAE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DA956D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Bangladesh</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75233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CD4B5F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3CF780E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AF8A63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Barbados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0D122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7D2B6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5471ECF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E18563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Belarus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B035F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113821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0.053</w:t>
            </w:r>
          </w:p>
        </w:tc>
      </w:tr>
      <w:tr w:rsidR="00E8575E" w:rsidRPr="00BF288E" w14:paraId="42398DE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19CA64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Belgium</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1A4F1B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DA3BE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1.071</w:t>
            </w:r>
          </w:p>
        </w:tc>
      </w:tr>
      <w:tr w:rsidR="00E8575E" w:rsidRPr="00BF288E" w14:paraId="4295A94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50671A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Belize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41C74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D8641C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1F90526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28D22E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Benin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B7FC9C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06CF8C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1F3D5A8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EB5A26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Bhutan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9249F6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D04765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0F99D9A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FC69BE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Bolivia (Plurinational State of)</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156A80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478211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0.025</w:t>
            </w:r>
          </w:p>
        </w:tc>
      </w:tr>
      <w:tr w:rsidR="00E8575E" w:rsidRPr="00BF288E" w14:paraId="5278821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C3EB56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Bosnia and Herzegovina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C207F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AB73BA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0.016</w:t>
            </w:r>
          </w:p>
        </w:tc>
      </w:tr>
      <w:tr w:rsidR="00E8575E" w:rsidRPr="00BF288E" w14:paraId="37E263E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423489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Botswana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A5282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301D20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r>
      <w:tr w:rsidR="00E8575E" w:rsidRPr="00BF288E" w14:paraId="6DEE75B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31F723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Brazil</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86D143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BACC42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2.604</w:t>
            </w:r>
          </w:p>
        </w:tc>
      </w:tr>
      <w:tr w:rsidR="00E8575E" w:rsidRPr="00BF288E" w14:paraId="316859F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026F45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Brunei Darussalam</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78F8B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8EB2E9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0.027</w:t>
            </w:r>
          </w:p>
        </w:tc>
      </w:tr>
      <w:tr w:rsidR="00E8575E" w:rsidRPr="00BF288E" w14:paraId="4FD40EE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B4F0D4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Bulgaria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BE16E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81137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0.072</w:t>
            </w:r>
          </w:p>
        </w:tc>
      </w:tr>
      <w:tr w:rsidR="00E8575E" w:rsidRPr="00BF288E" w14:paraId="032BAD0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54C6B8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Burkina Faso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C583B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5AD86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3FD44A6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D988F7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Burundi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C4F0D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E578D4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4EE29A9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E36B77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Cabo Verde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2A3C7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5E2CA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C3579A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652647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Cambodia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E5AEA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36A330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40726ED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A87E24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Cameroon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0111C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61360B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0.017</w:t>
            </w:r>
          </w:p>
        </w:tc>
      </w:tr>
      <w:tr w:rsidR="00E8575E" w:rsidRPr="00BF288E" w14:paraId="5E5EFE4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1136C4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Central African Republic</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12D936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7D4F7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1C17717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D4E709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Chad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541450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4026CD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3468607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A69B78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Chile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B29E3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0.420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36BAA1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0.543</w:t>
            </w:r>
          </w:p>
        </w:tc>
      </w:tr>
      <w:tr w:rsidR="00E8575E" w:rsidRPr="00BF288E" w14:paraId="331012D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34871B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China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D4063A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15.254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3D0C5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19.735</w:t>
            </w:r>
          </w:p>
        </w:tc>
      </w:tr>
      <w:tr w:rsidR="00E8575E" w:rsidRPr="00BF288E" w14:paraId="53F33CC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AAEBD4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Colombia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C9F64F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0.246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F054D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0.318</w:t>
            </w:r>
          </w:p>
        </w:tc>
      </w:tr>
      <w:tr w:rsidR="00E8575E" w:rsidRPr="00BF288E" w14:paraId="431CF62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56F907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Comoros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06B7F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CD680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00E0E3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91C7B6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Congo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B6151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85355C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7FED126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643BE1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Cook Islands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E0C3C9"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CC3D5C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17F2536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4E6DA0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Costa Rica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47CADC"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0.069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3E453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0.089</w:t>
            </w:r>
          </w:p>
        </w:tc>
      </w:tr>
      <w:tr w:rsidR="00E8575E" w:rsidRPr="00BF288E" w14:paraId="0391F9B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675888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Côte d’Ivoire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0295A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340AD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0.028</w:t>
            </w:r>
          </w:p>
        </w:tc>
      </w:tr>
      <w:tr w:rsidR="00E8575E" w:rsidRPr="00BF288E" w14:paraId="7CE77DA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2266A4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Croatia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6C7FC7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0.091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2E00F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0.118</w:t>
            </w:r>
          </w:p>
        </w:tc>
      </w:tr>
      <w:tr w:rsidR="00E8575E" w:rsidRPr="00BF288E" w14:paraId="475DEC5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7CCA13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Cuba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52DA9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0.095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995BA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0.123</w:t>
            </w:r>
          </w:p>
        </w:tc>
      </w:tr>
      <w:tr w:rsidR="00E8575E" w:rsidRPr="00BF288E" w14:paraId="7A41B03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941655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Cyprus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D9348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3C150B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0.047</w:t>
            </w:r>
          </w:p>
        </w:tc>
      </w:tr>
      <w:tr w:rsidR="00E8575E" w:rsidRPr="00BF288E" w14:paraId="4BD50E7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511982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Czechia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F07D5B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0.340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A9F498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0.440</w:t>
            </w:r>
          </w:p>
        </w:tc>
      </w:tr>
      <w:tr w:rsidR="00E8575E" w:rsidRPr="00BF288E" w14:paraId="3CF9389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798FB9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Democratic People’s Republic of Korea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F9B71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0F0B26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3DDCA5E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FFBE50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Democratic Republic of the Congo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8DE28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39577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6B77C3E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4D5619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Denmark</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90CB89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0.553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1151B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0.715</w:t>
            </w:r>
          </w:p>
        </w:tc>
      </w:tr>
      <w:tr w:rsidR="00E8575E" w:rsidRPr="00BF288E" w14:paraId="662E148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CA41FA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Djibouti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5F51A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6CCB44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5C76995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0D6C3C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Dominica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228F3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DD724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6C541F3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CE650C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Dominican Republic</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B529B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0.067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0E72B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0.087</w:t>
            </w:r>
          </w:p>
        </w:tc>
      </w:tr>
      <w:tr w:rsidR="00E8575E" w:rsidRPr="00BF288E" w14:paraId="4E450D6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23E4C0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Ecuador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F8B59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5B291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0.100</w:t>
            </w:r>
          </w:p>
        </w:tc>
      </w:tr>
      <w:tr w:rsidR="00E8575E" w:rsidRPr="00BF288E" w14:paraId="7D941FF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A2040B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Egypt</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60C3C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0.139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44058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0.180</w:t>
            </w:r>
          </w:p>
        </w:tc>
      </w:tr>
      <w:tr w:rsidR="00E8575E" w:rsidRPr="00BF288E" w14:paraId="799A7E9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69C565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El Salvador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A87C2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8AFC16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0.017</w:t>
            </w:r>
          </w:p>
        </w:tc>
      </w:tr>
      <w:tr w:rsidR="00E8575E" w:rsidRPr="00BF288E" w14:paraId="557AEB6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6F6D38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Equatorial Guinea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61D9AE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8CCD7A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0.016</w:t>
            </w:r>
          </w:p>
        </w:tc>
      </w:tr>
      <w:tr w:rsidR="00E8575E" w:rsidRPr="00BF288E" w14:paraId="4621BD8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7A69DC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Eritrea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0075D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2B5DE6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14A9E4C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76FDE9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Estonia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BB5A2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37EDB2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0.057</w:t>
            </w:r>
          </w:p>
        </w:tc>
      </w:tr>
      <w:tr w:rsidR="00E8575E" w:rsidRPr="00BF288E" w14:paraId="714F901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4BA3A9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Eswatini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66E20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FA670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333ABF7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457E20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Ethiopia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87036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997C1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6CC6083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FCF55B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European Union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17935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37C25E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2.500</w:t>
            </w:r>
          </w:p>
        </w:tc>
      </w:tr>
      <w:tr w:rsidR="00E8575E" w:rsidRPr="00BF288E" w14:paraId="4D2C7CF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4355D6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Fiji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4C056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5788FA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35A4468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EC40F5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Finland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28E3CA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0.417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5B897C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0.540</w:t>
            </w:r>
          </w:p>
        </w:tc>
      </w:tr>
      <w:tr w:rsidR="00E8575E" w:rsidRPr="00BF288E" w14:paraId="70A2E1D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A3181B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France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4AA59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4.318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C091B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5.587</w:t>
            </w:r>
          </w:p>
        </w:tc>
      </w:tr>
      <w:tr w:rsidR="00E8575E" w:rsidRPr="00BF288E" w14:paraId="4E65578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3BFA09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Gabon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980C1C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B97ECD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0.017</w:t>
            </w:r>
          </w:p>
        </w:tc>
      </w:tr>
      <w:tr w:rsidR="00E8575E" w:rsidRPr="00BF288E" w14:paraId="15DC944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0DCDAE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Gambia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C75EA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28650F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B9D310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A3065D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Georgia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C0D0D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187DC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6BA35E3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86F94B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Germany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BA8236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6.111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C628C0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7.906</w:t>
            </w:r>
          </w:p>
        </w:tc>
      </w:tr>
      <w:tr w:rsidR="00E8575E" w:rsidRPr="00BF288E" w14:paraId="7615E84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562EE5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Ghana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5EC25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152871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0.031</w:t>
            </w:r>
          </w:p>
        </w:tc>
      </w:tr>
      <w:tr w:rsidR="00E8575E" w:rsidRPr="00BF288E" w14:paraId="49FF2AA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17BF07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Greece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C4B99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0.325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1147D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0.420</w:t>
            </w:r>
          </w:p>
        </w:tc>
      </w:tr>
      <w:tr w:rsidR="00E8575E" w:rsidRPr="00BF288E" w14:paraId="496A73F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D1501A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Grenada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ECE5C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376D5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296B52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3F021B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Guatemala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49AEB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BC152E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0.053</w:t>
            </w:r>
          </w:p>
        </w:tc>
      </w:tr>
      <w:tr w:rsidR="00E8575E" w:rsidRPr="00BF288E" w14:paraId="3BD75A9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AB03A1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Guinea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5B047C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BDD66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02B44BE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FBAB0D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Guinea-Bissau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1EF01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5EE515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5950AC6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9D0C51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Guyana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925097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E85D5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66C949E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6F33CF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Haiti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C77B7F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7DA24F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r>
      <w:tr w:rsidR="00E8575E" w:rsidRPr="00BF288E" w14:paraId="159324F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325473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Honduras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2AAF9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89F628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0.012</w:t>
            </w:r>
          </w:p>
        </w:tc>
      </w:tr>
      <w:tr w:rsidR="00E8575E" w:rsidRPr="00BF288E" w14:paraId="026ED54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8FCF40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Hungary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29F55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B6448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0.295</w:t>
            </w:r>
          </w:p>
        </w:tc>
      </w:tr>
      <w:tr w:rsidR="00E8575E" w:rsidRPr="00BF288E" w14:paraId="2B9090C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0F95C3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Iceland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5365C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F744BE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0.047</w:t>
            </w:r>
          </w:p>
        </w:tc>
      </w:tr>
      <w:tr w:rsidR="00E8575E" w:rsidRPr="00BF288E" w14:paraId="33B7090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40EA3B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India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0AB8EA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1.044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08B869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1.351</w:t>
            </w:r>
          </w:p>
        </w:tc>
      </w:tr>
      <w:tr w:rsidR="00E8575E" w:rsidRPr="00BF288E" w14:paraId="35B848E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FE11D0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Indonesia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23F2E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0.549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29914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0.710</w:t>
            </w:r>
          </w:p>
        </w:tc>
      </w:tr>
      <w:tr w:rsidR="00E8575E" w:rsidRPr="00BF288E" w14:paraId="70F997A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9D2CC5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Iran (Islamic Republic of)</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F7204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0.371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19EB7A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0.480</w:t>
            </w:r>
          </w:p>
        </w:tc>
      </w:tr>
      <w:tr w:rsidR="00E8575E" w:rsidRPr="00BF288E" w14:paraId="5AC4BDE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23ADA6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Iraq</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DA407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0.128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E8104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0.166</w:t>
            </w:r>
          </w:p>
        </w:tc>
      </w:tr>
      <w:tr w:rsidR="00E8575E" w:rsidRPr="00BF288E" w14:paraId="29D7483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8B6C99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Ireland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5FC0C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0.439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736AD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0.568</w:t>
            </w:r>
          </w:p>
        </w:tc>
      </w:tr>
      <w:tr w:rsidR="00E8575E" w:rsidRPr="00BF288E" w14:paraId="10F1971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2FA856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Israel</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DD94D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0.561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A2F73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0.726</w:t>
            </w:r>
          </w:p>
        </w:tc>
      </w:tr>
      <w:tr w:rsidR="00E8575E" w:rsidRPr="00BF288E" w14:paraId="010BBD3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F3D74F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Italy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3BC0E8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3.189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085333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4.126</w:t>
            </w:r>
          </w:p>
        </w:tc>
      </w:tr>
      <w:tr w:rsidR="00E8575E" w:rsidRPr="00BF288E" w14:paraId="2A2DA6B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A6601A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Jamaica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5B33D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3E1D82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376979D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46242F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Japan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8B0520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8.033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46BA6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10.393</w:t>
            </w:r>
          </w:p>
        </w:tc>
      </w:tr>
      <w:tr w:rsidR="00E8575E" w:rsidRPr="00BF288E" w14:paraId="057231E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4746CC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Jordan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17DB3D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68CC4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0.028</w:t>
            </w:r>
          </w:p>
        </w:tc>
      </w:tr>
      <w:tr w:rsidR="00E8575E" w:rsidRPr="00BF288E" w14:paraId="18D067C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8F0A6B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Kazakhstan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33948E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0.133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AE67C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0.172</w:t>
            </w:r>
          </w:p>
        </w:tc>
      </w:tr>
      <w:tr w:rsidR="00E8575E" w:rsidRPr="00BF288E" w14:paraId="1CCF187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E2939D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Kenya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E9DE2EC"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0.030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17597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0.039</w:t>
            </w:r>
          </w:p>
        </w:tc>
      </w:tr>
      <w:tr w:rsidR="00E8575E" w:rsidRPr="00BF288E" w14:paraId="2BB5DF4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FEB8ED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Kiribati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D290C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08627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3AB2F3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B433FD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Kuwait</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DF4286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ABE5AB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0.303</w:t>
            </w:r>
          </w:p>
        </w:tc>
      </w:tr>
      <w:tr w:rsidR="00E8575E" w:rsidRPr="00BF288E" w14:paraId="24E11B2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94034A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Kyrgyzstan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F31412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9EA9B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7AEF689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ADBB34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Lao People’s Democratic Republic</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79C4A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78DE2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22844CE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D8B59D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Latvia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018A5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25A05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0.065</w:t>
            </w:r>
          </w:p>
        </w:tc>
      </w:tr>
      <w:tr w:rsidR="00E8575E" w:rsidRPr="00BF288E" w14:paraId="180D9DE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887B92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Lebanon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9D5CDB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422EE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0.047</w:t>
            </w:r>
          </w:p>
        </w:tc>
      </w:tr>
      <w:tr w:rsidR="00E8575E" w:rsidRPr="00BF288E" w14:paraId="0B41739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D6F357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Lesotho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62862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4C02B1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36940FC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8FCFD5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Liberia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8ED78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EE49D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5B3AE67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92F22F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Libya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05DEC8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E47956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0.023</w:t>
            </w:r>
          </w:p>
        </w:tc>
      </w:tr>
      <w:tr w:rsidR="00E8575E" w:rsidRPr="00BF288E" w14:paraId="11B48A4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DA7FB2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Liechtenstein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05A1F0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64CA6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097FD77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628E77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Lithuania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A44596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B26C5D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0.100</w:t>
            </w:r>
          </w:p>
        </w:tc>
      </w:tr>
      <w:tr w:rsidR="00E8575E" w:rsidRPr="00BF288E" w14:paraId="58BBC61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878CED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Luxembourg</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DA3B7D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0.068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D0939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0.088</w:t>
            </w:r>
          </w:p>
        </w:tc>
      </w:tr>
      <w:tr w:rsidR="00E8575E" w:rsidRPr="00BF288E" w14:paraId="6BF96BB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6AAB12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Madagascar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5AEE5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4779E1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5D7FC0E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AA639A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Malawi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FD899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933C5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45D7199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919620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Malaysia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DD33C4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0.348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BD3CE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0.450</w:t>
            </w:r>
          </w:p>
        </w:tc>
      </w:tr>
      <w:tr w:rsidR="00E8575E" w:rsidRPr="00BF288E" w14:paraId="47E5B53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7FE0A0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Maldives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D47E2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F8411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4B12F46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2650E9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Mali</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ED7F0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72E6CD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3A3BF56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1382F4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Malta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37B62C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8A5DC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0.025</w:t>
            </w:r>
          </w:p>
        </w:tc>
      </w:tr>
      <w:tr w:rsidR="00E8575E" w:rsidRPr="00BF288E" w14:paraId="3ED6395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941678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Marshall Islands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2D5EF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A1EB8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500A18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B61C20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Mauritania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05C513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A4954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77D2A2D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440DFB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Mauritius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D2D04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D8E515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0.025</w:t>
            </w:r>
          </w:p>
        </w:tc>
      </w:tr>
      <w:tr w:rsidR="00E8575E" w:rsidRPr="00BF288E" w14:paraId="610001B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6BDC2B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Mexico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E47BC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1.221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06DD7E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1.580</w:t>
            </w:r>
          </w:p>
        </w:tc>
      </w:tr>
      <w:tr w:rsidR="00E8575E" w:rsidRPr="00BF288E" w14:paraId="55BB72B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84DE886"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Micronesia (Federated States of)</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FDE34D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9F20D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3022E7D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32C4FB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Monaco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5FBD22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BA5A3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0.014</w:t>
            </w:r>
          </w:p>
        </w:tc>
      </w:tr>
      <w:tr w:rsidR="00E8575E" w:rsidRPr="00BF288E" w14:paraId="1016404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624D50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Mongolia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0C868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91592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7864933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0ABC69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Montenegro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8EE8BE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7A498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614B7E0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5719660"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 xml:space="preserve">Morocco </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1A2CD9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B62F9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0.071</w:t>
            </w:r>
          </w:p>
        </w:tc>
      </w:tr>
      <w:tr w:rsidR="00E8575E" w:rsidRPr="00BF288E" w14:paraId="39EC1B0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82DCC4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Mozambique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02601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62D10D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r>
      <w:tr w:rsidR="00E8575E" w:rsidRPr="00BF288E" w14:paraId="55F727F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1D63DE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Myanmar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1196A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CCF59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7486349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5C4BB0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Namibia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478090"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1BF4A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0.012</w:t>
            </w:r>
          </w:p>
        </w:tc>
      </w:tr>
      <w:tr w:rsidR="00E8575E" w:rsidRPr="00BF288E" w14:paraId="535ECFF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B9C50F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Nauru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DB9C0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FC9EA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103EFF4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75D477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Nepal</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08C9AE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2003C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1E40AD4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BD33F6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Netherlands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33FD4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1.377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F8862B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1.782</w:t>
            </w:r>
          </w:p>
        </w:tc>
      </w:tr>
      <w:tr w:rsidR="00E8575E" w:rsidRPr="00BF288E" w14:paraId="395859D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24339C1"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New Zealand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0B823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8F87C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0.400</w:t>
            </w:r>
          </w:p>
        </w:tc>
      </w:tr>
      <w:tr w:rsidR="00E8575E" w:rsidRPr="00BF288E" w14:paraId="0C79190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D7BA60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Nicaragua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9D76B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DF52D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26630E8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CC314F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Niger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3080A4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67EB7E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4A0DADB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1309B6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Nigeria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C64970"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0.182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1FBF5B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0.235</w:t>
            </w:r>
          </w:p>
        </w:tc>
      </w:tr>
      <w:tr w:rsidR="00E8575E" w:rsidRPr="00BF288E" w14:paraId="7C8DD33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9CE3B0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Niue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BBEE9C"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0.000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BDB9C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971649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7ED252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North Macedonia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B7DF6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01504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5784EB8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E2C186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Norway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CB0AF2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0.679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13BA06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0.878</w:t>
            </w:r>
          </w:p>
        </w:tc>
      </w:tr>
      <w:tr w:rsidR="00E8575E" w:rsidRPr="00BF288E" w14:paraId="48951E6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14C73A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Oman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FDD72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0.111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3425A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0.144</w:t>
            </w:r>
          </w:p>
        </w:tc>
      </w:tr>
      <w:tr w:rsidR="00E8575E" w:rsidRPr="00BF288E" w14:paraId="56DEAF7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BBC521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Pakistan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2A677F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0.114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55851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0.147</w:t>
            </w:r>
          </w:p>
        </w:tc>
      </w:tr>
      <w:tr w:rsidR="00E8575E" w:rsidRPr="00BF288E" w14:paraId="4CD55CB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7FD933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Palau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046C0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B24A3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7A44945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051EE2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Panama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2A580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0.090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D80338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0.116</w:t>
            </w:r>
          </w:p>
        </w:tc>
      </w:tr>
      <w:tr w:rsidR="00E8575E" w:rsidRPr="00BF288E" w14:paraId="70B81D5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3FC659D"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Papua New Guinea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4D309E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30DDC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424B0A8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24A5F7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Paraguay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A3DD99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1D20D0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0.034</w:t>
            </w:r>
          </w:p>
        </w:tc>
      </w:tr>
      <w:tr w:rsidR="00E8575E" w:rsidRPr="00BF288E" w14:paraId="1913E55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3DFCB5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Peru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B888A7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0.163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034EA7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0.211</w:t>
            </w:r>
          </w:p>
        </w:tc>
      </w:tr>
      <w:tr w:rsidR="00E8575E" w:rsidRPr="00BF288E" w14:paraId="737153F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B5336F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Philippines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26F95B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DCE6E7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0.274</w:t>
            </w:r>
          </w:p>
        </w:tc>
      </w:tr>
      <w:tr w:rsidR="00E8575E" w:rsidRPr="00BF288E" w14:paraId="6CF399B8"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DAE877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Poland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B8EBEC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0.837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3907F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1.083</w:t>
            </w:r>
          </w:p>
        </w:tc>
      </w:tr>
      <w:tr w:rsidR="00E8575E" w:rsidRPr="00BF288E" w14:paraId="7B1A080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85D25F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Portugal</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85A9B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0.353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CD253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0.457</w:t>
            </w:r>
          </w:p>
        </w:tc>
      </w:tr>
      <w:tr w:rsidR="00E8575E" w:rsidRPr="00BF288E" w14:paraId="104E00D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0B3965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Qatar</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49C5E1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0.269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DD2F00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0.348</w:t>
            </w:r>
          </w:p>
        </w:tc>
      </w:tr>
      <w:tr w:rsidR="00E8575E" w:rsidRPr="00BF288E" w14:paraId="08FAE3F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B835E4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Republic of Korea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9C55EC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2.574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3D2CC7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3.330</w:t>
            </w:r>
          </w:p>
        </w:tc>
      </w:tr>
      <w:tr w:rsidR="00E8575E" w:rsidRPr="00BF288E" w14:paraId="109FA4E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C07984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Republic of Moldova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699BB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087464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0.006</w:t>
            </w:r>
          </w:p>
        </w:tc>
      </w:tr>
      <w:tr w:rsidR="00E8575E" w:rsidRPr="00BF288E" w14:paraId="1223FFD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785F1A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Romania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95902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0.312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CC8103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0.404</w:t>
            </w:r>
          </w:p>
        </w:tc>
      </w:tr>
      <w:tr w:rsidR="00E8575E" w:rsidRPr="00BF288E" w14:paraId="4F40F11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A1A31A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Russian Federation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F05C2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1.866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50C987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2.414</w:t>
            </w:r>
          </w:p>
        </w:tc>
      </w:tr>
      <w:tr w:rsidR="00E8575E" w:rsidRPr="00BF288E" w14:paraId="73B041F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96D77C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Rwanda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7994CF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F2A454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63A5B68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BE012D3"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Saint Kitts and Nevis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E3EFDF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A2F53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71F0954A"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757ABA3"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Saint Lucia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9606EA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38289E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6F071B4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59C3131" w14:textId="77777777" w:rsidR="00E8575E" w:rsidRPr="00BF288E" w:rsidRDefault="00E8575E" w:rsidP="00045A58">
            <w:pPr>
              <w:suppressAutoHyphens w:val="0"/>
              <w:spacing w:before="40" w:after="40" w:line="200" w:lineRule="exact"/>
              <w:ind w:left="-105"/>
              <w:rPr>
                <w:sz w:val="18"/>
              </w:rPr>
            </w:pPr>
            <w:r w:rsidRPr="00BF288E">
              <w:rPr>
                <w:color w:val="000000"/>
                <w:sz w:val="18"/>
                <w:szCs w:val="18"/>
              </w:rPr>
              <w:t>Saint Vincent and the Grenadines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41801A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803A61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07850C6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EADDCE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Samoa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F00D55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E05972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6D9D6A9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638FB8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San Marino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316EB9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158255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6885F6C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B1044CE"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Sao Tome and Principe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2C742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716D9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6875247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658D74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Saudi Arabia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946C3D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1.184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AD3BFE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1.532</w:t>
            </w:r>
          </w:p>
        </w:tc>
      </w:tr>
      <w:tr w:rsidR="00E8575E" w:rsidRPr="00BF288E" w14:paraId="3E311C5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10470C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Senegal</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68293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01D41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7963377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D18133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Serbia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A6D8D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EDA57B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0.041</w:t>
            </w:r>
          </w:p>
        </w:tc>
      </w:tr>
      <w:tr w:rsidR="00E8575E" w:rsidRPr="00BF288E" w14:paraId="29BD58E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E535DA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Seychelles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3C4A3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F7567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544EB46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008031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Sierra Leone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6C32A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7E0C0B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154C3D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A6ABD09"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Singapore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BE2ED4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0.504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BB5323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0.652</w:t>
            </w:r>
          </w:p>
        </w:tc>
      </w:tr>
      <w:tr w:rsidR="00E8575E" w:rsidRPr="00BF288E" w14:paraId="0285CAC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BE926B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Slovakia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A7FACC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0.155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F14F84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0.201</w:t>
            </w:r>
          </w:p>
        </w:tc>
      </w:tr>
      <w:tr w:rsidR="00E8575E" w:rsidRPr="00BF288E" w14:paraId="02BE96E0"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1C03DD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Slovenia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710E78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E8FEE8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0.102</w:t>
            </w:r>
          </w:p>
        </w:tc>
      </w:tr>
      <w:tr w:rsidR="00E8575E" w:rsidRPr="00BF288E" w14:paraId="2CFDB28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4AEBD1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Solomon Islands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98A0D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5EB97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052A87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BB74DB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Somalia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2C7F4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1BA9E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028B0B6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E169084"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South Africa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2B2C7E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0.244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FABF2B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0.316</w:t>
            </w:r>
          </w:p>
        </w:tc>
      </w:tr>
      <w:tr w:rsidR="00E8575E" w:rsidRPr="00BF288E" w14:paraId="5DF4176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B406B5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Spain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163DAE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2.134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ED1B40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2.761</w:t>
            </w:r>
          </w:p>
        </w:tc>
      </w:tr>
      <w:tr w:rsidR="00E8575E" w:rsidRPr="00BF288E" w14:paraId="30B943B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833BB3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Sri Lanka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3A2082A"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A2035B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0.058</w:t>
            </w:r>
          </w:p>
        </w:tc>
      </w:tr>
      <w:tr w:rsidR="00E8575E" w:rsidRPr="00BF288E" w14:paraId="75C6EFC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E685B1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Sudan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7C3CE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D38594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30ABFB5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BEAB662"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Suriname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663B3E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9F8965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052A0ED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0D5345B"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Sweden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E46706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0.871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F532E7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1.127</w:t>
            </w:r>
          </w:p>
        </w:tc>
      </w:tr>
      <w:tr w:rsidR="00E8575E" w:rsidRPr="00BF288E" w14:paraId="74B2BEAD"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3987AA1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Switzerland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49419DB"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1.134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B0AB9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1.467</w:t>
            </w:r>
          </w:p>
        </w:tc>
      </w:tr>
      <w:tr w:rsidR="00E8575E" w:rsidRPr="00BF288E" w14:paraId="28D6BD5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849ED5C"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Syrian Arab Republic</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723954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B236B4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0.012</w:t>
            </w:r>
          </w:p>
        </w:tc>
      </w:tr>
      <w:tr w:rsidR="00E8575E" w:rsidRPr="00BF288E" w14:paraId="27EF8A7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12A577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Tajikistan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06A7E8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0848BA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0.004</w:t>
            </w:r>
          </w:p>
        </w:tc>
      </w:tr>
      <w:tr w:rsidR="00E8575E" w:rsidRPr="00BF288E" w14:paraId="55C6A053"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BA00BF7"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Thailand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5F7CB9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0.368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E491C1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0.476</w:t>
            </w:r>
          </w:p>
        </w:tc>
      </w:tr>
      <w:tr w:rsidR="00E8575E" w:rsidRPr="00BF288E" w14:paraId="274A6FD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0017C9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Timor-Leste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414E6E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0E9E03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0D2CB454"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6DB1AC9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Togo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436797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DE248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0.003</w:t>
            </w:r>
          </w:p>
        </w:tc>
      </w:tr>
      <w:tr w:rsidR="00E8575E" w:rsidRPr="00BF288E" w14:paraId="12523EE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70EA71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Tonga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2D46D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C03A15C"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939700F"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844271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Trinidad and Tobago</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99D85C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B2157F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0.048</w:t>
            </w:r>
          </w:p>
        </w:tc>
      </w:tr>
      <w:tr w:rsidR="00E8575E" w:rsidRPr="00BF288E" w14:paraId="106C3FB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B8CBF8D"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Tunisia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9D3E5F"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0.019</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86E743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0.025</w:t>
            </w:r>
          </w:p>
        </w:tc>
      </w:tr>
      <w:tr w:rsidR="00E8575E" w:rsidRPr="00BF288E" w14:paraId="29E6CD9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3D417A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Türkiye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9BE8D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0.845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A3FBA9B"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1.093</w:t>
            </w:r>
          </w:p>
        </w:tc>
      </w:tr>
      <w:tr w:rsidR="00E8575E" w:rsidRPr="00BF288E" w14:paraId="6A600565"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166A3D5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Turkmenistan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4C0663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0.034</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41DE82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0.044</w:t>
            </w:r>
          </w:p>
        </w:tc>
      </w:tr>
      <w:tr w:rsidR="00E8575E" w:rsidRPr="00BF288E" w14:paraId="770623E1"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0BBDCB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Tuvalu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21031D3" w14:textId="77777777" w:rsidR="00E8575E" w:rsidRPr="00BF288E" w:rsidRDefault="00E8575E" w:rsidP="00045A58">
            <w:pPr>
              <w:suppressAutoHyphens w:val="0"/>
              <w:spacing w:before="40" w:after="40" w:line="200" w:lineRule="exact"/>
              <w:jc w:val="right"/>
              <w:rPr>
                <w:rFonts w:eastAsia="Times New Roman"/>
                <w:color w:val="000000"/>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2544C7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23C4D4D9"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19B66D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Uganda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1C58A3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253613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2836502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512641DA"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Ukraine</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3B92AC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0.056</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1ABD5D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0.072</w:t>
            </w:r>
          </w:p>
        </w:tc>
      </w:tr>
      <w:tr w:rsidR="00E8575E" w:rsidRPr="00BF288E" w14:paraId="4FB77D3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6AD9580"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United Arab Emirates</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C4D2539"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0.635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699A76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0.822</w:t>
            </w:r>
          </w:p>
        </w:tc>
      </w:tr>
      <w:tr w:rsidR="00E8575E" w:rsidRPr="00BF288E" w14:paraId="6DB0793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D4AC72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United Kingdom of Great Britain and Northern Ireland</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8C6CA6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4.375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D50BEB2"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5.660</w:t>
            </w:r>
          </w:p>
        </w:tc>
      </w:tr>
      <w:tr w:rsidR="00E8575E" w:rsidRPr="00BF288E" w14:paraId="656D1F12"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62843C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United Republic of Tanzania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1BCCD5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31E1DE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0.013</w:t>
            </w:r>
          </w:p>
        </w:tc>
      </w:tr>
      <w:tr w:rsidR="00E8575E" w:rsidRPr="00BF288E" w14:paraId="619757DE"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264DE9C1"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Uruguay</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60D6064"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0.092</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A37968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0.119</w:t>
            </w:r>
          </w:p>
        </w:tc>
      </w:tr>
      <w:tr w:rsidR="00E8575E" w:rsidRPr="00BF288E" w14:paraId="705EE44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612C5C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Uzbekistan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93A2CE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0.027</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7D84F16"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0.035</w:t>
            </w:r>
          </w:p>
        </w:tc>
      </w:tr>
      <w:tr w:rsidR="00E8575E" w:rsidRPr="00BF288E" w14:paraId="68882916"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3690145"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Vanuatu</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6E62567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4D9BAEA7"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0.001</w:t>
            </w:r>
          </w:p>
        </w:tc>
      </w:tr>
      <w:tr w:rsidR="00E8575E" w:rsidRPr="00BF288E" w14:paraId="658DA057"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4A9D2AD3"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Venezuela (Bolivarian Republic of)</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A80C7D5"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0.175</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097EEE6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0.226</w:t>
            </w:r>
          </w:p>
        </w:tc>
      </w:tr>
      <w:tr w:rsidR="00E8575E" w:rsidRPr="00BF288E" w14:paraId="29CF3A0C"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54D142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Viet Nam</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790B013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0.093</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363BA90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0.120</w:t>
            </w:r>
          </w:p>
        </w:tc>
      </w:tr>
      <w:tr w:rsidR="00E8575E" w:rsidRPr="00BF288E" w14:paraId="6AF9459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0DF2980F"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Yemen</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2EC025AE"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1C7260D3"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3D7BF23B" w14:textId="77777777" w:rsidTr="003122EA">
        <w:trPr>
          <w:trHeight w:val="255"/>
        </w:trPr>
        <w:tc>
          <w:tcPr>
            <w:tcW w:w="2835" w:type="dxa"/>
            <w:tcBorders>
              <w:top w:val="nil"/>
              <w:left w:val="nil"/>
              <w:bottom w:val="nil"/>
              <w:right w:val="nil"/>
            </w:tcBorders>
            <w:noWrap/>
            <w:tcMar>
              <w:top w:w="0" w:type="dxa"/>
              <w:left w:w="108" w:type="dxa"/>
              <w:bottom w:w="0" w:type="dxa"/>
              <w:right w:w="108" w:type="dxa"/>
            </w:tcMar>
            <w:hideMark/>
          </w:tcPr>
          <w:p w14:paraId="77F04C08"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Zambia</w:t>
            </w:r>
          </w:p>
        </w:tc>
        <w:tc>
          <w:tcPr>
            <w:tcW w:w="2552"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8A1D181"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0.008</w:t>
            </w:r>
          </w:p>
        </w:tc>
        <w:tc>
          <w:tcPr>
            <w:tcW w:w="2551" w:type="dxa"/>
            <w:tcBorders>
              <w:top w:val="nil"/>
              <w:left w:val="nil"/>
              <w:bottom w:val="nil"/>
              <w:right w:val="nil"/>
            </w:tcBorders>
            <w:shd w:val="clear" w:color="auto" w:fill="FFFFFF"/>
            <w:noWrap/>
            <w:tcMar>
              <w:top w:w="0" w:type="dxa"/>
              <w:left w:w="108" w:type="dxa"/>
              <w:bottom w:w="0" w:type="dxa"/>
              <w:right w:w="108" w:type="dxa"/>
            </w:tcMar>
            <w:vAlign w:val="bottom"/>
            <w:hideMark/>
          </w:tcPr>
          <w:p w14:paraId="52EF32C8"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0.010</w:t>
            </w:r>
          </w:p>
        </w:tc>
      </w:tr>
      <w:tr w:rsidR="00E8575E" w:rsidRPr="00BF288E" w14:paraId="607149E7" w14:textId="77777777" w:rsidTr="003122EA">
        <w:trPr>
          <w:trHeight w:val="255"/>
        </w:trPr>
        <w:tc>
          <w:tcPr>
            <w:tcW w:w="2835" w:type="dxa"/>
            <w:tcBorders>
              <w:top w:val="nil"/>
              <w:left w:val="nil"/>
              <w:bottom w:val="single" w:sz="2" w:space="0" w:color="auto"/>
              <w:right w:val="nil"/>
            </w:tcBorders>
            <w:noWrap/>
            <w:tcMar>
              <w:top w:w="0" w:type="dxa"/>
              <w:left w:w="108" w:type="dxa"/>
              <w:bottom w:w="0" w:type="dxa"/>
              <w:right w:w="108" w:type="dxa"/>
            </w:tcMar>
            <w:hideMark/>
          </w:tcPr>
          <w:p w14:paraId="57089786" w14:textId="77777777" w:rsidR="00E8575E" w:rsidRPr="00BF288E" w:rsidRDefault="00E8575E" w:rsidP="00045A58">
            <w:pPr>
              <w:suppressAutoHyphens w:val="0"/>
              <w:spacing w:before="40" w:after="40" w:line="200" w:lineRule="exact"/>
              <w:ind w:left="-105"/>
              <w:rPr>
                <w:sz w:val="18"/>
              </w:rPr>
            </w:pPr>
            <w:r w:rsidRPr="00BF288E">
              <w:rPr>
                <w:rFonts w:eastAsia="MS Mincho"/>
                <w:color w:val="000000"/>
                <w:sz w:val="18"/>
                <w:szCs w:val="18"/>
                <w:lang w:eastAsia="de-DE"/>
              </w:rPr>
              <w:t>Zimbabwe</w:t>
            </w:r>
          </w:p>
        </w:tc>
        <w:tc>
          <w:tcPr>
            <w:tcW w:w="2552" w:type="dxa"/>
            <w:tcBorders>
              <w:top w:val="nil"/>
              <w:left w:val="nil"/>
              <w:bottom w:val="single" w:sz="2" w:space="0" w:color="auto"/>
              <w:right w:val="nil"/>
            </w:tcBorders>
            <w:shd w:val="clear" w:color="auto" w:fill="FFFFFF"/>
            <w:noWrap/>
            <w:tcMar>
              <w:top w:w="0" w:type="dxa"/>
              <w:left w:w="108" w:type="dxa"/>
              <w:bottom w:w="0" w:type="dxa"/>
              <w:right w:w="108" w:type="dxa"/>
            </w:tcMar>
            <w:vAlign w:val="bottom"/>
            <w:hideMark/>
          </w:tcPr>
          <w:p w14:paraId="7FA9E490"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0.007</w:t>
            </w:r>
          </w:p>
        </w:tc>
        <w:tc>
          <w:tcPr>
            <w:tcW w:w="2551" w:type="dxa"/>
            <w:tcBorders>
              <w:top w:val="nil"/>
              <w:left w:val="nil"/>
              <w:bottom w:val="single" w:sz="2" w:space="0" w:color="auto"/>
              <w:right w:val="nil"/>
            </w:tcBorders>
            <w:shd w:val="clear" w:color="auto" w:fill="FFFFFF"/>
            <w:noWrap/>
            <w:tcMar>
              <w:top w:w="0" w:type="dxa"/>
              <w:left w:w="108" w:type="dxa"/>
              <w:bottom w:w="0" w:type="dxa"/>
              <w:right w:w="108" w:type="dxa"/>
            </w:tcMar>
            <w:vAlign w:val="bottom"/>
            <w:hideMark/>
          </w:tcPr>
          <w:p w14:paraId="33B2764D" w14:textId="77777777" w:rsidR="00E8575E" w:rsidRPr="00BF288E" w:rsidRDefault="00E8575E" w:rsidP="00045A58">
            <w:pPr>
              <w:suppressAutoHyphens w:val="0"/>
              <w:spacing w:before="40" w:after="40" w:line="200" w:lineRule="exact"/>
              <w:jc w:val="right"/>
              <w:rPr>
                <w:rFonts w:eastAsia="Times New Roman"/>
                <w:sz w:val="18"/>
                <w:szCs w:val="18"/>
                <w:lang w:val="en-US" w:eastAsia="en-US"/>
              </w:rPr>
            </w:pPr>
            <w:r w:rsidRPr="00BF288E">
              <w:rPr>
                <w:color w:val="000000"/>
                <w:sz w:val="18"/>
                <w:szCs w:val="18"/>
              </w:rPr>
              <w:t>0.009</w:t>
            </w:r>
          </w:p>
        </w:tc>
      </w:tr>
      <w:tr w:rsidR="00E8575E" w:rsidRPr="00BF288E" w14:paraId="5C23753B" w14:textId="77777777" w:rsidTr="003122EA">
        <w:trPr>
          <w:trHeight w:val="255"/>
        </w:trPr>
        <w:tc>
          <w:tcPr>
            <w:tcW w:w="2835" w:type="dxa"/>
            <w:tcBorders>
              <w:top w:val="single" w:sz="2" w:space="0" w:color="auto"/>
              <w:left w:val="nil"/>
              <w:bottom w:val="single" w:sz="12" w:space="0" w:color="auto"/>
              <w:right w:val="nil"/>
            </w:tcBorders>
            <w:noWrap/>
            <w:tcMar>
              <w:top w:w="0" w:type="dxa"/>
              <w:left w:w="108" w:type="dxa"/>
              <w:bottom w:w="0" w:type="dxa"/>
              <w:right w:w="108" w:type="dxa"/>
            </w:tcMar>
            <w:hideMark/>
          </w:tcPr>
          <w:p w14:paraId="752D0C44" w14:textId="77777777" w:rsidR="00E8575E" w:rsidRPr="00BF288E" w:rsidRDefault="00E8575E" w:rsidP="00045A58">
            <w:pPr>
              <w:suppressAutoHyphens w:val="0"/>
              <w:spacing w:before="40" w:after="40" w:line="200" w:lineRule="exact"/>
              <w:ind w:left="179"/>
              <w:jc w:val="both"/>
              <w:rPr>
                <w:sz w:val="18"/>
              </w:rPr>
            </w:pPr>
            <w:r w:rsidRPr="00BF288E">
              <w:rPr>
                <w:b/>
                <w:bCs/>
                <w:color w:val="000000"/>
                <w:sz w:val="18"/>
                <w:szCs w:val="18"/>
              </w:rPr>
              <w:t>Total</w:t>
            </w:r>
          </w:p>
        </w:tc>
        <w:tc>
          <w:tcPr>
            <w:tcW w:w="2552" w:type="dxa"/>
            <w:tcBorders>
              <w:top w:val="single" w:sz="2" w:space="0" w:color="auto"/>
              <w:left w:val="nil"/>
              <w:bottom w:val="single" w:sz="12" w:space="0" w:color="auto"/>
              <w:right w:val="nil"/>
            </w:tcBorders>
            <w:shd w:val="clear" w:color="auto" w:fill="FFFFFF"/>
            <w:noWrap/>
            <w:tcMar>
              <w:top w:w="0" w:type="dxa"/>
              <w:left w:w="108" w:type="dxa"/>
              <w:bottom w:w="0" w:type="dxa"/>
              <w:right w:w="108" w:type="dxa"/>
            </w:tcMar>
            <w:vAlign w:val="bottom"/>
            <w:hideMark/>
          </w:tcPr>
          <w:p w14:paraId="5C3C7560" w14:textId="77777777" w:rsidR="00E8575E" w:rsidRPr="00BF288E" w:rsidRDefault="00E8575E" w:rsidP="00045A58">
            <w:pPr>
              <w:suppressAutoHyphens w:val="0"/>
              <w:spacing w:before="40" w:after="40" w:line="200" w:lineRule="exact"/>
              <w:jc w:val="right"/>
              <w:rPr>
                <w:rFonts w:eastAsia="Times New Roman"/>
                <w:b/>
                <w:bCs/>
                <w:color w:val="000000"/>
                <w:sz w:val="18"/>
                <w:szCs w:val="18"/>
                <w:lang w:val="en-US" w:eastAsia="en-US"/>
              </w:rPr>
            </w:pPr>
            <w:r w:rsidRPr="00BF288E">
              <w:rPr>
                <w:b/>
                <w:bCs/>
                <w:color w:val="000000"/>
                <w:sz w:val="18"/>
                <w:szCs w:val="18"/>
              </w:rPr>
              <w:t>75.365</w:t>
            </w:r>
          </w:p>
        </w:tc>
        <w:tc>
          <w:tcPr>
            <w:tcW w:w="2551" w:type="dxa"/>
            <w:tcBorders>
              <w:top w:val="single" w:sz="2" w:space="0" w:color="auto"/>
              <w:left w:val="nil"/>
              <w:bottom w:val="single" w:sz="12" w:space="0" w:color="auto"/>
              <w:right w:val="nil"/>
            </w:tcBorders>
            <w:shd w:val="clear" w:color="auto" w:fill="FFFFFF"/>
            <w:noWrap/>
            <w:tcMar>
              <w:top w:w="0" w:type="dxa"/>
              <w:left w:w="108" w:type="dxa"/>
              <w:bottom w:w="0" w:type="dxa"/>
              <w:right w:w="108" w:type="dxa"/>
            </w:tcMar>
            <w:vAlign w:val="bottom"/>
            <w:hideMark/>
          </w:tcPr>
          <w:p w14:paraId="166FDAA4" w14:textId="77777777" w:rsidR="00E8575E" w:rsidRPr="00BF288E" w:rsidRDefault="00E8575E" w:rsidP="00045A58">
            <w:pPr>
              <w:suppressAutoHyphens w:val="0"/>
              <w:spacing w:before="40" w:after="40" w:line="200" w:lineRule="exact"/>
              <w:jc w:val="right"/>
              <w:rPr>
                <w:sz w:val="18"/>
                <w:szCs w:val="18"/>
              </w:rPr>
            </w:pPr>
            <w:r w:rsidRPr="00BF288E">
              <w:rPr>
                <w:b/>
                <w:bCs/>
                <w:color w:val="000000"/>
                <w:sz w:val="18"/>
                <w:szCs w:val="18"/>
              </w:rPr>
              <w:t>100.000</w:t>
            </w:r>
          </w:p>
        </w:tc>
      </w:tr>
    </w:tbl>
    <w:p w14:paraId="5755465A" w14:textId="77777777" w:rsidR="00E8575E" w:rsidRPr="00BF288E" w:rsidRDefault="00E8575E" w:rsidP="00E8575E">
      <w:pPr>
        <w:pStyle w:val="RegSingleTxtG"/>
        <w:keepNext/>
        <w:numPr>
          <w:ilvl w:val="0"/>
          <w:numId w:val="0"/>
        </w:numPr>
        <w:spacing w:after="0" w:line="60" w:lineRule="exact"/>
        <w:sectPr w:rsidR="00E8575E" w:rsidRPr="00BF288E" w:rsidSect="00310DE3">
          <w:headerReference w:type="even" r:id="rId42"/>
          <w:headerReference w:type="default" r:id="rId43"/>
          <w:footerReference w:type="even" r:id="rId44"/>
          <w:footerReference w:type="default" r:id="rId45"/>
          <w:headerReference w:type="first" r:id="rId46"/>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r w:rsidRPr="00BF288E">
        <w:rPr>
          <w:rStyle w:val="EndnoteReference"/>
        </w:rPr>
        <w:endnoteReference w:id="2"/>
      </w:r>
    </w:p>
    <w:p w14:paraId="7D78D670" w14:textId="77777777" w:rsidR="00E8575E" w:rsidRPr="00BF288E" w:rsidRDefault="00E8575E" w:rsidP="00E8575E">
      <w:pPr>
        <w:suppressAutoHyphens w:val="0"/>
        <w:spacing w:line="240" w:lineRule="auto"/>
      </w:pPr>
    </w:p>
    <w:p w14:paraId="5065CAF2" w14:textId="77777777" w:rsidR="00125EB3" w:rsidRPr="00BF288E" w:rsidRDefault="00125EB3" w:rsidP="00387B41">
      <w:pPr>
        <w:rPr>
          <w:u w:val="single"/>
        </w:rPr>
        <w:sectPr w:rsidR="00125EB3" w:rsidRPr="00BF288E" w:rsidSect="000A7292">
          <w:headerReference w:type="even" r:id="rId47"/>
          <w:headerReference w:type="default" r:id="rId48"/>
          <w:footerReference w:type="even" r:id="rId49"/>
          <w:footerReference w:type="default" r:id="rId50"/>
          <w:footnotePr>
            <w:numRestart w:val="eachSect"/>
          </w:footnotePr>
          <w:endnotePr>
            <w:numFmt w:val="lowerLetter"/>
            <w:numRestart w:val="eachSect"/>
          </w:endnotePr>
          <w:type w:val="continuous"/>
          <w:pgSz w:w="11906" w:h="16838" w:code="9"/>
          <w:pgMar w:top="1417" w:right="1134" w:bottom="1134" w:left="1134" w:header="850" w:footer="567" w:gutter="0"/>
          <w:cols w:space="708"/>
          <w:docGrid w:linePitch="360"/>
        </w:sectPr>
      </w:pPr>
    </w:p>
    <w:p w14:paraId="32C6E0A7" w14:textId="549DC424" w:rsidR="00530AA7" w:rsidRPr="00BF288E" w:rsidRDefault="00530AA7" w:rsidP="00EA1E20">
      <w:pPr>
        <w:pStyle w:val="RegHChG"/>
        <w:numPr>
          <w:ilvl w:val="0"/>
          <w:numId w:val="0"/>
        </w:numPr>
        <w:spacing w:before="120"/>
        <w:ind w:left="1134" w:hanging="454"/>
      </w:pPr>
      <w:bookmarkStart w:id="31" w:name="Decision_9"/>
      <w:r w:rsidRPr="00BF288E">
        <w:t>Decision 9/CMP.17</w:t>
      </w:r>
      <w:bookmarkEnd w:id="31"/>
    </w:p>
    <w:p w14:paraId="12A5228A" w14:textId="71D95320" w:rsidR="00530AA7" w:rsidRPr="00BF288E" w:rsidRDefault="00530AA7" w:rsidP="00EA1E20">
      <w:pPr>
        <w:pStyle w:val="RegHChG"/>
        <w:numPr>
          <w:ilvl w:val="0"/>
          <w:numId w:val="0"/>
        </w:numPr>
        <w:ind w:left="1135" w:hanging="454"/>
      </w:pPr>
      <w:r w:rsidRPr="00BF288E">
        <w:t>Administrative, financial and institutional matters</w:t>
      </w:r>
    </w:p>
    <w:p w14:paraId="642AC0A0" w14:textId="77777777" w:rsidR="00530AA7" w:rsidRPr="00BF288E" w:rsidRDefault="00530AA7" w:rsidP="003122EA">
      <w:pPr>
        <w:pStyle w:val="SingleTxtG"/>
        <w:ind w:firstLine="567"/>
      </w:pPr>
      <w:r w:rsidRPr="00BF288E">
        <w:rPr>
          <w:i/>
          <w:iCs/>
        </w:rPr>
        <w:t>The Conference of the Parties serving as the meeting of the Parties to the Kyoto Protocol</w:t>
      </w:r>
      <w:r w:rsidRPr="00BF288E">
        <w:t>,</w:t>
      </w:r>
    </w:p>
    <w:p w14:paraId="572CB8AE" w14:textId="77777777" w:rsidR="00530AA7" w:rsidRPr="00BF288E" w:rsidRDefault="00530AA7" w:rsidP="003122EA">
      <w:pPr>
        <w:pStyle w:val="SingleTxtG"/>
        <w:ind w:firstLine="567"/>
      </w:pPr>
      <w:r w:rsidRPr="00BF288E">
        <w:rPr>
          <w:i/>
          <w:iCs/>
        </w:rPr>
        <w:t>Recalling</w:t>
      </w:r>
      <w:r w:rsidRPr="00BF288E">
        <w:t xml:space="preserve"> Article 13, paragraph 5, of the Kyoto Protocol,</w:t>
      </w:r>
    </w:p>
    <w:p w14:paraId="69B5BD08" w14:textId="77777777" w:rsidR="00530AA7" w:rsidRPr="00BF288E" w:rsidRDefault="00530AA7" w:rsidP="003122EA">
      <w:pPr>
        <w:pStyle w:val="SingleTxtG"/>
        <w:ind w:left="1135" w:firstLine="566"/>
      </w:pPr>
      <w:r w:rsidRPr="00BF288E">
        <w:rPr>
          <w:i/>
        </w:rPr>
        <w:t>Also recalling</w:t>
      </w:r>
      <w:r w:rsidRPr="00BF288E">
        <w:t xml:space="preserve"> the financial procedures for the Conference of the Parties, which also apply to the Kyoto Protocol,</w:t>
      </w:r>
      <w:r w:rsidRPr="00BF288E">
        <w:rPr>
          <w:rStyle w:val="FootnoteReference"/>
        </w:rPr>
        <w:footnoteReference w:id="50"/>
      </w:r>
    </w:p>
    <w:p w14:paraId="7C21C33B" w14:textId="6E1E737C" w:rsidR="00530AA7" w:rsidRPr="00BF288E" w:rsidRDefault="00530AA7" w:rsidP="003122EA">
      <w:pPr>
        <w:pStyle w:val="SingleTxtG"/>
        <w:ind w:firstLine="567"/>
      </w:pPr>
      <w:r w:rsidRPr="00BF288E">
        <w:rPr>
          <w:i/>
          <w:iCs/>
        </w:rPr>
        <w:t>Taking note</w:t>
      </w:r>
      <w:r w:rsidRPr="00BF288E">
        <w:t xml:space="preserve"> of decision </w:t>
      </w:r>
      <w:r w:rsidR="00EA40F9" w:rsidRPr="00BF288E">
        <w:t>27</w:t>
      </w:r>
      <w:r w:rsidRPr="00BF288E">
        <w:t>/CP.27,</w:t>
      </w:r>
    </w:p>
    <w:p w14:paraId="364B9AC8" w14:textId="77777777" w:rsidR="00530AA7" w:rsidRPr="00BF288E" w:rsidRDefault="00530AA7" w:rsidP="003122EA">
      <w:pPr>
        <w:pStyle w:val="SingleTxtG"/>
        <w:ind w:firstLine="567"/>
        <w:rPr>
          <w:lang w:val="en-US"/>
        </w:rPr>
      </w:pPr>
      <w:r w:rsidRPr="00BF288E">
        <w:rPr>
          <w:i/>
          <w:iCs/>
        </w:rPr>
        <w:t>Having</w:t>
      </w:r>
      <w:r w:rsidRPr="00BF288E">
        <w:rPr>
          <w:i/>
          <w:lang w:val="en-US"/>
        </w:rPr>
        <w:t xml:space="preserve"> </w:t>
      </w:r>
      <w:r w:rsidRPr="00BF288E">
        <w:rPr>
          <w:i/>
          <w:iCs/>
        </w:rPr>
        <w:t>considered</w:t>
      </w:r>
      <w:r w:rsidRPr="00BF288E">
        <w:rPr>
          <w:lang w:val="en-US"/>
        </w:rPr>
        <w:t xml:space="preserve"> the information contained in the documents prepared by the secretariat on administrative, financial and institutional matters for this session,</w:t>
      </w:r>
      <w:r w:rsidRPr="00BF288E">
        <w:rPr>
          <w:rStyle w:val="FootnoteReference"/>
          <w:lang w:val="en-US"/>
        </w:rPr>
        <w:footnoteReference w:id="51"/>
      </w:r>
    </w:p>
    <w:p w14:paraId="0D7DB750" w14:textId="285B23F4" w:rsidR="00530AA7" w:rsidRPr="00BF288E" w:rsidRDefault="00EA1E20" w:rsidP="00EA1E20">
      <w:pPr>
        <w:pStyle w:val="RegHChG"/>
        <w:numPr>
          <w:ilvl w:val="0"/>
          <w:numId w:val="0"/>
        </w:numPr>
        <w:tabs>
          <w:tab w:val="left" w:pos="1135"/>
        </w:tabs>
        <w:ind w:left="1135" w:hanging="454"/>
        <w:rPr>
          <w:b w:val="0"/>
        </w:rPr>
      </w:pPr>
      <w:r w:rsidRPr="00BF288E">
        <w:t>I.</w:t>
      </w:r>
      <w:r w:rsidRPr="00BF288E">
        <w:tab/>
      </w:r>
      <w:r w:rsidR="00530AA7" w:rsidRPr="00BF288E">
        <w:t>Audit report and financial statements for 2021</w:t>
      </w:r>
    </w:p>
    <w:p w14:paraId="2AEE2492" w14:textId="7FEC53E3" w:rsidR="00530AA7" w:rsidRPr="00BF288E" w:rsidRDefault="00EA1E20" w:rsidP="00EA1E20">
      <w:pPr>
        <w:pStyle w:val="RegSingleTxtG"/>
        <w:numPr>
          <w:ilvl w:val="0"/>
          <w:numId w:val="0"/>
        </w:numPr>
        <w:ind w:left="1134"/>
        <w:rPr>
          <w:lang w:eastAsia="en-US"/>
        </w:rPr>
      </w:pPr>
      <w:r w:rsidRPr="00BF288E">
        <w:rPr>
          <w:lang w:eastAsia="en-US"/>
        </w:rPr>
        <w:t>1.</w:t>
      </w:r>
      <w:r w:rsidRPr="00BF288E">
        <w:rPr>
          <w:lang w:eastAsia="en-US"/>
        </w:rPr>
        <w:tab/>
      </w:r>
      <w:r w:rsidR="00530AA7" w:rsidRPr="00BF288E">
        <w:rPr>
          <w:i/>
          <w:lang w:eastAsia="en-US"/>
        </w:rPr>
        <w:t>Takes note</w:t>
      </w:r>
      <w:r w:rsidR="00530AA7" w:rsidRPr="00BF288E">
        <w:rPr>
          <w:lang w:eastAsia="en-US"/>
        </w:rPr>
        <w:t xml:space="preserve"> of the financial report and audited financial statements for 2021 and the report of the United Nations Board of Auditors, which include recommendations, and the comments of the secretariat thereon;</w:t>
      </w:r>
    </w:p>
    <w:p w14:paraId="0CFDCAD6" w14:textId="45A5AD0B" w:rsidR="00530AA7" w:rsidRPr="00BF288E" w:rsidRDefault="00EA1E20" w:rsidP="00EA1E20">
      <w:pPr>
        <w:pStyle w:val="RegSingleTxtG"/>
        <w:numPr>
          <w:ilvl w:val="0"/>
          <w:numId w:val="0"/>
        </w:numPr>
        <w:tabs>
          <w:tab w:val="left" w:pos="568"/>
        </w:tabs>
        <w:ind w:left="1135"/>
        <w:rPr>
          <w:rFonts w:eastAsia="Times New Roman"/>
          <w:lang w:eastAsia="en-US"/>
        </w:rPr>
      </w:pPr>
      <w:r w:rsidRPr="00BF288E">
        <w:rPr>
          <w:rFonts w:eastAsia="Times New Roman"/>
          <w:lang w:eastAsia="en-US"/>
        </w:rPr>
        <w:t>2.</w:t>
      </w:r>
      <w:r w:rsidRPr="00BF288E">
        <w:rPr>
          <w:rFonts w:eastAsia="Times New Roman"/>
          <w:lang w:eastAsia="en-US"/>
        </w:rPr>
        <w:tab/>
      </w:r>
      <w:r w:rsidR="00530AA7" w:rsidRPr="00BF288E">
        <w:rPr>
          <w:rFonts w:eastAsia="Times New Roman"/>
          <w:i/>
          <w:lang w:eastAsia="en-US"/>
        </w:rPr>
        <w:t>Expresses its appreciation</w:t>
      </w:r>
      <w:r w:rsidR="00530AA7" w:rsidRPr="00BF288E">
        <w:rPr>
          <w:rFonts w:eastAsia="Times New Roman"/>
          <w:lang w:eastAsia="en-US"/>
        </w:rPr>
        <w:t xml:space="preserve"> to the United Nations for arranging the audit of the accounts of the Convention;</w:t>
      </w:r>
    </w:p>
    <w:p w14:paraId="7F5B2664" w14:textId="17557CE9" w:rsidR="00530AA7" w:rsidRPr="00BF288E" w:rsidRDefault="00EA1E20" w:rsidP="00EA1E20">
      <w:pPr>
        <w:pStyle w:val="RegSingleTxtG"/>
        <w:numPr>
          <w:ilvl w:val="0"/>
          <w:numId w:val="0"/>
        </w:numPr>
        <w:tabs>
          <w:tab w:val="left" w:pos="568"/>
        </w:tabs>
        <w:ind w:left="1135"/>
        <w:rPr>
          <w:rFonts w:eastAsia="Times New Roman"/>
          <w:lang w:eastAsia="en-US"/>
        </w:rPr>
      </w:pPr>
      <w:r w:rsidRPr="00BF288E">
        <w:rPr>
          <w:rFonts w:eastAsia="Times New Roman"/>
          <w:lang w:eastAsia="en-US"/>
        </w:rPr>
        <w:t>3.</w:t>
      </w:r>
      <w:r w:rsidRPr="00BF288E">
        <w:rPr>
          <w:rFonts w:eastAsia="Times New Roman"/>
          <w:lang w:eastAsia="en-US"/>
        </w:rPr>
        <w:tab/>
      </w:r>
      <w:r w:rsidR="00530AA7" w:rsidRPr="00BF288E">
        <w:rPr>
          <w:rFonts w:eastAsia="Times New Roman"/>
          <w:i/>
          <w:lang w:eastAsia="en-US"/>
        </w:rPr>
        <w:t>Also expresses its appreciation</w:t>
      </w:r>
      <w:r w:rsidR="00530AA7" w:rsidRPr="00BF288E">
        <w:rPr>
          <w:rFonts w:eastAsia="Times New Roman"/>
          <w:lang w:eastAsia="en-US"/>
        </w:rPr>
        <w:t xml:space="preserve"> to the auditors for their valuable observations and recommendations;</w:t>
      </w:r>
    </w:p>
    <w:p w14:paraId="66DCC270" w14:textId="4F7A066E" w:rsidR="00530AA7" w:rsidRPr="00BF288E" w:rsidRDefault="00EA1E20" w:rsidP="00EA1E20">
      <w:pPr>
        <w:pStyle w:val="RegSingleTxtG"/>
        <w:numPr>
          <w:ilvl w:val="0"/>
          <w:numId w:val="0"/>
        </w:numPr>
        <w:tabs>
          <w:tab w:val="left" w:pos="568"/>
        </w:tabs>
        <w:ind w:left="1135"/>
        <w:rPr>
          <w:rFonts w:eastAsia="Times New Roman"/>
          <w:lang w:eastAsia="en-US"/>
        </w:rPr>
      </w:pPr>
      <w:r w:rsidRPr="00BF288E">
        <w:rPr>
          <w:rFonts w:eastAsia="Times New Roman"/>
          <w:lang w:eastAsia="en-US"/>
        </w:rPr>
        <w:t>4.</w:t>
      </w:r>
      <w:r w:rsidRPr="00BF288E">
        <w:rPr>
          <w:rFonts w:eastAsia="Times New Roman"/>
          <w:lang w:eastAsia="en-US"/>
        </w:rPr>
        <w:tab/>
      </w:r>
      <w:r w:rsidR="00530AA7" w:rsidRPr="00BF288E">
        <w:rPr>
          <w:rFonts w:eastAsia="Times New Roman"/>
          <w:i/>
          <w:iCs/>
          <w:lang w:eastAsia="en-US"/>
        </w:rPr>
        <w:t>Expresses</w:t>
      </w:r>
      <w:r w:rsidR="00530AA7" w:rsidRPr="00BF288E">
        <w:rPr>
          <w:rFonts w:eastAsia="Times New Roman"/>
          <w:lang w:eastAsia="en-US"/>
        </w:rPr>
        <w:t xml:space="preserve"> </w:t>
      </w:r>
      <w:r w:rsidR="00530AA7" w:rsidRPr="00BF288E">
        <w:rPr>
          <w:rFonts w:eastAsia="Times New Roman"/>
          <w:i/>
          <w:lang w:eastAsia="en-US"/>
        </w:rPr>
        <w:t>concern</w:t>
      </w:r>
      <w:r w:rsidR="00530AA7" w:rsidRPr="00BF288E">
        <w:rPr>
          <w:rFonts w:eastAsia="Times New Roman"/>
          <w:lang w:eastAsia="en-US"/>
        </w:rPr>
        <w:t xml:space="preserve"> about the high number of recommendations from the United Nations Board of Auditors not yet implemented by the secretariat;</w:t>
      </w:r>
    </w:p>
    <w:p w14:paraId="3E1C231F" w14:textId="677A0761" w:rsidR="00530AA7" w:rsidRPr="00BF288E" w:rsidRDefault="00EA1E20" w:rsidP="00EA1E20">
      <w:pPr>
        <w:pStyle w:val="RegSingleTxtG"/>
        <w:numPr>
          <w:ilvl w:val="0"/>
          <w:numId w:val="0"/>
        </w:numPr>
        <w:tabs>
          <w:tab w:val="left" w:pos="568"/>
        </w:tabs>
        <w:ind w:left="1135"/>
        <w:rPr>
          <w:rFonts w:eastAsia="Times New Roman"/>
          <w:lang w:eastAsia="en-US"/>
        </w:rPr>
      </w:pPr>
      <w:r w:rsidRPr="00BF288E">
        <w:rPr>
          <w:rFonts w:eastAsia="Times New Roman"/>
          <w:lang w:eastAsia="en-US"/>
        </w:rPr>
        <w:t>5.</w:t>
      </w:r>
      <w:r w:rsidRPr="00BF288E">
        <w:rPr>
          <w:rFonts w:eastAsia="Times New Roman"/>
          <w:lang w:eastAsia="en-US"/>
        </w:rPr>
        <w:tab/>
      </w:r>
      <w:r w:rsidR="00530AA7" w:rsidRPr="00BF288E">
        <w:rPr>
          <w:rFonts w:eastAsia="Times New Roman"/>
          <w:i/>
          <w:lang w:eastAsia="en-US"/>
        </w:rPr>
        <w:t>Urges</w:t>
      </w:r>
      <w:r w:rsidR="00530AA7" w:rsidRPr="00BF288E">
        <w:rPr>
          <w:rFonts w:eastAsia="Times New Roman"/>
          <w:lang w:eastAsia="en-US"/>
        </w:rPr>
        <w:t xml:space="preserve"> the Executive Secretary to implement the recommendations of the auditors</w:t>
      </w:r>
      <w:r w:rsidR="00530AA7" w:rsidRPr="00BF288E" w:rsidDel="00AD369F">
        <w:rPr>
          <w:rFonts w:eastAsia="Times New Roman"/>
          <w:lang w:eastAsia="en-US"/>
        </w:rPr>
        <w:t>,</w:t>
      </w:r>
      <w:r w:rsidR="00530AA7" w:rsidRPr="00BF288E">
        <w:rPr>
          <w:rFonts w:eastAsia="Times New Roman"/>
          <w:lang w:eastAsia="en-US"/>
        </w:rPr>
        <w:t xml:space="preserve"> as appropriate, and to update Parties on progress;</w:t>
      </w:r>
    </w:p>
    <w:p w14:paraId="587C2D55" w14:textId="46312C37" w:rsidR="00530AA7" w:rsidRPr="00BF288E" w:rsidRDefault="00EA1E20" w:rsidP="00EA1E20">
      <w:pPr>
        <w:pStyle w:val="RegHChG"/>
        <w:numPr>
          <w:ilvl w:val="0"/>
          <w:numId w:val="0"/>
        </w:numPr>
        <w:tabs>
          <w:tab w:val="left" w:pos="1135"/>
        </w:tabs>
        <w:ind w:left="1135" w:hanging="454"/>
        <w:rPr>
          <w:rFonts w:eastAsiaTheme="minorHAnsi"/>
        </w:rPr>
      </w:pPr>
      <w:r w:rsidRPr="00BF288E">
        <w:rPr>
          <w:rFonts w:eastAsiaTheme="minorHAnsi"/>
        </w:rPr>
        <w:t>II.</w:t>
      </w:r>
      <w:r w:rsidRPr="00BF288E">
        <w:rPr>
          <w:rFonts w:eastAsiaTheme="minorHAnsi"/>
        </w:rPr>
        <w:tab/>
      </w:r>
      <w:r w:rsidR="00530AA7" w:rsidRPr="00BF288E">
        <w:t>Other financial and budgetary matters</w:t>
      </w:r>
    </w:p>
    <w:p w14:paraId="2EE40440" w14:textId="56E910AA" w:rsidR="00530AA7" w:rsidRPr="00BF288E" w:rsidRDefault="00EA1E20" w:rsidP="00EA1E20">
      <w:pPr>
        <w:pStyle w:val="RegSingleTxtG"/>
        <w:numPr>
          <w:ilvl w:val="0"/>
          <w:numId w:val="0"/>
        </w:numPr>
        <w:ind w:left="1134"/>
      </w:pPr>
      <w:r w:rsidRPr="00BF288E">
        <w:t>6.</w:t>
      </w:r>
      <w:r w:rsidRPr="00BF288E">
        <w:tab/>
      </w:r>
      <w:r w:rsidR="00530AA7" w:rsidRPr="00BF288E">
        <w:rPr>
          <w:i/>
          <w:iCs/>
        </w:rPr>
        <w:t>Takes note</w:t>
      </w:r>
      <w:r w:rsidR="00530AA7" w:rsidRPr="00BF288E">
        <w:t xml:space="preserve"> of the information contained in the note on the updated work programme of the secretariat for the biennium 2022–2023;</w:t>
      </w:r>
      <w:r w:rsidR="00530AA7" w:rsidRPr="00BF288E">
        <w:rPr>
          <w:sz w:val="18"/>
          <w:vertAlign w:val="superscript"/>
        </w:rPr>
        <w:footnoteReference w:id="52"/>
      </w:r>
    </w:p>
    <w:p w14:paraId="7C83D414" w14:textId="423A700A" w:rsidR="00530AA7" w:rsidRPr="00BF288E" w:rsidRDefault="00EA1E20" w:rsidP="00EA1E20">
      <w:pPr>
        <w:pStyle w:val="RegSingleTxtG"/>
        <w:numPr>
          <w:ilvl w:val="0"/>
          <w:numId w:val="0"/>
        </w:numPr>
        <w:ind w:left="1134"/>
      </w:pPr>
      <w:r w:rsidRPr="00BF288E">
        <w:t>7.</w:t>
      </w:r>
      <w:r w:rsidRPr="00BF288E">
        <w:tab/>
      </w:r>
      <w:r w:rsidR="00530AA7" w:rsidRPr="00BF288E">
        <w:rPr>
          <w:i/>
          <w:iCs/>
        </w:rPr>
        <w:t>Also takes note</w:t>
      </w:r>
      <w:r w:rsidR="00530AA7" w:rsidRPr="00BF288E">
        <w:t xml:space="preserve"> of the information contained in the note on </w:t>
      </w:r>
      <w:r w:rsidR="00530AA7" w:rsidRPr="00BF288E">
        <w:rPr>
          <w:rFonts w:eastAsia="Times New Roman"/>
          <w:lang w:eastAsia="en-US"/>
        </w:rPr>
        <w:t xml:space="preserve">the status of contributions to the trust funds administered by the secretariat as at 21 October </w:t>
      </w:r>
      <w:r w:rsidR="00530AA7" w:rsidRPr="00BF288E">
        <w:t>2022;</w:t>
      </w:r>
      <w:r w:rsidR="00530AA7" w:rsidRPr="00BF288E">
        <w:rPr>
          <w:sz w:val="18"/>
          <w:vertAlign w:val="superscript"/>
        </w:rPr>
        <w:footnoteReference w:id="53"/>
      </w:r>
    </w:p>
    <w:p w14:paraId="686BF262" w14:textId="324E51C2" w:rsidR="00530AA7" w:rsidRPr="00BF288E" w:rsidRDefault="00EA1E20" w:rsidP="00EA1E20">
      <w:pPr>
        <w:pStyle w:val="RegSingleTxtG"/>
        <w:numPr>
          <w:ilvl w:val="0"/>
          <w:numId w:val="0"/>
        </w:numPr>
        <w:ind w:left="1134"/>
      </w:pPr>
      <w:r w:rsidRPr="00BF288E">
        <w:t>8.</w:t>
      </w:r>
      <w:r w:rsidRPr="00BF288E">
        <w:tab/>
      </w:r>
      <w:r w:rsidR="00530AA7" w:rsidRPr="00BF288E">
        <w:rPr>
          <w:rFonts w:eastAsia="Times New Roman"/>
          <w:i/>
          <w:lang w:eastAsia="en-US"/>
        </w:rPr>
        <w:t xml:space="preserve">Expresses its </w:t>
      </w:r>
      <w:r w:rsidR="00530AA7" w:rsidRPr="00BF288E">
        <w:rPr>
          <w:i/>
        </w:rPr>
        <w:t>appreciation</w:t>
      </w:r>
      <w:r w:rsidR="00530AA7" w:rsidRPr="00BF288E">
        <w:t xml:space="preserve"> to Parties that made contributions to the core budget in a timely manner;</w:t>
      </w:r>
    </w:p>
    <w:p w14:paraId="103E81D4" w14:textId="0706FE16" w:rsidR="00530AA7" w:rsidRPr="00BF288E" w:rsidRDefault="00EA1E20" w:rsidP="00EA1E20">
      <w:pPr>
        <w:pStyle w:val="RegSingleTxtG"/>
        <w:numPr>
          <w:ilvl w:val="0"/>
          <w:numId w:val="0"/>
        </w:numPr>
        <w:ind w:left="1134"/>
      </w:pPr>
      <w:r w:rsidRPr="00BF288E">
        <w:t>9.</w:t>
      </w:r>
      <w:r w:rsidRPr="00BF288E">
        <w:tab/>
      </w:r>
      <w:r w:rsidR="00530AA7" w:rsidRPr="00BF288E">
        <w:rPr>
          <w:i/>
        </w:rPr>
        <w:t>Expresses concern</w:t>
      </w:r>
      <w:r w:rsidR="00530AA7" w:rsidRPr="00BF288E">
        <w:t xml:space="preserve"> regarding the high level of outstanding contributions to the core budget for the current and previous bienniums, which has resulted in difficulties with cash flow and the effective implementation of activities;</w:t>
      </w:r>
    </w:p>
    <w:p w14:paraId="49076EE4" w14:textId="75924250" w:rsidR="00530AA7" w:rsidRPr="00BF288E" w:rsidRDefault="00EA1E20" w:rsidP="00EA1E20">
      <w:pPr>
        <w:pStyle w:val="RegSingleTxtG"/>
        <w:numPr>
          <w:ilvl w:val="0"/>
          <w:numId w:val="0"/>
        </w:numPr>
        <w:ind w:left="1134"/>
      </w:pPr>
      <w:r w:rsidRPr="00BF288E">
        <w:t>10.</w:t>
      </w:r>
      <w:r w:rsidRPr="00BF288E">
        <w:tab/>
      </w:r>
      <w:r w:rsidR="00530AA7" w:rsidRPr="00BF288E">
        <w:rPr>
          <w:i/>
        </w:rPr>
        <w:t>Strongly urges</w:t>
      </w:r>
      <w:r w:rsidR="00530AA7" w:rsidRPr="00BF288E">
        <w:t xml:space="preserve"> Parties that have not made contributions in full to the core budget for the current and/or previous bienniums to do so without further delay;</w:t>
      </w:r>
    </w:p>
    <w:p w14:paraId="3D36089B" w14:textId="26DC8976" w:rsidR="00530AA7" w:rsidRPr="00BF288E" w:rsidRDefault="00EA1E20" w:rsidP="00EA1E20">
      <w:pPr>
        <w:pStyle w:val="RegSingleTxtG"/>
        <w:numPr>
          <w:ilvl w:val="0"/>
          <w:numId w:val="0"/>
        </w:numPr>
        <w:ind w:left="1134"/>
      </w:pPr>
      <w:r w:rsidRPr="00BF288E">
        <w:t>11.</w:t>
      </w:r>
      <w:r w:rsidRPr="00BF288E">
        <w:tab/>
      </w:r>
      <w:r w:rsidR="00530AA7" w:rsidRPr="00BF288E">
        <w:rPr>
          <w:i/>
        </w:rPr>
        <w:t>Expresses its appreciation</w:t>
      </w:r>
      <w:r w:rsidR="00530AA7" w:rsidRPr="00BF288E">
        <w:t xml:space="preserve"> for the contributions to the Trust Fund for Participation in the UNFCCC Process and to the Trust Fund for Supplementary Activities received from Parties, including those contributions that allow for greater flexibility in allocation;</w:t>
      </w:r>
    </w:p>
    <w:p w14:paraId="5CF4EBBD" w14:textId="74E8ED17" w:rsidR="00530AA7" w:rsidRPr="00BF288E" w:rsidRDefault="00EA1E20" w:rsidP="00EA1E20">
      <w:pPr>
        <w:pStyle w:val="RegSingleTxtG"/>
        <w:numPr>
          <w:ilvl w:val="0"/>
          <w:numId w:val="0"/>
        </w:numPr>
        <w:ind w:left="1134"/>
      </w:pPr>
      <w:r w:rsidRPr="00BF288E">
        <w:t>12.</w:t>
      </w:r>
      <w:r w:rsidRPr="00BF288E">
        <w:tab/>
      </w:r>
      <w:r w:rsidR="00530AA7" w:rsidRPr="00BF288E">
        <w:rPr>
          <w:i/>
        </w:rPr>
        <w:t>Urges</w:t>
      </w:r>
      <w:r w:rsidR="00530AA7" w:rsidRPr="00BF288E">
        <w:t xml:space="preserve"> Parties to further contribute to the Trust Fund for Participation in the UNFCCC Process in order to ensure the widest possible participation in the process in 2022–2023, and to the Trust Fund for Supplementary Activities to ensure a high level of implementation of the UNFCCC work programme; </w:t>
      </w:r>
    </w:p>
    <w:p w14:paraId="3B048BCD" w14:textId="7879D4E2" w:rsidR="00530AA7" w:rsidRPr="00BF288E" w:rsidRDefault="00EA1E20" w:rsidP="00EA1E20">
      <w:pPr>
        <w:pStyle w:val="RegSingleTxtG"/>
        <w:numPr>
          <w:ilvl w:val="0"/>
          <w:numId w:val="0"/>
        </w:numPr>
        <w:ind w:left="1134"/>
        <w:rPr>
          <w:rFonts w:eastAsia="Times New Roman"/>
          <w:lang w:eastAsia="en-US"/>
        </w:rPr>
      </w:pPr>
      <w:r w:rsidRPr="00BF288E">
        <w:rPr>
          <w:rFonts w:eastAsia="Times New Roman"/>
          <w:lang w:eastAsia="en-US"/>
        </w:rPr>
        <w:t>13.</w:t>
      </w:r>
      <w:r w:rsidRPr="00BF288E">
        <w:rPr>
          <w:rFonts w:eastAsia="Times New Roman"/>
          <w:lang w:eastAsia="en-US"/>
        </w:rPr>
        <w:tab/>
      </w:r>
      <w:r w:rsidR="00530AA7" w:rsidRPr="00BF288E">
        <w:rPr>
          <w:i/>
        </w:rPr>
        <w:t>Reiterates its appreciation</w:t>
      </w:r>
      <w:r w:rsidR="00530AA7" w:rsidRPr="00BF288E">
        <w:t xml:space="preserve"> to the Government of Germany for its annual voluntary contribution to the core budget of EUR 766,938 and its special contribution</w:t>
      </w:r>
      <w:r w:rsidR="00530AA7" w:rsidRPr="00BF288E">
        <w:rPr>
          <w:rFonts w:eastAsia="Times New Roman"/>
          <w:lang w:eastAsia="en-US"/>
        </w:rPr>
        <w:t xml:space="preserve"> of EUR 1,789,522 as Host Government of the secretariat;</w:t>
      </w:r>
    </w:p>
    <w:p w14:paraId="3873FEA8" w14:textId="4804BAAA" w:rsidR="00530AA7" w:rsidRPr="00BF288E" w:rsidRDefault="00EA1E20" w:rsidP="00EA1E20">
      <w:pPr>
        <w:pStyle w:val="RegSingleTxtG"/>
        <w:numPr>
          <w:ilvl w:val="0"/>
          <w:numId w:val="0"/>
        </w:numPr>
        <w:ind w:left="1134"/>
        <w:rPr>
          <w:rFonts w:eastAsia="Times New Roman"/>
          <w:lang w:eastAsia="en-US"/>
        </w:rPr>
      </w:pPr>
      <w:r w:rsidRPr="00BF288E">
        <w:rPr>
          <w:rFonts w:eastAsia="Times New Roman"/>
          <w:lang w:eastAsia="en-US"/>
        </w:rPr>
        <w:t>14.</w:t>
      </w:r>
      <w:r w:rsidRPr="00BF288E">
        <w:rPr>
          <w:rFonts w:eastAsia="Times New Roman"/>
          <w:lang w:eastAsia="en-US"/>
        </w:rPr>
        <w:tab/>
      </w:r>
      <w:r w:rsidR="00530AA7" w:rsidRPr="00BF288E">
        <w:rPr>
          <w:i/>
          <w:lang w:eastAsia="en-US"/>
        </w:rPr>
        <w:t>Requests</w:t>
      </w:r>
      <w:r w:rsidR="00530AA7" w:rsidRPr="00BF288E">
        <w:rPr>
          <w:lang w:eastAsia="en-US"/>
        </w:rPr>
        <w:t xml:space="preserve"> the Executive Secretary </w:t>
      </w:r>
      <w:r w:rsidR="00530AA7" w:rsidRPr="00BF288E">
        <w:t xml:space="preserve">to </w:t>
      </w:r>
      <w:r w:rsidR="00530AA7" w:rsidRPr="00BF288E">
        <w:rPr>
          <w:lang w:eastAsia="en-US"/>
        </w:rPr>
        <w:t xml:space="preserve">take further measures to </w:t>
      </w:r>
      <w:r w:rsidR="00530AA7" w:rsidRPr="00BF288E">
        <w:rPr>
          <w:rFonts w:eastAsia="Times New Roman"/>
          <w:lang w:eastAsia="en-US"/>
        </w:rPr>
        <w:t>reduce Parties’ outstanding contributions.</w:t>
      </w:r>
    </w:p>
    <w:p w14:paraId="5B62F793" w14:textId="77777777" w:rsidR="003B4279" w:rsidRPr="00BF288E" w:rsidRDefault="003B4279" w:rsidP="0063432A">
      <w:pPr>
        <w:ind w:right="1133"/>
        <w:jc w:val="right"/>
        <w:rPr>
          <w:i/>
        </w:rPr>
      </w:pPr>
      <w:r w:rsidRPr="00BF288E">
        <w:rPr>
          <w:i/>
        </w:rPr>
        <w:t>9</w:t>
      </w:r>
      <w:r w:rsidRPr="00BF288E">
        <w:rPr>
          <w:i/>
          <w:vertAlign w:val="superscript"/>
        </w:rPr>
        <w:t>th</w:t>
      </w:r>
      <w:r w:rsidRPr="00BF288E">
        <w:rPr>
          <w:i/>
        </w:rPr>
        <w:t xml:space="preserve"> plenary meeting</w:t>
      </w:r>
    </w:p>
    <w:p w14:paraId="7EC0B377" w14:textId="77777777" w:rsidR="003B4279" w:rsidRPr="00BF288E" w:rsidRDefault="003B4279" w:rsidP="0063432A">
      <w:pPr>
        <w:ind w:right="1133"/>
        <w:jc w:val="right"/>
        <w:rPr>
          <w:i/>
        </w:rPr>
      </w:pPr>
      <w:r w:rsidRPr="00BF288E">
        <w:rPr>
          <w:i/>
        </w:rPr>
        <w:t>17 November 2022</w:t>
      </w:r>
    </w:p>
    <w:p w14:paraId="0DF71811" w14:textId="77777777" w:rsidR="003B4279" w:rsidRPr="00BF288E" w:rsidRDefault="003B4279" w:rsidP="00387B41">
      <w:pPr>
        <w:rPr>
          <w:u w:val="single"/>
        </w:rPr>
      </w:pPr>
    </w:p>
    <w:p w14:paraId="0879C5CE" w14:textId="77777777" w:rsidR="002E5341" w:rsidRPr="00BF288E" w:rsidRDefault="002E5341" w:rsidP="00387B41">
      <w:pPr>
        <w:rPr>
          <w:u w:val="single"/>
        </w:rPr>
        <w:sectPr w:rsidR="002E5341" w:rsidRPr="00BF288E" w:rsidSect="00310DE3">
          <w:headerReference w:type="even" r:id="rId51"/>
          <w:headerReference w:type="default" r:id="rId52"/>
          <w:footerReference w:type="even" r:id="rId53"/>
          <w:footerReference w:type="default" r:id="rId54"/>
          <w:footnotePr>
            <w:numRestart w:val="eachSect"/>
          </w:footnotePr>
          <w:endnotePr>
            <w:numFmt w:val="lowerLetter"/>
            <w:numRestart w:val="eachSect"/>
          </w:endnotePr>
          <w:pgSz w:w="11906" w:h="16838" w:code="9"/>
          <w:pgMar w:top="1417" w:right="1134" w:bottom="1134" w:left="1134" w:header="850" w:footer="567" w:gutter="0"/>
          <w:cols w:space="708"/>
          <w:docGrid w:linePitch="360"/>
        </w:sectPr>
      </w:pPr>
    </w:p>
    <w:p w14:paraId="051855F2" w14:textId="5B135DE6" w:rsidR="00E30FE2" w:rsidRPr="00BF288E" w:rsidRDefault="00E30FE2" w:rsidP="00EA1E20">
      <w:pPr>
        <w:pStyle w:val="RegHChG"/>
        <w:numPr>
          <w:ilvl w:val="0"/>
          <w:numId w:val="0"/>
        </w:numPr>
        <w:spacing w:before="120"/>
        <w:ind w:left="1134" w:hanging="454"/>
      </w:pPr>
      <w:bookmarkStart w:id="32" w:name="Resolution"/>
      <w:r w:rsidRPr="00BF288E">
        <w:t>Resolution 1/CMP.17</w:t>
      </w:r>
      <w:bookmarkEnd w:id="32"/>
    </w:p>
    <w:p w14:paraId="11A5D7DE" w14:textId="394E56CF" w:rsidR="00454352" w:rsidRPr="00BF288E" w:rsidRDefault="00E30FE2" w:rsidP="00EA1E20">
      <w:pPr>
        <w:pStyle w:val="RegHChG"/>
        <w:numPr>
          <w:ilvl w:val="0"/>
          <w:numId w:val="0"/>
        </w:numPr>
        <w:ind w:left="1135" w:hanging="454"/>
      </w:pPr>
      <w:r w:rsidRPr="00BF288E">
        <w:t xml:space="preserve">Expression of gratitude </w:t>
      </w:r>
      <w:r w:rsidR="00454352" w:rsidRPr="00BF288E">
        <w:t>to the Government of the Arab Republic of Egypt and the people of the city of Sharm el</w:t>
      </w:r>
      <w:r w:rsidR="007E4A61" w:rsidRPr="00BF288E">
        <w:noBreakHyphen/>
      </w:r>
      <w:r w:rsidR="00454352" w:rsidRPr="00BF288E">
        <w:t>Sheikh</w:t>
      </w:r>
    </w:p>
    <w:p w14:paraId="21953818" w14:textId="6D7E28D1" w:rsidR="000B00BB" w:rsidRPr="00BF288E" w:rsidRDefault="00CE45A2" w:rsidP="00453B6E">
      <w:pPr>
        <w:pStyle w:val="H1G"/>
        <w:ind w:firstLine="0"/>
      </w:pPr>
      <w:r w:rsidRPr="00BF288E">
        <w:t>Resolution submitted by the United Arab Emirates</w:t>
      </w:r>
    </w:p>
    <w:p w14:paraId="6B5E8147" w14:textId="337EA18D" w:rsidR="00454352" w:rsidRPr="00BF288E" w:rsidRDefault="006E393C" w:rsidP="00453B6E">
      <w:pPr>
        <w:pStyle w:val="SingleTxtG"/>
        <w:ind w:firstLine="567"/>
        <w:rPr>
          <w:i/>
        </w:rPr>
      </w:pPr>
      <w:r w:rsidRPr="00BF288E">
        <w:tab/>
      </w:r>
      <w:r w:rsidR="00454352" w:rsidRPr="00BF288E">
        <w:rPr>
          <w:i/>
        </w:rPr>
        <w:t>The Conference of the Parties, the Conference of the Parties serving as the meeting of the Parties to the Kyoto Protocol and the Conference of the Parties serving as the meeting of the Parties to the Paris Agreement</w:t>
      </w:r>
      <w:r w:rsidR="00454352" w:rsidRPr="00BF288E">
        <w:rPr>
          <w:iCs/>
        </w:rPr>
        <w:t>,</w:t>
      </w:r>
    </w:p>
    <w:p w14:paraId="239278E3" w14:textId="08525943" w:rsidR="00454352" w:rsidRPr="00BF288E" w:rsidRDefault="006E393C" w:rsidP="00453B6E">
      <w:pPr>
        <w:pStyle w:val="SingleTxtG"/>
        <w:ind w:firstLine="567"/>
      </w:pPr>
      <w:r w:rsidRPr="00BF288E">
        <w:rPr>
          <w:i/>
        </w:rPr>
        <w:tab/>
      </w:r>
      <w:r w:rsidR="00454352" w:rsidRPr="00BF288E">
        <w:rPr>
          <w:i/>
        </w:rPr>
        <w:t>Having met</w:t>
      </w:r>
      <w:r w:rsidR="00454352" w:rsidRPr="00BF288E">
        <w:t xml:space="preserve"> in Sharm el-Sheikh from 6 to 20 November 2022,</w:t>
      </w:r>
    </w:p>
    <w:p w14:paraId="45345E54" w14:textId="6E7EAD76" w:rsidR="00454352" w:rsidRPr="00BF288E" w:rsidRDefault="00EA1E20" w:rsidP="00EA1E20">
      <w:pPr>
        <w:pStyle w:val="RegSingleTxtG"/>
        <w:numPr>
          <w:ilvl w:val="0"/>
          <w:numId w:val="0"/>
        </w:numPr>
        <w:ind w:left="1134"/>
      </w:pPr>
      <w:bookmarkStart w:id="33" w:name="_Hlk27037402"/>
      <w:r w:rsidRPr="00BF288E">
        <w:t>1.</w:t>
      </w:r>
      <w:r w:rsidRPr="00BF288E">
        <w:tab/>
      </w:r>
      <w:r w:rsidR="00454352" w:rsidRPr="00BF288E">
        <w:rPr>
          <w:i/>
        </w:rPr>
        <w:t xml:space="preserve">Express their profound gratitude </w:t>
      </w:r>
      <w:r w:rsidR="00454352" w:rsidRPr="00BF288E">
        <w:t xml:space="preserve">to the </w:t>
      </w:r>
      <w:bookmarkStart w:id="34" w:name="_Hlk27069105"/>
      <w:r w:rsidR="00454352" w:rsidRPr="00BF288E">
        <w:t xml:space="preserve">Government of the Arab Republic of Egypt </w:t>
      </w:r>
      <w:bookmarkEnd w:id="34"/>
      <w:r w:rsidR="00454352" w:rsidRPr="00BF288E">
        <w:t>for having made it possible for the twenty-seventh session of the Conference of the Parties, the seventeenth session of the Conference of the Parties serving as the meeting of the Parties to the Kyoto Protocol and the fourth session of the Conference of the Parties serving as the meeting of the Parties to the Paris Agreement to be held in Sharm el-Sheikh;</w:t>
      </w:r>
    </w:p>
    <w:bookmarkEnd w:id="33"/>
    <w:p w14:paraId="05138965" w14:textId="59781306" w:rsidR="00454352" w:rsidRPr="00BF288E" w:rsidRDefault="00EA1E20" w:rsidP="00EA1E20">
      <w:pPr>
        <w:pStyle w:val="RegSingleTxtG"/>
        <w:numPr>
          <w:ilvl w:val="0"/>
          <w:numId w:val="0"/>
        </w:numPr>
        <w:ind w:left="1134"/>
      </w:pPr>
      <w:r w:rsidRPr="00BF288E">
        <w:t>2.</w:t>
      </w:r>
      <w:r w:rsidRPr="00BF288E">
        <w:tab/>
      </w:r>
      <w:r w:rsidR="00454352" w:rsidRPr="00BF288E">
        <w:rPr>
          <w:i/>
        </w:rPr>
        <w:t xml:space="preserve">Request </w:t>
      </w:r>
      <w:r w:rsidR="00454352" w:rsidRPr="00BF288E">
        <w:t>the Government of the Arab Republic of Egypt to convey to the city and people of Sharm el-Sheikh the gratitude of the Conference of the Parties, the Conference of the Parties serving as the meeting of the Parties to the Kyoto Protocol and the Conference of the Parties serving as the meeting of the Parties to the Paris Agreement for the hospitality and warmth extended to the participants.</w:t>
      </w:r>
    </w:p>
    <w:p w14:paraId="4443233D" w14:textId="11620897" w:rsidR="00831D97" w:rsidRPr="00BF288E" w:rsidRDefault="00831D97" w:rsidP="00831D97">
      <w:pPr>
        <w:ind w:right="1133"/>
        <w:jc w:val="right"/>
        <w:rPr>
          <w:i/>
        </w:rPr>
      </w:pPr>
      <w:r w:rsidRPr="00BF288E">
        <w:rPr>
          <w:i/>
        </w:rPr>
        <w:t>10</w:t>
      </w:r>
      <w:r w:rsidRPr="00BF288E">
        <w:rPr>
          <w:i/>
          <w:vertAlign w:val="superscript"/>
        </w:rPr>
        <w:t>th</w:t>
      </w:r>
      <w:r w:rsidRPr="00BF288E">
        <w:rPr>
          <w:i/>
        </w:rPr>
        <w:t xml:space="preserve"> plenary meeting</w:t>
      </w:r>
    </w:p>
    <w:p w14:paraId="3A51B70E" w14:textId="5EABB6A5" w:rsidR="002E5341" w:rsidRPr="00831D97" w:rsidRDefault="00831D97" w:rsidP="00831D97">
      <w:pPr>
        <w:ind w:right="1133"/>
        <w:jc w:val="right"/>
        <w:rPr>
          <w:i/>
        </w:rPr>
      </w:pPr>
      <w:r w:rsidRPr="00BF288E">
        <w:rPr>
          <w:i/>
        </w:rPr>
        <w:t>20 November 2022</w:t>
      </w:r>
    </w:p>
    <w:p w14:paraId="36E800B7" w14:textId="5A62C9E9" w:rsidR="00856066" w:rsidRPr="00310DE3" w:rsidRDefault="00856066" w:rsidP="001F5883">
      <w:pPr>
        <w:spacing w:before="240"/>
        <w:ind w:left="1134" w:right="1134"/>
        <w:jc w:val="center"/>
        <w:rPr>
          <w:u w:val="single"/>
        </w:rPr>
      </w:pPr>
      <w:r>
        <w:rPr>
          <w:u w:val="single"/>
        </w:rPr>
        <w:tab/>
      </w:r>
      <w:r>
        <w:rPr>
          <w:u w:val="single"/>
        </w:rPr>
        <w:tab/>
      </w:r>
      <w:r>
        <w:rPr>
          <w:u w:val="single"/>
        </w:rPr>
        <w:tab/>
      </w:r>
      <w:r>
        <w:rPr>
          <w:u w:val="single"/>
        </w:rPr>
        <w:tab/>
      </w:r>
    </w:p>
    <w:sectPr w:rsidR="00856066" w:rsidRPr="00310DE3" w:rsidSect="00310DE3">
      <w:headerReference w:type="even" r:id="rId55"/>
      <w:headerReference w:type="default" r:id="rId56"/>
      <w:footerReference w:type="even" r:id="rId57"/>
      <w:footerReference w:type="default" r:id="rId58"/>
      <w:footnotePr>
        <w:numRestart w:val="eachSect"/>
      </w:footnotePr>
      <w:endnotePr>
        <w:numFmt w:val="lowerLetter"/>
        <w:numRestart w:val="eachSect"/>
      </w:end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92B7F" w14:textId="77777777" w:rsidR="00200A02" w:rsidRDefault="00200A02" w:rsidP="00387B41">
      <w:pPr>
        <w:spacing w:line="14" w:lineRule="exact"/>
      </w:pPr>
      <w:r>
        <w:separator/>
      </w:r>
    </w:p>
    <w:p w14:paraId="3A468506" w14:textId="77777777" w:rsidR="00200A02" w:rsidRPr="00C45173" w:rsidRDefault="00200A02" w:rsidP="00C45173">
      <w:pPr>
        <w:spacing w:line="14" w:lineRule="atLeast"/>
        <w:rPr>
          <w:sz w:val="2"/>
          <w:szCs w:val="2"/>
        </w:rPr>
      </w:pPr>
    </w:p>
  </w:endnote>
  <w:endnote w:type="continuationSeparator" w:id="0">
    <w:p w14:paraId="03C8B943" w14:textId="77777777" w:rsidR="00200A02" w:rsidRDefault="00200A02">
      <w:r>
        <w:continuationSeparator/>
      </w:r>
    </w:p>
    <w:p w14:paraId="4677FB6F" w14:textId="77777777" w:rsidR="00200A02" w:rsidRDefault="00200A02"/>
  </w:endnote>
  <w:endnote w:type="continuationNotice" w:id="1">
    <w:p w14:paraId="00D71167" w14:textId="77777777" w:rsidR="00200A02" w:rsidRDefault="00200A02">
      <w:pPr>
        <w:spacing w:line="240" w:lineRule="auto"/>
      </w:pPr>
    </w:p>
  </w:endnote>
  <w:endnote w:id="2">
    <w:p w14:paraId="54A37EE7" w14:textId="77777777" w:rsidR="00E8575E" w:rsidRDefault="00E8575E" w:rsidP="003122EA">
      <w:pPr>
        <w:spacing w:after="180" w:line="200" w:lineRule="exact"/>
        <w:ind w:left="1134" w:firstLine="142"/>
        <w:rPr>
          <w:sz w:val="18"/>
        </w:rPr>
      </w:pPr>
      <w:r w:rsidRPr="00B10C60">
        <w:rPr>
          <w:i/>
          <w:sz w:val="18"/>
        </w:rPr>
        <w:t>Note</w:t>
      </w:r>
      <w:r w:rsidRPr="003075BE">
        <w:rPr>
          <w:i/>
          <w:sz w:val="18"/>
        </w:rPr>
        <w:t>s</w:t>
      </w:r>
      <w:r w:rsidRPr="00B10C60">
        <w:rPr>
          <w:sz w:val="18"/>
        </w:rPr>
        <w:t>: (1) For presentation purposes, all percentage figures for the UNFCCC revised indicative scale of contributions have been given to three decimal places; (</w:t>
      </w:r>
      <w:r>
        <w:rPr>
          <w:sz w:val="18"/>
        </w:rPr>
        <w:t>2</w:t>
      </w:r>
      <w:r w:rsidRPr="00B10C60">
        <w:rPr>
          <w:sz w:val="18"/>
        </w:rPr>
        <w:t xml:space="preserve">) </w:t>
      </w:r>
      <w:r w:rsidRPr="00B10C60">
        <w:rPr>
          <w:rFonts w:eastAsia="Times New Roman"/>
          <w:sz w:val="18"/>
        </w:rPr>
        <w:t>Cook Islands, the European Union and Niue are Parties to the Kyoto Protocol but not United Nations Member States</w:t>
      </w:r>
      <w:r w:rsidRPr="00B10C60">
        <w:rPr>
          <w:sz w:val="18"/>
        </w:rPr>
        <w:t>.</w:t>
      </w:r>
    </w:p>
    <w:p w14:paraId="650E5AA6" w14:textId="77777777" w:rsidR="003B4279" w:rsidRPr="00756A1A" w:rsidRDefault="003B4279" w:rsidP="003122EA">
      <w:pPr>
        <w:ind w:right="-1"/>
        <w:jc w:val="right"/>
        <w:rPr>
          <w:i/>
        </w:rPr>
      </w:pPr>
      <w:r>
        <w:rPr>
          <w:i/>
        </w:rPr>
        <w:t>9</w:t>
      </w:r>
      <w:r w:rsidRPr="00BC7BAB">
        <w:rPr>
          <w:i/>
          <w:vertAlign w:val="superscript"/>
        </w:rPr>
        <w:t>th</w:t>
      </w:r>
      <w:r>
        <w:rPr>
          <w:i/>
        </w:rPr>
        <w:t xml:space="preserve"> </w:t>
      </w:r>
      <w:r w:rsidRPr="00756A1A">
        <w:rPr>
          <w:i/>
        </w:rPr>
        <w:t>plenary meeting</w:t>
      </w:r>
    </w:p>
    <w:p w14:paraId="1F483D29" w14:textId="08D18801" w:rsidR="00E8575E" w:rsidRPr="000A7292" w:rsidRDefault="003B4279" w:rsidP="003122EA">
      <w:pPr>
        <w:ind w:right="-1"/>
        <w:jc w:val="right"/>
        <w:rPr>
          <w:sz w:val="24"/>
          <w:szCs w:val="24"/>
          <w:u w:val="single"/>
        </w:rPr>
      </w:pPr>
      <w:r w:rsidRPr="00756A1A">
        <w:rPr>
          <w:i/>
        </w:rPr>
        <w:t>1</w:t>
      </w:r>
      <w:r>
        <w:rPr>
          <w:i/>
        </w:rPr>
        <w:t>7</w:t>
      </w:r>
      <w:r w:rsidRPr="00756A1A">
        <w:rPr>
          <w:i/>
        </w:rPr>
        <w:t xml:space="preserve"> November 202</w:t>
      </w:r>
      <w:r>
        <w:rPr>
          <w:i/>
        </w:rPr>
        <w:t>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857A3" w14:textId="6DC4EBD7" w:rsidR="00EB6B16"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w:t>
    </w:r>
    <w:r w:rsidRPr="00310DE3">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282D4" w14:textId="53D032D8"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16</w:t>
    </w:r>
    <w:r w:rsidRPr="00310DE3">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3F363" w14:textId="09C24B9F"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17</w:t>
    </w:r>
    <w:r w:rsidRPr="00310DE3">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089C6" w14:textId="1CD78EC8"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18</w:t>
    </w:r>
    <w:r w:rsidRPr="00310DE3">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822A6" w14:textId="1B3BC084"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23</w:t>
    </w:r>
    <w:r w:rsidRPr="00310DE3">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29912" w14:textId="718DE4F8"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22</w:t>
    </w:r>
    <w:r w:rsidRPr="00310DE3">
      <w:rPr>
        <w:b/>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1825A" w14:textId="76F4A3A9" w:rsidR="00E8575E"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29</w:t>
    </w:r>
    <w:r w:rsidRPr="00310DE3">
      <w:rPr>
        <w:b/>
        <w:sz w:val="18"/>
      </w:rPr>
      <w:fldChar w:fldCharType="end"/>
    </w:r>
    <w:r>
      <w:rPr>
        <w:sz w:val="18"/>
      </w:rPr>
      <w:tab/>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B4EF" w14:textId="7EC32EF3" w:rsidR="00E8575E"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30</w:t>
    </w:r>
    <w:r w:rsidRPr="00310DE3">
      <w:rPr>
        <w:b/>
        <w:sz w:val="18"/>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98897" w14:textId="27A24CFD" w:rsidR="008F4336" w:rsidRPr="005F1250" w:rsidRDefault="005F1250" w:rsidP="005F1250">
    <w:pPr>
      <w:pStyle w:val="Footer"/>
      <w:tabs>
        <w:tab w:val="right" w:pos="9638"/>
      </w:tabs>
    </w:pPr>
    <w:r w:rsidRPr="005F1250">
      <w:rPr>
        <w:b/>
        <w:sz w:val="18"/>
      </w:rPr>
      <w:fldChar w:fldCharType="begin"/>
    </w:r>
    <w:r w:rsidRPr="005F1250">
      <w:rPr>
        <w:b/>
        <w:sz w:val="18"/>
      </w:rPr>
      <w:instrText xml:space="preserve"> PAGE  \* MERGEFORMAT </w:instrText>
    </w:r>
    <w:r w:rsidRPr="005F1250">
      <w:rPr>
        <w:b/>
        <w:sz w:val="18"/>
      </w:rPr>
      <w:fldChar w:fldCharType="separate"/>
    </w:r>
    <w:r w:rsidRPr="005F1250">
      <w:rPr>
        <w:b/>
        <w:noProof/>
        <w:sz w:val="18"/>
      </w:rPr>
      <w:t>31</w:t>
    </w:r>
    <w:r w:rsidRPr="005F1250">
      <w:rPr>
        <w:b/>
        <w:sz w:val="18"/>
      </w:rPr>
      <w:fldChar w:fldCharType="end"/>
    </w:r>
    <w:r>
      <w:rPr>
        <w:sz w:val="18"/>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1C8F6" w14:textId="2E728DC9" w:rsidR="008F4336" w:rsidRPr="005F1250" w:rsidRDefault="005F1250" w:rsidP="005F1250">
    <w:pPr>
      <w:pStyle w:val="Footer"/>
      <w:tabs>
        <w:tab w:val="right" w:pos="9638"/>
      </w:tabs>
      <w:rPr>
        <w:b/>
        <w:sz w:val="18"/>
      </w:rPr>
    </w:pPr>
    <w:r>
      <w:tab/>
    </w:r>
    <w:r w:rsidRPr="005F1250">
      <w:rPr>
        <w:b/>
        <w:sz w:val="18"/>
      </w:rPr>
      <w:fldChar w:fldCharType="begin"/>
    </w:r>
    <w:r w:rsidRPr="005F1250">
      <w:rPr>
        <w:b/>
        <w:sz w:val="18"/>
      </w:rPr>
      <w:instrText xml:space="preserve"> PAGE  \* MERGEFORMAT </w:instrText>
    </w:r>
    <w:r w:rsidRPr="005F1250">
      <w:rPr>
        <w:b/>
        <w:sz w:val="18"/>
      </w:rPr>
      <w:fldChar w:fldCharType="separate"/>
    </w:r>
    <w:r w:rsidRPr="005F1250">
      <w:rPr>
        <w:b/>
        <w:noProof/>
        <w:sz w:val="18"/>
      </w:rPr>
      <w:t>32</w:t>
    </w:r>
    <w:r w:rsidRPr="005F1250">
      <w:rPr>
        <w:b/>
        <w:sz w:val="18"/>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83CD" w14:textId="0A6B46B6"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31</w:t>
    </w:r>
    <w:r w:rsidRPr="00310DE3">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17CF2" w14:textId="031C3C04" w:rsidR="00EB6B16"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4</w:t>
    </w:r>
    <w:r w:rsidRPr="00310DE3">
      <w:rPr>
        <w:b/>
        <w:sz w:val="18"/>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CED31" w14:textId="65AE21F2"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32</w:t>
    </w:r>
    <w:r w:rsidRPr="00310DE3">
      <w:rPr>
        <w:b/>
        <w:sz w:val="18"/>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B0420" w14:textId="576593C7"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34</w:t>
    </w:r>
    <w:r w:rsidRPr="00310DE3">
      <w:rPr>
        <w:b/>
        <w:sz w:val="18"/>
      </w:rPr>
      <w:fldChar w:fldCharType="end"/>
    </w:r>
    <w:r>
      <w:rPr>
        <w:sz w:val="18"/>
      </w:rPr>
      <w:tab/>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7A4A" w14:textId="16E05A60"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33</w:t>
    </w:r>
    <w:r w:rsidRPr="00310DE3">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A5BE3" w14:textId="047C47F4"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7</w:t>
    </w:r>
    <w:r w:rsidRPr="00310DE3">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EF7B3" w14:textId="3BB7E3D2"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8</w:t>
    </w:r>
    <w:r w:rsidRPr="00310DE3">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9E425" w14:textId="2C9A8060"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9</w:t>
    </w:r>
    <w:r w:rsidRPr="00310DE3">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7DBE" w14:textId="1E4E3398" w:rsidR="005F1250"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10</w:t>
    </w:r>
    <w:r w:rsidRPr="00310DE3">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BE7DC" w14:textId="66AC1F57" w:rsidR="00723D62"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13</w:t>
    </w:r>
    <w:r w:rsidRPr="00310DE3">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B5BBD" w14:textId="3DC7E11A" w:rsidR="00723D62" w:rsidRPr="00310DE3" w:rsidRDefault="00310DE3" w:rsidP="00310DE3">
    <w:pPr>
      <w:pStyle w:val="Footer"/>
      <w:tabs>
        <w:tab w:val="right" w:pos="9638"/>
      </w:tabs>
      <w:rPr>
        <w:b/>
        <w:sz w:val="18"/>
      </w:rPr>
    </w:pPr>
    <w:r>
      <w:tab/>
    </w: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12</w:t>
    </w:r>
    <w:r w:rsidRPr="00310DE3">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9C4B4" w14:textId="3BB268F2" w:rsidR="005F1250" w:rsidRPr="00310DE3" w:rsidRDefault="00310DE3" w:rsidP="00310DE3">
    <w:pPr>
      <w:pStyle w:val="Footer"/>
      <w:tabs>
        <w:tab w:val="right" w:pos="9638"/>
      </w:tabs>
    </w:pPr>
    <w:r w:rsidRPr="00310DE3">
      <w:rPr>
        <w:b/>
        <w:sz w:val="18"/>
      </w:rPr>
      <w:fldChar w:fldCharType="begin"/>
    </w:r>
    <w:r w:rsidRPr="00310DE3">
      <w:rPr>
        <w:b/>
        <w:sz w:val="18"/>
      </w:rPr>
      <w:instrText xml:space="preserve"> PAGE  \* MERGEFORMAT </w:instrText>
    </w:r>
    <w:r w:rsidRPr="00310DE3">
      <w:rPr>
        <w:b/>
        <w:sz w:val="18"/>
      </w:rPr>
      <w:fldChar w:fldCharType="separate"/>
    </w:r>
    <w:r w:rsidRPr="00310DE3">
      <w:rPr>
        <w:b/>
        <w:noProof/>
        <w:sz w:val="18"/>
      </w:rPr>
      <w:t>15</w:t>
    </w:r>
    <w:r w:rsidRPr="00310DE3">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3C8CF" w14:textId="77777777" w:rsidR="00200A02" w:rsidRDefault="00200A02">
      <w:r>
        <w:separator/>
      </w:r>
    </w:p>
  </w:footnote>
  <w:footnote w:type="continuationSeparator" w:id="0">
    <w:p w14:paraId="0C44D8E0" w14:textId="77777777" w:rsidR="00200A02" w:rsidRDefault="00200A02">
      <w:r>
        <w:continuationSeparator/>
      </w:r>
    </w:p>
    <w:p w14:paraId="4840C086" w14:textId="77777777" w:rsidR="00200A02" w:rsidRDefault="00200A02"/>
  </w:footnote>
  <w:footnote w:type="continuationNotice" w:id="1">
    <w:p w14:paraId="20360AAF" w14:textId="77777777" w:rsidR="00200A02" w:rsidRDefault="00200A02">
      <w:pPr>
        <w:spacing w:line="240" w:lineRule="auto"/>
      </w:pPr>
    </w:p>
  </w:footnote>
  <w:footnote w:id="2">
    <w:p w14:paraId="45D663E2" w14:textId="00912F9C" w:rsidR="001C7452" w:rsidRPr="009B4EE7" w:rsidRDefault="001C7452" w:rsidP="005B492F">
      <w:pPr>
        <w:pStyle w:val="FootnoteText"/>
        <w:widowControl w:val="0"/>
        <w:tabs>
          <w:tab w:val="clear" w:pos="1021"/>
          <w:tab w:val="right" w:pos="1020"/>
        </w:tabs>
        <w:rPr>
          <w:lang w:val="en-US"/>
        </w:rPr>
      </w:pPr>
      <w:r>
        <w:tab/>
      </w:r>
      <w:r>
        <w:rPr>
          <w:rStyle w:val="FootnoteReference"/>
        </w:rPr>
        <w:footnoteRef/>
      </w:r>
      <w:r>
        <w:tab/>
        <w:t>As defined in Article 1, para. 7, of the Kyoto Protocol.</w:t>
      </w:r>
    </w:p>
  </w:footnote>
  <w:footnote w:id="3">
    <w:p w14:paraId="43FEEA8A" w14:textId="77777777" w:rsidR="00EB6B16" w:rsidRPr="00312D24" w:rsidRDefault="00EB6B16" w:rsidP="00A916C2">
      <w:pPr>
        <w:pStyle w:val="FootnoteText"/>
        <w:rPr>
          <w:lang w:val="en-US"/>
        </w:rPr>
      </w:pPr>
      <w:r>
        <w:tab/>
      </w:r>
      <w:r>
        <w:rPr>
          <w:rStyle w:val="FootnoteReference"/>
        </w:rPr>
        <w:footnoteRef/>
      </w:r>
      <w:r>
        <w:tab/>
      </w:r>
      <w:r w:rsidRPr="00A16E23">
        <w:t>Decision 1/CMP.8, annex I.</w:t>
      </w:r>
    </w:p>
  </w:footnote>
  <w:footnote w:id="4">
    <w:p w14:paraId="1CF00005" w14:textId="77777777" w:rsidR="00EB6B16" w:rsidRPr="007C5B9E" w:rsidRDefault="00EB6B16" w:rsidP="00A916C2">
      <w:pPr>
        <w:pStyle w:val="FootnoteText"/>
        <w:rPr>
          <w:lang w:val="en-US"/>
        </w:rPr>
      </w:pPr>
      <w:r>
        <w:tab/>
      </w:r>
      <w:r>
        <w:rPr>
          <w:rStyle w:val="FootnoteReference"/>
        </w:rPr>
        <w:footnoteRef/>
      </w:r>
      <w:r>
        <w:tab/>
      </w:r>
      <w:r w:rsidRPr="00203F82">
        <w:t>FCCC/KP/CMP/202</w:t>
      </w:r>
      <w:r>
        <w:t>2</w:t>
      </w:r>
      <w:r w:rsidRPr="00203F82">
        <w:t>/</w:t>
      </w:r>
      <w:r>
        <w:t>7.</w:t>
      </w:r>
    </w:p>
  </w:footnote>
  <w:footnote w:id="5">
    <w:p w14:paraId="3E3D765D" w14:textId="77777777" w:rsidR="00EB6B16" w:rsidRPr="004714D8" w:rsidRDefault="00EB6B16" w:rsidP="00035DB9">
      <w:pPr>
        <w:pStyle w:val="FootnoteText"/>
        <w:rPr>
          <w:lang w:val="en-US"/>
        </w:rPr>
      </w:pPr>
      <w:r>
        <w:tab/>
      </w:r>
      <w:r>
        <w:rPr>
          <w:rStyle w:val="FootnoteReference"/>
        </w:rPr>
        <w:footnoteRef/>
      </w:r>
      <w:r>
        <w:tab/>
      </w:r>
      <w:r w:rsidRPr="009F4E01">
        <w:t>See document FCCC/KP/CMP/20</w:t>
      </w:r>
      <w:r>
        <w:t>22</w:t>
      </w:r>
      <w:r w:rsidRPr="009F4E01">
        <w:t>/</w:t>
      </w:r>
      <w:r>
        <w:t>7, chap. IV.E.</w:t>
      </w:r>
    </w:p>
  </w:footnote>
  <w:footnote w:id="6">
    <w:p w14:paraId="56F2B09D" w14:textId="77777777" w:rsidR="00EB6B16" w:rsidRPr="00303A2F" w:rsidRDefault="00EB6B16" w:rsidP="00035DB9">
      <w:pPr>
        <w:pStyle w:val="FootnoteText"/>
        <w:widowControl w:val="0"/>
        <w:rPr>
          <w:lang w:val="en-US"/>
        </w:rPr>
      </w:pPr>
      <w:r>
        <w:tab/>
      </w:r>
      <w:r>
        <w:rPr>
          <w:rStyle w:val="FootnoteReference"/>
        </w:rPr>
        <w:footnoteRef/>
      </w:r>
      <w:r>
        <w:tab/>
      </w:r>
      <w:hyperlink r:id="rId1" w:history="1">
        <w:r w:rsidRPr="00C8553C">
          <w:rPr>
            <w:rStyle w:val="Hyperlink"/>
          </w:rPr>
          <w:t>https://cdm.unfccc.int/Registry/index.html</w:t>
        </w:r>
      </w:hyperlink>
      <w:r>
        <w:t>.</w:t>
      </w:r>
    </w:p>
  </w:footnote>
  <w:footnote w:id="7">
    <w:p w14:paraId="376E6747" w14:textId="77777777" w:rsidR="00EB6B16" w:rsidRPr="00612017" w:rsidRDefault="00EB6B16" w:rsidP="00035DB9">
      <w:pPr>
        <w:pStyle w:val="FootnoteText"/>
        <w:widowControl w:val="0"/>
        <w:tabs>
          <w:tab w:val="clear" w:pos="1021"/>
          <w:tab w:val="right" w:pos="1020"/>
        </w:tabs>
        <w:rPr>
          <w:lang w:val="en-US"/>
        </w:rPr>
      </w:pPr>
      <w:r>
        <w:tab/>
      </w:r>
      <w:r>
        <w:rPr>
          <w:rStyle w:val="FootnoteReference"/>
        </w:rPr>
        <w:footnoteRef/>
      </w:r>
      <w:r>
        <w:tab/>
        <w:t>For transfers of eligible certified emission reductions from the Adaptation Fund account.</w:t>
      </w:r>
    </w:p>
  </w:footnote>
  <w:footnote w:id="8">
    <w:p w14:paraId="217CEC61" w14:textId="77777777" w:rsidR="00EB6B16" w:rsidRPr="005E435B" w:rsidDel="00A4765C" w:rsidRDefault="00EB6B16" w:rsidP="00035DB9">
      <w:pPr>
        <w:pStyle w:val="FootnoteText"/>
        <w:widowControl w:val="0"/>
        <w:rPr>
          <w:lang w:val="en-US"/>
        </w:rPr>
      </w:pPr>
      <w:r>
        <w:tab/>
      </w:r>
      <w:r>
        <w:rPr>
          <w:rStyle w:val="FootnoteReference"/>
        </w:rPr>
        <w:footnoteRef/>
      </w:r>
      <w:r>
        <w:tab/>
      </w:r>
      <w:hyperlink r:id="rId2" w:history="1">
        <w:r w:rsidRPr="00C8553C">
          <w:rPr>
            <w:rStyle w:val="Hyperlink"/>
          </w:rPr>
          <w:t>https://cdm.unfccc.int/Registry/index.html</w:t>
        </w:r>
      </w:hyperlink>
      <w:r>
        <w:t>.</w:t>
      </w:r>
    </w:p>
  </w:footnote>
  <w:footnote w:id="9">
    <w:p w14:paraId="50851A0E" w14:textId="77777777" w:rsidR="00EB6B16" w:rsidRPr="007221EC" w:rsidRDefault="00EB6B16" w:rsidP="00035DB9">
      <w:pPr>
        <w:pStyle w:val="FootnoteText"/>
        <w:widowControl w:val="0"/>
        <w:tabs>
          <w:tab w:val="clear" w:pos="1021"/>
          <w:tab w:val="right" w:pos="1020"/>
        </w:tabs>
        <w:rPr>
          <w:lang w:val="en-US"/>
        </w:rPr>
      </w:pPr>
      <w:r>
        <w:tab/>
      </w:r>
      <w:r>
        <w:rPr>
          <w:rStyle w:val="FootnoteReference"/>
        </w:rPr>
        <w:footnoteRef/>
      </w:r>
      <w:r>
        <w:tab/>
        <w:t>Decision 2/CMP.16, para. 22.</w:t>
      </w:r>
    </w:p>
  </w:footnote>
  <w:footnote w:id="10">
    <w:p w14:paraId="7F62E14C" w14:textId="77777777" w:rsidR="00351CCC" w:rsidRPr="00A2536C" w:rsidRDefault="00351CCC" w:rsidP="00035DB9">
      <w:pPr>
        <w:pStyle w:val="FootnoteText"/>
        <w:rPr>
          <w:lang w:val="en-US"/>
        </w:rPr>
      </w:pPr>
      <w:r>
        <w:tab/>
      </w:r>
      <w:r>
        <w:rPr>
          <w:rStyle w:val="FootnoteReference"/>
        </w:rPr>
        <w:footnoteRef/>
      </w:r>
      <w:r>
        <w:tab/>
      </w:r>
      <w:r w:rsidRPr="00A2536C">
        <w:t>FCCC/KP/CMP/2022/6</w:t>
      </w:r>
      <w:r>
        <w:t>.</w:t>
      </w:r>
    </w:p>
  </w:footnote>
  <w:footnote w:id="11">
    <w:p w14:paraId="0F6A0C6F" w14:textId="6694A09F" w:rsidR="00351CCC" w:rsidRPr="00D3029A" w:rsidRDefault="00351CCC" w:rsidP="00035DB9">
      <w:pPr>
        <w:pStyle w:val="FootnoteText"/>
        <w:rPr>
          <w:lang w:val="en-US"/>
        </w:rPr>
      </w:pPr>
      <w:r>
        <w:tab/>
      </w:r>
      <w:r>
        <w:rPr>
          <w:rStyle w:val="FootnoteReference"/>
        </w:rPr>
        <w:footnoteRef/>
      </w:r>
      <w:r>
        <w:tab/>
        <w:t>See decision 9/CMP.1, annex, para. 23.</w:t>
      </w:r>
    </w:p>
  </w:footnote>
  <w:footnote w:id="12">
    <w:p w14:paraId="726BC07C" w14:textId="12A228D2" w:rsidR="00351CCC" w:rsidRPr="00322F76" w:rsidRDefault="00351CCC" w:rsidP="00035DB9">
      <w:pPr>
        <w:pStyle w:val="FootnoteText"/>
        <w:rPr>
          <w:lang w:val="en-US"/>
        </w:rPr>
      </w:pPr>
      <w:r>
        <w:tab/>
      </w:r>
      <w:r>
        <w:rPr>
          <w:rStyle w:val="FootnoteReference"/>
        </w:rPr>
        <w:footnoteRef/>
      </w:r>
      <w:r>
        <w:tab/>
      </w:r>
      <w:r>
        <w:rPr>
          <w:szCs w:val="18"/>
        </w:rPr>
        <w:t>The verification procedure under the Joint Implementation Supervisory Committee, defined in decision 9/CMP.1, annex, paras. 30–45.</w:t>
      </w:r>
    </w:p>
  </w:footnote>
  <w:footnote w:id="13">
    <w:p w14:paraId="38D2AFC9" w14:textId="7AAB2BC9" w:rsidR="004673C0" w:rsidRPr="00A17F02" w:rsidRDefault="004673C0" w:rsidP="00035DB9">
      <w:pPr>
        <w:pStyle w:val="FootnoteText"/>
        <w:widowControl w:val="0"/>
        <w:rPr>
          <w:lang w:val="en-US"/>
        </w:rPr>
      </w:pPr>
      <w:r>
        <w:tab/>
      </w:r>
      <w:r>
        <w:rPr>
          <w:rStyle w:val="FootnoteReference"/>
        </w:rPr>
        <w:footnoteRef/>
      </w:r>
      <w:r>
        <w:tab/>
        <w:t xml:space="preserve">FCCC/KP/CMP/2022/4–FCCC/PA/CMA/2022/3 and </w:t>
      </w:r>
      <w:r w:rsidRPr="00915A0C">
        <w:rPr>
          <w:lang w:val="en-US"/>
        </w:rPr>
        <w:t>Add.1</w:t>
      </w:r>
      <w:r>
        <w:t>.</w:t>
      </w:r>
    </w:p>
  </w:footnote>
  <w:footnote w:id="14">
    <w:p w14:paraId="05AE7648" w14:textId="77777777" w:rsidR="004673C0" w:rsidRPr="0065552D" w:rsidRDefault="004673C0" w:rsidP="00035DB9">
      <w:pPr>
        <w:pStyle w:val="FootnoteText"/>
        <w:widowControl w:val="0"/>
        <w:tabs>
          <w:tab w:val="clear" w:pos="1021"/>
          <w:tab w:val="right" w:pos="1020"/>
        </w:tabs>
        <w:rPr>
          <w:lang w:val="en-US"/>
        </w:rPr>
      </w:pPr>
      <w:r>
        <w:tab/>
      </w:r>
      <w:r>
        <w:rPr>
          <w:rStyle w:val="FootnoteReference"/>
        </w:rPr>
        <w:footnoteRef/>
      </w:r>
      <w:r>
        <w:tab/>
        <w:t xml:space="preserve">See </w:t>
      </w:r>
      <w:r w:rsidRPr="00AF249C">
        <w:t xml:space="preserve">Adaptation Fund </w:t>
      </w:r>
      <w:r>
        <w:t xml:space="preserve">Board document </w:t>
      </w:r>
      <w:r w:rsidRPr="00126DB1">
        <w:t>AFB/B.39/5/Rev.2</w:t>
      </w:r>
      <w:r>
        <w:t>.</w:t>
      </w:r>
    </w:p>
  </w:footnote>
  <w:footnote w:id="15">
    <w:p w14:paraId="10FC6DD8" w14:textId="77777777" w:rsidR="004673C0" w:rsidRPr="002444C7" w:rsidRDefault="004673C0" w:rsidP="00035DB9">
      <w:pPr>
        <w:pStyle w:val="FootnoteText"/>
        <w:widowControl w:val="0"/>
        <w:rPr>
          <w:lang w:val="en-US"/>
        </w:rPr>
      </w:pPr>
      <w:r>
        <w:tab/>
      </w:r>
      <w:r>
        <w:rPr>
          <w:rStyle w:val="FootnoteReference"/>
        </w:rPr>
        <w:footnoteRef/>
      </w:r>
      <w:r>
        <w:tab/>
        <w:t xml:space="preserve">See Adaptation Fund Board document AFB/B.39/6/Add.1/Rev.2. </w:t>
      </w:r>
    </w:p>
  </w:footnote>
  <w:footnote w:id="16">
    <w:p w14:paraId="3F0EA819" w14:textId="77777777" w:rsidR="004673C0" w:rsidRPr="00C44471" w:rsidRDefault="004673C0" w:rsidP="00035DB9">
      <w:pPr>
        <w:pStyle w:val="FootnoteText"/>
        <w:widowControl w:val="0"/>
        <w:tabs>
          <w:tab w:val="clear" w:pos="1021"/>
          <w:tab w:val="right" w:pos="1020"/>
        </w:tabs>
        <w:rPr>
          <w:lang w:val="en-US"/>
        </w:rPr>
      </w:pPr>
      <w:r>
        <w:tab/>
      </w:r>
      <w:r>
        <w:rPr>
          <w:rStyle w:val="FootnoteReference"/>
        </w:rPr>
        <w:footnoteRef/>
      </w:r>
      <w:r>
        <w:tab/>
        <w:t>See Adaptation Fund Board document</w:t>
      </w:r>
      <w:r w:rsidRPr="00173AD2">
        <w:t xml:space="preserve"> AFB/B.39/6/Add.2/Rev.1</w:t>
      </w:r>
      <w:r>
        <w:t>.</w:t>
      </w:r>
    </w:p>
  </w:footnote>
  <w:footnote w:id="17">
    <w:p w14:paraId="30539C80" w14:textId="77777777" w:rsidR="004673C0" w:rsidRPr="003A076C" w:rsidRDefault="004673C0" w:rsidP="00035DB9">
      <w:pPr>
        <w:pStyle w:val="FootnoteText"/>
        <w:widowControl w:val="0"/>
        <w:tabs>
          <w:tab w:val="clear" w:pos="1021"/>
          <w:tab w:val="right" w:pos="1020"/>
        </w:tabs>
        <w:rPr>
          <w:lang w:val="en-US"/>
        </w:rPr>
      </w:pPr>
      <w:r>
        <w:tab/>
      </w:r>
      <w:r>
        <w:rPr>
          <w:rStyle w:val="FootnoteReference"/>
        </w:rPr>
        <w:footnoteRef/>
      </w:r>
      <w:r>
        <w:tab/>
        <w:t xml:space="preserve">See </w:t>
      </w:r>
      <w:r w:rsidRPr="003F07DA" w:rsidDel="003552B0">
        <w:t>Adaptation Fund</w:t>
      </w:r>
      <w:r>
        <w:t xml:space="preserve"> Board document </w:t>
      </w:r>
      <w:r w:rsidRPr="008E5047">
        <w:t>AFB/EFC.29/6/Rev.1</w:t>
      </w:r>
      <w:r>
        <w:t xml:space="preserve">. </w:t>
      </w:r>
    </w:p>
  </w:footnote>
  <w:footnote w:id="18">
    <w:p w14:paraId="12A7B70A" w14:textId="77777777" w:rsidR="004673C0" w:rsidRPr="00915A0C" w:rsidRDefault="004673C0" w:rsidP="00035DB9">
      <w:pPr>
        <w:pStyle w:val="FootnoteText"/>
        <w:widowControl w:val="0"/>
        <w:rPr>
          <w:lang w:val="en-US"/>
        </w:rPr>
      </w:pPr>
      <w:r>
        <w:tab/>
      </w:r>
      <w:r>
        <w:rPr>
          <w:rStyle w:val="FootnoteReference"/>
        </w:rPr>
        <w:footnoteRef/>
      </w:r>
      <w:r>
        <w:tab/>
      </w:r>
      <w:r>
        <w:rPr>
          <w:lang w:val="en-US"/>
        </w:rPr>
        <w:t>See</w:t>
      </w:r>
      <w:r>
        <w:t xml:space="preserve"> decision 3/CMP.16, para. 6. </w:t>
      </w:r>
    </w:p>
  </w:footnote>
  <w:footnote w:id="19">
    <w:p w14:paraId="4725BA9F" w14:textId="77777777" w:rsidR="004673C0" w:rsidRPr="00A7420E" w:rsidRDefault="004673C0" w:rsidP="00035DB9">
      <w:pPr>
        <w:pStyle w:val="FootnoteText"/>
        <w:widowControl w:val="0"/>
        <w:rPr>
          <w:lang w:val="en-US"/>
        </w:rPr>
      </w:pPr>
      <w:r>
        <w:tab/>
      </w:r>
      <w:r>
        <w:rPr>
          <w:rStyle w:val="FootnoteReference"/>
        </w:rPr>
        <w:footnoteRef/>
      </w:r>
      <w:r>
        <w:tab/>
        <w:t xml:space="preserve">See decision 1/CMA.3, para. 16. </w:t>
      </w:r>
    </w:p>
  </w:footnote>
  <w:footnote w:id="20">
    <w:p w14:paraId="0D754440" w14:textId="77777777" w:rsidR="004673C0" w:rsidRPr="003E7CB3" w:rsidRDefault="004673C0" w:rsidP="00035DB9">
      <w:pPr>
        <w:pStyle w:val="FootnoteText"/>
        <w:rPr>
          <w:lang w:val="en-US"/>
        </w:rPr>
      </w:pPr>
      <w:r>
        <w:tab/>
      </w:r>
      <w:r>
        <w:rPr>
          <w:rStyle w:val="FootnoteReference"/>
        </w:rPr>
        <w:footnoteRef/>
      </w:r>
      <w:r>
        <w:rPr>
          <w:lang w:val="en-US"/>
        </w:rPr>
        <w:tab/>
        <w:t xml:space="preserve">See </w:t>
      </w:r>
      <w:r>
        <w:t xml:space="preserve">Adaptation Fund Board document </w:t>
      </w:r>
      <w:r w:rsidRPr="0003037B">
        <w:t>AFB/B.39/9/Add.2</w:t>
      </w:r>
      <w:r>
        <w:t>.</w:t>
      </w:r>
    </w:p>
  </w:footnote>
  <w:footnote w:id="21">
    <w:p w14:paraId="66C80099" w14:textId="77777777" w:rsidR="004673C0" w:rsidRPr="00B967B1" w:rsidRDefault="004673C0" w:rsidP="00035DB9">
      <w:pPr>
        <w:pStyle w:val="FootnoteText"/>
        <w:widowControl w:val="0"/>
        <w:tabs>
          <w:tab w:val="clear" w:pos="1021"/>
          <w:tab w:val="right" w:pos="1020"/>
        </w:tabs>
        <w:rPr>
          <w:lang w:val="en-US"/>
        </w:rPr>
      </w:pPr>
      <w:r>
        <w:tab/>
      </w:r>
      <w:r>
        <w:rPr>
          <w:rStyle w:val="FootnoteReference"/>
        </w:rPr>
        <w:footnoteRef/>
      </w:r>
      <w:r>
        <w:tab/>
        <w:t xml:space="preserve">See Adaptation Fund Board document </w:t>
      </w:r>
      <w:r w:rsidRPr="000F5C97">
        <w:t>AFB/B.39/9/Add.1</w:t>
      </w:r>
      <w:r>
        <w:t>.</w:t>
      </w:r>
    </w:p>
  </w:footnote>
  <w:footnote w:id="22">
    <w:p w14:paraId="7C786E90" w14:textId="77777777" w:rsidR="00BF290E" w:rsidRPr="004021DA" w:rsidRDefault="00BF290E" w:rsidP="00035DB9">
      <w:pPr>
        <w:pStyle w:val="FootnoteText"/>
        <w:rPr>
          <w:rFonts w:eastAsia="Malgun Gothic"/>
          <w:lang w:eastAsia="ko-KR"/>
        </w:rPr>
      </w:pPr>
      <w:r>
        <w:tab/>
      </w:r>
      <w:r>
        <w:rPr>
          <w:rStyle w:val="FootnoteReference"/>
        </w:rPr>
        <w:footnoteRef/>
      </w:r>
      <w:r>
        <w:tab/>
      </w:r>
      <w:r>
        <w:rPr>
          <w:rFonts w:eastAsia="Malgun Gothic" w:hint="eastAsia"/>
          <w:lang w:eastAsia="ko-KR"/>
        </w:rPr>
        <w:t>F</w:t>
      </w:r>
      <w:r>
        <w:rPr>
          <w:rFonts w:eastAsia="Malgun Gothic"/>
          <w:lang w:eastAsia="ko-KR"/>
        </w:rPr>
        <w:t>CCC/TP/2022/1.</w:t>
      </w:r>
    </w:p>
  </w:footnote>
  <w:footnote w:id="23">
    <w:p w14:paraId="33367D1B" w14:textId="77777777" w:rsidR="00BF290E" w:rsidRPr="003D7FAF" w:rsidRDefault="00BF290E" w:rsidP="00035DB9">
      <w:pPr>
        <w:pStyle w:val="FootnoteText"/>
      </w:pPr>
      <w:r>
        <w:tab/>
      </w:r>
      <w:r>
        <w:rPr>
          <w:rStyle w:val="FootnoteReference"/>
        </w:rPr>
        <w:footnoteRef/>
      </w:r>
      <w:r>
        <w:tab/>
        <w:t>D</w:t>
      </w:r>
      <w:r w:rsidRPr="00D61BC8">
        <w:t>ecision 4/CMP.16</w:t>
      </w:r>
      <w:r>
        <w:t>, annex.</w:t>
      </w:r>
    </w:p>
  </w:footnote>
  <w:footnote w:id="24">
    <w:p w14:paraId="4C6A32C6" w14:textId="3A6932C5" w:rsidR="00BF290E" w:rsidRPr="00DC59BC" w:rsidRDefault="00BF290E" w:rsidP="00035DB9">
      <w:pPr>
        <w:pStyle w:val="FootnoteText"/>
        <w:rPr>
          <w:rFonts w:eastAsia="Malgun Gothic"/>
          <w:lang w:eastAsia="ko-KR"/>
        </w:rPr>
      </w:pPr>
      <w:r>
        <w:tab/>
      </w:r>
      <w:r>
        <w:rPr>
          <w:rStyle w:val="FootnoteReference"/>
        </w:rPr>
        <w:footnoteRef/>
      </w:r>
      <w:r>
        <w:tab/>
        <w:t xml:space="preserve">Enhanced direct access grants, learning grants, project scale-up grants, </w:t>
      </w:r>
      <w:r w:rsidRPr="00105FB9">
        <w:t>Adaptation Fund Climate Innovation Accelerator</w:t>
      </w:r>
      <w:r>
        <w:t>, and small and large innovation grants.</w:t>
      </w:r>
    </w:p>
  </w:footnote>
  <w:footnote w:id="25">
    <w:p w14:paraId="212AB817" w14:textId="3EFFDAC9" w:rsidR="00BF290E" w:rsidRPr="00DC59BC" w:rsidRDefault="00BF290E" w:rsidP="00035DB9">
      <w:pPr>
        <w:pStyle w:val="FootnoteText"/>
        <w:rPr>
          <w:rFonts w:eastAsia="Malgun Gothic"/>
          <w:lang w:eastAsia="ko-KR"/>
        </w:rPr>
      </w:pPr>
      <w:r>
        <w:tab/>
      </w:r>
      <w:r>
        <w:rPr>
          <w:rStyle w:val="FootnoteReference"/>
        </w:rPr>
        <w:footnoteRef/>
      </w:r>
      <w:r>
        <w:tab/>
        <w:t>Contributions during the period of the fourth review (2018–2021) amounted to USD 684 million,</w:t>
      </w:r>
      <w:r w:rsidR="00F14E70">
        <w:t xml:space="preserve"> or</w:t>
      </w:r>
      <w:r>
        <w:t xml:space="preserve"> 272 per cent more than the contributions of USD 251.4 million during the period of the third review (2015–2017).</w:t>
      </w:r>
    </w:p>
  </w:footnote>
  <w:footnote w:id="26">
    <w:p w14:paraId="7EE4FBE1" w14:textId="5AAF2C43" w:rsidR="00BF290E" w:rsidRPr="007E41B3" w:rsidRDefault="00BF290E" w:rsidP="00035DB9">
      <w:pPr>
        <w:pStyle w:val="FootnoteText"/>
        <w:rPr>
          <w:rFonts w:eastAsia="Malgun Gothic"/>
          <w:lang w:eastAsia="ko-KR"/>
        </w:rPr>
      </w:pPr>
      <w:r>
        <w:tab/>
      </w:r>
      <w:r>
        <w:rPr>
          <w:rStyle w:val="FootnoteReference"/>
        </w:rPr>
        <w:footnoteRef/>
      </w:r>
      <w:r>
        <w:tab/>
        <w:t xml:space="preserve">See Adaptation Fund Board document </w:t>
      </w:r>
      <w:r w:rsidRPr="007E41B3">
        <w:t>AFB/B.32/Inf.6</w:t>
      </w:r>
      <w:r>
        <w:t>.</w:t>
      </w:r>
    </w:p>
  </w:footnote>
  <w:footnote w:id="27">
    <w:p w14:paraId="319FE96A" w14:textId="0D41FDB4" w:rsidR="00BF290E" w:rsidRPr="00C13CD5" w:rsidRDefault="00BF290E" w:rsidP="00035DB9">
      <w:pPr>
        <w:pStyle w:val="FootnoteText"/>
        <w:rPr>
          <w:rFonts w:eastAsia="Malgun Gothic"/>
          <w:lang w:eastAsia="ko-KR"/>
        </w:rPr>
      </w:pPr>
      <w:r>
        <w:tab/>
      </w:r>
      <w:r>
        <w:rPr>
          <w:rStyle w:val="FootnoteReference"/>
        </w:rPr>
        <w:footnoteRef/>
      </w:r>
      <w:r>
        <w:tab/>
        <w:t xml:space="preserve">See Adaptation Fund Board document </w:t>
      </w:r>
      <w:r w:rsidRPr="00C13CD5">
        <w:t>AFB/B.39/6/Add.1/Rev.2</w:t>
      </w:r>
      <w:r>
        <w:t>.</w:t>
      </w:r>
    </w:p>
  </w:footnote>
  <w:footnote w:id="28">
    <w:p w14:paraId="5ECA58F4" w14:textId="77777777" w:rsidR="00BF290E" w:rsidRPr="005903A4" w:rsidRDefault="00BF290E" w:rsidP="00B00D47">
      <w:pPr>
        <w:pStyle w:val="FootnoteText"/>
        <w:rPr>
          <w:rFonts w:eastAsia="Malgun Gothic"/>
          <w:lang w:eastAsia="ko-KR"/>
        </w:rPr>
      </w:pPr>
      <w:r>
        <w:tab/>
      </w:r>
      <w:r>
        <w:rPr>
          <w:rStyle w:val="FootnoteReference"/>
        </w:rPr>
        <w:footnoteRef/>
      </w:r>
      <w:r>
        <w:tab/>
      </w:r>
      <w:r>
        <w:rPr>
          <w:rFonts w:eastAsia="Malgun Gothic"/>
          <w:lang w:eastAsia="ko-KR"/>
        </w:rPr>
        <w:t>FCCC/SBI/2022/10, para. 113.</w:t>
      </w:r>
    </w:p>
  </w:footnote>
  <w:footnote w:id="29">
    <w:p w14:paraId="05A08E8B" w14:textId="77777777" w:rsidR="00D55F4F" w:rsidRPr="00581150" w:rsidRDefault="00D55F4F" w:rsidP="00F9006F">
      <w:pPr>
        <w:pStyle w:val="FootnoteText"/>
        <w:tabs>
          <w:tab w:val="clear" w:pos="1021"/>
          <w:tab w:val="right" w:pos="1020"/>
        </w:tabs>
      </w:pPr>
      <w:r>
        <w:tab/>
      </w:r>
      <w:r>
        <w:rPr>
          <w:rStyle w:val="FootnoteReference"/>
        </w:rPr>
        <w:footnoteRef/>
      </w:r>
      <w:r>
        <w:tab/>
      </w:r>
      <w:r w:rsidRPr="005B3A8C">
        <w:t>FCCC/KP/</w:t>
      </w:r>
      <w:r w:rsidRPr="00F9006F">
        <w:rPr>
          <w:rFonts w:eastAsia="Malgun Gothic"/>
          <w:lang w:eastAsia="ko-KR"/>
        </w:rPr>
        <w:t>CMP</w:t>
      </w:r>
      <w:r w:rsidRPr="005B3A8C">
        <w:t>/2022/</w:t>
      </w:r>
      <w:r>
        <w:t xml:space="preserve">2. </w:t>
      </w:r>
    </w:p>
  </w:footnote>
  <w:footnote w:id="30">
    <w:p w14:paraId="3BF43A6B" w14:textId="77777777" w:rsidR="00C81ACD" w:rsidRPr="005716A1" w:rsidRDefault="00C81ACD" w:rsidP="00B04EDC">
      <w:pPr>
        <w:pStyle w:val="FootnoteText"/>
        <w:widowControl w:val="0"/>
        <w:tabs>
          <w:tab w:val="clear" w:pos="1021"/>
          <w:tab w:val="right" w:pos="1020"/>
          <w:tab w:val="left" w:pos="5670"/>
        </w:tabs>
        <w:ind w:right="1133"/>
        <w:rPr>
          <w:lang w:val="en-US"/>
        </w:rPr>
      </w:pPr>
      <w:r>
        <w:tab/>
      </w:r>
      <w:r>
        <w:rPr>
          <w:rStyle w:val="FootnoteReference"/>
        </w:rPr>
        <w:footnoteRef/>
      </w:r>
      <w:r>
        <w:tab/>
      </w:r>
      <w:r w:rsidRPr="000D72C8">
        <w:t>Document KCI/2019/2/4</w:t>
      </w:r>
      <w:r>
        <w:t>.</w:t>
      </w:r>
    </w:p>
  </w:footnote>
  <w:footnote w:id="31">
    <w:p w14:paraId="2371ED25" w14:textId="77777777" w:rsidR="00C81ACD" w:rsidRPr="00E05DD6" w:rsidRDefault="00C81ACD" w:rsidP="00B04EDC">
      <w:pPr>
        <w:pStyle w:val="FootnoteText"/>
        <w:tabs>
          <w:tab w:val="clear" w:pos="1021"/>
          <w:tab w:val="right" w:pos="1020"/>
        </w:tabs>
        <w:ind w:right="1133"/>
        <w:rPr>
          <w:lang w:val="en-US"/>
        </w:rPr>
      </w:pPr>
      <w:r>
        <w:tab/>
      </w:r>
      <w:r>
        <w:rPr>
          <w:rStyle w:val="FootnoteReference"/>
        </w:rPr>
        <w:footnoteRef/>
      </w:r>
      <w:r>
        <w:tab/>
        <w:t xml:space="preserve">Document </w:t>
      </w:r>
      <w:r w:rsidRPr="002C260F">
        <w:t>FCCC/SB/2022/6</w:t>
      </w:r>
      <w:r>
        <w:t>.</w:t>
      </w:r>
    </w:p>
  </w:footnote>
  <w:footnote w:id="32">
    <w:p w14:paraId="64A368D9" w14:textId="77777777" w:rsidR="00C81ACD" w:rsidRPr="001F71E5" w:rsidRDefault="00C81ACD" w:rsidP="00B04EDC">
      <w:pPr>
        <w:pStyle w:val="FootnoteText"/>
        <w:widowControl w:val="0"/>
        <w:tabs>
          <w:tab w:val="clear" w:pos="1021"/>
          <w:tab w:val="right" w:pos="1020"/>
        </w:tabs>
        <w:ind w:right="1133"/>
        <w:rPr>
          <w:lang w:val="en-US"/>
        </w:rPr>
      </w:pPr>
      <w:r>
        <w:tab/>
      </w:r>
      <w:r>
        <w:rPr>
          <w:rStyle w:val="FootnoteReference"/>
        </w:rPr>
        <w:footnoteRef/>
      </w:r>
      <w:r>
        <w:tab/>
      </w:r>
      <w:r w:rsidRPr="00B002F7">
        <w:t>Contained in annex II to decisions 4/CP.25, 4/CMP.15 and 4/CMA.2</w:t>
      </w:r>
      <w:r>
        <w:t>.</w:t>
      </w:r>
    </w:p>
  </w:footnote>
  <w:footnote w:id="33">
    <w:p w14:paraId="6BFA46D0" w14:textId="77777777" w:rsidR="00C81ACD" w:rsidRPr="006C2D02" w:rsidRDefault="00C81ACD" w:rsidP="00B04EDC">
      <w:pPr>
        <w:pStyle w:val="FootnoteText"/>
        <w:widowControl w:val="0"/>
        <w:tabs>
          <w:tab w:val="clear" w:pos="1021"/>
          <w:tab w:val="right" w:pos="1020"/>
        </w:tabs>
        <w:ind w:right="1133"/>
        <w:rPr>
          <w:lang w:val="en-US"/>
        </w:rPr>
      </w:pPr>
      <w:r>
        <w:tab/>
      </w:r>
      <w:r>
        <w:rPr>
          <w:rStyle w:val="FootnoteReference"/>
        </w:rPr>
        <w:footnoteRef/>
      </w:r>
      <w:r>
        <w:tab/>
        <w:t xml:space="preserve">Available at </w:t>
      </w:r>
      <w:hyperlink r:id="rId3" w:history="1">
        <w:r w:rsidRPr="003647E4">
          <w:rPr>
            <w:rStyle w:val="Hyperlink"/>
          </w:rPr>
          <w:t>https://unfccc.int/documents/624251</w:t>
        </w:r>
      </w:hyperlink>
      <w:r>
        <w:t>. T</w:t>
      </w:r>
      <w:r w:rsidRPr="006C2D02">
        <w:t>he content of the note does not represent consensus among Parties</w:t>
      </w:r>
      <w:r>
        <w:t>.</w:t>
      </w:r>
    </w:p>
  </w:footnote>
  <w:footnote w:id="34">
    <w:p w14:paraId="6E5E73EF" w14:textId="59436828" w:rsidR="007C5EA1" w:rsidRPr="000B6D57" w:rsidRDefault="007C5EA1" w:rsidP="000B6D57">
      <w:pPr>
        <w:pStyle w:val="FootnoteText"/>
        <w:widowControl w:val="0"/>
        <w:rPr>
          <w:lang w:val="en-US"/>
        </w:rPr>
      </w:pPr>
      <w:r>
        <w:tab/>
      </w:r>
      <w:r>
        <w:rPr>
          <w:rStyle w:val="FootnoteReference"/>
        </w:rPr>
        <w:footnoteRef/>
      </w:r>
      <w:r>
        <w:tab/>
      </w:r>
      <w:hyperlink r:id="rId4" w:history="1">
        <w:r w:rsidR="009A5222" w:rsidRPr="007E00D2">
          <w:rPr>
            <w:rStyle w:val="Hyperlink"/>
          </w:rPr>
          <w:t>https://www4.unfccc.int/sites/submissionsstaging/Pages/Home.aspx</w:t>
        </w:r>
      </w:hyperlink>
      <w:r w:rsidR="00D71EE1" w:rsidRPr="000B6D57">
        <w:rPr>
          <w:rStyle w:val="Hyperlink"/>
          <w:color w:val="000000" w:themeColor="text1"/>
          <w:u w:val="none"/>
        </w:rPr>
        <w:t>.</w:t>
      </w:r>
    </w:p>
  </w:footnote>
  <w:footnote w:id="35">
    <w:p w14:paraId="7B7B8EAC" w14:textId="77777777" w:rsidR="00C81ACD" w:rsidRPr="001F2A99" w:rsidRDefault="00C81ACD" w:rsidP="000B6D57">
      <w:pPr>
        <w:pStyle w:val="FootnoteText"/>
        <w:widowControl w:val="0"/>
        <w:tabs>
          <w:tab w:val="clear" w:pos="1021"/>
          <w:tab w:val="right" w:pos="1020"/>
        </w:tabs>
        <w:ind w:right="1133"/>
        <w:rPr>
          <w:lang w:val="en-US"/>
        </w:rPr>
      </w:pPr>
      <w:r>
        <w:tab/>
      </w:r>
      <w:r>
        <w:rPr>
          <w:rStyle w:val="FootnoteReference"/>
        </w:rPr>
        <w:footnoteRef/>
      </w:r>
      <w:r>
        <w:tab/>
        <w:t>Activity e of the workplan as c</w:t>
      </w:r>
      <w:r w:rsidRPr="00E96931">
        <w:t>ontained in annex II to decisions 4/CP.25, 4/CMP.15 and 4/CMA.2</w:t>
      </w:r>
      <w:r>
        <w:t>.</w:t>
      </w:r>
    </w:p>
  </w:footnote>
  <w:footnote w:id="36">
    <w:p w14:paraId="4E1D5917" w14:textId="77777777" w:rsidR="00C81ACD" w:rsidRPr="0009387D" w:rsidRDefault="00C81ACD" w:rsidP="000B6D57">
      <w:pPr>
        <w:pStyle w:val="FootnoteText"/>
        <w:widowControl w:val="0"/>
        <w:tabs>
          <w:tab w:val="clear" w:pos="1021"/>
          <w:tab w:val="right" w:pos="1020"/>
        </w:tabs>
        <w:ind w:right="1133"/>
        <w:rPr>
          <w:lang w:val="en-US"/>
        </w:rPr>
      </w:pPr>
      <w:r>
        <w:tab/>
      </w:r>
      <w:r>
        <w:rPr>
          <w:rStyle w:val="FootnoteReference"/>
        </w:rPr>
        <w:footnoteRef/>
      </w:r>
      <w:r>
        <w:tab/>
      </w:r>
      <w:r w:rsidRPr="0009387D">
        <w:t>Identify country-driven strategies and best practices on just transition of the workforce and creation of decent work and quality jobs and on economic diversification</w:t>
      </w:r>
      <w:r>
        <w:t xml:space="preserve"> </w:t>
      </w:r>
      <w:r w:rsidRPr="003417BC">
        <w:t>and transformation focusing on challenges and opportunities from the implementation of low greenhouse gas emission policies and strategies towards the achievement of sustainable development</w:t>
      </w:r>
      <w:r>
        <w:t>.</w:t>
      </w:r>
    </w:p>
  </w:footnote>
  <w:footnote w:id="37">
    <w:p w14:paraId="56EFA3E4" w14:textId="77777777" w:rsidR="00C81ACD" w:rsidRPr="00EE3E49" w:rsidRDefault="00C81ACD" w:rsidP="000B6D57">
      <w:pPr>
        <w:pStyle w:val="FootnoteText"/>
        <w:widowControl w:val="0"/>
        <w:tabs>
          <w:tab w:val="clear" w:pos="1021"/>
          <w:tab w:val="right" w:pos="1020"/>
        </w:tabs>
        <w:ind w:right="1133"/>
        <w:rPr>
          <w:lang w:val="en-US"/>
        </w:rPr>
      </w:pPr>
      <w:r>
        <w:tab/>
      </w:r>
      <w:r>
        <w:rPr>
          <w:rStyle w:val="FootnoteReference"/>
        </w:rPr>
        <w:footnoteRef/>
      </w:r>
      <w:r>
        <w:tab/>
      </w:r>
      <w:r w:rsidRPr="00ED7E4D">
        <w:t>Facilitate the development, enhancement, customization and use of tools and methodologies for modelling and assessing the impacts of the implementation of response measures, including identifying and reviewing existing tools and approaches in data-poor environments, in consultation with technical experts, practitioners and other relevant stakeholders</w:t>
      </w:r>
      <w:r>
        <w:t>.</w:t>
      </w:r>
    </w:p>
  </w:footnote>
  <w:footnote w:id="38">
    <w:p w14:paraId="426F482E" w14:textId="77777777" w:rsidR="00C81ACD" w:rsidRPr="00ED7E4D" w:rsidRDefault="00C81ACD" w:rsidP="000B6D57">
      <w:pPr>
        <w:pStyle w:val="FootnoteText"/>
        <w:widowControl w:val="0"/>
        <w:tabs>
          <w:tab w:val="clear" w:pos="1021"/>
          <w:tab w:val="right" w:pos="1020"/>
        </w:tabs>
        <w:ind w:right="1133"/>
        <w:rPr>
          <w:lang w:val="en-US"/>
        </w:rPr>
      </w:pPr>
      <w:r>
        <w:tab/>
      </w:r>
      <w:r>
        <w:rPr>
          <w:rStyle w:val="FootnoteReference"/>
        </w:rPr>
        <w:footnoteRef/>
      </w:r>
      <w:r>
        <w:tab/>
      </w:r>
      <w:r w:rsidRPr="00847543">
        <w:t>Enhance the capacity and understanding of Parties, through collaboration and input from stakeholders, on the assessment and analysis of the impacts of the implementation of response measures to facilitate the undertaking of economic diversification and transformation and just transition</w:t>
      </w:r>
      <w:r>
        <w:t>.</w:t>
      </w:r>
    </w:p>
  </w:footnote>
  <w:footnote w:id="39">
    <w:p w14:paraId="4230EB32" w14:textId="77777777" w:rsidR="00C81ACD" w:rsidRPr="00847543" w:rsidRDefault="00C81ACD" w:rsidP="000B6D57">
      <w:pPr>
        <w:pStyle w:val="FootnoteText"/>
        <w:widowControl w:val="0"/>
        <w:tabs>
          <w:tab w:val="clear" w:pos="1021"/>
          <w:tab w:val="right" w:pos="1020"/>
        </w:tabs>
        <w:ind w:right="1133"/>
        <w:rPr>
          <w:lang w:val="en-US"/>
        </w:rPr>
      </w:pPr>
      <w:r>
        <w:tab/>
      </w:r>
      <w:r>
        <w:rPr>
          <w:rStyle w:val="FootnoteReference"/>
        </w:rPr>
        <w:footnoteRef/>
      </w:r>
      <w:r>
        <w:tab/>
      </w:r>
      <w:r w:rsidRPr="009D2720">
        <w:t>Build awareness and understanding of Parties and other stakeholders to assess the economic impacts of potential new industries and businesses resulting from the implementation of response measures with a view to maximizing the positive and minimizing the negative impacts of the implementation of response measures</w:t>
      </w:r>
      <w:r>
        <w:t>.</w:t>
      </w:r>
    </w:p>
  </w:footnote>
  <w:footnote w:id="40">
    <w:p w14:paraId="69BBB8E0" w14:textId="73A06162" w:rsidR="00C81ACD" w:rsidRPr="00823DE6" w:rsidRDefault="00C81ACD" w:rsidP="000B6D57">
      <w:pPr>
        <w:pStyle w:val="FootnoteText"/>
        <w:widowControl w:val="0"/>
        <w:tabs>
          <w:tab w:val="clear" w:pos="1021"/>
          <w:tab w:val="right" w:pos="1020"/>
        </w:tabs>
        <w:ind w:right="1133"/>
        <w:rPr>
          <w:lang w:val="en-US"/>
        </w:rPr>
      </w:pPr>
      <w:r>
        <w:tab/>
      </w:r>
      <w:r>
        <w:rPr>
          <w:rStyle w:val="FootnoteReference"/>
        </w:rPr>
        <w:footnoteRef/>
      </w:r>
      <w:r>
        <w:tab/>
      </w:r>
      <w:r w:rsidRPr="00165A28">
        <w:t>Facilitate, exchange and share experiences and best practices in the assessment of the environmental, social and economic co-benefits of climate change policies and actions informed by the best available science, including the use of existing tools and methodologies</w:t>
      </w:r>
      <w:r>
        <w:t>.</w:t>
      </w:r>
    </w:p>
  </w:footnote>
  <w:footnote w:id="41">
    <w:p w14:paraId="1FC78E89" w14:textId="77777777" w:rsidR="00E8575E" w:rsidRPr="008A382A" w:rsidRDefault="00E8575E" w:rsidP="00A916C2">
      <w:pPr>
        <w:pStyle w:val="FootnoteText"/>
        <w:widowControl w:val="0"/>
        <w:rPr>
          <w:lang w:val="en-US"/>
        </w:rPr>
      </w:pPr>
      <w:r>
        <w:tab/>
      </w:r>
      <w:r>
        <w:rPr>
          <w:rStyle w:val="FootnoteReference"/>
        </w:rPr>
        <w:footnoteRef/>
      </w:r>
      <w:r>
        <w:tab/>
      </w:r>
      <w:r w:rsidRPr="00EB3756">
        <w:t>Decision 15/CP.1, annex I</w:t>
      </w:r>
      <w:r>
        <w:t>.</w:t>
      </w:r>
    </w:p>
  </w:footnote>
  <w:footnote w:id="42">
    <w:p w14:paraId="45B3DD62" w14:textId="77777777" w:rsidR="00E8575E" w:rsidRDefault="00E8575E" w:rsidP="00F65BA3">
      <w:pPr>
        <w:pStyle w:val="FootnoteText"/>
        <w:widowControl w:val="0"/>
        <w:rPr>
          <w:lang w:val="en-US"/>
        </w:rPr>
      </w:pPr>
      <w:r>
        <w:tab/>
      </w:r>
      <w:r>
        <w:rPr>
          <w:rStyle w:val="FootnoteReference"/>
        </w:rPr>
        <w:footnoteRef/>
      </w:r>
      <w:r>
        <w:tab/>
        <w:t>FCCC/SBI/2022/3 and Add.1, FCCC/SBI/2022/9, FCCC/SBI/2022/INF.1, FCCC/SBI/2022/INF.2, FCCC/SBI/2022/INF.3, FCCC/SBI/2022/INF.7 and FCCC/SBI/2022/INF.9.</w:t>
      </w:r>
    </w:p>
  </w:footnote>
  <w:footnote w:id="43">
    <w:p w14:paraId="2040DA9C" w14:textId="77777777" w:rsidR="00E8575E" w:rsidRDefault="00E8575E" w:rsidP="00A916C2">
      <w:pPr>
        <w:pStyle w:val="FootnoteText"/>
        <w:widowControl w:val="0"/>
        <w:rPr>
          <w:lang w:val="en-US"/>
        </w:rPr>
      </w:pPr>
      <w:r>
        <w:tab/>
      </w:r>
      <w:r>
        <w:rPr>
          <w:rStyle w:val="FootnoteReference"/>
        </w:rPr>
        <w:footnoteRef/>
      </w:r>
      <w:r>
        <w:tab/>
        <w:t>FCCC/SBI/2022/3 and Add.1.</w:t>
      </w:r>
    </w:p>
  </w:footnote>
  <w:footnote w:id="44">
    <w:p w14:paraId="730F5CA0" w14:textId="77777777" w:rsidR="00E8575E" w:rsidRDefault="00E8575E" w:rsidP="00A916C2">
      <w:pPr>
        <w:pStyle w:val="FootnoteText"/>
        <w:widowControl w:val="0"/>
        <w:rPr>
          <w:lang w:val="en-US"/>
        </w:rPr>
      </w:pPr>
      <w:r>
        <w:tab/>
      </w:r>
      <w:r>
        <w:rPr>
          <w:rStyle w:val="FootnoteReference"/>
        </w:rPr>
        <w:footnoteRef/>
      </w:r>
      <w:r>
        <w:tab/>
        <w:t>FCCC/SBI/2022/INF.9.</w:t>
      </w:r>
    </w:p>
  </w:footnote>
  <w:footnote w:id="45">
    <w:p w14:paraId="2F614AAE" w14:textId="77777777" w:rsidR="00E8575E" w:rsidRPr="008147F8" w:rsidRDefault="00E8575E" w:rsidP="00A916C2">
      <w:pPr>
        <w:pStyle w:val="FootnoteText"/>
        <w:widowControl w:val="0"/>
        <w:tabs>
          <w:tab w:val="clear" w:pos="1021"/>
          <w:tab w:val="right" w:pos="1020"/>
        </w:tabs>
        <w:rPr>
          <w:lang w:val="en-US"/>
        </w:rPr>
      </w:pPr>
      <w:r>
        <w:tab/>
      </w:r>
      <w:r>
        <w:rPr>
          <w:rStyle w:val="FootnoteReference"/>
        </w:rPr>
        <w:footnoteRef/>
      </w:r>
      <w:r>
        <w:tab/>
      </w:r>
      <w:r w:rsidRPr="008147F8">
        <w:t>FCCC/SBI/2022/INF.2</w:t>
      </w:r>
      <w:r>
        <w:t>.</w:t>
      </w:r>
      <w:r w:rsidRPr="008147F8">
        <w:t xml:space="preserve"> </w:t>
      </w:r>
    </w:p>
  </w:footnote>
  <w:footnote w:id="46">
    <w:p w14:paraId="427AC60F" w14:textId="77777777" w:rsidR="00E8575E" w:rsidRPr="008147F8" w:rsidRDefault="00E8575E" w:rsidP="00A916C2">
      <w:pPr>
        <w:pStyle w:val="FootnoteText"/>
        <w:widowControl w:val="0"/>
        <w:tabs>
          <w:tab w:val="clear" w:pos="1021"/>
          <w:tab w:val="right" w:pos="1020"/>
        </w:tabs>
        <w:rPr>
          <w:lang w:val="en-US"/>
        </w:rPr>
      </w:pPr>
      <w:r>
        <w:tab/>
      </w:r>
      <w:r>
        <w:rPr>
          <w:rStyle w:val="FootnoteReference"/>
        </w:rPr>
        <w:footnoteRef/>
      </w:r>
      <w:r>
        <w:tab/>
        <w:t xml:space="preserve">FCCC/SBI/2022/INF.1. </w:t>
      </w:r>
    </w:p>
  </w:footnote>
  <w:footnote w:id="47">
    <w:p w14:paraId="7B0D06E9" w14:textId="77777777" w:rsidR="00E8575E" w:rsidRPr="00603C5D" w:rsidRDefault="00E8575E" w:rsidP="00A916C2">
      <w:pPr>
        <w:pStyle w:val="FootnoteText"/>
        <w:widowControl w:val="0"/>
        <w:tabs>
          <w:tab w:val="clear" w:pos="1021"/>
          <w:tab w:val="right" w:pos="1020"/>
        </w:tabs>
        <w:rPr>
          <w:lang w:val="en-US"/>
        </w:rPr>
      </w:pPr>
      <w:r>
        <w:tab/>
      </w:r>
      <w:r>
        <w:rPr>
          <w:rStyle w:val="FootnoteReference"/>
        </w:rPr>
        <w:footnoteRef/>
      </w:r>
      <w:r>
        <w:tab/>
      </w:r>
      <w:r w:rsidRPr="00603C5D">
        <w:t>FCCC/SBI/2022/INF.3</w:t>
      </w:r>
      <w:r>
        <w:t xml:space="preserve">. </w:t>
      </w:r>
    </w:p>
  </w:footnote>
  <w:footnote w:id="48">
    <w:p w14:paraId="3DCF1434" w14:textId="77777777" w:rsidR="00E8575E" w:rsidRPr="00117355" w:rsidRDefault="00E8575E" w:rsidP="007C5EA1">
      <w:pPr>
        <w:pStyle w:val="FootnoteText"/>
        <w:widowControl w:val="0"/>
        <w:tabs>
          <w:tab w:val="clear" w:pos="1021"/>
          <w:tab w:val="right" w:pos="1020"/>
        </w:tabs>
        <w:rPr>
          <w:lang w:val="en-US"/>
        </w:rPr>
      </w:pPr>
      <w:r>
        <w:tab/>
      </w:r>
      <w:r>
        <w:rPr>
          <w:rStyle w:val="FootnoteReference"/>
        </w:rPr>
        <w:footnoteRef/>
      </w:r>
      <w:r>
        <w:tab/>
        <w:t xml:space="preserve">FCCC/SBI/2022/INF.7. </w:t>
      </w:r>
    </w:p>
  </w:footnote>
  <w:footnote w:id="49">
    <w:p w14:paraId="4C46D699" w14:textId="77777777" w:rsidR="00E8575E" w:rsidRPr="000C49A6" w:rsidRDefault="00E8575E" w:rsidP="00F65BA3">
      <w:pPr>
        <w:pStyle w:val="FootnoteText"/>
        <w:widowControl w:val="0"/>
        <w:tabs>
          <w:tab w:val="clear" w:pos="1021"/>
          <w:tab w:val="right" w:pos="1020"/>
        </w:tabs>
        <w:rPr>
          <w:lang w:val="en-US"/>
        </w:rPr>
      </w:pPr>
      <w:r>
        <w:tab/>
      </w:r>
      <w:r>
        <w:rPr>
          <w:rStyle w:val="FootnoteReference"/>
        </w:rPr>
        <w:footnoteRef/>
      </w:r>
      <w:r>
        <w:tab/>
        <w:t xml:space="preserve">FCCC/SBI/2022/9. </w:t>
      </w:r>
    </w:p>
  </w:footnote>
  <w:footnote w:id="50">
    <w:p w14:paraId="54FD3BEF" w14:textId="77777777" w:rsidR="00530AA7" w:rsidRPr="008A382A" w:rsidRDefault="00530AA7" w:rsidP="00A916C2">
      <w:pPr>
        <w:pStyle w:val="FootnoteText"/>
        <w:widowControl w:val="0"/>
        <w:rPr>
          <w:lang w:val="en-US"/>
        </w:rPr>
      </w:pPr>
      <w:r>
        <w:tab/>
      </w:r>
      <w:r>
        <w:rPr>
          <w:rStyle w:val="FootnoteReference"/>
        </w:rPr>
        <w:footnoteRef/>
      </w:r>
      <w:r>
        <w:tab/>
      </w:r>
      <w:r w:rsidRPr="00EB3756">
        <w:t>Decision 15/CP.1, annex I</w:t>
      </w:r>
      <w:r>
        <w:t>.</w:t>
      </w:r>
    </w:p>
  </w:footnote>
  <w:footnote w:id="51">
    <w:p w14:paraId="6DAE0FAC" w14:textId="77777777" w:rsidR="00530AA7" w:rsidRDefault="00530AA7" w:rsidP="00F65BA3">
      <w:pPr>
        <w:pStyle w:val="FootnoteText"/>
        <w:widowControl w:val="0"/>
        <w:rPr>
          <w:lang w:val="en-US"/>
        </w:rPr>
      </w:pPr>
      <w:r>
        <w:tab/>
      </w:r>
      <w:r>
        <w:rPr>
          <w:rStyle w:val="FootnoteReference"/>
        </w:rPr>
        <w:footnoteRef/>
      </w:r>
      <w:r>
        <w:tab/>
      </w:r>
      <w:r w:rsidRPr="006F4E6F">
        <w:t>FCCC/SBI/2022/INF.10</w:t>
      </w:r>
      <w:r w:rsidRPr="00A3531E">
        <w:t xml:space="preserve"> and Add.1</w:t>
      </w:r>
      <w:r>
        <w:t xml:space="preserve">, </w:t>
      </w:r>
      <w:r w:rsidRPr="006F4E6F">
        <w:t>FCCC/SBI/2022/INF.11</w:t>
      </w:r>
      <w:r>
        <w:t xml:space="preserve"> and </w:t>
      </w:r>
      <w:r w:rsidRPr="00854AAB">
        <w:t>FCCC/SBI/2022/INF.16</w:t>
      </w:r>
      <w:r w:rsidRPr="00A3531E">
        <w:t>.</w:t>
      </w:r>
    </w:p>
  </w:footnote>
  <w:footnote w:id="52">
    <w:p w14:paraId="499C2621" w14:textId="567E9FED" w:rsidR="00530AA7" w:rsidRDefault="00530AA7" w:rsidP="00A916C2">
      <w:pPr>
        <w:pStyle w:val="FootnoteText"/>
        <w:widowControl w:val="0"/>
        <w:rPr>
          <w:lang w:val="en-US"/>
        </w:rPr>
      </w:pPr>
      <w:r>
        <w:tab/>
      </w:r>
      <w:r>
        <w:rPr>
          <w:rStyle w:val="FootnoteReference"/>
        </w:rPr>
        <w:footnoteRef/>
      </w:r>
      <w:r>
        <w:tab/>
      </w:r>
      <w:r w:rsidRPr="00E57688">
        <w:t>FCCC/SBI/2022/INF.11</w:t>
      </w:r>
      <w:r>
        <w:t>.</w:t>
      </w:r>
    </w:p>
  </w:footnote>
  <w:footnote w:id="53">
    <w:p w14:paraId="066FA884" w14:textId="77777777" w:rsidR="00530AA7" w:rsidRDefault="00530AA7" w:rsidP="00A916C2">
      <w:pPr>
        <w:pStyle w:val="FootnoteText"/>
        <w:widowControl w:val="0"/>
        <w:rPr>
          <w:lang w:val="en-US"/>
        </w:rPr>
      </w:pPr>
      <w:r>
        <w:tab/>
      </w:r>
      <w:r>
        <w:rPr>
          <w:rStyle w:val="FootnoteReference"/>
        </w:rPr>
        <w:footnoteRef/>
      </w:r>
      <w:r>
        <w:tab/>
      </w:r>
      <w:r w:rsidRPr="001361A0">
        <w:t>FCCC/SBI/2022/INF.16</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8A29E" w14:textId="69C124C3" w:rsidR="00EB6B16" w:rsidRPr="00310DE3" w:rsidRDefault="00310DE3" w:rsidP="00310DE3">
    <w:pPr>
      <w:pStyle w:val="Header"/>
    </w:pPr>
    <w:r>
      <w:t>FCCC/KP/CMP/2022/9/Add.1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00DE" w14:textId="14954F80" w:rsidR="005F1250" w:rsidRPr="00310DE3" w:rsidRDefault="00310DE3" w:rsidP="00310DE3">
    <w:pPr>
      <w:pStyle w:val="Header"/>
    </w:pPr>
    <w:r>
      <w:t>FCCC/KP/CMP/2022/9/Add.1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2B7B5" w14:textId="3677B305" w:rsidR="005F1250" w:rsidRPr="00310DE3" w:rsidRDefault="00310DE3" w:rsidP="00310DE3">
    <w:pPr>
      <w:pStyle w:val="Header"/>
      <w:jc w:val="right"/>
    </w:pPr>
    <w:r>
      <w:t>FCCC/KP/CMP/2022/9/Add.1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C2BA2" w14:textId="2D3C642E" w:rsidR="005F1250" w:rsidRPr="00310DE3" w:rsidRDefault="00310DE3" w:rsidP="00310DE3">
    <w:pPr>
      <w:pStyle w:val="Header"/>
    </w:pPr>
    <w:r>
      <w:t>FCCC/KP/CMP/2022/9/Add.1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A946F" w14:textId="7062D5AF" w:rsidR="005F1250" w:rsidRPr="00310DE3" w:rsidRDefault="00310DE3" w:rsidP="00310DE3">
    <w:pPr>
      <w:pStyle w:val="Header"/>
      <w:jc w:val="right"/>
    </w:pPr>
    <w:r>
      <w:t>FCCC/KP/CMP/2022/9/Add.1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C9DFE" w14:textId="41F4A38C" w:rsidR="005F1250" w:rsidRPr="00310DE3" w:rsidRDefault="00310DE3" w:rsidP="00310DE3">
    <w:pPr>
      <w:pStyle w:val="Header"/>
    </w:pPr>
    <w:r>
      <w:t>FCCC/KP/CMP/2022/9/Add.1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877D9" w14:textId="7D9CCD91" w:rsidR="005F1250" w:rsidRPr="00310DE3" w:rsidRDefault="00310DE3" w:rsidP="00310DE3">
    <w:pPr>
      <w:pStyle w:val="Header"/>
      <w:jc w:val="right"/>
    </w:pPr>
    <w:r>
      <w:t>FCCC/KP/CMP/2022/9/Add.1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F0E2F" w14:textId="17B646C4" w:rsidR="00E8575E" w:rsidRPr="00310DE3" w:rsidRDefault="00310DE3" w:rsidP="00310DE3">
    <w:pPr>
      <w:pStyle w:val="Header"/>
    </w:pPr>
    <w:r>
      <w:t>FCCC/KP/CMP/2022/9/Add.1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97EC4" w14:textId="1AE2017D" w:rsidR="00E8575E" w:rsidRPr="00310DE3" w:rsidRDefault="00310DE3" w:rsidP="00310DE3">
    <w:pPr>
      <w:pStyle w:val="Header"/>
      <w:jc w:val="right"/>
    </w:pPr>
    <w:r>
      <w:t>FCCC/KP/CMP/2022/9/Add.1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74899" w14:textId="77777777" w:rsidR="00E8575E" w:rsidRDefault="00E8575E" w:rsidP="00B72287">
    <w:pPr>
      <w:pStyle w:val="Header"/>
      <w:pBdr>
        <w:bottom w:val="none" w:sz="0" w:space="0"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7BDA" w14:textId="77777777" w:rsidR="008F4336" w:rsidRDefault="00AF2D01">
    <w:pPr>
      <w:pStyle w:val="Header"/>
    </w:pPr>
    <w:r>
      <w:t>FCCC/SBI/2022/L.11/Add.2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EB64" w14:textId="0DC673A0" w:rsidR="00EB6B16" w:rsidRPr="00310DE3" w:rsidRDefault="00310DE3" w:rsidP="00310DE3">
    <w:pPr>
      <w:pStyle w:val="Header"/>
      <w:jc w:val="right"/>
    </w:pPr>
    <w:r>
      <w:t>FCCC/KP/CMP/2022/9/Add.1</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C8E6D" w14:textId="77777777" w:rsidR="008F4336" w:rsidRDefault="00AF2D01" w:rsidP="000A7292">
    <w:pPr>
      <w:pStyle w:val="Header"/>
      <w:jc w:val="right"/>
    </w:pPr>
    <w:r>
      <w:t>FCCC/SBI/2022/L.11/Add.2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584F0" w14:textId="4F539C1B" w:rsidR="005F1250" w:rsidRPr="00310DE3" w:rsidRDefault="00310DE3" w:rsidP="00310DE3">
    <w:pPr>
      <w:pStyle w:val="Header"/>
    </w:pPr>
    <w:r>
      <w:t>FCCC/KP/CMP/2022/9/Add.1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7D8A1" w14:textId="68999F57" w:rsidR="005F1250" w:rsidRPr="00310DE3" w:rsidRDefault="00310DE3" w:rsidP="00310DE3">
    <w:pPr>
      <w:pStyle w:val="Header"/>
      <w:jc w:val="right"/>
    </w:pPr>
    <w:r>
      <w:t>FCCC/KP/CMP/2022/9/Add.1</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C7342" w14:textId="22FA6CFB" w:rsidR="005F1250" w:rsidRPr="00310DE3" w:rsidRDefault="00310DE3" w:rsidP="00310DE3">
    <w:pPr>
      <w:pStyle w:val="Header"/>
    </w:pPr>
    <w:r>
      <w:t>FCCC/KP/CMP/2022/9/Add.1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55A47" w14:textId="174610A6" w:rsidR="005F1250" w:rsidRPr="00310DE3" w:rsidRDefault="00310DE3" w:rsidP="00310DE3">
    <w:pPr>
      <w:pStyle w:val="Header"/>
      <w:jc w:val="right"/>
    </w:pPr>
    <w:r>
      <w:t>FCCC/KP/CMP/2022/9/Add.1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02A45" w14:textId="77777777" w:rsidR="00E1599E" w:rsidRDefault="00E1599E" w:rsidP="00E1599E">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2E5CE" w14:textId="6464E255" w:rsidR="005F1250" w:rsidRPr="00310DE3" w:rsidRDefault="00310DE3" w:rsidP="00310DE3">
    <w:pPr>
      <w:pStyle w:val="Header"/>
    </w:pPr>
    <w:r>
      <w:t>FCCC/KP/CMP/2022/9/Add.1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D8F93" w14:textId="1CAFC4BF" w:rsidR="005F1250" w:rsidRPr="00310DE3" w:rsidRDefault="00310DE3" w:rsidP="00310DE3">
    <w:pPr>
      <w:pStyle w:val="Header"/>
      <w:jc w:val="right"/>
    </w:pPr>
    <w:r>
      <w:t>FCCC/KP/CMP/2022/9/Add.1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6AE3" w14:textId="5841C0B5" w:rsidR="005F1250" w:rsidRPr="00310DE3" w:rsidRDefault="00310DE3" w:rsidP="00310DE3">
    <w:pPr>
      <w:pStyle w:val="Header"/>
    </w:pPr>
    <w:r>
      <w:t>FCCC/KP/CMP/2022/9/Add.1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A7DD67" w14:textId="7EF142C1" w:rsidR="005F1250" w:rsidRPr="00310DE3" w:rsidRDefault="00310DE3" w:rsidP="00310DE3">
    <w:pPr>
      <w:pStyle w:val="Header"/>
      <w:jc w:val="right"/>
    </w:pPr>
    <w:r>
      <w:t>FCCC/KP/CMP/2022/9/Add.1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BD403" w14:textId="30D6F351" w:rsidR="00AB5C74" w:rsidRPr="00310DE3" w:rsidRDefault="00310DE3" w:rsidP="00310DE3">
    <w:pPr>
      <w:pStyle w:val="Header"/>
    </w:pPr>
    <w:r>
      <w:t>FCCC/KP/CMP/2022/9/Add.1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85A4E" w14:textId="22F184B9" w:rsidR="00723D62" w:rsidRPr="00310DE3" w:rsidRDefault="00310DE3" w:rsidP="00310DE3">
    <w:pPr>
      <w:pStyle w:val="Header"/>
      <w:jc w:val="right"/>
    </w:pPr>
    <w:r>
      <w:t>FCCC/KP/CMP/2022/9/Add.1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9C566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0CF7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E6B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944D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5C07BB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142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F0E8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59416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48C7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4AB3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3354E"/>
    <w:multiLevelType w:val="multilevel"/>
    <w:tmpl w:val="30B4C06A"/>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pStyle w:val="RegH4G"/>
      <w:lvlText w:val="(%4)"/>
      <w:lvlJc w:val="right"/>
      <w:pPr>
        <w:tabs>
          <w:tab w:val="num" w:pos="1134"/>
        </w:tabs>
        <w:ind w:left="1135" w:hanging="284"/>
      </w:pPr>
      <w:rPr>
        <w:rFonts w:ascii="Times New Roman" w:hAnsi="Times New Roman" w:cs="Times New Roman" w:hint="default"/>
        <w:b/>
        <w:i w:val="0"/>
        <w:sz w:val="20"/>
      </w:rPr>
    </w:lvl>
    <w:lvl w:ilvl="4">
      <w:start w:val="1"/>
      <w:numFmt w:val="lowerRoman"/>
      <w:pStyle w:val="RegH5G"/>
      <w:lvlText w:val="(%5)"/>
      <w:lvlJc w:val="right"/>
      <w:pPr>
        <w:tabs>
          <w:tab w:val="num" w:pos="1134"/>
        </w:tabs>
        <w:ind w:left="1135" w:hanging="284"/>
      </w:pPr>
      <w:rPr>
        <w:rFonts w:ascii="Times New Roman" w:hAnsi="Times New Roman" w:hint="default"/>
        <w:b w:val="0"/>
        <w:i/>
      </w:rPr>
    </w:lvl>
    <w:lvl w:ilvl="5">
      <w:start w:val="1"/>
      <w:numFmt w:val="decimal"/>
      <w:lvlRestart w:val="0"/>
      <w:pStyle w:val="RegSingleTxtG"/>
      <w:lvlText w:val="%6."/>
      <w:lvlJc w:val="left"/>
      <w:pPr>
        <w:ind w:left="1134" w:firstLine="0"/>
      </w:pPr>
      <w:rPr>
        <w:rFonts w:hint="default"/>
        <w:i w:val="0"/>
        <w:sz w:val="20"/>
      </w:rPr>
    </w:lvl>
    <w:lvl w:ilvl="6">
      <w:start w:val="1"/>
      <w:numFmt w:val="lowerLetter"/>
      <w:pStyle w:val="RegSingleTxtG2"/>
      <w:lvlText w:val="(%7)"/>
      <w:lvlJc w:val="left"/>
      <w:pPr>
        <w:tabs>
          <w:tab w:val="num" w:pos="1702"/>
        </w:tabs>
        <w:ind w:left="1134" w:firstLine="567"/>
      </w:pPr>
      <w:rPr>
        <w:rFonts w:hint="default"/>
        <w:b w:val="0"/>
        <w:i w:val="0"/>
        <w:color w:val="auto"/>
        <w:sz w:val="20"/>
        <w:szCs w:val="28"/>
      </w:rPr>
    </w:lvl>
    <w:lvl w:ilvl="7">
      <w:start w:val="1"/>
      <w:numFmt w:val="lowerRoman"/>
      <w:pStyle w:val="RegSingleTxtG3"/>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4" w15:restartNumberingAfterBreak="0">
    <w:nsid w:val="17F833B5"/>
    <w:multiLevelType w:val="hybridMultilevel"/>
    <w:tmpl w:val="D570AB8A"/>
    <w:lvl w:ilvl="0" w:tplc="A4221404">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EC5A93"/>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16"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1A86947"/>
    <w:multiLevelType w:val="hybridMultilevel"/>
    <w:tmpl w:val="CB4497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2C64F00"/>
    <w:multiLevelType w:val="multilevel"/>
    <w:tmpl w:val="EF36802C"/>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21"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3B338E"/>
    <w:multiLevelType w:val="multilevel"/>
    <w:tmpl w:val="8F66AEC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5"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6C3C2C"/>
    <w:multiLevelType w:val="multilevel"/>
    <w:tmpl w:val="2A02F8E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lvlText w:val="%4."/>
      <w:lvlJc w:val="left"/>
      <w:pPr>
        <w:tabs>
          <w:tab w:val="num" w:pos="568"/>
        </w:tabs>
        <w:ind w:left="1135" w:firstLine="0"/>
      </w:pPr>
      <w:rPr>
        <w:rFonts w:ascii="Times New Roman" w:hAnsi="Times New Roman" w:cs="Times New Roman" w:hint="default"/>
        <w:sz w:val="20"/>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none"/>
      <w:lvlText w:val="%8[%3."/>
      <w:lvlJc w:val="left"/>
      <w:pPr>
        <w:tabs>
          <w:tab w:val="num" w:pos="568"/>
        </w:tabs>
        <w:ind w:left="1135" w:firstLine="0"/>
      </w:pPr>
      <w:rPr>
        <w:rFonts w:hint="default"/>
      </w:rPr>
    </w:lvl>
    <w:lvl w:ilvl="8">
      <w:start w:val="1"/>
      <w:numFmt w:val="lowerRoman"/>
      <w:lvlText w:val="%9."/>
      <w:lvlJc w:val="left"/>
      <w:pPr>
        <w:tabs>
          <w:tab w:val="num" w:pos="4094"/>
        </w:tabs>
        <w:ind w:left="4094" w:hanging="363"/>
      </w:pPr>
      <w:rPr>
        <w:rFonts w:hint="default"/>
      </w:rPr>
    </w:lvl>
  </w:abstractNum>
  <w:abstractNum w:abstractNumId="28"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9D44222"/>
    <w:multiLevelType w:val="hybridMultilevel"/>
    <w:tmpl w:val="B9DEFBA8"/>
    <w:lvl w:ilvl="0" w:tplc="0CD46418">
      <w:start w:val="1"/>
      <w:numFmt w:val="lowerLetter"/>
      <w:lvlRestart w:val="0"/>
      <w:suff w:val="space"/>
      <w:lvlText w:val="%1  "/>
      <w:lvlJc w:val="left"/>
      <w:pPr>
        <w:ind w:left="1134" w:firstLine="170"/>
      </w:pPr>
      <w:rPr>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72C44"/>
    <w:multiLevelType w:val="multilevel"/>
    <w:tmpl w:val="7382C6A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1" w15:restartNumberingAfterBreak="0">
    <w:nsid w:val="79D66310"/>
    <w:multiLevelType w:val="hybridMultilevel"/>
    <w:tmpl w:val="72EC5494"/>
    <w:lvl w:ilvl="0" w:tplc="0409000F">
      <w:start w:val="1"/>
      <w:numFmt w:val="decimal"/>
      <w:lvlText w:val="%1."/>
      <w:lvlJc w:val="left"/>
      <w:pPr>
        <w:ind w:left="1855" w:hanging="360"/>
      </w:pPr>
    </w:lvl>
    <w:lvl w:ilvl="1" w:tplc="04090019" w:tentative="1">
      <w:start w:val="1"/>
      <w:numFmt w:val="lowerLetter"/>
      <w:lvlText w:val="%2."/>
      <w:lvlJc w:val="left"/>
      <w:pPr>
        <w:ind w:left="2575" w:hanging="360"/>
      </w:pPr>
    </w:lvl>
    <w:lvl w:ilvl="2" w:tplc="0409001B" w:tentative="1">
      <w:start w:val="1"/>
      <w:numFmt w:val="lowerRoman"/>
      <w:lvlText w:val="%3."/>
      <w:lvlJc w:val="right"/>
      <w:pPr>
        <w:ind w:left="3295" w:hanging="180"/>
      </w:pPr>
    </w:lvl>
    <w:lvl w:ilvl="3" w:tplc="0409000F" w:tentative="1">
      <w:start w:val="1"/>
      <w:numFmt w:val="decimal"/>
      <w:lvlText w:val="%4."/>
      <w:lvlJc w:val="left"/>
      <w:pPr>
        <w:ind w:left="4015" w:hanging="360"/>
      </w:pPr>
    </w:lvl>
    <w:lvl w:ilvl="4" w:tplc="04090019" w:tentative="1">
      <w:start w:val="1"/>
      <w:numFmt w:val="lowerLetter"/>
      <w:lvlText w:val="%5."/>
      <w:lvlJc w:val="left"/>
      <w:pPr>
        <w:ind w:left="4735" w:hanging="360"/>
      </w:pPr>
    </w:lvl>
    <w:lvl w:ilvl="5" w:tplc="0409001B" w:tentative="1">
      <w:start w:val="1"/>
      <w:numFmt w:val="lowerRoman"/>
      <w:lvlText w:val="%6."/>
      <w:lvlJc w:val="right"/>
      <w:pPr>
        <w:ind w:left="5455" w:hanging="180"/>
      </w:pPr>
    </w:lvl>
    <w:lvl w:ilvl="6" w:tplc="0409000F" w:tentative="1">
      <w:start w:val="1"/>
      <w:numFmt w:val="decimal"/>
      <w:lvlText w:val="%7."/>
      <w:lvlJc w:val="left"/>
      <w:pPr>
        <w:ind w:left="6175" w:hanging="360"/>
      </w:pPr>
    </w:lvl>
    <w:lvl w:ilvl="7" w:tplc="04090019" w:tentative="1">
      <w:start w:val="1"/>
      <w:numFmt w:val="lowerLetter"/>
      <w:lvlText w:val="%8."/>
      <w:lvlJc w:val="left"/>
      <w:pPr>
        <w:ind w:left="6895" w:hanging="360"/>
      </w:pPr>
    </w:lvl>
    <w:lvl w:ilvl="8" w:tplc="0409001B" w:tentative="1">
      <w:start w:val="1"/>
      <w:numFmt w:val="lowerRoman"/>
      <w:lvlText w:val="%9."/>
      <w:lvlJc w:val="right"/>
      <w:pPr>
        <w:ind w:left="7615" w:hanging="180"/>
      </w:pPr>
    </w:lvl>
  </w:abstractNum>
  <w:num w:numId="1" w16cid:durableId="463814591">
    <w:abstractNumId w:val="13"/>
  </w:num>
  <w:num w:numId="2" w16cid:durableId="747700869">
    <w:abstractNumId w:val="17"/>
  </w:num>
  <w:num w:numId="3" w16cid:durableId="1590456242">
    <w:abstractNumId w:val="21"/>
  </w:num>
  <w:num w:numId="4" w16cid:durableId="1501191296">
    <w:abstractNumId w:val="11"/>
  </w:num>
  <w:num w:numId="5" w16cid:durableId="1695183021">
    <w:abstractNumId w:val="10"/>
  </w:num>
  <w:num w:numId="6" w16cid:durableId="918367053">
    <w:abstractNumId w:val="28"/>
  </w:num>
  <w:num w:numId="7" w16cid:durableId="562565225">
    <w:abstractNumId w:val="20"/>
  </w:num>
  <w:num w:numId="8" w16cid:durableId="1149444272">
    <w:abstractNumId w:val="13"/>
  </w:num>
  <w:num w:numId="9" w16cid:durableId="1711413172">
    <w:abstractNumId w:val="15"/>
  </w:num>
  <w:num w:numId="10" w16cid:durableId="64959539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12016767">
    <w:abstractNumId w:val="24"/>
  </w:num>
  <w:num w:numId="12" w16cid:durableId="1920865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782191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10406163">
    <w:abstractNumId w:val="30"/>
  </w:num>
  <w:num w:numId="15" w16cid:durableId="7169297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999079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71257357">
    <w:abstractNumId w:val="12"/>
  </w:num>
  <w:num w:numId="18" w16cid:durableId="310597702">
    <w:abstractNumId w:val="29"/>
  </w:num>
  <w:num w:numId="19" w16cid:durableId="271396849">
    <w:abstractNumId w:val="9"/>
  </w:num>
  <w:num w:numId="20" w16cid:durableId="372072682">
    <w:abstractNumId w:val="7"/>
  </w:num>
  <w:num w:numId="21" w16cid:durableId="696782144">
    <w:abstractNumId w:val="6"/>
  </w:num>
  <w:num w:numId="22" w16cid:durableId="1630894935">
    <w:abstractNumId w:val="5"/>
  </w:num>
  <w:num w:numId="23" w16cid:durableId="840433871">
    <w:abstractNumId w:val="4"/>
  </w:num>
  <w:num w:numId="24" w16cid:durableId="1786149639">
    <w:abstractNumId w:val="8"/>
  </w:num>
  <w:num w:numId="25" w16cid:durableId="220674937">
    <w:abstractNumId w:val="3"/>
  </w:num>
  <w:num w:numId="26" w16cid:durableId="229315262">
    <w:abstractNumId w:val="2"/>
  </w:num>
  <w:num w:numId="27" w16cid:durableId="1418593150">
    <w:abstractNumId w:val="1"/>
  </w:num>
  <w:num w:numId="28" w16cid:durableId="1802384280">
    <w:abstractNumId w:val="0"/>
  </w:num>
  <w:num w:numId="29" w16cid:durableId="253326484">
    <w:abstractNumId w:val="27"/>
  </w:num>
  <w:num w:numId="30" w16cid:durableId="817041088">
    <w:abstractNumId w:val="31"/>
  </w:num>
  <w:num w:numId="31" w16cid:durableId="438839780">
    <w:abstractNumId w:val="14"/>
  </w:num>
  <w:num w:numId="32" w16cid:durableId="1839085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8791951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45861586">
    <w:abstractNumId w:val="13"/>
  </w:num>
  <w:num w:numId="35" w16cid:durableId="1480918224">
    <w:abstractNumId w:val="13"/>
  </w:num>
  <w:num w:numId="36" w16cid:durableId="14369491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099218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023318319">
    <w:abstractNumId w:val="13"/>
  </w:num>
  <w:num w:numId="39" w16cid:durableId="229074634">
    <w:abstractNumId w:val="13"/>
  </w:num>
  <w:num w:numId="40" w16cid:durableId="31819349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526268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2598312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83100997">
    <w:abstractNumId w:val="13"/>
  </w:num>
  <w:num w:numId="44" w16cid:durableId="1887567929">
    <w:abstractNumId w:val="13"/>
  </w:num>
  <w:num w:numId="45" w16cid:durableId="1863585994">
    <w:abstractNumId w:val="13"/>
  </w:num>
  <w:num w:numId="46" w16cid:durableId="1109861051">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14337"/>
  </w:hdrShapeDefaults>
  <w:footnotePr>
    <w:numRestart w:val="eachSect"/>
    <w:footnote w:id="-1"/>
    <w:footnote w:id="0"/>
    <w:footnote w:id="1"/>
  </w:footnotePr>
  <w:endnotePr>
    <w:pos w:val="sectEnd"/>
    <w:numFmt w:val="lowerLetter"/>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2558"/>
    <w:rsid w:val="00004A30"/>
    <w:rsid w:val="00006D54"/>
    <w:rsid w:val="00007089"/>
    <w:rsid w:val="000169E5"/>
    <w:rsid w:val="00021BB6"/>
    <w:rsid w:val="0002382B"/>
    <w:rsid w:val="00027F7F"/>
    <w:rsid w:val="00032DDE"/>
    <w:rsid w:val="00035DB9"/>
    <w:rsid w:val="00037650"/>
    <w:rsid w:val="0003776D"/>
    <w:rsid w:val="000423A6"/>
    <w:rsid w:val="00052463"/>
    <w:rsid w:val="000555B3"/>
    <w:rsid w:val="000561BD"/>
    <w:rsid w:val="000576D4"/>
    <w:rsid w:val="00062505"/>
    <w:rsid w:val="00064CAF"/>
    <w:rsid w:val="00072B7E"/>
    <w:rsid w:val="00074855"/>
    <w:rsid w:val="00074EC5"/>
    <w:rsid w:val="00074FC8"/>
    <w:rsid w:val="00076113"/>
    <w:rsid w:val="000773C8"/>
    <w:rsid w:val="00081C44"/>
    <w:rsid w:val="00083647"/>
    <w:rsid w:val="0008756E"/>
    <w:rsid w:val="00087BE9"/>
    <w:rsid w:val="00090016"/>
    <w:rsid w:val="000913E6"/>
    <w:rsid w:val="00092E29"/>
    <w:rsid w:val="00093044"/>
    <w:rsid w:val="000A399F"/>
    <w:rsid w:val="000A48AD"/>
    <w:rsid w:val="000A4C99"/>
    <w:rsid w:val="000A566F"/>
    <w:rsid w:val="000A5EA5"/>
    <w:rsid w:val="000A63B3"/>
    <w:rsid w:val="000A7C2B"/>
    <w:rsid w:val="000B00BB"/>
    <w:rsid w:val="000B1FD0"/>
    <w:rsid w:val="000B2DB1"/>
    <w:rsid w:val="000B50A0"/>
    <w:rsid w:val="000B6D57"/>
    <w:rsid w:val="000C0E05"/>
    <w:rsid w:val="000C24E3"/>
    <w:rsid w:val="000C5173"/>
    <w:rsid w:val="000C7FAF"/>
    <w:rsid w:val="000D3711"/>
    <w:rsid w:val="000D450F"/>
    <w:rsid w:val="000D4849"/>
    <w:rsid w:val="000D5339"/>
    <w:rsid w:val="000D5DED"/>
    <w:rsid w:val="000D6922"/>
    <w:rsid w:val="000D6D4A"/>
    <w:rsid w:val="000D7B93"/>
    <w:rsid w:val="000E2639"/>
    <w:rsid w:val="000E343D"/>
    <w:rsid w:val="000E5A58"/>
    <w:rsid w:val="000E6E68"/>
    <w:rsid w:val="000F13AC"/>
    <w:rsid w:val="000F379C"/>
    <w:rsid w:val="000F4528"/>
    <w:rsid w:val="000F5020"/>
    <w:rsid w:val="000F5D99"/>
    <w:rsid w:val="000F68D9"/>
    <w:rsid w:val="001007C9"/>
    <w:rsid w:val="0010405D"/>
    <w:rsid w:val="00106384"/>
    <w:rsid w:val="00107536"/>
    <w:rsid w:val="00107B0E"/>
    <w:rsid w:val="00110BA9"/>
    <w:rsid w:val="0011157B"/>
    <w:rsid w:val="0011577D"/>
    <w:rsid w:val="001161E5"/>
    <w:rsid w:val="0011781E"/>
    <w:rsid w:val="00120826"/>
    <w:rsid w:val="00120901"/>
    <w:rsid w:val="001209A8"/>
    <w:rsid w:val="00120E84"/>
    <w:rsid w:val="00123C52"/>
    <w:rsid w:val="00124496"/>
    <w:rsid w:val="00125EB3"/>
    <w:rsid w:val="00127311"/>
    <w:rsid w:val="001328F9"/>
    <w:rsid w:val="0013462D"/>
    <w:rsid w:val="001349EC"/>
    <w:rsid w:val="00134F15"/>
    <w:rsid w:val="00136D61"/>
    <w:rsid w:val="00141710"/>
    <w:rsid w:val="00142A35"/>
    <w:rsid w:val="00142F1A"/>
    <w:rsid w:val="0015183D"/>
    <w:rsid w:val="00152A6E"/>
    <w:rsid w:val="001600D9"/>
    <w:rsid w:val="00160B7E"/>
    <w:rsid w:val="00165E39"/>
    <w:rsid w:val="00170363"/>
    <w:rsid w:val="00171357"/>
    <w:rsid w:val="00172CF0"/>
    <w:rsid w:val="001738F1"/>
    <w:rsid w:val="00174A05"/>
    <w:rsid w:val="00176D28"/>
    <w:rsid w:val="00177074"/>
    <w:rsid w:val="00177611"/>
    <w:rsid w:val="00184C03"/>
    <w:rsid w:val="00186A4F"/>
    <w:rsid w:val="001906D0"/>
    <w:rsid w:val="001915EF"/>
    <w:rsid w:val="0019430F"/>
    <w:rsid w:val="001945C7"/>
    <w:rsid w:val="00194BFA"/>
    <w:rsid w:val="00194E11"/>
    <w:rsid w:val="00194ECB"/>
    <w:rsid w:val="00195018"/>
    <w:rsid w:val="00195FF4"/>
    <w:rsid w:val="00196E77"/>
    <w:rsid w:val="001974A9"/>
    <w:rsid w:val="001A03A9"/>
    <w:rsid w:val="001A0A3A"/>
    <w:rsid w:val="001A1FC1"/>
    <w:rsid w:val="001A21CB"/>
    <w:rsid w:val="001A3E9A"/>
    <w:rsid w:val="001A594B"/>
    <w:rsid w:val="001A5FE8"/>
    <w:rsid w:val="001A70E2"/>
    <w:rsid w:val="001B085A"/>
    <w:rsid w:val="001B1483"/>
    <w:rsid w:val="001B2FF7"/>
    <w:rsid w:val="001B498A"/>
    <w:rsid w:val="001B4A28"/>
    <w:rsid w:val="001C3DE7"/>
    <w:rsid w:val="001C40F0"/>
    <w:rsid w:val="001C4688"/>
    <w:rsid w:val="001C61C9"/>
    <w:rsid w:val="001C7452"/>
    <w:rsid w:val="001C7B87"/>
    <w:rsid w:val="001D012A"/>
    <w:rsid w:val="001D0F0F"/>
    <w:rsid w:val="001D2FD8"/>
    <w:rsid w:val="001D6FC1"/>
    <w:rsid w:val="001E061B"/>
    <w:rsid w:val="001E318A"/>
    <w:rsid w:val="001E38E4"/>
    <w:rsid w:val="001E7D13"/>
    <w:rsid w:val="001F0845"/>
    <w:rsid w:val="001F0C87"/>
    <w:rsid w:val="001F2BBF"/>
    <w:rsid w:val="001F5883"/>
    <w:rsid w:val="001F5D46"/>
    <w:rsid w:val="002008AA"/>
    <w:rsid w:val="00200A02"/>
    <w:rsid w:val="00201B92"/>
    <w:rsid w:val="002025E1"/>
    <w:rsid w:val="00202C1D"/>
    <w:rsid w:val="00207452"/>
    <w:rsid w:val="002139CC"/>
    <w:rsid w:val="0021446A"/>
    <w:rsid w:val="00216589"/>
    <w:rsid w:val="002204AD"/>
    <w:rsid w:val="002214AD"/>
    <w:rsid w:val="00223453"/>
    <w:rsid w:val="00224111"/>
    <w:rsid w:val="00230D0F"/>
    <w:rsid w:val="00231FB5"/>
    <w:rsid w:val="00232479"/>
    <w:rsid w:val="00232EAA"/>
    <w:rsid w:val="0024447B"/>
    <w:rsid w:val="00246888"/>
    <w:rsid w:val="00247BF6"/>
    <w:rsid w:val="00250037"/>
    <w:rsid w:val="00250EED"/>
    <w:rsid w:val="00251FF9"/>
    <w:rsid w:val="00253D17"/>
    <w:rsid w:val="00256CFB"/>
    <w:rsid w:val="00257AA3"/>
    <w:rsid w:val="00257DCB"/>
    <w:rsid w:val="00260BFA"/>
    <w:rsid w:val="00261A4A"/>
    <w:rsid w:val="00264F17"/>
    <w:rsid w:val="0026621B"/>
    <w:rsid w:val="00266D68"/>
    <w:rsid w:val="0026761A"/>
    <w:rsid w:val="00267B98"/>
    <w:rsid w:val="0027225D"/>
    <w:rsid w:val="00273E8E"/>
    <w:rsid w:val="0027419E"/>
    <w:rsid w:val="00276A17"/>
    <w:rsid w:val="002776B4"/>
    <w:rsid w:val="002779EB"/>
    <w:rsid w:val="002823A1"/>
    <w:rsid w:val="00283275"/>
    <w:rsid w:val="002859C9"/>
    <w:rsid w:val="00287D34"/>
    <w:rsid w:val="0029007C"/>
    <w:rsid w:val="00290409"/>
    <w:rsid w:val="00292DC3"/>
    <w:rsid w:val="002933A4"/>
    <w:rsid w:val="002954CD"/>
    <w:rsid w:val="00295866"/>
    <w:rsid w:val="0029733B"/>
    <w:rsid w:val="00297C1E"/>
    <w:rsid w:val="002A0A9B"/>
    <w:rsid w:val="002A1EC1"/>
    <w:rsid w:val="002A34B2"/>
    <w:rsid w:val="002A7B52"/>
    <w:rsid w:val="002B00DA"/>
    <w:rsid w:val="002B0283"/>
    <w:rsid w:val="002B3984"/>
    <w:rsid w:val="002B446B"/>
    <w:rsid w:val="002B71EA"/>
    <w:rsid w:val="002B72CE"/>
    <w:rsid w:val="002B7532"/>
    <w:rsid w:val="002C051E"/>
    <w:rsid w:val="002C11F7"/>
    <w:rsid w:val="002C3336"/>
    <w:rsid w:val="002C52A6"/>
    <w:rsid w:val="002C5632"/>
    <w:rsid w:val="002D154A"/>
    <w:rsid w:val="002D1F6E"/>
    <w:rsid w:val="002D2B64"/>
    <w:rsid w:val="002D66A2"/>
    <w:rsid w:val="002D737B"/>
    <w:rsid w:val="002E2D0F"/>
    <w:rsid w:val="002E3ED8"/>
    <w:rsid w:val="002E5341"/>
    <w:rsid w:val="002F304A"/>
    <w:rsid w:val="002F60E8"/>
    <w:rsid w:val="002F7B01"/>
    <w:rsid w:val="003012AF"/>
    <w:rsid w:val="00304BA1"/>
    <w:rsid w:val="00306423"/>
    <w:rsid w:val="00310DE3"/>
    <w:rsid w:val="003122EA"/>
    <w:rsid w:val="003132EC"/>
    <w:rsid w:val="003147E4"/>
    <w:rsid w:val="00316D98"/>
    <w:rsid w:val="00317B8C"/>
    <w:rsid w:val="00321A14"/>
    <w:rsid w:val="003250E7"/>
    <w:rsid w:val="00327575"/>
    <w:rsid w:val="00327B89"/>
    <w:rsid w:val="00332592"/>
    <w:rsid w:val="003354A0"/>
    <w:rsid w:val="00336DC3"/>
    <w:rsid w:val="0034005C"/>
    <w:rsid w:val="00340554"/>
    <w:rsid w:val="00341289"/>
    <w:rsid w:val="003415A2"/>
    <w:rsid w:val="00344AD3"/>
    <w:rsid w:val="00346F6D"/>
    <w:rsid w:val="003477E2"/>
    <w:rsid w:val="00347EDB"/>
    <w:rsid w:val="00350710"/>
    <w:rsid w:val="00351CCC"/>
    <w:rsid w:val="003532A2"/>
    <w:rsid w:val="00353C49"/>
    <w:rsid w:val="00355B23"/>
    <w:rsid w:val="00357684"/>
    <w:rsid w:val="00361821"/>
    <w:rsid w:val="00361A9D"/>
    <w:rsid w:val="003643C9"/>
    <w:rsid w:val="00364B85"/>
    <w:rsid w:val="00375F53"/>
    <w:rsid w:val="003762C2"/>
    <w:rsid w:val="00381632"/>
    <w:rsid w:val="00383494"/>
    <w:rsid w:val="00383913"/>
    <w:rsid w:val="003847B9"/>
    <w:rsid w:val="00385E56"/>
    <w:rsid w:val="00387B41"/>
    <w:rsid w:val="003935C2"/>
    <w:rsid w:val="00396A57"/>
    <w:rsid w:val="003A04B4"/>
    <w:rsid w:val="003A21B5"/>
    <w:rsid w:val="003A4936"/>
    <w:rsid w:val="003A6A81"/>
    <w:rsid w:val="003B1229"/>
    <w:rsid w:val="003B2C11"/>
    <w:rsid w:val="003B3C25"/>
    <w:rsid w:val="003B4279"/>
    <w:rsid w:val="003B4C6A"/>
    <w:rsid w:val="003B4D23"/>
    <w:rsid w:val="003B6302"/>
    <w:rsid w:val="003B714F"/>
    <w:rsid w:val="003C0E3A"/>
    <w:rsid w:val="003C3854"/>
    <w:rsid w:val="003C75B9"/>
    <w:rsid w:val="003D1A53"/>
    <w:rsid w:val="003D36AD"/>
    <w:rsid w:val="003D419A"/>
    <w:rsid w:val="003D69A1"/>
    <w:rsid w:val="003D6B47"/>
    <w:rsid w:val="003E05CD"/>
    <w:rsid w:val="003E2585"/>
    <w:rsid w:val="003E3A52"/>
    <w:rsid w:val="003E7CA8"/>
    <w:rsid w:val="003F0BC6"/>
    <w:rsid w:val="003F1E27"/>
    <w:rsid w:val="003F20C4"/>
    <w:rsid w:val="003F3102"/>
    <w:rsid w:val="003F3389"/>
    <w:rsid w:val="003F5FEE"/>
    <w:rsid w:val="003F7301"/>
    <w:rsid w:val="00400B35"/>
    <w:rsid w:val="00403E2E"/>
    <w:rsid w:val="004061BF"/>
    <w:rsid w:val="00406F40"/>
    <w:rsid w:val="00410508"/>
    <w:rsid w:val="00415EFB"/>
    <w:rsid w:val="00417292"/>
    <w:rsid w:val="00420C53"/>
    <w:rsid w:val="004211BB"/>
    <w:rsid w:val="004215DD"/>
    <w:rsid w:val="00422A48"/>
    <w:rsid w:val="00422A55"/>
    <w:rsid w:val="00427DA2"/>
    <w:rsid w:val="00433BC3"/>
    <w:rsid w:val="00434C5D"/>
    <w:rsid w:val="0043729E"/>
    <w:rsid w:val="00437435"/>
    <w:rsid w:val="00440CCD"/>
    <w:rsid w:val="00441995"/>
    <w:rsid w:val="00442AFD"/>
    <w:rsid w:val="00445627"/>
    <w:rsid w:val="00453B6E"/>
    <w:rsid w:val="00454352"/>
    <w:rsid w:val="00455747"/>
    <w:rsid w:val="00456080"/>
    <w:rsid w:val="004578AD"/>
    <w:rsid w:val="00462265"/>
    <w:rsid w:val="00464BE9"/>
    <w:rsid w:val="004663BD"/>
    <w:rsid w:val="004673C0"/>
    <w:rsid w:val="004732FC"/>
    <w:rsid w:val="004812E6"/>
    <w:rsid w:val="0048196D"/>
    <w:rsid w:val="00484B74"/>
    <w:rsid w:val="0048523B"/>
    <w:rsid w:val="00485971"/>
    <w:rsid w:val="00487DED"/>
    <w:rsid w:val="004903C5"/>
    <w:rsid w:val="00490900"/>
    <w:rsid w:val="004977C3"/>
    <w:rsid w:val="004A19D5"/>
    <w:rsid w:val="004A36EC"/>
    <w:rsid w:val="004A4CDE"/>
    <w:rsid w:val="004A67DD"/>
    <w:rsid w:val="004B02E4"/>
    <w:rsid w:val="004B2317"/>
    <w:rsid w:val="004B2869"/>
    <w:rsid w:val="004B501A"/>
    <w:rsid w:val="004B6DE3"/>
    <w:rsid w:val="004C022A"/>
    <w:rsid w:val="004C1052"/>
    <w:rsid w:val="004C5B8D"/>
    <w:rsid w:val="004D1BD9"/>
    <w:rsid w:val="004D26DD"/>
    <w:rsid w:val="004D7020"/>
    <w:rsid w:val="004D72AF"/>
    <w:rsid w:val="004E2287"/>
    <w:rsid w:val="004E2CAD"/>
    <w:rsid w:val="004E4B8F"/>
    <w:rsid w:val="004E5A04"/>
    <w:rsid w:val="004E7437"/>
    <w:rsid w:val="004F0D45"/>
    <w:rsid w:val="004F21EA"/>
    <w:rsid w:val="004F615A"/>
    <w:rsid w:val="004F6629"/>
    <w:rsid w:val="005030B1"/>
    <w:rsid w:val="00503373"/>
    <w:rsid w:val="00506878"/>
    <w:rsid w:val="005079D5"/>
    <w:rsid w:val="00511569"/>
    <w:rsid w:val="005120CF"/>
    <w:rsid w:val="00514316"/>
    <w:rsid w:val="0051452E"/>
    <w:rsid w:val="00520477"/>
    <w:rsid w:val="00521929"/>
    <w:rsid w:val="005255F0"/>
    <w:rsid w:val="00527573"/>
    <w:rsid w:val="005279BE"/>
    <w:rsid w:val="00530AA7"/>
    <w:rsid w:val="005324FA"/>
    <w:rsid w:val="00533AB8"/>
    <w:rsid w:val="00540BF0"/>
    <w:rsid w:val="005416D2"/>
    <w:rsid w:val="00545616"/>
    <w:rsid w:val="00546494"/>
    <w:rsid w:val="005464AA"/>
    <w:rsid w:val="00546735"/>
    <w:rsid w:val="005474C8"/>
    <w:rsid w:val="0055401C"/>
    <w:rsid w:val="005549B8"/>
    <w:rsid w:val="00555BB6"/>
    <w:rsid w:val="00556333"/>
    <w:rsid w:val="0055700C"/>
    <w:rsid w:val="0056212D"/>
    <w:rsid w:val="0056250B"/>
    <w:rsid w:val="005627AB"/>
    <w:rsid w:val="00564E45"/>
    <w:rsid w:val="0056512B"/>
    <w:rsid w:val="005653A9"/>
    <w:rsid w:val="00565AF2"/>
    <w:rsid w:val="0056758F"/>
    <w:rsid w:val="0057038E"/>
    <w:rsid w:val="00570F55"/>
    <w:rsid w:val="00573130"/>
    <w:rsid w:val="00576132"/>
    <w:rsid w:val="00576F19"/>
    <w:rsid w:val="00577949"/>
    <w:rsid w:val="0058341F"/>
    <w:rsid w:val="0058547F"/>
    <w:rsid w:val="005857A1"/>
    <w:rsid w:val="0059193B"/>
    <w:rsid w:val="00592405"/>
    <w:rsid w:val="00593140"/>
    <w:rsid w:val="005948A4"/>
    <w:rsid w:val="005A0171"/>
    <w:rsid w:val="005A1844"/>
    <w:rsid w:val="005A30EA"/>
    <w:rsid w:val="005A3292"/>
    <w:rsid w:val="005B1D36"/>
    <w:rsid w:val="005B46C2"/>
    <w:rsid w:val="005B47F8"/>
    <w:rsid w:val="005B492F"/>
    <w:rsid w:val="005C08EC"/>
    <w:rsid w:val="005C683F"/>
    <w:rsid w:val="005C6895"/>
    <w:rsid w:val="005D37FD"/>
    <w:rsid w:val="005D6540"/>
    <w:rsid w:val="005D6C7A"/>
    <w:rsid w:val="005E2012"/>
    <w:rsid w:val="005E432D"/>
    <w:rsid w:val="005F1250"/>
    <w:rsid w:val="005F16C2"/>
    <w:rsid w:val="005F2EAF"/>
    <w:rsid w:val="005F7584"/>
    <w:rsid w:val="006002E5"/>
    <w:rsid w:val="00601526"/>
    <w:rsid w:val="00603D73"/>
    <w:rsid w:val="0060436D"/>
    <w:rsid w:val="0060783E"/>
    <w:rsid w:val="0061173F"/>
    <w:rsid w:val="00611E89"/>
    <w:rsid w:val="00617B57"/>
    <w:rsid w:val="00622643"/>
    <w:rsid w:val="00622B9F"/>
    <w:rsid w:val="00623069"/>
    <w:rsid w:val="00624D03"/>
    <w:rsid w:val="00631EE2"/>
    <w:rsid w:val="00633BF3"/>
    <w:rsid w:val="0063432A"/>
    <w:rsid w:val="00634DBB"/>
    <w:rsid w:val="0063652F"/>
    <w:rsid w:val="0063667C"/>
    <w:rsid w:val="006379C7"/>
    <w:rsid w:val="00641F29"/>
    <w:rsid w:val="00642ECE"/>
    <w:rsid w:val="0064579B"/>
    <w:rsid w:val="00647EB0"/>
    <w:rsid w:val="006507D9"/>
    <w:rsid w:val="00651BDB"/>
    <w:rsid w:val="00655F79"/>
    <w:rsid w:val="0066159F"/>
    <w:rsid w:val="006621E8"/>
    <w:rsid w:val="00664ABD"/>
    <w:rsid w:val="00664E65"/>
    <w:rsid w:val="0066779B"/>
    <w:rsid w:val="00671981"/>
    <w:rsid w:val="00671EAD"/>
    <w:rsid w:val="006771A4"/>
    <w:rsid w:val="006810D8"/>
    <w:rsid w:val="00682814"/>
    <w:rsid w:val="0068552D"/>
    <w:rsid w:val="00687740"/>
    <w:rsid w:val="00693901"/>
    <w:rsid w:val="006973FA"/>
    <w:rsid w:val="006A3385"/>
    <w:rsid w:val="006A56FD"/>
    <w:rsid w:val="006A63F7"/>
    <w:rsid w:val="006B06DB"/>
    <w:rsid w:val="006B13CC"/>
    <w:rsid w:val="006B2FFC"/>
    <w:rsid w:val="006B3D66"/>
    <w:rsid w:val="006B62F2"/>
    <w:rsid w:val="006B6D3A"/>
    <w:rsid w:val="006C100B"/>
    <w:rsid w:val="006C590B"/>
    <w:rsid w:val="006C6896"/>
    <w:rsid w:val="006D0BDC"/>
    <w:rsid w:val="006D32DE"/>
    <w:rsid w:val="006D4298"/>
    <w:rsid w:val="006D59B8"/>
    <w:rsid w:val="006E2336"/>
    <w:rsid w:val="006E393C"/>
    <w:rsid w:val="006E3F07"/>
    <w:rsid w:val="006E4D1A"/>
    <w:rsid w:val="006E62D7"/>
    <w:rsid w:val="006E6852"/>
    <w:rsid w:val="006F1BB5"/>
    <w:rsid w:val="006F1BFA"/>
    <w:rsid w:val="006F2373"/>
    <w:rsid w:val="006F4A87"/>
    <w:rsid w:val="00700206"/>
    <w:rsid w:val="00700EEF"/>
    <w:rsid w:val="007012E6"/>
    <w:rsid w:val="00706287"/>
    <w:rsid w:val="00706ACC"/>
    <w:rsid w:val="00707035"/>
    <w:rsid w:val="00710E60"/>
    <w:rsid w:val="00710F52"/>
    <w:rsid w:val="007112BE"/>
    <w:rsid w:val="007138D7"/>
    <w:rsid w:val="0071428F"/>
    <w:rsid w:val="00717803"/>
    <w:rsid w:val="00717BC5"/>
    <w:rsid w:val="00720703"/>
    <w:rsid w:val="00721FF8"/>
    <w:rsid w:val="00722744"/>
    <w:rsid w:val="00725115"/>
    <w:rsid w:val="00726562"/>
    <w:rsid w:val="007334B2"/>
    <w:rsid w:val="007334C8"/>
    <w:rsid w:val="007334E8"/>
    <w:rsid w:val="00733560"/>
    <w:rsid w:val="0073470C"/>
    <w:rsid w:val="007367AC"/>
    <w:rsid w:val="00740984"/>
    <w:rsid w:val="00741FEC"/>
    <w:rsid w:val="00742F78"/>
    <w:rsid w:val="00746018"/>
    <w:rsid w:val="00750AE3"/>
    <w:rsid w:val="00750CCE"/>
    <w:rsid w:val="00752275"/>
    <w:rsid w:val="00752FEF"/>
    <w:rsid w:val="00754145"/>
    <w:rsid w:val="00756A1A"/>
    <w:rsid w:val="00756BC7"/>
    <w:rsid w:val="00756CAC"/>
    <w:rsid w:val="007626E6"/>
    <w:rsid w:val="007658FD"/>
    <w:rsid w:val="007662FB"/>
    <w:rsid w:val="007712B0"/>
    <w:rsid w:val="007719B7"/>
    <w:rsid w:val="00773E04"/>
    <w:rsid w:val="00774D1B"/>
    <w:rsid w:val="007760E2"/>
    <w:rsid w:val="00780AEB"/>
    <w:rsid w:val="00783616"/>
    <w:rsid w:val="0078549A"/>
    <w:rsid w:val="00785D39"/>
    <w:rsid w:val="00786761"/>
    <w:rsid w:val="00787BCD"/>
    <w:rsid w:val="00791819"/>
    <w:rsid w:val="007965C4"/>
    <w:rsid w:val="007B07E9"/>
    <w:rsid w:val="007B0DFC"/>
    <w:rsid w:val="007B282F"/>
    <w:rsid w:val="007B2CE5"/>
    <w:rsid w:val="007C11EF"/>
    <w:rsid w:val="007C169C"/>
    <w:rsid w:val="007C186F"/>
    <w:rsid w:val="007C23B8"/>
    <w:rsid w:val="007C4046"/>
    <w:rsid w:val="007C4282"/>
    <w:rsid w:val="007C43B0"/>
    <w:rsid w:val="007C5EA1"/>
    <w:rsid w:val="007C60C6"/>
    <w:rsid w:val="007C6B05"/>
    <w:rsid w:val="007D0DEF"/>
    <w:rsid w:val="007D2E0B"/>
    <w:rsid w:val="007D3070"/>
    <w:rsid w:val="007D3A77"/>
    <w:rsid w:val="007D46D9"/>
    <w:rsid w:val="007D7D0D"/>
    <w:rsid w:val="007E1C9B"/>
    <w:rsid w:val="007E2A04"/>
    <w:rsid w:val="007E4210"/>
    <w:rsid w:val="007E4A61"/>
    <w:rsid w:val="007E5A0D"/>
    <w:rsid w:val="007E5C76"/>
    <w:rsid w:val="007F0C6B"/>
    <w:rsid w:val="007F11A7"/>
    <w:rsid w:val="007F5855"/>
    <w:rsid w:val="007F6C8A"/>
    <w:rsid w:val="00802646"/>
    <w:rsid w:val="00805529"/>
    <w:rsid w:val="008071D5"/>
    <w:rsid w:val="00810726"/>
    <w:rsid w:val="0081743A"/>
    <w:rsid w:val="0082018B"/>
    <w:rsid w:val="00820954"/>
    <w:rsid w:val="00821927"/>
    <w:rsid w:val="00822406"/>
    <w:rsid w:val="00824785"/>
    <w:rsid w:val="00824D92"/>
    <w:rsid w:val="008263F2"/>
    <w:rsid w:val="00826893"/>
    <w:rsid w:val="00827816"/>
    <w:rsid w:val="0083172F"/>
    <w:rsid w:val="00831D97"/>
    <w:rsid w:val="00834E6B"/>
    <w:rsid w:val="008355D2"/>
    <w:rsid w:val="00835B66"/>
    <w:rsid w:val="008370E0"/>
    <w:rsid w:val="0084026C"/>
    <w:rsid w:val="00840B77"/>
    <w:rsid w:val="008419FD"/>
    <w:rsid w:val="00841F6A"/>
    <w:rsid w:val="008421F3"/>
    <w:rsid w:val="00842245"/>
    <w:rsid w:val="0084341D"/>
    <w:rsid w:val="00845317"/>
    <w:rsid w:val="0084714B"/>
    <w:rsid w:val="00847805"/>
    <w:rsid w:val="00847A56"/>
    <w:rsid w:val="00850BA0"/>
    <w:rsid w:val="00854822"/>
    <w:rsid w:val="00854F81"/>
    <w:rsid w:val="0085562A"/>
    <w:rsid w:val="00856066"/>
    <w:rsid w:val="00857A55"/>
    <w:rsid w:val="0086015C"/>
    <w:rsid w:val="008636D6"/>
    <w:rsid w:val="00863B98"/>
    <w:rsid w:val="00867CD1"/>
    <w:rsid w:val="00871E36"/>
    <w:rsid w:val="00873FF2"/>
    <w:rsid w:val="0087418B"/>
    <w:rsid w:val="00876FDD"/>
    <w:rsid w:val="00877791"/>
    <w:rsid w:val="00885EE0"/>
    <w:rsid w:val="00886C88"/>
    <w:rsid w:val="00890961"/>
    <w:rsid w:val="00892680"/>
    <w:rsid w:val="00892684"/>
    <w:rsid w:val="008947F8"/>
    <w:rsid w:val="008A63DD"/>
    <w:rsid w:val="008A7864"/>
    <w:rsid w:val="008B0BDE"/>
    <w:rsid w:val="008B17FB"/>
    <w:rsid w:val="008B2230"/>
    <w:rsid w:val="008B33C9"/>
    <w:rsid w:val="008B3C13"/>
    <w:rsid w:val="008B4372"/>
    <w:rsid w:val="008B75C0"/>
    <w:rsid w:val="008C04FF"/>
    <w:rsid w:val="008C05BD"/>
    <w:rsid w:val="008C1A24"/>
    <w:rsid w:val="008C3312"/>
    <w:rsid w:val="008C3DB3"/>
    <w:rsid w:val="008C42B4"/>
    <w:rsid w:val="008C485C"/>
    <w:rsid w:val="008C4D76"/>
    <w:rsid w:val="008D1D78"/>
    <w:rsid w:val="008D1F55"/>
    <w:rsid w:val="008D2969"/>
    <w:rsid w:val="008D3EE8"/>
    <w:rsid w:val="008D4009"/>
    <w:rsid w:val="008D49EA"/>
    <w:rsid w:val="008D7CC1"/>
    <w:rsid w:val="008E0C96"/>
    <w:rsid w:val="008E2B17"/>
    <w:rsid w:val="008E4889"/>
    <w:rsid w:val="008E4AAA"/>
    <w:rsid w:val="008E64F0"/>
    <w:rsid w:val="008E718A"/>
    <w:rsid w:val="008F0DA9"/>
    <w:rsid w:val="008F2081"/>
    <w:rsid w:val="008F4C57"/>
    <w:rsid w:val="008F6651"/>
    <w:rsid w:val="008F7B36"/>
    <w:rsid w:val="009034BB"/>
    <w:rsid w:val="00904B4F"/>
    <w:rsid w:val="00906948"/>
    <w:rsid w:val="0091113E"/>
    <w:rsid w:val="0091119B"/>
    <w:rsid w:val="00912A62"/>
    <w:rsid w:val="009137D2"/>
    <w:rsid w:val="009148F3"/>
    <w:rsid w:val="00917177"/>
    <w:rsid w:val="00917213"/>
    <w:rsid w:val="009179D6"/>
    <w:rsid w:val="00921DB5"/>
    <w:rsid w:val="0092263E"/>
    <w:rsid w:val="009230A8"/>
    <w:rsid w:val="00924403"/>
    <w:rsid w:val="00925084"/>
    <w:rsid w:val="009252FD"/>
    <w:rsid w:val="00933228"/>
    <w:rsid w:val="00940F6E"/>
    <w:rsid w:val="0094334C"/>
    <w:rsid w:val="009442CE"/>
    <w:rsid w:val="0094674B"/>
    <w:rsid w:val="009476D3"/>
    <w:rsid w:val="009504E0"/>
    <w:rsid w:val="00957A10"/>
    <w:rsid w:val="00960298"/>
    <w:rsid w:val="0096076E"/>
    <w:rsid w:val="009617EB"/>
    <w:rsid w:val="0096262A"/>
    <w:rsid w:val="00963690"/>
    <w:rsid w:val="00965737"/>
    <w:rsid w:val="00965BF2"/>
    <w:rsid w:val="00970724"/>
    <w:rsid w:val="00970F18"/>
    <w:rsid w:val="00970F53"/>
    <w:rsid w:val="00971B44"/>
    <w:rsid w:val="00973C02"/>
    <w:rsid w:val="00980E44"/>
    <w:rsid w:val="009819FA"/>
    <w:rsid w:val="00985F89"/>
    <w:rsid w:val="00992863"/>
    <w:rsid w:val="009929D4"/>
    <w:rsid w:val="00994563"/>
    <w:rsid w:val="00996312"/>
    <w:rsid w:val="009979A7"/>
    <w:rsid w:val="009A180C"/>
    <w:rsid w:val="009A1EFD"/>
    <w:rsid w:val="009A2813"/>
    <w:rsid w:val="009A368E"/>
    <w:rsid w:val="009A38FD"/>
    <w:rsid w:val="009A5222"/>
    <w:rsid w:val="009A71AA"/>
    <w:rsid w:val="009B064C"/>
    <w:rsid w:val="009B1CB9"/>
    <w:rsid w:val="009B1FCF"/>
    <w:rsid w:val="009B5033"/>
    <w:rsid w:val="009B6667"/>
    <w:rsid w:val="009D186B"/>
    <w:rsid w:val="009D21AA"/>
    <w:rsid w:val="009D3724"/>
    <w:rsid w:val="009D7644"/>
    <w:rsid w:val="009D7985"/>
    <w:rsid w:val="009E3F82"/>
    <w:rsid w:val="009E43EE"/>
    <w:rsid w:val="009E4580"/>
    <w:rsid w:val="009E60DB"/>
    <w:rsid w:val="009F1C7D"/>
    <w:rsid w:val="009F29D4"/>
    <w:rsid w:val="009F3514"/>
    <w:rsid w:val="009F3A00"/>
    <w:rsid w:val="009F4969"/>
    <w:rsid w:val="009F65C0"/>
    <w:rsid w:val="009F7619"/>
    <w:rsid w:val="009F7990"/>
    <w:rsid w:val="009F7A41"/>
    <w:rsid w:val="00A01C6F"/>
    <w:rsid w:val="00A029EC"/>
    <w:rsid w:val="00A02E12"/>
    <w:rsid w:val="00A04983"/>
    <w:rsid w:val="00A05C5E"/>
    <w:rsid w:val="00A060B4"/>
    <w:rsid w:val="00A0753F"/>
    <w:rsid w:val="00A078E1"/>
    <w:rsid w:val="00A10FFD"/>
    <w:rsid w:val="00A11347"/>
    <w:rsid w:val="00A11818"/>
    <w:rsid w:val="00A14A32"/>
    <w:rsid w:val="00A22514"/>
    <w:rsid w:val="00A274C0"/>
    <w:rsid w:val="00A30DE3"/>
    <w:rsid w:val="00A31DAA"/>
    <w:rsid w:val="00A32408"/>
    <w:rsid w:val="00A35DA3"/>
    <w:rsid w:val="00A36552"/>
    <w:rsid w:val="00A37EAE"/>
    <w:rsid w:val="00A41DEF"/>
    <w:rsid w:val="00A46476"/>
    <w:rsid w:val="00A47AB3"/>
    <w:rsid w:val="00A47DA0"/>
    <w:rsid w:val="00A50A9A"/>
    <w:rsid w:val="00A51559"/>
    <w:rsid w:val="00A55AAA"/>
    <w:rsid w:val="00A56340"/>
    <w:rsid w:val="00A60427"/>
    <w:rsid w:val="00A63C00"/>
    <w:rsid w:val="00A6486B"/>
    <w:rsid w:val="00A64947"/>
    <w:rsid w:val="00A66451"/>
    <w:rsid w:val="00A71AF4"/>
    <w:rsid w:val="00A72AC2"/>
    <w:rsid w:val="00A72AC5"/>
    <w:rsid w:val="00A72B5C"/>
    <w:rsid w:val="00A730BB"/>
    <w:rsid w:val="00A73BA9"/>
    <w:rsid w:val="00A76791"/>
    <w:rsid w:val="00A77684"/>
    <w:rsid w:val="00A7768C"/>
    <w:rsid w:val="00A77BFF"/>
    <w:rsid w:val="00A85038"/>
    <w:rsid w:val="00A85248"/>
    <w:rsid w:val="00A866D7"/>
    <w:rsid w:val="00A86746"/>
    <w:rsid w:val="00A86B87"/>
    <w:rsid w:val="00A86EF7"/>
    <w:rsid w:val="00A9001C"/>
    <w:rsid w:val="00A916C2"/>
    <w:rsid w:val="00A91D88"/>
    <w:rsid w:val="00A91E72"/>
    <w:rsid w:val="00A9402E"/>
    <w:rsid w:val="00A95102"/>
    <w:rsid w:val="00A973B7"/>
    <w:rsid w:val="00AA76E2"/>
    <w:rsid w:val="00AA7833"/>
    <w:rsid w:val="00AA79D8"/>
    <w:rsid w:val="00AB075E"/>
    <w:rsid w:val="00AB1658"/>
    <w:rsid w:val="00AB2E3D"/>
    <w:rsid w:val="00AB4FDF"/>
    <w:rsid w:val="00AB560B"/>
    <w:rsid w:val="00AC1F08"/>
    <w:rsid w:val="00AD40C4"/>
    <w:rsid w:val="00AD4D69"/>
    <w:rsid w:val="00AD55BD"/>
    <w:rsid w:val="00AE03E0"/>
    <w:rsid w:val="00AE2044"/>
    <w:rsid w:val="00AE550C"/>
    <w:rsid w:val="00AE5C3D"/>
    <w:rsid w:val="00AE73B8"/>
    <w:rsid w:val="00AF2D01"/>
    <w:rsid w:val="00AF45B0"/>
    <w:rsid w:val="00B00D47"/>
    <w:rsid w:val="00B01538"/>
    <w:rsid w:val="00B03244"/>
    <w:rsid w:val="00B04EDC"/>
    <w:rsid w:val="00B13218"/>
    <w:rsid w:val="00B1547D"/>
    <w:rsid w:val="00B210F0"/>
    <w:rsid w:val="00B217B4"/>
    <w:rsid w:val="00B2443A"/>
    <w:rsid w:val="00B24666"/>
    <w:rsid w:val="00B2560F"/>
    <w:rsid w:val="00B27F33"/>
    <w:rsid w:val="00B30815"/>
    <w:rsid w:val="00B314CC"/>
    <w:rsid w:val="00B33E91"/>
    <w:rsid w:val="00B3411F"/>
    <w:rsid w:val="00B37C98"/>
    <w:rsid w:val="00B40093"/>
    <w:rsid w:val="00B408AE"/>
    <w:rsid w:val="00B43CCA"/>
    <w:rsid w:val="00B44597"/>
    <w:rsid w:val="00B465AB"/>
    <w:rsid w:val="00B4679F"/>
    <w:rsid w:val="00B503AE"/>
    <w:rsid w:val="00B52E86"/>
    <w:rsid w:val="00B62A21"/>
    <w:rsid w:val="00B63868"/>
    <w:rsid w:val="00B64660"/>
    <w:rsid w:val="00B64FBF"/>
    <w:rsid w:val="00B65205"/>
    <w:rsid w:val="00B67031"/>
    <w:rsid w:val="00B7185B"/>
    <w:rsid w:val="00B73ACE"/>
    <w:rsid w:val="00B771ED"/>
    <w:rsid w:val="00B8022A"/>
    <w:rsid w:val="00B82BB6"/>
    <w:rsid w:val="00B82F22"/>
    <w:rsid w:val="00B90BC9"/>
    <w:rsid w:val="00B91CC2"/>
    <w:rsid w:val="00B944FB"/>
    <w:rsid w:val="00B946F3"/>
    <w:rsid w:val="00B955EC"/>
    <w:rsid w:val="00B961E8"/>
    <w:rsid w:val="00BA03A3"/>
    <w:rsid w:val="00BA0582"/>
    <w:rsid w:val="00BA0BF9"/>
    <w:rsid w:val="00BA151F"/>
    <w:rsid w:val="00BA5F8A"/>
    <w:rsid w:val="00BA707B"/>
    <w:rsid w:val="00BA7377"/>
    <w:rsid w:val="00BB0700"/>
    <w:rsid w:val="00BB4988"/>
    <w:rsid w:val="00BB7CEE"/>
    <w:rsid w:val="00BC1129"/>
    <w:rsid w:val="00BC1957"/>
    <w:rsid w:val="00BC36B3"/>
    <w:rsid w:val="00BC43C0"/>
    <w:rsid w:val="00BC5A44"/>
    <w:rsid w:val="00BC7BAB"/>
    <w:rsid w:val="00BD1275"/>
    <w:rsid w:val="00BD3283"/>
    <w:rsid w:val="00BD4107"/>
    <w:rsid w:val="00BD4436"/>
    <w:rsid w:val="00BD6610"/>
    <w:rsid w:val="00BD7715"/>
    <w:rsid w:val="00BE0EAC"/>
    <w:rsid w:val="00BE2DE5"/>
    <w:rsid w:val="00BE62F6"/>
    <w:rsid w:val="00BE6757"/>
    <w:rsid w:val="00BE7A79"/>
    <w:rsid w:val="00BF0EE6"/>
    <w:rsid w:val="00BF288E"/>
    <w:rsid w:val="00BF290E"/>
    <w:rsid w:val="00C0105B"/>
    <w:rsid w:val="00C073F7"/>
    <w:rsid w:val="00C10CCE"/>
    <w:rsid w:val="00C11BA8"/>
    <w:rsid w:val="00C120C7"/>
    <w:rsid w:val="00C12D57"/>
    <w:rsid w:val="00C15432"/>
    <w:rsid w:val="00C16295"/>
    <w:rsid w:val="00C200A6"/>
    <w:rsid w:val="00C20DA0"/>
    <w:rsid w:val="00C238D6"/>
    <w:rsid w:val="00C24427"/>
    <w:rsid w:val="00C248D8"/>
    <w:rsid w:val="00C251F3"/>
    <w:rsid w:val="00C27B1F"/>
    <w:rsid w:val="00C30137"/>
    <w:rsid w:val="00C3075C"/>
    <w:rsid w:val="00C325B6"/>
    <w:rsid w:val="00C33E96"/>
    <w:rsid w:val="00C34623"/>
    <w:rsid w:val="00C34D9C"/>
    <w:rsid w:val="00C361CD"/>
    <w:rsid w:val="00C3697F"/>
    <w:rsid w:val="00C37D2F"/>
    <w:rsid w:val="00C45173"/>
    <w:rsid w:val="00C5256C"/>
    <w:rsid w:val="00C54200"/>
    <w:rsid w:val="00C631AC"/>
    <w:rsid w:val="00C6567C"/>
    <w:rsid w:val="00C65B98"/>
    <w:rsid w:val="00C67050"/>
    <w:rsid w:val="00C72039"/>
    <w:rsid w:val="00C72C22"/>
    <w:rsid w:val="00C72FF4"/>
    <w:rsid w:val="00C737CA"/>
    <w:rsid w:val="00C74115"/>
    <w:rsid w:val="00C77A2E"/>
    <w:rsid w:val="00C80E9D"/>
    <w:rsid w:val="00C81ACD"/>
    <w:rsid w:val="00C83DFC"/>
    <w:rsid w:val="00C87683"/>
    <w:rsid w:val="00C9037E"/>
    <w:rsid w:val="00C92592"/>
    <w:rsid w:val="00C9553A"/>
    <w:rsid w:val="00C970D7"/>
    <w:rsid w:val="00CA0372"/>
    <w:rsid w:val="00CA22E2"/>
    <w:rsid w:val="00CA64BF"/>
    <w:rsid w:val="00CA75AE"/>
    <w:rsid w:val="00CA7918"/>
    <w:rsid w:val="00CA7E68"/>
    <w:rsid w:val="00CA7E96"/>
    <w:rsid w:val="00CB066A"/>
    <w:rsid w:val="00CB0F75"/>
    <w:rsid w:val="00CB1362"/>
    <w:rsid w:val="00CB3FFE"/>
    <w:rsid w:val="00CB50A8"/>
    <w:rsid w:val="00CB511E"/>
    <w:rsid w:val="00CB5ECE"/>
    <w:rsid w:val="00CB6A6E"/>
    <w:rsid w:val="00CB6CD9"/>
    <w:rsid w:val="00CB7ED6"/>
    <w:rsid w:val="00CC084D"/>
    <w:rsid w:val="00CC5F03"/>
    <w:rsid w:val="00CC7923"/>
    <w:rsid w:val="00CD0B75"/>
    <w:rsid w:val="00CD2376"/>
    <w:rsid w:val="00CD310E"/>
    <w:rsid w:val="00CD41F3"/>
    <w:rsid w:val="00CD5538"/>
    <w:rsid w:val="00CD7578"/>
    <w:rsid w:val="00CE1CE7"/>
    <w:rsid w:val="00CE3E5B"/>
    <w:rsid w:val="00CE45A2"/>
    <w:rsid w:val="00CE535A"/>
    <w:rsid w:val="00CF07DD"/>
    <w:rsid w:val="00CF0A1D"/>
    <w:rsid w:val="00CF170E"/>
    <w:rsid w:val="00CF31BB"/>
    <w:rsid w:val="00CF3297"/>
    <w:rsid w:val="00CF3733"/>
    <w:rsid w:val="00CF5E23"/>
    <w:rsid w:val="00D013D4"/>
    <w:rsid w:val="00D01EC6"/>
    <w:rsid w:val="00D02E98"/>
    <w:rsid w:val="00D065F7"/>
    <w:rsid w:val="00D07E3E"/>
    <w:rsid w:val="00D10569"/>
    <w:rsid w:val="00D11D6B"/>
    <w:rsid w:val="00D11FDC"/>
    <w:rsid w:val="00D136DA"/>
    <w:rsid w:val="00D1446B"/>
    <w:rsid w:val="00D14C72"/>
    <w:rsid w:val="00D21910"/>
    <w:rsid w:val="00D229CF"/>
    <w:rsid w:val="00D23724"/>
    <w:rsid w:val="00D3043C"/>
    <w:rsid w:val="00D33395"/>
    <w:rsid w:val="00D3426A"/>
    <w:rsid w:val="00D351E8"/>
    <w:rsid w:val="00D35384"/>
    <w:rsid w:val="00D37125"/>
    <w:rsid w:val="00D41489"/>
    <w:rsid w:val="00D44A37"/>
    <w:rsid w:val="00D45305"/>
    <w:rsid w:val="00D463CF"/>
    <w:rsid w:val="00D50E2F"/>
    <w:rsid w:val="00D529EF"/>
    <w:rsid w:val="00D534F8"/>
    <w:rsid w:val="00D54D60"/>
    <w:rsid w:val="00D55F4F"/>
    <w:rsid w:val="00D56153"/>
    <w:rsid w:val="00D574F2"/>
    <w:rsid w:val="00D61765"/>
    <w:rsid w:val="00D6462F"/>
    <w:rsid w:val="00D64B72"/>
    <w:rsid w:val="00D67947"/>
    <w:rsid w:val="00D71EE1"/>
    <w:rsid w:val="00D74206"/>
    <w:rsid w:val="00D756F9"/>
    <w:rsid w:val="00D7598E"/>
    <w:rsid w:val="00D80135"/>
    <w:rsid w:val="00D82A9A"/>
    <w:rsid w:val="00D832A3"/>
    <w:rsid w:val="00D85EA8"/>
    <w:rsid w:val="00D87844"/>
    <w:rsid w:val="00D87C8B"/>
    <w:rsid w:val="00D91173"/>
    <w:rsid w:val="00D94CD8"/>
    <w:rsid w:val="00D94FDF"/>
    <w:rsid w:val="00D96472"/>
    <w:rsid w:val="00D97990"/>
    <w:rsid w:val="00D97FBC"/>
    <w:rsid w:val="00DA0633"/>
    <w:rsid w:val="00DA06AE"/>
    <w:rsid w:val="00DA31E9"/>
    <w:rsid w:val="00DA5A75"/>
    <w:rsid w:val="00DA6857"/>
    <w:rsid w:val="00DA6A25"/>
    <w:rsid w:val="00DB2054"/>
    <w:rsid w:val="00DB3143"/>
    <w:rsid w:val="00DB41D1"/>
    <w:rsid w:val="00DB6954"/>
    <w:rsid w:val="00DB7D19"/>
    <w:rsid w:val="00DB7EA6"/>
    <w:rsid w:val="00DD3D5E"/>
    <w:rsid w:val="00DD75FC"/>
    <w:rsid w:val="00DE0F91"/>
    <w:rsid w:val="00DE1189"/>
    <w:rsid w:val="00DE2BF4"/>
    <w:rsid w:val="00DF30EA"/>
    <w:rsid w:val="00DF4CF2"/>
    <w:rsid w:val="00DF7268"/>
    <w:rsid w:val="00E03ED0"/>
    <w:rsid w:val="00E10A1A"/>
    <w:rsid w:val="00E1599E"/>
    <w:rsid w:val="00E17BB7"/>
    <w:rsid w:val="00E21A8F"/>
    <w:rsid w:val="00E21DBF"/>
    <w:rsid w:val="00E23942"/>
    <w:rsid w:val="00E267B2"/>
    <w:rsid w:val="00E26BE6"/>
    <w:rsid w:val="00E30FE2"/>
    <w:rsid w:val="00E3181D"/>
    <w:rsid w:val="00E33A84"/>
    <w:rsid w:val="00E33BDC"/>
    <w:rsid w:val="00E34EE4"/>
    <w:rsid w:val="00E37164"/>
    <w:rsid w:val="00E37CB8"/>
    <w:rsid w:val="00E37F72"/>
    <w:rsid w:val="00E4082B"/>
    <w:rsid w:val="00E42000"/>
    <w:rsid w:val="00E42EA9"/>
    <w:rsid w:val="00E43076"/>
    <w:rsid w:val="00E44D72"/>
    <w:rsid w:val="00E466BB"/>
    <w:rsid w:val="00E50738"/>
    <w:rsid w:val="00E50AEE"/>
    <w:rsid w:val="00E569BC"/>
    <w:rsid w:val="00E57B62"/>
    <w:rsid w:val="00E60BCD"/>
    <w:rsid w:val="00E6392A"/>
    <w:rsid w:val="00E6745D"/>
    <w:rsid w:val="00E7000B"/>
    <w:rsid w:val="00E702C1"/>
    <w:rsid w:val="00E731A7"/>
    <w:rsid w:val="00E75D67"/>
    <w:rsid w:val="00E83BD5"/>
    <w:rsid w:val="00E8410C"/>
    <w:rsid w:val="00E847EA"/>
    <w:rsid w:val="00E8575E"/>
    <w:rsid w:val="00E85D4E"/>
    <w:rsid w:val="00E86C47"/>
    <w:rsid w:val="00E87FC3"/>
    <w:rsid w:val="00E91259"/>
    <w:rsid w:val="00E91D48"/>
    <w:rsid w:val="00E94DF4"/>
    <w:rsid w:val="00E966AA"/>
    <w:rsid w:val="00E967CB"/>
    <w:rsid w:val="00EA1029"/>
    <w:rsid w:val="00EA1E20"/>
    <w:rsid w:val="00EA2634"/>
    <w:rsid w:val="00EA3D09"/>
    <w:rsid w:val="00EA40F9"/>
    <w:rsid w:val="00EA5F63"/>
    <w:rsid w:val="00EB0442"/>
    <w:rsid w:val="00EB1254"/>
    <w:rsid w:val="00EB5BB3"/>
    <w:rsid w:val="00EB6B16"/>
    <w:rsid w:val="00EC0C6E"/>
    <w:rsid w:val="00EC1E2B"/>
    <w:rsid w:val="00EC3945"/>
    <w:rsid w:val="00EC3A3D"/>
    <w:rsid w:val="00EC3BBD"/>
    <w:rsid w:val="00ED0E58"/>
    <w:rsid w:val="00ED2F8E"/>
    <w:rsid w:val="00ED4532"/>
    <w:rsid w:val="00EE2328"/>
    <w:rsid w:val="00EE25C4"/>
    <w:rsid w:val="00EE2DC5"/>
    <w:rsid w:val="00EE379D"/>
    <w:rsid w:val="00EE4248"/>
    <w:rsid w:val="00EE4C98"/>
    <w:rsid w:val="00EE5B73"/>
    <w:rsid w:val="00EE7958"/>
    <w:rsid w:val="00EF13FC"/>
    <w:rsid w:val="00EF2290"/>
    <w:rsid w:val="00EF28C1"/>
    <w:rsid w:val="00EF3D5F"/>
    <w:rsid w:val="00EF456F"/>
    <w:rsid w:val="00EF4682"/>
    <w:rsid w:val="00EF4803"/>
    <w:rsid w:val="00EF6F93"/>
    <w:rsid w:val="00F026B9"/>
    <w:rsid w:val="00F03595"/>
    <w:rsid w:val="00F04C04"/>
    <w:rsid w:val="00F12D8F"/>
    <w:rsid w:val="00F1380E"/>
    <w:rsid w:val="00F1390B"/>
    <w:rsid w:val="00F14E70"/>
    <w:rsid w:val="00F1670F"/>
    <w:rsid w:val="00F204B3"/>
    <w:rsid w:val="00F226E1"/>
    <w:rsid w:val="00F24327"/>
    <w:rsid w:val="00F243CF"/>
    <w:rsid w:val="00F3124B"/>
    <w:rsid w:val="00F3393A"/>
    <w:rsid w:val="00F35AD6"/>
    <w:rsid w:val="00F36846"/>
    <w:rsid w:val="00F37C51"/>
    <w:rsid w:val="00F4194B"/>
    <w:rsid w:val="00F43434"/>
    <w:rsid w:val="00F44C6A"/>
    <w:rsid w:val="00F516A8"/>
    <w:rsid w:val="00F51990"/>
    <w:rsid w:val="00F530B7"/>
    <w:rsid w:val="00F54973"/>
    <w:rsid w:val="00F5595C"/>
    <w:rsid w:val="00F55BA0"/>
    <w:rsid w:val="00F576A9"/>
    <w:rsid w:val="00F62419"/>
    <w:rsid w:val="00F650DD"/>
    <w:rsid w:val="00F6546F"/>
    <w:rsid w:val="00F65BA3"/>
    <w:rsid w:val="00F65C21"/>
    <w:rsid w:val="00F66CA6"/>
    <w:rsid w:val="00F71266"/>
    <w:rsid w:val="00F71D7E"/>
    <w:rsid w:val="00F71FB8"/>
    <w:rsid w:val="00F73B1E"/>
    <w:rsid w:val="00F74E04"/>
    <w:rsid w:val="00F805CB"/>
    <w:rsid w:val="00F819FA"/>
    <w:rsid w:val="00F81BEE"/>
    <w:rsid w:val="00F82445"/>
    <w:rsid w:val="00F87228"/>
    <w:rsid w:val="00F87B82"/>
    <w:rsid w:val="00F9006F"/>
    <w:rsid w:val="00F917D5"/>
    <w:rsid w:val="00F93E30"/>
    <w:rsid w:val="00F954FE"/>
    <w:rsid w:val="00F9629C"/>
    <w:rsid w:val="00F9694C"/>
    <w:rsid w:val="00F97C86"/>
    <w:rsid w:val="00FA1A46"/>
    <w:rsid w:val="00FA3CE0"/>
    <w:rsid w:val="00FA4306"/>
    <w:rsid w:val="00FB3781"/>
    <w:rsid w:val="00FB3FA3"/>
    <w:rsid w:val="00FC024D"/>
    <w:rsid w:val="00FC386E"/>
    <w:rsid w:val="00FC3E05"/>
    <w:rsid w:val="00FC5DA9"/>
    <w:rsid w:val="00FC7B0B"/>
    <w:rsid w:val="00FD1D7B"/>
    <w:rsid w:val="00FD281D"/>
    <w:rsid w:val="00FD3B5A"/>
    <w:rsid w:val="00FD4BA4"/>
    <w:rsid w:val="00FD5766"/>
    <w:rsid w:val="00FE11D1"/>
    <w:rsid w:val="00FE447E"/>
    <w:rsid w:val="00FE59A0"/>
    <w:rsid w:val="00FE5C05"/>
    <w:rsid w:val="00FE622D"/>
    <w:rsid w:val="00FE7456"/>
    <w:rsid w:val="00FE746E"/>
    <w:rsid w:val="00FE7668"/>
    <w:rsid w:val="00FF194A"/>
    <w:rsid w:val="00FF21B8"/>
    <w:rsid w:val="00FF2D2B"/>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06C6220F"/>
  <w15:docId w15:val="{45EA6506-E592-49EB-BAD3-9EB07FD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432A"/>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link w:val="H1GChar"/>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5"/>
      </w:numPr>
      <w:spacing w:after="120"/>
      <w:ind w:right="1134"/>
      <w:jc w:val="both"/>
    </w:pPr>
  </w:style>
  <w:style w:type="paragraph" w:customStyle="1" w:styleId="Bullet2G">
    <w:name w:val="_Bullet 2_G"/>
    <w:basedOn w:val="Normal"/>
    <w:rsid w:val="00FA1A46"/>
    <w:pPr>
      <w:numPr>
        <w:numId w:val="6"/>
      </w:numPr>
      <w:spacing w:after="120"/>
      <w:ind w:right="1134"/>
      <w:jc w:val="both"/>
    </w:pPr>
  </w:style>
  <w:style w:type="paragraph" w:customStyle="1" w:styleId="AnnoHCHG">
    <w:name w:val="Anno _ H_CH_G"/>
    <w:basedOn w:val="Normal"/>
    <w:next w:val="AnnoH1G"/>
    <w:rsid w:val="00FA1A46"/>
    <w:pPr>
      <w:keepNext/>
      <w:keepLines/>
      <w:numPr>
        <w:numId w:val="7"/>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7"/>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7"/>
      </w:numPr>
      <w:spacing w:before="240" w:after="120" w:line="240" w:lineRule="exact"/>
      <w:ind w:right="1134"/>
    </w:pPr>
    <w:rPr>
      <w:u w:val="single"/>
    </w:rPr>
  </w:style>
  <w:style w:type="paragraph" w:customStyle="1" w:styleId="AnnoSingleTxtG">
    <w:name w:val="Anno_ Single Txt_G"/>
    <w:basedOn w:val="Normal"/>
    <w:rsid w:val="00FA1A46"/>
    <w:pPr>
      <w:numPr>
        <w:ilvl w:val="3"/>
        <w:numId w:val="7"/>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fn,footnote text,Footnotes,Footnote ak,Geneva 9,Font: Geneva 9,Boston 10,f,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rsid w:val="00FA1A46"/>
    <w:pPr>
      <w:keepNext/>
      <w:keepLines/>
      <w:numPr>
        <w:numId w:val="8"/>
      </w:numPr>
      <w:spacing w:before="360" w:after="240" w:line="300" w:lineRule="exact"/>
      <w:ind w:right="1134"/>
    </w:pPr>
    <w:rPr>
      <w:b/>
      <w:sz w:val="28"/>
    </w:rPr>
  </w:style>
  <w:style w:type="paragraph" w:customStyle="1" w:styleId="RegH1G">
    <w:name w:val="Reg_H_1_G"/>
    <w:basedOn w:val="Normal"/>
    <w:next w:val="RegH23G"/>
    <w:rsid w:val="00FA1A46"/>
    <w:pPr>
      <w:keepNext/>
      <w:keepLines/>
      <w:numPr>
        <w:ilvl w:val="1"/>
        <w:numId w:val="8"/>
      </w:numPr>
      <w:spacing w:before="360" w:after="240" w:line="270" w:lineRule="exact"/>
      <w:ind w:right="1134"/>
    </w:pPr>
    <w:rPr>
      <w:b/>
      <w:sz w:val="24"/>
    </w:rPr>
  </w:style>
  <w:style w:type="paragraph" w:customStyle="1" w:styleId="RegH23G">
    <w:name w:val="Reg_H_2/3_G"/>
    <w:basedOn w:val="Normal"/>
    <w:next w:val="RegH4G"/>
    <w:rsid w:val="00FA1A46"/>
    <w:pPr>
      <w:keepNext/>
      <w:keepLines/>
      <w:numPr>
        <w:ilvl w:val="2"/>
        <w:numId w:val="8"/>
      </w:numPr>
      <w:spacing w:before="240" w:after="120" w:line="240" w:lineRule="exact"/>
      <w:ind w:right="1134"/>
    </w:pPr>
    <w:rPr>
      <w:b/>
    </w:rPr>
  </w:style>
  <w:style w:type="paragraph" w:customStyle="1" w:styleId="RegSingleTxtG">
    <w:name w:val="Reg_Single Txt_G"/>
    <w:basedOn w:val="Normal"/>
    <w:link w:val="RegSingleTxtGChar"/>
    <w:rsid w:val="00FA1A46"/>
    <w:pPr>
      <w:numPr>
        <w:ilvl w:val="5"/>
        <w:numId w:val="8"/>
      </w:numPr>
      <w:tabs>
        <w:tab w:val="left" w:pos="1701"/>
      </w:tabs>
      <w:spacing w:after="120"/>
      <w:ind w:right="1134"/>
      <w:jc w:val="both"/>
    </w:pPr>
  </w:style>
  <w:style w:type="paragraph" w:styleId="TOC1">
    <w:name w:val="toc 1"/>
    <w:basedOn w:val="Normal"/>
    <w:next w:val="Normal"/>
    <w:autoRedefine/>
    <w:rsid w:val="008A63DD"/>
    <w:pPr>
      <w:tabs>
        <w:tab w:val="right" w:pos="851"/>
        <w:tab w:val="left" w:pos="1134"/>
        <w:tab w:val="left" w:pos="1559"/>
        <w:tab w:val="left" w:pos="2268"/>
        <w:tab w:val="right" w:leader="dot" w:pos="8930"/>
        <w:tab w:val="right" w:pos="9639"/>
      </w:tabs>
      <w:spacing w:after="120"/>
    </w:pPr>
    <w:rPr>
      <w:noProof/>
    </w:rPr>
  </w:style>
  <w:style w:type="paragraph" w:styleId="TOC2">
    <w:name w:val="toc 2"/>
    <w:basedOn w:val="Normal"/>
    <w:next w:val="Normal"/>
    <w:autoRedefine/>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basedOn w:val="Normal"/>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pPr>
      <w:numPr>
        <w:ilvl w:val="3"/>
      </w:numPr>
    </w:pPr>
  </w:style>
  <w:style w:type="paragraph" w:customStyle="1" w:styleId="RegH5G">
    <w:name w:val="Reg_H_5_G"/>
    <w:basedOn w:val="RegH4G"/>
    <w:qFormat/>
    <w:rsid w:val="00FA1A46"/>
    <w:pPr>
      <w:numPr>
        <w:ilvl w:val="4"/>
      </w:numPr>
    </w:pPr>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numPr>
        <w:ilvl w:val="6"/>
      </w:numPr>
      <w:tabs>
        <w:tab w:val="clear" w:pos="1702"/>
      </w:tabs>
    </w:pPr>
  </w:style>
  <w:style w:type="paragraph" w:customStyle="1" w:styleId="RegSingleTxtG3">
    <w:name w:val="Reg_Single Txt_G3"/>
    <w:basedOn w:val="RegSingleTxtG"/>
    <w:qFormat/>
    <w:rsid w:val="00FA1A46"/>
    <w:pPr>
      <w:numPr>
        <w:ilvl w:val="7"/>
      </w:numPr>
    </w:pPr>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numPr>
        <w:ilvl w:val="0"/>
        <w:numId w:val="0"/>
      </w:num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2"/>
      </w:numPr>
    </w:pPr>
  </w:style>
  <w:style w:type="numbering" w:customStyle="1" w:styleId="FCCCTextboxfootnote">
    <w:name w:val="FCCC Textbox footnote"/>
    <w:uiPriority w:val="99"/>
    <w:rsid w:val="00FC386E"/>
    <w:pPr>
      <w:numPr>
        <w:numId w:val="3"/>
      </w:numPr>
    </w:pPr>
  </w:style>
  <w:style w:type="numbering" w:customStyle="1" w:styleId="FigureFootnote">
    <w:name w:val="Figure Footnote"/>
    <w:uiPriority w:val="99"/>
    <w:rsid w:val="00FE622D"/>
    <w:pPr>
      <w:numPr>
        <w:numId w:val="4"/>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RegSingleTxtGChar">
    <w:name w:val="Reg_Single Txt_G Char"/>
    <w:basedOn w:val="DefaultParagraphFont"/>
    <w:link w:val="RegSingleTxtG"/>
    <w:rsid w:val="001C7452"/>
    <w:rPr>
      <w:rFonts w:eastAsia="SimSun"/>
      <w:lang w:val="en-GB" w:eastAsia="zh-CN"/>
    </w:rPr>
  </w:style>
  <w:style w:type="character" w:customStyle="1" w:styleId="FootnoteTextChar">
    <w:name w:val="Footnote Text Char"/>
    <w:aliases w:val="5_G Char,fn Char,footnote text Char,Footnotes Char,Footnote ak Char,Geneva 9 Char,Font: Geneva 9 Char,Boston 10 Char,f Char,Char Char,Char Char Char Char Char,Default Paragraph Font Char Char Char,Footno Char,single space Char"/>
    <w:basedOn w:val="DefaultParagraphFont"/>
    <w:link w:val="FootnoteText"/>
    <w:locked/>
    <w:rsid w:val="001C7452"/>
    <w:rPr>
      <w:rFonts w:eastAsia="SimSun"/>
      <w:sz w:val="18"/>
      <w:lang w:val="en-GB" w:eastAsia="zh-CN"/>
    </w:rPr>
  </w:style>
  <w:style w:type="paragraph" w:customStyle="1" w:styleId="Default">
    <w:name w:val="Default"/>
    <w:rsid w:val="001C7452"/>
    <w:pPr>
      <w:autoSpaceDE w:val="0"/>
      <w:autoSpaceDN w:val="0"/>
      <w:adjustRightInd w:val="0"/>
    </w:pPr>
    <w:rPr>
      <w:color w:val="000000"/>
      <w:sz w:val="24"/>
      <w:szCs w:val="24"/>
      <w:lang w:eastAsia="en-GB"/>
    </w:rPr>
  </w:style>
  <w:style w:type="character" w:customStyle="1" w:styleId="HeaderChar">
    <w:name w:val="Header Char"/>
    <w:aliases w:val="6_G Char"/>
    <w:basedOn w:val="DefaultParagraphFont"/>
    <w:link w:val="Header"/>
    <w:rsid w:val="00EB6B16"/>
    <w:rPr>
      <w:rFonts w:eastAsia="SimSun"/>
      <w:b/>
      <w:sz w:val="18"/>
      <w:lang w:val="en-GB" w:eastAsia="zh-CN"/>
    </w:rPr>
  </w:style>
  <w:style w:type="character" w:customStyle="1" w:styleId="FooterChar">
    <w:name w:val="Footer Char"/>
    <w:aliases w:val="3_G Char"/>
    <w:link w:val="Footer"/>
    <w:uiPriority w:val="99"/>
    <w:rsid w:val="00EB6B16"/>
    <w:rPr>
      <w:rFonts w:eastAsia="SimSun"/>
      <w:sz w:val="16"/>
      <w:lang w:val="en-GB" w:eastAsia="zh-CN"/>
    </w:rPr>
  </w:style>
  <w:style w:type="character" w:customStyle="1" w:styleId="EndnoteTextChar">
    <w:name w:val="Endnote Text Char"/>
    <w:aliases w:val="2_G Char"/>
    <w:basedOn w:val="DefaultParagraphFont"/>
    <w:link w:val="EndnoteText"/>
    <w:rsid w:val="00EB6B16"/>
    <w:rPr>
      <w:rFonts w:eastAsia="SimSun"/>
      <w:sz w:val="18"/>
      <w:lang w:val="en-GB" w:eastAsia="zh-CN"/>
    </w:rPr>
  </w:style>
  <w:style w:type="character" w:styleId="Hyperlink">
    <w:name w:val="Hyperlink"/>
    <w:basedOn w:val="DefaultParagraphFont"/>
    <w:uiPriority w:val="99"/>
    <w:unhideWhenUsed/>
    <w:rsid w:val="00EB6B16"/>
    <w:rPr>
      <w:color w:val="0000FF" w:themeColor="hyperlink"/>
      <w:u w:val="single"/>
    </w:rPr>
  </w:style>
  <w:style w:type="character" w:customStyle="1" w:styleId="markedcontent">
    <w:name w:val="markedcontent"/>
    <w:basedOn w:val="DefaultParagraphFont"/>
    <w:rsid w:val="00E94DF4"/>
  </w:style>
  <w:style w:type="character" w:styleId="PlaceholderText">
    <w:name w:val="Placeholder Text"/>
    <w:basedOn w:val="DefaultParagraphFont"/>
    <w:uiPriority w:val="99"/>
    <w:semiHidden/>
    <w:rsid w:val="00E8575E"/>
    <w:rPr>
      <w:color w:val="808080"/>
    </w:rPr>
  </w:style>
  <w:style w:type="paragraph" w:styleId="CommentSubject">
    <w:name w:val="annotation subject"/>
    <w:basedOn w:val="CommentText"/>
    <w:next w:val="CommentText"/>
    <w:link w:val="CommentSubjectChar"/>
    <w:semiHidden/>
    <w:unhideWhenUsed/>
    <w:rsid w:val="00E8575E"/>
    <w:rPr>
      <w:b/>
      <w:bCs/>
    </w:rPr>
  </w:style>
  <w:style w:type="character" w:customStyle="1" w:styleId="CommentSubjectChar">
    <w:name w:val="Comment Subject Char"/>
    <w:basedOn w:val="CommentTextChar"/>
    <w:link w:val="CommentSubject"/>
    <w:semiHidden/>
    <w:rsid w:val="00E8575E"/>
    <w:rPr>
      <w:rFonts w:eastAsia="SimSun"/>
      <w:b/>
      <w:bCs/>
      <w:lang w:val="en-GB" w:eastAsia="zh-CN"/>
    </w:rPr>
  </w:style>
  <w:style w:type="character" w:customStyle="1" w:styleId="Heading1Char">
    <w:name w:val="Heading 1 Char"/>
    <w:aliases w:val="Table_G Char1"/>
    <w:basedOn w:val="DefaultParagraphFont"/>
    <w:link w:val="Heading1"/>
    <w:rsid w:val="00E8575E"/>
    <w:rPr>
      <w:rFonts w:eastAsia="SimSun"/>
      <w:lang w:val="en-GB" w:eastAsia="zh-CN"/>
    </w:rPr>
  </w:style>
  <w:style w:type="character" w:styleId="FollowedHyperlink">
    <w:name w:val="FollowedHyperlink"/>
    <w:basedOn w:val="DefaultParagraphFont"/>
    <w:uiPriority w:val="99"/>
    <w:semiHidden/>
    <w:unhideWhenUsed/>
    <w:rsid w:val="00E8575E"/>
    <w:rPr>
      <w:color w:val="800080" w:themeColor="followedHyperlink"/>
      <w:u w:val="single"/>
    </w:rPr>
  </w:style>
  <w:style w:type="character" w:customStyle="1" w:styleId="Heading1Char1">
    <w:name w:val="Heading 1 Char1"/>
    <w:aliases w:val="Table_G Char"/>
    <w:basedOn w:val="DefaultParagraphFont"/>
    <w:rsid w:val="00E8575E"/>
    <w:rPr>
      <w:rFonts w:asciiTheme="majorHAnsi" w:eastAsiaTheme="majorEastAsia" w:hAnsiTheme="majorHAnsi" w:cstheme="majorBidi"/>
      <w:color w:val="365F91" w:themeColor="accent1" w:themeShade="BF"/>
      <w:sz w:val="32"/>
      <w:szCs w:val="32"/>
      <w:lang w:val="en-GB" w:eastAsia="zh-CN"/>
    </w:rPr>
  </w:style>
  <w:style w:type="paragraph" w:customStyle="1" w:styleId="msonormal0">
    <w:name w:val="msonormal"/>
    <w:basedOn w:val="Normal"/>
    <w:rsid w:val="00E8575E"/>
    <w:pPr>
      <w:suppressAutoHyphens w:val="0"/>
      <w:spacing w:before="100" w:beforeAutospacing="1" w:after="100" w:afterAutospacing="1" w:line="240" w:lineRule="auto"/>
    </w:pPr>
    <w:rPr>
      <w:rFonts w:eastAsia="Times New Roman"/>
      <w:sz w:val="24"/>
      <w:szCs w:val="24"/>
      <w:lang w:val="en-US" w:eastAsia="en-US"/>
    </w:rPr>
  </w:style>
  <w:style w:type="character" w:customStyle="1" w:styleId="FootnoteTextChar1">
    <w:name w:val="Footnote Text Char1"/>
    <w:aliases w:val="5_G Char1"/>
    <w:basedOn w:val="DefaultParagraphFont"/>
    <w:semiHidden/>
    <w:rsid w:val="00E8575E"/>
    <w:rPr>
      <w:rFonts w:eastAsia="SimSun"/>
      <w:lang w:val="en-GB" w:eastAsia="zh-CN"/>
    </w:rPr>
  </w:style>
  <w:style w:type="paragraph" w:styleId="Revision">
    <w:name w:val="Revision"/>
    <w:uiPriority w:val="99"/>
    <w:semiHidden/>
    <w:rsid w:val="00E8575E"/>
    <w:rPr>
      <w:rFonts w:eastAsia="SimSun"/>
      <w:lang w:val="en-GB" w:eastAsia="zh-CN"/>
    </w:rPr>
  </w:style>
  <w:style w:type="paragraph" w:customStyle="1" w:styleId="xl69">
    <w:name w:val="xl69"/>
    <w:basedOn w:val="Normal"/>
    <w:rsid w:val="00E8575E"/>
    <w:pPr>
      <w:suppressAutoHyphens w:val="0"/>
      <w:spacing w:before="100" w:beforeAutospacing="1" w:after="100" w:afterAutospacing="1" w:line="240" w:lineRule="auto"/>
      <w:jc w:val="right"/>
    </w:pPr>
    <w:rPr>
      <w:rFonts w:eastAsia="Times New Roman"/>
      <w:sz w:val="24"/>
      <w:szCs w:val="24"/>
      <w:lang w:eastAsia="en-GB"/>
    </w:rPr>
  </w:style>
  <w:style w:type="paragraph" w:customStyle="1" w:styleId="xl73">
    <w:name w:val="xl73"/>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Times New Roman"/>
      <w:color w:val="000000"/>
      <w:sz w:val="18"/>
      <w:szCs w:val="18"/>
      <w:lang w:val="en-US" w:eastAsia="en-US"/>
    </w:rPr>
  </w:style>
  <w:style w:type="paragraph" w:customStyle="1" w:styleId="xl74">
    <w:name w:val="xl74"/>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pPr>
    <w:rPr>
      <w:rFonts w:eastAsia="Times New Roman"/>
      <w:color w:val="000000"/>
      <w:sz w:val="18"/>
      <w:szCs w:val="18"/>
      <w:lang w:val="en-US" w:eastAsia="en-US"/>
    </w:rPr>
  </w:style>
  <w:style w:type="paragraph" w:customStyle="1" w:styleId="xl75">
    <w:name w:val="xl75"/>
    <w:basedOn w:val="Normal"/>
    <w:rsid w:val="00E8575E"/>
    <w:pPr>
      <w:suppressAutoHyphens w:val="0"/>
      <w:spacing w:before="100" w:beforeAutospacing="1" w:after="100" w:afterAutospacing="1" w:line="240" w:lineRule="auto"/>
    </w:pPr>
    <w:rPr>
      <w:rFonts w:eastAsia="Times New Roman"/>
      <w:sz w:val="18"/>
      <w:szCs w:val="18"/>
      <w:lang w:val="en-US" w:eastAsia="en-US"/>
    </w:rPr>
  </w:style>
  <w:style w:type="paragraph" w:customStyle="1" w:styleId="xl76">
    <w:name w:val="xl76"/>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77">
    <w:name w:val="xl77"/>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78">
    <w:name w:val="xl78"/>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color w:val="000000"/>
      <w:sz w:val="18"/>
      <w:szCs w:val="18"/>
      <w:lang w:val="en-US" w:eastAsia="en-US"/>
    </w:rPr>
  </w:style>
  <w:style w:type="paragraph" w:customStyle="1" w:styleId="xl79">
    <w:name w:val="xl79"/>
    <w:basedOn w:val="Normal"/>
    <w:rsid w:val="00E8575E"/>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80">
    <w:name w:val="xl80"/>
    <w:basedOn w:val="Normal"/>
    <w:rsid w:val="00E8575E"/>
    <w:pPr>
      <w:pBdr>
        <w:top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paragraph" w:customStyle="1" w:styleId="xl81">
    <w:name w:val="xl81"/>
    <w:basedOn w:val="Normal"/>
    <w:rsid w:val="00E8575E"/>
    <w:pPr>
      <w:pBdr>
        <w:top w:val="single" w:sz="4" w:space="0" w:color="auto"/>
        <w:left w:val="single" w:sz="4" w:space="0" w:color="auto"/>
        <w:bottom w:val="single" w:sz="4" w:space="0" w:color="auto"/>
        <w:right w:val="single" w:sz="4" w:space="0" w:color="auto"/>
      </w:pBdr>
      <w:suppressAutoHyphens w:val="0"/>
      <w:spacing w:before="100" w:beforeAutospacing="1" w:after="100" w:afterAutospacing="1" w:line="240" w:lineRule="auto"/>
      <w:jc w:val="center"/>
    </w:pPr>
    <w:rPr>
      <w:rFonts w:eastAsia="Times New Roman"/>
      <w:color w:val="000000"/>
      <w:sz w:val="18"/>
      <w:szCs w:val="18"/>
      <w:lang w:val="en-US" w:eastAsia="en-US"/>
    </w:rPr>
  </w:style>
  <w:style w:type="paragraph" w:customStyle="1" w:styleId="xl82">
    <w:name w:val="xl82"/>
    <w:basedOn w:val="Normal"/>
    <w:rsid w:val="00E8575E"/>
    <w:pPr>
      <w:pBdr>
        <w:top w:val="single" w:sz="4" w:space="0" w:color="000000"/>
        <w:left w:val="single" w:sz="4" w:space="0" w:color="000000"/>
        <w:bottom w:val="single" w:sz="4" w:space="0" w:color="000000"/>
        <w:right w:val="single" w:sz="4" w:space="0" w:color="000000"/>
      </w:pBdr>
      <w:suppressAutoHyphens w:val="0"/>
      <w:spacing w:before="100" w:beforeAutospacing="1" w:after="100" w:afterAutospacing="1" w:line="240" w:lineRule="auto"/>
      <w:jc w:val="center"/>
    </w:pPr>
    <w:rPr>
      <w:rFonts w:eastAsia="Times New Roman"/>
      <w:sz w:val="18"/>
      <w:szCs w:val="18"/>
      <w:lang w:val="en-US" w:eastAsia="en-US"/>
    </w:rPr>
  </w:style>
  <w:style w:type="character" w:customStyle="1" w:styleId="HChGChar">
    <w:name w:val="_ H _Ch_G Char"/>
    <w:link w:val="HChG"/>
    <w:locked/>
    <w:rsid w:val="00E8575E"/>
    <w:rPr>
      <w:rFonts w:eastAsia="SimSun"/>
      <w:b/>
      <w:sz w:val="28"/>
      <w:lang w:val="en-GB" w:eastAsia="zh-CN"/>
    </w:rPr>
  </w:style>
  <w:style w:type="character" w:customStyle="1" w:styleId="H1GChar">
    <w:name w:val="_ H_1_G Char"/>
    <w:link w:val="H1G"/>
    <w:locked/>
    <w:rsid w:val="00E8575E"/>
    <w:rPr>
      <w:rFonts w:eastAsia="SimSun"/>
      <w:b/>
      <w:sz w:val="24"/>
      <w:lang w:val="en-GB" w:eastAsia="zh-CN"/>
    </w:rPr>
  </w:style>
  <w:style w:type="paragraph" w:styleId="NormalWeb">
    <w:name w:val="Normal (Web)"/>
    <w:basedOn w:val="Normal"/>
    <w:uiPriority w:val="99"/>
    <w:semiHidden/>
    <w:unhideWhenUsed/>
    <w:rsid w:val="00E8575E"/>
    <w:pPr>
      <w:suppressAutoHyphens w:val="0"/>
      <w:spacing w:before="100" w:beforeAutospacing="1" w:after="100" w:afterAutospacing="1" w:line="240" w:lineRule="auto"/>
    </w:pPr>
    <w:rPr>
      <w:rFonts w:eastAsia="Times New Roman"/>
      <w:sz w:val="24"/>
      <w:szCs w:val="24"/>
      <w:lang w:val="en-US" w:eastAsia="en-US"/>
    </w:rPr>
  </w:style>
  <w:style w:type="character" w:styleId="UnresolvedMention">
    <w:name w:val="Unresolved Mention"/>
    <w:basedOn w:val="DefaultParagraphFont"/>
    <w:uiPriority w:val="99"/>
    <w:unhideWhenUsed/>
    <w:rsid w:val="00E8575E"/>
    <w:rPr>
      <w:color w:val="605E5C"/>
      <w:shd w:val="clear" w:color="auto" w:fill="E1DFDD"/>
    </w:rPr>
  </w:style>
  <w:style w:type="character" w:styleId="Mention">
    <w:name w:val="Mention"/>
    <w:basedOn w:val="DefaultParagraphFont"/>
    <w:uiPriority w:val="99"/>
    <w:unhideWhenUsed/>
    <w:rsid w:val="00E8575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004991">
      <w:bodyDiv w:val="1"/>
      <w:marLeft w:val="0"/>
      <w:marRight w:val="0"/>
      <w:marTop w:val="0"/>
      <w:marBottom w:val="0"/>
      <w:divBdr>
        <w:top w:val="none" w:sz="0" w:space="0" w:color="auto"/>
        <w:left w:val="none" w:sz="0" w:space="0" w:color="auto"/>
        <w:bottom w:val="none" w:sz="0" w:space="0" w:color="auto"/>
        <w:right w:val="none" w:sz="0" w:space="0" w:color="auto"/>
      </w:divBdr>
    </w:div>
    <w:div w:id="1415400998">
      <w:bodyDiv w:val="1"/>
      <w:marLeft w:val="0"/>
      <w:marRight w:val="0"/>
      <w:marTop w:val="0"/>
      <w:marBottom w:val="0"/>
      <w:divBdr>
        <w:top w:val="none" w:sz="0" w:space="0" w:color="auto"/>
        <w:left w:val="none" w:sz="0" w:space="0" w:color="auto"/>
        <w:bottom w:val="none" w:sz="0" w:space="0" w:color="auto"/>
        <w:right w:val="none" w:sz="0" w:space="0" w:color="auto"/>
      </w:divBdr>
    </w:div>
    <w:div w:id="187645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5.xml"/><Relationship Id="rId21" Type="http://schemas.openxmlformats.org/officeDocument/2006/relationships/footer" Target="footer4.xml"/><Relationship Id="rId34" Type="http://schemas.openxmlformats.org/officeDocument/2006/relationships/header" Target="header12.xml"/><Relationship Id="rId42" Type="http://schemas.openxmlformats.org/officeDocument/2006/relationships/header" Target="header16.xml"/><Relationship Id="rId47" Type="http://schemas.openxmlformats.org/officeDocument/2006/relationships/header" Target="header19.xml"/><Relationship Id="rId50" Type="http://schemas.openxmlformats.org/officeDocument/2006/relationships/footer" Target="footer18.xml"/><Relationship Id="rId55" Type="http://schemas.openxmlformats.org/officeDocument/2006/relationships/header" Target="header2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footer" Target="footer8.xml"/><Relationship Id="rId11" Type="http://schemas.openxmlformats.org/officeDocument/2006/relationships/image" Target="media/image1.wmf"/><Relationship Id="rId24" Type="http://schemas.openxmlformats.org/officeDocument/2006/relationships/header" Target="header7.xml"/><Relationship Id="rId32" Type="http://schemas.openxmlformats.org/officeDocument/2006/relationships/footer" Target="footer9.xml"/><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3" Type="http://schemas.openxmlformats.org/officeDocument/2006/relationships/footer" Target="footer19.xml"/><Relationship Id="rId58" Type="http://schemas.openxmlformats.org/officeDocument/2006/relationships/footer" Target="footer22.xml"/><Relationship Id="rId5" Type="http://schemas.openxmlformats.org/officeDocument/2006/relationships/numbering" Target="numbering.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3.xml"/><Relationship Id="rId43" Type="http://schemas.openxmlformats.org/officeDocument/2006/relationships/header" Target="header17.xml"/><Relationship Id="rId48" Type="http://schemas.openxmlformats.org/officeDocument/2006/relationships/header" Target="header20.xml"/><Relationship Id="rId56" Type="http://schemas.openxmlformats.org/officeDocument/2006/relationships/header" Target="header24.xml"/><Relationship Id="rId8" Type="http://schemas.openxmlformats.org/officeDocument/2006/relationships/webSettings" Target="webSettings.xml"/><Relationship Id="rId51" Type="http://schemas.openxmlformats.org/officeDocument/2006/relationships/header" Target="header21.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footer" Target="footer6.xml"/><Relationship Id="rId33" Type="http://schemas.openxmlformats.org/officeDocument/2006/relationships/footer" Target="footer10.xml"/><Relationship Id="rId38" Type="http://schemas.openxmlformats.org/officeDocument/2006/relationships/header" Target="header14.xml"/><Relationship Id="rId46" Type="http://schemas.openxmlformats.org/officeDocument/2006/relationships/header" Target="header18.xml"/><Relationship Id="rId59" Type="http://schemas.openxmlformats.org/officeDocument/2006/relationships/fontTable" Target="fontTable.xml"/><Relationship Id="rId20" Type="http://schemas.openxmlformats.org/officeDocument/2006/relationships/footer" Target="footer3.xml"/><Relationship Id="rId41" Type="http://schemas.openxmlformats.org/officeDocument/2006/relationships/footer" Target="footer14.xml"/><Relationship Id="rId54"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footer" Target="footer7.xml"/><Relationship Id="rId36" Type="http://schemas.openxmlformats.org/officeDocument/2006/relationships/footer" Target="footer11.xml"/><Relationship Id="rId49" Type="http://schemas.openxmlformats.org/officeDocument/2006/relationships/footer" Target="footer17.xml"/><Relationship Id="rId57" Type="http://schemas.openxmlformats.org/officeDocument/2006/relationships/footer" Target="footer21.xml"/><Relationship Id="rId10" Type="http://schemas.openxmlformats.org/officeDocument/2006/relationships/endnotes" Target="endnotes.xml"/><Relationship Id="rId31" Type="http://schemas.openxmlformats.org/officeDocument/2006/relationships/header" Target="header11.xml"/><Relationship Id="rId44" Type="http://schemas.openxmlformats.org/officeDocument/2006/relationships/footer" Target="footer15.xml"/><Relationship Id="rId52" Type="http://schemas.openxmlformats.org/officeDocument/2006/relationships/header" Target="header22.xml"/><Relationship Id="rId60"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unfccc.int/documents/624251" TargetMode="External"/><Relationship Id="rId2" Type="http://schemas.openxmlformats.org/officeDocument/2006/relationships/hyperlink" Target="https://cdm.unfccc.int/Registry/index.html" TargetMode="External"/><Relationship Id="rId1" Type="http://schemas.openxmlformats.org/officeDocument/2006/relationships/hyperlink" Target="https://cdm.unfccc.int/Registry/index.html" TargetMode="External"/><Relationship Id="rId4"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576B6D-6005-447C-860C-E7C209B45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19522c-9de1-4f2d-ac58-6f2cdd8b04ea"/>
    <ds:schemaRef ds:uri="13d80b15-5f07-43ab-b435-85767a7dac08"/>
    <ds:schemaRef ds:uri="eb4559c4-8463-4985-927f-f0d558bff8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C2E553-2A28-4DD0-B754-F819232714D9}">
  <ds:schemaRefs>
    <ds:schemaRef ds:uri="http://schemas.openxmlformats.org/officeDocument/2006/bibliography"/>
  </ds:schemaRefs>
</ds:datastoreItem>
</file>

<file path=customXml/itemProps3.xml><?xml version="1.0" encoding="utf-8"?>
<ds:datastoreItem xmlns:ds="http://schemas.openxmlformats.org/officeDocument/2006/customXml" ds:itemID="{D71D5894-7C01-4423-95BE-E1B125D2B771}">
  <ds:schemaRefs>
    <ds:schemaRef ds:uri="http://purl.org/dc/dcmitype/"/>
    <ds:schemaRef ds:uri="4dd5ddbf-e371-4d30-9213-f0ad543fb2ce"/>
    <ds:schemaRef ds:uri="http://purl.org/dc/terms/"/>
    <ds:schemaRef ds:uri="21fd8bfc-cd85-4899-a616-986da4216f81"/>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elements/1.1/"/>
    <ds:schemaRef ds:uri="eb4559c4-8463-4985-927f-f0d558bff8f0"/>
    <ds:schemaRef ds:uri="13d80b15-5f07-43ab-b435-85767a7dac08"/>
    <ds:schemaRef ds:uri="b819522c-9de1-4f2d-ac58-6f2cdd8b04ea"/>
  </ds:schemaRefs>
</ds:datastoreItem>
</file>

<file path=customXml/itemProps4.xml><?xml version="1.0" encoding="utf-8"?>
<ds:datastoreItem xmlns:ds="http://schemas.openxmlformats.org/officeDocument/2006/customXml" ds:itemID="{5B5E0EFB-F9FF-49C3-A365-E8AA9017651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FCCC.dotm</Template>
  <TotalTime>0</TotalTime>
  <Pages>14</Pages>
  <Words>9364</Words>
  <Characters>53376</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Kyoto Protocol on its  seventeenth session, held in Sharm el-Sheikh from 6–18 November 2022</vt:lpstr>
    </vt:vector>
  </TitlesOfParts>
  <Manager/>
  <Company/>
  <LinksUpToDate>false</LinksUpToDate>
  <CharactersWithSpaces>62615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Kyoto Protocol on its  seventeenth session, held in Sharm el-Sheikh from 6–18 November 2022</dc:title>
  <dc:subject/>
  <dc:creator>Esmeralda Fratta di Rickli</dc:creator>
  <cp:keywords/>
  <dc:description/>
  <cp:lastModifiedBy>Corinne Loeschner</cp:lastModifiedBy>
  <cp:revision>4</cp:revision>
  <cp:lastPrinted>2023-03-08T14:24:00Z</cp:lastPrinted>
  <dcterms:created xsi:type="dcterms:W3CDTF">2023-04-17T09:36:00Z</dcterms:created>
  <dcterms:modified xsi:type="dcterms:W3CDTF">2024-10-22T04:04:00Z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14:46:06</vt:lpwstr>
  </property>
  <property fmtid="{D5CDD505-2E9C-101B-9397-08002B2CF9AE}" pid="4" name="_dlc_DocIdItemGuid">
    <vt:lpwstr>dbaf2c2d-679a-41a9-ae88-e8787fb245f3</vt:lpwstr>
  </property>
  <property fmtid="{D5CDD505-2E9C-101B-9397-08002B2CF9AE}" pid="5" name="fccc_body">
    <vt:lpwstr>85;#Conference of the Parties serving as the meeting of the Parties to the Kyoto Protocol (CMP)|38118d30-6ed6-42bf-9f20-9c3046d01012</vt:lpwstr>
  </property>
  <property fmtid="{D5CDD505-2E9C-101B-9397-08002B2CF9AE}" pid="6" name="MediaServiceImageTags">
    <vt:lpwstr/>
  </property>
  <property fmtid="{D5CDD505-2E9C-101B-9397-08002B2CF9AE}" pid="7" name="lcf76f155ced4ddcb4097134ff3c332f">
    <vt:lpwstr/>
  </property>
  <property fmtid="{D5CDD505-2E9C-101B-9397-08002B2CF9AE}" pid="8" name="Web doc type">
    <vt:lpwstr/>
  </property>
  <property fmtid="{D5CDD505-2E9C-101B-9397-08002B2CF9AE}" pid="9" name="fccc_substantive_topic">
    <vt:lpwstr>46;#Sessional proceedings|ff7bdb8c-f4ee-4fbb-ab88-7747669b7746</vt:lpwstr>
  </property>
  <property fmtid="{D5CDD505-2E9C-101B-9397-08002B2CF9AE}" pid="10" name="fccc_Keywords">
    <vt:lpwstr>47;#Sessional proceedings|ff7bdb8c-f4ee-4fbb-ab88-7747669b7746</vt:lpwstr>
  </property>
  <property fmtid="{D5CDD505-2E9C-101B-9397-08002B2CF9AE}" pid="11" name="fccc_session">
    <vt:lpwstr>596;#CMP 17|912920e1-bdd0-4f82-827b-e97927aec020</vt:lpwstr>
  </property>
  <property fmtid="{D5CDD505-2E9C-101B-9397-08002B2CF9AE}" pid="12" name="Agenda Item">
    <vt:lpwstr/>
  </property>
  <property fmtid="{D5CDD505-2E9C-101B-9397-08002B2CF9AE}" pid="13" name="LinkedUNFCCCDocumentTracker">
    <vt:lpwstr>4473</vt:lpwstr>
  </property>
  <property fmtid="{D5CDD505-2E9C-101B-9397-08002B2CF9AE}" pid="14" name="kb2e315405fe407aa7f85ff4a1d5bcda">
    <vt:lpwstr/>
  </property>
  <property fmtid="{D5CDD505-2E9C-101B-9397-08002B2CF9AE}" pid="15" name="Corporate author">
    <vt:lpwstr/>
  </property>
  <property fmtid="{D5CDD505-2E9C-101B-9397-08002B2CF9AE}" pid="16" name="Conference">
    <vt:lpwstr/>
  </property>
  <property fmtid="{D5CDD505-2E9C-101B-9397-08002B2CF9AE}" pid="17" name="docSymbol1">
    <vt:lpwstr>FCCC/KP/CMP/2022/9/Add.1</vt:lpwstr>
  </property>
  <property fmtid="{D5CDD505-2E9C-101B-9397-08002B2CF9AE}" pid="18" name="docSymbol2">
    <vt:lpwstr/>
  </property>
  <property fmtid="{D5CDD505-2E9C-101B-9397-08002B2CF9AE}" pid="19" name="ContentTypeId">
    <vt:lpwstr>0x0101002BEBFA4AD3D067488A4F8AE22F38BF68</vt:lpwstr>
  </property>
</Properties>
</file>