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54DDC8C" w14:textId="77777777" w:rsidTr="00206467">
        <w:trPr>
          <w:cantSplit/>
          <w:trHeight w:hRule="exact" w:val="1134"/>
        </w:trPr>
        <w:tc>
          <w:tcPr>
            <w:tcW w:w="1242" w:type="dxa"/>
            <w:vAlign w:val="bottom"/>
          </w:tcPr>
          <w:p w14:paraId="4A72E2EE" w14:textId="61601FC2" w:rsidR="002D66A2" w:rsidRPr="003F5FEE" w:rsidRDefault="006C7E1D" w:rsidP="00206467">
            <w:r>
              <w:rPr>
                <w:noProof/>
                <w:lang w:val="en-US" w:eastAsia="en-US"/>
              </w:rPr>
              <w:drawing>
                <wp:anchor distT="0" distB="0" distL="114300" distR="114300" simplePos="0" relativeHeight="251658240" behindDoc="1" locked="0" layoutInCell="1" allowOverlap="1" wp14:anchorId="3FAF4DD0" wp14:editId="56485D4F">
                  <wp:simplePos x="0" y="0"/>
                  <wp:positionH relativeFrom="column">
                    <wp:posOffset>-2540</wp:posOffset>
                  </wp:positionH>
                  <wp:positionV relativeFrom="paragraph">
                    <wp:posOffset>156210</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34789E27" w14:textId="1C64CAAE" w:rsidR="002D66A2" w:rsidRPr="00A86746" w:rsidRDefault="002D66A2" w:rsidP="00206467">
            <w:pPr>
              <w:ind w:left="113"/>
              <w:rPr>
                <w:sz w:val="28"/>
                <w:szCs w:val="28"/>
              </w:rPr>
            </w:pPr>
            <w:r w:rsidRPr="00A86746">
              <w:rPr>
                <w:sz w:val="28"/>
                <w:szCs w:val="28"/>
              </w:rPr>
              <w:t>United Nations</w:t>
            </w:r>
          </w:p>
        </w:tc>
        <w:tc>
          <w:tcPr>
            <w:tcW w:w="5845" w:type="dxa"/>
            <w:gridSpan w:val="3"/>
            <w:vAlign w:val="bottom"/>
          </w:tcPr>
          <w:p w14:paraId="125801E8" w14:textId="17115BE3" w:rsidR="002D66A2" w:rsidRPr="00AB0CD8" w:rsidRDefault="00AB0CD8" w:rsidP="00AB0CD8">
            <w:pPr>
              <w:jc w:val="right"/>
            </w:pPr>
            <w:r w:rsidRPr="00AB0CD8">
              <w:rPr>
                <w:sz w:val="40"/>
              </w:rPr>
              <w:t>FCCC</w:t>
            </w:r>
            <w:r>
              <w:t>/KP/CMP/2023/9/Add.1</w:t>
            </w:r>
          </w:p>
        </w:tc>
      </w:tr>
      <w:tr w:rsidR="002D66A2" w14:paraId="4F5E7F10" w14:textId="77777777" w:rsidTr="00206467">
        <w:trPr>
          <w:cantSplit/>
          <w:trHeight w:hRule="exact" w:val="2552"/>
        </w:trPr>
        <w:tc>
          <w:tcPr>
            <w:tcW w:w="4511" w:type="dxa"/>
            <w:gridSpan w:val="3"/>
          </w:tcPr>
          <w:p w14:paraId="2712DAB3" w14:textId="77777777" w:rsidR="002D66A2" w:rsidRPr="003F5FEE" w:rsidRDefault="002D66A2" w:rsidP="00206467">
            <w:r>
              <w:rPr>
                <w:noProof/>
                <w:lang w:val="en-US" w:eastAsia="en-US"/>
              </w:rPr>
              <w:drawing>
                <wp:anchor distT="0" distB="0" distL="114300" distR="114300" simplePos="0" relativeHeight="251658241" behindDoc="1" locked="0" layoutInCell="1" allowOverlap="1" wp14:anchorId="42EC6833" wp14:editId="72152FE5">
                  <wp:simplePos x="0" y="0"/>
                  <wp:positionH relativeFrom="column">
                    <wp:posOffset>-2540</wp:posOffset>
                  </wp:positionH>
                  <wp:positionV relativeFrom="paragraph">
                    <wp:posOffset>1270</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CD7D3" w14:textId="66DE7A46" w:rsidR="002D66A2" w:rsidRDefault="002D66A2" w:rsidP="00206467"/>
          <w:p w14:paraId="70108D74" w14:textId="0970432C" w:rsidR="002D66A2" w:rsidRPr="003F5FEE" w:rsidRDefault="002D66A2" w:rsidP="00206467"/>
        </w:tc>
        <w:tc>
          <w:tcPr>
            <w:tcW w:w="2293" w:type="dxa"/>
          </w:tcPr>
          <w:p w14:paraId="460F92E0" w14:textId="1FE556FB" w:rsidR="002D66A2" w:rsidRPr="00836B4F" w:rsidRDefault="002D66A2" w:rsidP="00206467"/>
        </w:tc>
        <w:tc>
          <w:tcPr>
            <w:tcW w:w="2835" w:type="dxa"/>
          </w:tcPr>
          <w:p w14:paraId="62F6D7B3" w14:textId="77777777" w:rsidR="00002A76" w:rsidRPr="00836B4F" w:rsidRDefault="00AB0CD8" w:rsidP="00AB0CD8">
            <w:pPr>
              <w:spacing w:before="240" w:line="240" w:lineRule="exact"/>
              <w:ind w:left="143"/>
            </w:pPr>
            <w:r w:rsidRPr="00836B4F">
              <w:t>Distr.: General</w:t>
            </w:r>
          </w:p>
          <w:p w14:paraId="022D08CF" w14:textId="01279728" w:rsidR="00AB0CD8" w:rsidRPr="00836B4F" w:rsidRDefault="00AB0CD8" w:rsidP="00AB0CD8">
            <w:pPr>
              <w:spacing w:line="240" w:lineRule="exact"/>
              <w:ind w:left="143"/>
            </w:pPr>
            <w:r w:rsidRPr="00836B4F">
              <w:t>15 March 2024</w:t>
            </w:r>
          </w:p>
          <w:p w14:paraId="622BEF13" w14:textId="77777777" w:rsidR="00AB0CD8" w:rsidRPr="00836B4F" w:rsidRDefault="00AB0CD8" w:rsidP="00AB0CD8">
            <w:pPr>
              <w:spacing w:line="240" w:lineRule="exact"/>
              <w:ind w:left="143"/>
            </w:pPr>
          </w:p>
          <w:p w14:paraId="5E827F67" w14:textId="4A7F92B4" w:rsidR="00AB0CD8" w:rsidRPr="00836B4F" w:rsidRDefault="00AB0CD8" w:rsidP="00AB0CD8">
            <w:pPr>
              <w:spacing w:line="240" w:lineRule="exact"/>
              <w:ind w:left="143"/>
            </w:pPr>
            <w:r w:rsidRPr="00836B4F">
              <w:t>Original: English</w:t>
            </w:r>
          </w:p>
        </w:tc>
      </w:tr>
    </w:tbl>
    <w:p w14:paraId="647D5FDF" w14:textId="77777777" w:rsidR="0016173E" w:rsidRDefault="0016173E" w:rsidP="0016173E">
      <w:pPr>
        <w:spacing w:before="120"/>
        <w:rPr>
          <w:b/>
          <w:sz w:val="24"/>
          <w:szCs w:val="24"/>
        </w:rPr>
      </w:pPr>
      <w:r>
        <w:rPr>
          <w:b/>
          <w:sz w:val="24"/>
          <w:szCs w:val="24"/>
        </w:rPr>
        <w:t>Conference of the Parties</w:t>
      </w:r>
      <w:r w:rsidRPr="008B33C9">
        <w:rPr>
          <w:b/>
          <w:sz w:val="24"/>
          <w:szCs w:val="24"/>
        </w:rPr>
        <w:t xml:space="preserve"> </w:t>
      </w:r>
      <w:bookmarkStart w:id="0" w:name="_Hlk75869726"/>
      <w:r>
        <w:rPr>
          <w:b/>
          <w:sz w:val="24"/>
          <w:szCs w:val="24"/>
        </w:rPr>
        <w:t xml:space="preserve">serving as the meeting </w:t>
      </w:r>
      <w:r>
        <w:rPr>
          <w:b/>
          <w:sz w:val="24"/>
          <w:szCs w:val="24"/>
        </w:rPr>
        <w:br/>
        <w:t>of the Parties to the Kyoto Protocol</w:t>
      </w:r>
      <w:bookmarkEnd w:id="0"/>
    </w:p>
    <w:p w14:paraId="38D3E4EC" w14:textId="4A78FB77" w:rsidR="0016173E" w:rsidRDefault="0016173E" w:rsidP="00EA119B">
      <w:pPr>
        <w:pStyle w:val="RegHChG"/>
        <w:ind w:left="1135" w:hanging="454"/>
      </w:pPr>
      <w:bookmarkStart w:id="1" w:name="_Toc161219943"/>
      <w:r>
        <w:t>R</w:t>
      </w:r>
      <w:r w:rsidRPr="00DE51A7">
        <w:t xml:space="preserve">eport of the </w:t>
      </w:r>
      <w:r>
        <w:t xml:space="preserve">Conference of the Parties </w:t>
      </w:r>
      <w:r w:rsidRPr="008B33C9">
        <w:t xml:space="preserve">serving as the meeting of the Parties to the </w:t>
      </w:r>
      <w:r>
        <w:t xml:space="preserve">Kyoto Protocol on its </w:t>
      </w:r>
      <w:r>
        <w:br/>
      </w:r>
      <w:r w:rsidR="00D93AB3">
        <w:t>eighteenth</w:t>
      </w:r>
      <w:r>
        <w:t xml:space="preserve"> session, held in </w:t>
      </w:r>
      <w:r w:rsidR="009B771D">
        <w:t>the United Arab Emirates</w:t>
      </w:r>
      <w:r>
        <w:t xml:space="preserve"> from</w:t>
      </w:r>
      <w:r w:rsidR="001E2989">
        <w:t> </w:t>
      </w:r>
      <w:r>
        <w:t>3</w:t>
      </w:r>
      <w:r w:rsidR="001F0F6F">
        <w:t>0</w:t>
      </w:r>
      <w:r w:rsidR="001E2989">
        <w:t> </w:t>
      </w:r>
      <w:r w:rsidR="001F0F6F">
        <w:t>November</w:t>
      </w:r>
      <w:r>
        <w:t xml:space="preserve"> to 1</w:t>
      </w:r>
      <w:r w:rsidR="001F6D29">
        <w:t>3</w:t>
      </w:r>
      <w:r>
        <w:t xml:space="preserve"> </w:t>
      </w:r>
      <w:r w:rsidR="001F0F6F">
        <w:t>December 2023</w:t>
      </w:r>
      <w:bookmarkEnd w:id="1"/>
    </w:p>
    <w:p w14:paraId="153F91BF" w14:textId="77777777" w:rsidR="00E25C57" w:rsidRDefault="00E25C57" w:rsidP="00EA119B">
      <w:pPr>
        <w:pStyle w:val="RegH1G"/>
        <w:ind w:left="1134" w:hanging="454"/>
      </w:pPr>
      <w:bookmarkStart w:id="2" w:name="_Toc120701103"/>
      <w:bookmarkStart w:id="3" w:name="_Toc161219944"/>
      <w:r w:rsidRPr="00BF288E">
        <w:t>Addendum</w:t>
      </w:r>
      <w:bookmarkEnd w:id="2"/>
      <w:bookmarkEnd w:id="3"/>
    </w:p>
    <w:p w14:paraId="445238F2" w14:textId="21C62E99" w:rsidR="00290C05" w:rsidRDefault="00290C05" w:rsidP="00EA119B">
      <w:pPr>
        <w:pStyle w:val="RegH1G"/>
        <w:ind w:left="1134" w:hanging="454"/>
      </w:pPr>
      <w:bookmarkStart w:id="4" w:name="_Toc161219945"/>
      <w:r>
        <w:t xml:space="preserve">Part two: Action taken by the Conference of the Parties serving as the meeting of the Parties to the Kyoto Protocol at its </w:t>
      </w:r>
      <w:r w:rsidR="00811F91">
        <w:t>eigh</w:t>
      </w:r>
      <w:r>
        <w:t>teenth session</w:t>
      </w:r>
      <w:bookmarkEnd w:id="4"/>
    </w:p>
    <w:p w14:paraId="7721D3FD" w14:textId="2F25A368" w:rsidR="003C23BE" w:rsidRPr="00B202E8" w:rsidRDefault="003C23BE" w:rsidP="00B202E8">
      <w:pPr>
        <w:spacing w:after="120"/>
        <w:rPr>
          <w:sz w:val="28"/>
        </w:rPr>
      </w:pPr>
      <w:r w:rsidRPr="00B202E8">
        <w:rPr>
          <w:sz w:val="28"/>
        </w:rPr>
        <w:t>Contents</w:t>
      </w:r>
    </w:p>
    <w:p w14:paraId="7AF329A8" w14:textId="579605E2" w:rsidR="00A12DCE" w:rsidRPr="00A12DCE" w:rsidRDefault="00A12DCE" w:rsidP="00EA119B">
      <w:pPr>
        <w:pStyle w:val="RegHChG"/>
        <w:ind w:left="1135" w:hanging="454"/>
      </w:pPr>
      <w:bookmarkStart w:id="5" w:name="_Toc161219946"/>
      <w:r>
        <w:t>Decisions adopted by the Conference of the Parties serving as the meeting of the Parties to the Kyoto Protocol</w:t>
      </w:r>
      <w:bookmarkEnd w:id="5"/>
    </w:p>
    <w:p w14:paraId="66A003EF" w14:textId="629E6D61" w:rsidR="00A16B18" w:rsidRPr="00180806" w:rsidRDefault="00A16B18" w:rsidP="00E77015">
      <w:pPr>
        <w:tabs>
          <w:tab w:val="right" w:pos="9638"/>
        </w:tabs>
        <w:spacing w:after="120"/>
        <w:ind w:left="283" w:firstLine="851"/>
      </w:pPr>
      <w:r w:rsidRPr="00180806">
        <w:rPr>
          <w:i/>
        </w:rPr>
        <w:t>Decision</w:t>
      </w:r>
      <w:r w:rsidRPr="00180806">
        <w:rPr>
          <w:i/>
        </w:rPr>
        <w:tab/>
        <w:t>Page</w:t>
      </w:r>
    </w:p>
    <w:p w14:paraId="2A580601" w14:textId="6B49EB3D" w:rsidR="00A16B18" w:rsidRPr="00180806" w:rsidRDefault="00000000" w:rsidP="0062123D">
      <w:pPr>
        <w:pStyle w:val="TOC1"/>
      </w:pPr>
      <w:hyperlink w:anchor="Decision1" w:history="1">
        <w:r w:rsidR="00A16B18" w:rsidRPr="0069565A">
          <w:rPr>
            <w:rStyle w:val="Hyperlink"/>
          </w:rPr>
          <w:t>1/C</w:t>
        </w:r>
        <w:r w:rsidR="0008755C" w:rsidRPr="0069565A">
          <w:rPr>
            <w:rStyle w:val="Hyperlink"/>
          </w:rPr>
          <w:t>M</w:t>
        </w:r>
        <w:r w:rsidR="00A16B18" w:rsidRPr="0069565A">
          <w:rPr>
            <w:rStyle w:val="Hyperlink"/>
          </w:rPr>
          <w:t>P.</w:t>
        </w:r>
        <w:r w:rsidR="00DA6C71" w:rsidRPr="0069565A">
          <w:rPr>
            <w:rStyle w:val="Hyperlink"/>
          </w:rPr>
          <w:t>1</w:t>
        </w:r>
        <w:r w:rsidR="00A16B18" w:rsidRPr="0069565A">
          <w:rPr>
            <w:rStyle w:val="Hyperlink"/>
          </w:rPr>
          <w:t>8</w:t>
        </w:r>
      </w:hyperlink>
      <w:r w:rsidR="0062123D">
        <w:tab/>
      </w:r>
      <w:r w:rsidR="00A77F23" w:rsidRPr="00180806">
        <w:t>Guidance relating to the clean development mechanis</w:t>
      </w:r>
      <w:r w:rsidR="00E356A5" w:rsidRPr="00180806">
        <w:t>m</w:t>
      </w:r>
      <w:r w:rsidR="00A16B18" w:rsidRPr="00180806">
        <w:tab/>
      </w:r>
      <w:r w:rsidR="00A16B18" w:rsidRPr="00180806">
        <w:tab/>
      </w:r>
      <w:r w:rsidR="003E3854" w:rsidRPr="00180806">
        <w:t>2</w:t>
      </w:r>
    </w:p>
    <w:p w14:paraId="6411007A" w14:textId="2B3CB45F" w:rsidR="008B11D6" w:rsidRPr="00180806" w:rsidRDefault="00000000" w:rsidP="0062123D">
      <w:pPr>
        <w:pStyle w:val="TOC1"/>
      </w:pPr>
      <w:hyperlink w:anchor="Decision2" w:history="1">
        <w:r w:rsidR="00B31ED8" w:rsidRPr="0069565A">
          <w:rPr>
            <w:rStyle w:val="Hyperlink"/>
          </w:rPr>
          <w:t>2/CMP.18</w:t>
        </w:r>
      </w:hyperlink>
      <w:r w:rsidR="0062123D">
        <w:tab/>
      </w:r>
      <w:r w:rsidR="00B31ED8" w:rsidRPr="00180806">
        <w:t>Matteres relating to joint implementation</w:t>
      </w:r>
      <w:r w:rsidR="00B31ED8" w:rsidRPr="00180806">
        <w:tab/>
      </w:r>
      <w:r w:rsidR="00B31ED8" w:rsidRPr="00180806">
        <w:tab/>
      </w:r>
      <w:r w:rsidR="003E3854" w:rsidRPr="00180806">
        <w:t>6</w:t>
      </w:r>
    </w:p>
    <w:p w14:paraId="0FB7B0D4" w14:textId="6974DE73" w:rsidR="00A16B18" w:rsidRPr="00180806" w:rsidRDefault="00000000" w:rsidP="0062123D">
      <w:pPr>
        <w:pStyle w:val="TOC1"/>
      </w:pPr>
      <w:hyperlink w:anchor="Decision3" w:history="1">
        <w:r w:rsidR="008B11D6" w:rsidRPr="0069565A">
          <w:rPr>
            <w:rStyle w:val="Hyperlink"/>
          </w:rPr>
          <w:t>3</w:t>
        </w:r>
        <w:r w:rsidR="00FD780E" w:rsidRPr="0069565A">
          <w:rPr>
            <w:rStyle w:val="Hyperlink"/>
          </w:rPr>
          <w:t>/CMP.18</w:t>
        </w:r>
      </w:hyperlink>
      <w:r w:rsidR="0062123D">
        <w:tab/>
      </w:r>
      <w:r w:rsidR="00D6711E" w:rsidRPr="00180806">
        <w:t>Matteres relating to the Adaptation Fund</w:t>
      </w:r>
      <w:r w:rsidR="00FD780E" w:rsidRPr="00180806">
        <w:tab/>
      </w:r>
      <w:r w:rsidR="00FD780E" w:rsidRPr="00180806">
        <w:tab/>
      </w:r>
      <w:r w:rsidR="003E3854" w:rsidRPr="00180806">
        <w:t>7</w:t>
      </w:r>
    </w:p>
    <w:p w14:paraId="15076D4A" w14:textId="6B4A6E1B" w:rsidR="00A16B18" w:rsidRPr="00180806" w:rsidRDefault="00000000" w:rsidP="0080726C">
      <w:pPr>
        <w:pStyle w:val="TOC1"/>
        <w:ind w:left="2259" w:hanging="1125"/>
      </w:pPr>
      <w:hyperlink w:anchor="Decision4" w:history="1">
        <w:r w:rsidR="00A16B18" w:rsidRPr="0069565A">
          <w:rPr>
            <w:rStyle w:val="Hyperlink"/>
          </w:rPr>
          <w:t>4/C</w:t>
        </w:r>
        <w:r w:rsidR="0008755C" w:rsidRPr="0069565A">
          <w:rPr>
            <w:rStyle w:val="Hyperlink"/>
          </w:rPr>
          <w:t>M</w:t>
        </w:r>
        <w:r w:rsidR="00A16B18" w:rsidRPr="0069565A">
          <w:rPr>
            <w:rStyle w:val="Hyperlink"/>
          </w:rPr>
          <w:t>P.</w:t>
        </w:r>
        <w:r w:rsidR="00DA6C71" w:rsidRPr="0069565A">
          <w:rPr>
            <w:rStyle w:val="Hyperlink"/>
          </w:rPr>
          <w:t>1</w:t>
        </w:r>
        <w:r w:rsidR="00A16B18" w:rsidRPr="0069565A">
          <w:rPr>
            <w:rStyle w:val="Hyperlink"/>
          </w:rPr>
          <w:t>8</w:t>
        </w:r>
      </w:hyperlink>
      <w:r w:rsidR="00A16B18" w:rsidRPr="00180806">
        <w:tab/>
      </w:r>
      <w:r w:rsidR="00AD457B" w:rsidRPr="00BB6BB3">
        <w:t xml:space="preserve">Review of the functions, work programme and modalities of the forum on </w:t>
      </w:r>
      <w:r w:rsidR="008262E8">
        <w:br/>
      </w:r>
      <w:r w:rsidR="00AD457B" w:rsidRPr="00BB6BB3">
        <w:t>the impact of the implementation of response measure</w:t>
      </w:r>
      <w:r w:rsidR="00AD457B">
        <w:t>s</w:t>
      </w:r>
      <w:r w:rsidR="00AD457B" w:rsidRPr="00BB6BB3">
        <w:t xml:space="preserve">, midterm review of </w:t>
      </w:r>
      <w:r w:rsidR="0080726C">
        <w:br/>
      </w:r>
      <w:r w:rsidR="00AD457B" w:rsidRPr="00BB6BB3">
        <w:t>the workplan and report of the forum</w:t>
      </w:r>
      <w:r w:rsidR="00A16B18" w:rsidRPr="00180806">
        <w:tab/>
      </w:r>
      <w:r w:rsidR="00A16B18" w:rsidRPr="00180806">
        <w:tab/>
      </w:r>
      <w:r w:rsidR="003E3854" w:rsidRPr="00180806">
        <w:t>10</w:t>
      </w:r>
    </w:p>
    <w:p w14:paraId="58F8732B" w14:textId="73506405" w:rsidR="00A16B18" w:rsidRPr="00180806" w:rsidRDefault="00000000" w:rsidP="0062123D">
      <w:pPr>
        <w:pStyle w:val="TOC1"/>
      </w:pPr>
      <w:hyperlink w:anchor="Decision5" w:history="1">
        <w:r w:rsidR="00A16B18" w:rsidRPr="0069565A">
          <w:rPr>
            <w:rStyle w:val="Hyperlink"/>
          </w:rPr>
          <w:t>5/C</w:t>
        </w:r>
        <w:r w:rsidR="0008755C" w:rsidRPr="0069565A">
          <w:rPr>
            <w:rStyle w:val="Hyperlink"/>
          </w:rPr>
          <w:t>M</w:t>
        </w:r>
        <w:r w:rsidR="00A16B18" w:rsidRPr="0069565A">
          <w:rPr>
            <w:rStyle w:val="Hyperlink"/>
          </w:rPr>
          <w:t>P.</w:t>
        </w:r>
        <w:r w:rsidR="00DA6C71" w:rsidRPr="0069565A">
          <w:rPr>
            <w:rStyle w:val="Hyperlink"/>
          </w:rPr>
          <w:t>1</w:t>
        </w:r>
        <w:r w:rsidR="00A16B18" w:rsidRPr="0069565A">
          <w:rPr>
            <w:rStyle w:val="Hyperlink"/>
          </w:rPr>
          <w:t>8</w:t>
        </w:r>
      </w:hyperlink>
      <w:r w:rsidR="00A16B18" w:rsidRPr="00180806">
        <w:tab/>
      </w:r>
      <w:r w:rsidR="00F9039B" w:rsidRPr="00180806">
        <w:t>Administrative</w:t>
      </w:r>
      <w:r w:rsidR="00C75688" w:rsidRPr="00180806">
        <w:t>,financial an</w:t>
      </w:r>
      <w:r w:rsidR="00F8748B">
        <w:t>d</w:t>
      </w:r>
      <w:r w:rsidR="00C75688" w:rsidRPr="00180806">
        <w:t xml:space="preserve"> institutional m</w:t>
      </w:r>
      <w:r w:rsidR="00A16B18" w:rsidRPr="00180806">
        <w:t xml:space="preserve">atters </w:t>
      </w:r>
      <w:r w:rsidR="00A16B18" w:rsidRPr="00180806">
        <w:tab/>
      </w:r>
      <w:r w:rsidR="00A16B18" w:rsidRPr="00180806">
        <w:tab/>
      </w:r>
      <w:r w:rsidR="003E3854" w:rsidRPr="00180806">
        <w:t>18</w:t>
      </w:r>
    </w:p>
    <w:p w14:paraId="4E6716CE" w14:textId="2A509685" w:rsidR="00A16B18" w:rsidRPr="00180806" w:rsidRDefault="00000000" w:rsidP="0062123D">
      <w:pPr>
        <w:pStyle w:val="TOC1"/>
      </w:pPr>
      <w:hyperlink w:anchor="Decision6" w:history="1">
        <w:r w:rsidR="00A16B18" w:rsidRPr="0069565A">
          <w:rPr>
            <w:rStyle w:val="Hyperlink"/>
          </w:rPr>
          <w:t>6/C</w:t>
        </w:r>
        <w:r w:rsidR="0008755C" w:rsidRPr="0069565A">
          <w:rPr>
            <w:rStyle w:val="Hyperlink"/>
          </w:rPr>
          <w:t>M</w:t>
        </w:r>
        <w:r w:rsidR="00A16B18" w:rsidRPr="0069565A">
          <w:rPr>
            <w:rStyle w:val="Hyperlink"/>
          </w:rPr>
          <w:t>P.</w:t>
        </w:r>
        <w:r w:rsidR="00DA6C71" w:rsidRPr="0069565A">
          <w:rPr>
            <w:rStyle w:val="Hyperlink"/>
          </w:rPr>
          <w:t>1</w:t>
        </w:r>
        <w:r w:rsidR="00A16B18" w:rsidRPr="0069565A">
          <w:rPr>
            <w:rStyle w:val="Hyperlink"/>
          </w:rPr>
          <w:t>8</w:t>
        </w:r>
      </w:hyperlink>
      <w:r w:rsidR="00A16B18" w:rsidRPr="00180806">
        <w:tab/>
      </w:r>
      <w:r w:rsidR="00793284" w:rsidRPr="00180806">
        <w:t xml:space="preserve">Budget </w:t>
      </w:r>
      <w:r w:rsidR="007B0D1F" w:rsidRPr="00180806">
        <w:t>for the international transaction</w:t>
      </w:r>
      <w:r w:rsidR="009E50DD">
        <w:t xml:space="preserve"> log</w:t>
      </w:r>
      <w:r w:rsidR="00793284" w:rsidRPr="00180806">
        <w:tab/>
      </w:r>
      <w:r w:rsidR="00793284" w:rsidRPr="00180806">
        <w:tab/>
      </w:r>
      <w:r w:rsidR="006C57BE" w:rsidRPr="00180806">
        <w:t>24</w:t>
      </w:r>
    </w:p>
    <w:p w14:paraId="5ACE79B4" w14:textId="23DB325B" w:rsidR="00E7480F" w:rsidRPr="00180806" w:rsidRDefault="00000000" w:rsidP="0062123D">
      <w:pPr>
        <w:pStyle w:val="TOC1"/>
      </w:pPr>
      <w:hyperlink w:anchor="Decision7" w:history="1">
        <w:r w:rsidR="00A16B18" w:rsidRPr="0069565A">
          <w:rPr>
            <w:rStyle w:val="Hyperlink"/>
          </w:rPr>
          <w:t>7/C</w:t>
        </w:r>
        <w:r w:rsidR="003908A9" w:rsidRPr="0069565A">
          <w:rPr>
            <w:rStyle w:val="Hyperlink"/>
          </w:rPr>
          <w:t>M</w:t>
        </w:r>
        <w:r w:rsidR="00A16B18" w:rsidRPr="0069565A">
          <w:rPr>
            <w:rStyle w:val="Hyperlink"/>
          </w:rPr>
          <w:t>P.</w:t>
        </w:r>
        <w:r w:rsidR="00FD263F" w:rsidRPr="0069565A">
          <w:rPr>
            <w:rStyle w:val="Hyperlink"/>
          </w:rPr>
          <w:t>1</w:t>
        </w:r>
        <w:r w:rsidR="00A16B18" w:rsidRPr="0069565A">
          <w:rPr>
            <w:rStyle w:val="Hyperlink"/>
          </w:rPr>
          <w:t>8</w:t>
        </w:r>
      </w:hyperlink>
      <w:r w:rsidR="00A16B18" w:rsidRPr="00180806">
        <w:tab/>
      </w:r>
      <w:r w:rsidR="003908A9" w:rsidRPr="00180806">
        <w:t>Administrative,financial an institutional matters</w:t>
      </w:r>
      <w:r w:rsidR="00A16B18" w:rsidRPr="00180806">
        <w:t xml:space="preserve"> </w:t>
      </w:r>
      <w:r w:rsidR="00A16B18" w:rsidRPr="00180806">
        <w:tab/>
      </w:r>
      <w:r w:rsidR="009B7877" w:rsidRPr="00180806">
        <w:tab/>
      </w:r>
      <w:r w:rsidR="006C57BE" w:rsidRPr="00180806">
        <w:t>25</w:t>
      </w:r>
    </w:p>
    <w:p w14:paraId="342592F4" w14:textId="50A1A7C5" w:rsidR="000022BD" w:rsidRPr="0062123D" w:rsidRDefault="00FD263F" w:rsidP="0062123D">
      <w:pPr>
        <w:pStyle w:val="TOC1"/>
      </w:pPr>
      <w:r>
        <w:rPr>
          <w:i/>
        </w:rPr>
        <w:t>R</w:t>
      </w:r>
      <w:r w:rsidRPr="00180806">
        <w:rPr>
          <w:i/>
        </w:rPr>
        <w:t>e</w:t>
      </w:r>
      <w:r>
        <w:rPr>
          <w:i/>
        </w:rPr>
        <w:t>solution</w:t>
      </w:r>
      <w:r w:rsidRPr="0062123D">
        <w:t xml:space="preserve"> </w:t>
      </w:r>
    </w:p>
    <w:p w14:paraId="01A3EE63" w14:textId="6615A3ED" w:rsidR="00E7480F" w:rsidRPr="00180806" w:rsidRDefault="00000000" w:rsidP="0062123D">
      <w:pPr>
        <w:pStyle w:val="TOC1"/>
      </w:pPr>
      <w:hyperlink w:anchor="Resolution1" w:history="1">
        <w:r w:rsidR="00FD263F" w:rsidRPr="0069565A">
          <w:rPr>
            <w:rStyle w:val="Hyperlink"/>
          </w:rPr>
          <w:t>1/CMP.18</w:t>
        </w:r>
      </w:hyperlink>
      <w:r w:rsidR="000022BD">
        <w:tab/>
      </w:r>
      <w:r w:rsidR="00E678D1" w:rsidRPr="39ADC7C6">
        <w:t>Expression of gratitude to the Government of the United Arab Emirates</w:t>
      </w:r>
      <w:r w:rsidR="00E7480F" w:rsidRPr="00180806">
        <w:tab/>
      </w:r>
      <w:r w:rsidR="00E7480F" w:rsidRPr="00180806">
        <w:tab/>
      </w:r>
      <w:r w:rsidR="006C57BE" w:rsidRPr="00180806">
        <w:t>27</w:t>
      </w:r>
    </w:p>
    <w:p w14:paraId="18CBC026" w14:textId="64463C2A" w:rsidR="00E7480F" w:rsidRPr="005D64D5" w:rsidRDefault="00E7480F" w:rsidP="00E7480F">
      <w:pPr>
        <w:tabs>
          <w:tab w:val="right" w:pos="850"/>
          <w:tab w:val="left" w:pos="1134"/>
          <w:tab w:val="left" w:pos="1559"/>
          <w:tab w:val="left" w:pos="1984"/>
          <w:tab w:val="center" w:leader="dot" w:pos="8929"/>
          <w:tab w:val="right" w:pos="9638"/>
        </w:tabs>
        <w:spacing w:after="120"/>
        <w:sectPr w:rsidR="00E7480F" w:rsidRPr="005D64D5" w:rsidSect="00AB0CD8">
          <w:headerReference w:type="even" r:id="rId15"/>
          <w:headerReference w:type="default" r:id="rId16"/>
          <w:footerReference w:type="even" r:id="rId17"/>
          <w:footerReference w:type="default" r:id="rId18"/>
          <w:headerReference w:type="first" r:id="rId19"/>
          <w:footnotePr>
            <w:numRestart w:val="eachSect"/>
          </w:footnotePr>
          <w:pgSz w:w="11906" w:h="16838" w:code="9"/>
          <w:pgMar w:top="1417" w:right="1134" w:bottom="1134" w:left="1134" w:header="850" w:footer="567" w:gutter="0"/>
          <w:cols w:space="708"/>
          <w:titlePg/>
          <w:docGrid w:linePitch="360"/>
        </w:sectPr>
      </w:pPr>
    </w:p>
    <w:p w14:paraId="2B43D6D9" w14:textId="50563974" w:rsidR="008523D4" w:rsidRPr="004B40DB" w:rsidRDefault="00B83A4D" w:rsidP="00EA119B">
      <w:pPr>
        <w:pStyle w:val="RegHChG"/>
        <w:ind w:hanging="454"/>
      </w:pPr>
      <w:r>
        <w:lastRenderedPageBreak/>
        <w:tab/>
      </w:r>
      <w:r>
        <w:tab/>
      </w:r>
      <w:bookmarkStart w:id="6" w:name="Decision1"/>
      <w:bookmarkStart w:id="7" w:name="_Toc161219947"/>
      <w:bookmarkEnd w:id="6"/>
      <w:r w:rsidR="008523D4" w:rsidRPr="004B40DB">
        <w:t xml:space="preserve">Decision </w:t>
      </w:r>
      <w:r w:rsidR="00A6022F" w:rsidRPr="004B40DB">
        <w:t>1</w:t>
      </w:r>
      <w:r w:rsidR="008523D4" w:rsidRPr="004B40DB">
        <w:t>/CMP.18</w:t>
      </w:r>
      <w:bookmarkEnd w:id="7"/>
    </w:p>
    <w:p w14:paraId="0589B130" w14:textId="21AD9C40" w:rsidR="00081DEE" w:rsidRPr="009B600A" w:rsidRDefault="00B83A4D" w:rsidP="00B83A4D">
      <w:pPr>
        <w:pStyle w:val="HChG"/>
        <w:tabs>
          <w:tab w:val="left" w:pos="1560"/>
        </w:tabs>
      </w:pPr>
      <w:r>
        <w:tab/>
      </w:r>
      <w:r>
        <w:tab/>
      </w:r>
      <w:r w:rsidR="008414DE">
        <w:t>Guidance</w:t>
      </w:r>
      <w:r w:rsidR="006B743A" w:rsidRPr="006B743A">
        <w:t xml:space="preserve"> relating to the clean development mechanism</w:t>
      </w:r>
    </w:p>
    <w:p w14:paraId="0E5F2FC8" w14:textId="77777777" w:rsidR="00081DEE" w:rsidRDefault="00081DEE" w:rsidP="00FE3332">
      <w:pPr>
        <w:pStyle w:val="SingleTxtG"/>
        <w:ind w:firstLine="567"/>
      </w:pPr>
      <w:r w:rsidRPr="133B3811">
        <w:rPr>
          <w:i/>
          <w:iCs/>
        </w:rPr>
        <w:t xml:space="preserve">The Conference of the Parties serving as the meeting of the Parties to the </w:t>
      </w:r>
      <w:r>
        <w:rPr>
          <w:i/>
          <w:iCs/>
        </w:rPr>
        <w:t>Kyoto Protocol</w:t>
      </w:r>
      <w:r w:rsidRPr="003C7974">
        <w:t>,</w:t>
      </w:r>
    </w:p>
    <w:p w14:paraId="74B8C35D" w14:textId="6B09D2A2" w:rsidR="00081DEE" w:rsidRDefault="00081DEE" w:rsidP="00BA7DE1">
      <w:pPr>
        <w:pStyle w:val="SingleTxtG"/>
        <w:spacing w:line="240" w:lineRule="exact"/>
        <w:ind w:firstLine="567"/>
      </w:pPr>
      <w:r w:rsidRPr="003F6FE8">
        <w:rPr>
          <w:i/>
          <w:iCs/>
        </w:rPr>
        <w:t>Recalling</w:t>
      </w:r>
      <w:r w:rsidRPr="0041074D">
        <w:t xml:space="preserve"> Articles 3 and 12 of the Kyoto Protocol,</w:t>
      </w:r>
    </w:p>
    <w:p w14:paraId="6F2BB5B7" w14:textId="63E2AE59" w:rsidR="00081DEE" w:rsidRPr="00BC325D" w:rsidRDefault="00081DEE" w:rsidP="00BA7DE1">
      <w:pPr>
        <w:pStyle w:val="SingleTxtG"/>
        <w:spacing w:line="240" w:lineRule="exact"/>
        <w:ind w:firstLine="567"/>
      </w:pPr>
      <w:r w:rsidRPr="00D149A2">
        <w:rPr>
          <w:i/>
          <w:iCs/>
        </w:rPr>
        <w:t>Also recalling</w:t>
      </w:r>
      <w:r w:rsidRPr="00D149A2">
        <w:t xml:space="preserve"> that participation in a </w:t>
      </w:r>
      <w:r>
        <w:t>clean development mechanism</w:t>
      </w:r>
      <w:r w:rsidRPr="00D149A2">
        <w:t xml:space="preserve"> project activity is voluntary,</w:t>
      </w:r>
      <w:r w:rsidRPr="00D149A2">
        <w:rPr>
          <w:rStyle w:val="FootnoteReference"/>
        </w:rPr>
        <w:footnoteReference w:id="2"/>
      </w:r>
    </w:p>
    <w:p w14:paraId="7AE71780" w14:textId="77777777" w:rsidR="00081DEE" w:rsidRPr="00BC325D" w:rsidRDefault="00081DEE" w:rsidP="00BA7DE1">
      <w:pPr>
        <w:pStyle w:val="SingleTxtG"/>
        <w:spacing w:line="240" w:lineRule="exact"/>
        <w:ind w:firstLine="567"/>
      </w:pPr>
      <w:r>
        <w:rPr>
          <w:i/>
          <w:iCs/>
        </w:rPr>
        <w:t>Further</w:t>
      </w:r>
      <w:r w:rsidRPr="003F6FE8">
        <w:rPr>
          <w:i/>
          <w:iCs/>
        </w:rPr>
        <w:t xml:space="preserve"> recalling</w:t>
      </w:r>
      <w:r w:rsidRPr="0041074D">
        <w:t xml:space="preserve"> decision 3/CMP.1 and subsequent guidance provided by the Conference of the Parties serving as the meeting of the Parties to the Kyoto Protocol relating to the clean development mechanism,</w:t>
      </w:r>
    </w:p>
    <w:p w14:paraId="0E7D8A9B" w14:textId="77777777" w:rsidR="00081DEE" w:rsidRPr="00F86478" w:rsidRDefault="00081DEE" w:rsidP="00BA7DE1">
      <w:pPr>
        <w:pStyle w:val="SingleTxtG"/>
        <w:spacing w:line="240" w:lineRule="exact"/>
        <w:ind w:firstLine="567"/>
      </w:pPr>
      <w:r w:rsidRPr="003F6FE8">
        <w:rPr>
          <w:i/>
          <w:iCs/>
        </w:rPr>
        <w:t>Acknowledging</w:t>
      </w:r>
      <w:r w:rsidRPr="0041074D">
        <w:t xml:space="preserve"> the contribution to global efforts to address climate change of the </w:t>
      </w:r>
      <w:r>
        <w:t>clean development mechanism</w:t>
      </w:r>
      <w:r w:rsidRPr="0041074D">
        <w:t xml:space="preserve">, which as at </w:t>
      </w:r>
      <w:r>
        <w:t>10</w:t>
      </w:r>
      <w:r w:rsidRPr="009341F8">
        <w:t xml:space="preserve"> December 2023</w:t>
      </w:r>
      <w:r w:rsidRPr="0041074D">
        <w:t xml:space="preserve"> was responsible for </w:t>
      </w:r>
      <w:r w:rsidRPr="00854203">
        <w:t>7,840</w:t>
      </w:r>
      <w:r w:rsidRPr="00854203">
        <w:rPr>
          <w:rStyle w:val="FootnoteReference"/>
        </w:rPr>
        <w:footnoteReference w:id="3"/>
      </w:r>
      <w:r w:rsidRPr="0041074D">
        <w:t xml:space="preserve"> project activities being registered, </w:t>
      </w:r>
      <w:r w:rsidRPr="00854203">
        <w:t>353</w:t>
      </w:r>
      <w:r w:rsidRPr="00854203">
        <w:rPr>
          <w:rStyle w:val="FootnoteReference"/>
        </w:rPr>
        <w:footnoteReference w:id="4"/>
      </w:r>
      <w:r w:rsidRPr="0041074D">
        <w:t xml:space="preserve"> programmes of activities being registered and </w:t>
      </w:r>
      <w:r w:rsidRPr="009341F8">
        <w:t xml:space="preserve">more than </w:t>
      </w:r>
      <w:r w:rsidRPr="00854203">
        <w:t>2.42</w:t>
      </w:r>
      <w:r w:rsidRPr="009341F8">
        <w:t xml:space="preserve"> billion</w:t>
      </w:r>
      <w:r w:rsidRPr="0041074D">
        <w:t xml:space="preserve"> certified emission reductions being issued, of which </w:t>
      </w:r>
      <w:r>
        <w:t>more than</w:t>
      </w:r>
      <w:r w:rsidRPr="0041074D">
        <w:t xml:space="preserve"> </w:t>
      </w:r>
      <w:r w:rsidRPr="00854203">
        <w:t>389</w:t>
      </w:r>
      <w:r w:rsidRPr="009341F8">
        <w:t xml:space="preserve"> million</w:t>
      </w:r>
      <w:r w:rsidRPr="0041074D">
        <w:t xml:space="preserve"> had been voluntarily cancelled either in national registries or in the </w:t>
      </w:r>
      <w:r>
        <w:t>clean development mechanism</w:t>
      </w:r>
      <w:r w:rsidRPr="0041074D">
        <w:t xml:space="preserve"> registry,</w:t>
      </w:r>
    </w:p>
    <w:p w14:paraId="013B0E97" w14:textId="15E418AA" w:rsidR="00081DEE" w:rsidRPr="00F86478" w:rsidRDefault="00081DEE" w:rsidP="00BA7DE1">
      <w:pPr>
        <w:pStyle w:val="SingleTxtG"/>
        <w:spacing w:line="240" w:lineRule="exact"/>
        <w:ind w:firstLine="567"/>
      </w:pPr>
      <w:r w:rsidRPr="003F6FE8">
        <w:rPr>
          <w:i/>
          <w:iCs/>
        </w:rPr>
        <w:t>Cognizant</w:t>
      </w:r>
      <w:r w:rsidRPr="00F86478">
        <w:rPr>
          <w:i/>
          <w:iCs/>
        </w:rPr>
        <w:t xml:space="preserve"> </w:t>
      </w:r>
      <w:r w:rsidRPr="008E544B">
        <w:rPr>
          <w:i/>
        </w:rPr>
        <w:t>of</w:t>
      </w:r>
      <w:r w:rsidRPr="008459AD">
        <w:t xml:space="preserve"> decision </w:t>
      </w:r>
      <w:r w:rsidR="00553A2C">
        <w:t xml:space="preserve">2/CMP.17 </w:t>
      </w:r>
      <w:r w:rsidR="008317AC">
        <w:t xml:space="preserve">and </w:t>
      </w:r>
      <w:r w:rsidR="003A0568">
        <w:t xml:space="preserve">its </w:t>
      </w:r>
      <w:r w:rsidRPr="00210B97">
        <w:t>annex</w:t>
      </w:r>
      <w:r>
        <w:t>,</w:t>
      </w:r>
    </w:p>
    <w:p w14:paraId="51AB65C3" w14:textId="77777777" w:rsidR="00081DEE" w:rsidRDefault="00081DEE" w:rsidP="00BA7DE1">
      <w:pPr>
        <w:pStyle w:val="SingleTxtG"/>
        <w:spacing w:line="240" w:lineRule="exact"/>
        <w:ind w:firstLine="567"/>
      </w:pPr>
      <w:r w:rsidRPr="003F6FE8">
        <w:rPr>
          <w:i/>
          <w:iCs/>
        </w:rPr>
        <w:t>Recognizing</w:t>
      </w:r>
      <w:r w:rsidRPr="008459AD">
        <w:t xml:space="preserve"> the need for a smooth transition from the </w:t>
      </w:r>
      <w:r>
        <w:t>clean development mechanism</w:t>
      </w:r>
      <w:r w:rsidRPr="0041074D">
        <w:t xml:space="preserve"> </w:t>
      </w:r>
      <w:r w:rsidRPr="008459AD">
        <w:t>to the mechanism established by Article 6, paragraph 4, of the Paris Agreement,</w:t>
      </w:r>
    </w:p>
    <w:p w14:paraId="376BB871" w14:textId="00A334F0" w:rsidR="00081DEE" w:rsidRPr="003B700F" w:rsidRDefault="00EA119B" w:rsidP="00EA119B">
      <w:pPr>
        <w:pStyle w:val="RegHChG"/>
        <w:tabs>
          <w:tab w:val="left" w:pos="1135"/>
        </w:tabs>
        <w:ind w:left="1135" w:hanging="454"/>
      </w:pPr>
      <w:bookmarkStart w:id="8" w:name="_Toc161219948"/>
      <w:r w:rsidRPr="003B700F">
        <w:t>I.</w:t>
      </w:r>
      <w:r w:rsidRPr="003B700F">
        <w:tab/>
      </w:r>
      <w:r w:rsidR="00081DEE">
        <w:t>General</w:t>
      </w:r>
      <w:bookmarkEnd w:id="8"/>
    </w:p>
    <w:p w14:paraId="3A8F9ABF" w14:textId="050A8BD6" w:rsidR="00081DEE" w:rsidRPr="003D0874" w:rsidRDefault="00EA119B" w:rsidP="00EA119B">
      <w:pPr>
        <w:pStyle w:val="RegSingleTxtG"/>
        <w:ind w:left="1134"/>
      </w:pPr>
      <w:r w:rsidRPr="003D0874">
        <w:t>1.</w:t>
      </w:r>
      <w:r w:rsidRPr="003D0874">
        <w:tab/>
      </w:r>
      <w:r w:rsidR="00081DEE" w:rsidRPr="00E4063E">
        <w:rPr>
          <w:i/>
          <w:iCs/>
        </w:rPr>
        <w:t>Welcomes</w:t>
      </w:r>
      <w:r w:rsidR="00081DEE" w:rsidRPr="00E4063E">
        <w:t xml:space="preserve"> the </w:t>
      </w:r>
      <w:r w:rsidR="00081DEE">
        <w:t xml:space="preserve">annual </w:t>
      </w:r>
      <w:r w:rsidR="00081DEE" w:rsidRPr="00E4063E">
        <w:t>report of the Executive Board of the clean development mechanism</w:t>
      </w:r>
      <w:r w:rsidR="00081DEE">
        <w:t xml:space="preserve"> to the Conference of the Parties serving as the meeting of the Parties to the Kyoto Protocol</w:t>
      </w:r>
      <w:r w:rsidR="00081DEE" w:rsidRPr="00E4063E">
        <w:t>;</w:t>
      </w:r>
      <w:r w:rsidR="00081DEE">
        <w:rPr>
          <w:rStyle w:val="FootnoteReference"/>
        </w:rPr>
        <w:footnoteReference w:id="5"/>
      </w:r>
    </w:p>
    <w:p w14:paraId="3230671B" w14:textId="30213567" w:rsidR="00081DEE" w:rsidRDefault="00EA119B" w:rsidP="00EA119B">
      <w:pPr>
        <w:pStyle w:val="RegSingleTxtG"/>
        <w:ind w:left="1134"/>
        <w:rPr>
          <w:lang w:val="en-AU"/>
        </w:rPr>
      </w:pPr>
      <w:r>
        <w:rPr>
          <w:lang w:val="en-AU"/>
        </w:rPr>
        <w:t>2.</w:t>
      </w:r>
      <w:r>
        <w:rPr>
          <w:lang w:val="en-AU"/>
        </w:rPr>
        <w:tab/>
      </w:r>
      <w:r w:rsidR="00081DEE" w:rsidRPr="007B6D88">
        <w:rPr>
          <w:i/>
          <w:iCs/>
        </w:rPr>
        <w:t>Takes</w:t>
      </w:r>
      <w:r w:rsidR="00081DEE" w:rsidRPr="00155197">
        <w:rPr>
          <w:i/>
          <w:iCs/>
          <w:lang w:val="en-AU"/>
        </w:rPr>
        <w:t xml:space="preserve"> note</w:t>
      </w:r>
      <w:r w:rsidR="00081DEE" w:rsidRPr="00155197">
        <w:rPr>
          <w:lang w:val="en-AU"/>
        </w:rPr>
        <w:t xml:space="preserve"> of the work undertaken </w:t>
      </w:r>
      <w:r w:rsidR="00081DEE">
        <w:rPr>
          <w:lang w:val="en-AU"/>
        </w:rPr>
        <w:t xml:space="preserve">from </w:t>
      </w:r>
      <w:r w:rsidR="00081DEE">
        <w:t xml:space="preserve">9 </w:t>
      </w:r>
      <w:r w:rsidR="00081DEE" w:rsidRPr="000B3F91">
        <w:t>September</w:t>
      </w:r>
      <w:r w:rsidR="00081DEE">
        <w:t xml:space="preserve"> </w:t>
      </w:r>
      <w:r w:rsidR="00081DEE" w:rsidRPr="000B3F91">
        <w:t>202</w:t>
      </w:r>
      <w:r w:rsidR="00081DEE">
        <w:t>2</w:t>
      </w:r>
      <w:r w:rsidR="00081DEE" w:rsidRPr="000B3F91">
        <w:t xml:space="preserve"> to </w:t>
      </w:r>
      <w:r w:rsidR="00081DEE">
        <w:t xml:space="preserve">27 </w:t>
      </w:r>
      <w:r w:rsidR="00081DEE" w:rsidRPr="000B3F91">
        <w:t>September 202</w:t>
      </w:r>
      <w:r w:rsidR="00081DEE">
        <w:t>3</w:t>
      </w:r>
      <w:r w:rsidR="00081DEE" w:rsidRPr="00FC066B">
        <w:t xml:space="preserve"> </w:t>
      </w:r>
      <w:r w:rsidR="00081DEE" w:rsidRPr="00155197">
        <w:rPr>
          <w:lang w:val="en-AU"/>
        </w:rPr>
        <w:t xml:space="preserve">by the Executive Board, its panels and the secretariat in overseeing the implementation of the </w:t>
      </w:r>
      <w:r w:rsidR="00081DEE">
        <w:rPr>
          <w:lang w:val="en-AU"/>
        </w:rPr>
        <w:t xml:space="preserve">clean development </w:t>
      </w:r>
      <w:r w:rsidR="00081DEE" w:rsidRPr="00155197">
        <w:rPr>
          <w:lang w:val="en-AU"/>
        </w:rPr>
        <w:t>mechanism and maintaining stakeholder engagement in its operations;</w:t>
      </w:r>
    </w:p>
    <w:p w14:paraId="05F048DC" w14:textId="44634A2B" w:rsidR="00081DEE" w:rsidRDefault="00EA119B" w:rsidP="00EA119B">
      <w:pPr>
        <w:pStyle w:val="RegSingleTxtG"/>
        <w:ind w:left="1134"/>
        <w:rPr>
          <w:lang w:val="en-AU"/>
        </w:rPr>
      </w:pPr>
      <w:r>
        <w:rPr>
          <w:lang w:val="en-AU"/>
        </w:rPr>
        <w:t>3.</w:t>
      </w:r>
      <w:r>
        <w:rPr>
          <w:lang w:val="en-AU"/>
        </w:rPr>
        <w:tab/>
      </w:r>
      <w:r w:rsidR="00081DEE" w:rsidRPr="007B6D88">
        <w:rPr>
          <w:i/>
          <w:iCs/>
        </w:rPr>
        <w:t>Designates</w:t>
      </w:r>
      <w:r w:rsidR="00081DEE" w:rsidRPr="00944A09">
        <w:rPr>
          <w:lang w:val="en-AU"/>
        </w:rPr>
        <w:t xml:space="preserve"> as operational entities those entities that have been accredited and provisionally designated as such by the Executive Board to carry out sectoral scope-specific validation and/or verification functions as set out in the annex;</w:t>
      </w:r>
    </w:p>
    <w:p w14:paraId="6E27CF6D" w14:textId="2CBF5D19" w:rsidR="00081DEE" w:rsidRPr="00907F28" w:rsidRDefault="00EA119B" w:rsidP="00EA119B">
      <w:pPr>
        <w:pStyle w:val="RegSingleTxtG"/>
        <w:ind w:left="1134"/>
        <w:rPr>
          <w:bCs/>
        </w:rPr>
      </w:pPr>
      <w:bookmarkStart w:id="9" w:name="_Ref152954648"/>
      <w:bookmarkStart w:id="10" w:name="_Ref155708370"/>
      <w:r w:rsidRPr="00907F28">
        <w:rPr>
          <w:bCs/>
        </w:rPr>
        <w:t>4.</w:t>
      </w:r>
      <w:r w:rsidRPr="00907F28">
        <w:rPr>
          <w:bCs/>
        </w:rPr>
        <w:tab/>
      </w:r>
      <w:r w:rsidR="00081DEE" w:rsidRPr="007B6D88">
        <w:rPr>
          <w:i/>
          <w:iCs/>
        </w:rPr>
        <w:t>Clarifies</w:t>
      </w:r>
      <w:r w:rsidR="00081DEE" w:rsidRPr="008540BF">
        <w:rPr>
          <w:bCs/>
        </w:rPr>
        <w:t xml:space="preserve"> </w:t>
      </w:r>
      <w:r w:rsidR="00081DEE" w:rsidRPr="00907F28">
        <w:rPr>
          <w:bCs/>
        </w:rPr>
        <w:t>that, if the designated national authority of a Party to the Kyoto Protocol has become non-responsive, the secretariat shall confirm with the UNFCCC national focal point of that Party that the designated national authority is no longer operational;</w:t>
      </w:r>
      <w:bookmarkEnd w:id="9"/>
      <w:bookmarkEnd w:id="10"/>
    </w:p>
    <w:p w14:paraId="084D6896" w14:textId="3C15D5FF" w:rsidR="00081DEE" w:rsidRDefault="00EA119B" w:rsidP="00EA119B">
      <w:pPr>
        <w:pStyle w:val="RegSingleTxtG"/>
        <w:ind w:left="1134"/>
        <w:rPr>
          <w:bCs/>
        </w:rPr>
      </w:pPr>
      <w:bookmarkStart w:id="11" w:name="_Ref152951354"/>
      <w:bookmarkStart w:id="12" w:name="_Ref155708382"/>
      <w:r>
        <w:rPr>
          <w:bCs/>
        </w:rPr>
        <w:t>5.</w:t>
      </w:r>
      <w:r>
        <w:rPr>
          <w:bCs/>
        </w:rPr>
        <w:tab/>
      </w:r>
      <w:r w:rsidR="00081DEE" w:rsidRPr="00D43E6C">
        <w:rPr>
          <w:bCs/>
          <w:i/>
          <w:iCs/>
        </w:rPr>
        <w:t>Requests</w:t>
      </w:r>
      <w:r w:rsidR="00081DEE" w:rsidRPr="008540BF">
        <w:rPr>
          <w:bCs/>
        </w:rPr>
        <w:t xml:space="preserve"> </w:t>
      </w:r>
      <w:r w:rsidR="00081DEE" w:rsidRPr="00D43E6C">
        <w:rPr>
          <w:bCs/>
        </w:rPr>
        <w:t>the UNFCCC national focal points of Parties to the Kyoto Protocol with non</w:t>
      </w:r>
      <w:r w:rsidR="00081DEE">
        <w:rPr>
          <w:bCs/>
        </w:rPr>
        <w:noBreakHyphen/>
        <w:t xml:space="preserve">responsive </w:t>
      </w:r>
      <w:r w:rsidR="00081DEE" w:rsidRPr="00D43E6C">
        <w:rPr>
          <w:bCs/>
        </w:rPr>
        <w:t xml:space="preserve">designated national authorities to </w:t>
      </w:r>
      <w:r w:rsidR="00081DEE">
        <w:rPr>
          <w:bCs/>
        </w:rPr>
        <w:t>confirm</w:t>
      </w:r>
      <w:r w:rsidR="00081DEE">
        <w:t xml:space="preserve"> </w:t>
      </w:r>
      <w:r w:rsidR="00081DEE" w:rsidRPr="007A239F">
        <w:rPr>
          <w:bCs/>
        </w:rPr>
        <w:t xml:space="preserve">to </w:t>
      </w:r>
      <w:r w:rsidR="00081DEE" w:rsidRPr="00802CC3">
        <w:t xml:space="preserve">the secretariat whether </w:t>
      </w:r>
      <w:r w:rsidR="00081DEE">
        <w:t xml:space="preserve">the Party concerned </w:t>
      </w:r>
      <w:r w:rsidR="00081DEE" w:rsidRPr="00802CC3">
        <w:t>still wish</w:t>
      </w:r>
      <w:r w:rsidR="00081DEE">
        <w:t>es</w:t>
      </w:r>
      <w:r w:rsidR="00081DEE" w:rsidRPr="00802CC3">
        <w:t xml:space="preserve"> to participate in the </w:t>
      </w:r>
      <w:r w:rsidR="00081DEE">
        <w:rPr>
          <w:rFonts w:eastAsia="Times New Roman"/>
        </w:rPr>
        <w:t>clean development mechanism</w:t>
      </w:r>
      <w:r w:rsidR="00081DEE" w:rsidRPr="0041074D">
        <w:rPr>
          <w:rFonts w:eastAsia="Times New Roman"/>
        </w:rPr>
        <w:t xml:space="preserve"> </w:t>
      </w:r>
      <w:r w:rsidR="00081DEE" w:rsidRPr="00802CC3">
        <w:t>and whether</w:t>
      </w:r>
      <w:r w:rsidR="00081DEE">
        <w:rPr>
          <w:bCs/>
        </w:rPr>
        <w:t xml:space="preserve"> </w:t>
      </w:r>
      <w:r w:rsidR="00081DEE" w:rsidRPr="00D43E6C">
        <w:rPr>
          <w:bCs/>
        </w:rPr>
        <w:t xml:space="preserve">the </w:t>
      </w:r>
      <w:r w:rsidR="00081DEE" w:rsidRPr="00F12BD9">
        <w:rPr>
          <w:bCs/>
        </w:rPr>
        <w:t>UNFCCC national focal point</w:t>
      </w:r>
      <w:r w:rsidR="00081DEE">
        <w:rPr>
          <w:bCs/>
        </w:rPr>
        <w:t xml:space="preserve">s </w:t>
      </w:r>
      <w:r w:rsidR="00081DEE" w:rsidRPr="00D43E6C">
        <w:rPr>
          <w:bCs/>
        </w:rPr>
        <w:t>will</w:t>
      </w:r>
      <w:r w:rsidR="00081DEE">
        <w:rPr>
          <w:bCs/>
        </w:rPr>
        <w:t xml:space="preserve"> continue to </w:t>
      </w:r>
      <w:r w:rsidR="00081DEE" w:rsidRPr="00AD3B3A">
        <w:t>perform</w:t>
      </w:r>
      <w:r w:rsidR="00081DEE" w:rsidRPr="00D43E6C">
        <w:rPr>
          <w:bCs/>
        </w:rPr>
        <w:t xml:space="preserve"> the tasks of the designated national </w:t>
      </w:r>
      <w:r w:rsidR="00081DEE" w:rsidRPr="00802CC3">
        <w:rPr>
          <w:bCs/>
        </w:rPr>
        <w:t xml:space="preserve">authority </w:t>
      </w:r>
      <w:r w:rsidR="00081DEE" w:rsidRPr="00802CC3">
        <w:t>or</w:t>
      </w:r>
      <w:r w:rsidR="00081DEE" w:rsidRPr="00D43E6C">
        <w:rPr>
          <w:bCs/>
        </w:rPr>
        <w:t xml:space="preserve"> designate another authority to carry out th</w:t>
      </w:r>
      <w:r w:rsidR="00081DEE">
        <w:rPr>
          <w:bCs/>
        </w:rPr>
        <w:t>ose</w:t>
      </w:r>
      <w:r w:rsidR="00081DEE" w:rsidRPr="00D43E6C">
        <w:rPr>
          <w:bCs/>
        </w:rPr>
        <w:t xml:space="preserve"> tasks</w:t>
      </w:r>
      <w:bookmarkEnd w:id="11"/>
      <w:r w:rsidR="00081DEE" w:rsidRPr="00D43E6C">
        <w:rPr>
          <w:bCs/>
        </w:rPr>
        <w:t>;</w:t>
      </w:r>
      <w:bookmarkEnd w:id="12"/>
    </w:p>
    <w:p w14:paraId="1CB1E9D5" w14:textId="6F91812F" w:rsidR="00081DEE" w:rsidRPr="00D43E6C" w:rsidRDefault="00EA119B" w:rsidP="00EA119B">
      <w:pPr>
        <w:pStyle w:val="RegSingleTxtG"/>
        <w:ind w:left="1134"/>
      </w:pPr>
      <w:r w:rsidRPr="00D43E6C">
        <w:lastRenderedPageBreak/>
        <w:t>6.</w:t>
      </w:r>
      <w:r w:rsidRPr="00D43E6C">
        <w:tab/>
      </w:r>
      <w:r w:rsidR="00081DEE" w:rsidRPr="00D43E6C">
        <w:rPr>
          <w:i/>
          <w:iCs/>
        </w:rPr>
        <w:t>Also requests</w:t>
      </w:r>
      <w:r w:rsidR="00081DEE" w:rsidRPr="00D43E6C">
        <w:t xml:space="preserve"> the Executive Board to </w:t>
      </w:r>
      <w:r w:rsidR="00081DEE">
        <w:t xml:space="preserve">address the issue of </w:t>
      </w:r>
      <w:r w:rsidR="00081DEE" w:rsidRPr="00D43E6C">
        <w:rPr>
          <w:bCs/>
        </w:rPr>
        <w:t>non-</w:t>
      </w:r>
      <w:r w:rsidR="00081DEE">
        <w:rPr>
          <w:bCs/>
        </w:rPr>
        <w:t xml:space="preserve">responsive </w:t>
      </w:r>
      <w:r w:rsidR="00081DEE" w:rsidRPr="00D43E6C">
        <w:rPr>
          <w:bCs/>
        </w:rPr>
        <w:t>designated national authorities</w:t>
      </w:r>
      <w:r w:rsidR="00081DEE" w:rsidRPr="00D43E6C">
        <w:t xml:space="preserve"> as described in paragraphs </w:t>
      </w:r>
      <w:r w:rsidR="00081DEE">
        <w:rPr>
          <w:cs/>
        </w:rPr>
        <w:t>‎</w:t>
      </w:r>
      <w:r w:rsidR="004B2E3B">
        <w:rPr>
          <w:cs/>
        </w:rPr>
        <w:t>‎</w:t>
      </w:r>
      <w:r w:rsidR="004B2E3B">
        <w:t>4</w:t>
      </w:r>
      <w:r w:rsidR="00081DEE" w:rsidRPr="00D43E6C">
        <w:t>–</w:t>
      </w:r>
      <w:r w:rsidR="00081DEE">
        <w:rPr>
          <w:cs/>
        </w:rPr>
        <w:t>‎</w:t>
      </w:r>
      <w:r w:rsidR="004B2E3B">
        <w:rPr>
          <w:cs/>
        </w:rPr>
        <w:t>‎</w:t>
      </w:r>
      <w:r w:rsidR="004B2E3B">
        <w:t>5 above</w:t>
      </w:r>
      <w:r w:rsidR="00081DEE" w:rsidRPr="00D43E6C">
        <w:t>;</w:t>
      </w:r>
    </w:p>
    <w:p w14:paraId="706451B7" w14:textId="4C86EF27" w:rsidR="00081DEE" w:rsidRPr="003B700F" w:rsidRDefault="00EA119B" w:rsidP="00EA119B">
      <w:pPr>
        <w:pStyle w:val="RegHChG"/>
        <w:tabs>
          <w:tab w:val="left" w:pos="1135"/>
        </w:tabs>
        <w:ind w:left="1135" w:hanging="454"/>
      </w:pPr>
      <w:bookmarkStart w:id="13" w:name="_Toc161219949"/>
      <w:r w:rsidRPr="003B700F">
        <w:t>II.</w:t>
      </w:r>
      <w:r w:rsidRPr="003B700F">
        <w:tab/>
      </w:r>
      <w:r w:rsidR="00081DEE">
        <w:t xml:space="preserve">Functioning of </w:t>
      </w:r>
      <w:r w:rsidR="00081DEE" w:rsidRPr="007C5B9E">
        <w:t>the clean development mechanism beyond the end of the second commitment period of the Kyoto Protocol</w:t>
      </w:r>
      <w:bookmarkEnd w:id="13"/>
    </w:p>
    <w:p w14:paraId="539FC24E" w14:textId="610D0BB4" w:rsidR="00081DEE" w:rsidRPr="00E4584A" w:rsidRDefault="00EA119B" w:rsidP="00EA119B">
      <w:pPr>
        <w:pStyle w:val="RegSingleTxtG"/>
        <w:ind w:left="1134"/>
      </w:pPr>
      <w:bookmarkStart w:id="14" w:name="_Ref152582494"/>
      <w:bookmarkStart w:id="15" w:name="_Ref155708421"/>
      <w:bookmarkStart w:id="16" w:name="_Ref117872001"/>
      <w:bookmarkStart w:id="17" w:name="_Ref119349990"/>
      <w:bookmarkStart w:id="18" w:name="_Ref119152237"/>
      <w:r w:rsidRPr="00E4584A">
        <w:t>7.</w:t>
      </w:r>
      <w:r w:rsidRPr="00E4584A">
        <w:tab/>
      </w:r>
      <w:r w:rsidR="00081DEE" w:rsidRPr="00DB7CDC">
        <w:rPr>
          <w:i/>
          <w:iCs/>
        </w:rPr>
        <w:t>Acknowledges</w:t>
      </w:r>
      <w:r w:rsidR="00081DEE" w:rsidRPr="00D2632A">
        <w:t xml:space="preserve"> </w:t>
      </w:r>
      <w:r w:rsidR="00081DEE">
        <w:t xml:space="preserve">that </w:t>
      </w:r>
      <w:r w:rsidR="00081DEE" w:rsidRPr="00E4584A">
        <w:t xml:space="preserve">the Executive Board </w:t>
      </w:r>
      <w:r w:rsidR="00081DEE">
        <w:t>agreed at its 118</w:t>
      </w:r>
      <w:r w:rsidR="00081DEE" w:rsidRPr="00B112D9">
        <w:rPr>
          <w:vertAlign w:val="superscript"/>
        </w:rPr>
        <w:t>th</w:t>
      </w:r>
      <w:r w:rsidR="00081DEE">
        <w:t xml:space="preserve"> meeting</w:t>
      </w:r>
      <w:r w:rsidR="00081DEE">
        <w:rPr>
          <w:rStyle w:val="FootnoteReference"/>
        </w:rPr>
        <w:footnoteReference w:id="6"/>
      </w:r>
      <w:r w:rsidR="00081DEE">
        <w:t xml:space="preserve"> that it was</w:t>
      </w:r>
      <w:r w:rsidR="00081DEE" w:rsidRPr="00E4584A">
        <w:t xml:space="preserve"> not </w:t>
      </w:r>
      <w:r w:rsidR="00081DEE">
        <w:t xml:space="preserve">technically feasible to </w:t>
      </w:r>
      <w:r w:rsidR="00081DEE" w:rsidRPr="00E4584A">
        <w:t>allow submissions of requests for registration, issuance and renewal of afforestation and reforestation project activities and programmes of activities under the temporary measures</w:t>
      </w:r>
      <w:r w:rsidR="00081DEE">
        <w:t xml:space="preserve"> adopted at its 108</w:t>
      </w:r>
      <w:r w:rsidR="00081DEE" w:rsidRPr="00DB7CDC">
        <w:rPr>
          <w:vertAlign w:val="superscript"/>
        </w:rPr>
        <w:t>th</w:t>
      </w:r>
      <w:r w:rsidR="00081DEE">
        <w:t xml:space="preserve"> meeting for the operation of the </w:t>
      </w:r>
      <w:r w:rsidR="00081DEE">
        <w:rPr>
          <w:rFonts w:eastAsia="Times New Roman"/>
        </w:rPr>
        <w:t>clean development mechanism</w:t>
      </w:r>
      <w:r w:rsidR="00081DEE" w:rsidRPr="0041074D">
        <w:rPr>
          <w:rFonts w:eastAsia="Times New Roman"/>
        </w:rPr>
        <w:t xml:space="preserve"> </w:t>
      </w:r>
      <w:r w:rsidR="00081DEE">
        <w:t>after the second commitment period of the Kyoto Protocol</w:t>
      </w:r>
      <w:r w:rsidR="00081DEE" w:rsidRPr="00E4584A">
        <w:t>;</w:t>
      </w:r>
      <w:r w:rsidR="00081DEE">
        <w:rPr>
          <w:rStyle w:val="FootnoteReference"/>
        </w:rPr>
        <w:footnoteReference w:id="7"/>
      </w:r>
      <w:bookmarkEnd w:id="14"/>
      <w:bookmarkEnd w:id="15"/>
    </w:p>
    <w:bookmarkEnd w:id="16"/>
    <w:bookmarkEnd w:id="17"/>
    <w:p w14:paraId="32EE08AC" w14:textId="21915F98" w:rsidR="00081DEE" w:rsidRPr="009205EE" w:rsidRDefault="00EA119B" w:rsidP="00EA119B">
      <w:pPr>
        <w:pStyle w:val="RegSingleTxtG"/>
        <w:ind w:left="1134"/>
      </w:pPr>
      <w:r w:rsidRPr="009205EE">
        <w:t>8.</w:t>
      </w:r>
      <w:r w:rsidRPr="009205EE">
        <w:tab/>
      </w:r>
      <w:r w:rsidR="00081DEE" w:rsidRPr="00E4584A">
        <w:rPr>
          <w:i/>
          <w:iCs/>
        </w:rPr>
        <w:t>A</w:t>
      </w:r>
      <w:r w:rsidR="00081DEE">
        <w:rPr>
          <w:i/>
          <w:iCs/>
        </w:rPr>
        <w:t>lso a</w:t>
      </w:r>
      <w:r w:rsidR="00081DEE" w:rsidRPr="00E4584A">
        <w:rPr>
          <w:i/>
          <w:iCs/>
        </w:rPr>
        <w:t>cknowledges</w:t>
      </w:r>
      <w:r w:rsidR="00081DEE" w:rsidRPr="00D2632A">
        <w:t xml:space="preserve"> </w:t>
      </w:r>
      <w:r w:rsidR="00081DEE" w:rsidRPr="00E4584A">
        <w:t>th</w:t>
      </w:r>
      <w:r w:rsidR="00081DEE">
        <w:t>at the</w:t>
      </w:r>
      <w:r w:rsidR="00081DEE" w:rsidRPr="00E4584A">
        <w:t xml:space="preserve"> Executive Board </w:t>
      </w:r>
      <w:r w:rsidR="00081DEE">
        <w:t xml:space="preserve">ceased receiving requests under the temporary measures referred to in paragraph </w:t>
      </w:r>
      <w:r w:rsidR="00081DEE">
        <w:rPr>
          <w:cs/>
        </w:rPr>
        <w:t>‎</w:t>
      </w:r>
      <w:r w:rsidR="004B2E3B">
        <w:rPr>
          <w:cs/>
        </w:rPr>
        <w:t>‎</w:t>
      </w:r>
      <w:r w:rsidR="004B2E3B">
        <w:t>7 above</w:t>
      </w:r>
      <w:r w:rsidR="00081DEE">
        <w:t xml:space="preserve"> on 30 June 2023, when the process for the submission of requests for transition of </w:t>
      </w:r>
      <w:r w:rsidR="00081DEE">
        <w:rPr>
          <w:rFonts w:eastAsia="Times New Roman"/>
        </w:rPr>
        <w:t>clean development mechanism</w:t>
      </w:r>
      <w:r w:rsidR="00081DEE" w:rsidRPr="0041074D">
        <w:rPr>
          <w:rFonts w:eastAsia="Times New Roman"/>
        </w:rPr>
        <w:t xml:space="preserve"> </w:t>
      </w:r>
      <w:r w:rsidR="00081DEE">
        <w:t>activities to the mechanism established by Article 6, paragraph 4, of the Paris Agreement became operational;</w:t>
      </w:r>
      <w:r w:rsidR="00081DEE">
        <w:rPr>
          <w:rStyle w:val="FootnoteReference"/>
        </w:rPr>
        <w:footnoteReference w:id="8"/>
      </w:r>
    </w:p>
    <w:p w14:paraId="70CF7C42" w14:textId="1A895512" w:rsidR="00081DEE" w:rsidRDefault="00EA119B" w:rsidP="00EA119B">
      <w:pPr>
        <w:pStyle w:val="RegSingleTxtG"/>
        <w:ind w:left="1134"/>
      </w:pPr>
      <w:bookmarkStart w:id="19" w:name="_Ref153140701"/>
      <w:bookmarkStart w:id="20" w:name="_Ref155708478"/>
      <w:r>
        <w:t>9.</w:t>
      </w:r>
      <w:r>
        <w:tab/>
      </w:r>
      <w:r w:rsidR="00081DEE">
        <w:rPr>
          <w:i/>
          <w:iCs/>
        </w:rPr>
        <w:t>Takes note</w:t>
      </w:r>
      <w:r w:rsidR="00081DEE" w:rsidRPr="00D2632A">
        <w:t xml:space="preserve"> </w:t>
      </w:r>
      <w:r w:rsidR="00081DEE">
        <w:t xml:space="preserve">of the technical paper, prepared by the secretariat, on the </w:t>
      </w:r>
      <w:r w:rsidR="00081DEE" w:rsidRPr="00FD741D">
        <w:rPr>
          <w:rFonts w:cstheme="minorHAnsi"/>
        </w:rPr>
        <w:t xml:space="preserve">functioning and operation of the processes and institutions </w:t>
      </w:r>
      <w:r w:rsidR="00081DEE">
        <w:rPr>
          <w:rFonts w:cstheme="minorHAnsi"/>
        </w:rPr>
        <w:t>under</w:t>
      </w:r>
      <w:r w:rsidR="00081DEE" w:rsidRPr="007E3F19">
        <w:rPr>
          <w:rFonts w:cstheme="minorHAnsi"/>
        </w:rPr>
        <w:t xml:space="preserve"> </w:t>
      </w:r>
      <w:r w:rsidR="00081DEE" w:rsidRPr="00FD741D">
        <w:rPr>
          <w:rFonts w:cstheme="minorHAnsi"/>
        </w:rPr>
        <w:t xml:space="preserve">the </w:t>
      </w:r>
      <w:r w:rsidR="00081DEE">
        <w:rPr>
          <w:rFonts w:eastAsia="Times New Roman"/>
        </w:rPr>
        <w:t>clean development mechanism</w:t>
      </w:r>
      <w:r w:rsidR="00081DEE" w:rsidRPr="0041074D">
        <w:rPr>
          <w:rFonts w:eastAsia="Times New Roman"/>
        </w:rPr>
        <w:t xml:space="preserve"> </w:t>
      </w:r>
      <w:r w:rsidR="00081DEE">
        <w:t>in the future;</w:t>
      </w:r>
      <w:r w:rsidR="00081DEE">
        <w:rPr>
          <w:rStyle w:val="FootnoteReference"/>
        </w:rPr>
        <w:footnoteReference w:id="9"/>
      </w:r>
      <w:bookmarkEnd w:id="19"/>
      <w:bookmarkEnd w:id="20"/>
    </w:p>
    <w:p w14:paraId="62DEDEA5" w14:textId="26CCE8F7" w:rsidR="00081DEE" w:rsidRDefault="00EA119B" w:rsidP="00EA119B">
      <w:pPr>
        <w:pStyle w:val="RegSingleTxtG"/>
        <w:ind w:left="1134"/>
      </w:pPr>
      <w:bookmarkStart w:id="21" w:name="_Ref152596463"/>
      <w:bookmarkEnd w:id="18"/>
      <w:r>
        <w:t>10.</w:t>
      </w:r>
      <w:r>
        <w:tab/>
      </w:r>
      <w:r w:rsidR="00081DEE">
        <w:rPr>
          <w:i/>
          <w:iCs/>
        </w:rPr>
        <w:t>Decides</w:t>
      </w:r>
      <w:r w:rsidR="00081DEE">
        <w:t xml:space="preserve"> to continue consideration of the functioning and operation of the processes and institutions under the clean development mechanism, including appropriate time frames, at its nineteenth session (November 2024) with a view to avoiding a gap before the operationalization of the corresponding processes under </w:t>
      </w:r>
      <w:r w:rsidR="00081DEE" w:rsidRPr="00540A47">
        <w:t>the mechanism</w:t>
      </w:r>
      <w:r w:rsidR="00081DEE">
        <w:t xml:space="preserve"> established by Article 6, paragraph 4, of the Paris Agreement;</w:t>
      </w:r>
      <w:bookmarkEnd w:id="21"/>
    </w:p>
    <w:p w14:paraId="1B1044B9" w14:textId="16B7DE03" w:rsidR="00081DEE" w:rsidRDefault="00EA119B" w:rsidP="00EA119B">
      <w:pPr>
        <w:pStyle w:val="RegSingleTxtG"/>
        <w:ind w:left="1134"/>
      </w:pPr>
      <w:r>
        <w:t>11.</w:t>
      </w:r>
      <w:r>
        <w:tab/>
      </w:r>
      <w:r w:rsidR="00081DEE" w:rsidRPr="0097392F">
        <w:rPr>
          <w:i/>
          <w:iCs/>
        </w:rPr>
        <w:t>Request</w:t>
      </w:r>
      <w:r w:rsidR="00081DEE">
        <w:rPr>
          <w:i/>
          <w:iCs/>
        </w:rPr>
        <w:t>s</w:t>
      </w:r>
      <w:r w:rsidR="00081DEE" w:rsidRPr="0097392F">
        <w:t xml:space="preserve"> the secretariat to prepare</w:t>
      </w:r>
      <w:r w:rsidR="00081DEE" w:rsidRPr="00551B9B">
        <w:t xml:space="preserve"> </w:t>
      </w:r>
      <w:r w:rsidR="00081DEE" w:rsidRPr="0097392F">
        <w:t>a technical</w:t>
      </w:r>
      <w:r w:rsidR="00081DEE">
        <w:t xml:space="preserve"> paper o</w:t>
      </w:r>
      <w:r w:rsidR="00081DEE" w:rsidRPr="008E7493">
        <w:t xml:space="preserve">n </w:t>
      </w:r>
      <w:r w:rsidR="00081DEE">
        <w:t>the</w:t>
      </w:r>
      <w:r w:rsidR="00081DEE" w:rsidRPr="008E7493">
        <w:t xml:space="preserve"> </w:t>
      </w:r>
      <w:r w:rsidR="00081DEE" w:rsidRPr="00366302">
        <w:t>necessary</w:t>
      </w:r>
      <w:r w:rsidR="00081DEE">
        <w:t xml:space="preserve"> </w:t>
      </w:r>
      <w:r w:rsidR="00081DEE" w:rsidRPr="008E7493">
        <w:t>operations</w:t>
      </w:r>
      <w:r w:rsidR="00081DEE">
        <w:t xml:space="preserve"> of the</w:t>
      </w:r>
      <w:r w:rsidR="00081DEE" w:rsidRPr="008E7493">
        <w:t xml:space="preserve"> </w:t>
      </w:r>
      <w:r w:rsidR="00081DEE">
        <w:rPr>
          <w:rFonts w:eastAsia="Times New Roman"/>
        </w:rPr>
        <w:t>clean development mechanism</w:t>
      </w:r>
      <w:r w:rsidR="00081DEE" w:rsidRPr="0041074D">
        <w:rPr>
          <w:rFonts w:eastAsia="Times New Roman"/>
        </w:rPr>
        <w:t xml:space="preserve"> </w:t>
      </w:r>
      <w:r w:rsidR="00081DEE">
        <w:t>r</w:t>
      </w:r>
      <w:r w:rsidR="00081DEE" w:rsidRPr="008E7493">
        <w:t>egistry</w:t>
      </w:r>
      <w:r w:rsidR="00081DEE">
        <w:t>,</w:t>
      </w:r>
      <w:r w:rsidR="00081DEE" w:rsidRPr="008E7493">
        <w:t xml:space="preserve"> </w:t>
      </w:r>
      <w:r w:rsidR="00081DEE">
        <w:t xml:space="preserve">taking into account the deadlines proposed in the technical paper referred to in paragraph </w:t>
      </w:r>
      <w:r w:rsidR="00081DEE">
        <w:rPr>
          <w:cs/>
        </w:rPr>
        <w:t>‎</w:t>
      </w:r>
      <w:r w:rsidR="004B2E3B">
        <w:rPr>
          <w:cs/>
        </w:rPr>
        <w:t>‎</w:t>
      </w:r>
      <w:r w:rsidR="004B2E3B">
        <w:t>9 above</w:t>
      </w:r>
      <w:r w:rsidR="00081DEE">
        <w:t>,</w:t>
      </w:r>
      <w:r w:rsidR="00081DEE" w:rsidRPr="008E7493">
        <w:t xml:space="preserve"> </w:t>
      </w:r>
      <w:r w:rsidR="00081DEE" w:rsidRPr="0097392F">
        <w:t xml:space="preserve">for consideration </w:t>
      </w:r>
      <w:r w:rsidR="00081DEE">
        <w:t>by the Subsidiary Body for Scientific and Technological Advice at</w:t>
      </w:r>
      <w:r w:rsidR="00081DEE" w:rsidRPr="0097392F">
        <w:t xml:space="preserve"> </w:t>
      </w:r>
      <w:r w:rsidR="00081DEE">
        <w:t>its sixtieth session (June 2024), covering:</w:t>
      </w:r>
    </w:p>
    <w:p w14:paraId="14092DEF" w14:textId="200263B5" w:rsidR="00C04B6E" w:rsidRPr="00503923" w:rsidRDefault="00EA119B" w:rsidP="00EA119B">
      <w:pPr>
        <w:pStyle w:val="RegSingleTxtG2"/>
        <w:spacing w:before="120"/>
        <w:ind w:left="1134" w:firstLine="567"/>
      </w:pPr>
      <w:r w:rsidRPr="00503923">
        <w:t>(b)</w:t>
      </w:r>
      <w:r w:rsidRPr="00503923">
        <w:tab/>
      </w:r>
      <w:r w:rsidR="00C04B6E">
        <w:t xml:space="preserve">The </w:t>
      </w:r>
      <w:r w:rsidR="00C04B6E" w:rsidRPr="00540A47">
        <w:t xml:space="preserve">handling </w:t>
      </w:r>
      <w:r w:rsidR="00C04B6E">
        <w:t>of certified emission reductions</w:t>
      </w:r>
      <w:r w:rsidR="00C04B6E" w:rsidRPr="00540A47">
        <w:t xml:space="preserve"> that remain in the </w:t>
      </w:r>
      <w:r w:rsidR="00C04B6E">
        <w:rPr>
          <w:rFonts w:eastAsia="Times New Roman"/>
        </w:rPr>
        <w:t>clean development mechanism</w:t>
      </w:r>
      <w:r w:rsidR="00C04B6E" w:rsidRPr="0041074D">
        <w:rPr>
          <w:rFonts w:eastAsia="Times New Roman"/>
        </w:rPr>
        <w:t xml:space="preserve"> </w:t>
      </w:r>
      <w:r w:rsidR="00C04B6E" w:rsidRPr="00540A47">
        <w:t xml:space="preserve">registry, including </w:t>
      </w:r>
      <w:r w:rsidR="00C04B6E">
        <w:t xml:space="preserve">certified emission reductions in the Adaptation Fund account; </w:t>
      </w:r>
    </w:p>
    <w:p w14:paraId="789AF6F0" w14:textId="76E3E62E" w:rsidR="00081DEE" w:rsidRPr="0097392F" w:rsidRDefault="00EA119B" w:rsidP="00EA119B">
      <w:pPr>
        <w:pStyle w:val="RegSingleTxtG2"/>
        <w:spacing w:before="120"/>
        <w:ind w:left="1134" w:firstLine="567"/>
      </w:pPr>
      <w:r w:rsidRPr="0097392F">
        <w:t>(c)</w:t>
      </w:r>
      <w:r w:rsidRPr="0097392F">
        <w:tab/>
      </w:r>
      <w:r w:rsidR="00081DEE" w:rsidRPr="0097392F">
        <w:rPr>
          <w:rFonts w:cstheme="minorBidi"/>
        </w:rPr>
        <w:t xml:space="preserve">The length of time during which </w:t>
      </w:r>
      <w:r w:rsidR="00081DEE">
        <w:rPr>
          <w:rFonts w:eastAsia="Times New Roman"/>
        </w:rPr>
        <w:t>clean development mechanism</w:t>
      </w:r>
      <w:r w:rsidR="00081DEE" w:rsidRPr="0041074D">
        <w:rPr>
          <w:rFonts w:eastAsia="Times New Roman"/>
        </w:rPr>
        <w:t xml:space="preserve"> </w:t>
      </w:r>
      <w:r w:rsidR="00081DEE" w:rsidRPr="0097392F">
        <w:rPr>
          <w:rFonts w:cstheme="minorBidi"/>
        </w:rPr>
        <w:t xml:space="preserve">project participants </w:t>
      </w:r>
      <w:r w:rsidR="00081DEE">
        <w:rPr>
          <w:rFonts w:cstheme="minorBidi"/>
        </w:rPr>
        <w:t xml:space="preserve">may </w:t>
      </w:r>
      <w:r w:rsidR="00081DEE" w:rsidRPr="0097392F">
        <w:rPr>
          <w:rFonts w:cstheme="minorBidi"/>
        </w:rPr>
        <w:t xml:space="preserve">process </w:t>
      </w:r>
      <w:r w:rsidR="00081DEE">
        <w:rPr>
          <w:rFonts w:eastAsia="Times New Roman"/>
        </w:rPr>
        <w:t>clean development mechanism</w:t>
      </w:r>
      <w:r w:rsidR="00081DEE" w:rsidRPr="0041074D">
        <w:rPr>
          <w:rFonts w:eastAsia="Times New Roman"/>
        </w:rPr>
        <w:t xml:space="preserve"> </w:t>
      </w:r>
      <w:r w:rsidR="00081DEE">
        <w:t xml:space="preserve">registry </w:t>
      </w:r>
      <w:r w:rsidR="00081DEE" w:rsidRPr="0097392F">
        <w:rPr>
          <w:rFonts w:cstheme="minorBidi"/>
        </w:rPr>
        <w:t>transactions;</w:t>
      </w:r>
      <w:r w:rsidR="00081DEE">
        <w:rPr>
          <w:rFonts w:cstheme="minorBidi"/>
        </w:rPr>
        <w:t xml:space="preserve"> </w:t>
      </w:r>
    </w:p>
    <w:p w14:paraId="6C005A1C" w14:textId="02685079" w:rsidR="00081DEE" w:rsidRPr="0097392F" w:rsidRDefault="00EA119B" w:rsidP="00EA119B">
      <w:pPr>
        <w:pStyle w:val="RegSingleTxtG2"/>
        <w:spacing w:before="120"/>
        <w:ind w:left="1134" w:firstLine="567"/>
      </w:pPr>
      <w:r w:rsidRPr="0097392F">
        <w:t>(d)</w:t>
      </w:r>
      <w:r w:rsidRPr="0097392F">
        <w:tab/>
      </w:r>
      <w:r w:rsidR="00081DEE" w:rsidRPr="0097392F">
        <w:rPr>
          <w:rFonts w:cstheme="minorBidi"/>
        </w:rPr>
        <w:t xml:space="preserve">The </w:t>
      </w:r>
      <w:r w:rsidR="00081DEE">
        <w:t>treatment</w:t>
      </w:r>
      <w:r w:rsidR="00081DEE">
        <w:rPr>
          <w:rFonts w:cstheme="minorBidi"/>
        </w:rPr>
        <w:t xml:space="preserve"> </w:t>
      </w:r>
      <w:r w:rsidR="00081DEE" w:rsidRPr="0097392F">
        <w:rPr>
          <w:rFonts w:cstheme="minorBidi"/>
        </w:rPr>
        <w:t xml:space="preserve">of </w:t>
      </w:r>
      <w:r w:rsidR="00081DEE">
        <w:rPr>
          <w:rFonts w:cstheme="minorBidi"/>
        </w:rPr>
        <w:t>certified emission reductions</w:t>
      </w:r>
      <w:r w:rsidR="00081DEE" w:rsidRPr="0097392F">
        <w:rPr>
          <w:rFonts w:cstheme="minorBidi"/>
        </w:rPr>
        <w:t xml:space="preserve"> held in the </w:t>
      </w:r>
      <w:r w:rsidR="00081DEE">
        <w:rPr>
          <w:rFonts w:eastAsia="Times New Roman"/>
        </w:rPr>
        <w:t>clean development mechanism</w:t>
      </w:r>
      <w:r w:rsidR="00081DEE" w:rsidRPr="0041074D">
        <w:rPr>
          <w:rFonts w:eastAsia="Times New Roman"/>
        </w:rPr>
        <w:t xml:space="preserve"> </w:t>
      </w:r>
      <w:r w:rsidR="00081DEE" w:rsidRPr="0097392F">
        <w:rPr>
          <w:rFonts w:cstheme="minorBidi"/>
        </w:rPr>
        <w:t>registry for projects for which issuance was requested prior to 1 January 2018</w:t>
      </w:r>
      <w:r w:rsidR="00081DEE">
        <w:rPr>
          <w:rFonts w:cstheme="minorBidi"/>
        </w:rPr>
        <w:t xml:space="preserve"> and</w:t>
      </w:r>
      <w:r w:rsidR="00081DEE" w:rsidRPr="0097392F">
        <w:rPr>
          <w:rFonts w:cstheme="minorBidi"/>
        </w:rPr>
        <w:t xml:space="preserve"> for which the share of proceeds for administration has not been paid;</w:t>
      </w:r>
      <w:r w:rsidR="00081DEE" w:rsidRPr="00332835">
        <w:rPr>
          <w:iCs/>
          <w:u w:val="single"/>
        </w:rPr>
        <w:t xml:space="preserve"> </w:t>
      </w:r>
    </w:p>
    <w:p w14:paraId="2B0C0438" w14:textId="2EF1842C" w:rsidR="00D012B1" w:rsidRPr="00D012B1" w:rsidRDefault="00EA119B" w:rsidP="00EA119B">
      <w:pPr>
        <w:pStyle w:val="RegSingleTxtG2"/>
        <w:tabs>
          <w:tab w:val="left" w:pos="1135"/>
        </w:tabs>
        <w:spacing w:before="120"/>
        <w:ind w:left="1134" w:firstLine="567"/>
      </w:pPr>
      <w:r w:rsidRPr="00D012B1">
        <w:t>(e)</w:t>
      </w:r>
      <w:r w:rsidRPr="00D012B1">
        <w:tab/>
      </w:r>
      <w:r w:rsidR="00081DEE" w:rsidRPr="001B049B">
        <w:t>The linkage between clean development mechanism registry operations and the clean development mechanism information system and the international transaction log, including an analysis of options for future clean development mechanism registry operations that takes into account the operation of the clean development mechanism registry once disconnected from the international transaction log and its implicatio</w:t>
      </w:r>
      <w:r w:rsidR="00081DEE" w:rsidRPr="00D012B1">
        <w:rPr>
          <w:rFonts w:cstheme="minorBidi"/>
        </w:rPr>
        <w:t xml:space="preserve">ns; </w:t>
      </w:r>
    </w:p>
    <w:p w14:paraId="0F9947F8" w14:textId="2863C85A" w:rsidR="00AD2DEE" w:rsidRPr="00AD2DEE" w:rsidRDefault="00EA119B" w:rsidP="00EA119B">
      <w:pPr>
        <w:pStyle w:val="RegHChG"/>
        <w:tabs>
          <w:tab w:val="left" w:pos="1135"/>
        </w:tabs>
        <w:ind w:left="1135" w:hanging="454"/>
      </w:pPr>
      <w:bookmarkStart w:id="22" w:name="_Toc161219950"/>
      <w:r w:rsidRPr="00AD2DEE">
        <w:t>III.</w:t>
      </w:r>
      <w:r w:rsidRPr="00AD2DEE">
        <w:tab/>
      </w:r>
      <w:r w:rsidR="00D94D27" w:rsidRPr="00DA67B4">
        <w:t xml:space="preserve">Management of financial </w:t>
      </w:r>
      <w:r w:rsidR="00D94D27" w:rsidRPr="002F7409">
        <w:t>resources</w:t>
      </w:r>
      <w:bookmarkEnd w:id="22"/>
    </w:p>
    <w:p w14:paraId="066ABBC1" w14:textId="49F71EC2" w:rsidR="00D94D27" w:rsidRPr="00030694" w:rsidRDefault="00EA119B" w:rsidP="00EA119B">
      <w:pPr>
        <w:pStyle w:val="RegSingleTxtG"/>
        <w:tabs>
          <w:tab w:val="left" w:pos="1701"/>
        </w:tabs>
        <w:ind w:left="1134"/>
      </w:pPr>
      <w:r w:rsidRPr="00030694">
        <w:rPr>
          <w:iCs/>
        </w:rPr>
        <w:t>12.</w:t>
      </w:r>
      <w:r w:rsidRPr="00030694">
        <w:rPr>
          <w:iCs/>
        </w:rPr>
        <w:tab/>
      </w:r>
      <w:r w:rsidR="00D94D27" w:rsidRPr="00030694">
        <w:rPr>
          <w:i/>
          <w:iCs/>
        </w:rPr>
        <w:t>Recalls</w:t>
      </w:r>
      <w:r w:rsidR="00D94D27" w:rsidRPr="00030694">
        <w:t xml:space="preserve"> its request</w:t>
      </w:r>
      <w:r w:rsidR="00D94D27" w:rsidRPr="00030694">
        <w:rPr>
          <w:rStyle w:val="FootnoteReference"/>
        </w:rPr>
        <w:footnoteReference w:id="10"/>
      </w:r>
      <w:r w:rsidR="00D94D27" w:rsidRPr="00030694">
        <w:t xml:space="preserve"> to the Executive Board and the secretariat to ensure the efficient and prudent use of resources from the Trust Fund for the Clean Development Mechanism;</w:t>
      </w:r>
      <w:r w:rsidR="00D94D27" w:rsidRPr="00030694">
        <w:rPr>
          <w:rStyle w:val="FootnoteReference"/>
        </w:rPr>
        <w:t xml:space="preserve"> </w:t>
      </w:r>
    </w:p>
    <w:p w14:paraId="47B1999A" w14:textId="6D6A3374" w:rsidR="00D94D27" w:rsidRPr="00030694" w:rsidRDefault="00EA119B" w:rsidP="00EA119B">
      <w:pPr>
        <w:pStyle w:val="RegSingleTxtG"/>
        <w:tabs>
          <w:tab w:val="left" w:pos="1701"/>
        </w:tabs>
        <w:ind w:left="1134"/>
      </w:pPr>
      <w:bookmarkStart w:id="23" w:name="_Ref153135405"/>
      <w:bookmarkStart w:id="24" w:name="_Ref155708570"/>
      <w:r w:rsidRPr="00030694">
        <w:rPr>
          <w:iCs/>
        </w:rPr>
        <w:lastRenderedPageBreak/>
        <w:t>13.</w:t>
      </w:r>
      <w:r w:rsidRPr="00030694">
        <w:rPr>
          <w:iCs/>
        </w:rPr>
        <w:tab/>
      </w:r>
      <w:r w:rsidR="00D94D27" w:rsidRPr="00030694">
        <w:rPr>
          <w:i/>
          <w:iCs/>
        </w:rPr>
        <w:t>Requests</w:t>
      </w:r>
      <w:r w:rsidR="00D94D27" w:rsidRPr="00030694">
        <w:t xml:space="preserve"> the secretariat to prepare a technical paper on the necessary level of resources for the functioning and operation of the processes and institutions under the </w:t>
      </w:r>
      <w:r w:rsidR="00D94D27" w:rsidRPr="00030694">
        <w:rPr>
          <w:rFonts w:eastAsia="Times New Roman"/>
        </w:rPr>
        <w:t>clean development mechanism</w:t>
      </w:r>
      <w:r w:rsidR="00D94D27" w:rsidRPr="00030694">
        <w:t xml:space="preserve">, taking into account the deadlines proposed in the technical paper referred to in paragraph </w:t>
      </w:r>
      <w:r w:rsidR="00D94D27" w:rsidRPr="00030694">
        <w:rPr>
          <w:cs/>
        </w:rPr>
        <w:t>‎</w:t>
      </w:r>
      <w:r w:rsidR="004B2E3B">
        <w:rPr>
          <w:cs/>
        </w:rPr>
        <w:t>‎</w:t>
      </w:r>
      <w:r w:rsidR="004B2E3B">
        <w:t>9 above</w:t>
      </w:r>
      <w:r w:rsidR="00D94D27" w:rsidRPr="00030694">
        <w:t>, for consideration by the Subsidiary Body for Scientific and Technological Advice at its sixtieth session</w:t>
      </w:r>
      <w:bookmarkEnd w:id="23"/>
      <w:r w:rsidR="00D94D27" w:rsidRPr="00030694">
        <w:t>;</w:t>
      </w:r>
      <w:bookmarkEnd w:id="24"/>
    </w:p>
    <w:p w14:paraId="035E9585" w14:textId="36942C09" w:rsidR="00D94D27" w:rsidRPr="00030694" w:rsidRDefault="00EA119B" w:rsidP="00EA119B">
      <w:pPr>
        <w:pStyle w:val="RegSingleTxtG"/>
        <w:ind w:left="1134"/>
      </w:pPr>
      <w:r w:rsidRPr="00030694">
        <w:rPr>
          <w:iCs/>
        </w:rPr>
        <w:t>14.</w:t>
      </w:r>
      <w:r w:rsidRPr="00030694">
        <w:rPr>
          <w:iCs/>
        </w:rPr>
        <w:tab/>
      </w:r>
      <w:r w:rsidR="00D94D27" w:rsidRPr="00030694">
        <w:rPr>
          <w:i/>
          <w:iCs/>
        </w:rPr>
        <w:t>Decides</w:t>
      </w:r>
      <w:r w:rsidR="00D94D27" w:rsidRPr="00030694">
        <w:t xml:space="preserve"> to authorize a transfer from the Trust Fund for the Clean Development Mechanism to the Adaptation Fund, and potentially to other areas in need of funding, on the basis of the technical paper referred to in paragraph </w:t>
      </w:r>
      <w:r w:rsidR="00D94D27" w:rsidRPr="00030694">
        <w:rPr>
          <w:cs/>
        </w:rPr>
        <w:t>‎</w:t>
      </w:r>
      <w:r w:rsidR="004B2E3B">
        <w:rPr>
          <w:cs/>
        </w:rPr>
        <w:t>‎</w:t>
      </w:r>
      <w:r w:rsidR="004B2E3B">
        <w:t>13 above</w:t>
      </w:r>
      <w:r w:rsidR="00D94D27" w:rsidRPr="00030694">
        <w:t xml:space="preserve"> at its nineteenth session.</w:t>
      </w:r>
    </w:p>
    <w:p w14:paraId="1783D3B7" w14:textId="0EC4FFC0" w:rsidR="00F53D73" w:rsidRDefault="00EA119B" w:rsidP="00EA119B">
      <w:pPr>
        <w:pStyle w:val="RegSingleTxtG"/>
        <w:tabs>
          <w:tab w:val="left" w:pos="1701"/>
        </w:tabs>
        <w:ind w:left="1134"/>
        <w:sectPr w:rsidR="00F53D73" w:rsidSect="00AB0CD8">
          <w:headerReference w:type="even" r:id="rId20"/>
          <w:headerReference w:type="default" r:id="rId21"/>
          <w:footerReference w:type="even" r:id="rId22"/>
          <w:footerReference w:type="default" r:id="rId23"/>
          <w:endnotePr>
            <w:numFmt w:val="lowerLetter"/>
            <w:numRestart w:val="eachSect"/>
          </w:endnotePr>
          <w:pgSz w:w="11906" w:h="16838" w:code="9"/>
          <w:pgMar w:top="1417" w:right="1134" w:bottom="1134" w:left="1134" w:header="850" w:footer="567" w:gutter="0"/>
          <w:cols w:space="708"/>
          <w:docGrid w:linePitch="360"/>
        </w:sectPr>
      </w:pPr>
      <w:r>
        <w:rPr>
          <w:iCs/>
        </w:rPr>
        <w:t>12.</w:t>
      </w:r>
      <w:r>
        <w:rPr>
          <w:iCs/>
        </w:rPr>
        <w:tab/>
      </w:r>
    </w:p>
    <w:p w14:paraId="375DD558" w14:textId="77777777" w:rsidR="00F53D73" w:rsidRPr="00C2005B" w:rsidRDefault="00F53D73" w:rsidP="00EA119B">
      <w:pPr>
        <w:pStyle w:val="RegHChG"/>
        <w:ind w:hanging="454"/>
      </w:pPr>
      <w:bookmarkStart w:id="25" w:name="_Toc161219951"/>
      <w:r w:rsidRPr="00C2005B">
        <w:lastRenderedPageBreak/>
        <w:t>Annex</w:t>
      </w:r>
      <w:bookmarkEnd w:id="25"/>
    </w:p>
    <w:p w14:paraId="25CE5DD9" w14:textId="4F8DE617" w:rsidR="00F53D73" w:rsidRDefault="00F53D73" w:rsidP="002D3E44">
      <w:pPr>
        <w:pStyle w:val="HChG"/>
        <w:ind w:right="1133" w:firstLine="0"/>
      </w:pPr>
      <w:r w:rsidRPr="00C2005B">
        <w:t>Entities accredited and provisionally designated by the Executive Board of the clean development mechanism</w:t>
      </w:r>
    </w:p>
    <w:p w14:paraId="78F30F3E" w14:textId="77777777" w:rsidR="00F53D73" w:rsidRPr="007C1D10" w:rsidRDefault="00F53D73" w:rsidP="002D3E44">
      <w:pPr>
        <w:pStyle w:val="ListParagraph"/>
        <w:spacing w:after="240"/>
        <w:ind w:left="1702" w:right="1133"/>
        <w:jc w:val="right"/>
      </w:pPr>
      <w:r w:rsidRPr="007C1D10">
        <w:t>[English only]</w:t>
      </w:r>
    </w:p>
    <w:tbl>
      <w:tblPr>
        <w:tblW w:w="7371" w:type="dxa"/>
        <w:tblInd w:w="1134" w:type="dxa"/>
        <w:tblBorders>
          <w:top w:val="single" w:sz="4" w:space="0" w:color="auto"/>
        </w:tblBorders>
        <w:tblCellMar>
          <w:left w:w="0" w:type="dxa"/>
        </w:tblCellMar>
        <w:tblLook w:val="04A0" w:firstRow="1" w:lastRow="0" w:firstColumn="1" w:lastColumn="0" w:noHBand="0" w:noVBand="1"/>
      </w:tblPr>
      <w:tblGrid>
        <w:gridCol w:w="5387"/>
        <w:gridCol w:w="1984"/>
      </w:tblGrid>
      <w:tr w:rsidR="00F53D73" w:rsidRPr="007C1D10" w14:paraId="39813FDC" w14:textId="77777777" w:rsidTr="005440BF">
        <w:trPr>
          <w:cantSplit/>
          <w:trHeight w:val="240"/>
          <w:tblHeader/>
        </w:trPr>
        <w:tc>
          <w:tcPr>
            <w:tcW w:w="3654" w:type="pct"/>
            <w:tcBorders>
              <w:top w:val="single" w:sz="4" w:space="0" w:color="auto"/>
              <w:bottom w:val="single" w:sz="12" w:space="0" w:color="auto"/>
            </w:tcBorders>
            <w:shd w:val="clear" w:color="auto" w:fill="auto"/>
            <w:vAlign w:val="bottom"/>
          </w:tcPr>
          <w:p w14:paraId="1F9CAD52" w14:textId="77777777" w:rsidR="00F53D73" w:rsidRPr="00526129" w:rsidRDefault="00F53D73" w:rsidP="005440BF">
            <w:pPr>
              <w:suppressAutoHyphens w:val="0"/>
              <w:spacing w:before="40" w:after="40" w:line="180" w:lineRule="exact"/>
              <w:rPr>
                <w:i/>
                <w:sz w:val="16"/>
                <w:szCs w:val="16"/>
              </w:rPr>
            </w:pPr>
            <w:r w:rsidRPr="00526129">
              <w:rPr>
                <w:i/>
                <w:sz w:val="16"/>
                <w:szCs w:val="16"/>
              </w:rPr>
              <w:t>Name of entity</w:t>
            </w:r>
          </w:p>
        </w:tc>
        <w:tc>
          <w:tcPr>
            <w:tcW w:w="1346" w:type="pct"/>
            <w:tcBorders>
              <w:top w:val="single" w:sz="4" w:space="0" w:color="auto"/>
              <w:bottom w:val="single" w:sz="12" w:space="0" w:color="auto"/>
            </w:tcBorders>
            <w:shd w:val="clear" w:color="auto" w:fill="auto"/>
            <w:vAlign w:val="bottom"/>
          </w:tcPr>
          <w:p w14:paraId="58B1D690" w14:textId="77777777" w:rsidR="00F53D73" w:rsidRPr="00526129" w:rsidRDefault="00F53D73" w:rsidP="005440BF">
            <w:pPr>
              <w:suppressAutoHyphens w:val="0"/>
              <w:spacing w:before="40" w:after="40" w:line="180" w:lineRule="exact"/>
              <w:rPr>
                <w:i/>
                <w:sz w:val="16"/>
                <w:szCs w:val="16"/>
              </w:rPr>
            </w:pPr>
            <w:r w:rsidRPr="00526129">
              <w:rPr>
                <w:i/>
                <w:sz w:val="16"/>
                <w:szCs w:val="16"/>
              </w:rPr>
              <w:t>Sectoral scopes (validation and verification)</w:t>
            </w:r>
          </w:p>
        </w:tc>
      </w:tr>
      <w:tr w:rsidR="00F53D73" w:rsidRPr="007C1D10" w14:paraId="7BBCF5B0" w14:textId="77777777" w:rsidTr="005440BF">
        <w:trPr>
          <w:cantSplit/>
          <w:trHeight w:val="240"/>
        </w:trPr>
        <w:tc>
          <w:tcPr>
            <w:tcW w:w="3654" w:type="pct"/>
            <w:tcBorders>
              <w:top w:val="single" w:sz="12" w:space="0" w:color="auto"/>
            </w:tcBorders>
            <w:shd w:val="clear" w:color="auto" w:fill="auto"/>
          </w:tcPr>
          <w:p w14:paraId="2E7BA3D4" w14:textId="3381C2FA" w:rsidR="00F53D73" w:rsidRPr="007C1D10" w:rsidRDefault="00F53D73" w:rsidP="005440BF">
            <w:pPr>
              <w:suppressAutoHyphens w:val="0"/>
              <w:spacing w:before="40" w:after="80" w:line="220" w:lineRule="exact"/>
            </w:pPr>
            <w:r w:rsidRPr="007C1D10">
              <w:rPr>
                <w:lang w:val="fr-FR"/>
              </w:rPr>
              <w:t xml:space="preserve">Bureau Veritas India Pvt. Ltd. </w:t>
            </w:r>
            <w:r w:rsidRPr="007C1D10">
              <w:t>(BVI)</w:t>
            </w:r>
            <w:r>
              <w:rPr>
                <w:rStyle w:val="EndnoteReference"/>
              </w:rPr>
              <w:endnoteReference w:id="2"/>
            </w:r>
          </w:p>
        </w:tc>
        <w:tc>
          <w:tcPr>
            <w:tcW w:w="1346" w:type="pct"/>
            <w:tcBorders>
              <w:top w:val="single" w:sz="12" w:space="0" w:color="auto"/>
            </w:tcBorders>
            <w:shd w:val="clear" w:color="auto" w:fill="auto"/>
          </w:tcPr>
          <w:p w14:paraId="5848CBBD" w14:textId="77777777" w:rsidR="00F53D73" w:rsidRPr="007C1D10" w:rsidRDefault="00F53D73" w:rsidP="005440BF">
            <w:pPr>
              <w:suppressAutoHyphens w:val="0"/>
              <w:spacing w:before="40" w:after="80" w:line="220" w:lineRule="exact"/>
            </w:pPr>
            <w:r w:rsidRPr="007C1D10">
              <w:t>1–5, 7–10, 12–15</w:t>
            </w:r>
          </w:p>
        </w:tc>
      </w:tr>
      <w:tr w:rsidR="00F53D73" w:rsidRPr="007C1D10" w14:paraId="33EA306B" w14:textId="77777777" w:rsidTr="005440BF">
        <w:trPr>
          <w:cantSplit/>
          <w:trHeight w:val="240"/>
        </w:trPr>
        <w:tc>
          <w:tcPr>
            <w:tcW w:w="3654" w:type="pct"/>
            <w:shd w:val="clear" w:color="auto" w:fill="auto"/>
          </w:tcPr>
          <w:p w14:paraId="1B2A4D96" w14:textId="77777777" w:rsidR="00F53D73" w:rsidRPr="007C1D10" w:rsidRDefault="00F53D73" w:rsidP="005440BF">
            <w:pPr>
              <w:suppressAutoHyphens w:val="0"/>
              <w:spacing w:before="40" w:after="80" w:line="220" w:lineRule="exact"/>
              <w:rPr>
                <w:lang w:val="en-US"/>
              </w:rPr>
            </w:pPr>
            <w:r w:rsidRPr="007C1D10">
              <w:t>CEPREI certification body (CEPREI)</w:t>
            </w:r>
            <w:r w:rsidRPr="00DD548C">
              <w:rPr>
                <w:i/>
                <w:sz w:val="18"/>
                <w:szCs w:val="18"/>
                <w:vertAlign w:val="superscript"/>
              </w:rPr>
              <w:t>a</w:t>
            </w:r>
          </w:p>
        </w:tc>
        <w:tc>
          <w:tcPr>
            <w:tcW w:w="1346" w:type="pct"/>
            <w:shd w:val="clear" w:color="auto" w:fill="auto"/>
          </w:tcPr>
          <w:p w14:paraId="40EF35A7" w14:textId="77777777" w:rsidR="00F53D73" w:rsidRPr="007C1D10" w:rsidRDefault="00F53D73" w:rsidP="005440BF">
            <w:pPr>
              <w:suppressAutoHyphens w:val="0"/>
              <w:spacing w:before="40" w:after="80" w:line="220" w:lineRule="exact"/>
            </w:pPr>
            <w:r w:rsidRPr="007C1D10">
              <w:t>1–5, 8–10, 13, 15</w:t>
            </w:r>
          </w:p>
        </w:tc>
      </w:tr>
      <w:tr w:rsidR="00F53D73" w:rsidRPr="007C1D10" w14:paraId="0A65CB7E" w14:textId="77777777" w:rsidTr="005440BF">
        <w:trPr>
          <w:cantSplit/>
          <w:trHeight w:val="240"/>
        </w:trPr>
        <w:tc>
          <w:tcPr>
            <w:tcW w:w="3654" w:type="pct"/>
            <w:shd w:val="clear" w:color="auto" w:fill="auto"/>
          </w:tcPr>
          <w:p w14:paraId="3A50502A" w14:textId="77777777" w:rsidR="00F53D73" w:rsidRPr="007C1D10" w:rsidRDefault="00F53D73" w:rsidP="005440BF">
            <w:pPr>
              <w:suppressAutoHyphens w:val="0"/>
              <w:spacing w:before="40" w:after="80" w:line="220" w:lineRule="exact"/>
              <w:rPr>
                <w:lang w:val="fr-FR"/>
              </w:rPr>
            </w:pPr>
            <w:r w:rsidRPr="007C1D10">
              <w:t>China Quality Certification Center (CQC)</w:t>
            </w:r>
            <w:r w:rsidRPr="00DD548C">
              <w:rPr>
                <w:i/>
                <w:sz w:val="18"/>
                <w:szCs w:val="18"/>
                <w:vertAlign w:val="superscript"/>
              </w:rPr>
              <w:t>a</w:t>
            </w:r>
          </w:p>
        </w:tc>
        <w:tc>
          <w:tcPr>
            <w:tcW w:w="1346" w:type="pct"/>
            <w:shd w:val="clear" w:color="auto" w:fill="auto"/>
          </w:tcPr>
          <w:p w14:paraId="36202630" w14:textId="77777777" w:rsidR="00F53D73" w:rsidRPr="007C1D10" w:rsidRDefault="00F53D73" w:rsidP="005440BF">
            <w:pPr>
              <w:suppressAutoHyphens w:val="0"/>
              <w:spacing w:before="40" w:after="80" w:line="220" w:lineRule="exact"/>
            </w:pPr>
            <w:r w:rsidRPr="007C1D10">
              <w:t>1–15</w:t>
            </w:r>
          </w:p>
        </w:tc>
      </w:tr>
      <w:tr w:rsidR="00F53D73" w:rsidRPr="007C1D10" w14:paraId="26954CC1" w14:textId="77777777" w:rsidTr="005440BF">
        <w:trPr>
          <w:cantSplit/>
          <w:trHeight w:val="240"/>
        </w:trPr>
        <w:tc>
          <w:tcPr>
            <w:tcW w:w="3654" w:type="pct"/>
            <w:shd w:val="clear" w:color="auto" w:fill="auto"/>
          </w:tcPr>
          <w:p w14:paraId="7E3C6242" w14:textId="77777777" w:rsidR="00F53D73" w:rsidRPr="007C1D10" w:rsidRDefault="00F53D73" w:rsidP="005440BF">
            <w:pPr>
              <w:suppressAutoHyphens w:val="0"/>
              <w:spacing w:before="40" w:after="80" w:line="220" w:lineRule="exact"/>
            </w:pPr>
            <w:r w:rsidRPr="007C1D10">
              <w:t>CTI Certification Co., Ltd. (CTI Certification)</w:t>
            </w:r>
            <w:r w:rsidRPr="00DD548C">
              <w:rPr>
                <w:i/>
                <w:sz w:val="18"/>
                <w:szCs w:val="18"/>
                <w:vertAlign w:val="superscript"/>
              </w:rPr>
              <w:t>a</w:t>
            </w:r>
          </w:p>
        </w:tc>
        <w:tc>
          <w:tcPr>
            <w:tcW w:w="1346" w:type="pct"/>
            <w:shd w:val="clear" w:color="auto" w:fill="auto"/>
          </w:tcPr>
          <w:p w14:paraId="6D9274BC" w14:textId="77777777" w:rsidR="00F53D73" w:rsidRPr="007C1D10" w:rsidRDefault="00F53D73" w:rsidP="005440BF">
            <w:pPr>
              <w:suppressAutoHyphens w:val="0"/>
              <w:spacing w:before="40" w:after="80" w:line="220" w:lineRule="exact"/>
            </w:pPr>
            <w:r w:rsidRPr="007C1D10">
              <w:t>1–15</w:t>
            </w:r>
          </w:p>
        </w:tc>
      </w:tr>
      <w:tr w:rsidR="00F53D73" w:rsidRPr="007C1D10" w14:paraId="60DA8DDA" w14:textId="77777777" w:rsidTr="005440BF">
        <w:trPr>
          <w:cantSplit/>
          <w:trHeight w:val="240"/>
        </w:trPr>
        <w:tc>
          <w:tcPr>
            <w:tcW w:w="3654" w:type="pct"/>
            <w:shd w:val="clear" w:color="auto" w:fill="auto"/>
          </w:tcPr>
          <w:p w14:paraId="48AE56B6" w14:textId="364B7628" w:rsidR="00F53D73" w:rsidRPr="007C1D10" w:rsidRDefault="00F53D73" w:rsidP="005440BF">
            <w:pPr>
              <w:suppressAutoHyphens w:val="0"/>
              <w:spacing w:before="40" w:after="80" w:line="220" w:lineRule="exact"/>
            </w:pPr>
            <w:r w:rsidRPr="007C1D10">
              <w:t>GHD Limited (GHD)</w:t>
            </w:r>
            <w:r>
              <w:rPr>
                <w:rStyle w:val="EndnoteReference"/>
              </w:rPr>
              <w:endnoteReference w:id="3"/>
            </w:r>
          </w:p>
        </w:tc>
        <w:tc>
          <w:tcPr>
            <w:tcW w:w="1346" w:type="pct"/>
            <w:shd w:val="clear" w:color="auto" w:fill="auto"/>
          </w:tcPr>
          <w:p w14:paraId="634172B6" w14:textId="540C91EA" w:rsidR="00F53D73" w:rsidRPr="007C1D10" w:rsidRDefault="00F53D73" w:rsidP="005440BF">
            <w:pPr>
              <w:suppressAutoHyphens w:val="0"/>
              <w:spacing w:before="40" w:after="80" w:line="220" w:lineRule="exact"/>
            </w:pPr>
            <w:r w:rsidRPr="007C1D10">
              <w:t>1, 4</w:t>
            </w:r>
            <w:r w:rsidR="00AF4B17">
              <w:t xml:space="preserve">, </w:t>
            </w:r>
            <w:r w:rsidRPr="007C1D10">
              <w:t>5, 8–10, 12</w:t>
            </w:r>
            <w:r w:rsidR="00AF4B17">
              <w:t xml:space="preserve">, </w:t>
            </w:r>
            <w:r w:rsidRPr="007C1D10">
              <w:t xml:space="preserve">13 </w:t>
            </w:r>
          </w:p>
        </w:tc>
      </w:tr>
      <w:tr w:rsidR="00F53D73" w:rsidRPr="007C1D10" w14:paraId="52A89FEE" w14:textId="77777777" w:rsidTr="005440BF">
        <w:trPr>
          <w:cantSplit/>
          <w:trHeight w:val="240"/>
        </w:trPr>
        <w:tc>
          <w:tcPr>
            <w:tcW w:w="3654" w:type="pct"/>
            <w:shd w:val="clear" w:color="auto" w:fill="auto"/>
          </w:tcPr>
          <w:p w14:paraId="3B80C6F4" w14:textId="77777777" w:rsidR="00F53D73" w:rsidRPr="007C1D10" w:rsidRDefault="00F53D73" w:rsidP="005440BF">
            <w:pPr>
              <w:suppressAutoHyphens w:val="0"/>
              <w:spacing w:before="40" w:after="80" w:line="220" w:lineRule="exact"/>
            </w:pPr>
            <w:r w:rsidRPr="007C1D10">
              <w:t>Korea Energy Agency (KEA)</w:t>
            </w:r>
            <w:r w:rsidRPr="00DD548C">
              <w:rPr>
                <w:i/>
                <w:sz w:val="18"/>
                <w:szCs w:val="18"/>
                <w:vertAlign w:val="superscript"/>
              </w:rPr>
              <w:t>b</w:t>
            </w:r>
          </w:p>
        </w:tc>
        <w:tc>
          <w:tcPr>
            <w:tcW w:w="1346" w:type="pct"/>
            <w:shd w:val="clear" w:color="auto" w:fill="auto"/>
          </w:tcPr>
          <w:p w14:paraId="565D418D" w14:textId="0F4E9566" w:rsidR="00F53D73" w:rsidRPr="007C1D10" w:rsidRDefault="00F53D73" w:rsidP="005440BF">
            <w:pPr>
              <w:suppressAutoHyphens w:val="0"/>
              <w:spacing w:before="40" w:after="80" w:line="220" w:lineRule="exact"/>
            </w:pPr>
            <w:r w:rsidRPr="007C1D10">
              <w:t>1, 3–5, 7, 9, 11–15</w:t>
            </w:r>
          </w:p>
        </w:tc>
      </w:tr>
      <w:tr w:rsidR="00F53D73" w:rsidRPr="007C1D10" w14:paraId="19C19935" w14:textId="77777777" w:rsidTr="005440BF">
        <w:trPr>
          <w:cantSplit/>
          <w:trHeight w:val="240"/>
        </w:trPr>
        <w:tc>
          <w:tcPr>
            <w:tcW w:w="3654" w:type="pct"/>
            <w:shd w:val="clear" w:color="auto" w:fill="auto"/>
          </w:tcPr>
          <w:p w14:paraId="2A0C41E8" w14:textId="77777777" w:rsidR="00F53D73" w:rsidRPr="007C1D10" w:rsidRDefault="00F53D73" w:rsidP="005440BF">
            <w:pPr>
              <w:suppressAutoHyphens w:val="0"/>
              <w:spacing w:before="40" w:after="80" w:line="220" w:lineRule="exact"/>
            </w:pPr>
            <w:r w:rsidRPr="007C1D10">
              <w:t>Limited Liability Company Small Innovative Enterprise “NES Profexpert” (NES)</w:t>
            </w:r>
            <w:r w:rsidRPr="00DD548C">
              <w:rPr>
                <w:i/>
                <w:sz w:val="18"/>
                <w:szCs w:val="18"/>
                <w:vertAlign w:val="superscript"/>
              </w:rPr>
              <w:t>a</w:t>
            </w:r>
          </w:p>
        </w:tc>
        <w:tc>
          <w:tcPr>
            <w:tcW w:w="1346" w:type="pct"/>
            <w:shd w:val="clear" w:color="auto" w:fill="auto"/>
          </w:tcPr>
          <w:p w14:paraId="33492FF5" w14:textId="77777777" w:rsidR="00F53D73" w:rsidRPr="007C1D10" w:rsidRDefault="00F53D73" w:rsidP="005440BF">
            <w:pPr>
              <w:suppressAutoHyphens w:val="0"/>
              <w:spacing w:before="40" w:after="80" w:line="220" w:lineRule="exact"/>
            </w:pPr>
            <w:r w:rsidRPr="007C1D10">
              <w:t>1, 3–5, 10, 14</w:t>
            </w:r>
          </w:p>
        </w:tc>
      </w:tr>
      <w:tr w:rsidR="00F53D73" w:rsidRPr="007C1D10" w14:paraId="75A9B206" w14:textId="77777777" w:rsidTr="005440BF">
        <w:trPr>
          <w:cantSplit/>
          <w:trHeight w:val="240"/>
        </w:trPr>
        <w:tc>
          <w:tcPr>
            <w:tcW w:w="3654" w:type="pct"/>
            <w:shd w:val="clear" w:color="auto" w:fill="auto"/>
          </w:tcPr>
          <w:p w14:paraId="331F3982" w14:textId="77777777" w:rsidR="00F53D73" w:rsidRPr="007C1D10" w:rsidRDefault="00F53D73" w:rsidP="005440BF">
            <w:pPr>
              <w:suppressAutoHyphens w:val="0"/>
              <w:spacing w:before="40" w:after="80" w:line="220" w:lineRule="exact"/>
            </w:pPr>
            <w:r w:rsidRPr="007C1D10">
              <w:t>PONY Testing International Group Co., Ltd. (Pony Test)</w:t>
            </w:r>
            <w:r w:rsidRPr="00DD548C">
              <w:rPr>
                <w:i/>
                <w:sz w:val="18"/>
                <w:szCs w:val="18"/>
                <w:vertAlign w:val="superscript"/>
              </w:rPr>
              <w:t>a</w:t>
            </w:r>
          </w:p>
        </w:tc>
        <w:tc>
          <w:tcPr>
            <w:tcW w:w="1346" w:type="pct"/>
            <w:shd w:val="clear" w:color="auto" w:fill="auto"/>
          </w:tcPr>
          <w:p w14:paraId="4FEDECFE" w14:textId="77777777" w:rsidR="00F53D73" w:rsidRPr="007C1D10" w:rsidRDefault="00F53D73" w:rsidP="005440BF">
            <w:pPr>
              <w:suppressAutoHyphens w:val="0"/>
              <w:spacing w:before="40" w:after="80" w:line="220" w:lineRule="exact"/>
            </w:pPr>
            <w:r w:rsidRPr="007C1D10">
              <w:t>1–15</w:t>
            </w:r>
          </w:p>
        </w:tc>
      </w:tr>
      <w:tr w:rsidR="00F53D73" w:rsidRPr="007C1D10" w14:paraId="7E93D246" w14:textId="77777777" w:rsidTr="005440BF">
        <w:trPr>
          <w:cantSplit/>
          <w:trHeight w:val="240"/>
        </w:trPr>
        <w:tc>
          <w:tcPr>
            <w:tcW w:w="3654" w:type="pct"/>
            <w:tcBorders>
              <w:bottom w:val="single" w:sz="12" w:space="0" w:color="auto"/>
            </w:tcBorders>
            <w:shd w:val="clear" w:color="auto" w:fill="auto"/>
          </w:tcPr>
          <w:p w14:paraId="0A1F83A6" w14:textId="77777777" w:rsidR="00F53D73" w:rsidRPr="007C1D10" w:rsidRDefault="00F53D73" w:rsidP="005440BF">
            <w:pPr>
              <w:suppressAutoHyphens w:val="0"/>
              <w:spacing w:before="40" w:after="80" w:line="220" w:lineRule="exact"/>
            </w:pPr>
            <w:r w:rsidRPr="007C1D10">
              <w:t>TÜV SÜD South Asia Private Limited (TÜV SÜD)</w:t>
            </w:r>
            <w:r w:rsidRPr="00DD548C">
              <w:rPr>
                <w:i/>
                <w:sz w:val="18"/>
                <w:szCs w:val="18"/>
                <w:vertAlign w:val="superscript"/>
              </w:rPr>
              <w:t>a</w:t>
            </w:r>
          </w:p>
        </w:tc>
        <w:tc>
          <w:tcPr>
            <w:tcW w:w="1346" w:type="pct"/>
            <w:tcBorders>
              <w:bottom w:val="single" w:sz="12" w:space="0" w:color="auto"/>
            </w:tcBorders>
            <w:shd w:val="clear" w:color="auto" w:fill="auto"/>
          </w:tcPr>
          <w:p w14:paraId="760A2755" w14:textId="77777777" w:rsidR="00F53D73" w:rsidRPr="007C1D10" w:rsidRDefault="00F53D73" w:rsidP="005440BF">
            <w:pPr>
              <w:suppressAutoHyphens w:val="0"/>
              <w:spacing w:before="40" w:after="80" w:line="220" w:lineRule="exact"/>
            </w:pPr>
            <w:r w:rsidRPr="007C1D10">
              <w:t>1, 3–5, 7, 10, 13–15</w:t>
            </w:r>
          </w:p>
        </w:tc>
      </w:tr>
    </w:tbl>
    <w:p w14:paraId="46FEAEB9" w14:textId="77777777" w:rsidR="00F53D73" w:rsidRDefault="00F53D73" w:rsidP="00CA1C2D">
      <w:pPr>
        <w:keepNext/>
        <w:tabs>
          <w:tab w:val="left" w:pos="1701"/>
        </w:tabs>
        <w:spacing w:line="60" w:lineRule="exact"/>
        <w:ind w:right="1134"/>
        <w:jc w:val="both"/>
        <w:rPr>
          <w:i/>
          <w:iCs/>
        </w:rPr>
        <w:sectPr w:rsidR="00F53D73" w:rsidSect="00AB0CD8">
          <w:headerReference w:type="even" r:id="rId24"/>
          <w:headerReference w:type="default" r:id="rId25"/>
          <w:footerReference w:type="even" r:id="rId26"/>
          <w:footerReference w:type="default" r:id="rId27"/>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10F03D28" w14:textId="5DF9050D" w:rsidR="00CA1C2D" w:rsidRPr="000F6262" w:rsidRDefault="00CA1C2D" w:rsidP="00CA1C2D">
      <w:pPr>
        <w:tabs>
          <w:tab w:val="left" w:pos="1701"/>
        </w:tabs>
        <w:spacing w:line="20" w:lineRule="atLeast"/>
        <w:ind w:left="1134" w:right="1133"/>
        <w:jc w:val="right"/>
        <w:rPr>
          <w:i/>
          <w:iCs/>
        </w:rPr>
      </w:pPr>
      <w:r>
        <w:rPr>
          <w:i/>
          <w:iCs/>
        </w:rPr>
        <w:t>5</w:t>
      </w:r>
      <w:r w:rsidRPr="00DF3DED">
        <w:rPr>
          <w:i/>
          <w:iCs/>
          <w:vertAlign w:val="superscript"/>
        </w:rPr>
        <w:t>th</w:t>
      </w:r>
      <w:r>
        <w:rPr>
          <w:i/>
          <w:iCs/>
        </w:rPr>
        <w:t xml:space="preserve"> </w:t>
      </w:r>
      <w:r w:rsidRPr="000F6262">
        <w:rPr>
          <w:i/>
          <w:iCs/>
        </w:rPr>
        <w:t>plenary meeting</w:t>
      </w:r>
    </w:p>
    <w:p w14:paraId="6B66F408" w14:textId="77777777" w:rsidR="00CA1C2D" w:rsidRPr="000F6262" w:rsidRDefault="00CA1C2D" w:rsidP="00CA1C2D">
      <w:pPr>
        <w:tabs>
          <w:tab w:val="left" w:pos="1701"/>
        </w:tabs>
        <w:spacing w:line="20" w:lineRule="atLeast"/>
        <w:ind w:left="1134" w:right="1134"/>
        <w:jc w:val="right"/>
        <w:rPr>
          <w:i/>
          <w:iCs/>
        </w:rPr>
      </w:pPr>
      <w:r w:rsidRPr="000F6262">
        <w:rPr>
          <w:i/>
          <w:iCs/>
        </w:rPr>
        <w:t>1</w:t>
      </w:r>
      <w:r>
        <w:rPr>
          <w:i/>
          <w:iCs/>
        </w:rPr>
        <w:t>1</w:t>
      </w:r>
      <w:r w:rsidRPr="000F6262">
        <w:rPr>
          <w:i/>
          <w:iCs/>
        </w:rPr>
        <w:t xml:space="preserve"> December 2023</w:t>
      </w:r>
    </w:p>
    <w:p w14:paraId="19FF20A2" w14:textId="77777777" w:rsidR="0014713C" w:rsidRPr="0014713C" w:rsidRDefault="0014713C" w:rsidP="00EA119B">
      <w:pPr>
        <w:pStyle w:val="RegH1G"/>
        <w:ind w:hanging="454"/>
      </w:pPr>
    </w:p>
    <w:p w14:paraId="08681E85" w14:textId="1D678420" w:rsidR="0014713C" w:rsidRPr="0014713C" w:rsidRDefault="0014713C" w:rsidP="00EA119B">
      <w:pPr>
        <w:pStyle w:val="RegH1G"/>
        <w:ind w:hanging="454"/>
        <w:sectPr w:rsidR="0014713C" w:rsidRPr="0014713C" w:rsidSect="00CA1C2D">
          <w:footnotePr>
            <w:numRestart w:val="eachSect"/>
          </w:footnotePr>
          <w:endnotePr>
            <w:numFmt w:val="lowerLetter"/>
            <w:numRestart w:val="eachSect"/>
          </w:endnotePr>
          <w:type w:val="continuous"/>
          <w:pgSz w:w="11906" w:h="16838" w:code="9"/>
          <w:pgMar w:top="1417" w:right="1134" w:bottom="1134" w:left="1134" w:header="850" w:footer="567" w:gutter="0"/>
          <w:cols w:space="708"/>
          <w:docGrid w:linePitch="360"/>
        </w:sectPr>
      </w:pPr>
    </w:p>
    <w:p w14:paraId="301289A4" w14:textId="517EE8A7" w:rsidR="00992614" w:rsidRPr="00992614" w:rsidRDefault="00992614" w:rsidP="001632F2">
      <w:pPr>
        <w:pStyle w:val="HChG"/>
        <w:ind w:firstLine="0"/>
        <w:jc w:val="both"/>
      </w:pPr>
      <w:bookmarkStart w:id="26" w:name="_Toc161219952"/>
      <w:bookmarkStart w:id="27" w:name="Decision2"/>
      <w:r w:rsidRPr="00992614">
        <w:lastRenderedPageBreak/>
        <w:t xml:space="preserve">Decision </w:t>
      </w:r>
      <w:r w:rsidR="004A2E86">
        <w:t>2</w:t>
      </w:r>
      <w:r w:rsidRPr="00992614">
        <w:t>/CMP.18</w:t>
      </w:r>
      <w:bookmarkEnd w:id="26"/>
    </w:p>
    <w:bookmarkEnd w:id="27"/>
    <w:p w14:paraId="52372C33" w14:textId="5F422AB1" w:rsidR="00992614" w:rsidRPr="00992614" w:rsidRDefault="00992614" w:rsidP="00662277">
      <w:pPr>
        <w:pStyle w:val="HChG"/>
        <w:ind w:firstLine="0"/>
        <w:jc w:val="both"/>
      </w:pPr>
      <w:r w:rsidRPr="00992614">
        <w:t xml:space="preserve">Matters relating to </w:t>
      </w:r>
      <w:r w:rsidR="00DF4C30">
        <w:t>j</w:t>
      </w:r>
      <w:r w:rsidRPr="00992614">
        <w:t xml:space="preserve">oint </w:t>
      </w:r>
      <w:r w:rsidR="00DF4C30">
        <w:t>i</w:t>
      </w:r>
      <w:r w:rsidRPr="00992614">
        <w:t xml:space="preserve">mplementation </w:t>
      </w:r>
    </w:p>
    <w:p w14:paraId="6A907B14" w14:textId="77777777" w:rsidR="002251F9" w:rsidRDefault="002251F9" w:rsidP="00037BCF">
      <w:pPr>
        <w:pStyle w:val="SingleTxtG"/>
        <w:ind w:firstLine="567"/>
      </w:pPr>
      <w:r w:rsidRPr="133B3811">
        <w:rPr>
          <w:i/>
          <w:iCs/>
        </w:rPr>
        <w:t xml:space="preserve">The Conference of the Parties serving as the meeting of the Parties to the </w:t>
      </w:r>
      <w:r>
        <w:rPr>
          <w:i/>
          <w:iCs/>
        </w:rPr>
        <w:t>Kyoto Protocol</w:t>
      </w:r>
      <w:r w:rsidRPr="003C7974">
        <w:t>,</w:t>
      </w:r>
    </w:p>
    <w:p w14:paraId="43CE94EB" w14:textId="77777777" w:rsidR="002251F9" w:rsidRPr="002D3E44" w:rsidRDefault="002251F9" w:rsidP="00157E9F">
      <w:pPr>
        <w:pStyle w:val="SingleTxtG"/>
        <w:spacing w:line="240" w:lineRule="exact"/>
        <w:ind w:firstLine="567"/>
      </w:pPr>
      <w:r w:rsidRPr="003F6FE8">
        <w:rPr>
          <w:i/>
          <w:iCs/>
        </w:rPr>
        <w:t>Recalling</w:t>
      </w:r>
      <w:r w:rsidRPr="0041074D">
        <w:t xml:space="preserve"> Articles 3 and </w:t>
      </w:r>
      <w:r>
        <w:t>6</w:t>
      </w:r>
      <w:r w:rsidRPr="0041074D">
        <w:t xml:space="preserve"> of the Kyoto Protocol,</w:t>
      </w:r>
    </w:p>
    <w:p w14:paraId="6733CF5D" w14:textId="77777777" w:rsidR="002251F9" w:rsidRDefault="002251F9" w:rsidP="00157E9F">
      <w:pPr>
        <w:pStyle w:val="SingleTxtG"/>
        <w:spacing w:line="240" w:lineRule="exact"/>
        <w:ind w:firstLine="567"/>
      </w:pPr>
      <w:r w:rsidRPr="003F6FE8">
        <w:rPr>
          <w:i/>
          <w:iCs/>
        </w:rPr>
        <w:t>Also recalling</w:t>
      </w:r>
      <w:r w:rsidRPr="0041074D">
        <w:t xml:space="preserve"> decision </w:t>
      </w:r>
      <w:r>
        <w:t>9</w:t>
      </w:r>
      <w:r w:rsidRPr="0041074D">
        <w:t xml:space="preserve">/CMP.1 and subsequent guidance provided by the Conference of the Parties serving as the meeting of the Parties to the Kyoto Protocol relating to </w:t>
      </w:r>
      <w:r>
        <w:t>joint implementation</w:t>
      </w:r>
      <w:r w:rsidRPr="0041074D">
        <w:t>,</w:t>
      </w:r>
    </w:p>
    <w:p w14:paraId="49A71460" w14:textId="77777777" w:rsidR="002251F9" w:rsidRPr="00CC0AA1" w:rsidRDefault="002251F9" w:rsidP="00157E9F">
      <w:pPr>
        <w:pStyle w:val="SingleTxtG"/>
        <w:spacing w:line="240" w:lineRule="exact"/>
        <w:ind w:firstLine="567"/>
      </w:pPr>
      <w:r>
        <w:rPr>
          <w:i/>
          <w:iCs/>
        </w:rPr>
        <w:t xml:space="preserve">Further recalling </w:t>
      </w:r>
      <w:r>
        <w:t>decision 3/CMP.17, in which it was decided to terminate the Joint Implementation Supervisory Committee,</w:t>
      </w:r>
    </w:p>
    <w:p w14:paraId="29C58ECD" w14:textId="75861E71" w:rsidR="002251F9" w:rsidRDefault="00EA119B" w:rsidP="00EA119B">
      <w:pPr>
        <w:pStyle w:val="RegSingleTxtG"/>
        <w:tabs>
          <w:tab w:val="left" w:pos="568"/>
        </w:tabs>
        <w:ind w:left="1135"/>
      </w:pPr>
      <w:r>
        <w:t>1.</w:t>
      </w:r>
      <w:r>
        <w:tab/>
      </w:r>
      <w:r w:rsidR="002251F9" w:rsidRPr="009817BD">
        <w:rPr>
          <w:i/>
          <w:iCs/>
        </w:rPr>
        <w:t>Takes note</w:t>
      </w:r>
      <w:r w:rsidR="002251F9">
        <w:t xml:space="preserve"> of the report by the secretariat on the operation of joint implementation Track 2,</w:t>
      </w:r>
      <w:r w:rsidR="002251F9">
        <w:rPr>
          <w:rStyle w:val="FootnoteReference"/>
          <w:lang w:val="en-AU"/>
        </w:rPr>
        <w:footnoteReference w:id="11"/>
      </w:r>
      <w:r w:rsidR="002251F9">
        <w:t xml:space="preserve"> which includes recommendations on the orderly management of residual joint implementation financial resources and on other matters relevant to the termination of the Joint Implementation Supervisory Committee;</w:t>
      </w:r>
      <w:r w:rsidR="002251F9">
        <w:rPr>
          <w:rStyle w:val="FootnoteReference"/>
          <w:lang w:val="en-AU"/>
        </w:rPr>
        <w:footnoteReference w:id="12"/>
      </w:r>
      <w:r w:rsidR="002251F9">
        <w:t xml:space="preserve"> </w:t>
      </w:r>
    </w:p>
    <w:p w14:paraId="1B0425D7" w14:textId="65E5F6B5" w:rsidR="002251F9" w:rsidRDefault="00EA119B" w:rsidP="00EA119B">
      <w:pPr>
        <w:pStyle w:val="RegSingleTxtG"/>
        <w:tabs>
          <w:tab w:val="left" w:pos="568"/>
        </w:tabs>
        <w:ind w:left="1135"/>
      </w:pPr>
      <w:bookmarkStart w:id="28" w:name="_Ref155709155"/>
      <w:r>
        <w:t>2.</w:t>
      </w:r>
      <w:r>
        <w:tab/>
      </w:r>
      <w:r w:rsidR="002251F9" w:rsidRPr="009817BD">
        <w:rPr>
          <w:i/>
          <w:iCs/>
        </w:rPr>
        <w:t>Decides</w:t>
      </w:r>
      <w:r w:rsidR="002251F9">
        <w:t xml:space="preserve"> to allocate part of the funds</w:t>
      </w:r>
      <w:r w:rsidR="002251F9" w:rsidRPr="007C0001">
        <w:rPr>
          <w:rStyle w:val="FootnoteReference"/>
        </w:rPr>
        <w:footnoteReference w:id="13"/>
      </w:r>
      <w:r w:rsidR="002251F9">
        <w:t xml:space="preserve"> from the residual financial resources to the implementation of digital and archival measures related to the joint implementation records as one of the remaining tasks for concluding the operations of the Committee;</w:t>
      </w:r>
      <w:bookmarkEnd w:id="28"/>
    </w:p>
    <w:p w14:paraId="092C7B01" w14:textId="1DF89E84" w:rsidR="002251F9" w:rsidRDefault="00EA119B" w:rsidP="00EA119B">
      <w:pPr>
        <w:pStyle w:val="RegSingleTxtG"/>
        <w:tabs>
          <w:tab w:val="left" w:pos="568"/>
        </w:tabs>
        <w:ind w:left="1135"/>
      </w:pPr>
      <w:r>
        <w:t>3.</w:t>
      </w:r>
      <w:r>
        <w:tab/>
      </w:r>
      <w:r w:rsidR="002251F9" w:rsidRPr="00B724C9">
        <w:rPr>
          <w:i/>
          <w:iCs/>
        </w:rPr>
        <w:t>Also decides</w:t>
      </w:r>
      <w:r w:rsidR="002251F9">
        <w:t xml:space="preserve"> to transfer, by 31 March 2024, any residual financial resources remaining upon completion of the task referred to in paragraph </w:t>
      </w:r>
      <w:r w:rsidR="002251F9">
        <w:rPr>
          <w:cs/>
        </w:rPr>
        <w:t>‎</w:t>
      </w:r>
      <w:r w:rsidR="004B2E3B">
        <w:rPr>
          <w:cs/>
        </w:rPr>
        <w:t>‎</w:t>
      </w:r>
      <w:r w:rsidR="004B2E3B">
        <w:t>2 above</w:t>
      </w:r>
      <w:r w:rsidR="002251F9">
        <w:t xml:space="preserve"> from the joint implementation project under the Trust Fund for Supplementary Activities to a project for developing and operating the hard and soft information technology infrastructure necessary for facilitating the expedited implementation of Article 6, paragraph 2, of the Paris Agreement;</w:t>
      </w:r>
    </w:p>
    <w:p w14:paraId="0A779D4C" w14:textId="6EFA937A" w:rsidR="002251F9" w:rsidRPr="00723D62" w:rsidRDefault="00EA119B" w:rsidP="00EA119B">
      <w:pPr>
        <w:pStyle w:val="RegSingleTxtG"/>
        <w:tabs>
          <w:tab w:val="left" w:pos="568"/>
        </w:tabs>
        <w:ind w:left="1135"/>
      </w:pPr>
      <w:r w:rsidRPr="00723D62">
        <w:t>4.</w:t>
      </w:r>
      <w:r w:rsidRPr="00723D62">
        <w:tab/>
      </w:r>
      <w:r w:rsidR="002251F9" w:rsidRPr="00B724C9">
        <w:rPr>
          <w:i/>
          <w:iCs/>
        </w:rPr>
        <w:t>Concludes</w:t>
      </w:r>
      <w:r w:rsidR="002251F9">
        <w:t xml:space="preserve"> the consideration of matters relating to joint implementation.</w:t>
      </w:r>
    </w:p>
    <w:p w14:paraId="2DE7DBA9" w14:textId="28091C3C" w:rsidR="00471A1E" w:rsidRPr="00FF0952" w:rsidRDefault="00B12DAB" w:rsidP="002D3E44">
      <w:pPr>
        <w:tabs>
          <w:tab w:val="left" w:pos="1701"/>
        </w:tabs>
        <w:spacing w:line="20" w:lineRule="atLeast"/>
        <w:ind w:left="1134" w:right="1134"/>
        <w:jc w:val="right"/>
        <w:rPr>
          <w:i/>
          <w:iCs/>
        </w:rPr>
      </w:pPr>
      <w:r>
        <w:rPr>
          <w:i/>
          <w:iCs/>
        </w:rPr>
        <w:t>6</w:t>
      </w:r>
      <w:r w:rsidRPr="00B12DAB">
        <w:rPr>
          <w:i/>
          <w:iCs/>
          <w:vertAlign w:val="superscript"/>
        </w:rPr>
        <w:t>th</w:t>
      </w:r>
      <w:r>
        <w:rPr>
          <w:i/>
          <w:iCs/>
        </w:rPr>
        <w:t xml:space="preserve"> </w:t>
      </w:r>
      <w:r w:rsidR="00471A1E" w:rsidRPr="00FF0952">
        <w:rPr>
          <w:i/>
          <w:iCs/>
        </w:rPr>
        <w:t>plenary me</w:t>
      </w:r>
      <w:r w:rsidR="00471A1E">
        <w:rPr>
          <w:i/>
          <w:iCs/>
        </w:rPr>
        <w:t>e</w:t>
      </w:r>
      <w:r w:rsidR="00471A1E" w:rsidRPr="00FF0952">
        <w:rPr>
          <w:i/>
          <w:iCs/>
        </w:rPr>
        <w:t>ting</w:t>
      </w:r>
    </w:p>
    <w:p w14:paraId="32E2A4C8" w14:textId="77777777" w:rsidR="00471A1E" w:rsidRDefault="00471A1E" w:rsidP="002D3E44">
      <w:pPr>
        <w:tabs>
          <w:tab w:val="left" w:pos="1701"/>
        </w:tabs>
        <w:spacing w:line="20" w:lineRule="atLeast"/>
        <w:ind w:left="1134" w:right="1134"/>
        <w:jc w:val="right"/>
        <w:rPr>
          <w:i/>
          <w:iCs/>
        </w:rPr>
      </w:pPr>
      <w:r w:rsidRPr="00FF0952">
        <w:rPr>
          <w:i/>
          <w:iCs/>
        </w:rPr>
        <w:t>13 December 2023</w:t>
      </w:r>
    </w:p>
    <w:p w14:paraId="1F813224" w14:textId="77777777" w:rsidR="00471A1E" w:rsidRPr="00723D62" w:rsidRDefault="00471A1E" w:rsidP="002251F9">
      <w:pPr>
        <w:pStyle w:val="RegSingleTxtG"/>
        <w:ind w:left="1135"/>
      </w:pPr>
    </w:p>
    <w:p w14:paraId="3210C607" w14:textId="77777777" w:rsidR="00FF6587" w:rsidRDefault="00FF6587" w:rsidP="00467208">
      <w:pPr>
        <w:spacing w:after="120"/>
        <w:ind w:right="1134"/>
        <w:jc w:val="both"/>
        <w:sectPr w:rsidR="00FF6587" w:rsidSect="00AB0CD8">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291096F2" w14:textId="6B5BB368" w:rsidR="007940F2" w:rsidRDefault="00695C1F" w:rsidP="00AD4F63">
      <w:pPr>
        <w:pStyle w:val="HChG"/>
        <w:ind w:firstLine="0"/>
        <w:jc w:val="both"/>
      </w:pPr>
      <w:bookmarkStart w:id="29" w:name="Decision3"/>
      <w:r>
        <w:lastRenderedPageBreak/>
        <w:tab/>
      </w:r>
      <w:bookmarkStart w:id="30" w:name="_Toc161219953"/>
      <w:r w:rsidR="007940F2" w:rsidRPr="004D7F09">
        <w:t>Decision 3/CMP.18</w:t>
      </w:r>
      <w:bookmarkEnd w:id="30"/>
    </w:p>
    <w:bookmarkEnd w:id="29"/>
    <w:p w14:paraId="043112D4" w14:textId="0AF7A88A" w:rsidR="00EF0E2E" w:rsidRDefault="00695C1F" w:rsidP="00AD4F63">
      <w:pPr>
        <w:pStyle w:val="HChG"/>
        <w:ind w:firstLine="0"/>
        <w:jc w:val="both"/>
      </w:pPr>
      <w:r>
        <w:tab/>
      </w:r>
      <w:r w:rsidR="00EF0E2E">
        <w:t>Matters relating to the Adaptation Fund</w:t>
      </w:r>
    </w:p>
    <w:p w14:paraId="3AEBD937" w14:textId="77777777" w:rsidR="00BE7172" w:rsidRPr="00524587" w:rsidRDefault="00BE7172" w:rsidP="00AD4F63">
      <w:pPr>
        <w:pStyle w:val="SingleTxtG"/>
        <w:ind w:firstLine="567"/>
        <w:rPr>
          <w:rFonts w:eastAsia="DengXian"/>
          <w:color w:val="000000"/>
        </w:rPr>
      </w:pPr>
      <w:r w:rsidRPr="000D1C13">
        <w:rPr>
          <w:rFonts w:eastAsia="DengXian"/>
          <w:i/>
          <w:iCs/>
          <w:color w:val="000000"/>
        </w:rPr>
        <w:t>The Conference of the Parties serving as the meeting of the Parties to the Kyoto Protocol</w:t>
      </w:r>
      <w:r w:rsidRPr="00524587">
        <w:rPr>
          <w:rFonts w:eastAsia="DengXian"/>
          <w:color w:val="000000"/>
        </w:rPr>
        <w:t>,</w:t>
      </w:r>
    </w:p>
    <w:p w14:paraId="04F8ECD3" w14:textId="0CE50460" w:rsidR="00BE7172" w:rsidRPr="00524587" w:rsidRDefault="00BE7172" w:rsidP="00AD4F63">
      <w:pPr>
        <w:pStyle w:val="SingleTxtG"/>
        <w:spacing w:line="240" w:lineRule="exact"/>
        <w:ind w:firstLine="567"/>
        <w:rPr>
          <w:rFonts w:eastAsia="DengXian"/>
          <w:color w:val="000000"/>
        </w:rPr>
      </w:pPr>
      <w:r w:rsidRPr="000D1C13">
        <w:rPr>
          <w:rFonts w:eastAsia="DengXian"/>
          <w:i/>
          <w:iCs/>
          <w:color w:val="000000"/>
        </w:rPr>
        <w:tab/>
        <w:t>Recalling</w:t>
      </w:r>
      <w:r w:rsidRPr="00524587">
        <w:rPr>
          <w:rFonts w:eastAsia="DengXian"/>
          <w:color w:val="000000"/>
        </w:rPr>
        <w:t xml:space="preserve"> decisions 1/CMP.3, 1/CMP.4, 2/CMP.10, 1/CMP.11, 2/CMP.12, 1/CMP.13, 1/CMP.14, 3/CMP.15, 3/CMP.16 and 4/CMP.17,</w:t>
      </w:r>
    </w:p>
    <w:p w14:paraId="5CA205F6" w14:textId="48E5A121" w:rsidR="00BE7172" w:rsidRPr="00693EE2" w:rsidRDefault="00BE7172" w:rsidP="00AD4F63">
      <w:pPr>
        <w:pStyle w:val="SingleTxtG"/>
        <w:spacing w:line="240" w:lineRule="exact"/>
        <w:ind w:firstLine="567"/>
        <w:rPr>
          <w:rFonts w:eastAsia="DengXian"/>
          <w:color w:val="000000"/>
        </w:rPr>
      </w:pPr>
      <w:r w:rsidRPr="000D1C13">
        <w:rPr>
          <w:rFonts w:eastAsia="DengXian"/>
          <w:i/>
          <w:iCs/>
          <w:color w:val="000000"/>
        </w:rPr>
        <w:tab/>
        <w:t>Also recalling</w:t>
      </w:r>
      <w:r w:rsidRPr="00524587">
        <w:rPr>
          <w:rFonts w:eastAsia="DengXian"/>
          <w:color w:val="000000"/>
        </w:rPr>
        <w:t xml:space="preserve"> decision 13/CMA.1,</w:t>
      </w:r>
    </w:p>
    <w:p w14:paraId="4ECB87C2" w14:textId="10DE5B4C" w:rsidR="00BE7172" w:rsidRPr="00753547" w:rsidRDefault="00BE7172" w:rsidP="00AD4F63">
      <w:pPr>
        <w:pStyle w:val="SingleTxtG"/>
        <w:spacing w:line="240" w:lineRule="exact"/>
        <w:ind w:firstLine="567"/>
      </w:pPr>
      <w:r w:rsidRPr="000D1C13">
        <w:rPr>
          <w:rFonts w:eastAsia="DengXian"/>
          <w:i/>
          <w:iCs/>
          <w:color w:val="000000"/>
        </w:rPr>
        <w:tab/>
      </w:r>
      <w:r w:rsidRPr="0008470F">
        <w:rPr>
          <w:rFonts w:eastAsia="DengXian"/>
          <w:i/>
          <w:iCs/>
          <w:color w:val="000000"/>
        </w:rPr>
        <w:t>Further recalling</w:t>
      </w:r>
      <w:r w:rsidRPr="00524587">
        <w:rPr>
          <w:rFonts w:eastAsia="DengXian"/>
          <w:color w:val="000000"/>
        </w:rPr>
        <w:t xml:space="preserve"> decision 5/CMP.17, paragraph 8,</w:t>
      </w:r>
    </w:p>
    <w:p w14:paraId="7123EBB3" w14:textId="5E093A20" w:rsidR="00BE7172" w:rsidRPr="0008470F" w:rsidRDefault="00EA119B" w:rsidP="00EA119B">
      <w:pPr>
        <w:pStyle w:val="RegSingleTxtG"/>
        <w:tabs>
          <w:tab w:val="left" w:pos="568"/>
        </w:tabs>
        <w:ind w:left="1135"/>
      </w:pPr>
      <w:bookmarkStart w:id="31" w:name="_Ref155724961"/>
      <w:r w:rsidRPr="0008470F">
        <w:t>1.</w:t>
      </w:r>
      <w:r w:rsidRPr="0008470F">
        <w:tab/>
      </w:r>
      <w:r w:rsidR="00BE7172" w:rsidRPr="0008470F">
        <w:rPr>
          <w:i/>
          <w:iCs/>
        </w:rPr>
        <w:t xml:space="preserve">Welcomes </w:t>
      </w:r>
      <w:r w:rsidR="00BE7172" w:rsidRPr="0008470F">
        <w:t>the annual report of the Adaptation Fund Board for 2023, including its addendum, and the information therein;</w:t>
      </w:r>
      <w:r w:rsidR="00BE7172" w:rsidRPr="0008470F">
        <w:rPr>
          <w:rStyle w:val="FootnoteReference"/>
        </w:rPr>
        <w:footnoteReference w:id="14"/>
      </w:r>
      <w:bookmarkEnd w:id="31"/>
    </w:p>
    <w:p w14:paraId="0A162426" w14:textId="54FF37B7" w:rsidR="00BE7172" w:rsidRPr="0008470F" w:rsidRDefault="00EA119B" w:rsidP="00EA119B">
      <w:pPr>
        <w:pStyle w:val="RegSingleTxtG"/>
        <w:tabs>
          <w:tab w:val="left" w:pos="568"/>
        </w:tabs>
        <w:ind w:left="1135"/>
      </w:pPr>
      <w:r w:rsidRPr="0008470F">
        <w:t>2.</w:t>
      </w:r>
      <w:r w:rsidRPr="0008470F">
        <w:tab/>
      </w:r>
      <w:r w:rsidR="00BE7172" w:rsidRPr="0008470F">
        <w:rPr>
          <w:i/>
          <w:iCs/>
        </w:rPr>
        <w:t>Notes</w:t>
      </w:r>
      <w:r w:rsidR="00BE7172" w:rsidRPr="0008470F">
        <w:t xml:space="preserve"> the following information, actions and decisions relating to the Adaptation Fund Board presented in the report referred to in paragraph </w:t>
      </w:r>
      <w:r w:rsidR="004B2E3B">
        <w:rPr>
          <w:cs/>
        </w:rPr>
        <w:t>‎</w:t>
      </w:r>
      <w:r w:rsidR="004B2E3B">
        <w:t>1 above</w:t>
      </w:r>
      <w:r w:rsidR="00BE7172" w:rsidRPr="0008470F">
        <w:t>:</w:t>
      </w:r>
    </w:p>
    <w:p w14:paraId="0E756B7F" w14:textId="1AFF7383" w:rsidR="00BE7172" w:rsidRPr="0008470F" w:rsidRDefault="00EA119B" w:rsidP="00EA119B">
      <w:pPr>
        <w:pStyle w:val="RegSingleTxtG2"/>
        <w:ind w:left="1134" w:firstLine="567"/>
      </w:pPr>
      <w:r w:rsidRPr="0008470F">
        <w:rPr>
          <w:szCs w:val="28"/>
        </w:rPr>
        <w:t>(a)</w:t>
      </w:r>
      <w:r w:rsidRPr="0008470F">
        <w:rPr>
          <w:szCs w:val="28"/>
        </w:rPr>
        <w:tab/>
      </w:r>
      <w:r w:rsidR="00BE7172" w:rsidRPr="0008470F">
        <w:t>The approval of an implementation plan</w:t>
      </w:r>
      <w:r w:rsidR="00BE7172" w:rsidRPr="0008470F">
        <w:rPr>
          <w:rStyle w:val="FootnoteReference"/>
        </w:rPr>
        <w:footnoteReference w:id="15"/>
      </w:r>
      <w:r w:rsidR="00BE7172" w:rsidRPr="0008470F">
        <w:t xml:space="preserve"> for the Medium-Term Strategy of the Adaptation Fund for 2023–2027</w:t>
      </w:r>
      <w:r w:rsidR="00BE7172" w:rsidRPr="0008470F">
        <w:rPr>
          <w:rStyle w:val="FootnoteReference"/>
        </w:rPr>
        <w:footnoteReference w:id="16"/>
      </w:r>
      <w:r w:rsidR="00BE7172" w:rsidRPr="0008470F">
        <w:t xml:space="preserve"> that focuses on promoting locally led adaptation, scaling up projects and replicating their results, and strengthening linkages and synergies between the Strategy’s pillars of action, innovation, and learning and sharing;</w:t>
      </w:r>
    </w:p>
    <w:p w14:paraId="49A9A8A0" w14:textId="0A708DE0" w:rsidR="00BE7172" w:rsidRPr="0008470F" w:rsidRDefault="00EA119B" w:rsidP="00EA119B">
      <w:pPr>
        <w:pStyle w:val="RegSingleTxtG2"/>
        <w:ind w:left="1134" w:firstLine="567"/>
      </w:pPr>
      <w:r w:rsidRPr="0008470F">
        <w:rPr>
          <w:szCs w:val="28"/>
        </w:rPr>
        <w:t>(b)</w:t>
      </w:r>
      <w:r w:rsidRPr="0008470F">
        <w:rPr>
          <w:szCs w:val="28"/>
        </w:rPr>
        <w:tab/>
      </w:r>
      <w:r w:rsidR="00BE7172" w:rsidRPr="0008470F">
        <w:t xml:space="preserve">The adoption of a resource mobilization target for 2023 of USD 300 million, to come from a greater number of contributors than </w:t>
      </w:r>
      <w:r w:rsidR="00BE7172">
        <w:t>in</w:t>
      </w:r>
      <w:r w:rsidR="00BE7172" w:rsidRPr="0008470F">
        <w:t xml:space="preserve"> the previous year;</w:t>
      </w:r>
    </w:p>
    <w:p w14:paraId="0CB6D287" w14:textId="041DE897" w:rsidR="00BE7172" w:rsidRPr="0008470F" w:rsidRDefault="00EA119B" w:rsidP="00EA119B">
      <w:pPr>
        <w:pStyle w:val="RegSingleTxtG2"/>
        <w:ind w:left="1134" w:firstLine="567"/>
      </w:pPr>
      <w:r w:rsidRPr="0008470F">
        <w:rPr>
          <w:szCs w:val="28"/>
        </w:rPr>
        <w:t>(c)</w:t>
      </w:r>
      <w:r w:rsidRPr="0008470F">
        <w:rPr>
          <w:szCs w:val="28"/>
        </w:rPr>
        <w:tab/>
      </w:r>
      <w:r w:rsidR="00BE7172" w:rsidRPr="0008470F">
        <w:t>The adoption of an enhanced proposal submission process to expedite the review of the increasing number of funding proposals and enable implementing entities to submit proposals under all funding windows of the Adaptation Fund on a rolling basis;</w:t>
      </w:r>
    </w:p>
    <w:p w14:paraId="5CB734B2" w14:textId="2029F161" w:rsidR="00BE7172" w:rsidRPr="0008470F" w:rsidRDefault="00EA119B" w:rsidP="00EA119B">
      <w:pPr>
        <w:pStyle w:val="RegSingleTxtG2"/>
        <w:ind w:left="1134" w:firstLine="567"/>
      </w:pPr>
      <w:r w:rsidRPr="0008470F">
        <w:rPr>
          <w:szCs w:val="28"/>
        </w:rPr>
        <w:t>(d)</w:t>
      </w:r>
      <w:r w:rsidRPr="0008470F">
        <w:rPr>
          <w:szCs w:val="28"/>
        </w:rPr>
        <w:tab/>
      </w:r>
      <w:r w:rsidR="00BE7172" w:rsidRPr="0008470F">
        <w:t>Cumulative receipts of USD 1,517.20 million, as at 30 June 2023, into the Adaptation Fund Trust Fund, comprising USD 214.92 million from the monetization of certified emission reductions, USD 1,232.96 million from contributions and USD 69.31 million from investment income earned on the Trust Fund balance;</w:t>
      </w:r>
    </w:p>
    <w:p w14:paraId="7B6D7E95" w14:textId="2CED2179" w:rsidR="00BE7172" w:rsidRPr="007C7034" w:rsidRDefault="00EA119B" w:rsidP="00EA119B">
      <w:pPr>
        <w:pStyle w:val="RegSingleTxtG2"/>
        <w:ind w:left="1134" w:firstLine="567"/>
      </w:pPr>
      <w:r w:rsidRPr="007C7034">
        <w:rPr>
          <w:szCs w:val="28"/>
        </w:rPr>
        <w:t>(e)</w:t>
      </w:r>
      <w:r w:rsidRPr="007C7034">
        <w:rPr>
          <w:szCs w:val="28"/>
        </w:rPr>
        <w:tab/>
      </w:r>
      <w:r w:rsidR="00BE7172" w:rsidRPr="0008470F">
        <w:t xml:space="preserve">Contributions of USD 282.15 million, of which USD 3.12 million from the monetization of certified emission reductions, USD 250.97 million from additional contributions and USD 28.06 million from investment income, received between 1 July 2022 </w:t>
      </w:r>
      <w:r w:rsidR="00BE7172" w:rsidRPr="007C7034">
        <w:t>and 30 June 2023;</w:t>
      </w:r>
    </w:p>
    <w:p w14:paraId="329E05E0" w14:textId="1480D161" w:rsidR="00BE7172" w:rsidRPr="007C7034" w:rsidRDefault="00EA119B" w:rsidP="00EA119B">
      <w:pPr>
        <w:pStyle w:val="RegSingleTxtG2"/>
        <w:ind w:left="1134" w:firstLine="567"/>
      </w:pPr>
      <w:r w:rsidRPr="007C7034">
        <w:rPr>
          <w:szCs w:val="28"/>
        </w:rPr>
        <w:t>(f)</w:t>
      </w:r>
      <w:r w:rsidRPr="007C7034">
        <w:rPr>
          <w:szCs w:val="28"/>
        </w:rPr>
        <w:tab/>
      </w:r>
      <w:r w:rsidR="00BE7172" w:rsidRPr="007C7034">
        <w:t>New pledges amounting to USD 187.74 million from 15 contributors received as at 10 December 2023 towards the Adaptation Fund resource mobilization target for 2023 of USD 300 million</w:t>
      </w:r>
      <w:r w:rsidR="00BE7172">
        <w:t>,</w:t>
      </w:r>
      <w:r w:rsidR="00BE7172" w:rsidRPr="007C7034">
        <w:t xml:space="preserve"> to come from</w:t>
      </w:r>
      <w:r w:rsidR="00BE7172" w:rsidRPr="007C7034" w:rsidDel="00CA3194">
        <w:t xml:space="preserve"> more than</w:t>
      </w:r>
      <w:r w:rsidR="00BE7172" w:rsidRPr="007C7034">
        <w:t xml:space="preserve"> the</w:t>
      </w:r>
      <w:r w:rsidR="00BE7172" w:rsidRPr="007C7034" w:rsidDel="00CA3194">
        <w:t xml:space="preserve"> </w:t>
      </w:r>
      <w:r w:rsidR="00BE7172" w:rsidRPr="007C7034">
        <w:t xml:space="preserve">17 </w:t>
      </w:r>
      <w:r w:rsidR="00BE7172" w:rsidRPr="007C7034" w:rsidDel="00CA3194">
        <w:t xml:space="preserve">contributors </w:t>
      </w:r>
      <w:r w:rsidR="00BE7172" w:rsidRPr="007C7034">
        <w:t>in 2022;</w:t>
      </w:r>
    </w:p>
    <w:p w14:paraId="73544401" w14:textId="2FEC3A2E" w:rsidR="00BE7172" w:rsidRPr="0008470F" w:rsidRDefault="00EA119B" w:rsidP="00EA119B">
      <w:pPr>
        <w:pStyle w:val="RegSingleTxtG2"/>
        <w:ind w:left="1134" w:firstLine="567"/>
      </w:pPr>
      <w:r w:rsidRPr="0008470F">
        <w:rPr>
          <w:szCs w:val="28"/>
        </w:rPr>
        <w:t>(g)</w:t>
      </w:r>
      <w:r w:rsidRPr="0008470F">
        <w:rPr>
          <w:szCs w:val="28"/>
        </w:rPr>
        <w:tab/>
      </w:r>
      <w:r w:rsidR="00BE7172" w:rsidRPr="0008470F">
        <w:t xml:space="preserve">Outstanding pledged contributions </w:t>
      </w:r>
      <w:r w:rsidR="00BE7172">
        <w:t xml:space="preserve">from previous years </w:t>
      </w:r>
      <w:r w:rsidR="00BE7172" w:rsidRPr="0008470F">
        <w:t>of USD </w:t>
      </w:r>
      <w:r w:rsidR="00BE7172">
        <w:t>148.27</w:t>
      </w:r>
      <w:r w:rsidR="00BE7172" w:rsidRPr="0008470F" w:rsidDel="00D262E9">
        <w:t xml:space="preserve"> </w:t>
      </w:r>
      <w:r w:rsidR="00BE7172" w:rsidRPr="0008470F">
        <w:t xml:space="preserve">million as at </w:t>
      </w:r>
      <w:r w:rsidR="00BE7172">
        <w:t>7 December 2023,</w:t>
      </w:r>
      <w:r w:rsidR="00BE7172" w:rsidRPr="0008470F" w:rsidDel="00A4047F">
        <w:t xml:space="preserve"> </w:t>
      </w:r>
      <w:r w:rsidR="00BE7172">
        <w:t>of which</w:t>
      </w:r>
      <w:r w:rsidR="00BE7172" w:rsidRPr="0008470F">
        <w:t xml:space="preserve"> USD </w:t>
      </w:r>
      <w:r w:rsidR="00BE7172">
        <w:t>67.79</w:t>
      </w:r>
      <w:r w:rsidR="00BE7172" w:rsidRPr="0008470F">
        <w:t xml:space="preserve"> million under signed agreements;</w:t>
      </w:r>
    </w:p>
    <w:p w14:paraId="02C1CE35" w14:textId="2D123E49" w:rsidR="00BE7172" w:rsidRPr="0008470F" w:rsidRDefault="00EA119B" w:rsidP="00EA119B">
      <w:pPr>
        <w:pStyle w:val="RegSingleTxtG2"/>
        <w:ind w:left="1134" w:firstLine="567"/>
      </w:pPr>
      <w:r w:rsidRPr="0008470F">
        <w:rPr>
          <w:szCs w:val="28"/>
        </w:rPr>
        <w:t>(h)</w:t>
      </w:r>
      <w:r w:rsidRPr="0008470F">
        <w:rPr>
          <w:szCs w:val="28"/>
        </w:rPr>
        <w:tab/>
      </w:r>
      <w:r w:rsidR="00BE7172" w:rsidRPr="0008470F">
        <w:t>An increase in cumulative project and programme approvals of approximately 14 per cent, to USD 1,060.75 million, between 1 July 2022 and 30 June 2023;</w:t>
      </w:r>
    </w:p>
    <w:p w14:paraId="601073D6" w14:textId="756E8C88" w:rsidR="00BE7172" w:rsidRPr="0008470F" w:rsidRDefault="00EA119B" w:rsidP="00EA119B">
      <w:pPr>
        <w:pStyle w:val="RegSingleTxtG2"/>
        <w:ind w:left="1134" w:firstLine="567"/>
      </w:pPr>
      <w:r w:rsidRPr="0008470F">
        <w:rPr>
          <w:szCs w:val="28"/>
        </w:rPr>
        <w:t>(i)</w:t>
      </w:r>
      <w:r w:rsidRPr="0008470F">
        <w:rPr>
          <w:szCs w:val="28"/>
        </w:rPr>
        <w:tab/>
      </w:r>
      <w:r w:rsidR="00BE7172" w:rsidRPr="0008470F">
        <w:t>The development of options for an Adaptation Fund policy on safeguarding against sexual exploitation and abuse and sexual harassment;</w:t>
      </w:r>
      <w:r w:rsidR="00BE7172" w:rsidRPr="0008470F">
        <w:rPr>
          <w:rStyle w:val="FootnoteReference"/>
        </w:rPr>
        <w:footnoteReference w:id="17"/>
      </w:r>
    </w:p>
    <w:p w14:paraId="7238B581" w14:textId="508ABC81" w:rsidR="00BE7172" w:rsidRPr="0008470F" w:rsidRDefault="00EA119B" w:rsidP="00EA119B">
      <w:pPr>
        <w:pStyle w:val="RegSingleTxtG2"/>
        <w:ind w:left="1134" w:firstLine="567"/>
      </w:pPr>
      <w:r w:rsidRPr="0008470F">
        <w:rPr>
          <w:szCs w:val="28"/>
        </w:rPr>
        <w:t>(j)</w:t>
      </w:r>
      <w:r w:rsidRPr="0008470F">
        <w:rPr>
          <w:szCs w:val="28"/>
        </w:rPr>
        <w:tab/>
      </w:r>
      <w:r w:rsidR="00BE7172" w:rsidRPr="0008470F">
        <w:t>The continued implementation of the updated gender policy and action plan of the Adaptation Fund;</w:t>
      </w:r>
    </w:p>
    <w:p w14:paraId="049801C4" w14:textId="5D6A429F" w:rsidR="00BE7172" w:rsidRPr="0008470F" w:rsidRDefault="00EA119B" w:rsidP="00EA119B">
      <w:pPr>
        <w:pStyle w:val="RegSingleTxtG2"/>
        <w:ind w:left="1134" w:firstLine="567"/>
      </w:pPr>
      <w:r w:rsidRPr="0008470F">
        <w:rPr>
          <w:szCs w:val="28"/>
        </w:rPr>
        <w:lastRenderedPageBreak/>
        <w:t>(k)</w:t>
      </w:r>
      <w:r w:rsidRPr="0008470F">
        <w:rPr>
          <w:szCs w:val="28"/>
        </w:rPr>
        <w:tab/>
      </w:r>
      <w:r w:rsidR="00BE7172" w:rsidRPr="0008470F">
        <w:t xml:space="preserve">The continued enhancement of complementarity and coherence with other climate funds and building of linkages with other </w:t>
      </w:r>
      <w:r w:rsidR="00BE7172" w:rsidRPr="008F2C07">
        <w:t xml:space="preserve">constituted bodies under the Convention and </w:t>
      </w:r>
      <w:r w:rsidR="00BE7172">
        <w:t xml:space="preserve">the </w:t>
      </w:r>
      <w:r w:rsidR="00BE7172" w:rsidRPr="008F2C07">
        <w:t xml:space="preserve">Paris </w:t>
      </w:r>
      <w:r w:rsidR="00BE7172" w:rsidRPr="000D1C13">
        <w:t>Agreement</w:t>
      </w:r>
      <w:r w:rsidR="00BE7172" w:rsidRPr="0008470F">
        <w:t>;</w:t>
      </w:r>
    </w:p>
    <w:p w14:paraId="56885EE5" w14:textId="6233199B" w:rsidR="00BE7172" w:rsidRPr="0008470F" w:rsidRDefault="00EA119B" w:rsidP="00EA119B">
      <w:pPr>
        <w:pStyle w:val="RegSingleTxtG2"/>
        <w:ind w:left="1134" w:firstLine="567"/>
      </w:pPr>
      <w:r w:rsidRPr="0008470F">
        <w:rPr>
          <w:szCs w:val="28"/>
        </w:rPr>
        <w:t>(l)</w:t>
      </w:r>
      <w:r w:rsidRPr="0008470F">
        <w:rPr>
          <w:szCs w:val="28"/>
        </w:rPr>
        <w:tab/>
      </w:r>
      <w:r w:rsidR="00BE7172" w:rsidRPr="0008470F">
        <w:t>The consideration of options for reducing the carbon footprint of the Adaptation Fund;</w:t>
      </w:r>
    </w:p>
    <w:p w14:paraId="48AD54DA" w14:textId="607ACDB9" w:rsidR="00BE7172" w:rsidRPr="00AE5F69" w:rsidRDefault="00EA119B" w:rsidP="00EA119B">
      <w:pPr>
        <w:pStyle w:val="RegSingleTxtG2"/>
        <w:ind w:left="1134" w:firstLine="567"/>
      </w:pPr>
      <w:r w:rsidRPr="00AE5F69">
        <w:rPr>
          <w:szCs w:val="28"/>
        </w:rPr>
        <w:t>(m)</w:t>
      </w:r>
      <w:r w:rsidRPr="00AE5F69">
        <w:rPr>
          <w:szCs w:val="28"/>
        </w:rPr>
        <w:tab/>
      </w:r>
      <w:r w:rsidR="00BE7172" w:rsidRPr="00AE5F69">
        <w:t>The development of knowledge products and learning activities;</w:t>
      </w:r>
      <w:r w:rsidR="00BE7172" w:rsidRPr="00AE5F69">
        <w:rPr>
          <w:rStyle w:val="FootnoteReference"/>
        </w:rPr>
        <w:footnoteReference w:id="18"/>
      </w:r>
    </w:p>
    <w:p w14:paraId="3C9D0AFC" w14:textId="4ED8712E" w:rsidR="00BE7172" w:rsidRPr="00AE5F69" w:rsidRDefault="00EA119B" w:rsidP="00EA119B">
      <w:pPr>
        <w:pStyle w:val="RegSingleTxtG"/>
        <w:tabs>
          <w:tab w:val="left" w:pos="568"/>
        </w:tabs>
        <w:ind w:left="1135"/>
      </w:pPr>
      <w:r w:rsidRPr="00AE5F69">
        <w:t>3.</w:t>
      </w:r>
      <w:r w:rsidRPr="00AE5F69">
        <w:tab/>
      </w:r>
      <w:r w:rsidR="00BE7172" w:rsidRPr="00AE5F69">
        <w:rPr>
          <w:i/>
          <w:iCs/>
        </w:rPr>
        <w:t>Welcomes</w:t>
      </w:r>
      <w:r w:rsidR="00BE7172" w:rsidRPr="00AE5F69">
        <w:t xml:space="preserve"> the financial pledges made towards the Adaptation Fund resource mobilization target for 2023 of USD 300 million</w:t>
      </w:r>
      <w:r w:rsidR="00BE7172">
        <w:t>,</w:t>
      </w:r>
      <w:r w:rsidR="00BE7172" w:rsidRPr="00AE5F69">
        <w:t xml:space="preserve"> to come from</w:t>
      </w:r>
      <w:r w:rsidR="00BE7172" w:rsidRPr="00AE5F69" w:rsidDel="00CA3194">
        <w:t xml:space="preserve"> more than </w:t>
      </w:r>
      <w:r w:rsidR="00BE7172" w:rsidRPr="00AE5F69">
        <w:t xml:space="preserve">the 17 </w:t>
      </w:r>
      <w:r w:rsidR="00BE7172" w:rsidRPr="00AE5F69" w:rsidDel="00CA3194">
        <w:t xml:space="preserve">contributors </w:t>
      </w:r>
      <w:r w:rsidR="00BE7172" w:rsidRPr="00AE5F69">
        <w:t>in 2022</w:t>
      </w:r>
      <w:r w:rsidR="00BE7172">
        <w:t>,</w:t>
      </w:r>
      <w:r w:rsidR="00BE7172" w:rsidRPr="00AE5F69">
        <w:t xml:space="preserve"> by the Governments of Austria, Denmark, France, Germany, Iceland, Ireland, Luxembourg, Norway, the Republic of Korea, Spain, Sweden and Switzerland, as well as the governments of the Brussels and Walloon Regions of Belgium and the provincial government of Quebec, equivalent to USD 187.74 million;</w:t>
      </w:r>
    </w:p>
    <w:p w14:paraId="6FBB2C94" w14:textId="0090D217" w:rsidR="00BE7172" w:rsidRPr="0008470F" w:rsidRDefault="00EA119B" w:rsidP="00EA119B">
      <w:pPr>
        <w:pStyle w:val="RegSingleTxtG"/>
        <w:tabs>
          <w:tab w:val="left" w:pos="568"/>
        </w:tabs>
        <w:ind w:left="1135"/>
      </w:pPr>
      <w:r w:rsidRPr="0008470F">
        <w:t>4.</w:t>
      </w:r>
      <w:r w:rsidRPr="0008470F">
        <w:tab/>
      </w:r>
      <w:r w:rsidR="00BE7172" w:rsidRPr="0008470F">
        <w:rPr>
          <w:i/>
          <w:iCs/>
        </w:rPr>
        <w:t>Notes</w:t>
      </w:r>
      <w:r w:rsidR="00BE7172" w:rsidRPr="0068019C">
        <w:rPr>
          <w:i/>
          <w:iCs/>
        </w:rPr>
        <w:t xml:space="preserve"> </w:t>
      </w:r>
      <w:r w:rsidR="00BE7172" w:rsidRPr="0008470F">
        <w:rPr>
          <w:i/>
          <w:iCs/>
        </w:rPr>
        <w:t>with concern</w:t>
      </w:r>
      <w:r w:rsidR="00BE7172" w:rsidRPr="0008470F">
        <w:t xml:space="preserve"> the outstanding pledged contributions to the Adaptation Fund and </w:t>
      </w:r>
      <w:r w:rsidR="00BE7172" w:rsidRPr="0008470F">
        <w:rPr>
          <w:i/>
          <w:iCs/>
        </w:rPr>
        <w:t>urges</w:t>
      </w:r>
      <w:r w:rsidR="00BE7172" w:rsidRPr="0008470F">
        <w:t xml:space="preserve"> Parties to fulfil their pledges as soon as possible;</w:t>
      </w:r>
    </w:p>
    <w:p w14:paraId="7AAA0B18" w14:textId="7F9E8CE9" w:rsidR="00BE7172" w:rsidRPr="0008470F" w:rsidRDefault="00EA119B" w:rsidP="00EA119B">
      <w:pPr>
        <w:pStyle w:val="RegSingleTxtG"/>
        <w:tabs>
          <w:tab w:val="left" w:pos="568"/>
        </w:tabs>
        <w:ind w:left="1135"/>
      </w:pPr>
      <w:r w:rsidRPr="0008470F">
        <w:t>5.</w:t>
      </w:r>
      <w:r w:rsidRPr="0008470F">
        <w:tab/>
      </w:r>
      <w:r w:rsidR="00BE7172" w:rsidRPr="00311D6B">
        <w:rPr>
          <w:i/>
          <w:iCs/>
        </w:rPr>
        <w:t>Encourages</w:t>
      </w:r>
      <w:r w:rsidR="00BE7172" w:rsidRPr="00311D6B">
        <w:t xml:space="preserve"> continued and increased voluntary contributions of financial resources to the Adaptation Fund in line with its resource mobilization strategy for 2022–2025</w:t>
      </w:r>
      <w:r w:rsidR="00BE7172">
        <w:t>;</w:t>
      </w:r>
    </w:p>
    <w:p w14:paraId="6878961F" w14:textId="272989F7" w:rsidR="00BE7172" w:rsidRPr="0008470F" w:rsidRDefault="00EA119B" w:rsidP="00EA119B">
      <w:pPr>
        <w:pStyle w:val="RegSingleTxtG"/>
        <w:tabs>
          <w:tab w:val="left" w:pos="568"/>
        </w:tabs>
        <w:ind w:left="1135"/>
      </w:pPr>
      <w:r w:rsidRPr="0008470F">
        <w:t>6.</w:t>
      </w:r>
      <w:r w:rsidRPr="0008470F">
        <w:tab/>
      </w:r>
      <w:r w:rsidR="00BE7172" w:rsidRPr="0008470F">
        <w:rPr>
          <w:i/>
          <w:iCs/>
        </w:rPr>
        <w:t>Underscores</w:t>
      </w:r>
      <w:r w:rsidR="00BE7172" w:rsidRPr="0008470F">
        <w:t xml:space="preserve"> the urgency of scaling up financial resources, including the provision of voluntary support, that are additional to the share of proceeds levied on certified emission reductions in order to support the resource mobilization efforts of the Adaptation Fund Board with a view to strengthening the Adaptation Fund;</w:t>
      </w:r>
    </w:p>
    <w:p w14:paraId="75240D95" w14:textId="4E22C698" w:rsidR="00BE7172" w:rsidRPr="0008470F" w:rsidRDefault="00EA119B" w:rsidP="00EA119B">
      <w:pPr>
        <w:pStyle w:val="RegSingleTxtG"/>
        <w:tabs>
          <w:tab w:val="left" w:pos="568"/>
        </w:tabs>
        <w:ind w:left="1135"/>
      </w:pPr>
      <w:r w:rsidRPr="0008470F">
        <w:t>7.</w:t>
      </w:r>
      <w:r w:rsidRPr="0008470F">
        <w:tab/>
      </w:r>
      <w:r w:rsidR="00BE7172" w:rsidRPr="0008470F">
        <w:rPr>
          <w:i/>
          <w:iCs/>
        </w:rPr>
        <w:t>Emphasizes</w:t>
      </w:r>
      <w:r w:rsidR="00BE7172" w:rsidRPr="000D1C13">
        <w:t xml:space="preserve"> </w:t>
      </w:r>
      <w:r w:rsidR="00BE7172" w:rsidRPr="0008470F">
        <w:t>the importance of continuing to take action to promote the adequacy and predictability of adaptation finance</w:t>
      </w:r>
      <w:r w:rsidR="00BE7172">
        <w:t>,</w:t>
      </w:r>
      <w:r w:rsidR="00BE7172" w:rsidRPr="0008470F">
        <w:t xml:space="preserve"> including through multi-year contributions, taking into account the role of the Adaptation Fund in delivering dedicated support for adaptation;</w:t>
      </w:r>
    </w:p>
    <w:p w14:paraId="032A03AB" w14:textId="788CD70B" w:rsidR="00BE7172" w:rsidRPr="000D1C13" w:rsidRDefault="00EA119B" w:rsidP="00EA119B">
      <w:pPr>
        <w:pStyle w:val="RegSingleTxtG"/>
        <w:tabs>
          <w:tab w:val="left" w:pos="568"/>
        </w:tabs>
        <w:ind w:left="1135"/>
      </w:pPr>
      <w:r w:rsidRPr="000D1C13">
        <w:t>8.</w:t>
      </w:r>
      <w:r w:rsidRPr="000D1C13">
        <w:tab/>
      </w:r>
      <w:r w:rsidR="00BE7172">
        <w:rPr>
          <w:i/>
          <w:iCs/>
        </w:rPr>
        <w:t>Recalls</w:t>
      </w:r>
      <w:r w:rsidR="00BE7172" w:rsidRPr="000D1C13">
        <w:t xml:space="preserve"> the importance of financial contributions to the Adaptation Fund, including in the context of urging developed country Parties to at least double their collective provision of climate finance for adaptation to developing countries from 2019 levels by 2025, in the context of achieving a balance between mitigation and adaptation in the provision of scaled</w:t>
      </w:r>
      <w:r w:rsidR="00BE7172">
        <w:noBreakHyphen/>
      </w:r>
      <w:r w:rsidR="00BE7172" w:rsidRPr="000D1C13">
        <w:t>up financial resources, recalling Article 9, paragraph 4, of the Paris Agreement, as per decision 1/CMA.3, paragraph 18;</w:t>
      </w:r>
    </w:p>
    <w:p w14:paraId="7DDB7861" w14:textId="10506DB1" w:rsidR="00BE7172" w:rsidRPr="000D1C13" w:rsidRDefault="00EA119B" w:rsidP="00EA119B">
      <w:pPr>
        <w:pStyle w:val="RegSingleTxtG"/>
        <w:tabs>
          <w:tab w:val="left" w:pos="568"/>
        </w:tabs>
        <w:ind w:left="1135"/>
      </w:pPr>
      <w:r w:rsidRPr="000D1C13">
        <w:t>9.</w:t>
      </w:r>
      <w:r w:rsidRPr="000D1C13">
        <w:tab/>
      </w:r>
      <w:r w:rsidR="00BE7172" w:rsidRPr="000D1C13">
        <w:rPr>
          <w:i/>
          <w:iCs/>
        </w:rPr>
        <w:t xml:space="preserve">Acknowledges </w:t>
      </w:r>
      <w:r w:rsidR="00BE7172" w:rsidRPr="000D1C13">
        <w:t xml:space="preserve">the work of the Adaptation Fund in relation to concrete adaptation action in developing country Parties and in particular the least developed countries and small island developing States and </w:t>
      </w:r>
      <w:r w:rsidR="00BE7172" w:rsidRPr="000D1C13">
        <w:rPr>
          <w:i/>
          <w:iCs/>
        </w:rPr>
        <w:t>requests</w:t>
      </w:r>
      <w:r w:rsidR="00BE7172" w:rsidRPr="000D1C13">
        <w:t xml:space="preserve"> the Adaptation Fund Board to continue supporting such action;</w:t>
      </w:r>
    </w:p>
    <w:p w14:paraId="67A62975" w14:textId="2A3A0EA4" w:rsidR="00BE7172" w:rsidRPr="000D1C13" w:rsidRDefault="00EA119B" w:rsidP="00EA119B">
      <w:pPr>
        <w:pStyle w:val="RegSingleTxtG"/>
        <w:tabs>
          <w:tab w:val="left" w:pos="568"/>
        </w:tabs>
        <w:ind w:left="1135"/>
      </w:pPr>
      <w:r w:rsidRPr="000D1C13">
        <w:t>10.</w:t>
      </w:r>
      <w:r w:rsidRPr="000D1C13">
        <w:tab/>
      </w:r>
      <w:r w:rsidR="003821CC">
        <w:rPr>
          <w:i/>
          <w:iCs/>
        </w:rPr>
        <w:t>Also r</w:t>
      </w:r>
      <w:r w:rsidR="00BE7172" w:rsidRPr="000D1C13">
        <w:rPr>
          <w:i/>
          <w:iCs/>
        </w:rPr>
        <w:t>equests</w:t>
      </w:r>
      <w:r w:rsidR="00BE7172" w:rsidRPr="000D1C13">
        <w:t xml:space="preserve"> the Adaptation Fund Board to continue to enhance access to the Fund and country ownership by:</w:t>
      </w:r>
    </w:p>
    <w:p w14:paraId="6C9166F6" w14:textId="0F5E283B" w:rsidR="00BE7172" w:rsidRPr="000D1C13" w:rsidRDefault="00EA119B" w:rsidP="00EA119B">
      <w:pPr>
        <w:pStyle w:val="RegSingleTxtG2"/>
        <w:ind w:left="1134" w:firstLine="567"/>
      </w:pPr>
      <w:r w:rsidRPr="000D1C13">
        <w:rPr>
          <w:szCs w:val="28"/>
        </w:rPr>
        <w:t>(a)</w:t>
      </w:r>
      <w:r w:rsidRPr="000D1C13">
        <w:rPr>
          <w:szCs w:val="28"/>
        </w:rPr>
        <w:tab/>
      </w:r>
      <w:r w:rsidR="00BE7172" w:rsidRPr="000D1C13">
        <w:t xml:space="preserve">Considering strengthening the readiness activities </w:t>
      </w:r>
      <w:r w:rsidR="00BE7172">
        <w:t>for</w:t>
      </w:r>
      <w:r w:rsidR="00BE7172" w:rsidRPr="000D1C13">
        <w:t xml:space="preserve"> national implementing entities, considering their long-term capacity-building needs;</w:t>
      </w:r>
    </w:p>
    <w:p w14:paraId="2127D611" w14:textId="25036C4A" w:rsidR="00BE7172" w:rsidRPr="000D1C13" w:rsidRDefault="00EA119B" w:rsidP="00EA119B">
      <w:pPr>
        <w:pStyle w:val="RegSingleTxtG2"/>
        <w:ind w:left="1134" w:firstLine="567"/>
      </w:pPr>
      <w:r w:rsidRPr="000D1C13">
        <w:rPr>
          <w:szCs w:val="28"/>
        </w:rPr>
        <w:t>(b)</w:t>
      </w:r>
      <w:r w:rsidRPr="000D1C13">
        <w:rPr>
          <w:szCs w:val="28"/>
        </w:rPr>
        <w:tab/>
      </w:r>
      <w:r w:rsidR="00BE7172" w:rsidRPr="000D1C13">
        <w:t>Enhancing the accreditation and project and programme approval processes;</w:t>
      </w:r>
    </w:p>
    <w:p w14:paraId="104C16D5" w14:textId="7D579BDD" w:rsidR="00BE7172" w:rsidRPr="0008470F" w:rsidRDefault="00EA119B" w:rsidP="00EA119B">
      <w:pPr>
        <w:pStyle w:val="RegSingleTxtG2"/>
        <w:ind w:left="1134" w:firstLine="567"/>
      </w:pPr>
      <w:r w:rsidRPr="0008470F">
        <w:rPr>
          <w:szCs w:val="28"/>
        </w:rPr>
        <w:t>(c)</w:t>
      </w:r>
      <w:r w:rsidRPr="0008470F">
        <w:rPr>
          <w:szCs w:val="28"/>
        </w:rPr>
        <w:tab/>
      </w:r>
      <w:r w:rsidR="00BE7172" w:rsidRPr="0008470F">
        <w:t>Enhancing engagement between regional implementing entities and developing countries on regional, multi-country project design and implementation;</w:t>
      </w:r>
    </w:p>
    <w:p w14:paraId="521495E3" w14:textId="2E6F4284" w:rsidR="00BE7172" w:rsidRPr="0008470F" w:rsidRDefault="00EA119B" w:rsidP="00EA119B">
      <w:pPr>
        <w:pStyle w:val="RegSingleTxtG"/>
        <w:tabs>
          <w:tab w:val="left" w:pos="568"/>
        </w:tabs>
        <w:ind w:left="1135"/>
      </w:pPr>
      <w:r w:rsidRPr="0008470F">
        <w:t>11.</w:t>
      </w:r>
      <w:r w:rsidRPr="0008470F">
        <w:tab/>
      </w:r>
      <w:r w:rsidR="00BE7172" w:rsidRPr="0008470F">
        <w:rPr>
          <w:i/>
          <w:iCs/>
        </w:rPr>
        <w:t>Notes with appreciation</w:t>
      </w:r>
      <w:r w:rsidR="00BE7172" w:rsidRPr="0008470F">
        <w:t xml:space="preserve"> the information in the report referred to in paragraph </w:t>
      </w:r>
      <w:r w:rsidR="004B2E3B">
        <w:rPr>
          <w:cs/>
        </w:rPr>
        <w:t>‎</w:t>
      </w:r>
      <w:r w:rsidR="004B2E3B">
        <w:t>1 above</w:t>
      </w:r>
      <w:r w:rsidR="00BE7172" w:rsidRPr="0008470F">
        <w:t xml:space="preserve"> on aggregated actual results of projects and programmes funded by the Adaptation Fund, in particular across the Fund’s five core indicators, and the qualitative analysis of successes, challenges and lessons learned and </w:t>
      </w:r>
      <w:r w:rsidR="00BE7172" w:rsidRPr="0008470F">
        <w:rPr>
          <w:i/>
          <w:iCs/>
        </w:rPr>
        <w:t>requests</w:t>
      </w:r>
      <w:r w:rsidR="00BE7172" w:rsidRPr="000D1C13" w:rsidDel="003533F9">
        <w:rPr>
          <w:i/>
          <w:iCs/>
        </w:rPr>
        <w:t xml:space="preserve"> </w:t>
      </w:r>
      <w:r w:rsidR="00BE7172" w:rsidRPr="0008470F" w:rsidDel="003533F9">
        <w:t xml:space="preserve">the Adaptation Fund Board to </w:t>
      </w:r>
      <w:r w:rsidR="00BE7172" w:rsidRPr="0008470F">
        <w:t>continue providing</w:t>
      </w:r>
      <w:r w:rsidR="00BE7172" w:rsidRPr="0008470F" w:rsidDel="003533F9">
        <w:t xml:space="preserve"> such information on an annual basis</w:t>
      </w:r>
      <w:r w:rsidR="00BE7172" w:rsidRPr="0008470F">
        <w:t>;</w:t>
      </w:r>
    </w:p>
    <w:p w14:paraId="7AC6FB41" w14:textId="463305B8" w:rsidR="00BE7172" w:rsidRPr="0008470F" w:rsidRDefault="00EA119B" w:rsidP="00EA119B">
      <w:pPr>
        <w:pStyle w:val="RegSingleTxtG"/>
        <w:ind w:left="1134"/>
      </w:pPr>
      <w:r w:rsidRPr="0008470F">
        <w:lastRenderedPageBreak/>
        <w:t>12.</w:t>
      </w:r>
      <w:r w:rsidRPr="0008470F">
        <w:tab/>
      </w:r>
      <w:r w:rsidR="00BE7172" w:rsidRPr="0008470F">
        <w:rPr>
          <w:i/>
          <w:iCs/>
        </w:rPr>
        <w:t>Encourages</w:t>
      </w:r>
      <w:r w:rsidR="00BE7172" w:rsidRPr="0008470F">
        <w:t xml:space="preserve"> the achievement of the goals set out in the Medium-Term Strategy of the Adaptation Fund for 2023–2027 with the expectation that its implementation will generate significant outcomes in terms of promoting locally led adaptation, scaling up projects and replicating their results, and strengthening linkages and synergies between the Strategy’s strategic pillars of action, innovation, and learning and sharing;</w:t>
      </w:r>
    </w:p>
    <w:p w14:paraId="3EA1EBFE" w14:textId="1817054C" w:rsidR="00BE7172" w:rsidRPr="0008470F" w:rsidRDefault="00EA119B" w:rsidP="00EA119B">
      <w:pPr>
        <w:pStyle w:val="RegSingleTxtG"/>
        <w:ind w:left="1134"/>
      </w:pPr>
      <w:r w:rsidRPr="0008470F">
        <w:t>13.</w:t>
      </w:r>
      <w:r w:rsidRPr="0008470F">
        <w:tab/>
      </w:r>
      <w:r w:rsidR="00BE7172" w:rsidRPr="0008470F">
        <w:rPr>
          <w:i/>
          <w:iCs/>
        </w:rPr>
        <w:t>Welcomes</w:t>
      </w:r>
      <w:r w:rsidR="00BE7172" w:rsidRPr="0008470F">
        <w:t xml:space="preserve"> the progress of implementation of the updated gender policy and action plan of the Adaptation Fund and the commencement of the pilot phase of application of the Adaptation Fund gender scorecard and </w:t>
      </w:r>
      <w:r w:rsidR="00BE7172" w:rsidRPr="0008470F">
        <w:rPr>
          <w:i/>
          <w:iCs/>
        </w:rPr>
        <w:t>requests</w:t>
      </w:r>
      <w:r w:rsidR="00BE7172" w:rsidRPr="0008470F">
        <w:t xml:space="preserve"> the Adaptation Fund Board to increase the gender-responsiveness of the resources provided by the Adaptation Fund;</w:t>
      </w:r>
    </w:p>
    <w:p w14:paraId="64E74105" w14:textId="0B5A08FA" w:rsidR="00BE7172" w:rsidRPr="000D1C13" w:rsidRDefault="00EA119B" w:rsidP="00EA119B">
      <w:pPr>
        <w:pStyle w:val="RegSingleTxtG"/>
        <w:ind w:left="1134"/>
      </w:pPr>
      <w:r w:rsidRPr="000D1C13">
        <w:t>14.</w:t>
      </w:r>
      <w:r w:rsidRPr="000D1C13">
        <w:tab/>
      </w:r>
      <w:r w:rsidR="00BE7172" w:rsidRPr="000D1C13">
        <w:rPr>
          <w:i/>
          <w:iCs/>
        </w:rPr>
        <w:t>Encourages</w:t>
      </w:r>
      <w:r w:rsidR="00BE7172" w:rsidRPr="000D1C13">
        <w:t xml:space="preserve"> the Adaptation Fund Board to consider, in line with its mandate and decision 1/CMP.3, providing support for country-driven adaptation projects and programmes in developing country Parties that are particularly vulnerable to the adverse effects of climate change with a view to assisting them in enhancing implementation of their national adaptation plans and adaptation components of nationally determined contributions and other voluntary adaptation planning processes</w:t>
      </w:r>
      <w:r w:rsidR="00BE7172" w:rsidRPr="00F61F2F">
        <w:t xml:space="preserve"> </w:t>
      </w:r>
      <w:r w:rsidR="00BE7172" w:rsidRPr="000D1C13">
        <w:t>and</w:t>
      </w:r>
      <w:r w:rsidR="00BE7172" w:rsidRPr="000D1C13">
        <w:rPr>
          <w:i/>
          <w:iCs/>
        </w:rPr>
        <w:t xml:space="preserve"> requests</w:t>
      </w:r>
      <w:r w:rsidR="00BE7172" w:rsidRPr="000D1C13">
        <w:t xml:space="preserve"> the Board to include information in its annual report to the Conference of the Parties serving as the meeting of the Parties to the Kyoto Protocol at its nineteenth session (November 2024) and the Conference of the Parties serving as the meeting of the Parties to the Paris Agreement at its sixth session (November 2024) on the rates of use of the increased </w:t>
      </w:r>
      <w:r w:rsidR="00BE7172" w:rsidRPr="000D1C13" w:rsidDel="00BD2004">
        <w:t>cap on allocation per country</w:t>
      </w:r>
      <w:r w:rsidR="00BE7172" w:rsidRPr="000D1C13">
        <w:t>;</w:t>
      </w:r>
      <w:r w:rsidR="00BE7172" w:rsidRPr="000D1C13">
        <w:rPr>
          <w:rStyle w:val="FootnoteReference"/>
        </w:rPr>
        <w:footnoteReference w:id="19"/>
      </w:r>
    </w:p>
    <w:p w14:paraId="16B63D2D" w14:textId="1CB94A09" w:rsidR="00BE7172" w:rsidRPr="000D1C13" w:rsidRDefault="00EA119B" w:rsidP="00EA119B">
      <w:pPr>
        <w:pStyle w:val="RegSingleTxtG"/>
        <w:ind w:left="1134"/>
      </w:pPr>
      <w:r w:rsidRPr="000D1C13">
        <w:t>15.</w:t>
      </w:r>
      <w:r w:rsidRPr="000D1C13">
        <w:tab/>
      </w:r>
      <w:r w:rsidR="00BE7172" w:rsidRPr="000D1C13">
        <w:rPr>
          <w:i/>
          <w:iCs/>
        </w:rPr>
        <w:t>Welcomes</w:t>
      </w:r>
      <w:r w:rsidR="00BE7172" w:rsidRPr="000D1C13">
        <w:t xml:space="preserve"> the work of the Adaptation Fund Board on complementarity and coherence with other multilateral climate funds with respect to accreditation and other areas of operations</w:t>
      </w:r>
      <w:r w:rsidR="00BE7172" w:rsidRPr="000D1C13">
        <w:rPr>
          <w:rStyle w:val="FootnoteReference"/>
        </w:rPr>
        <w:footnoteReference w:id="20"/>
      </w:r>
      <w:r w:rsidR="00BE7172" w:rsidRPr="000D1C13">
        <w:t xml:space="preserve"> and </w:t>
      </w:r>
      <w:r w:rsidR="00BE7172" w:rsidRPr="000D1C13">
        <w:rPr>
          <w:i/>
          <w:iCs/>
        </w:rPr>
        <w:t>encourages</w:t>
      </w:r>
      <w:r w:rsidR="00BE7172" w:rsidRPr="000D1C13">
        <w:t xml:space="preserve"> the Board to continue this work with a view to simplifying its access modalities, as appropriate;</w:t>
      </w:r>
    </w:p>
    <w:p w14:paraId="6855B173" w14:textId="0125A861" w:rsidR="00BE7172" w:rsidRPr="000D1C13" w:rsidRDefault="00EA119B" w:rsidP="00EA119B">
      <w:pPr>
        <w:pStyle w:val="RegSingleTxtG"/>
        <w:ind w:left="1134"/>
      </w:pPr>
      <w:r w:rsidRPr="000D1C13">
        <w:t>16.</w:t>
      </w:r>
      <w:r w:rsidRPr="000D1C13">
        <w:tab/>
      </w:r>
      <w:r w:rsidR="00BB6A46">
        <w:rPr>
          <w:i/>
          <w:iCs/>
        </w:rPr>
        <w:t>W</w:t>
      </w:r>
      <w:r w:rsidR="00BE7172" w:rsidRPr="000D1C13">
        <w:rPr>
          <w:i/>
          <w:iCs/>
        </w:rPr>
        <w:t>elcomes</w:t>
      </w:r>
      <w:r w:rsidR="00BE7172" w:rsidRPr="000D1C13">
        <w:t xml:space="preserve"> the collaboration between the Adaptation Fund and the Technology Executive Committee and the Climate Technology Centre and Network</w:t>
      </w:r>
      <w:r w:rsidR="007735D4">
        <w:t>,</w:t>
      </w:r>
      <w:r w:rsidR="00BE7172" w:rsidRPr="000D1C13">
        <w:t xml:space="preserve"> including through the Adaptation Fund Climate Innovation Accelerator</w:t>
      </w:r>
      <w:r w:rsidR="00732C24">
        <w:t>,</w:t>
      </w:r>
      <w:r w:rsidR="00BE7172" w:rsidRPr="000D1C13" w:rsidDel="007B74C3">
        <w:t xml:space="preserve"> </w:t>
      </w:r>
      <w:r w:rsidR="00BE7172" w:rsidRPr="000D1C13">
        <w:t xml:space="preserve">and </w:t>
      </w:r>
      <w:r w:rsidR="00BE7172" w:rsidRPr="000D1C13">
        <w:rPr>
          <w:i/>
          <w:iCs/>
        </w:rPr>
        <w:t>encourages</w:t>
      </w:r>
      <w:r w:rsidR="00BE7172" w:rsidRPr="000D1C13">
        <w:t xml:space="preserve"> continued collaboration in this regard;</w:t>
      </w:r>
    </w:p>
    <w:p w14:paraId="3A857B45" w14:textId="4AF05625" w:rsidR="00BE7172" w:rsidRPr="000D1C13" w:rsidRDefault="00EA119B" w:rsidP="00EA119B">
      <w:pPr>
        <w:pStyle w:val="RegSingleTxtG"/>
        <w:ind w:left="1134"/>
      </w:pPr>
      <w:r w:rsidRPr="000D1C13">
        <w:t>17.</w:t>
      </w:r>
      <w:r w:rsidRPr="000D1C13">
        <w:tab/>
      </w:r>
      <w:r w:rsidR="00BB6A46">
        <w:rPr>
          <w:i/>
          <w:iCs/>
        </w:rPr>
        <w:t>Also e</w:t>
      </w:r>
      <w:r w:rsidR="00BE7172" w:rsidRPr="0008470F">
        <w:rPr>
          <w:i/>
          <w:iCs/>
        </w:rPr>
        <w:t>ncourages</w:t>
      </w:r>
      <w:r w:rsidR="00BE7172" w:rsidRPr="0008470F">
        <w:t xml:space="preserve"> the Adaptation Fund Board to </w:t>
      </w:r>
      <w:r w:rsidR="00BE7172">
        <w:t xml:space="preserve">report on its work related to implementing its mandates </w:t>
      </w:r>
      <w:r w:rsidR="000230DF">
        <w:t>from</w:t>
      </w:r>
      <w:r w:rsidR="00BE7172">
        <w:t xml:space="preserve"> </w:t>
      </w:r>
      <w:r w:rsidR="00BE7172" w:rsidRPr="0008470F">
        <w:t>decisions 1/CMP.14 and 13/CMA.1</w:t>
      </w:r>
      <w:r w:rsidR="00BE7172">
        <w:t xml:space="preserve"> in its annual report to the Conference of the Parties serving as the meeting of the Parties to the Kyoto Protocol at its nineteenth session and the Conference of the Parties serving as the meeting of the Parties to the Paris Agreement at its sixth session.</w:t>
      </w:r>
    </w:p>
    <w:p w14:paraId="1C067824" w14:textId="3B4E15B9" w:rsidR="00471A1E" w:rsidRPr="00FF0952" w:rsidRDefault="001A5E06" w:rsidP="00A41DB5">
      <w:pPr>
        <w:tabs>
          <w:tab w:val="left" w:pos="1701"/>
        </w:tabs>
        <w:spacing w:line="20" w:lineRule="atLeast"/>
        <w:ind w:left="1134" w:right="1134"/>
        <w:jc w:val="right"/>
        <w:rPr>
          <w:i/>
          <w:iCs/>
        </w:rPr>
      </w:pPr>
      <w:r>
        <w:rPr>
          <w:i/>
          <w:iCs/>
        </w:rPr>
        <w:t>6</w:t>
      </w:r>
      <w:r w:rsidRPr="001A5E06">
        <w:rPr>
          <w:i/>
          <w:iCs/>
          <w:vertAlign w:val="superscript"/>
        </w:rPr>
        <w:t>th</w:t>
      </w:r>
      <w:r>
        <w:rPr>
          <w:i/>
          <w:iCs/>
        </w:rPr>
        <w:t xml:space="preserve"> </w:t>
      </w:r>
      <w:r w:rsidR="00471A1E" w:rsidRPr="00FF0952">
        <w:rPr>
          <w:i/>
          <w:iCs/>
        </w:rPr>
        <w:t>plenary me</w:t>
      </w:r>
      <w:r w:rsidR="00471A1E">
        <w:rPr>
          <w:i/>
          <w:iCs/>
        </w:rPr>
        <w:t>e</w:t>
      </w:r>
      <w:r w:rsidR="00471A1E" w:rsidRPr="00FF0952">
        <w:rPr>
          <w:i/>
          <w:iCs/>
        </w:rPr>
        <w:t>ting</w:t>
      </w:r>
    </w:p>
    <w:p w14:paraId="3F3BCD67" w14:textId="77777777" w:rsidR="00471A1E" w:rsidRPr="00FF0952" w:rsidRDefault="00471A1E" w:rsidP="00A41DB5">
      <w:pPr>
        <w:tabs>
          <w:tab w:val="left" w:pos="1701"/>
        </w:tabs>
        <w:spacing w:line="20" w:lineRule="atLeast"/>
        <w:ind w:left="1134" w:right="1134"/>
        <w:jc w:val="right"/>
        <w:rPr>
          <w:i/>
          <w:iCs/>
        </w:rPr>
      </w:pPr>
      <w:r w:rsidRPr="00FF0952">
        <w:rPr>
          <w:i/>
          <w:iCs/>
        </w:rPr>
        <w:t>13 December 2023</w:t>
      </w:r>
    </w:p>
    <w:p w14:paraId="6FBF9691" w14:textId="77777777" w:rsidR="008D120E" w:rsidRDefault="008D120E" w:rsidP="00E8492D">
      <w:pPr>
        <w:pStyle w:val="RegSingleTxtG2"/>
      </w:pPr>
    </w:p>
    <w:p w14:paraId="1174A16E" w14:textId="427DD0C9" w:rsidR="008D120E" w:rsidRDefault="008D120E" w:rsidP="00E8492D">
      <w:pPr>
        <w:pStyle w:val="RegSingleTxtG2"/>
        <w:sectPr w:rsidR="008D120E" w:rsidSect="00AB0CD8">
          <w:headerReference w:type="even" r:id="rId28"/>
          <w:headerReference w:type="default" r:id="rId29"/>
          <w:footerReference w:type="even" r:id="rId30"/>
          <w:footerReference w:type="default" r:id="rId31"/>
          <w:headerReference w:type="first" r:id="rId32"/>
          <w:footnotePr>
            <w:numRestart w:val="eachSect"/>
          </w:footnotePr>
          <w:pgSz w:w="11906" w:h="16838" w:code="9"/>
          <w:pgMar w:top="1417" w:right="1134" w:bottom="1134" w:left="1134" w:header="850" w:footer="567" w:gutter="0"/>
          <w:cols w:space="708"/>
          <w:docGrid w:linePitch="360"/>
        </w:sectPr>
      </w:pPr>
    </w:p>
    <w:p w14:paraId="3B37900C" w14:textId="1DB0D7FA" w:rsidR="0098239D" w:rsidRDefault="007D6BCA" w:rsidP="004A6A8C">
      <w:pPr>
        <w:pStyle w:val="HChG"/>
        <w:ind w:firstLine="0"/>
        <w:jc w:val="both"/>
      </w:pPr>
      <w:r>
        <w:lastRenderedPageBreak/>
        <w:tab/>
      </w:r>
      <w:bookmarkStart w:id="32" w:name="_Toc161219954"/>
      <w:bookmarkStart w:id="33" w:name="Decision4"/>
      <w:r w:rsidR="0098239D">
        <w:t xml:space="preserve">Decision </w:t>
      </w:r>
      <w:r w:rsidR="001D2FDB">
        <w:t>4</w:t>
      </w:r>
      <w:r w:rsidR="0098239D">
        <w:t>/CMP.18</w:t>
      </w:r>
      <w:bookmarkEnd w:id="32"/>
    </w:p>
    <w:bookmarkEnd w:id="33"/>
    <w:p w14:paraId="5D9DE749" w14:textId="6AFCF446" w:rsidR="0098239D" w:rsidRDefault="0098239D" w:rsidP="004A6A8C">
      <w:pPr>
        <w:pStyle w:val="HChG"/>
        <w:ind w:firstLine="0"/>
        <w:jc w:val="both"/>
      </w:pPr>
      <w:r>
        <w:tab/>
      </w:r>
      <w:r w:rsidR="0083297E" w:rsidRPr="0083297E">
        <w:t>Review of the functions, work programme and modalities of the forum on the impact of the implementation of response measures, midterm review of the workplan and report of the forum</w:t>
      </w:r>
    </w:p>
    <w:p w14:paraId="0DBECDF0" w14:textId="6D059FC6" w:rsidR="0098239D" w:rsidRDefault="0098239D" w:rsidP="004A6A8C">
      <w:pPr>
        <w:pStyle w:val="SingleTxtG"/>
        <w:ind w:firstLine="567"/>
      </w:pPr>
      <w:r w:rsidRPr="00CB3921">
        <w:tab/>
      </w:r>
      <w:r w:rsidRPr="000B4617">
        <w:rPr>
          <w:i/>
          <w:iCs/>
        </w:rPr>
        <w:t>The Conference of the Parties</w:t>
      </w:r>
      <w:r w:rsidRPr="00883302">
        <w:rPr>
          <w:i/>
          <w:iCs/>
        </w:rPr>
        <w:t>,</w:t>
      </w:r>
      <w:r w:rsidRPr="00252146">
        <w:rPr>
          <w:i/>
          <w:iCs/>
        </w:rPr>
        <w:t xml:space="preserve"> </w:t>
      </w:r>
      <w:r w:rsidRPr="00883302">
        <w:rPr>
          <w:i/>
          <w:iCs/>
        </w:rPr>
        <w:t>t</w:t>
      </w:r>
      <w:r w:rsidRPr="000B4617">
        <w:rPr>
          <w:i/>
          <w:iCs/>
        </w:rPr>
        <w:t>he Conference of the Parties serving as the meeting of the Parties to the Kyoto Protocol</w:t>
      </w:r>
      <w:r>
        <w:rPr>
          <w:i/>
          <w:iCs/>
        </w:rPr>
        <w:t xml:space="preserve"> and t</w:t>
      </w:r>
      <w:r w:rsidRPr="000B4617">
        <w:rPr>
          <w:i/>
          <w:iCs/>
        </w:rPr>
        <w:t>he Conference of the Parties serving as the meeting of the Parties to the Paris Agreement</w:t>
      </w:r>
      <w:r>
        <w:t>,</w:t>
      </w:r>
    </w:p>
    <w:p w14:paraId="6BEF31AC" w14:textId="77777777" w:rsidR="0098239D" w:rsidRPr="00252146" w:rsidRDefault="0098239D" w:rsidP="004A6A8C">
      <w:pPr>
        <w:pStyle w:val="SingleTxtG"/>
        <w:spacing w:line="240" w:lineRule="exact"/>
        <w:ind w:firstLine="567"/>
      </w:pPr>
      <w:r>
        <w:rPr>
          <w:i/>
          <w:iCs/>
        </w:rPr>
        <w:tab/>
      </w:r>
      <w:r w:rsidRPr="000A3486">
        <w:rPr>
          <w:i/>
          <w:iCs/>
        </w:rPr>
        <w:t xml:space="preserve">Recalling </w:t>
      </w:r>
      <w:r w:rsidRPr="00CF7DDC">
        <w:t>Article 4 of the Convention,</w:t>
      </w:r>
    </w:p>
    <w:p w14:paraId="52518A3F" w14:textId="77777777" w:rsidR="0098239D" w:rsidRPr="00252146" w:rsidRDefault="0098239D" w:rsidP="004A6A8C">
      <w:pPr>
        <w:pStyle w:val="SingleTxtG"/>
        <w:spacing w:line="240" w:lineRule="exact"/>
        <w:ind w:firstLine="567"/>
      </w:pPr>
      <w:r>
        <w:rPr>
          <w:i/>
          <w:iCs/>
        </w:rPr>
        <w:tab/>
      </w:r>
      <w:r w:rsidRPr="000A3486">
        <w:rPr>
          <w:i/>
          <w:iCs/>
        </w:rPr>
        <w:t xml:space="preserve">Also recalling </w:t>
      </w:r>
      <w:r w:rsidRPr="00CF7DDC">
        <w:t>Article 2 and Article 3, paragraph 14, of the Kyoto Protocol,</w:t>
      </w:r>
    </w:p>
    <w:p w14:paraId="1D3168FB" w14:textId="77777777" w:rsidR="0098239D" w:rsidRDefault="0098239D" w:rsidP="004A6A8C">
      <w:pPr>
        <w:pStyle w:val="SingleTxtG"/>
        <w:spacing w:line="240" w:lineRule="exact"/>
        <w:ind w:firstLine="567"/>
      </w:pPr>
      <w:r>
        <w:rPr>
          <w:i/>
          <w:iCs/>
        </w:rPr>
        <w:tab/>
      </w:r>
      <w:r w:rsidRPr="000A3486">
        <w:rPr>
          <w:i/>
          <w:iCs/>
        </w:rPr>
        <w:t xml:space="preserve">Reaffirming </w:t>
      </w:r>
      <w:r w:rsidRPr="00CF7DDC">
        <w:t>Article 4, paragraph 15, of the Paris Agreement,</w:t>
      </w:r>
    </w:p>
    <w:p w14:paraId="0B9533B6" w14:textId="77777777" w:rsidR="0098239D" w:rsidRDefault="0098239D" w:rsidP="004A6A8C">
      <w:pPr>
        <w:pStyle w:val="SingleTxtG"/>
        <w:spacing w:line="240" w:lineRule="exact"/>
        <w:ind w:firstLine="567"/>
      </w:pPr>
      <w:r>
        <w:tab/>
      </w:r>
      <w:r w:rsidRPr="000B4617">
        <w:rPr>
          <w:i/>
          <w:iCs/>
        </w:rPr>
        <w:t>Recalling</w:t>
      </w:r>
      <w:r>
        <w:t xml:space="preserve"> decisions 1/CP.21, 7/CP.24, 4/CP.25, 19/CP.26,</w:t>
      </w:r>
      <w:r w:rsidRPr="005821D5">
        <w:t xml:space="preserve"> </w:t>
      </w:r>
      <w:r w:rsidRPr="00BF4BEB">
        <w:t>20/CP.27,</w:t>
      </w:r>
      <w:r>
        <w:t xml:space="preserve"> 3/CMP.14, 4/CMP.15, 7/CMP.16, </w:t>
      </w:r>
      <w:r w:rsidRPr="00E25F00">
        <w:t>7/CMP.17</w:t>
      </w:r>
      <w:r>
        <w:t>,</w:t>
      </w:r>
      <w:r w:rsidRPr="00E25F00">
        <w:t xml:space="preserve"> </w:t>
      </w:r>
      <w:r>
        <w:t xml:space="preserve">7/CMA.1, </w:t>
      </w:r>
      <w:r w:rsidRPr="00BF4BEB">
        <w:t>4/CMA.2,</w:t>
      </w:r>
      <w:r>
        <w:t xml:space="preserve"> </w:t>
      </w:r>
      <w:r w:rsidRPr="00BF4BEB">
        <w:t xml:space="preserve">23/CMA.3 </w:t>
      </w:r>
      <w:r w:rsidRPr="00E25F00">
        <w:t>and 23/CMA.4</w:t>
      </w:r>
      <w:r>
        <w:t>,</w:t>
      </w:r>
    </w:p>
    <w:p w14:paraId="75ED8E60" w14:textId="6E68F0F2" w:rsidR="0098239D" w:rsidRPr="00CB3921" w:rsidRDefault="00EA119B" w:rsidP="00EA119B">
      <w:pPr>
        <w:pStyle w:val="RegSingleTxtG"/>
        <w:tabs>
          <w:tab w:val="left" w:pos="1134"/>
        </w:tabs>
        <w:ind w:left="1134"/>
      </w:pPr>
      <w:r w:rsidRPr="00CB3921">
        <w:t>1.</w:t>
      </w:r>
      <w:r w:rsidRPr="00CB3921">
        <w:tab/>
      </w:r>
      <w:r w:rsidR="0098239D" w:rsidRPr="00E71736">
        <w:rPr>
          <w:i/>
          <w:iCs/>
        </w:rPr>
        <w:t xml:space="preserve">Recall </w:t>
      </w:r>
      <w:r w:rsidR="0098239D" w:rsidRPr="00E71736">
        <w:t>that the functions, work programme and modalities of the forum on the impact of the implementation of response measures were adopted</w:t>
      </w:r>
      <w:r w:rsidR="0098239D">
        <w:rPr>
          <w:rStyle w:val="FootnoteReference"/>
        </w:rPr>
        <w:footnoteReference w:id="21"/>
      </w:r>
      <w:r w:rsidR="0098239D" w:rsidRPr="00E71736">
        <w:t xml:space="preserve"> to address the effects of the implementation of response measures by enhancing cooperation among Parties on understanding the impacts of mitigation actions and the exchange of information, experience and best practices among Parties to raise their resilience to these impacts</w:t>
      </w:r>
      <w:r w:rsidR="0098239D" w:rsidRPr="00CB3921">
        <w:t>;</w:t>
      </w:r>
      <w:r w:rsidR="0098239D" w:rsidRPr="00CB3921">
        <w:rPr>
          <w:rStyle w:val="FootnoteReference"/>
        </w:rPr>
        <w:footnoteReference w:id="22"/>
      </w:r>
    </w:p>
    <w:p w14:paraId="357C0118" w14:textId="7D4580BE" w:rsidR="0098239D" w:rsidRPr="00051FC6" w:rsidRDefault="00EA119B" w:rsidP="00EA119B">
      <w:pPr>
        <w:pStyle w:val="RegSingleTxtG"/>
        <w:tabs>
          <w:tab w:val="left" w:pos="1134"/>
        </w:tabs>
        <w:ind w:left="1134"/>
      </w:pPr>
      <w:r w:rsidRPr="00051FC6">
        <w:t>2.</w:t>
      </w:r>
      <w:r w:rsidRPr="00051FC6">
        <w:tab/>
      </w:r>
      <w:r w:rsidR="0098239D" w:rsidRPr="00E04937">
        <w:rPr>
          <w:i/>
          <w:iCs/>
        </w:rPr>
        <w:t>Also recall</w:t>
      </w:r>
      <w:r w:rsidR="0098239D" w:rsidRPr="00955FB1">
        <w:t xml:space="preserve"> that the Katowice Committee of Experts on the Impacts of the Implementation of Response Measures shall support the forum </w:t>
      </w:r>
      <w:r w:rsidR="0098239D">
        <w:t>in</w:t>
      </w:r>
      <w:r w:rsidR="0098239D" w:rsidRPr="00CB26EF">
        <w:t xml:space="preserve"> implement</w:t>
      </w:r>
      <w:r w:rsidR="0098239D">
        <w:t>ing</w:t>
      </w:r>
      <w:r w:rsidR="0098239D" w:rsidRPr="00955FB1">
        <w:t xml:space="preserve"> </w:t>
      </w:r>
      <w:r w:rsidR="0098239D">
        <w:t>its</w:t>
      </w:r>
      <w:r w:rsidR="0098239D" w:rsidRPr="00955FB1">
        <w:t xml:space="preserve"> work programme</w:t>
      </w:r>
      <w:r w:rsidR="0098239D" w:rsidRPr="00051FC6">
        <w:t>;</w:t>
      </w:r>
      <w:r w:rsidR="0098239D" w:rsidRPr="00051FC6">
        <w:rPr>
          <w:rStyle w:val="FootnoteReference"/>
        </w:rPr>
        <w:footnoteReference w:id="23"/>
      </w:r>
    </w:p>
    <w:p w14:paraId="7142D83F" w14:textId="07D12357" w:rsidR="0098239D" w:rsidRDefault="00EA119B" w:rsidP="00EA119B">
      <w:pPr>
        <w:pStyle w:val="RegSingleTxtG"/>
        <w:tabs>
          <w:tab w:val="left" w:pos="1134"/>
        </w:tabs>
        <w:ind w:left="1134"/>
      </w:pPr>
      <w:r>
        <w:t>3.</w:t>
      </w:r>
      <w:r>
        <w:tab/>
      </w:r>
      <w:r w:rsidR="0098239D">
        <w:rPr>
          <w:i/>
          <w:iCs/>
        </w:rPr>
        <w:t>Note with a</w:t>
      </w:r>
      <w:r w:rsidR="0098239D" w:rsidRPr="00E04937">
        <w:rPr>
          <w:i/>
          <w:iCs/>
        </w:rPr>
        <w:t>ppreciat</w:t>
      </w:r>
      <w:r w:rsidR="0098239D">
        <w:rPr>
          <w:i/>
          <w:iCs/>
        </w:rPr>
        <w:t>ion</w:t>
      </w:r>
      <w:r w:rsidR="0098239D">
        <w:t xml:space="preserve"> the progress of the forum and its Katowice Committee on Impacts in supporting the work of the forum; </w:t>
      </w:r>
    </w:p>
    <w:p w14:paraId="2C6EE39F" w14:textId="00779D10" w:rsidR="0098239D" w:rsidRPr="00051FC6" w:rsidRDefault="00EA119B" w:rsidP="00EA119B">
      <w:pPr>
        <w:pStyle w:val="RegSingleTxtG"/>
        <w:tabs>
          <w:tab w:val="left" w:pos="1134"/>
        </w:tabs>
        <w:ind w:left="1134"/>
      </w:pPr>
      <w:r w:rsidRPr="00051FC6">
        <w:t>4.</w:t>
      </w:r>
      <w:r w:rsidRPr="00051FC6">
        <w:tab/>
      </w:r>
      <w:r w:rsidR="0098239D" w:rsidRPr="00E04937">
        <w:rPr>
          <w:i/>
          <w:iCs/>
        </w:rPr>
        <w:t>Take note</w:t>
      </w:r>
      <w:r w:rsidR="0098239D">
        <w:t xml:space="preserve"> of the views expressed by Parties during the review of the functions, work programme and modalities of the forum and the midterm review of the workplan</w:t>
      </w:r>
      <w:r w:rsidR="0098239D">
        <w:rPr>
          <w:rStyle w:val="FootnoteReference"/>
        </w:rPr>
        <w:footnoteReference w:id="24"/>
      </w:r>
      <w:r w:rsidR="0098239D">
        <w:t xml:space="preserve"> of the forum and its Katowice Committee on Impacts;</w:t>
      </w:r>
    </w:p>
    <w:p w14:paraId="351F129E" w14:textId="5B12EF6A" w:rsidR="0098239D" w:rsidRDefault="00EA119B" w:rsidP="00EA119B">
      <w:pPr>
        <w:pStyle w:val="RegSingleTxtG"/>
        <w:tabs>
          <w:tab w:val="left" w:pos="1134"/>
        </w:tabs>
        <w:ind w:left="1134"/>
      </w:pPr>
      <w:r>
        <w:t>5.</w:t>
      </w:r>
      <w:r>
        <w:tab/>
      </w:r>
      <w:r w:rsidR="0098239D" w:rsidRPr="00E04937">
        <w:rPr>
          <w:i/>
          <w:iCs/>
        </w:rPr>
        <w:t>Adopt</w:t>
      </w:r>
      <w:r w:rsidR="0098239D">
        <w:t xml:space="preserve"> the updated functions, work programme and modalities of the forum and its Katowice Committee on Impacts contained in annex I;</w:t>
      </w:r>
    </w:p>
    <w:p w14:paraId="041A18A9" w14:textId="417C5D45" w:rsidR="0098239D" w:rsidRPr="00051FC6" w:rsidRDefault="00EA119B" w:rsidP="00EA119B">
      <w:pPr>
        <w:pStyle w:val="RegSingleTxtG"/>
        <w:tabs>
          <w:tab w:val="left" w:pos="1134"/>
        </w:tabs>
        <w:ind w:left="1134"/>
      </w:pPr>
      <w:r w:rsidRPr="00051FC6">
        <w:t>6.</w:t>
      </w:r>
      <w:r w:rsidRPr="00051FC6">
        <w:tab/>
      </w:r>
      <w:r w:rsidR="0098239D" w:rsidRPr="00E04937">
        <w:rPr>
          <w:i/>
          <w:iCs/>
        </w:rPr>
        <w:t>Request</w:t>
      </w:r>
      <w:r w:rsidR="0098239D">
        <w:t xml:space="preserve"> the subsidiary bodies to review the functions, work programme and modalities of the forum and its Katowice Committee on Impacts every five years, starting at their sixty-ninth sessions</w:t>
      </w:r>
      <w:r w:rsidR="0098239D" w:rsidRPr="0021010C">
        <w:t xml:space="preserve"> (2028), with a view to enhancing the effectiveness of the forum and its Katowice Committee on Impacts and providing recommendations for consideration </w:t>
      </w:r>
      <w:r w:rsidR="006D0CA9">
        <w:t>by</w:t>
      </w:r>
      <w:r w:rsidR="0098239D" w:rsidRPr="0021010C">
        <w:t xml:space="preserve"> the </w:t>
      </w:r>
      <w:r w:rsidR="0098239D">
        <w:t>Conference of the Parties</w:t>
      </w:r>
      <w:r w:rsidR="0098239D" w:rsidRPr="00CB26EF">
        <w:t xml:space="preserve">, the </w:t>
      </w:r>
      <w:r w:rsidR="0098239D" w:rsidRPr="00316807">
        <w:t>Conference of the Parties serving as the meeting of the Parties to the Kyoto Protocol</w:t>
      </w:r>
      <w:r w:rsidR="0098239D" w:rsidRPr="0021010C">
        <w:t xml:space="preserve"> and the </w:t>
      </w:r>
      <w:r w:rsidR="0098239D" w:rsidRPr="00896F27">
        <w:t>Conference of the Parties serving as the meeting of the Parties to the Paris Agreement</w:t>
      </w:r>
      <w:r w:rsidR="0098239D" w:rsidRPr="00CB26EF">
        <w:t>;</w:t>
      </w:r>
    </w:p>
    <w:p w14:paraId="7830B607" w14:textId="78C89155" w:rsidR="0098239D" w:rsidRDefault="00EA119B" w:rsidP="00EA119B">
      <w:pPr>
        <w:pStyle w:val="RegSingleTxtG"/>
        <w:tabs>
          <w:tab w:val="left" w:pos="1134"/>
        </w:tabs>
        <w:ind w:left="1134"/>
      </w:pPr>
      <w:r>
        <w:t>7.</w:t>
      </w:r>
      <w:r>
        <w:tab/>
      </w:r>
      <w:r w:rsidR="0098239D" w:rsidRPr="00AC566E">
        <w:rPr>
          <w:i/>
          <w:iCs/>
        </w:rPr>
        <w:t>Decide</w:t>
      </w:r>
      <w:r w:rsidR="0098239D" w:rsidRPr="00C45BAE">
        <w:t xml:space="preserve"> that the forum shall develop and recommend a five-year workplan in line with the forum’s functions, work programme and modalities, taking into account relevant policy issues of concern to Parties, for consideration and adoption by the subsidiary bodies at </w:t>
      </w:r>
      <w:r w:rsidR="0098239D">
        <w:t>their sixty-first sessions</w:t>
      </w:r>
      <w:r w:rsidR="0098239D" w:rsidRPr="00C45BAE">
        <w:t xml:space="preserve"> (Nov</w:t>
      </w:r>
      <w:r w:rsidR="0098239D">
        <w:t>ember</w:t>
      </w:r>
      <w:r w:rsidR="0098239D" w:rsidRPr="00C45BAE">
        <w:t xml:space="preserve"> 2024</w:t>
      </w:r>
      <w:r w:rsidR="00BB6A46">
        <w:t>)</w:t>
      </w:r>
      <w:r w:rsidR="0098239D" w:rsidRPr="00C45BAE">
        <w:t>;</w:t>
      </w:r>
    </w:p>
    <w:p w14:paraId="7FC411F1" w14:textId="3185E5AB" w:rsidR="0098239D" w:rsidRDefault="00EA119B" w:rsidP="00EA119B">
      <w:pPr>
        <w:pStyle w:val="RegSingleTxtG"/>
        <w:tabs>
          <w:tab w:val="left" w:pos="1134"/>
        </w:tabs>
        <w:ind w:left="1134"/>
      </w:pPr>
      <w:r>
        <w:t>8.</w:t>
      </w:r>
      <w:r>
        <w:tab/>
      </w:r>
      <w:r w:rsidR="0098239D" w:rsidRPr="00AC566E">
        <w:rPr>
          <w:i/>
          <w:iCs/>
        </w:rPr>
        <w:t>Request</w:t>
      </w:r>
      <w:r w:rsidR="0098239D" w:rsidRPr="003D0392">
        <w:t xml:space="preserve"> the </w:t>
      </w:r>
      <w:r w:rsidR="0098239D" w:rsidRPr="0021010C">
        <w:t xml:space="preserve">Katowice Committee on Impacts </w:t>
      </w:r>
      <w:r w:rsidR="0098239D" w:rsidRPr="003D0392">
        <w:t xml:space="preserve">to propose updates to its rules of procedure for the forum to consider and make recommendations to the subsidiary bodies with a view to the subsidiary bodies providing recommendations for consideration and adoption by the </w:t>
      </w:r>
      <w:r w:rsidR="0098239D">
        <w:t>Conference of the Parties at its twenty-ninth session</w:t>
      </w:r>
      <w:r w:rsidR="009E41AF">
        <w:t xml:space="preserve"> (November 2024)</w:t>
      </w:r>
      <w:r w:rsidR="0098239D" w:rsidRPr="00CB26EF">
        <w:t xml:space="preserve">, the </w:t>
      </w:r>
      <w:r w:rsidR="0098239D" w:rsidRPr="00316807">
        <w:t>Conference of the Parties serving as the meeting of the Parties to the Kyoto Protocol</w:t>
      </w:r>
      <w:r w:rsidR="0098239D" w:rsidRPr="00CB26EF">
        <w:t xml:space="preserve"> </w:t>
      </w:r>
      <w:r w:rsidR="0098239D">
        <w:t xml:space="preserve">at its nineteenth </w:t>
      </w:r>
      <w:r w:rsidR="0098239D">
        <w:lastRenderedPageBreak/>
        <w:t>session (</w:t>
      </w:r>
      <w:r w:rsidR="0098239D" w:rsidRPr="00CB26EF">
        <w:t>November 2024</w:t>
      </w:r>
      <w:r w:rsidR="0098239D">
        <w:t xml:space="preserve">) </w:t>
      </w:r>
      <w:r w:rsidR="0098239D" w:rsidRPr="00CB26EF">
        <w:t xml:space="preserve">and the </w:t>
      </w:r>
      <w:r w:rsidR="0098239D" w:rsidRPr="00896F27">
        <w:t>Conference of the Parties serving as the meeting of the Parties to the Paris Agreement</w:t>
      </w:r>
      <w:r w:rsidR="0098239D">
        <w:t xml:space="preserve"> at its sixth session (</w:t>
      </w:r>
      <w:r w:rsidR="0098239D" w:rsidRPr="00CB26EF">
        <w:t>November 2024</w:t>
      </w:r>
      <w:r w:rsidR="0098239D">
        <w:t>)</w:t>
      </w:r>
      <w:r w:rsidR="0098239D" w:rsidRPr="00CB26EF">
        <w:t>;</w:t>
      </w:r>
    </w:p>
    <w:p w14:paraId="1FF13DDE" w14:textId="13C95FFF" w:rsidR="0098239D" w:rsidRPr="00CB3921" w:rsidRDefault="00EA119B" w:rsidP="00EA119B">
      <w:pPr>
        <w:pStyle w:val="RegSingleTxtG"/>
        <w:tabs>
          <w:tab w:val="left" w:pos="1134"/>
        </w:tabs>
        <w:ind w:left="1134"/>
      </w:pPr>
      <w:bookmarkStart w:id="34" w:name="_Ref155780345"/>
      <w:r w:rsidRPr="00CB3921">
        <w:t>9.</w:t>
      </w:r>
      <w:r w:rsidRPr="00CB3921">
        <w:tab/>
      </w:r>
      <w:r w:rsidR="0098239D" w:rsidRPr="00AC566E">
        <w:rPr>
          <w:i/>
          <w:iCs/>
        </w:rPr>
        <w:t>Take note</w:t>
      </w:r>
      <w:r w:rsidR="0098239D" w:rsidRPr="00561249">
        <w:t xml:space="preserve"> that the forum concluded the midterm review of the workplan of the forum and its Katowice Committee on Impacts</w:t>
      </w:r>
      <w:r w:rsidR="0098239D" w:rsidRPr="00CB3921">
        <w:t xml:space="preserve"> </w:t>
      </w:r>
      <w:r w:rsidR="0098239D" w:rsidRPr="00561249">
        <w:t xml:space="preserve">and </w:t>
      </w:r>
      <w:r w:rsidR="0098239D" w:rsidRPr="001F1B89">
        <w:rPr>
          <w:i/>
          <w:iCs/>
        </w:rPr>
        <w:t>request</w:t>
      </w:r>
      <w:r w:rsidR="0098239D" w:rsidRPr="00561249">
        <w:t xml:space="preserve"> the forum and its Katowice Committee on Impacts to implement the activities </w:t>
      </w:r>
      <w:r w:rsidR="0098239D">
        <w:t xml:space="preserve">arising from the outcomes of the review </w:t>
      </w:r>
      <w:r w:rsidR="0098239D" w:rsidRPr="00CB26EF">
        <w:t>contained</w:t>
      </w:r>
      <w:r w:rsidR="0098239D" w:rsidRPr="00561249">
        <w:t xml:space="preserve"> in annex II</w:t>
      </w:r>
      <w:r w:rsidR="0098239D">
        <w:t>;</w:t>
      </w:r>
      <w:bookmarkEnd w:id="34"/>
    </w:p>
    <w:p w14:paraId="04DF361C" w14:textId="7B3AA498" w:rsidR="0098239D" w:rsidRPr="00CB3921" w:rsidRDefault="00EA119B" w:rsidP="00EA119B">
      <w:pPr>
        <w:pStyle w:val="RegSingleTxtG"/>
        <w:tabs>
          <w:tab w:val="left" w:pos="1134"/>
        </w:tabs>
        <w:ind w:left="1134"/>
      </w:pPr>
      <w:r w:rsidRPr="00CB3921">
        <w:t>10.</w:t>
      </w:r>
      <w:r w:rsidRPr="00CB3921">
        <w:tab/>
      </w:r>
      <w:r w:rsidR="0098239D" w:rsidRPr="00CB3921">
        <w:rPr>
          <w:i/>
          <w:iCs/>
        </w:rPr>
        <w:t>Welcome</w:t>
      </w:r>
      <w:r w:rsidR="0098239D" w:rsidRPr="00CB3921">
        <w:t xml:space="preserve"> the annual report of the Katowice Committee on Impacts for 2023;</w:t>
      </w:r>
      <w:r w:rsidR="0098239D" w:rsidRPr="00CB3921">
        <w:rPr>
          <w:rStyle w:val="FootnoteReference"/>
        </w:rPr>
        <w:footnoteReference w:id="25"/>
      </w:r>
    </w:p>
    <w:p w14:paraId="022B7617" w14:textId="59A600B2" w:rsidR="0098239D" w:rsidRPr="00CB3921" w:rsidRDefault="00EA119B" w:rsidP="00EA119B">
      <w:pPr>
        <w:pStyle w:val="RegSingleTxtG"/>
        <w:tabs>
          <w:tab w:val="left" w:pos="1134"/>
        </w:tabs>
        <w:ind w:left="1134"/>
      </w:pPr>
      <w:bookmarkStart w:id="35" w:name="_Ref155780352"/>
      <w:r w:rsidRPr="00CB3921">
        <w:t>11.</w:t>
      </w:r>
      <w:r w:rsidRPr="00CB3921">
        <w:tab/>
      </w:r>
      <w:r w:rsidR="0098239D" w:rsidRPr="00CB3921">
        <w:rPr>
          <w:i/>
          <w:iCs/>
        </w:rPr>
        <w:t>Adopt</w:t>
      </w:r>
      <w:r w:rsidR="0098239D" w:rsidRPr="00CB3921">
        <w:t xml:space="preserve"> the recommendations forwarded by the forum contained in sections I</w:t>
      </w:r>
      <w:r w:rsidR="0098239D">
        <w:t>–</w:t>
      </w:r>
      <w:r w:rsidR="0098239D" w:rsidRPr="00CB3921">
        <w:t>I</w:t>
      </w:r>
      <w:r w:rsidR="0098239D">
        <w:t>II</w:t>
      </w:r>
      <w:r w:rsidR="0098239D" w:rsidRPr="00CB3921">
        <w:t xml:space="preserve"> below, which pertain to activities 2,</w:t>
      </w:r>
      <w:r w:rsidR="0098239D">
        <w:rPr>
          <w:rStyle w:val="FootnoteReference"/>
        </w:rPr>
        <w:footnoteReference w:id="26"/>
      </w:r>
      <w:r w:rsidR="0098239D" w:rsidRPr="00CB3921">
        <w:t xml:space="preserve"> 8</w:t>
      </w:r>
      <w:r w:rsidR="0098239D">
        <w:rPr>
          <w:rStyle w:val="FootnoteReference"/>
        </w:rPr>
        <w:footnoteReference w:id="27"/>
      </w:r>
      <w:r w:rsidR="0098239D" w:rsidRPr="00CB3921">
        <w:t xml:space="preserve"> and 9</w:t>
      </w:r>
      <w:r w:rsidR="0098239D">
        <w:rPr>
          <w:rStyle w:val="FootnoteReference"/>
        </w:rPr>
        <w:footnoteReference w:id="28"/>
      </w:r>
      <w:r w:rsidR="0098239D" w:rsidRPr="00CB3921">
        <w:t xml:space="preserve"> of the workplan</w:t>
      </w:r>
      <w:r w:rsidR="007A12D6">
        <w:t xml:space="preserve"> of the forum and its </w:t>
      </w:r>
      <w:r w:rsidR="007A12D6" w:rsidRPr="00561249">
        <w:t>Katowice Committee on Impacts</w:t>
      </w:r>
      <w:r w:rsidR="0098239D" w:rsidRPr="00CB3921">
        <w:t>;</w:t>
      </w:r>
      <w:bookmarkEnd w:id="35"/>
    </w:p>
    <w:p w14:paraId="585E0062" w14:textId="6C60D3B0" w:rsidR="0098239D" w:rsidRPr="00CB3921" w:rsidRDefault="00EA119B" w:rsidP="00EA119B">
      <w:pPr>
        <w:pStyle w:val="RegSingleTxtG"/>
        <w:tabs>
          <w:tab w:val="left" w:pos="1134"/>
        </w:tabs>
        <w:ind w:left="1134"/>
      </w:pPr>
      <w:r w:rsidRPr="00CB3921">
        <w:t>12.</w:t>
      </w:r>
      <w:r w:rsidRPr="00CB3921">
        <w:tab/>
      </w:r>
      <w:r w:rsidR="0098239D" w:rsidRPr="00CB3921">
        <w:rPr>
          <w:i/>
          <w:iCs/>
        </w:rPr>
        <w:t>Invite</w:t>
      </w:r>
      <w:r w:rsidR="0098239D" w:rsidRPr="00CB3921">
        <w:t xml:space="preserve"> Parties, observer organizations and </w:t>
      </w:r>
      <w:r w:rsidR="00ED4F1F">
        <w:t xml:space="preserve">non-Party </w:t>
      </w:r>
      <w:r w:rsidR="0098239D" w:rsidRPr="00CB3921">
        <w:t xml:space="preserve">stakeholders to implement the recommendations contained in sections </w:t>
      </w:r>
      <w:r w:rsidR="0098239D">
        <w:t>I–III</w:t>
      </w:r>
      <w:r w:rsidR="0098239D" w:rsidRPr="00CB3921">
        <w:t xml:space="preserve"> below, as applicable;</w:t>
      </w:r>
    </w:p>
    <w:p w14:paraId="29419A01" w14:textId="7208AD30" w:rsidR="0098239D" w:rsidRPr="00CB3921" w:rsidRDefault="00EA119B" w:rsidP="00EA119B">
      <w:pPr>
        <w:pStyle w:val="RegSingleTxtG"/>
        <w:tabs>
          <w:tab w:val="left" w:pos="1134"/>
        </w:tabs>
        <w:ind w:left="1134"/>
      </w:pPr>
      <w:bookmarkStart w:id="36" w:name="_Ref155780359"/>
      <w:r w:rsidRPr="00CB3921">
        <w:t>13.</w:t>
      </w:r>
      <w:r w:rsidRPr="00CB3921">
        <w:tab/>
      </w:r>
      <w:r w:rsidR="0098239D" w:rsidRPr="00CB3921">
        <w:rPr>
          <w:i/>
          <w:iCs/>
        </w:rPr>
        <w:t>Request</w:t>
      </w:r>
      <w:r w:rsidR="0098239D" w:rsidRPr="00CB3921">
        <w:t xml:space="preserve"> the forum and its Katowice Committee on Impacts</w:t>
      </w:r>
      <w:r w:rsidR="0098239D">
        <w:t>,</w:t>
      </w:r>
      <w:r w:rsidR="0098239D" w:rsidRPr="00CB3921">
        <w:t xml:space="preserve"> </w:t>
      </w:r>
      <w:r w:rsidR="0098239D">
        <w:t xml:space="preserve">with the support of </w:t>
      </w:r>
      <w:r w:rsidR="0098239D" w:rsidRPr="00CB3921">
        <w:t>the secretariat</w:t>
      </w:r>
      <w:r w:rsidR="0098239D">
        <w:t>,</w:t>
      </w:r>
      <w:r w:rsidR="0098239D" w:rsidRPr="00CB3921">
        <w:t xml:space="preserve"> to implement the recommendations contained in sections I</w:t>
      </w:r>
      <w:r w:rsidR="00A933B1">
        <w:t>–</w:t>
      </w:r>
      <w:r w:rsidR="0098239D" w:rsidRPr="00CB3921">
        <w:t>I</w:t>
      </w:r>
      <w:r w:rsidR="0098239D">
        <w:t>II</w:t>
      </w:r>
      <w:r w:rsidR="0098239D" w:rsidRPr="00CB3921">
        <w:t xml:space="preserve"> below, as applicable;</w:t>
      </w:r>
      <w:bookmarkEnd w:id="36"/>
    </w:p>
    <w:p w14:paraId="54BDE025" w14:textId="5DF7446B" w:rsidR="0098239D" w:rsidRPr="00CB3921" w:rsidRDefault="00EA119B" w:rsidP="00EA119B">
      <w:pPr>
        <w:pStyle w:val="RegSingleTxtG"/>
        <w:tabs>
          <w:tab w:val="left" w:pos="1134"/>
        </w:tabs>
        <w:ind w:left="1134"/>
      </w:pPr>
      <w:r w:rsidRPr="00CB3921">
        <w:t>14.</w:t>
      </w:r>
      <w:r w:rsidRPr="00CB3921">
        <w:tab/>
      </w:r>
      <w:r w:rsidR="0098239D">
        <w:rPr>
          <w:i/>
          <w:iCs/>
        </w:rPr>
        <w:t>Also</w:t>
      </w:r>
      <w:r w:rsidR="0098239D" w:rsidRPr="00CB3921">
        <w:rPr>
          <w:i/>
          <w:iCs/>
        </w:rPr>
        <w:t xml:space="preserve"> request</w:t>
      </w:r>
      <w:r w:rsidR="0098239D" w:rsidRPr="00CB3921">
        <w:t xml:space="preserve"> the Katowice Committee on Impacts to report</w:t>
      </w:r>
      <w:r w:rsidR="0098239D">
        <w:t>, in its annual report,</w:t>
      </w:r>
      <w:r w:rsidR="0098239D" w:rsidRPr="00CB3921">
        <w:t xml:space="preserve"> </w:t>
      </w:r>
      <w:r w:rsidR="0098239D">
        <w:t>on</w:t>
      </w:r>
      <w:r w:rsidR="0098239D" w:rsidRPr="00CB3921">
        <w:t xml:space="preserve"> progress in implementing the recommendations contained in sections I</w:t>
      </w:r>
      <w:r w:rsidR="0098239D">
        <w:t>–</w:t>
      </w:r>
      <w:r w:rsidR="0098239D" w:rsidRPr="00CB3921">
        <w:t>I</w:t>
      </w:r>
      <w:r w:rsidR="0098239D">
        <w:t>II</w:t>
      </w:r>
      <w:r w:rsidR="0098239D" w:rsidRPr="00CB3921">
        <w:t xml:space="preserve"> below, as applicable, and </w:t>
      </w:r>
      <w:r w:rsidR="0098239D">
        <w:t xml:space="preserve">those </w:t>
      </w:r>
      <w:r w:rsidR="0098239D" w:rsidRPr="00CB3921">
        <w:t>in decisions 20/CP.27, 7/CMP.17 and 23/CMA.4;</w:t>
      </w:r>
    </w:p>
    <w:p w14:paraId="134CC5BC" w14:textId="781BCF93" w:rsidR="0098239D" w:rsidRDefault="00EA119B" w:rsidP="00EA119B">
      <w:pPr>
        <w:pStyle w:val="RegSingleTxtG"/>
        <w:tabs>
          <w:tab w:val="left" w:pos="1134"/>
        </w:tabs>
        <w:ind w:left="1134"/>
      </w:pPr>
      <w:r>
        <w:t>15.</w:t>
      </w:r>
      <w:r>
        <w:tab/>
      </w:r>
      <w:r w:rsidR="0098239D" w:rsidRPr="00CB3921">
        <w:rPr>
          <w:i/>
          <w:iCs/>
        </w:rPr>
        <w:t>Note with appreciation</w:t>
      </w:r>
      <w:r w:rsidR="0098239D" w:rsidRPr="00CB3921">
        <w:t xml:space="preserve"> the technical sessions on implementing activities 7</w:t>
      </w:r>
      <w:r w:rsidR="0098239D">
        <w:rPr>
          <w:rStyle w:val="FootnoteReference"/>
        </w:rPr>
        <w:footnoteReference w:id="29"/>
      </w:r>
      <w:r w:rsidR="0098239D" w:rsidRPr="00CB3921">
        <w:t xml:space="preserve"> and 8 of the workplan </w:t>
      </w:r>
      <w:r w:rsidR="0098239D">
        <w:t>held at the fifty-ninth sessions of the subsidiary bodies</w:t>
      </w:r>
      <w:r w:rsidR="0098239D" w:rsidRPr="00CB3921">
        <w:t xml:space="preserve"> and </w:t>
      </w:r>
      <w:r w:rsidR="0098239D" w:rsidRPr="00CB3921">
        <w:rPr>
          <w:i/>
          <w:iCs/>
        </w:rPr>
        <w:t>express</w:t>
      </w:r>
      <w:r w:rsidR="0098239D" w:rsidRPr="00252146">
        <w:rPr>
          <w:i/>
          <w:iCs/>
        </w:rPr>
        <w:t xml:space="preserve"> </w:t>
      </w:r>
      <w:r w:rsidR="0098239D" w:rsidRPr="00877274">
        <w:rPr>
          <w:i/>
          <w:iCs/>
        </w:rPr>
        <w:t>gratitude</w:t>
      </w:r>
      <w:r w:rsidR="0098239D" w:rsidRPr="00CB3921">
        <w:t xml:space="preserve"> to the experts and Parties </w:t>
      </w:r>
      <w:r w:rsidR="0098239D">
        <w:t>that</w:t>
      </w:r>
      <w:r w:rsidR="0098239D" w:rsidRPr="00CB3921">
        <w:t xml:space="preserve"> contributed to the work of the forum and its Katowice Committee on Impacts in 2023;</w:t>
      </w:r>
    </w:p>
    <w:p w14:paraId="034A6C0E" w14:textId="3CD00CED" w:rsidR="0098239D" w:rsidRDefault="00EA119B" w:rsidP="00EA119B">
      <w:pPr>
        <w:pStyle w:val="RegSingleTxtG"/>
        <w:tabs>
          <w:tab w:val="left" w:pos="1134"/>
        </w:tabs>
        <w:ind w:left="1134"/>
      </w:pPr>
      <w:bookmarkStart w:id="37" w:name="_Ref155725155"/>
      <w:r>
        <w:t>16.</w:t>
      </w:r>
      <w:r>
        <w:tab/>
      </w:r>
      <w:r w:rsidR="0098239D" w:rsidRPr="00010DF2">
        <w:rPr>
          <w:i/>
          <w:iCs/>
        </w:rPr>
        <w:t>Request</w:t>
      </w:r>
      <w:r w:rsidR="0098239D" w:rsidRPr="00DE2D91">
        <w:t xml:space="preserve"> the secretariat to organize a two-day global dialogue on the impacts of the implementation of response measures in conjunction with intersessional meetings </w:t>
      </w:r>
      <w:r w:rsidR="0098239D">
        <w:t xml:space="preserve">of the </w:t>
      </w:r>
      <w:r w:rsidR="0098239D" w:rsidRPr="00DD08E1">
        <w:t>Katowice Committee on Impacts</w:t>
      </w:r>
      <w:r w:rsidR="0098239D">
        <w:t xml:space="preserve"> </w:t>
      </w:r>
      <w:r w:rsidR="0098239D" w:rsidRPr="00DE2D91">
        <w:t xml:space="preserve">in 2024 and 2025, in collaboration with relevant organizations and stakeholders and acknowledging the work that has been carried out by the Katowice Committee on Impacts, noting that such dialogues will be conducted in hybrid format to allow both in-person and virtual participation, and </w:t>
      </w:r>
      <w:r w:rsidR="0098239D" w:rsidRPr="00007685">
        <w:rPr>
          <w:i/>
          <w:iCs/>
        </w:rPr>
        <w:t>note</w:t>
      </w:r>
      <w:r w:rsidR="0098239D" w:rsidRPr="00DE2D91">
        <w:t xml:space="preserve"> that the forum, at </w:t>
      </w:r>
      <w:r w:rsidR="0098239D">
        <w:t xml:space="preserve">the sixty-third sessions of the subsidiary bodies </w:t>
      </w:r>
      <w:r w:rsidR="0098239D" w:rsidRPr="00DE2D91">
        <w:t>(November 2025), will consider further dialogues, as appropriate</w:t>
      </w:r>
      <w:r w:rsidR="0098239D">
        <w:t>;</w:t>
      </w:r>
      <w:bookmarkEnd w:id="37"/>
    </w:p>
    <w:p w14:paraId="592015BF" w14:textId="45CDF642" w:rsidR="0098239D" w:rsidRDefault="00EA119B" w:rsidP="00EA119B">
      <w:pPr>
        <w:pStyle w:val="RegSingleTxtG"/>
        <w:tabs>
          <w:tab w:val="left" w:pos="1134"/>
        </w:tabs>
        <w:ind w:left="1134"/>
      </w:pPr>
      <w:bookmarkStart w:id="38" w:name="_Ref155780372"/>
      <w:r>
        <w:t>17.</w:t>
      </w:r>
      <w:r>
        <w:tab/>
      </w:r>
      <w:r w:rsidR="006A3969">
        <w:rPr>
          <w:i/>
          <w:iCs/>
        </w:rPr>
        <w:t>R</w:t>
      </w:r>
      <w:r w:rsidR="0098239D" w:rsidRPr="00010DF2">
        <w:rPr>
          <w:i/>
          <w:iCs/>
        </w:rPr>
        <w:t>equest</w:t>
      </w:r>
      <w:r w:rsidR="0098239D" w:rsidRPr="00627E73">
        <w:t xml:space="preserve"> the secretariat to prepare a summary report capturing </w:t>
      </w:r>
      <w:r w:rsidR="0098239D">
        <w:t xml:space="preserve">the </w:t>
      </w:r>
      <w:r w:rsidR="0098239D" w:rsidRPr="00627E73">
        <w:t xml:space="preserve">discussions </w:t>
      </w:r>
      <w:r w:rsidR="0098239D">
        <w:t xml:space="preserve">held </w:t>
      </w:r>
      <w:r w:rsidR="0098239D" w:rsidRPr="00627E73">
        <w:t xml:space="preserve">at each of the global dialogues referred to in paragraph </w:t>
      </w:r>
      <w:r w:rsidR="004B2E3B">
        <w:rPr>
          <w:cs/>
        </w:rPr>
        <w:t>‎</w:t>
      </w:r>
      <w:r w:rsidR="004B2E3B">
        <w:t>16 above</w:t>
      </w:r>
      <w:r w:rsidR="0098239D">
        <w:t>;</w:t>
      </w:r>
      <w:bookmarkEnd w:id="38"/>
    </w:p>
    <w:p w14:paraId="3EEF373A" w14:textId="68481170" w:rsidR="0098239D" w:rsidRDefault="00EA119B" w:rsidP="00EA119B">
      <w:pPr>
        <w:pStyle w:val="RegSingleTxtG"/>
        <w:tabs>
          <w:tab w:val="left" w:pos="1134"/>
        </w:tabs>
        <w:ind w:left="1134"/>
      </w:pPr>
      <w:bookmarkStart w:id="39" w:name="_Ref155725181"/>
      <w:r>
        <w:t>18.</w:t>
      </w:r>
      <w:r>
        <w:tab/>
      </w:r>
      <w:r w:rsidR="0098239D" w:rsidRPr="00010DF2">
        <w:rPr>
          <w:i/>
          <w:iCs/>
        </w:rPr>
        <w:t>Invite</w:t>
      </w:r>
      <w:r w:rsidR="0098239D">
        <w:t xml:space="preserve"> Parties, observers and non-Party stakeholders to submit their views on possible topics for the global dialogues in 2024 and 2025 via the submission portal</w:t>
      </w:r>
      <w:r w:rsidR="0098239D">
        <w:rPr>
          <w:rStyle w:val="FootnoteReference"/>
        </w:rPr>
        <w:footnoteReference w:id="30"/>
      </w:r>
      <w:r w:rsidR="0098239D">
        <w:t xml:space="preserve"> by 15 July in each of those years;</w:t>
      </w:r>
      <w:bookmarkEnd w:id="39"/>
      <w:r w:rsidR="0098239D">
        <w:t xml:space="preserve"> </w:t>
      </w:r>
    </w:p>
    <w:p w14:paraId="7A2679B1" w14:textId="5123DFA8" w:rsidR="0098239D" w:rsidRPr="00CB3921" w:rsidRDefault="00EA119B" w:rsidP="00EA119B">
      <w:pPr>
        <w:pStyle w:val="RegSingleTxtG"/>
        <w:tabs>
          <w:tab w:val="left" w:pos="1134"/>
        </w:tabs>
        <w:ind w:left="1134"/>
      </w:pPr>
      <w:r w:rsidRPr="00CB3921">
        <w:t>19.</w:t>
      </w:r>
      <w:r w:rsidRPr="00CB3921">
        <w:tab/>
      </w:r>
      <w:r w:rsidR="0098239D" w:rsidRPr="00010DF2">
        <w:rPr>
          <w:i/>
          <w:iCs/>
        </w:rPr>
        <w:t>Request</w:t>
      </w:r>
      <w:r w:rsidR="0098239D">
        <w:t xml:space="preserve"> that the Chairs of the subsidiary bodies, taking into consideration the submissions referred to in paragraph </w:t>
      </w:r>
      <w:r w:rsidR="004B2E3B">
        <w:rPr>
          <w:cs/>
        </w:rPr>
        <w:t>‎</w:t>
      </w:r>
      <w:r w:rsidR="004B2E3B">
        <w:t>18 above</w:t>
      </w:r>
      <w:r w:rsidR="0098239D">
        <w:t xml:space="preserve">, decide on and communicate, no later than </w:t>
      </w:r>
      <w:r w:rsidR="0098239D">
        <w:lastRenderedPageBreak/>
        <w:t>four weeks in advance of the global dialogues in 2024 and 2025, the topics to be discussed at each dialogue to be held in that year;</w:t>
      </w:r>
    </w:p>
    <w:p w14:paraId="31178266" w14:textId="5C26A20E" w:rsidR="0098239D" w:rsidRPr="00CB3921" w:rsidRDefault="00EA119B" w:rsidP="00EA119B">
      <w:pPr>
        <w:pStyle w:val="RegSingleTxtG"/>
        <w:tabs>
          <w:tab w:val="left" w:pos="1134"/>
        </w:tabs>
        <w:ind w:left="1134"/>
      </w:pPr>
      <w:r w:rsidRPr="00CB3921">
        <w:t>20.</w:t>
      </w:r>
      <w:r w:rsidRPr="00CB3921">
        <w:tab/>
      </w:r>
      <w:r w:rsidR="0098239D">
        <w:rPr>
          <w:i/>
          <w:iCs/>
        </w:rPr>
        <w:t>E</w:t>
      </w:r>
      <w:r w:rsidR="0098239D" w:rsidRPr="00CB3921">
        <w:rPr>
          <w:i/>
          <w:iCs/>
        </w:rPr>
        <w:t>xpress</w:t>
      </w:r>
      <w:r w:rsidR="0098239D" w:rsidRPr="00252146">
        <w:rPr>
          <w:i/>
          <w:iCs/>
        </w:rPr>
        <w:t xml:space="preserve"> </w:t>
      </w:r>
      <w:r w:rsidR="0098239D" w:rsidRPr="000F16AD">
        <w:rPr>
          <w:i/>
          <w:iCs/>
        </w:rPr>
        <w:t>gratitude</w:t>
      </w:r>
      <w:r w:rsidR="0098239D" w:rsidRPr="00CB3921">
        <w:t xml:space="preserve"> to the </w:t>
      </w:r>
      <w:r w:rsidR="0098239D">
        <w:t xml:space="preserve">United Nations </w:t>
      </w:r>
      <w:r w:rsidR="0098239D" w:rsidRPr="00CB3921">
        <w:t>Economic and Social Commission for Asia and the Pacific, the International Labour Organization and the United Nations Development Programme for providing in-kind, financial, administrative and substantive support</w:t>
      </w:r>
      <w:r w:rsidR="0098239D">
        <w:t>,</w:t>
      </w:r>
      <w:r w:rsidR="0098239D" w:rsidRPr="00CB3921">
        <w:t xml:space="preserve"> </w:t>
      </w:r>
      <w:r w:rsidR="0098239D">
        <w:t>which</w:t>
      </w:r>
      <w:r w:rsidR="0098239D" w:rsidRPr="00CB3921">
        <w:t xml:space="preserve"> contributed to the success of the regional workshop </w:t>
      </w:r>
      <w:r w:rsidR="0098239D">
        <w:t xml:space="preserve">for Asia and the Pacific </w:t>
      </w:r>
      <w:r w:rsidR="0098239D" w:rsidRPr="00CB3921">
        <w:t>on activity 3</w:t>
      </w:r>
      <w:r w:rsidR="0098239D">
        <w:rPr>
          <w:rStyle w:val="FootnoteReference"/>
        </w:rPr>
        <w:footnoteReference w:id="31"/>
      </w:r>
      <w:r w:rsidR="0098239D" w:rsidRPr="00CB3921">
        <w:t xml:space="preserve"> of the workplan held from 12 to 14 September 2023 in Bangkok;</w:t>
      </w:r>
      <w:r w:rsidR="0098239D">
        <w:rPr>
          <w:rStyle w:val="FootnoteReference"/>
        </w:rPr>
        <w:footnoteReference w:id="32"/>
      </w:r>
    </w:p>
    <w:p w14:paraId="6DF249B6" w14:textId="2CABF6C5" w:rsidR="0098239D" w:rsidRPr="00CB3921" w:rsidRDefault="00EA119B" w:rsidP="00EA119B">
      <w:pPr>
        <w:pStyle w:val="RegSingleTxtG"/>
        <w:tabs>
          <w:tab w:val="left" w:pos="1134"/>
        </w:tabs>
        <w:ind w:left="1134"/>
      </w:pPr>
      <w:r w:rsidRPr="00CB3921">
        <w:t>21.</w:t>
      </w:r>
      <w:r w:rsidRPr="00CB3921">
        <w:tab/>
      </w:r>
      <w:r w:rsidR="0098239D" w:rsidRPr="00CB3921">
        <w:rPr>
          <w:i/>
          <w:iCs/>
        </w:rPr>
        <w:t>Take note</w:t>
      </w:r>
      <w:r w:rsidR="0098239D" w:rsidRPr="00CB3921">
        <w:t xml:space="preserve"> of the estimated budgetary implications of the activities to be undertaken by the secretariat referred to in paragraphs </w:t>
      </w:r>
      <w:r w:rsidR="004B2E3B">
        <w:rPr>
          <w:cs/>
        </w:rPr>
        <w:t>‎</w:t>
      </w:r>
      <w:r w:rsidR="004B2E3B">
        <w:t>9</w:t>
      </w:r>
      <w:r w:rsidR="0098239D">
        <w:t xml:space="preserve">, </w:t>
      </w:r>
      <w:r w:rsidR="004B2E3B">
        <w:rPr>
          <w:cs/>
        </w:rPr>
        <w:t>‎</w:t>
      </w:r>
      <w:r w:rsidR="004B2E3B">
        <w:t>11</w:t>
      </w:r>
      <w:r w:rsidR="0098239D">
        <w:t xml:space="preserve">, </w:t>
      </w:r>
      <w:r w:rsidR="004B2E3B">
        <w:rPr>
          <w:cs/>
        </w:rPr>
        <w:t>‎</w:t>
      </w:r>
      <w:r w:rsidR="004B2E3B">
        <w:t>13</w:t>
      </w:r>
      <w:r w:rsidR="0098239D">
        <w:t xml:space="preserve">, </w:t>
      </w:r>
      <w:r w:rsidR="004B2E3B">
        <w:rPr>
          <w:cs/>
        </w:rPr>
        <w:t>‎</w:t>
      </w:r>
      <w:r w:rsidR="004B2E3B">
        <w:t>16</w:t>
      </w:r>
      <w:r w:rsidR="0098239D">
        <w:t xml:space="preserve"> and </w:t>
      </w:r>
      <w:r w:rsidR="004B2E3B">
        <w:rPr>
          <w:cs/>
        </w:rPr>
        <w:t>‎</w:t>
      </w:r>
      <w:r w:rsidR="004B2E3B">
        <w:t>17 above</w:t>
      </w:r>
      <w:r w:rsidR="0098239D" w:rsidRPr="00CB3921">
        <w:t>;</w:t>
      </w:r>
    </w:p>
    <w:p w14:paraId="0302AFFA" w14:textId="267D36CC" w:rsidR="0098239D" w:rsidRPr="00CB3921" w:rsidRDefault="00EA119B" w:rsidP="00EA119B">
      <w:pPr>
        <w:pStyle w:val="RegSingleTxtG"/>
        <w:tabs>
          <w:tab w:val="left" w:pos="1134"/>
        </w:tabs>
        <w:ind w:left="1134"/>
      </w:pPr>
      <w:r w:rsidRPr="00CB3921">
        <w:t>22.</w:t>
      </w:r>
      <w:r w:rsidRPr="00CB3921">
        <w:tab/>
      </w:r>
      <w:r w:rsidR="0098239D" w:rsidRPr="00CB3921">
        <w:rPr>
          <w:i/>
          <w:iCs/>
        </w:rPr>
        <w:t>Request</w:t>
      </w:r>
      <w:r w:rsidR="0098239D" w:rsidRPr="00CB3921">
        <w:t xml:space="preserve"> that the actions of the secretariat called for in this decision be undertaken subject to the availability of financial resources;</w:t>
      </w:r>
    </w:p>
    <w:p w14:paraId="1925A9D1" w14:textId="27E17FEE" w:rsidR="0098239D" w:rsidRPr="00CB3921" w:rsidRDefault="00EA119B" w:rsidP="00EA119B">
      <w:pPr>
        <w:pStyle w:val="RegHChG"/>
        <w:tabs>
          <w:tab w:val="left" w:pos="1135"/>
        </w:tabs>
        <w:ind w:left="1135" w:hanging="454"/>
      </w:pPr>
      <w:bookmarkStart w:id="40" w:name="_Toc161219955"/>
      <w:r w:rsidRPr="00CB3921">
        <w:t>I.</w:t>
      </w:r>
      <w:r w:rsidRPr="00CB3921">
        <w:tab/>
      </w:r>
      <w:r w:rsidR="0098239D" w:rsidRPr="00CB3921">
        <w:t>Activity 2 of the workplan</w:t>
      </w:r>
      <w:bookmarkEnd w:id="40"/>
    </w:p>
    <w:p w14:paraId="54F07FE8" w14:textId="2B60491C" w:rsidR="0098239D" w:rsidRPr="00CB3921" w:rsidRDefault="00EA119B" w:rsidP="00EA119B">
      <w:pPr>
        <w:pStyle w:val="RegSingleTxtG"/>
        <w:tabs>
          <w:tab w:val="left" w:pos="1134"/>
        </w:tabs>
        <w:ind w:left="1134"/>
      </w:pPr>
      <w:r w:rsidRPr="00CB3921">
        <w:t>23.</w:t>
      </w:r>
      <w:r w:rsidRPr="00CB3921">
        <w:tab/>
      </w:r>
      <w:r w:rsidR="0098239D" w:rsidRPr="00CB3921">
        <w:rPr>
          <w:i/>
          <w:iCs/>
        </w:rPr>
        <w:t>Encourage</w:t>
      </w:r>
      <w:r w:rsidR="0098239D" w:rsidRPr="00CB3921">
        <w:t xml:space="preserve"> Parties</w:t>
      </w:r>
      <w:r w:rsidR="0098239D">
        <w:t xml:space="preserve"> to</w:t>
      </w:r>
      <w:r w:rsidR="0098239D" w:rsidRPr="00CB3921">
        <w:t>:</w:t>
      </w:r>
    </w:p>
    <w:p w14:paraId="2967D4FA" w14:textId="790E0EF2" w:rsidR="0098239D" w:rsidRPr="00CB3921" w:rsidRDefault="00EA119B" w:rsidP="00EA119B">
      <w:pPr>
        <w:pStyle w:val="RegSingleTxtG2"/>
        <w:spacing w:before="120"/>
        <w:ind w:left="1134" w:firstLine="567"/>
      </w:pPr>
      <w:r w:rsidRPr="00CB3921">
        <w:t>(a)</w:t>
      </w:r>
      <w:r w:rsidRPr="00CB3921">
        <w:tab/>
      </w:r>
      <w:r w:rsidR="0098239D">
        <w:t>Consider, w</w:t>
      </w:r>
      <w:r w:rsidR="0098239D" w:rsidRPr="00CB3921">
        <w:t xml:space="preserve">hen designing their </w:t>
      </w:r>
      <w:r w:rsidR="0098239D">
        <w:t>nationally determined contributions</w:t>
      </w:r>
      <w:r w:rsidR="0098239D" w:rsidRPr="00CB3921">
        <w:t xml:space="preserve"> and </w:t>
      </w:r>
      <w:r w:rsidR="0098239D">
        <w:t>long-term low-emission development strategies</w:t>
      </w:r>
      <w:r w:rsidR="0098239D" w:rsidRPr="00CB3921">
        <w:t>, just transition plans or frameworks and design processes for just transition of the workforce and the creation of decent work and quality jobs, and to promote policy coherence and consider social dialogue, taking into account national circumstances and priorities;</w:t>
      </w:r>
    </w:p>
    <w:p w14:paraId="0F6251AA" w14:textId="0E47F1A5" w:rsidR="0098239D" w:rsidRPr="00CB3921" w:rsidRDefault="00EA119B" w:rsidP="00EA119B">
      <w:pPr>
        <w:pStyle w:val="RegSingleTxtG2"/>
        <w:spacing w:before="120"/>
        <w:ind w:left="1134" w:firstLine="567"/>
      </w:pPr>
      <w:r w:rsidRPr="00CB3921">
        <w:t>(b)</w:t>
      </w:r>
      <w:r w:rsidRPr="00CB3921">
        <w:tab/>
      </w:r>
      <w:r w:rsidR="0098239D" w:rsidRPr="00CB3921">
        <w:t xml:space="preserve">Promote capacity-building to, when designing </w:t>
      </w:r>
      <w:r w:rsidR="0098239D">
        <w:t>nationally determined contributions</w:t>
      </w:r>
      <w:r w:rsidR="0098239D" w:rsidRPr="00CB3921" w:rsidDel="00CB42A7">
        <w:t xml:space="preserve"> </w:t>
      </w:r>
      <w:r w:rsidR="0098239D" w:rsidRPr="00CB3921">
        <w:t xml:space="preserve">and </w:t>
      </w:r>
      <w:r w:rsidR="0098239D">
        <w:t>long-term low-emission development strategies</w:t>
      </w:r>
      <w:r w:rsidR="0098239D" w:rsidRPr="00CB3921">
        <w:t xml:space="preserve">, consider plans, guidelines or frameworks for just transition of the workforce and the creation of decent work and quality jobs in their </w:t>
      </w:r>
      <w:r w:rsidR="0098239D">
        <w:t>nationally determined contributions</w:t>
      </w:r>
      <w:r w:rsidR="0098239D" w:rsidRPr="00CB3921">
        <w:t xml:space="preserve"> and </w:t>
      </w:r>
      <w:r w:rsidR="0098239D">
        <w:t>long-term low-emission development strategies</w:t>
      </w:r>
      <w:r w:rsidR="0098239D" w:rsidRPr="00CB3921">
        <w:t>;</w:t>
      </w:r>
    </w:p>
    <w:p w14:paraId="49E3AE3D" w14:textId="490635BA" w:rsidR="0098239D" w:rsidRPr="00CB3921" w:rsidRDefault="00EA119B" w:rsidP="00EA119B">
      <w:pPr>
        <w:pStyle w:val="RegSingleTxtG2"/>
        <w:spacing w:before="120"/>
        <w:ind w:left="1134" w:firstLine="567"/>
      </w:pPr>
      <w:r w:rsidRPr="00CB3921">
        <w:t>(c)</w:t>
      </w:r>
      <w:r w:rsidRPr="00CB3921">
        <w:tab/>
      </w:r>
      <w:r w:rsidR="0098239D">
        <w:t>Adopt, as appropriate, i</w:t>
      </w:r>
      <w:r w:rsidR="0098239D" w:rsidRPr="00CB3921">
        <w:t>n their efforts to diversify their economies, any relevant policies in a manner that promotes sustainable development;</w:t>
      </w:r>
    </w:p>
    <w:p w14:paraId="3EA03EF0" w14:textId="062B5FC8" w:rsidR="0098239D" w:rsidRPr="00CB3921" w:rsidRDefault="00EA119B" w:rsidP="00EA119B">
      <w:pPr>
        <w:pStyle w:val="RegSingleTxtG"/>
        <w:tabs>
          <w:tab w:val="left" w:pos="1134"/>
        </w:tabs>
        <w:ind w:left="1134"/>
      </w:pPr>
      <w:r w:rsidRPr="00CB3921">
        <w:t>24.</w:t>
      </w:r>
      <w:r w:rsidRPr="00CB3921">
        <w:tab/>
      </w:r>
      <w:r w:rsidR="00E93FCC">
        <w:rPr>
          <w:i/>
          <w:iCs/>
        </w:rPr>
        <w:t>Also e</w:t>
      </w:r>
      <w:r w:rsidR="0098239D" w:rsidRPr="00CB3921">
        <w:rPr>
          <w:i/>
          <w:iCs/>
        </w:rPr>
        <w:t>ncourage</w:t>
      </w:r>
      <w:r w:rsidR="0098239D" w:rsidRPr="00CB3921">
        <w:t xml:space="preserve"> participation of non-Party stakeholders </w:t>
      </w:r>
      <w:r w:rsidR="00D17BDE">
        <w:t>in</w:t>
      </w:r>
      <w:r w:rsidR="0098239D" w:rsidRPr="00CB3921">
        <w:t xml:space="preserve"> consider</w:t>
      </w:r>
      <w:r w:rsidR="00D17BDE">
        <w:t>ing</w:t>
      </w:r>
      <w:r w:rsidR="0098239D" w:rsidRPr="00CB3921">
        <w:t xml:space="preserve"> or design</w:t>
      </w:r>
      <w:r w:rsidR="00D17BDE">
        <w:t>ing</w:t>
      </w:r>
      <w:r w:rsidR="0098239D" w:rsidRPr="00CB3921">
        <w:t xml:space="preserve"> just transition of the workforce and the creation of decent work and quality jobs in collaboration with Parties and relevant stakeholders;</w:t>
      </w:r>
    </w:p>
    <w:p w14:paraId="249B62CB" w14:textId="750CC696" w:rsidR="0098239D" w:rsidRPr="00CB3921" w:rsidRDefault="00EA119B" w:rsidP="00EA119B">
      <w:pPr>
        <w:pStyle w:val="RegSingleTxtG"/>
        <w:tabs>
          <w:tab w:val="left" w:pos="1134"/>
        </w:tabs>
        <w:ind w:left="1134"/>
      </w:pPr>
      <w:r w:rsidRPr="00CB3921">
        <w:t>25.</w:t>
      </w:r>
      <w:r w:rsidRPr="00CB3921">
        <w:tab/>
      </w:r>
      <w:r w:rsidR="0098239D" w:rsidRPr="00CB3921">
        <w:rPr>
          <w:i/>
          <w:iCs/>
        </w:rPr>
        <w:t>Request</w:t>
      </w:r>
      <w:r w:rsidR="0098239D" w:rsidRPr="00CB3921">
        <w:t xml:space="preserve"> the </w:t>
      </w:r>
      <w:r w:rsidR="0098239D">
        <w:t>Katowice Committee on Impacts</w:t>
      </w:r>
      <w:r w:rsidR="0098239D" w:rsidRPr="00CB3921">
        <w:t xml:space="preserve"> to enhance the understanding of Parties o</w:t>
      </w:r>
      <w:r w:rsidR="00011456">
        <w:t>f</w:t>
      </w:r>
      <w:r w:rsidR="0098239D" w:rsidRPr="00CB3921">
        <w:t xml:space="preserve"> policies for just transitions and their impacts on various sectors en route to achieving the goals of the Paris Agreement;</w:t>
      </w:r>
    </w:p>
    <w:p w14:paraId="7829C4E8" w14:textId="3B92F4DF" w:rsidR="0098239D" w:rsidRPr="00CB3921" w:rsidRDefault="00EA119B" w:rsidP="00EA119B">
      <w:pPr>
        <w:pStyle w:val="RegHChG"/>
        <w:tabs>
          <w:tab w:val="left" w:pos="1135"/>
        </w:tabs>
        <w:ind w:left="1135" w:hanging="454"/>
      </w:pPr>
      <w:bookmarkStart w:id="41" w:name="_Toc161219956"/>
      <w:r w:rsidRPr="00CB3921">
        <w:t>II.</w:t>
      </w:r>
      <w:r w:rsidRPr="00CB3921">
        <w:tab/>
      </w:r>
      <w:r w:rsidR="0098239D" w:rsidRPr="00CB3921">
        <w:t>Activity 8 of the workplan</w:t>
      </w:r>
      <w:bookmarkEnd w:id="41"/>
    </w:p>
    <w:p w14:paraId="7573FD33" w14:textId="5FFB0245" w:rsidR="0098239D" w:rsidRPr="00CB3921" w:rsidRDefault="00EA119B" w:rsidP="00EA119B">
      <w:pPr>
        <w:pStyle w:val="RegSingleTxtG"/>
        <w:tabs>
          <w:tab w:val="left" w:pos="1134"/>
        </w:tabs>
        <w:ind w:left="1134"/>
      </w:pPr>
      <w:r w:rsidRPr="00CB3921">
        <w:t>26.</w:t>
      </w:r>
      <w:r w:rsidRPr="00CB3921">
        <w:tab/>
      </w:r>
      <w:r w:rsidR="0098239D" w:rsidRPr="00CB3921">
        <w:rPr>
          <w:i/>
          <w:iCs/>
        </w:rPr>
        <w:t>Encourage</w:t>
      </w:r>
      <w:r w:rsidR="0098239D" w:rsidRPr="00CB3921">
        <w:t xml:space="preserve"> Parties to:</w:t>
      </w:r>
    </w:p>
    <w:p w14:paraId="7DC596B8" w14:textId="01276930" w:rsidR="0098239D" w:rsidRPr="00CB3921" w:rsidRDefault="00EA119B" w:rsidP="00EA119B">
      <w:pPr>
        <w:pStyle w:val="RegSingleTxtG2"/>
        <w:spacing w:before="120"/>
        <w:ind w:left="1134" w:firstLine="567"/>
      </w:pPr>
      <w:r w:rsidRPr="00CB3921">
        <w:t>(a)</w:t>
      </w:r>
      <w:r w:rsidRPr="00CB3921">
        <w:tab/>
      </w:r>
      <w:r w:rsidR="0098239D" w:rsidRPr="00CB3921">
        <w:t>Provide platforms for collaborative learning among non-Party stakeholders in order to promote economic and social co-benefits;</w:t>
      </w:r>
    </w:p>
    <w:p w14:paraId="2034012A" w14:textId="1FA7BDC1" w:rsidR="0098239D" w:rsidRPr="00CB3921" w:rsidRDefault="00EA119B" w:rsidP="00EA119B">
      <w:pPr>
        <w:pStyle w:val="RegSingleTxtG2"/>
        <w:spacing w:before="120"/>
        <w:ind w:left="1134" w:firstLine="567"/>
      </w:pPr>
      <w:r w:rsidRPr="00CB3921">
        <w:t>(b)</w:t>
      </w:r>
      <w:r w:rsidRPr="00CB3921">
        <w:tab/>
      </w:r>
      <w:r w:rsidR="0098239D" w:rsidRPr="00CB3921">
        <w:t>Identify and apply best practices for improving the effectiveness, efficiency and sustainability of non-Party stakeholder engagement;</w:t>
      </w:r>
    </w:p>
    <w:p w14:paraId="061D6687" w14:textId="32E53ED2" w:rsidR="0098239D" w:rsidRPr="00CB3921" w:rsidRDefault="00EA119B" w:rsidP="00EA119B">
      <w:pPr>
        <w:pStyle w:val="RegSingleTxtG"/>
        <w:tabs>
          <w:tab w:val="left" w:pos="1134"/>
        </w:tabs>
        <w:ind w:left="1134"/>
      </w:pPr>
      <w:r w:rsidRPr="00CB3921">
        <w:t>27.</w:t>
      </w:r>
      <w:r w:rsidRPr="00CB3921">
        <w:tab/>
      </w:r>
      <w:r w:rsidR="00D96B33">
        <w:rPr>
          <w:i/>
          <w:iCs/>
        </w:rPr>
        <w:t>Also e</w:t>
      </w:r>
      <w:r w:rsidR="0098239D" w:rsidRPr="00CB3921">
        <w:rPr>
          <w:i/>
          <w:iCs/>
        </w:rPr>
        <w:t>ncourage</w:t>
      </w:r>
      <w:r w:rsidR="0098239D" w:rsidRPr="00CB3921">
        <w:t xml:space="preserve"> Parties and non-Party stakeholders to:</w:t>
      </w:r>
    </w:p>
    <w:p w14:paraId="30F2FA59" w14:textId="6210A05F" w:rsidR="0098239D" w:rsidRPr="00CB3921" w:rsidRDefault="00EA119B" w:rsidP="00EA119B">
      <w:pPr>
        <w:pStyle w:val="RegSingleTxtG2"/>
        <w:spacing w:before="120"/>
        <w:ind w:left="1134" w:firstLine="567"/>
      </w:pPr>
      <w:r w:rsidRPr="00CB3921">
        <w:lastRenderedPageBreak/>
        <w:t>(a)</w:t>
      </w:r>
      <w:r w:rsidRPr="00CB3921">
        <w:tab/>
      </w:r>
      <w:r w:rsidR="0098239D" w:rsidRPr="00CB3921">
        <w:t xml:space="preserve">Promote public–private partnership approaches </w:t>
      </w:r>
      <w:r w:rsidR="002E40B8">
        <w:t>to</w:t>
      </w:r>
      <w:r w:rsidR="0098239D" w:rsidRPr="00CB3921">
        <w:t xml:space="preserve"> climate action to drive scalable and profitable solutions for sustainable development in line with the Paris Agreement temperature goal;</w:t>
      </w:r>
      <w:r w:rsidR="0098239D" w:rsidRPr="00CB3921">
        <w:rPr>
          <w:rStyle w:val="FootnoteReference"/>
        </w:rPr>
        <w:footnoteReference w:id="33"/>
      </w:r>
    </w:p>
    <w:p w14:paraId="747AEFBC" w14:textId="4CE75765" w:rsidR="0098239D" w:rsidRPr="00CB3921" w:rsidRDefault="00EA119B" w:rsidP="00EA119B">
      <w:pPr>
        <w:pStyle w:val="RegSingleTxtG2"/>
        <w:spacing w:before="120"/>
        <w:ind w:left="1134" w:firstLine="567"/>
      </w:pPr>
      <w:r w:rsidRPr="00CB3921">
        <w:t>(b)</w:t>
      </w:r>
      <w:r w:rsidRPr="00CB3921">
        <w:tab/>
      </w:r>
      <w:r w:rsidR="0098239D" w:rsidRPr="00CB3921">
        <w:t>Enhance the capacity of their workforces in emerging industries, including through education and workforce training and skilling for jobs in low-emission sectors;</w:t>
      </w:r>
    </w:p>
    <w:p w14:paraId="2B4C0379" w14:textId="6A9E2A2B" w:rsidR="0098239D" w:rsidRPr="00CB3921" w:rsidRDefault="00EA119B" w:rsidP="00EA119B">
      <w:pPr>
        <w:pStyle w:val="RegHChG"/>
        <w:tabs>
          <w:tab w:val="left" w:pos="1135"/>
        </w:tabs>
        <w:ind w:left="1135" w:hanging="454"/>
      </w:pPr>
      <w:bookmarkStart w:id="42" w:name="_Toc161219957"/>
      <w:r w:rsidRPr="00CB3921">
        <w:t>III.</w:t>
      </w:r>
      <w:r w:rsidRPr="00CB3921">
        <w:tab/>
      </w:r>
      <w:r w:rsidR="0098239D" w:rsidRPr="00CB3921">
        <w:t>Activity 9 of the workplan</w:t>
      </w:r>
      <w:bookmarkEnd w:id="42"/>
    </w:p>
    <w:p w14:paraId="1E2DFC52" w14:textId="1C28F726" w:rsidR="0098239D" w:rsidRPr="00CB3921" w:rsidRDefault="00EA119B" w:rsidP="00EA119B">
      <w:pPr>
        <w:pStyle w:val="RegSingleTxtG"/>
        <w:tabs>
          <w:tab w:val="left" w:pos="1134"/>
        </w:tabs>
        <w:ind w:left="1134"/>
      </w:pPr>
      <w:r w:rsidRPr="00CB3921">
        <w:t>28.</w:t>
      </w:r>
      <w:r w:rsidRPr="00CB3921">
        <w:tab/>
      </w:r>
      <w:r w:rsidR="0098239D" w:rsidRPr="00CB3921">
        <w:rPr>
          <w:i/>
          <w:iCs/>
        </w:rPr>
        <w:t>Encourage</w:t>
      </w:r>
      <w:r w:rsidR="0098239D" w:rsidRPr="00CB3921">
        <w:t xml:space="preserve"> Parties to engage stakeholders, including at the national level, throughout the design and execution of climate policies in order to better understand the impacts of response measures on people in vulnerable situations;</w:t>
      </w:r>
    </w:p>
    <w:p w14:paraId="65359494" w14:textId="7B3E329F" w:rsidR="0098239D" w:rsidRDefault="00EA119B" w:rsidP="00EA119B">
      <w:pPr>
        <w:pStyle w:val="RegSingleTxtG"/>
        <w:tabs>
          <w:tab w:val="left" w:pos="1134"/>
        </w:tabs>
        <w:ind w:left="1134"/>
      </w:pPr>
      <w:r>
        <w:t>29.</w:t>
      </w:r>
      <w:r>
        <w:tab/>
      </w:r>
      <w:r w:rsidR="0098239D" w:rsidRPr="00CB3921">
        <w:rPr>
          <w:i/>
          <w:iCs/>
        </w:rPr>
        <w:t>Request</w:t>
      </w:r>
      <w:r w:rsidR="0098239D" w:rsidRPr="00CB3921">
        <w:t xml:space="preserve"> the Katowice Committee on Impacts to undertake further research on measuring the potential and actual impacts of response measures on people in vulnerable situations and </w:t>
      </w:r>
      <w:r w:rsidR="0098239D" w:rsidRPr="00A352FF">
        <w:rPr>
          <w:i/>
        </w:rPr>
        <w:t>encourage</w:t>
      </w:r>
      <w:r w:rsidR="0098239D" w:rsidRPr="00CB3921">
        <w:t xml:space="preserve"> Parties to consider the results of such research, as appropriate, in the design of response measures and policies to minimize the negative </w:t>
      </w:r>
      <w:r w:rsidR="00C662FC">
        <w:t xml:space="preserve">impacts </w:t>
      </w:r>
      <w:r w:rsidR="0098239D" w:rsidRPr="00CB3921">
        <w:t>and maximize the positive impacts of response measures on people in vulnerable situations;</w:t>
      </w:r>
    </w:p>
    <w:p w14:paraId="5391D3D9" w14:textId="557B6E2A" w:rsidR="0098239D" w:rsidRPr="00CB3921" w:rsidRDefault="00EA119B" w:rsidP="00EA119B">
      <w:pPr>
        <w:pStyle w:val="RegSingleTxtG"/>
        <w:tabs>
          <w:tab w:val="left" w:pos="1134"/>
        </w:tabs>
        <w:ind w:left="1134"/>
      </w:pPr>
      <w:r w:rsidRPr="00CB3921">
        <w:t>30.</w:t>
      </w:r>
      <w:r w:rsidRPr="00CB3921">
        <w:tab/>
      </w:r>
      <w:r w:rsidR="0098239D">
        <w:rPr>
          <w:i/>
          <w:iCs/>
        </w:rPr>
        <w:t>Also e</w:t>
      </w:r>
      <w:r w:rsidR="0098239D" w:rsidRPr="00420E05">
        <w:rPr>
          <w:i/>
          <w:iCs/>
        </w:rPr>
        <w:t>ncourage</w:t>
      </w:r>
      <w:r w:rsidR="0098239D" w:rsidRPr="00420E05">
        <w:t xml:space="preserve"> Parties and non-Party stakeholders, through climate action, to promote decent work and quality jobs, paying attention to people in vulnerable situations, in the context of sustainable development and eradication of poverty, taking into account national circumstances</w:t>
      </w:r>
      <w:r w:rsidR="0098239D">
        <w:t>.</w:t>
      </w:r>
    </w:p>
    <w:p w14:paraId="1C78FCC2" w14:textId="77777777" w:rsidR="0098239D" w:rsidRPr="00CB3921" w:rsidRDefault="0098239D" w:rsidP="0098239D">
      <w:pPr>
        <w:pStyle w:val="RegSingleTxtG"/>
        <w:ind w:left="1134"/>
      </w:pPr>
    </w:p>
    <w:p w14:paraId="6885588B" w14:textId="77777777" w:rsidR="0098239D" w:rsidRDefault="0098239D" w:rsidP="0098239D">
      <w:pPr>
        <w:pStyle w:val="HChG"/>
        <w:spacing w:before="0"/>
        <w:sectPr w:rsidR="0098239D" w:rsidSect="00AB0CD8">
          <w:headerReference w:type="even" r:id="rId33"/>
          <w:headerReference w:type="default" r:id="rId34"/>
          <w:footerReference w:type="even" r:id="rId35"/>
          <w:footerReference w:type="default" r:id="rId36"/>
          <w:headerReference w:type="first" r:id="rId37"/>
          <w:footnotePr>
            <w:numRestart w:val="eachSect"/>
          </w:footnotePr>
          <w:pgSz w:w="11906" w:h="16838" w:code="9"/>
          <w:pgMar w:top="1417" w:right="1134" w:bottom="1134" w:left="1134" w:header="850" w:footer="567" w:gutter="0"/>
          <w:cols w:space="708"/>
          <w:docGrid w:linePitch="360"/>
        </w:sectPr>
      </w:pPr>
    </w:p>
    <w:p w14:paraId="5EA2C3EE" w14:textId="77777777" w:rsidR="0098239D" w:rsidRPr="000E09FC" w:rsidRDefault="0098239D" w:rsidP="00EA119B">
      <w:pPr>
        <w:pStyle w:val="RegHChG"/>
        <w:ind w:hanging="454"/>
      </w:pPr>
      <w:bookmarkStart w:id="43" w:name="_Toc161219958"/>
      <w:r w:rsidRPr="000E09FC">
        <w:lastRenderedPageBreak/>
        <w:t>Annex I</w:t>
      </w:r>
      <w:bookmarkEnd w:id="43"/>
    </w:p>
    <w:p w14:paraId="25436FD5" w14:textId="77777777" w:rsidR="0098239D" w:rsidRPr="00CB3921" w:rsidRDefault="0098239D" w:rsidP="0098239D">
      <w:pPr>
        <w:pStyle w:val="HChG"/>
        <w:tabs>
          <w:tab w:val="clear" w:pos="851"/>
        </w:tabs>
        <w:ind w:firstLine="0"/>
      </w:pPr>
      <w:r>
        <w:t>F</w:t>
      </w:r>
      <w:r w:rsidRPr="00CB3921">
        <w:t>unctions</w:t>
      </w:r>
      <w:r>
        <w:t>, work programme and modalities</w:t>
      </w:r>
      <w:r w:rsidRPr="00CB3921">
        <w:t xml:space="preserve"> of the forum on the impact of the implementation of response measures and its </w:t>
      </w:r>
      <w:r w:rsidRPr="00376B64">
        <w:t xml:space="preserve">Katowice Committee of Experts on the Impacts of the Implementation of Response Measures </w:t>
      </w:r>
      <w:r>
        <w:t xml:space="preserve">under </w:t>
      </w:r>
      <w:r w:rsidRPr="00156913">
        <w:t>the Convention, the Kyoto Protocol and the Paris Agreement</w:t>
      </w:r>
    </w:p>
    <w:p w14:paraId="27260736" w14:textId="4C271721" w:rsidR="0098239D" w:rsidRPr="00CB3921" w:rsidRDefault="00EA119B" w:rsidP="00EA119B">
      <w:pPr>
        <w:pStyle w:val="RegHChG"/>
        <w:ind w:left="1134" w:hanging="454"/>
      </w:pPr>
      <w:bookmarkStart w:id="44" w:name="_Toc161219959"/>
      <w:r w:rsidRPr="00CB3921">
        <w:t>I.</w:t>
      </w:r>
      <w:r w:rsidRPr="00CB3921">
        <w:tab/>
      </w:r>
      <w:r w:rsidR="0098239D" w:rsidRPr="00CB3921">
        <w:t>Functions</w:t>
      </w:r>
      <w:bookmarkEnd w:id="44"/>
    </w:p>
    <w:p w14:paraId="78EF6B5F" w14:textId="40104B57" w:rsidR="0098239D" w:rsidRPr="00CB3921" w:rsidRDefault="00EA119B" w:rsidP="00EA119B">
      <w:pPr>
        <w:pStyle w:val="RegSingleTxtG"/>
        <w:ind w:left="1134"/>
      </w:pPr>
      <w:r w:rsidRPr="00CB3921">
        <w:t>1.</w:t>
      </w:r>
      <w:r w:rsidRPr="00CB3921">
        <w:tab/>
      </w:r>
      <w:r w:rsidR="0098239D" w:rsidRPr="00175738">
        <w:t xml:space="preserve">The forum on the impact of the implementation of response measures and its </w:t>
      </w:r>
      <w:r w:rsidR="0098239D" w:rsidRPr="00376B64">
        <w:t xml:space="preserve">Katowice Committee of Experts on the Impacts of the Implementation of Response Measures </w:t>
      </w:r>
      <w:r w:rsidR="0098239D">
        <w:t xml:space="preserve">(KCI) </w:t>
      </w:r>
      <w:r w:rsidR="0098239D" w:rsidRPr="00175738">
        <w:t>shall have the following functions</w:t>
      </w:r>
      <w:r w:rsidR="0098239D" w:rsidRPr="00CB3921">
        <w:t>:</w:t>
      </w:r>
    </w:p>
    <w:p w14:paraId="13F703AA" w14:textId="3D3F7A79" w:rsidR="0098239D" w:rsidRDefault="00EA119B" w:rsidP="00EA119B">
      <w:pPr>
        <w:pStyle w:val="RegSingleTxtG2"/>
        <w:tabs>
          <w:tab w:val="left" w:pos="1702"/>
        </w:tabs>
        <w:spacing w:before="120"/>
        <w:ind w:left="1134" w:firstLine="567"/>
      </w:pPr>
      <w:bookmarkStart w:id="45" w:name="_Ref155781007"/>
      <w:r>
        <w:rPr>
          <w:szCs w:val="28"/>
        </w:rPr>
        <w:t>(a)</w:t>
      </w:r>
      <w:r>
        <w:rPr>
          <w:szCs w:val="28"/>
        </w:rPr>
        <w:tab/>
      </w:r>
      <w:r w:rsidR="0098239D">
        <w:t>Provide a platform allowing Parties to share, in an interactive manner, information, experience, case studies, best practices and views, and to facilitate assessment and analysis of the impact</w:t>
      </w:r>
      <w:r w:rsidR="00EE0EC5">
        <w:t>s</w:t>
      </w:r>
      <w:r w:rsidR="0098239D">
        <w:t xml:space="preserve"> of the implementation of response measures, including the use and development of modelling tools and methodologies, with a view to recommending specific actions;</w:t>
      </w:r>
      <w:bookmarkEnd w:id="45"/>
      <w:r w:rsidR="0098239D">
        <w:t xml:space="preserve"> </w:t>
      </w:r>
    </w:p>
    <w:p w14:paraId="065456D2" w14:textId="05F258A6" w:rsidR="0098239D" w:rsidRDefault="00EA119B" w:rsidP="00EA119B">
      <w:pPr>
        <w:pStyle w:val="RegSingleTxtG2"/>
        <w:tabs>
          <w:tab w:val="left" w:pos="1702"/>
        </w:tabs>
        <w:spacing w:before="120"/>
        <w:ind w:left="1134" w:firstLine="567"/>
      </w:pPr>
      <w:r>
        <w:rPr>
          <w:szCs w:val="28"/>
        </w:rPr>
        <w:t>(b)</w:t>
      </w:r>
      <w:r>
        <w:rPr>
          <w:szCs w:val="28"/>
        </w:rPr>
        <w:tab/>
      </w:r>
      <w:r w:rsidR="0098239D">
        <w:t xml:space="preserve">Provide recommendations to the subsidiary bodies on the actions referred to in paragraph 1(a) above for their consideration with a view to the subsidiary bodies recommending those actions, as appropriate, to the Conference of the Parties, the Conference of the Parties serving as the meeting of the Parties to the Kyoto Protocol and the Conference of the Parties serving as the meeting of the Parties to the Paris Agreement; </w:t>
      </w:r>
    </w:p>
    <w:p w14:paraId="6C936365" w14:textId="672B5F42" w:rsidR="0098239D" w:rsidRDefault="00EA119B" w:rsidP="00EA119B">
      <w:pPr>
        <w:pStyle w:val="RegSingleTxtG2"/>
        <w:tabs>
          <w:tab w:val="left" w:pos="1702"/>
        </w:tabs>
        <w:spacing w:before="120"/>
        <w:ind w:left="1134" w:firstLine="567"/>
      </w:pPr>
      <w:r>
        <w:rPr>
          <w:szCs w:val="28"/>
        </w:rPr>
        <w:t>(c)</w:t>
      </w:r>
      <w:r>
        <w:rPr>
          <w:szCs w:val="28"/>
        </w:rPr>
        <w:tab/>
      </w:r>
      <w:r w:rsidR="0098239D">
        <w:t xml:space="preserve">Enhance the capacity of Parties, in particular developing country Parties, to deal with </w:t>
      </w:r>
      <w:r w:rsidR="00B5564B">
        <w:t xml:space="preserve">the </w:t>
      </w:r>
      <w:r w:rsidR="0098239D">
        <w:t xml:space="preserve">impacts of the implementation of response measures through the modalities </w:t>
      </w:r>
      <w:r w:rsidR="004F49D1">
        <w:t>referr</w:t>
      </w:r>
      <w:r w:rsidR="0098239D">
        <w:t xml:space="preserve">ed </w:t>
      </w:r>
      <w:r w:rsidR="004F49D1">
        <w:t>to</w:t>
      </w:r>
      <w:r w:rsidR="0098239D">
        <w:t xml:space="preserve"> in paragraph </w:t>
      </w:r>
      <w:r w:rsidR="00A51411">
        <w:t>6(b) below</w:t>
      </w:r>
      <w:r w:rsidR="0098239D">
        <w:t>;</w:t>
      </w:r>
    </w:p>
    <w:p w14:paraId="6D5900DD" w14:textId="4D62ED03" w:rsidR="0098239D" w:rsidRDefault="00EA119B" w:rsidP="00EA119B">
      <w:pPr>
        <w:pStyle w:val="RegSingleTxtG2"/>
        <w:tabs>
          <w:tab w:val="left" w:pos="1702"/>
        </w:tabs>
        <w:spacing w:before="120"/>
        <w:ind w:left="1134" w:firstLine="567"/>
      </w:pPr>
      <w:r>
        <w:rPr>
          <w:szCs w:val="28"/>
        </w:rPr>
        <w:t>(d)</w:t>
      </w:r>
      <w:r>
        <w:rPr>
          <w:szCs w:val="28"/>
        </w:rPr>
        <w:tab/>
      </w:r>
      <w:r w:rsidR="0098239D">
        <w:t>Address the effects of the implementation of response measures under the Convention, the Kyoto Protocol and the Paris Agreement by enhancing cooperation among Parties, stakeholders, external organizations, experts and institutions, by enhancing the capacity and the understanding of Parties of the impacts of mitigation actions and by enabling the exchange of information, experience and best practices among Parties to raise their resilience to these impacts;</w:t>
      </w:r>
    </w:p>
    <w:p w14:paraId="0A832323" w14:textId="57E027C7" w:rsidR="0098239D" w:rsidRDefault="00EA119B" w:rsidP="00EA119B">
      <w:pPr>
        <w:pStyle w:val="RegSingleTxtG2"/>
        <w:tabs>
          <w:tab w:val="left" w:pos="1702"/>
        </w:tabs>
        <w:spacing w:before="120"/>
        <w:ind w:left="1134" w:firstLine="567"/>
      </w:pPr>
      <w:r>
        <w:rPr>
          <w:szCs w:val="28"/>
        </w:rPr>
        <w:t>(e)</w:t>
      </w:r>
      <w:r>
        <w:rPr>
          <w:szCs w:val="28"/>
        </w:rPr>
        <w:tab/>
      </w:r>
      <w:r w:rsidR="0098239D">
        <w:t>Respond to and take into consideration the relevant outcomes of different processes under the Convention, the Kyoto Protocol and the Paris Agreement</w:t>
      </w:r>
      <w:r w:rsidR="00344174">
        <w:t>;</w:t>
      </w:r>
      <w:r w:rsidR="0098239D">
        <w:t xml:space="preserve"> </w:t>
      </w:r>
    </w:p>
    <w:p w14:paraId="63E7AB23" w14:textId="05242D07" w:rsidR="0098239D" w:rsidRDefault="00EA119B" w:rsidP="00EA119B">
      <w:pPr>
        <w:pStyle w:val="RegSingleTxtG2"/>
        <w:tabs>
          <w:tab w:val="left" w:pos="1702"/>
        </w:tabs>
        <w:spacing w:before="120"/>
        <w:ind w:left="1134" w:firstLine="567"/>
      </w:pPr>
      <w:r>
        <w:rPr>
          <w:szCs w:val="28"/>
        </w:rPr>
        <w:t>(f)</w:t>
      </w:r>
      <w:r>
        <w:rPr>
          <w:szCs w:val="28"/>
        </w:rPr>
        <w:tab/>
      </w:r>
      <w:r w:rsidR="0098239D">
        <w:t>Promote action to minimize the adverse impacts and maximize the positive impacts of the implementation of response measures</w:t>
      </w:r>
      <w:r w:rsidR="00344174">
        <w:t>;</w:t>
      </w:r>
      <w:r w:rsidR="0098239D">
        <w:t xml:space="preserve"> </w:t>
      </w:r>
    </w:p>
    <w:p w14:paraId="499D4B1C" w14:textId="0C932CA3" w:rsidR="0098239D" w:rsidRDefault="00EA119B" w:rsidP="00EA119B">
      <w:pPr>
        <w:pStyle w:val="RegSingleTxtG2"/>
        <w:tabs>
          <w:tab w:val="left" w:pos="1702"/>
        </w:tabs>
        <w:spacing w:before="120"/>
        <w:ind w:left="1134" w:firstLine="567"/>
      </w:pPr>
      <w:r>
        <w:rPr>
          <w:szCs w:val="28"/>
        </w:rPr>
        <w:t>(g)</w:t>
      </w:r>
      <w:r>
        <w:rPr>
          <w:szCs w:val="28"/>
        </w:rPr>
        <w:tab/>
      </w:r>
      <w:r w:rsidR="0098239D">
        <w:t>Prepare information for the technical assessment component of the global stocktake related to the impacts of the implementation of response measures</w:t>
      </w:r>
      <w:r w:rsidR="00B3473E" w:rsidRPr="00F41090">
        <w:footnoteReference w:id="34"/>
      </w:r>
      <w:r w:rsidR="0098239D">
        <w:t xml:space="preserve"> in line with the process outlined in decision 23/CMA.3</w:t>
      </w:r>
      <w:r w:rsidR="00606401">
        <w:t>,</w:t>
      </w:r>
      <w:r w:rsidR="0098239D">
        <w:t xml:space="preserve"> paragraphs 11</w:t>
      </w:r>
      <w:r w:rsidR="00606401">
        <w:t>–</w:t>
      </w:r>
      <w:r w:rsidR="0098239D">
        <w:t>12</w:t>
      </w:r>
      <w:r w:rsidR="00344174">
        <w:t>;</w:t>
      </w:r>
    </w:p>
    <w:p w14:paraId="32575281" w14:textId="77DA4B99" w:rsidR="0098239D" w:rsidRDefault="00EA119B" w:rsidP="00EA119B">
      <w:pPr>
        <w:pStyle w:val="RegSingleTxtG2"/>
        <w:tabs>
          <w:tab w:val="left" w:pos="1702"/>
        </w:tabs>
        <w:spacing w:before="120"/>
        <w:ind w:left="1134" w:firstLine="567"/>
      </w:pPr>
      <w:r>
        <w:rPr>
          <w:szCs w:val="28"/>
        </w:rPr>
        <w:t>(h)</w:t>
      </w:r>
      <w:r>
        <w:rPr>
          <w:szCs w:val="28"/>
        </w:rPr>
        <w:tab/>
      </w:r>
      <w:r w:rsidR="0098239D">
        <w:t>Regularly update the existing database of tools and methodologies suitable for assessing the impacts of the implementation of response measures, as needed and as appropriate</w:t>
      </w:r>
      <w:r w:rsidR="00344174">
        <w:t>;</w:t>
      </w:r>
    </w:p>
    <w:p w14:paraId="5B04F6D4" w14:textId="13BDEA82" w:rsidR="0098239D" w:rsidRPr="00627579" w:rsidRDefault="00EA119B" w:rsidP="00EA119B">
      <w:pPr>
        <w:pStyle w:val="RegSingleTxtG2"/>
        <w:tabs>
          <w:tab w:val="left" w:pos="1702"/>
        </w:tabs>
        <w:spacing w:before="120"/>
        <w:ind w:left="1134" w:firstLine="567"/>
      </w:pPr>
      <w:r w:rsidRPr="00627579">
        <w:rPr>
          <w:szCs w:val="28"/>
        </w:rPr>
        <w:t>(i)</w:t>
      </w:r>
      <w:r w:rsidRPr="00627579">
        <w:rPr>
          <w:szCs w:val="28"/>
        </w:rPr>
        <w:tab/>
      </w:r>
      <w:r w:rsidR="0098239D">
        <w:t xml:space="preserve">Share experience and best practices in providing detailed information, to the extent possible, on the assessment of economic and social impacts of response measures as provided </w:t>
      </w:r>
      <w:r w:rsidR="002242C6">
        <w:t xml:space="preserve">for </w:t>
      </w:r>
      <w:r w:rsidR="0098239D">
        <w:t xml:space="preserve">in </w:t>
      </w:r>
      <w:r w:rsidR="005806D8">
        <w:t xml:space="preserve">decision </w:t>
      </w:r>
      <w:r w:rsidR="0098239D">
        <w:t>18/CMA.1</w:t>
      </w:r>
      <w:r w:rsidR="005806D8">
        <w:t>, annex,</w:t>
      </w:r>
      <w:r w:rsidR="0098239D">
        <w:t xml:space="preserve"> paragraph 90.</w:t>
      </w:r>
    </w:p>
    <w:p w14:paraId="687E064B" w14:textId="6A710BBF" w:rsidR="0098239D" w:rsidRPr="00CB3921" w:rsidRDefault="00EA119B" w:rsidP="00EA119B">
      <w:pPr>
        <w:pStyle w:val="RegHChG"/>
        <w:ind w:left="1134" w:hanging="454"/>
      </w:pPr>
      <w:bookmarkStart w:id="46" w:name="_Toc161219960"/>
      <w:r w:rsidRPr="00CB3921">
        <w:lastRenderedPageBreak/>
        <w:t>II.</w:t>
      </w:r>
      <w:r w:rsidRPr="00CB3921">
        <w:tab/>
      </w:r>
      <w:r w:rsidR="0098239D" w:rsidRPr="00CB3921">
        <w:t>Work programme</w:t>
      </w:r>
      <w:bookmarkEnd w:id="46"/>
    </w:p>
    <w:p w14:paraId="45C45EEF" w14:textId="4C9E27FE" w:rsidR="0098239D" w:rsidRPr="00CB3921" w:rsidRDefault="00EA119B" w:rsidP="00EA119B">
      <w:pPr>
        <w:pStyle w:val="RegSingleTxtG"/>
        <w:ind w:left="1134"/>
      </w:pPr>
      <w:r w:rsidRPr="00CB3921">
        <w:t>2.</w:t>
      </w:r>
      <w:r w:rsidRPr="00CB3921">
        <w:tab/>
      </w:r>
      <w:r w:rsidR="0098239D" w:rsidRPr="00AE1C92">
        <w:t>The work programme comprises the following areas of work in order to address the concerns of all Parties, particularly developing country Parties</w:t>
      </w:r>
      <w:r w:rsidR="0098239D" w:rsidRPr="00CB3921">
        <w:t>:</w:t>
      </w:r>
    </w:p>
    <w:p w14:paraId="197AE20D" w14:textId="032F6764" w:rsidR="0098239D" w:rsidRDefault="00EA119B" w:rsidP="00EA119B">
      <w:pPr>
        <w:pStyle w:val="RegSingleTxtG2"/>
        <w:tabs>
          <w:tab w:val="left" w:pos="1702"/>
        </w:tabs>
        <w:spacing w:before="120"/>
        <w:ind w:left="1134" w:firstLine="567"/>
      </w:pPr>
      <w:r>
        <w:rPr>
          <w:szCs w:val="28"/>
        </w:rPr>
        <w:t>(a)</w:t>
      </w:r>
      <w:r>
        <w:rPr>
          <w:szCs w:val="28"/>
        </w:rPr>
        <w:tab/>
      </w:r>
      <w:r w:rsidR="0098239D">
        <w:t xml:space="preserve">Economic diversification and transformation; </w:t>
      </w:r>
    </w:p>
    <w:p w14:paraId="1A3EBD6E" w14:textId="6F008D08" w:rsidR="0098239D" w:rsidRDefault="00EA119B" w:rsidP="00EA119B">
      <w:pPr>
        <w:pStyle w:val="RegSingleTxtG2"/>
        <w:tabs>
          <w:tab w:val="left" w:pos="1702"/>
        </w:tabs>
        <w:spacing w:before="120"/>
        <w:ind w:left="1134" w:firstLine="567"/>
      </w:pPr>
      <w:r>
        <w:rPr>
          <w:szCs w:val="28"/>
        </w:rPr>
        <w:t>(b)</w:t>
      </w:r>
      <w:r>
        <w:rPr>
          <w:szCs w:val="28"/>
        </w:rPr>
        <w:tab/>
      </w:r>
      <w:r w:rsidR="0098239D">
        <w:t xml:space="preserve">Just transition of the workforce and the creation of decent work and quality jobs; </w:t>
      </w:r>
    </w:p>
    <w:p w14:paraId="73F5DAFB" w14:textId="4067F3CB" w:rsidR="0098239D" w:rsidRDefault="00EA119B" w:rsidP="00EA119B">
      <w:pPr>
        <w:pStyle w:val="RegSingleTxtG2"/>
        <w:tabs>
          <w:tab w:val="left" w:pos="1702"/>
        </w:tabs>
        <w:spacing w:before="120"/>
        <w:ind w:left="1134" w:firstLine="567"/>
      </w:pPr>
      <w:r>
        <w:rPr>
          <w:szCs w:val="28"/>
        </w:rPr>
        <w:t>(c)</w:t>
      </w:r>
      <w:r>
        <w:rPr>
          <w:szCs w:val="28"/>
        </w:rPr>
        <w:tab/>
      </w:r>
      <w:r w:rsidR="0098239D">
        <w:t xml:space="preserve">Assessing and analysing the impacts of the implementation of response measures; </w:t>
      </w:r>
    </w:p>
    <w:p w14:paraId="39DECDF7" w14:textId="1CE2B5DF" w:rsidR="0098239D" w:rsidRPr="00CB3921" w:rsidRDefault="00EA119B" w:rsidP="00EA119B">
      <w:pPr>
        <w:pStyle w:val="RegSingleTxtG2"/>
        <w:tabs>
          <w:tab w:val="left" w:pos="1702"/>
        </w:tabs>
        <w:spacing w:before="120"/>
        <w:ind w:left="1134" w:firstLine="567"/>
      </w:pPr>
      <w:r w:rsidRPr="00CB3921">
        <w:rPr>
          <w:szCs w:val="28"/>
        </w:rPr>
        <w:t>(d)</w:t>
      </w:r>
      <w:r w:rsidRPr="00CB3921">
        <w:rPr>
          <w:szCs w:val="28"/>
        </w:rPr>
        <w:tab/>
      </w:r>
      <w:r w:rsidR="0098239D">
        <w:t>Facilitating and building capacity on the identification, development, customization and use of tools and methodologies to assess the impacts of the implementation of response measures.</w:t>
      </w:r>
    </w:p>
    <w:p w14:paraId="33903D18" w14:textId="6A20DE18" w:rsidR="0098239D" w:rsidRPr="00CB3921" w:rsidRDefault="00EA119B" w:rsidP="00EA119B">
      <w:pPr>
        <w:pStyle w:val="RegHChG"/>
        <w:ind w:left="1134" w:hanging="454"/>
      </w:pPr>
      <w:bookmarkStart w:id="47" w:name="_Toc161219961"/>
      <w:r w:rsidRPr="00CB3921">
        <w:t>III.</w:t>
      </w:r>
      <w:r w:rsidRPr="00CB3921">
        <w:tab/>
      </w:r>
      <w:r w:rsidR="0098239D" w:rsidRPr="00CB3921">
        <w:t>Modalities</w:t>
      </w:r>
      <w:bookmarkEnd w:id="47"/>
    </w:p>
    <w:p w14:paraId="3F849CAF" w14:textId="481F0C1F" w:rsidR="0098239D" w:rsidRDefault="00EA119B" w:rsidP="00EA119B">
      <w:pPr>
        <w:pStyle w:val="RegSingleTxtG"/>
        <w:ind w:left="1134"/>
      </w:pPr>
      <w:r>
        <w:t>3.</w:t>
      </w:r>
      <w:r>
        <w:tab/>
      </w:r>
      <w:r w:rsidR="0098239D">
        <w:t xml:space="preserve">The forum shall meet twice a year in conjunction with the sessions of the subsidiary bodies and will be convened under a joint agenda item of the subsidiary bodies and operate in accordance with the procedures applicable to contact groups. </w:t>
      </w:r>
    </w:p>
    <w:p w14:paraId="5D7BACAE" w14:textId="58838200" w:rsidR="0098239D" w:rsidRPr="00CB3921" w:rsidRDefault="00EA119B" w:rsidP="00EA119B">
      <w:pPr>
        <w:pStyle w:val="RegSingleTxtG"/>
        <w:ind w:left="1134"/>
      </w:pPr>
      <w:r w:rsidRPr="00CB3921">
        <w:t>4.</w:t>
      </w:r>
      <w:r w:rsidRPr="00CB3921">
        <w:tab/>
      </w:r>
      <w:r w:rsidR="0098239D">
        <w:t>The KCI shall support the work of the forum</w:t>
      </w:r>
      <w:r w:rsidR="0098239D">
        <w:rPr>
          <w:rFonts w:asciiTheme="majorBidi" w:hAnsiTheme="majorBidi" w:cstheme="majorBidi"/>
        </w:rPr>
        <w:t>.</w:t>
      </w:r>
    </w:p>
    <w:p w14:paraId="6C9C7782" w14:textId="2BBEF9D7" w:rsidR="0098239D" w:rsidRPr="00CB3921" w:rsidRDefault="00EA119B" w:rsidP="00EA119B">
      <w:pPr>
        <w:pStyle w:val="RegSingleTxtG"/>
        <w:ind w:left="1134"/>
      </w:pPr>
      <w:r w:rsidRPr="00CB3921">
        <w:t>5.</w:t>
      </w:r>
      <w:r w:rsidRPr="00CB3921">
        <w:tab/>
      </w:r>
      <w:r w:rsidR="0098239D" w:rsidRPr="009A2677">
        <w:t>The KCI shall operate in accordance with the following terms of reference</w:t>
      </w:r>
      <w:r w:rsidR="0098239D" w:rsidRPr="00CB3921">
        <w:t>:</w:t>
      </w:r>
    </w:p>
    <w:p w14:paraId="49A1B06F" w14:textId="48241824" w:rsidR="0098239D" w:rsidRDefault="00EA119B" w:rsidP="00EA119B">
      <w:pPr>
        <w:pStyle w:val="RegSingleTxtG2"/>
        <w:ind w:left="1134" w:firstLine="567"/>
      </w:pPr>
      <w:r>
        <w:rPr>
          <w:szCs w:val="28"/>
        </w:rPr>
        <w:t>(a)</w:t>
      </w:r>
      <w:r>
        <w:rPr>
          <w:szCs w:val="28"/>
        </w:rPr>
        <w:tab/>
      </w:r>
      <w:r w:rsidR="0098239D">
        <w:t>The KCI shall meet two times a year, with the first meeting to be held over two days in conjunction with the sessions of the subsidiary bodies in the first sessional period of the year and the second meeting to be held intersessionally over three days;</w:t>
      </w:r>
    </w:p>
    <w:p w14:paraId="5AFA760D" w14:textId="7A6ED8C8" w:rsidR="0098239D" w:rsidRPr="00CB3921" w:rsidRDefault="00EA119B" w:rsidP="00EA119B">
      <w:pPr>
        <w:pStyle w:val="RegSingleTxtG2"/>
        <w:ind w:left="1134" w:firstLine="567"/>
      </w:pPr>
      <w:bookmarkStart w:id="48" w:name="_Ref155781932"/>
      <w:r w:rsidRPr="00CB3921">
        <w:rPr>
          <w:szCs w:val="28"/>
        </w:rPr>
        <w:t>(b)</w:t>
      </w:r>
      <w:r w:rsidRPr="00CB3921">
        <w:rPr>
          <w:szCs w:val="28"/>
        </w:rPr>
        <w:tab/>
      </w:r>
      <w:r w:rsidR="0098239D">
        <w:t>The KCI shall be composed of:</w:t>
      </w:r>
      <w:bookmarkEnd w:id="48"/>
    </w:p>
    <w:p w14:paraId="558FC7DC" w14:textId="10A08DDC" w:rsidR="0098239D" w:rsidRDefault="00EA119B" w:rsidP="00EA119B">
      <w:pPr>
        <w:pStyle w:val="RegSingleTxtG3"/>
        <w:ind w:left="1701"/>
      </w:pPr>
      <w:r>
        <w:t>(i)</w:t>
      </w:r>
      <w:r>
        <w:tab/>
      </w:r>
      <w:r w:rsidR="0098239D">
        <w:t xml:space="preserve">Two members from each of the five United Nations regional groups; </w:t>
      </w:r>
    </w:p>
    <w:p w14:paraId="07F3156C" w14:textId="3ABD70E3" w:rsidR="0098239D" w:rsidRDefault="00EA119B" w:rsidP="00EA119B">
      <w:pPr>
        <w:pStyle w:val="RegSingleTxtG3"/>
        <w:ind w:left="1701"/>
      </w:pPr>
      <w:r>
        <w:t>(ii)</w:t>
      </w:r>
      <w:r>
        <w:tab/>
      </w:r>
      <w:r w:rsidR="0098239D">
        <w:t xml:space="preserve">One member from the least developed countries; </w:t>
      </w:r>
    </w:p>
    <w:p w14:paraId="13898330" w14:textId="11D1DAA4" w:rsidR="0098239D" w:rsidRDefault="00EA119B" w:rsidP="00EA119B">
      <w:pPr>
        <w:pStyle w:val="RegSingleTxtG3"/>
        <w:ind w:left="1701"/>
      </w:pPr>
      <w:r>
        <w:t>(iii)</w:t>
      </w:r>
      <w:r>
        <w:tab/>
      </w:r>
      <w:r w:rsidR="0098239D">
        <w:t xml:space="preserve">One member from the small island developing States; </w:t>
      </w:r>
    </w:p>
    <w:p w14:paraId="1D7A8FB2" w14:textId="1385DF3D" w:rsidR="0098239D" w:rsidRPr="00CB3921" w:rsidRDefault="00EA119B" w:rsidP="00EA119B">
      <w:pPr>
        <w:pStyle w:val="RegSingleTxtG3"/>
        <w:ind w:left="1701"/>
      </w:pPr>
      <w:r w:rsidRPr="00CB3921">
        <w:t>(iv)</w:t>
      </w:r>
      <w:r w:rsidRPr="00CB3921">
        <w:tab/>
      </w:r>
      <w:r w:rsidR="0098239D">
        <w:t>Two members from relevant intergovernmental organizations</w:t>
      </w:r>
      <w:r w:rsidR="0098239D" w:rsidRPr="00CB3921">
        <w:t>;</w:t>
      </w:r>
    </w:p>
    <w:p w14:paraId="01E76F8B" w14:textId="74C70E8B" w:rsidR="0098239D" w:rsidRDefault="00EA119B" w:rsidP="00EA119B">
      <w:pPr>
        <w:pStyle w:val="RegSingleTxtG2"/>
        <w:ind w:left="1134" w:firstLine="567"/>
      </w:pPr>
      <w:r>
        <w:rPr>
          <w:szCs w:val="28"/>
        </w:rPr>
        <w:t>(c)</w:t>
      </w:r>
      <w:r>
        <w:rPr>
          <w:szCs w:val="28"/>
        </w:rPr>
        <w:tab/>
      </w:r>
      <w:r w:rsidR="0098239D">
        <w:t xml:space="preserve">Members shall serve in their expert capacity and should have relevant qualifications and expertise in the technical and socioeconomic fields related to the areas of the work programme; </w:t>
      </w:r>
    </w:p>
    <w:p w14:paraId="26AECCBD" w14:textId="15944927" w:rsidR="0098239D" w:rsidRDefault="00EA119B" w:rsidP="00EA119B">
      <w:pPr>
        <w:pStyle w:val="RegSingleTxtG2"/>
        <w:ind w:left="1134" w:firstLine="567"/>
      </w:pPr>
      <w:r>
        <w:rPr>
          <w:szCs w:val="28"/>
        </w:rPr>
        <w:t>(d)</w:t>
      </w:r>
      <w:r>
        <w:rPr>
          <w:szCs w:val="28"/>
        </w:rPr>
        <w:tab/>
      </w:r>
      <w:r w:rsidR="00CD7443">
        <w:t>The m</w:t>
      </w:r>
      <w:r w:rsidR="0098239D">
        <w:t xml:space="preserve">embers </w:t>
      </w:r>
      <w:r w:rsidR="00CD7443">
        <w:t>referr</w:t>
      </w:r>
      <w:r w:rsidR="0098239D">
        <w:t xml:space="preserve">ed </w:t>
      </w:r>
      <w:r w:rsidR="00CD7443">
        <w:t>to</w:t>
      </w:r>
      <w:r w:rsidR="0098239D">
        <w:t xml:space="preserve"> in paragraph </w:t>
      </w:r>
      <w:r w:rsidR="00A51411">
        <w:t>5(b) above</w:t>
      </w:r>
      <w:r w:rsidR="0098239D">
        <w:t xml:space="preserve"> shall be nominated by their respective groups. The Chairs of the</w:t>
      </w:r>
      <w:r w:rsidR="007E437F">
        <w:t xml:space="preserve"> subsidiary bodies </w:t>
      </w:r>
      <w:r w:rsidR="0098239D">
        <w:t xml:space="preserve">shall be notified of these appointments; </w:t>
      </w:r>
    </w:p>
    <w:p w14:paraId="1AF12CB5" w14:textId="7A151359" w:rsidR="0098239D" w:rsidRDefault="00EA119B" w:rsidP="00EA119B">
      <w:pPr>
        <w:pStyle w:val="RegSingleTxtG2"/>
        <w:ind w:left="1134" w:firstLine="567"/>
      </w:pPr>
      <w:r>
        <w:rPr>
          <w:szCs w:val="28"/>
        </w:rPr>
        <w:t>(e)</w:t>
      </w:r>
      <w:r>
        <w:rPr>
          <w:szCs w:val="28"/>
        </w:rPr>
        <w:tab/>
      </w:r>
      <w:r w:rsidR="00CD7443">
        <w:t>The m</w:t>
      </w:r>
      <w:r w:rsidR="0098239D">
        <w:t xml:space="preserve">embers </w:t>
      </w:r>
      <w:r w:rsidR="00CD7443">
        <w:t>referr</w:t>
      </w:r>
      <w:r w:rsidR="0098239D">
        <w:t xml:space="preserve">ed </w:t>
      </w:r>
      <w:r w:rsidR="00CD7443">
        <w:t xml:space="preserve">to </w:t>
      </w:r>
      <w:r w:rsidR="0098239D">
        <w:t xml:space="preserve">in paragraph </w:t>
      </w:r>
      <w:r w:rsidR="00A51411">
        <w:t>5(b) above</w:t>
      </w:r>
      <w:r w:rsidR="0098239D">
        <w:t xml:space="preserve"> shall serve a term of two years and shall be eligible to serve a maximum of two consecutive terms in office; </w:t>
      </w:r>
    </w:p>
    <w:p w14:paraId="314CCF28" w14:textId="54E897D1" w:rsidR="0098239D" w:rsidRDefault="00EA119B" w:rsidP="00EA119B">
      <w:pPr>
        <w:pStyle w:val="RegSingleTxtG2"/>
        <w:ind w:left="1134" w:firstLine="567"/>
      </w:pPr>
      <w:r>
        <w:rPr>
          <w:szCs w:val="28"/>
        </w:rPr>
        <w:t>(f)</w:t>
      </w:r>
      <w:r>
        <w:rPr>
          <w:szCs w:val="28"/>
        </w:rPr>
        <w:tab/>
      </w:r>
      <w:r w:rsidR="0098239D">
        <w:t xml:space="preserve">The KCI shall elect, on a consensus basis, two members from among its members </w:t>
      </w:r>
      <w:r w:rsidR="00C50EA8">
        <w:t>referr</w:t>
      </w:r>
      <w:r w:rsidR="0098239D">
        <w:t xml:space="preserve">ed </w:t>
      </w:r>
      <w:r w:rsidR="00C50EA8">
        <w:t xml:space="preserve">to </w:t>
      </w:r>
      <w:r w:rsidR="0098239D">
        <w:t xml:space="preserve">in paragraph </w:t>
      </w:r>
      <w:r w:rsidR="00A51411">
        <w:t>5(b) above</w:t>
      </w:r>
      <w:r w:rsidR="0098239D">
        <w:t xml:space="preserve"> to serve as Co-Chairs for a term of two years each, taking into account the need to ensure equitable geographical representation; </w:t>
      </w:r>
    </w:p>
    <w:p w14:paraId="6AB3FC3C" w14:textId="256954D8" w:rsidR="0098239D" w:rsidRDefault="00EA119B" w:rsidP="00EA119B">
      <w:pPr>
        <w:pStyle w:val="RegSingleTxtG2"/>
        <w:ind w:left="1134" w:firstLine="567"/>
      </w:pPr>
      <w:r>
        <w:rPr>
          <w:szCs w:val="28"/>
        </w:rPr>
        <w:t>(g)</w:t>
      </w:r>
      <w:r>
        <w:rPr>
          <w:szCs w:val="28"/>
        </w:rPr>
        <w:tab/>
      </w:r>
      <w:r w:rsidR="0098239D">
        <w:t xml:space="preserve">If one of the Co-Chairs is temporarily unable to fulfil the obligations of the office, any other member designated by the KCI shall serve as Co-Chair; </w:t>
      </w:r>
    </w:p>
    <w:p w14:paraId="15E0674F" w14:textId="43A4D417" w:rsidR="0098239D" w:rsidRDefault="00EA119B" w:rsidP="00EA119B">
      <w:pPr>
        <w:pStyle w:val="RegSingleTxtG2"/>
        <w:ind w:left="1134" w:firstLine="567"/>
      </w:pPr>
      <w:r>
        <w:rPr>
          <w:szCs w:val="28"/>
        </w:rPr>
        <w:t>(h)</w:t>
      </w:r>
      <w:r>
        <w:rPr>
          <w:szCs w:val="28"/>
        </w:rPr>
        <w:tab/>
      </w:r>
      <w:r w:rsidR="0098239D">
        <w:t>Meetings of the KCI shall be open to attendance as observers by all Parties and accredited observer organizations</w:t>
      </w:r>
      <w:r w:rsidR="00915238">
        <w:t>,</w:t>
      </w:r>
      <w:r w:rsidR="0098239D">
        <w:t xml:space="preserve"> unless otherwise decided by the KCI; </w:t>
      </w:r>
    </w:p>
    <w:p w14:paraId="5CE80F8C" w14:textId="3BBFAEE1" w:rsidR="0098239D" w:rsidRDefault="00EA119B" w:rsidP="00EA119B">
      <w:pPr>
        <w:pStyle w:val="RegSingleTxtG2"/>
        <w:ind w:left="1134" w:firstLine="567"/>
      </w:pPr>
      <w:r>
        <w:rPr>
          <w:szCs w:val="28"/>
        </w:rPr>
        <w:t>(i)</w:t>
      </w:r>
      <w:r>
        <w:rPr>
          <w:szCs w:val="28"/>
        </w:rPr>
        <w:tab/>
      </w:r>
      <w:r w:rsidR="0098239D">
        <w:t xml:space="preserve">The KCI shall operate on the basis of consensus of its members; </w:t>
      </w:r>
    </w:p>
    <w:p w14:paraId="4DA9637F" w14:textId="12114639" w:rsidR="0098239D" w:rsidRPr="00CB3921" w:rsidRDefault="00EA119B" w:rsidP="00EA119B">
      <w:pPr>
        <w:pStyle w:val="RegSingleTxtG2"/>
        <w:ind w:left="1134" w:firstLine="567"/>
      </w:pPr>
      <w:r w:rsidRPr="00CB3921">
        <w:rPr>
          <w:szCs w:val="28"/>
        </w:rPr>
        <w:t>(j)</w:t>
      </w:r>
      <w:r w:rsidRPr="00CB3921">
        <w:rPr>
          <w:szCs w:val="28"/>
        </w:rPr>
        <w:tab/>
      </w:r>
      <w:r w:rsidR="0098239D">
        <w:t>Members of the KCI shall prepare an annual report for the forum to consider with a view to making recommendations to the Conference of the Parties, the Conference of the Parties serving as the meeting of the Parties to the Kyoto Protocol and the Conference of the Parties serving as the meeting of the Parties to the Paris Agreement</w:t>
      </w:r>
      <w:r w:rsidR="0098239D" w:rsidRPr="00CB3921">
        <w:t>.</w:t>
      </w:r>
    </w:p>
    <w:p w14:paraId="765ADFB7" w14:textId="57CDED31" w:rsidR="0098239D" w:rsidRPr="00CB3921" w:rsidRDefault="00EA119B" w:rsidP="00EA119B">
      <w:pPr>
        <w:pStyle w:val="RegSingleTxtG"/>
        <w:ind w:left="1134"/>
      </w:pPr>
      <w:r w:rsidRPr="00CB3921">
        <w:lastRenderedPageBreak/>
        <w:t>6.</w:t>
      </w:r>
      <w:r w:rsidRPr="00CB3921">
        <w:tab/>
      </w:r>
      <w:r w:rsidR="0098239D" w:rsidRPr="00FB29A1">
        <w:t xml:space="preserve">The forum and </w:t>
      </w:r>
      <w:r w:rsidR="0025211B">
        <w:t>its</w:t>
      </w:r>
      <w:r w:rsidR="0098239D" w:rsidRPr="00FB29A1">
        <w:t xml:space="preserve"> KCI may use the following modalities, as appropriate and as decided on a case-by-case basis, in order to carry out the work programme of the forum</w:t>
      </w:r>
      <w:r w:rsidR="0098239D" w:rsidRPr="00CB3921">
        <w:t>:</w:t>
      </w:r>
    </w:p>
    <w:p w14:paraId="174574DB" w14:textId="60C745CE" w:rsidR="0098239D" w:rsidRDefault="00EA119B" w:rsidP="00EA119B">
      <w:pPr>
        <w:pStyle w:val="RegSingleTxtG2"/>
        <w:tabs>
          <w:tab w:val="left" w:pos="1702"/>
        </w:tabs>
        <w:ind w:left="1134" w:firstLine="567"/>
      </w:pPr>
      <w:r>
        <w:rPr>
          <w:szCs w:val="28"/>
        </w:rPr>
        <w:t>(a)</w:t>
      </w:r>
      <w:r>
        <w:rPr>
          <w:szCs w:val="28"/>
        </w:rPr>
        <w:tab/>
      </w:r>
      <w:r w:rsidR="0098239D">
        <w:t xml:space="preserve">Building awareness and enhancing information-sharing through the exchange and sharing of experience and best practices; </w:t>
      </w:r>
    </w:p>
    <w:p w14:paraId="5EA0B552" w14:textId="31E4C31F" w:rsidR="0098239D" w:rsidRDefault="00EA119B" w:rsidP="00EA119B">
      <w:pPr>
        <w:pStyle w:val="RegSingleTxtG2"/>
        <w:tabs>
          <w:tab w:val="left" w:pos="1702"/>
        </w:tabs>
        <w:ind w:left="1134" w:firstLine="567"/>
      </w:pPr>
      <w:bookmarkStart w:id="49" w:name="_Ref155781090"/>
      <w:r>
        <w:rPr>
          <w:szCs w:val="28"/>
        </w:rPr>
        <w:t>(b)</w:t>
      </w:r>
      <w:r>
        <w:rPr>
          <w:szCs w:val="28"/>
        </w:rPr>
        <w:tab/>
      </w:r>
      <w:r w:rsidR="0098239D">
        <w:t>Preparing technical papers, national, regional and sector</w:t>
      </w:r>
      <w:r w:rsidR="00E063DF">
        <w:t>-</w:t>
      </w:r>
      <w:r w:rsidR="0098239D">
        <w:t>specific case studies, concrete examples and guidelines;</w:t>
      </w:r>
      <w:bookmarkEnd w:id="49"/>
      <w:r w:rsidR="0098239D">
        <w:t xml:space="preserve"> </w:t>
      </w:r>
    </w:p>
    <w:p w14:paraId="5658FABB" w14:textId="6D6AB669" w:rsidR="0098239D" w:rsidRDefault="00EA119B" w:rsidP="00EA119B">
      <w:pPr>
        <w:pStyle w:val="RegSingleTxtG2"/>
        <w:tabs>
          <w:tab w:val="left" w:pos="1702"/>
        </w:tabs>
        <w:ind w:left="1134" w:firstLine="567"/>
      </w:pPr>
      <w:r>
        <w:rPr>
          <w:szCs w:val="28"/>
        </w:rPr>
        <w:t>(c)</w:t>
      </w:r>
      <w:r>
        <w:rPr>
          <w:szCs w:val="28"/>
        </w:rPr>
        <w:tab/>
      </w:r>
      <w:r w:rsidR="0098239D">
        <w:t xml:space="preserve">Receiving input from and facilitating collaboration with experts, practitioners and relevant organizations; </w:t>
      </w:r>
    </w:p>
    <w:p w14:paraId="2E97C003" w14:textId="4583D40C" w:rsidR="0098239D" w:rsidRDefault="00EA119B" w:rsidP="00EA119B">
      <w:pPr>
        <w:pStyle w:val="RegSingleTxtG2"/>
        <w:tabs>
          <w:tab w:val="left" w:pos="1702"/>
        </w:tabs>
        <w:ind w:left="1134" w:firstLine="567"/>
      </w:pPr>
      <w:r>
        <w:rPr>
          <w:szCs w:val="28"/>
        </w:rPr>
        <w:t>(d)</w:t>
      </w:r>
      <w:r>
        <w:rPr>
          <w:szCs w:val="28"/>
        </w:rPr>
        <w:tab/>
      </w:r>
      <w:r w:rsidR="0098239D">
        <w:t>Organizing workshops.</w:t>
      </w:r>
    </w:p>
    <w:p w14:paraId="1E51DE1F" w14:textId="77777777" w:rsidR="000E09FC" w:rsidRDefault="000E09FC" w:rsidP="00181310">
      <w:pPr>
        <w:pStyle w:val="RegSingleTxtG2"/>
        <w:ind w:left="1134"/>
      </w:pPr>
    </w:p>
    <w:p w14:paraId="0EADF208" w14:textId="77777777" w:rsidR="0098239D" w:rsidRDefault="0098239D" w:rsidP="0098239D">
      <w:pPr>
        <w:pStyle w:val="HChG"/>
        <w:spacing w:before="0"/>
        <w:sectPr w:rsidR="0098239D" w:rsidSect="00AB0CD8">
          <w:headerReference w:type="even" r:id="rId38"/>
          <w:headerReference w:type="default" r:id="rId39"/>
          <w:footerReference w:type="even" r:id="rId40"/>
          <w:footerReference w:type="default" r:id="rId41"/>
          <w:footnotePr>
            <w:numRestart w:val="eachSect"/>
          </w:footnotePr>
          <w:pgSz w:w="11906" w:h="16838" w:code="9"/>
          <w:pgMar w:top="1417" w:right="1134" w:bottom="1134" w:left="1134" w:header="850" w:footer="567" w:gutter="0"/>
          <w:cols w:space="708"/>
          <w:docGrid w:linePitch="360"/>
        </w:sectPr>
      </w:pPr>
    </w:p>
    <w:p w14:paraId="422AE690" w14:textId="77777777" w:rsidR="0098239D" w:rsidRPr="00CB3921" w:rsidRDefault="0098239D" w:rsidP="00EA119B">
      <w:pPr>
        <w:pStyle w:val="RegHChG"/>
        <w:ind w:hanging="454"/>
      </w:pPr>
      <w:bookmarkStart w:id="50" w:name="_Toc161219962"/>
      <w:r w:rsidRPr="00CB3921">
        <w:lastRenderedPageBreak/>
        <w:t>Annex II</w:t>
      </w:r>
      <w:bookmarkEnd w:id="50"/>
    </w:p>
    <w:p w14:paraId="02DBEAFF" w14:textId="3E85C364" w:rsidR="0098239D" w:rsidRPr="00CB3921" w:rsidRDefault="0098239D" w:rsidP="0098239D">
      <w:pPr>
        <w:pStyle w:val="HChG"/>
        <w:tabs>
          <w:tab w:val="clear" w:pos="851"/>
        </w:tabs>
        <w:ind w:firstLine="0"/>
      </w:pPr>
      <w:r w:rsidRPr="00ED118E">
        <w:t xml:space="preserve">Activities arising from the outcomes of </w:t>
      </w:r>
      <w:r>
        <w:t xml:space="preserve">the </w:t>
      </w:r>
      <w:r w:rsidRPr="00ED118E">
        <w:t>midterm review of the workplan of the forum on the impact of the implementation of response measures and its Katowice Committee of Experts on the Impacts of the Implementation of Response Measures</w:t>
      </w:r>
      <w:r w:rsidRPr="00CF7DDC">
        <w:rPr>
          <w:rStyle w:val="FootnoteReference"/>
          <w:sz w:val="24"/>
          <w:szCs w:val="28"/>
        </w:rPr>
        <w:footnoteReference w:id="35"/>
      </w:r>
    </w:p>
    <w:p w14:paraId="49D2F375" w14:textId="01108AA1" w:rsidR="0098239D" w:rsidRDefault="0098239D" w:rsidP="0098239D">
      <w:pPr>
        <w:pStyle w:val="RegSingleTxtG"/>
        <w:ind w:left="1134" w:firstLine="567"/>
      </w:pPr>
      <w:r>
        <w:t>The following are a</w:t>
      </w:r>
      <w:r w:rsidRPr="00CB26EF">
        <w:t xml:space="preserve">ctivities arising from the outcomes of </w:t>
      </w:r>
      <w:r>
        <w:t xml:space="preserve">the </w:t>
      </w:r>
      <w:r w:rsidRPr="00CB26EF">
        <w:t>midterm review of the workplan of the forum on the impact of the implementation of response measures and its Katowice Committee of Experts on the Impacts of the Implementation of Response Measures</w:t>
      </w:r>
      <w:r w:rsidR="006246E1">
        <w:t xml:space="preserve"> (KCI)</w:t>
      </w:r>
      <w:r>
        <w:t>:</w:t>
      </w:r>
    </w:p>
    <w:p w14:paraId="3CD29989" w14:textId="4E0233A3" w:rsidR="0098239D" w:rsidRPr="00CB3921" w:rsidRDefault="00EA119B" w:rsidP="00EA119B">
      <w:pPr>
        <w:pStyle w:val="RegSingleTxtG2"/>
        <w:tabs>
          <w:tab w:val="left" w:pos="1702"/>
        </w:tabs>
        <w:ind w:left="1134" w:firstLine="567"/>
      </w:pPr>
      <w:r w:rsidRPr="00CB3921">
        <w:rPr>
          <w:szCs w:val="28"/>
        </w:rPr>
        <w:t>(a)</w:t>
      </w:r>
      <w:r w:rsidRPr="00CB3921">
        <w:rPr>
          <w:szCs w:val="28"/>
        </w:rPr>
        <w:tab/>
      </w:r>
      <w:r w:rsidR="00087400">
        <w:t>O</w:t>
      </w:r>
      <w:r w:rsidR="0098239D" w:rsidRPr="00412E99">
        <w:t xml:space="preserve">rganize the exchange and sharing of experience and best practices, to take place at </w:t>
      </w:r>
      <w:r w:rsidR="002A34FE">
        <w:t>the sixty-second</w:t>
      </w:r>
      <w:r w:rsidR="006C7204">
        <w:t xml:space="preserve"> sessions of the subsidiary bodies</w:t>
      </w:r>
      <w:r w:rsidR="0098239D" w:rsidRPr="00412E99">
        <w:t xml:space="preserve"> </w:t>
      </w:r>
      <w:r w:rsidR="006C7204">
        <w:t>(</w:t>
      </w:r>
      <w:r w:rsidR="0098239D" w:rsidRPr="00412E99">
        <w:t>SB</w:t>
      </w:r>
      <w:r w:rsidR="006C7204">
        <w:t>)</w:t>
      </w:r>
      <w:r w:rsidR="0098239D">
        <w:t xml:space="preserve"> (June 2025)</w:t>
      </w:r>
      <w:r w:rsidR="0098239D" w:rsidRPr="00CB26EF">
        <w:t>,</w:t>
      </w:r>
      <w:r w:rsidR="0098239D" w:rsidRPr="00412E99">
        <w:t xml:space="preserve"> </w:t>
      </w:r>
      <w:r w:rsidR="00144AF4">
        <w:t>in relation to</w:t>
      </w:r>
      <w:r w:rsidR="0098239D" w:rsidRPr="00412E99">
        <w:t xml:space="preserve"> country case studies pertaining to activity</w:t>
      </w:r>
      <w:r w:rsidR="0098239D">
        <w:t> </w:t>
      </w:r>
      <w:r w:rsidR="0098239D" w:rsidRPr="00CB3921">
        <w:t>7</w:t>
      </w:r>
      <w:r w:rsidR="0098239D" w:rsidRPr="00CB3921">
        <w:rPr>
          <w:rStyle w:val="FootnoteReference"/>
        </w:rPr>
        <w:footnoteReference w:id="36"/>
      </w:r>
      <w:r w:rsidR="0098239D" w:rsidRPr="00CB3921">
        <w:t xml:space="preserve"> of the workplan, in line with the agreed modalities in the workplan</w:t>
      </w:r>
      <w:r w:rsidR="00435449">
        <w:t>, to be implemented by the forum</w:t>
      </w:r>
      <w:r w:rsidR="0098239D">
        <w:t>;</w:t>
      </w:r>
    </w:p>
    <w:p w14:paraId="7658F8EE" w14:textId="1996ECAC" w:rsidR="0098239D" w:rsidRPr="00CB3921" w:rsidRDefault="00EA119B" w:rsidP="00EA119B">
      <w:pPr>
        <w:pStyle w:val="RegSingleTxtG2"/>
        <w:ind w:left="1134" w:firstLine="567"/>
      </w:pPr>
      <w:r w:rsidRPr="00CB3921">
        <w:rPr>
          <w:szCs w:val="28"/>
        </w:rPr>
        <w:t>(b)</w:t>
      </w:r>
      <w:r w:rsidRPr="00CB3921">
        <w:rPr>
          <w:szCs w:val="28"/>
        </w:rPr>
        <w:tab/>
      </w:r>
      <w:r w:rsidR="002C7877">
        <w:t>D</w:t>
      </w:r>
      <w:r w:rsidR="0098239D" w:rsidRPr="003A2D79">
        <w:t xml:space="preserve">evelop a case study in each </w:t>
      </w:r>
      <w:r w:rsidR="0098239D">
        <w:t xml:space="preserve">of the five </w:t>
      </w:r>
      <w:r w:rsidR="0098239D" w:rsidRPr="00CB26EF">
        <w:t>U</w:t>
      </w:r>
      <w:r w:rsidR="0098239D">
        <w:t xml:space="preserve">nited </w:t>
      </w:r>
      <w:r w:rsidR="0098239D" w:rsidRPr="00CB26EF">
        <w:t>N</w:t>
      </w:r>
      <w:r w:rsidR="0098239D">
        <w:t>ations</w:t>
      </w:r>
      <w:r w:rsidR="0098239D" w:rsidRPr="00CB26EF">
        <w:t xml:space="preserve"> region</w:t>
      </w:r>
      <w:r w:rsidR="0098239D">
        <w:t>s</w:t>
      </w:r>
      <w:r w:rsidR="0098239D" w:rsidRPr="003A2D79">
        <w:t xml:space="preserve"> in accordance with activity</w:t>
      </w:r>
      <w:r w:rsidR="0098239D">
        <w:t> </w:t>
      </w:r>
      <w:r w:rsidR="0098239D" w:rsidRPr="003A2D79">
        <w:t>7 of the workplan</w:t>
      </w:r>
      <w:r w:rsidR="0098239D">
        <w:t>,</w:t>
      </w:r>
      <w:r w:rsidR="0098239D" w:rsidRPr="003A2D79">
        <w:t xml:space="preserve"> </w:t>
      </w:r>
      <w:r w:rsidR="000539BE">
        <w:t>to be implemented by the KCI</w:t>
      </w:r>
      <w:r w:rsidR="000539BE" w:rsidRPr="003A2D79">
        <w:t xml:space="preserve"> </w:t>
      </w:r>
      <w:r w:rsidR="0098239D" w:rsidRPr="003A2D79">
        <w:t>by SB 63</w:t>
      </w:r>
      <w:r w:rsidR="0098239D">
        <w:t xml:space="preserve"> (November 2025);</w:t>
      </w:r>
    </w:p>
    <w:p w14:paraId="4E52AC56" w14:textId="4B8071B4" w:rsidR="0098239D" w:rsidRDefault="00EA119B" w:rsidP="00EA119B">
      <w:pPr>
        <w:pStyle w:val="RegSingleTxtG2"/>
        <w:ind w:left="1134" w:firstLine="567"/>
      </w:pPr>
      <w:r>
        <w:rPr>
          <w:szCs w:val="28"/>
        </w:rPr>
        <w:t>(c)</w:t>
      </w:r>
      <w:r>
        <w:rPr>
          <w:szCs w:val="28"/>
        </w:rPr>
        <w:tab/>
      </w:r>
      <w:r w:rsidR="0098239D">
        <w:t xml:space="preserve">Promote the exchange of experience </w:t>
      </w:r>
      <w:r w:rsidR="00A13617">
        <w:t>in relation to</w:t>
      </w:r>
      <w:r w:rsidR="0098239D">
        <w:t xml:space="preserve"> national and subnational legislation, action plans, frameworks and other structural factors for just transition and economic diversification and transformation, to be implemented at SB 62 by the forum through the exchange of best practices;</w:t>
      </w:r>
    </w:p>
    <w:p w14:paraId="54AA2C0B" w14:textId="6BDAFF49" w:rsidR="0098239D" w:rsidRDefault="00EA119B" w:rsidP="00EA119B">
      <w:pPr>
        <w:pStyle w:val="RegSingleTxtG2"/>
        <w:ind w:left="1134" w:firstLine="567"/>
      </w:pPr>
      <w:r>
        <w:rPr>
          <w:szCs w:val="28"/>
        </w:rPr>
        <w:t>(d)</w:t>
      </w:r>
      <w:r>
        <w:rPr>
          <w:szCs w:val="28"/>
        </w:rPr>
        <w:tab/>
      </w:r>
      <w:r w:rsidR="0098239D">
        <w:t>Build awareness about the positive and negative impacts associated with low</w:t>
      </w:r>
      <w:r w:rsidR="002D0FA9">
        <w:t>-</w:t>
      </w:r>
      <w:r w:rsidR="0098239D">
        <w:t xml:space="preserve"> and zero</w:t>
      </w:r>
      <w:r w:rsidR="002D0FA9">
        <w:t>-</w:t>
      </w:r>
      <w:r w:rsidR="0098239D">
        <w:t>emission transport technologies, to be implemented at SB 60 (June 2024)</w:t>
      </w:r>
      <w:r w:rsidR="0098239D" w:rsidRPr="00CB26EF">
        <w:t xml:space="preserve"> </w:t>
      </w:r>
      <w:r w:rsidR="0098239D">
        <w:t>by the forum through the exchange and sharing of experience, best practices and key findings;</w:t>
      </w:r>
    </w:p>
    <w:p w14:paraId="1F6882CE" w14:textId="1B2B6C00" w:rsidR="0098239D" w:rsidRDefault="00EA119B" w:rsidP="00EA119B">
      <w:pPr>
        <w:pStyle w:val="RegSingleTxtG2"/>
        <w:ind w:left="1134" w:firstLine="567"/>
      </w:pPr>
      <w:r>
        <w:rPr>
          <w:szCs w:val="28"/>
        </w:rPr>
        <w:t>(e)</w:t>
      </w:r>
      <w:r>
        <w:rPr>
          <w:szCs w:val="28"/>
        </w:rPr>
        <w:tab/>
      </w:r>
      <w:r w:rsidR="0098239D">
        <w:t>Facilitate</w:t>
      </w:r>
      <w:r w:rsidR="007D73F0">
        <w:t xml:space="preserve"> the</w:t>
      </w:r>
      <w:r w:rsidR="0098239D">
        <w:t xml:space="preserve"> exchange and shar</w:t>
      </w:r>
      <w:r w:rsidR="00062AA8">
        <w:t>ing</w:t>
      </w:r>
      <w:r w:rsidR="0098239D">
        <w:t xml:space="preserve"> </w:t>
      </w:r>
      <w:r w:rsidR="00062AA8">
        <w:t>of</w:t>
      </w:r>
      <w:r w:rsidR="0098239D">
        <w:t xml:space="preserve"> experience and best practices in the assessment of the environmental, social and economic co-benefits of climate change policies and actions informed by the best available science, including the use of existing tools and methodologies, to be implemented at SB 62 by the KCI through concrete examples and input from experts, practitioners and relevant organizations, and by the forum through the exchange and sharing of experience, best practices and key findings</w:t>
      </w:r>
      <w:r w:rsidR="0098239D" w:rsidRPr="00836E25">
        <w:t>.</w:t>
      </w:r>
    </w:p>
    <w:p w14:paraId="759D134D" w14:textId="7188FA1C" w:rsidR="00471A1E" w:rsidRPr="00FF0952" w:rsidRDefault="00662A41" w:rsidP="00181310">
      <w:pPr>
        <w:tabs>
          <w:tab w:val="left" w:pos="1701"/>
        </w:tabs>
        <w:spacing w:line="20" w:lineRule="atLeast"/>
        <w:ind w:left="1134" w:right="1134"/>
        <w:jc w:val="right"/>
        <w:rPr>
          <w:i/>
          <w:iCs/>
        </w:rPr>
      </w:pPr>
      <w:r>
        <w:rPr>
          <w:i/>
          <w:iCs/>
        </w:rPr>
        <w:t>6</w:t>
      </w:r>
      <w:r w:rsidRPr="00662A41">
        <w:rPr>
          <w:i/>
          <w:iCs/>
          <w:vertAlign w:val="superscript"/>
        </w:rPr>
        <w:t>th</w:t>
      </w:r>
      <w:r>
        <w:rPr>
          <w:i/>
          <w:iCs/>
        </w:rPr>
        <w:t xml:space="preserve"> </w:t>
      </w:r>
      <w:r w:rsidR="00471A1E" w:rsidRPr="00FF0952">
        <w:rPr>
          <w:i/>
          <w:iCs/>
        </w:rPr>
        <w:t>plenary me</w:t>
      </w:r>
      <w:r w:rsidR="00471A1E">
        <w:rPr>
          <w:i/>
          <w:iCs/>
        </w:rPr>
        <w:t>e</w:t>
      </w:r>
      <w:r w:rsidR="00471A1E" w:rsidRPr="00FF0952">
        <w:rPr>
          <w:i/>
          <w:iCs/>
        </w:rPr>
        <w:t>ting</w:t>
      </w:r>
    </w:p>
    <w:p w14:paraId="25FA5D52" w14:textId="77777777" w:rsidR="00471A1E" w:rsidRPr="00FF0952" w:rsidRDefault="00471A1E" w:rsidP="00181310">
      <w:pPr>
        <w:tabs>
          <w:tab w:val="left" w:pos="1701"/>
        </w:tabs>
        <w:spacing w:line="20" w:lineRule="atLeast"/>
        <w:ind w:left="1134" w:right="1134"/>
        <w:jc w:val="right"/>
        <w:rPr>
          <w:i/>
          <w:iCs/>
        </w:rPr>
      </w:pPr>
      <w:r w:rsidRPr="00FF0952">
        <w:rPr>
          <w:i/>
          <w:iCs/>
        </w:rPr>
        <w:t>13 December 2023</w:t>
      </w:r>
    </w:p>
    <w:p w14:paraId="076EE664" w14:textId="3DA43984" w:rsidR="0098239D" w:rsidRDefault="0098239D" w:rsidP="0098239D">
      <w:pPr>
        <w:spacing w:before="240"/>
        <w:ind w:left="1134" w:right="1134"/>
        <w:jc w:val="center"/>
      </w:pPr>
      <w:r w:rsidRPr="00CB26EF">
        <w:rPr>
          <w:u w:val="single"/>
        </w:rPr>
        <w:tab/>
      </w:r>
    </w:p>
    <w:p w14:paraId="362CC84B" w14:textId="77777777" w:rsidR="00250137" w:rsidRDefault="00250137" w:rsidP="0098239D">
      <w:pPr>
        <w:sectPr w:rsidR="00250137" w:rsidSect="00AB0CD8">
          <w:headerReference w:type="even" r:id="rId42"/>
          <w:headerReference w:type="default" r:id="rId43"/>
          <w:footerReference w:type="even" r:id="rId44"/>
          <w:footerReference w:type="default" r:id="rId45"/>
          <w:footnotePr>
            <w:numRestart w:val="eachSect"/>
          </w:footnotePr>
          <w:pgSz w:w="11906" w:h="16838" w:code="9"/>
          <w:pgMar w:top="1417" w:right="1134" w:bottom="1134" w:left="1134" w:header="850" w:footer="567" w:gutter="0"/>
          <w:cols w:space="708"/>
          <w:docGrid w:linePitch="360"/>
        </w:sectPr>
      </w:pPr>
    </w:p>
    <w:p w14:paraId="116C0BE1" w14:textId="5D0B3BD7" w:rsidR="009F2232" w:rsidRDefault="00C86EAE" w:rsidP="00D1534B">
      <w:pPr>
        <w:pStyle w:val="HChG"/>
        <w:spacing w:before="240"/>
      </w:pPr>
      <w:r>
        <w:lastRenderedPageBreak/>
        <w:tab/>
      </w:r>
      <w:r>
        <w:tab/>
      </w:r>
      <w:bookmarkStart w:id="51" w:name="_Toc161219963"/>
      <w:bookmarkStart w:id="52" w:name="Decision5"/>
      <w:r w:rsidR="009F2232" w:rsidRPr="00731E4C">
        <w:t xml:space="preserve">Decision </w:t>
      </w:r>
      <w:r w:rsidR="009F2232">
        <w:t>5</w:t>
      </w:r>
      <w:r w:rsidR="009F2232" w:rsidRPr="00731E4C">
        <w:t>/CMP.18</w:t>
      </w:r>
      <w:bookmarkEnd w:id="51"/>
    </w:p>
    <w:bookmarkEnd w:id="52"/>
    <w:p w14:paraId="79108017" w14:textId="0E20CF1D" w:rsidR="009F2232" w:rsidRPr="008E04A1" w:rsidRDefault="009F2232" w:rsidP="00C86EAE">
      <w:pPr>
        <w:pStyle w:val="HChG"/>
      </w:pPr>
      <w:r>
        <w:tab/>
      </w:r>
      <w:r w:rsidR="00C86EAE">
        <w:tab/>
      </w:r>
      <w:r w:rsidRPr="00116528">
        <w:t>Administrative, financial and institutional matters</w:t>
      </w:r>
    </w:p>
    <w:p w14:paraId="090EEBE5" w14:textId="77777777" w:rsidR="009F2232" w:rsidRPr="00181310" w:rsidRDefault="009F2232" w:rsidP="00C75CD0">
      <w:pPr>
        <w:pStyle w:val="SingleTxtG"/>
        <w:ind w:firstLine="567"/>
        <w:rPr>
          <w:iCs/>
        </w:rPr>
      </w:pPr>
      <w:r w:rsidRPr="007E45B8">
        <w:rPr>
          <w:i/>
        </w:rPr>
        <w:t>The Conference of the Parties</w:t>
      </w:r>
      <w:r w:rsidRPr="00181310">
        <w:rPr>
          <w:i/>
          <w:iCs/>
        </w:rPr>
        <w:t xml:space="preserve"> </w:t>
      </w:r>
      <w:r w:rsidRPr="002E5A88">
        <w:rPr>
          <w:i/>
          <w:iCs/>
        </w:rPr>
        <w:t xml:space="preserve">serving </w:t>
      </w:r>
      <w:r w:rsidRPr="007E45B8">
        <w:rPr>
          <w:i/>
        </w:rPr>
        <w:t>as the meeting of the Parties to the Kyoto Protocol</w:t>
      </w:r>
      <w:r w:rsidRPr="007E45B8">
        <w:t>,</w:t>
      </w:r>
    </w:p>
    <w:p w14:paraId="1C7C5549" w14:textId="77777777" w:rsidR="009F2232" w:rsidRDefault="009F2232" w:rsidP="00FE6550">
      <w:pPr>
        <w:pStyle w:val="SingleTxtG"/>
        <w:ind w:firstLine="567"/>
      </w:pPr>
      <w:r w:rsidRPr="007E45B8">
        <w:rPr>
          <w:i/>
          <w:iCs/>
        </w:rPr>
        <w:t>Recalling</w:t>
      </w:r>
      <w:r w:rsidRPr="007E45B8">
        <w:t xml:space="preserve"> Article 13, paragraph 5, of the Kyoto Protocol,</w:t>
      </w:r>
    </w:p>
    <w:p w14:paraId="68E0819F" w14:textId="3A3640D1" w:rsidR="009F2232" w:rsidRDefault="00EA119B" w:rsidP="00EA119B">
      <w:pPr>
        <w:pStyle w:val="RegSingleTxtG"/>
        <w:ind w:left="1134"/>
        <w:rPr>
          <w:lang w:eastAsia="en-US"/>
        </w:rPr>
      </w:pPr>
      <w:bookmarkStart w:id="53" w:name="_Ref155725775"/>
      <w:r>
        <w:rPr>
          <w:lang w:eastAsia="en-US"/>
        </w:rPr>
        <w:t>1.</w:t>
      </w:r>
      <w:r>
        <w:rPr>
          <w:lang w:eastAsia="en-US"/>
        </w:rPr>
        <w:tab/>
      </w:r>
      <w:r w:rsidR="009F2232" w:rsidRPr="008E04A1">
        <w:rPr>
          <w:i/>
        </w:rPr>
        <w:t>Endorses</w:t>
      </w:r>
      <w:r w:rsidR="009F2232">
        <w:rPr>
          <w:lang w:eastAsia="en-US"/>
        </w:rPr>
        <w:t xml:space="preserve"> decision </w:t>
      </w:r>
      <w:r w:rsidR="00902582">
        <w:rPr>
          <w:lang w:eastAsia="en-US"/>
        </w:rPr>
        <w:t>1</w:t>
      </w:r>
      <w:r w:rsidR="00F44840">
        <w:rPr>
          <w:lang w:eastAsia="en-US"/>
        </w:rPr>
        <w:t>9</w:t>
      </w:r>
      <w:r w:rsidR="009F2232">
        <w:rPr>
          <w:lang w:eastAsia="en-US"/>
        </w:rPr>
        <w:t>/CP.28 as it applies to the Kyoto Protocol;</w:t>
      </w:r>
      <w:bookmarkEnd w:id="53"/>
    </w:p>
    <w:p w14:paraId="07D9A222" w14:textId="542212C0" w:rsidR="009F2232" w:rsidRDefault="00EA119B" w:rsidP="00EA119B">
      <w:pPr>
        <w:pStyle w:val="RegSingleTxtG"/>
        <w:ind w:left="1134"/>
        <w:rPr>
          <w:lang w:eastAsia="en-US"/>
        </w:rPr>
      </w:pPr>
      <w:r>
        <w:rPr>
          <w:lang w:eastAsia="en-US"/>
        </w:rPr>
        <w:t>2.</w:t>
      </w:r>
      <w:r>
        <w:rPr>
          <w:lang w:eastAsia="en-US"/>
        </w:rPr>
        <w:tab/>
      </w:r>
      <w:r w:rsidR="009F2232" w:rsidRPr="008E04A1">
        <w:rPr>
          <w:i/>
        </w:rPr>
        <w:t>Adopts</w:t>
      </w:r>
      <w:r w:rsidR="009F2232">
        <w:rPr>
          <w:lang w:eastAsia="en-US"/>
        </w:rPr>
        <w:t xml:space="preserve"> the indicative scale of contributions contained in the annex;</w:t>
      </w:r>
    </w:p>
    <w:p w14:paraId="432D9F02" w14:textId="10DEF322" w:rsidR="009F2232" w:rsidRDefault="00EA119B" w:rsidP="00EA119B">
      <w:pPr>
        <w:pStyle w:val="RegSingleTxtG"/>
        <w:ind w:left="1134"/>
        <w:rPr>
          <w:lang w:eastAsia="en-US"/>
        </w:rPr>
      </w:pPr>
      <w:r>
        <w:rPr>
          <w:lang w:eastAsia="en-US"/>
        </w:rPr>
        <w:t>3.</w:t>
      </w:r>
      <w:r>
        <w:rPr>
          <w:lang w:eastAsia="en-US"/>
        </w:rPr>
        <w:tab/>
      </w:r>
      <w:r w:rsidR="009F2232" w:rsidRPr="00A00C51">
        <w:rPr>
          <w:i/>
        </w:rPr>
        <w:t>Notes</w:t>
      </w:r>
      <w:r w:rsidR="009F2232">
        <w:rPr>
          <w:lang w:eastAsia="en-US"/>
        </w:rPr>
        <w:t xml:space="preserve"> that the indicative scale of contributions covers 8 per cent of the contributions specified in table 1 in the decision referred to in paragraph </w:t>
      </w:r>
      <w:r w:rsidR="00A51411">
        <w:rPr>
          <w:cs/>
          <w:lang w:eastAsia="en-US"/>
        </w:rPr>
        <w:t>‎</w:t>
      </w:r>
      <w:r w:rsidR="00A51411">
        <w:rPr>
          <w:lang w:eastAsia="en-US"/>
        </w:rPr>
        <w:t>1 above</w:t>
      </w:r>
      <w:r w:rsidR="009F2232">
        <w:rPr>
          <w:lang w:eastAsia="en-US"/>
        </w:rPr>
        <w:t>;</w:t>
      </w:r>
    </w:p>
    <w:p w14:paraId="4839F375" w14:textId="2FA2BAA4" w:rsidR="009F2232" w:rsidRDefault="00EA119B" w:rsidP="00EA119B">
      <w:pPr>
        <w:pStyle w:val="RegSingleTxtG"/>
        <w:ind w:left="1134"/>
        <w:rPr>
          <w:lang w:eastAsia="en-US"/>
        </w:rPr>
      </w:pPr>
      <w:r>
        <w:rPr>
          <w:lang w:eastAsia="en-US"/>
        </w:rPr>
        <w:t>4.</w:t>
      </w:r>
      <w:r>
        <w:rPr>
          <w:lang w:eastAsia="en-US"/>
        </w:rPr>
        <w:tab/>
      </w:r>
      <w:r w:rsidR="009F2232" w:rsidRPr="008E04A1">
        <w:rPr>
          <w:i/>
        </w:rPr>
        <w:t>Invites</w:t>
      </w:r>
      <w:r w:rsidR="009F2232">
        <w:rPr>
          <w:lang w:eastAsia="en-US"/>
        </w:rPr>
        <w:t xml:space="preserve"> all Parties to the Kyoto Protocol to note that each Party shall, prior to 1 January of each year, inform the secretariat of the contribution it intends to make that year and of the projected timing of that contribution in accordance with paragraph 8(a) of the </w:t>
      </w:r>
      <w:r w:rsidR="00BC0969">
        <w:rPr>
          <w:lang w:eastAsia="en-US"/>
        </w:rPr>
        <w:t xml:space="preserve">UNFCCC </w:t>
      </w:r>
      <w:r w:rsidR="009F2232">
        <w:rPr>
          <w:lang w:eastAsia="en-US"/>
        </w:rPr>
        <w:t>financial procedures,</w:t>
      </w:r>
      <w:r w:rsidR="009F2232">
        <w:rPr>
          <w:rStyle w:val="FootnoteReference"/>
          <w:lang w:eastAsia="en-US"/>
        </w:rPr>
        <w:footnoteReference w:id="37"/>
      </w:r>
      <w:r w:rsidR="009F2232">
        <w:rPr>
          <w:lang w:eastAsia="en-US"/>
        </w:rPr>
        <w:t xml:space="preserve"> and that contributions to the core budget are due on 1 January of each year in accordance with paragraph 8(b) of the financial procedures, and to pay promptly and in full, for each of 2024 and 2025, the contributions required to finance the expenditures approved in paragraph 1 of the decision referred to in paragraph </w:t>
      </w:r>
      <w:r w:rsidR="00A51411">
        <w:rPr>
          <w:cs/>
          <w:lang w:eastAsia="en-US"/>
        </w:rPr>
        <w:t>‎</w:t>
      </w:r>
      <w:r w:rsidR="00A51411">
        <w:rPr>
          <w:lang w:eastAsia="en-US"/>
        </w:rPr>
        <w:t>1 above</w:t>
      </w:r>
      <w:r w:rsidR="009F2232">
        <w:rPr>
          <w:lang w:eastAsia="en-US"/>
        </w:rPr>
        <w:t>;</w:t>
      </w:r>
    </w:p>
    <w:p w14:paraId="723DA046" w14:textId="13AB59DA" w:rsidR="009F2232" w:rsidRDefault="00EA119B" w:rsidP="00EA119B">
      <w:pPr>
        <w:pStyle w:val="RegSingleTxtG"/>
        <w:ind w:left="1134"/>
        <w:rPr>
          <w:lang w:eastAsia="en-US"/>
        </w:rPr>
      </w:pPr>
      <w:r>
        <w:rPr>
          <w:lang w:eastAsia="en-US"/>
        </w:rPr>
        <w:t>5.</w:t>
      </w:r>
      <w:r>
        <w:rPr>
          <w:lang w:eastAsia="en-US"/>
        </w:rPr>
        <w:tab/>
      </w:r>
      <w:r w:rsidR="009F2232" w:rsidRPr="00382450">
        <w:rPr>
          <w:i/>
          <w:iCs/>
          <w:lang w:eastAsia="en-US"/>
        </w:rPr>
        <w:t>Takes note</w:t>
      </w:r>
      <w:r w:rsidR="009F2232">
        <w:rPr>
          <w:lang w:eastAsia="en-US"/>
        </w:rPr>
        <w:t xml:space="preserve"> of the funding arrangements for the clean development mechanism and joint </w:t>
      </w:r>
      <w:r w:rsidR="009F2232" w:rsidRPr="00181310">
        <w:rPr>
          <w:iCs/>
        </w:rPr>
        <w:t>implementation</w:t>
      </w:r>
      <w:r w:rsidR="009F2232" w:rsidRPr="00181310">
        <w:rPr>
          <w:iCs/>
          <w:lang w:eastAsia="en-US"/>
        </w:rPr>
        <w:t>.</w:t>
      </w:r>
    </w:p>
    <w:p w14:paraId="7FA46E45" w14:textId="77777777" w:rsidR="009F2232" w:rsidRPr="00181310" w:rsidRDefault="009F2232" w:rsidP="009F2232">
      <w:pPr>
        <w:suppressAutoHyphens w:val="0"/>
        <w:spacing w:line="240" w:lineRule="auto"/>
        <w:rPr>
          <w:lang w:eastAsia="en-US"/>
        </w:rPr>
      </w:pPr>
      <w:r w:rsidRPr="00181310">
        <w:rPr>
          <w:lang w:eastAsia="en-US"/>
        </w:rPr>
        <w:br w:type="page"/>
      </w:r>
    </w:p>
    <w:p w14:paraId="622741A7" w14:textId="77777777" w:rsidR="009F2232" w:rsidRDefault="009F2232" w:rsidP="00EA119B">
      <w:pPr>
        <w:pStyle w:val="RegHChG"/>
        <w:ind w:hanging="454"/>
      </w:pPr>
      <w:bookmarkStart w:id="54" w:name="_Toc161219964"/>
      <w:r>
        <w:lastRenderedPageBreak/>
        <w:t>Annex</w:t>
      </w:r>
      <w:bookmarkEnd w:id="54"/>
    </w:p>
    <w:p w14:paraId="170E95C9" w14:textId="77777777" w:rsidR="009F2232" w:rsidRDefault="009F2232" w:rsidP="009F2232">
      <w:pPr>
        <w:pStyle w:val="HChG"/>
      </w:pPr>
      <w:r>
        <w:tab/>
      </w:r>
      <w:r>
        <w:tab/>
        <w:t>Indicative scale of contributions from Parties to the Kyoto Protocol for 2024–2025</w:t>
      </w:r>
    </w:p>
    <w:tbl>
      <w:tblPr>
        <w:tblW w:w="8505" w:type="dxa"/>
        <w:tblInd w:w="11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000" w:firstRow="0" w:lastRow="0" w:firstColumn="0" w:lastColumn="0" w:noHBand="0" w:noVBand="0"/>
      </w:tblPr>
      <w:tblGrid>
        <w:gridCol w:w="3584"/>
        <w:gridCol w:w="2621"/>
        <w:gridCol w:w="2300"/>
      </w:tblGrid>
      <w:tr w:rsidR="009F2232" w:rsidRPr="004153B4" w14:paraId="4C78A763" w14:textId="77777777" w:rsidTr="005440BF">
        <w:trPr>
          <w:tblHeader/>
        </w:trPr>
        <w:tc>
          <w:tcPr>
            <w:tcW w:w="0" w:type="auto"/>
            <w:tcBorders>
              <w:top w:val="single" w:sz="4" w:space="0" w:color="auto"/>
              <w:left w:val="nil"/>
              <w:bottom w:val="single" w:sz="12" w:space="0" w:color="auto"/>
              <w:right w:val="nil"/>
            </w:tcBorders>
            <w:vAlign w:val="bottom"/>
          </w:tcPr>
          <w:p w14:paraId="25950C00" w14:textId="77777777" w:rsidR="009F2232" w:rsidRPr="004153B4" w:rsidRDefault="009F2232" w:rsidP="005440BF">
            <w:pPr>
              <w:suppressAutoHyphens w:val="0"/>
              <w:spacing w:before="40" w:after="40" w:line="180" w:lineRule="exact"/>
              <w:rPr>
                <w:rFonts w:eastAsia="MS Mincho"/>
                <w:i/>
                <w:color w:val="000000"/>
                <w:sz w:val="16"/>
                <w:szCs w:val="16"/>
                <w:lang w:eastAsia="de-DE"/>
              </w:rPr>
            </w:pPr>
            <w:r w:rsidRPr="00B12324">
              <w:rPr>
                <w:rFonts w:eastAsia="MS Mincho"/>
                <w:i/>
                <w:sz w:val="16"/>
                <w:szCs w:val="16"/>
                <w:lang w:eastAsia="de-DE"/>
              </w:rPr>
              <w:t>Party</w:t>
            </w:r>
          </w:p>
        </w:tc>
        <w:tc>
          <w:tcPr>
            <w:tcW w:w="0" w:type="auto"/>
            <w:tcBorders>
              <w:top w:val="single" w:sz="4" w:space="0" w:color="auto"/>
              <w:left w:val="nil"/>
              <w:bottom w:val="single" w:sz="12" w:space="0" w:color="auto"/>
              <w:right w:val="nil"/>
            </w:tcBorders>
            <w:vAlign w:val="bottom"/>
          </w:tcPr>
          <w:p w14:paraId="61FA1684" w14:textId="77777777" w:rsidR="009F2232" w:rsidRPr="004153B4" w:rsidRDefault="009F2232" w:rsidP="005440BF">
            <w:pPr>
              <w:suppressAutoHyphens w:val="0"/>
              <w:spacing w:before="40" w:after="40" w:line="180" w:lineRule="exact"/>
              <w:jc w:val="right"/>
              <w:rPr>
                <w:rFonts w:eastAsia="MS Mincho"/>
                <w:i/>
                <w:color w:val="000000"/>
                <w:sz w:val="16"/>
                <w:szCs w:val="16"/>
                <w:lang w:eastAsia="de-DE"/>
              </w:rPr>
            </w:pPr>
            <w:r w:rsidRPr="00B12324">
              <w:rPr>
                <w:rFonts w:eastAsia="MS Mincho"/>
                <w:i/>
                <w:sz w:val="16"/>
                <w:szCs w:val="16"/>
                <w:lang w:eastAsia="de-DE"/>
              </w:rPr>
              <w:t>United Nations scale of assessments</w:t>
            </w:r>
            <w:r>
              <w:rPr>
                <w:rFonts w:eastAsia="MS Mincho"/>
                <w:i/>
                <w:sz w:val="16"/>
                <w:szCs w:val="16"/>
                <w:lang w:eastAsia="de-DE"/>
              </w:rPr>
              <w:t xml:space="preserve"> </w:t>
            </w:r>
            <w:r w:rsidRPr="00B12324">
              <w:rPr>
                <w:rFonts w:eastAsia="MS Mincho"/>
                <w:i/>
                <w:sz w:val="16"/>
                <w:szCs w:val="16"/>
                <w:lang w:eastAsia="de-DE"/>
              </w:rPr>
              <w:t>for 2022</w:t>
            </w:r>
            <w:r>
              <w:rPr>
                <w:rFonts w:eastAsia="MS Mincho"/>
                <w:i/>
                <w:sz w:val="16"/>
                <w:szCs w:val="16"/>
                <w:lang w:eastAsia="de-DE"/>
              </w:rPr>
              <w:t>–</w:t>
            </w:r>
            <w:r w:rsidRPr="00B12324">
              <w:rPr>
                <w:rFonts w:eastAsia="MS Mincho"/>
                <w:i/>
                <w:sz w:val="16"/>
                <w:szCs w:val="16"/>
                <w:lang w:eastAsia="de-DE"/>
              </w:rPr>
              <w:t>2024</w:t>
            </w:r>
            <w:r>
              <w:rPr>
                <w:rFonts w:eastAsia="MS Mincho"/>
                <w:i/>
                <w:sz w:val="16"/>
                <w:szCs w:val="16"/>
                <w:lang w:eastAsia="de-DE"/>
              </w:rPr>
              <w:t xml:space="preserve"> (%)</w:t>
            </w:r>
          </w:p>
        </w:tc>
        <w:tc>
          <w:tcPr>
            <w:tcW w:w="0" w:type="auto"/>
            <w:tcBorders>
              <w:top w:val="single" w:sz="4" w:space="0" w:color="auto"/>
              <w:left w:val="nil"/>
              <w:bottom w:val="single" w:sz="12" w:space="0" w:color="auto"/>
              <w:right w:val="nil"/>
            </w:tcBorders>
            <w:vAlign w:val="bottom"/>
          </w:tcPr>
          <w:p w14:paraId="523EC0D6" w14:textId="77777777" w:rsidR="009F2232" w:rsidRPr="004153B4" w:rsidRDefault="009F2232" w:rsidP="005440BF">
            <w:pPr>
              <w:suppressAutoHyphens w:val="0"/>
              <w:spacing w:before="40" w:after="40" w:line="180" w:lineRule="exact"/>
              <w:jc w:val="right"/>
              <w:rPr>
                <w:rFonts w:eastAsia="MS Mincho"/>
                <w:i/>
                <w:color w:val="000000"/>
                <w:sz w:val="16"/>
                <w:szCs w:val="16"/>
                <w:lang w:eastAsia="de-DE"/>
              </w:rPr>
            </w:pPr>
            <w:r w:rsidRPr="00B12324">
              <w:rPr>
                <w:rFonts w:eastAsia="MS Mincho"/>
                <w:i/>
                <w:sz w:val="16"/>
                <w:szCs w:val="16"/>
                <w:lang w:eastAsia="de-DE"/>
              </w:rPr>
              <w:t>Kyoto Protocol adjusted scale for 2024–2025</w:t>
            </w:r>
            <w:r>
              <w:rPr>
                <w:rFonts w:eastAsia="MS Mincho"/>
                <w:i/>
                <w:sz w:val="16"/>
                <w:szCs w:val="16"/>
                <w:lang w:eastAsia="de-DE"/>
              </w:rPr>
              <w:t xml:space="preserve"> (%)</w:t>
            </w:r>
          </w:p>
        </w:tc>
      </w:tr>
      <w:tr w:rsidR="009F2232" w:rsidRPr="004153B4" w14:paraId="5DD239AD" w14:textId="77777777" w:rsidTr="005440BF">
        <w:tc>
          <w:tcPr>
            <w:tcW w:w="0" w:type="auto"/>
            <w:tcBorders>
              <w:top w:val="nil"/>
              <w:left w:val="nil"/>
              <w:bottom w:val="nil"/>
              <w:right w:val="nil"/>
            </w:tcBorders>
            <w:vAlign w:val="center"/>
          </w:tcPr>
          <w:p w14:paraId="4BBA4C0B" w14:textId="77777777" w:rsidR="009F2232" w:rsidRPr="004153B4" w:rsidRDefault="009F2232" w:rsidP="005440BF">
            <w:pPr>
              <w:suppressAutoHyphens w:val="0"/>
              <w:spacing w:before="40" w:after="40" w:line="200" w:lineRule="exact"/>
              <w:rPr>
                <w:rFonts w:eastAsia="Arial Unicode MS"/>
                <w:color w:val="000000"/>
                <w:sz w:val="18"/>
                <w:szCs w:val="18"/>
                <w:lang w:eastAsia="de-DE"/>
              </w:rPr>
            </w:pPr>
            <w:r>
              <w:rPr>
                <w:color w:val="000000"/>
                <w:sz w:val="18"/>
                <w:szCs w:val="18"/>
              </w:rPr>
              <w:t>Afghanistan</w:t>
            </w:r>
          </w:p>
        </w:tc>
        <w:tc>
          <w:tcPr>
            <w:tcW w:w="0" w:type="auto"/>
            <w:tcBorders>
              <w:top w:val="nil"/>
              <w:left w:val="nil"/>
              <w:bottom w:val="nil"/>
              <w:right w:val="nil"/>
            </w:tcBorders>
            <w:vAlign w:val="bottom"/>
          </w:tcPr>
          <w:p w14:paraId="45041BFC" w14:textId="77777777" w:rsidR="009F2232" w:rsidRPr="004153B4" w:rsidRDefault="009F2232" w:rsidP="005440BF">
            <w:pPr>
              <w:suppressAutoHyphens w:val="0"/>
              <w:spacing w:before="40" w:after="40" w:line="200" w:lineRule="exact"/>
              <w:jc w:val="right"/>
              <w:rPr>
                <w:rFonts w:eastAsia="Arial Unicode MS"/>
                <w:color w:val="000000"/>
                <w:sz w:val="18"/>
                <w:szCs w:val="18"/>
                <w:lang w:eastAsia="de-DE"/>
              </w:rPr>
            </w:pPr>
            <w:r>
              <w:rPr>
                <w:color w:val="000000"/>
                <w:sz w:val="18"/>
                <w:szCs w:val="18"/>
              </w:rPr>
              <w:t>0.006</w:t>
            </w:r>
          </w:p>
        </w:tc>
        <w:tc>
          <w:tcPr>
            <w:tcW w:w="0" w:type="auto"/>
            <w:tcBorders>
              <w:top w:val="nil"/>
              <w:left w:val="nil"/>
              <w:bottom w:val="nil"/>
              <w:right w:val="nil"/>
            </w:tcBorders>
            <w:vAlign w:val="bottom"/>
          </w:tcPr>
          <w:p w14:paraId="49B27228" w14:textId="77777777" w:rsidR="009F2232" w:rsidRPr="004153B4" w:rsidRDefault="009F2232" w:rsidP="005440BF">
            <w:pPr>
              <w:suppressAutoHyphens w:val="0"/>
              <w:spacing w:before="40" w:after="40" w:line="200" w:lineRule="exact"/>
              <w:jc w:val="right"/>
              <w:rPr>
                <w:rFonts w:eastAsia="Arial Unicode MS"/>
                <w:color w:val="000000"/>
                <w:sz w:val="18"/>
                <w:szCs w:val="18"/>
                <w:lang w:eastAsia="de-DE"/>
              </w:rPr>
            </w:pPr>
            <w:r>
              <w:rPr>
                <w:color w:val="000000"/>
                <w:sz w:val="18"/>
                <w:szCs w:val="18"/>
              </w:rPr>
              <w:t>0.008</w:t>
            </w:r>
          </w:p>
        </w:tc>
      </w:tr>
      <w:tr w:rsidR="009F2232" w:rsidRPr="004153B4" w14:paraId="342F2074" w14:textId="77777777" w:rsidTr="005440BF">
        <w:tc>
          <w:tcPr>
            <w:tcW w:w="0" w:type="auto"/>
            <w:tcBorders>
              <w:top w:val="nil"/>
              <w:left w:val="nil"/>
              <w:bottom w:val="nil"/>
              <w:right w:val="nil"/>
            </w:tcBorders>
            <w:vAlign w:val="center"/>
          </w:tcPr>
          <w:p w14:paraId="64FB972F" w14:textId="77777777" w:rsidR="009F2232" w:rsidRPr="004153B4" w:rsidRDefault="009F2232" w:rsidP="005440BF">
            <w:pPr>
              <w:suppressAutoHyphens w:val="0"/>
              <w:spacing w:before="40" w:after="40" w:line="200" w:lineRule="exact"/>
              <w:rPr>
                <w:rFonts w:eastAsia="Arial Unicode MS"/>
                <w:color w:val="000000"/>
                <w:sz w:val="18"/>
                <w:szCs w:val="18"/>
                <w:lang w:eastAsia="de-DE"/>
              </w:rPr>
            </w:pPr>
            <w:r>
              <w:rPr>
                <w:color w:val="000000"/>
                <w:sz w:val="18"/>
                <w:szCs w:val="18"/>
              </w:rPr>
              <w:t>Albania</w:t>
            </w:r>
          </w:p>
        </w:tc>
        <w:tc>
          <w:tcPr>
            <w:tcW w:w="0" w:type="auto"/>
            <w:tcBorders>
              <w:top w:val="nil"/>
              <w:left w:val="nil"/>
              <w:bottom w:val="nil"/>
              <w:right w:val="nil"/>
            </w:tcBorders>
            <w:vAlign w:val="bottom"/>
          </w:tcPr>
          <w:p w14:paraId="22E3D126" w14:textId="77777777" w:rsidR="009F2232" w:rsidRPr="004153B4" w:rsidRDefault="009F2232" w:rsidP="005440BF">
            <w:pPr>
              <w:suppressAutoHyphens w:val="0"/>
              <w:spacing w:before="40" w:after="40" w:line="200" w:lineRule="exact"/>
              <w:jc w:val="right"/>
              <w:rPr>
                <w:rFonts w:eastAsia="Arial Unicode MS"/>
                <w:color w:val="000000"/>
                <w:sz w:val="18"/>
                <w:szCs w:val="18"/>
                <w:lang w:eastAsia="de-DE"/>
              </w:rPr>
            </w:pPr>
            <w:r>
              <w:rPr>
                <w:color w:val="000000"/>
                <w:sz w:val="18"/>
                <w:szCs w:val="18"/>
              </w:rPr>
              <w:t>0.008</w:t>
            </w:r>
          </w:p>
        </w:tc>
        <w:tc>
          <w:tcPr>
            <w:tcW w:w="0" w:type="auto"/>
            <w:tcBorders>
              <w:top w:val="nil"/>
              <w:left w:val="nil"/>
              <w:bottom w:val="nil"/>
              <w:right w:val="nil"/>
            </w:tcBorders>
            <w:vAlign w:val="bottom"/>
          </w:tcPr>
          <w:p w14:paraId="18DB67F0" w14:textId="77777777" w:rsidR="009F2232" w:rsidRPr="004153B4" w:rsidRDefault="009F2232" w:rsidP="005440BF">
            <w:pPr>
              <w:suppressAutoHyphens w:val="0"/>
              <w:spacing w:before="40" w:after="40" w:line="200" w:lineRule="exact"/>
              <w:jc w:val="right"/>
              <w:rPr>
                <w:rFonts w:eastAsia="Arial Unicode MS"/>
                <w:color w:val="000000"/>
                <w:sz w:val="18"/>
                <w:szCs w:val="18"/>
                <w:lang w:eastAsia="de-DE"/>
              </w:rPr>
            </w:pPr>
            <w:r>
              <w:rPr>
                <w:color w:val="000000"/>
                <w:sz w:val="18"/>
                <w:szCs w:val="18"/>
              </w:rPr>
              <w:t>0.010</w:t>
            </w:r>
          </w:p>
        </w:tc>
      </w:tr>
      <w:tr w:rsidR="009F2232" w:rsidRPr="004153B4" w14:paraId="6135899F" w14:textId="77777777" w:rsidTr="005440BF">
        <w:tc>
          <w:tcPr>
            <w:tcW w:w="0" w:type="auto"/>
            <w:tcBorders>
              <w:top w:val="nil"/>
              <w:left w:val="nil"/>
              <w:bottom w:val="nil"/>
              <w:right w:val="nil"/>
            </w:tcBorders>
            <w:vAlign w:val="center"/>
          </w:tcPr>
          <w:p w14:paraId="0EFCD9CF" w14:textId="77777777" w:rsidR="009F2232" w:rsidRPr="004153B4" w:rsidRDefault="009F2232" w:rsidP="005440BF">
            <w:pPr>
              <w:suppressAutoHyphens w:val="0"/>
              <w:spacing w:before="40" w:after="40" w:line="200" w:lineRule="exact"/>
              <w:rPr>
                <w:rFonts w:eastAsia="MS Mincho"/>
                <w:sz w:val="18"/>
                <w:szCs w:val="18"/>
                <w:lang w:eastAsia="de-DE"/>
              </w:rPr>
            </w:pPr>
            <w:r>
              <w:rPr>
                <w:color w:val="000000"/>
                <w:sz w:val="18"/>
                <w:szCs w:val="18"/>
              </w:rPr>
              <w:t>Algeria</w:t>
            </w:r>
          </w:p>
        </w:tc>
        <w:tc>
          <w:tcPr>
            <w:tcW w:w="0" w:type="auto"/>
            <w:tcBorders>
              <w:top w:val="nil"/>
              <w:left w:val="nil"/>
              <w:bottom w:val="nil"/>
              <w:right w:val="nil"/>
            </w:tcBorders>
            <w:vAlign w:val="bottom"/>
          </w:tcPr>
          <w:p w14:paraId="153CA19C" w14:textId="77777777" w:rsidR="009F2232" w:rsidRPr="004153B4" w:rsidRDefault="009F2232" w:rsidP="005440BF">
            <w:pPr>
              <w:suppressAutoHyphens w:val="0"/>
              <w:spacing w:before="40" w:after="40" w:line="200" w:lineRule="exact"/>
              <w:jc w:val="right"/>
              <w:rPr>
                <w:rFonts w:eastAsia="MS Mincho"/>
                <w:sz w:val="18"/>
                <w:szCs w:val="18"/>
                <w:lang w:eastAsia="de-DE"/>
              </w:rPr>
            </w:pPr>
            <w:r>
              <w:rPr>
                <w:color w:val="000000"/>
                <w:sz w:val="18"/>
                <w:szCs w:val="18"/>
              </w:rPr>
              <w:t>0.109</w:t>
            </w:r>
          </w:p>
        </w:tc>
        <w:tc>
          <w:tcPr>
            <w:tcW w:w="0" w:type="auto"/>
            <w:tcBorders>
              <w:top w:val="nil"/>
              <w:left w:val="nil"/>
              <w:bottom w:val="nil"/>
              <w:right w:val="nil"/>
            </w:tcBorders>
            <w:vAlign w:val="bottom"/>
          </w:tcPr>
          <w:p w14:paraId="5210951E" w14:textId="77777777" w:rsidR="009F2232" w:rsidRPr="004153B4" w:rsidRDefault="009F2232" w:rsidP="005440BF">
            <w:pPr>
              <w:suppressAutoHyphens w:val="0"/>
              <w:spacing w:before="40" w:after="40" w:line="200" w:lineRule="exact"/>
              <w:jc w:val="right"/>
              <w:rPr>
                <w:rFonts w:eastAsia="MS Mincho"/>
                <w:sz w:val="18"/>
                <w:szCs w:val="18"/>
                <w:lang w:eastAsia="de-DE"/>
              </w:rPr>
            </w:pPr>
            <w:r>
              <w:rPr>
                <w:color w:val="000000"/>
                <w:sz w:val="18"/>
                <w:szCs w:val="18"/>
              </w:rPr>
              <w:t>0.141</w:t>
            </w:r>
          </w:p>
        </w:tc>
      </w:tr>
      <w:tr w:rsidR="009F2232" w:rsidRPr="004153B4" w14:paraId="4C4A173A" w14:textId="77777777" w:rsidTr="005440BF">
        <w:tc>
          <w:tcPr>
            <w:tcW w:w="0" w:type="auto"/>
            <w:tcBorders>
              <w:top w:val="nil"/>
              <w:left w:val="nil"/>
              <w:bottom w:val="nil"/>
              <w:right w:val="nil"/>
            </w:tcBorders>
            <w:vAlign w:val="center"/>
          </w:tcPr>
          <w:p w14:paraId="5DED7DEA" w14:textId="77777777" w:rsidR="009F2232" w:rsidRPr="004153B4" w:rsidRDefault="009F2232" w:rsidP="005440BF">
            <w:pPr>
              <w:suppressAutoHyphens w:val="0"/>
              <w:spacing w:before="40" w:after="40" w:line="200" w:lineRule="exact"/>
              <w:rPr>
                <w:rFonts w:eastAsia="Arial Unicode MS"/>
                <w:color w:val="000000"/>
                <w:sz w:val="18"/>
                <w:szCs w:val="18"/>
                <w:lang w:eastAsia="de-DE"/>
              </w:rPr>
            </w:pPr>
            <w:r>
              <w:rPr>
                <w:color w:val="000000"/>
                <w:sz w:val="18"/>
                <w:szCs w:val="18"/>
              </w:rPr>
              <w:t>Angola</w:t>
            </w:r>
          </w:p>
        </w:tc>
        <w:tc>
          <w:tcPr>
            <w:tcW w:w="0" w:type="auto"/>
            <w:tcBorders>
              <w:top w:val="nil"/>
              <w:left w:val="nil"/>
              <w:bottom w:val="nil"/>
              <w:right w:val="nil"/>
            </w:tcBorders>
            <w:vAlign w:val="bottom"/>
          </w:tcPr>
          <w:p w14:paraId="7B045C16" w14:textId="77777777" w:rsidR="009F2232" w:rsidRPr="004153B4" w:rsidRDefault="009F2232" w:rsidP="005440BF">
            <w:pPr>
              <w:suppressAutoHyphens w:val="0"/>
              <w:spacing w:before="40" w:after="40" w:line="200" w:lineRule="exact"/>
              <w:jc w:val="right"/>
              <w:rPr>
                <w:rFonts w:eastAsia="Arial Unicode MS"/>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714DAF46" w14:textId="77777777" w:rsidR="009F2232" w:rsidRPr="004153B4" w:rsidRDefault="009F2232" w:rsidP="005440BF">
            <w:pPr>
              <w:suppressAutoHyphens w:val="0"/>
              <w:spacing w:before="40" w:after="40" w:line="200" w:lineRule="exact"/>
              <w:jc w:val="right"/>
              <w:rPr>
                <w:rFonts w:eastAsia="Arial Unicode MS"/>
                <w:color w:val="000000"/>
                <w:sz w:val="18"/>
                <w:szCs w:val="18"/>
                <w:lang w:eastAsia="de-DE"/>
              </w:rPr>
            </w:pPr>
            <w:r>
              <w:rPr>
                <w:color w:val="000000"/>
                <w:sz w:val="18"/>
                <w:szCs w:val="18"/>
              </w:rPr>
              <w:t>0.013</w:t>
            </w:r>
          </w:p>
        </w:tc>
      </w:tr>
      <w:tr w:rsidR="009F2232" w:rsidRPr="004153B4" w14:paraId="155369A2" w14:textId="77777777" w:rsidTr="005440BF">
        <w:tc>
          <w:tcPr>
            <w:tcW w:w="0" w:type="auto"/>
            <w:tcBorders>
              <w:top w:val="nil"/>
              <w:left w:val="nil"/>
              <w:bottom w:val="nil"/>
              <w:right w:val="nil"/>
            </w:tcBorders>
            <w:vAlign w:val="center"/>
          </w:tcPr>
          <w:p w14:paraId="5169DD3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Antigua and Barbuda</w:t>
            </w:r>
          </w:p>
        </w:tc>
        <w:tc>
          <w:tcPr>
            <w:tcW w:w="0" w:type="auto"/>
            <w:tcBorders>
              <w:top w:val="nil"/>
              <w:left w:val="nil"/>
              <w:bottom w:val="nil"/>
              <w:right w:val="nil"/>
            </w:tcBorders>
            <w:vAlign w:val="bottom"/>
          </w:tcPr>
          <w:p w14:paraId="65587C5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0.002</w:t>
            </w:r>
          </w:p>
        </w:tc>
        <w:tc>
          <w:tcPr>
            <w:tcW w:w="0" w:type="auto"/>
            <w:tcBorders>
              <w:top w:val="nil"/>
              <w:left w:val="nil"/>
              <w:bottom w:val="nil"/>
              <w:right w:val="nil"/>
            </w:tcBorders>
            <w:vAlign w:val="bottom"/>
          </w:tcPr>
          <w:p w14:paraId="0EA61A8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r>
      <w:tr w:rsidR="009F2232" w:rsidRPr="004153B4" w14:paraId="77F89570" w14:textId="77777777" w:rsidTr="005440BF">
        <w:tc>
          <w:tcPr>
            <w:tcW w:w="0" w:type="auto"/>
            <w:tcBorders>
              <w:top w:val="nil"/>
              <w:left w:val="nil"/>
              <w:bottom w:val="nil"/>
              <w:right w:val="nil"/>
            </w:tcBorders>
            <w:vAlign w:val="center"/>
          </w:tcPr>
          <w:p w14:paraId="3C082A1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Argentina</w:t>
            </w:r>
          </w:p>
        </w:tc>
        <w:tc>
          <w:tcPr>
            <w:tcW w:w="0" w:type="auto"/>
            <w:tcBorders>
              <w:top w:val="nil"/>
              <w:left w:val="nil"/>
              <w:bottom w:val="nil"/>
              <w:right w:val="nil"/>
            </w:tcBorders>
            <w:vAlign w:val="bottom"/>
          </w:tcPr>
          <w:p w14:paraId="2044989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0.719</w:t>
            </w:r>
          </w:p>
        </w:tc>
        <w:tc>
          <w:tcPr>
            <w:tcW w:w="0" w:type="auto"/>
            <w:tcBorders>
              <w:top w:val="nil"/>
              <w:left w:val="nil"/>
              <w:bottom w:val="nil"/>
              <w:right w:val="nil"/>
            </w:tcBorders>
            <w:vAlign w:val="bottom"/>
          </w:tcPr>
          <w:p w14:paraId="029DBA1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0.930</w:t>
            </w:r>
          </w:p>
        </w:tc>
      </w:tr>
      <w:tr w:rsidR="009F2232" w:rsidRPr="004153B4" w14:paraId="5D87ECA8" w14:textId="77777777" w:rsidTr="005440BF">
        <w:tc>
          <w:tcPr>
            <w:tcW w:w="0" w:type="auto"/>
            <w:tcBorders>
              <w:top w:val="nil"/>
              <w:left w:val="nil"/>
              <w:bottom w:val="nil"/>
              <w:right w:val="nil"/>
            </w:tcBorders>
            <w:vAlign w:val="center"/>
          </w:tcPr>
          <w:p w14:paraId="1689D36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Armenia</w:t>
            </w:r>
          </w:p>
        </w:tc>
        <w:tc>
          <w:tcPr>
            <w:tcW w:w="0" w:type="auto"/>
            <w:tcBorders>
              <w:top w:val="nil"/>
              <w:left w:val="nil"/>
              <w:bottom w:val="nil"/>
              <w:right w:val="nil"/>
            </w:tcBorders>
            <w:vAlign w:val="bottom"/>
          </w:tcPr>
          <w:p w14:paraId="40805F4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0.007</w:t>
            </w:r>
          </w:p>
        </w:tc>
        <w:tc>
          <w:tcPr>
            <w:tcW w:w="0" w:type="auto"/>
            <w:tcBorders>
              <w:top w:val="nil"/>
              <w:left w:val="nil"/>
              <w:bottom w:val="nil"/>
              <w:right w:val="nil"/>
            </w:tcBorders>
            <w:vAlign w:val="bottom"/>
          </w:tcPr>
          <w:p w14:paraId="17D4E5F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0.009</w:t>
            </w:r>
          </w:p>
        </w:tc>
      </w:tr>
      <w:tr w:rsidR="009F2232" w:rsidRPr="004153B4" w14:paraId="5BF18398" w14:textId="77777777" w:rsidTr="005440BF">
        <w:tc>
          <w:tcPr>
            <w:tcW w:w="0" w:type="auto"/>
            <w:tcBorders>
              <w:top w:val="nil"/>
              <w:left w:val="nil"/>
              <w:bottom w:val="nil"/>
              <w:right w:val="nil"/>
            </w:tcBorders>
            <w:vAlign w:val="center"/>
          </w:tcPr>
          <w:p w14:paraId="428EC964"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Australia</w:t>
            </w:r>
          </w:p>
        </w:tc>
        <w:tc>
          <w:tcPr>
            <w:tcW w:w="0" w:type="auto"/>
            <w:tcBorders>
              <w:top w:val="nil"/>
              <w:left w:val="nil"/>
              <w:bottom w:val="nil"/>
              <w:right w:val="nil"/>
            </w:tcBorders>
            <w:vAlign w:val="bottom"/>
          </w:tcPr>
          <w:p w14:paraId="7AD0CB6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2.111</w:t>
            </w:r>
          </w:p>
        </w:tc>
        <w:tc>
          <w:tcPr>
            <w:tcW w:w="0" w:type="auto"/>
            <w:tcBorders>
              <w:top w:val="nil"/>
              <w:left w:val="nil"/>
              <w:bottom w:val="nil"/>
              <w:right w:val="nil"/>
            </w:tcBorders>
            <w:vAlign w:val="bottom"/>
          </w:tcPr>
          <w:p w14:paraId="37192D7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2.731</w:t>
            </w:r>
          </w:p>
        </w:tc>
      </w:tr>
      <w:tr w:rsidR="009F2232" w:rsidRPr="004153B4" w14:paraId="069CBF03" w14:textId="77777777" w:rsidTr="005440BF">
        <w:tc>
          <w:tcPr>
            <w:tcW w:w="0" w:type="auto"/>
            <w:tcBorders>
              <w:top w:val="nil"/>
              <w:left w:val="nil"/>
              <w:bottom w:val="nil"/>
              <w:right w:val="nil"/>
            </w:tcBorders>
            <w:vAlign w:val="center"/>
          </w:tcPr>
          <w:p w14:paraId="5B5250DC"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Austria</w:t>
            </w:r>
          </w:p>
        </w:tc>
        <w:tc>
          <w:tcPr>
            <w:tcW w:w="0" w:type="auto"/>
            <w:tcBorders>
              <w:top w:val="nil"/>
              <w:left w:val="nil"/>
              <w:bottom w:val="nil"/>
              <w:right w:val="nil"/>
            </w:tcBorders>
            <w:vAlign w:val="bottom"/>
          </w:tcPr>
          <w:p w14:paraId="7FF4DE5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0.679</w:t>
            </w:r>
          </w:p>
        </w:tc>
        <w:tc>
          <w:tcPr>
            <w:tcW w:w="0" w:type="auto"/>
            <w:tcBorders>
              <w:top w:val="nil"/>
              <w:left w:val="nil"/>
              <w:bottom w:val="nil"/>
              <w:right w:val="nil"/>
            </w:tcBorders>
            <w:vAlign w:val="bottom"/>
          </w:tcPr>
          <w:p w14:paraId="70018D7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0.878</w:t>
            </w:r>
          </w:p>
        </w:tc>
      </w:tr>
      <w:tr w:rsidR="009F2232" w:rsidRPr="004153B4" w14:paraId="360C4D63" w14:textId="77777777" w:rsidTr="005440BF">
        <w:tc>
          <w:tcPr>
            <w:tcW w:w="0" w:type="auto"/>
            <w:tcBorders>
              <w:top w:val="nil"/>
              <w:left w:val="nil"/>
              <w:bottom w:val="nil"/>
              <w:right w:val="nil"/>
            </w:tcBorders>
            <w:vAlign w:val="center"/>
          </w:tcPr>
          <w:p w14:paraId="4658932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Azerbaijan</w:t>
            </w:r>
          </w:p>
        </w:tc>
        <w:tc>
          <w:tcPr>
            <w:tcW w:w="0" w:type="auto"/>
            <w:tcBorders>
              <w:top w:val="nil"/>
              <w:left w:val="nil"/>
              <w:bottom w:val="nil"/>
              <w:right w:val="nil"/>
            </w:tcBorders>
            <w:vAlign w:val="bottom"/>
          </w:tcPr>
          <w:p w14:paraId="4F1240C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0.030</w:t>
            </w:r>
          </w:p>
        </w:tc>
        <w:tc>
          <w:tcPr>
            <w:tcW w:w="0" w:type="auto"/>
            <w:tcBorders>
              <w:top w:val="nil"/>
              <w:left w:val="nil"/>
              <w:bottom w:val="nil"/>
              <w:right w:val="nil"/>
            </w:tcBorders>
            <w:vAlign w:val="bottom"/>
          </w:tcPr>
          <w:p w14:paraId="0A4C8EB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0.039</w:t>
            </w:r>
          </w:p>
        </w:tc>
      </w:tr>
      <w:tr w:rsidR="009F2232" w:rsidRPr="004153B4" w14:paraId="7AFDAB74" w14:textId="77777777" w:rsidTr="005440BF">
        <w:tc>
          <w:tcPr>
            <w:tcW w:w="0" w:type="auto"/>
            <w:tcBorders>
              <w:top w:val="nil"/>
              <w:left w:val="nil"/>
              <w:bottom w:val="nil"/>
              <w:right w:val="nil"/>
            </w:tcBorders>
            <w:vAlign w:val="center"/>
          </w:tcPr>
          <w:p w14:paraId="1101A45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Bahamas</w:t>
            </w:r>
          </w:p>
        </w:tc>
        <w:tc>
          <w:tcPr>
            <w:tcW w:w="0" w:type="auto"/>
            <w:tcBorders>
              <w:top w:val="nil"/>
              <w:left w:val="nil"/>
              <w:bottom w:val="nil"/>
              <w:right w:val="nil"/>
            </w:tcBorders>
            <w:vAlign w:val="bottom"/>
          </w:tcPr>
          <w:p w14:paraId="0709404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0.019</w:t>
            </w:r>
          </w:p>
        </w:tc>
        <w:tc>
          <w:tcPr>
            <w:tcW w:w="0" w:type="auto"/>
            <w:tcBorders>
              <w:top w:val="nil"/>
              <w:left w:val="nil"/>
              <w:bottom w:val="nil"/>
              <w:right w:val="nil"/>
            </w:tcBorders>
            <w:vAlign w:val="bottom"/>
          </w:tcPr>
          <w:p w14:paraId="08F35B2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0.025</w:t>
            </w:r>
          </w:p>
        </w:tc>
      </w:tr>
      <w:tr w:rsidR="009F2232" w:rsidRPr="004153B4" w14:paraId="7DC75AAD" w14:textId="77777777" w:rsidTr="005440BF">
        <w:tc>
          <w:tcPr>
            <w:tcW w:w="0" w:type="auto"/>
            <w:tcBorders>
              <w:top w:val="nil"/>
              <w:left w:val="nil"/>
              <w:bottom w:val="nil"/>
              <w:right w:val="nil"/>
            </w:tcBorders>
            <w:vAlign w:val="center"/>
          </w:tcPr>
          <w:p w14:paraId="70A786BC"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Bahrain</w:t>
            </w:r>
          </w:p>
        </w:tc>
        <w:tc>
          <w:tcPr>
            <w:tcW w:w="0" w:type="auto"/>
            <w:tcBorders>
              <w:top w:val="nil"/>
              <w:left w:val="nil"/>
              <w:bottom w:val="nil"/>
              <w:right w:val="nil"/>
            </w:tcBorders>
            <w:vAlign w:val="bottom"/>
          </w:tcPr>
          <w:p w14:paraId="65E8D56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0.054</w:t>
            </w:r>
          </w:p>
        </w:tc>
        <w:tc>
          <w:tcPr>
            <w:tcW w:w="0" w:type="auto"/>
            <w:tcBorders>
              <w:top w:val="nil"/>
              <w:left w:val="nil"/>
              <w:bottom w:val="nil"/>
              <w:right w:val="nil"/>
            </w:tcBorders>
            <w:vAlign w:val="bottom"/>
          </w:tcPr>
          <w:p w14:paraId="304FBB0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0.070</w:t>
            </w:r>
          </w:p>
        </w:tc>
      </w:tr>
      <w:tr w:rsidR="009F2232" w:rsidRPr="004153B4" w14:paraId="5AC2010A" w14:textId="77777777" w:rsidTr="005440BF">
        <w:tc>
          <w:tcPr>
            <w:tcW w:w="0" w:type="auto"/>
            <w:tcBorders>
              <w:top w:val="nil"/>
              <w:left w:val="nil"/>
              <w:bottom w:val="nil"/>
              <w:right w:val="nil"/>
            </w:tcBorders>
            <w:vAlign w:val="center"/>
          </w:tcPr>
          <w:p w14:paraId="63EE9C3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Bangladesh</w:t>
            </w:r>
          </w:p>
        </w:tc>
        <w:tc>
          <w:tcPr>
            <w:tcW w:w="0" w:type="auto"/>
            <w:tcBorders>
              <w:top w:val="nil"/>
              <w:left w:val="nil"/>
              <w:bottom w:val="nil"/>
              <w:right w:val="nil"/>
            </w:tcBorders>
            <w:vAlign w:val="bottom"/>
          </w:tcPr>
          <w:p w14:paraId="53EB4C6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04DE2F1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r>
      <w:tr w:rsidR="009F2232" w:rsidRPr="004153B4" w14:paraId="21D9518D" w14:textId="77777777" w:rsidTr="005440BF">
        <w:tc>
          <w:tcPr>
            <w:tcW w:w="0" w:type="auto"/>
            <w:tcBorders>
              <w:top w:val="nil"/>
              <w:left w:val="nil"/>
              <w:bottom w:val="nil"/>
              <w:right w:val="nil"/>
            </w:tcBorders>
            <w:vAlign w:val="center"/>
          </w:tcPr>
          <w:p w14:paraId="5FAEBB7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Barbados</w:t>
            </w:r>
          </w:p>
        </w:tc>
        <w:tc>
          <w:tcPr>
            <w:tcW w:w="0" w:type="auto"/>
            <w:tcBorders>
              <w:top w:val="nil"/>
              <w:left w:val="nil"/>
              <w:bottom w:val="nil"/>
              <w:right w:val="nil"/>
            </w:tcBorders>
            <w:vAlign w:val="bottom"/>
          </w:tcPr>
          <w:p w14:paraId="4D5BA8F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0.008</w:t>
            </w:r>
          </w:p>
        </w:tc>
        <w:tc>
          <w:tcPr>
            <w:tcW w:w="0" w:type="auto"/>
            <w:tcBorders>
              <w:top w:val="nil"/>
              <w:left w:val="nil"/>
              <w:bottom w:val="nil"/>
              <w:right w:val="nil"/>
            </w:tcBorders>
            <w:vAlign w:val="bottom"/>
          </w:tcPr>
          <w:p w14:paraId="506DDD8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r>
      <w:tr w:rsidR="009F2232" w:rsidRPr="004153B4" w14:paraId="602EBE2E" w14:textId="77777777" w:rsidTr="005440BF">
        <w:tc>
          <w:tcPr>
            <w:tcW w:w="0" w:type="auto"/>
            <w:tcBorders>
              <w:top w:val="nil"/>
              <w:left w:val="nil"/>
              <w:bottom w:val="nil"/>
              <w:right w:val="nil"/>
            </w:tcBorders>
            <w:vAlign w:val="center"/>
          </w:tcPr>
          <w:p w14:paraId="291A5435"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Belarus</w:t>
            </w:r>
          </w:p>
        </w:tc>
        <w:tc>
          <w:tcPr>
            <w:tcW w:w="0" w:type="auto"/>
            <w:tcBorders>
              <w:top w:val="nil"/>
              <w:left w:val="nil"/>
              <w:bottom w:val="nil"/>
              <w:right w:val="nil"/>
            </w:tcBorders>
            <w:vAlign w:val="bottom"/>
          </w:tcPr>
          <w:p w14:paraId="721D41C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0.041</w:t>
            </w:r>
          </w:p>
        </w:tc>
        <w:tc>
          <w:tcPr>
            <w:tcW w:w="0" w:type="auto"/>
            <w:tcBorders>
              <w:top w:val="nil"/>
              <w:left w:val="nil"/>
              <w:bottom w:val="nil"/>
              <w:right w:val="nil"/>
            </w:tcBorders>
            <w:vAlign w:val="bottom"/>
          </w:tcPr>
          <w:p w14:paraId="6770746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0.053</w:t>
            </w:r>
          </w:p>
        </w:tc>
      </w:tr>
      <w:tr w:rsidR="009F2232" w:rsidRPr="004153B4" w14:paraId="440085F7" w14:textId="77777777" w:rsidTr="005440BF">
        <w:tc>
          <w:tcPr>
            <w:tcW w:w="0" w:type="auto"/>
            <w:tcBorders>
              <w:top w:val="nil"/>
              <w:left w:val="nil"/>
              <w:bottom w:val="nil"/>
              <w:right w:val="nil"/>
            </w:tcBorders>
            <w:vAlign w:val="center"/>
          </w:tcPr>
          <w:p w14:paraId="7C42C2F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Belgium</w:t>
            </w:r>
          </w:p>
        </w:tc>
        <w:tc>
          <w:tcPr>
            <w:tcW w:w="0" w:type="auto"/>
            <w:tcBorders>
              <w:top w:val="nil"/>
              <w:left w:val="nil"/>
              <w:bottom w:val="nil"/>
              <w:right w:val="nil"/>
            </w:tcBorders>
            <w:vAlign w:val="bottom"/>
          </w:tcPr>
          <w:p w14:paraId="283EC99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0.828</w:t>
            </w:r>
          </w:p>
        </w:tc>
        <w:tc>
          <w:tcPr>
            <w:tcW w:w="0" w:type="auto"/>
            <w:tcBorders>
              <w:top w:val="nil"/>
              <w:left w:val="nil"/>
              <w:bottom w:val="nil"/>
              <w:right w:val="nil"/>
            </w:tcBorders>
            <w:vAlign w:val="bottom"/>
          </w:tcPr>
          <w:p w14:paraId="0BC948F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1.071</w:t>
            </w:r>
          </w:p>
        </w:tc>
      </w:tr>
      <w:tr w:rsidR="009F2232" w:rsidRPr="004153B4" w14:paraId="21AEE37F" w14:textId="77777777" w:rsidTr="005440BF">
        <w:tc>
          <w:tcPr>
            <w:tcW w:w="0" w:type="auto"/>
            <w:tcBorders>
              <w:top w:val="nil"/>
              <w:left w:val="nil"/>
              <w:bottom w:val="nil"/>
              <w:right w:val="nil"/>
            </w:tcBorders>
            <w:vAlign w:val="center"/>
          </w:tcPr>
          <w:p w14:paraId="63203FF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Belize</w:t>
            </w:r>
          </w:p>
        </w:tc>
        <w:tc>
          <w:tcPr>
            <w:tcW w:w="0" w:type="auto"/>
            <w:tcBorders>
              <w:top w:val="nil"/>
              <w:left w:val="nil"/>
              <w:bottom w:val="nil"/>
              <w:right w:val="nil"/>
            </w:tcBorders>
            <w:vAlign w:val="bottom"/>
          </w:tcPr>
          <w:p w14:paraId="67424AB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7538DE2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1B27C38C" w14:textId="77777777" w:rsidTr="005440BF">
        <w:tc>
          <w:tcPr>
            <w:tcW w:w="0" w:type="auto"/>
            <w:tcBorders>
              <w:top w:val="nil"/>
              <w:left w:val="nil"/>
              <w:bottom w:val="nil"/>
              <w:right w:val="nil"/>
            </w:tcBorders>
            <w:vAlign w:val="center"/>
          </w:tcPr>
          <w:p w14:paraId="4D5A3F8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Benin</w:t>
            </w:r>
          </w:p>
        </w:tc>
        <w:tc>
          <w:tcPr>
            <w:tcW w:w="0" w:type="auto"/>
            <w:tcBorders>
              <w:top w:val="nil"/>
              <w:left w:val="nil"/>
              <w:bottom w:val="nil"/>
              <w:right w:val="nil"/>
            </w:tcBorders>
            <w:vAlign w:val="bottom"/>
          </w:tcPr>
          <w:p w14:paraId="1A42EC7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c>
          <w:tcPr>
            <w:tcW w:w="0" w:type="auto"/>
            <w:tcBorders>
              <w:top w:val="nil"/>
              <w:left w:val="nil"/>
              <w:bottom w:val="nil"/>
              <w:right w:val="nil"/>
            </w:tcBorders>
            <w:vAlign w:val="bottom"/>
          </w:tcPr>
          <w:p w14:paraId="1476585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0.006</w:t>
            </w:r>
          </w:p>
        </w:tc>
      </w:tr>
      <w:tr w:rsidR="009F2232" w:rsidRPr="004153B4" w14:paraId="69FCF60E" w14:textId="77777777" w:rsidTr="005440BF">
        <w:tc>
          <w:tcPr>
            <w:tcW w:w="0" w:type="auto"/>
            <w:tcBorders>
              <w:top w:val="nil"/>
              <w:left w:val="nil"/>
              <w:bottom w:val="nil"/>
              <w:right w:val="nil"/>
            </w:tcBorders>
            <w:vAlign w:val="center"/>
          </w:tcPr>
          <w:p w14:paraId="5F857F57"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Bhutan</w:t>
            </w:r>
          </w:p>
        </w:tc>
        <w:tc>
          <w:tcPr>
            <w:tcW w:w="0" w:type="auto"/>
            <w:tcBorders>
              <w:top w:val="nil"/>
              <w:left w:val="nil"/>
              <w:bottom w:val="nil"/>
              <w:right w:val="nil"/>
            </w:tcBorders>
            <w:vAlign w:val="bottom"/>
          </w:tcPr>
          <w:p w14:paraId="1F73104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1C43A42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60239D9C" w14:textId="77777777" w:rsidTr="005440BF">
        <w:tc>
          <w:tcPr>
            <w:tcW w:w="0" w:type="auto"/>
            <w:tcBorders>
              <w:top w:val="nil"/>
              <w:left w:val="nil"/>
              <w:bottom w:val="nil"/>
              <w:right w:val="nil"/>
            </w:tcBorders>
            <w:vAlign w:val="center"/>
          </w:tcPr>
          <w:p w14:paraId="28787664"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Bolivia (Plurinational State of)</w:t>
            </w:r>
          </w:p>
        </w:tc>
        <w:tc>
          <w:tcPr>
            <w:tcW w:w="0" w:type="auto"/>
            <w:tcBorders>
              <w:top w:val="nil"/>
              <w:left w:val="nil"/>
              <w:bottom w:val="nil"/>
              <w:right w:val="nil"/>
            </w:tcBorders>
            <w:vAlign w:val="bottom"/>
          </w:tcPr>
          <w:p w14:paraId="3062A51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0.019</w:t>
            </w:r>
          </w:p>
        </w:tc>
        <w:tc>
          <w:tcPr>
            <w:tcW w:w="0" w:type="auto"/>
            <w:tcBorders>
              <w:top w:val="nil"/>
              <w:left w:val="nil"/>
              <w:bottom w:val="nil"/>
              <w:right w:val="nil"/>
            </w:tcBorders>
            <w:vAlign w:val="bottom"/>
          </w:tcPr>
          <w:p w14:paraId="5364E14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0.025</w:t>
            </w:r>
          </w:p>
        </w:tc>
      </w:tr>
      <w:tr w:rsidR="009F2232" w:rsidRPr="004153B4" w14:paraId="52E5B166" w14:textId="77777777" w:rsidTr="005440BF">
        <w:tc>
          <w:tcPr>
            <w:tcW w:w="0" w:type="auto"/>
            <w:tcBorders>
              <w:top w:val="nil"/>
              <w:left w:val="nil"/>
              <w:bottom w:val="nil"/>
              <w:right w:val="nil"/>
            </w:tcBorders>
            <w:vAlign w:val="center"/>
          </w:tcPr>
          <w:p w14:paraId="51625FA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Bosnia and Herzegovina</w:t>
            </w:r>
          </w:p>
        </w:tc>
        <w:tc>
          <w:tcPr>
            <w:tcW w:w="0" w:type="auto"/>
            <w:tcBorders>
              <w:top w:val="nil"/>
              <w:left w:val="nil"/>
              <w:bottom w:val="nil"/>
              <w:right w:val="nil"/>
            </w:tcBorders>
            <w:vAlign w:val="bottom"/>
          </w:tcPr>
          <w:p w14:paraId="45FD99A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0.012</w:t>
            </w:r>
          </w:p>
        </w:tc>
        <w:tc>
          <w:tcPr>
            <w:tcW w:w="0" w:type="auto"/>
            <w:tcBorders>
              <w:top w:val="nil"/>
              <w:left w:val="nil"/>
              <w:bottom w:val="nil"/>
              <w:right w:val="nil"/>
            </w:tcBorders>
            <w:vAlign w:val="bottom"/>
          </w:tcPr>
          <w:p w14:paraId="2CFBCC9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0.016</w:t>
            </w:r>
          </w:p>
        </w:tc>
      </w:tr>
      <w:tr w:rsidR="009F2232" w:rsidRPr="004153B4" w14:paraId="555B1F3D" w14:textId="77777777" w:rsidTr="005440BF">
        <w:tc>
          <w:tcPr>
            <w:tcW w:w="0" w:type="auto"/>
            <w:tcBorders>
              <w:top w:val="nil"/>
              <w:left w:val="nil"/>
              <w:bottom w:val="nil"/>
              <w:right w:val="nil"/>
            </w:tcBorders>
            <w:vAlign w:val="center"/>
          </w:tcPr>
          <w:p w14:paraId="50D37464"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Botswana</w:t>
            </w:r>
          </w:p>
        </w:tc>
        <w:tc>
          <w:tcPr>
            <w:tcW w:w="0" w:type="auto"/>
            <w:tcBorders>
              <w:top w:val="nil"/>
              <w:left w:val="nil"/>
              <w:bottom w:val="nil"/>
              <w:right w:val="nil"/>
            </w:tcBorders>
            <w:vAlign w:val="bottom"/>
          </w:tcPr>
          <w:p w14:paraId="5B24EE1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0.015</w:t>
            </w:r>
          </w:p>
        </w:tc>
        <w:tc>
          <w:tcPr>
            <w:tcW w:w="0" w:type="auto"/>
            <w:tcBorders>
              <w:top w:val="nil"/>
              <w:left w:val="nil"/>
              <w:bottom w:val="nil"/>
              <w:right w:val="nil"/>
            </w:tcBorders>
            <w:vAlign w:val="bottom"/>
          </w:tcPr>
          <w:p w14:paraId="32CF4A1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0.019</w:t>
            </w:r>
          </w:p>
        </w:tc>
      </w:tr>
      <w:tr w:rsidR="009F2232" w:rsidRPr="004153B4" w14:paraId="71FC8D93" w14:textId="77777777" w:rsidTr="005440BF">
        <w:tc>
          <w:tcPr>
            <w:tcW w:w="0" w:type="auto"/>
            <w:tcBorders>
              <w:top w:val="nil"/>
              <w:left w:val="nil"/>
              <w:bottom w:val="nil"/>
              <w:right w:val="nil"/>
            </w:tcBorders>
            <w:vAlign w:val="center"/>
          </w:tcPr>
          <w:p w14:paraId="23CA45CC"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Brazil</w:t>
            </w:r>
          </w:p>
        </w:tc>
        <w:tc>
          <w:tcPr>
            <w:tcW w:w="0" w:type="auto"/>
            <w:tcBorders>
              <w:top w:val="nil"/>
              <w:left w:val="nil"/>
              <w:bottom w:val="nil"/>
              <w:right w:val="nil"/>
            </w:tcBorders>
            <w:vAlign w:val="bottom"/>
          </w:tcPr>
          <w:p w14:paraId="21E4666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2.013</w:t>
            </w:r>
          </w:p>
        </w:tc>
        <w:tc>
          <w:tcPr>
            <w:tcW w:w="0" w:type="auto"/>
            <w:tcBorders>
              <w:top w:val="nil"/>
              <w:left w:val="nil"/>
              <w:bottom w:val="nil"/>
              <w:right w:val="nil"/>
            </w:tcBorders>
            <w:vAlign w:val="bottom"/>
          </w:tcPr>
          <w:p w14:paraId="52390EE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2.604</w:t>
            </w:r>
          </w:p>
        </w:tc>
      </w:tr>
      <w:tr w:rsidR="009F2232" w:rsidRPr="004153B4" w14:paraId="65C832D6" w14:textId="77777777" w:rsidTr="005440BF">
        <w:tc>
          <w:tcPr>
            <w:tcW w:w="0" w:type="auto"/>
            <w:tcBorders>
              <w:top w:val="nil"/>
              <w:left w:val="nil"/>
              <w:bottom w:val="nil"/>
              <w:right w:val="nil"/>
            </w:tcBorders>
            <w:vAlign w:val="center"/>
          </w:tcPr>
          <w:p w14:paraId="00D03751" w14:textId="77777777" w:rsidR="009F2232" w:rsidRPr="004153B4" w:rsidRDefault="009F2232" w:rsidP="005440BF">
            <w:pPr>
              <w:suppressAutoHyphens w:val="0"/>
              <w:spacing w:before="40" w:after="40" w:line="200" w:lineRule="exact"/>
              <w:ind w:left="360" w:hanging="360"/>
              <w:rPr>
                <w:rFonts w:eastAsia="MS Mincho"/>
                <w:color w:val="000000"/>
                <w:sz w:val="18"/>
                <w:szCs w:val="18"/>
                <w:lang w:eastAsia="de-DE"/>
              </w:rPr>
            </w:pPr>
            <w:r>
              <w:rPr>
                <w:color w:val="000000"/>
                <w:sz w:val="18"/>
                <w:szCs w:val="18"/>
              </w:rPr>
              <w:t>Brunei Darussalam</w:t>
            </w:r>
          </w:p>
        </w:tc>
        <w:tc>
          <w:tcPr>
            <w:tcW w:w="0" w:type="auto"/>
            <w:tcBorders>
              <w:top w:val="nil"/>
              <w:left w:val="nil"/>
              <w:bottom w:val="nil"/>
              <w:right w:val="nil"/>
            </w:tcBorders>
            <w:vAlign w:val="bottom"/>
          </w:tcPr>
          <w:p w14:paraId="4EE6DC17"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0.021</w:t>
            </w:r>
          </w:p>
        </w:tc>
        <w:tc>
          <w:tcPr>
            <w:tcW w:w="0" w:type="auto"/>
            <w:tcBorders>
              <w:top w:val="nil"/>
              <w:left w:val="nil"/>
              <w:bottom w:val="nil"/>
              <w:right w:val="nil"/>
            </w:tcBorders>
            <w:vAlign w:val="bottom"/>
          </w:tcPr>
          <w:p w14:paraId="09964B02"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0.027</w:t>
            </w:r>
          </w:p>
        </w:tc>
      </w:tr>
      <w:tr w:rsidR="009F2232" w:rsidRPr="004153B4" w14:paraId="65130444" w14:textId="77777777" w:rsidTr="005440BF">
        <w:tc>
          <w:tcPr>
            <w:tcW w:w="0" w:type="auto"/>
            <w:tcBorders>
              <w:top w:val="nil"/>
              <w:left w:val="nil"/>
              <w:bottom w:val="nil"/>
              <w:right w:val="nil"/>
            </w:tcBorders>
            <w:vAlign w:val="center"/>
          </w:tcPr>
          <w:p w14:paraId="4C5334E7"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Bulgaria</w:t>
            </w:r>
          </w:p>
        </w:tc>
        <w:tc>
          <w:tcPr>
            <w:tcW w:w="0" w:type="auto"/>
            <w:tcBorders>
              <w:top w:val="nil"/>
              <w:left w:val="nil"/>
              <w:bottom w:val="nil"/>
              <w:right w:val="nil"/>
            </w:tcBorders>
            <w:vAlign w:val="bottom"/>
          </w:tcPr>
          <w:p w14:paraId="2F2150B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0.056</w:t>
            </w:r>
          </w:p>
        </w:tc>
        <w:tc>
          <w:tcPr>
            <w:tcW w:w="0" w:type="auto"/>
            <w:tcBorders>
              <w:top w:val="nil"/>
              <w:left w:val="nil"/>
              <w:bottom w:val="nil"/>
              <w:right w:val="nil"/>
            </w:tcBorders>
            <w:vAlign w:val="bottom"/>
          </w:tcPr>
          <w:p w14:paraId="2C23662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0.072</w:t>
            </w:r>
          </w:p>
        </w:tc>
      </w:tr>
      <w:tr w:rsidR="009F2232" w:rsidRPr="004153B4" w14:paraId="7782477C" w14:textId="77777777" w:rsidTr="005440BF">
        <w:tc>
          <w:tcPr>
            <w:tcW w:w="0" w:type="auto"/>
            <w:tcBorders>
              <w:top w:val="nil"/>
              <w:left w:val="nil"/>
              <w:bottom w:val="nil"/>
              <w:right w:val="nil"/>
            </w:tcBorders>
            <w:vAlign w:val="center"/>
          </w:tcPr>
          <w:p w14:paraId="25978896"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Burkina Faso</w:t>
            </w:r>
          </w:p>
        </w:tc>
        <w:tc>
          <w:tcPr>
            <w:tcW w:w="0" w:type="auto"/>
            <w:tcBorders>
              <w:top w:val="nil"/>
              <w:left w:val="nil"/>
              <w:bottom w:val="nil"/>
              <w:right w:val="nil"/>
            </w:tcBorders>
            <w:vAlign w:val="bottom"/>
          </w:tcPr>
          <w:p w14:paraId="415F9AD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c>
          <w:tcPr>
            <w:tcW w:w="0" w:type="auto"/>
            <w:tcBorders>
              <w:top w:val="nil"/>
              <w:left w:val="nil"/>
              <w:bottom w:val="nil"/>
              <w:right w:val="nil"/>
            </w:tcBorders>
            <w:vAlign w:val="bottom"/>
          </w:tcPr>
          <w:p w14:paraId="0BC3F45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r>
      <w:tr w:rsidR="009F2232" w:rsidRPr="004153B4" w14:paraId="70656164" w14:textId="77777777" w:rsidTr="005440BF">
        <w:tc>
          <w:tcPr>
            <w:tcW w:w="0" w:type="auto"/>
            <w:tcBorders>
              <w:top w:val="nil"/>
              <w:left w:val="nil"/>
              <w:bottom w:val="nil"/>
              <w:right w:val="nil"/>
            </w:tcBorders>
            <w:vAlign w:val="center"/>
          </w:tcPr>
          <w:p w14:paraId="5BFD469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Burundi</w:t>
            </w:r>
          </w:p>
        </w:tc>
        <w:tc>
          <w:tcPr>
            <w:tcW w:w="0" w:type="auto"/>
            <w:tcBorders>
              <w:top w:val="nil"/>
              <w:left w:val="nil"/>
              <w:bottom w:val="nil"/>
              <w:right w:val="nil"/>
            </w:tcBorders>
            <w:vAlign w:val="bottom"/>
          </w:tcPr>
          <w:p w14:paraId="1E8B353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5D85C86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072042C4" w14:textId="77777777" w:rsidTr="005440BF">
        <w:tc>
          <w:tcPr>
            <w:tcW w:w="0" w:type="auto"/>
            <w:tcBorders>
              <w:top w:val="nil"/>
              <w:left w:val="nil"/>
              <w:bottom w:val="nil"/>
              <w:right w:val="nil"/>
            </w:tcBorders>
            <w:vAlign w:val="center"/>
          </w:tcPr>
          <w:p w14:paraId="7C563AF3" w14:textId="77777777" w:rsidR="009F2232" w:rsidRPr="004153B4" w:rsidRDefault="009F2232" w:rsidP="005440BF">
            <w:pPr>
              <w:suppressAutoHyphens w:val="0"/>
              <w:spacing w:before="40" w:after="40" w:line="200" w:lineRule="exact"/>
              <w:ind w:left="360" w:hanging="360"/>
              <w:rPr>
                <w:rFonts w:eastAsia="MS Mincho"/>
                <w:color w:val="000000"/>
                <w:sz w:val="18"/>
                <w:szCs w:val="18"/>
                <w:lang w:eastAsia="de-DE"/>
              </w:rPr>
            </w:pPr>
            <w:r>
              <w:rPr>
                <w:color w:val="000000"/>
                <w:sz w:val="18"/>
                <w:szCs w:val="18"/>
              </w:rPr>
              <w:t>Cabo Verde</w:t>
            </w:r>
          </w:p>
        </w:tc>
        <w:tc>
          <w:tcPr>
            <w:tcW w:w="0" w:type="auto"/>
            <w:tcBorders>
              <w:top w:val="nil"/>
              <w:left w:val="nil"/>
              <w:bottom w:val="nil"/>
              <w:right w:val="nil"/>
            </w:tcBorders>
            <w:vAlign w:val="bottom"/>
          </w:tcPr>
          <w:p w14:paraId="132085C6"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61B8BC64"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0.001</w:t>
            </w:r>
          </w:p>
        </w:tc>
      </w:tr>
      <w:tr w:rsidR="009F2232" w:rsidRPr="004153B4" w14:paraId="057D7652" w14:textId="77777777" w:rsidTr="005440BF">
        <w:tc>
          <w:tcPr>
            <w:tcW w:w="0" w:type="auto"/>
            <w:tcBorders>
              <w:top w:val="nil"/>
              <w:left w:val="nil"/>
              <w:bottom w:val="nil"/>
              <w:right w:val="nil"/>
            </w:tcBorders>
            <w:vAlign w:val="center"/>
          </w:tcPr>
          <w:p w14:paraId="7BAE050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Cambodia</w:t>
            </w:r>
          </w:p>
        </w:tc>
        <w:tc>
          <w:tcPr>
            <w:tcW w:w="0" w:type="auto"/>
            <w:tcBorders>
              <w:top w:val="nil"/>
              <w:left w:val="nil"/>
              <w:bottom w:val="nil"/>
              <w:right w:val="nil"/>
            </w:tcBorders>
            <w:vAlign w:val="bottom"/>
          </w:tcPr>
          <w:p w14:paraId="5E040E1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0.007</w:t>
            </w:r>
          </w:p>
        </w:tc>
        <w:tc>
          <w:tcPr>
            <w:tcW w:w="0" w:type="auto"/>
            <w:tcBorders>
              <w:top w:val="nil"/>
              <w:left w:val="nil"/>
              <w:bottom w:val="nil"/>
              <w:right w:val="nil"/>
            </w:tcBorders>
            <w:vAlign w:val="bottom"/>
          </w:tcPr>
          <w:p w14:paraId="5C9CC6A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0.009</w:t>
            </w:r>
          </w:p>
        </w:tc>
      </w:tr>
      <w:tr w:rsidR="009F2232" w:rsidRPr="004153B4" w14:paraId="01E20387" w14:textId="77777777" w:rsidTr="005440BF">
        <w:tc>
          <w:tcPr>
            <w:tcW w:w="0" w:type="auto"/>
            <w:tcBorders>
              <w:top w:val="nil"/>
              <w:left w:val="nil"/>
              <w:bottom w:val="nil"/>
              <w:right w:val="nil"/>
            </w:tcBorders>
            <w:vAlign w:val="center"/>
          </w:tcPr>
          <w:p w14:paraId="3930DB1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Cameroon</w:t>
            </w:r>
          </w:p>
        </w:tc>
        <w:tc>
          <w:tcPr>
            <w:tcW w:w="0" w:type="auto"/>
            <w:tcBorders>
              <w:top w:val="nil"/>
              <w:left w:val="nil"/>
              <w:bottom w:val="nil"/>
              <w:right w:val="nil"/>
            </w:tcBorders>
            <w:vAlign w:val="bottom"/>
          </w:tcPr>
          <w:p w14:paraId="2252D1A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c>
          <w:tcPr>
            <w:tcW w:w="0" w:type="auto"/>
            <w:tcBorders>
              <w:top w:val="nil"/>
              <w:left w:val="nil"/>
              <w:bottom w:val="nil"/>
              <w:right w:val="nil"/>
            </w:tcBorders>
            <w:vAlign w:val="bottom"/>
          </w:tcPr>
          <w:p w14:paraId="5E41157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0.017</w:t>
            </w:r>
          </w:p>
        </w:tc>
      </w:tr>
      <w:tr w:rsidR="009F2232" w:rsidRPr="004153B4" w14:paraId="11EF4496" w14:textId="77777777" w:rsidTr="005440BF">
        <w:tc>
          <w:tcPr>
            <w:tcW w:w="0" w:type="auto"/>
            <w:tcBorders>
              <w:top w:val="nil"/>
              <w:left w:val="nil"/>
              <w:bottom w:val="nil"/>
              <w:right w:val="nil"/>
            </w:tcBorders>
            <w:vAlign w:val="center"/>
          </w:tcPr>
          <w:p w14:paraId="56ADFE7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Central African Republic</w:t>
            </w:r>
          </w:p>
        </w:tc>
        <w:tc>
          <w:tcPr>
            <w:tcW w:w="0" w:type="auto"/>
            <w:tcBorders>
              <w:top w:val="nil"/>
              <w:left w:val="nil"/>
              <w:bottom w:val="nil"/>
              <w:right w:val="nil"/>
            </w:tcBorders>
            <w:vAlign w:val="bottom"/>
          </w:tcPr>
          <w:p w14:paraId="6C085D2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17EA489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098D1890" w14:textId="77777777" w:rsidTr="005440BF">
        <w:tc>
          <w:tcPr>
            <w:tcW w:w="0" w:type="auto"/>
            <w:tcBorders>
              <w:top w:val="nil"/>
              <w:left w:val="nil"/>
              <w:bottom w:val="nil"/>
              <w:right w:val="nil"/>
            </w:tcBorders>
            <w:vAlign w:val="center"/>
          </w:tcPr>
          <w:p w14:paraId="2326FAC5"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Chad</w:t>
            </w:r>
          </w:p>
        </w:tc>
        <w:tc>
          <w:tcPr>
            <w:tcW w:w="0" w:type="auto"/>
            <w:tcBorders>
              <w:top w:val="nil"/>
              <w:left w:val="nil"/>
              <w:bottom w:val="nil"/>
              <w:right w:val="nil"/>
            </w:tcBorders>
            <w:vAlign w:val="bottom"/>
          </w:tcPr>
          <w:p w14:paraId="296F2DF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c>
          <w:tcPr>
            <w:tcW w:w="0" w:type="auto"/>
            <w:tcBorders>
              <w:top w:val="nil"/>
              <w:left w:val="nil"/>
              <w:bottom w:val="nil"/>
              <w:right w:val="nil"/>
            </w:tcBorders>
            <w:vAlign w:val="bottom"/>
          </w:tcPr>
          <w:p w14:paraId="2942FA6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r>
      <w:tr w:rsidR="009F2232" w:rsidRPr="004153B4" w14:paraId="7D20D44B" w14:textId="77777777" w:rsidTr="005440BF">
        <w:tc>
          <w:tcPr>
            <w:tcW w:w="0" w:type="auto"/>
            <w:tcBorders>
              <w:top w:val="nil"/>
              <w:left w:val="nil"/>
              <w:bottom w:val="nil"/>
              <w:right w:val="nil"/>
            </w:tcBorders>
            <w:vAlign w:val="center"/>
          </w:tcPr>
          <w:p w14:paraId="04F4094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Chile</w:t>
            </w:r>
          </w:p>
        </w:tc>
        <w:tc>
          <w:tcPr>
            <w:tcW w:w="0" w:type="auto"/>
            <w:tcBorders>
              <w:top w:val="nil"/>
              <w:left w:val="nil"/>
              <w:bottom w:val="nil"/>
              <w:right w:val="nil"/>
            </w:tcBorders>
            <w:vAlign w:val="bottom"/>
          </w:tcPr>
          <w:p w14:paraId="2115C9A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0.420</w:t>
            </w:r>
          </w:p>
        </w:tc>
        <w:tc>
          <w:tcPr>
            <w:tcW w:w="0" w:type="auto"/>
            <w:tcBorders>
              <w:top w:val="nil"/>
              <w:left w:val="nil"/>
              <w:bottom w:val="nil"/>
              <w:right w:val="nil"/>
            </w:tcBorders>
            <w:vAlign w:val="bottom"/>
          </w:tcPr>
          <w:p w14:paraId="5BE50C9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0.543</w:t>
            </w:r>
          </w:p>
        </w:tc>
      </w:tr>
      <w:tr w:rsidR="009F2232" w:rsidRPr="004153B4" w14:paraId="6639FBDC" w14:textId="77777777" w:rsidTr="005440BF">
        <w:tc>
          <w:tcPr>
            <w:tcW w:w="0" w:type="auto"/>
            <w:tcBorders>
              <w:top w:val="nil"/>
              <w:left w:val="nil"/>
              <w:bottom w:val="nil"/>
              <w:right w:val="nil"/>
            </w:tcBorders>
            <w:vAlign w:val="center"/>
          </w:tcPr>
          <w:p w14:paraId="6F7D407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China</w:t>
            </w:r>
          </w:p>
        </w:tc>
        <w:tc>
          <w:tcPr>
            <w:tcW w:w="0" w:type="auto"/>
            <w:tcBorders>
              <w:top w:val="nil"/>
              <w:left w:val="nil"/>
              <w:bottom w:val="nil"/>
              <w:right w:val="nil"/>
            </w:tcBorders>
            <w:vAlign w:val="bottom"/>
          </w:tcPr>
          <w:p w14:paraId="331F4C4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15.254</w:t>
            </w:r>
          </w:p>
        </w:tc>
        <w:tc>
          <w:tcPr>
            <w:tcW w:w="0" w:type="auto"/>
            <w:tcBorders>
              <w:top w:val="nil"/>
              <w:left w:val="nil"/>
              <w:bottom w:val="nil"/>
              <w:right w:val="nil"/>
            </w:tcBorders>
            <w:vAlign w:val="bottom"/>
          </w:tcPr>
          <w:p w14:paraId="52BE366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19.735</w:t>
            </w:r>
          </w:p>
        </w:tc>
      </w:tr>
      <w:tr w:rsidR="009F2232" w:rsidRPr="004153B4" w14:paraId="39AD040E" w14:textId="77777777" w:rsidTr="005440BF">
        <w:tc>
          <w:tcPr>
            <w:tcW w:w="0" w:type="auto"/>
            <w:tcBorders>
              <w:top w:val="nil"/>
              <w:left w:val="nil"/>
              <w:bottom w:val="nil"/>
              <w:right w:val="nil"/>
            </w:tcBorders>
            <w:vAlign w:val="center"/>
          </w:tcPr>
          <w:p w14:paraId="59801D15"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Colombia</w:t>
            </w:r>
          </w:p>
        </w:tc>
        <w:tc>
          <w:tcPr>
            <w:tcW w:w="0" w:type="auto"/>
            <w:tcBorders>
              <w:top w:val="nil"/>
              <w:left w:val="nil"/>
              <w:bottom w:val="nil"/>
              <w:right w:val="nil"/>
            </w:tcBorders>
            <w:vAlign w:val="bottom"/>
          </w:tcPr>
          <w:p w14:paraId="22E899A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0.246</w:t>
            </w:r>
          </w:p>
        </w:tc>
        <w:tc>
          <w:tcPr>
            <w:tcW w:w="0" w:type="auto"/>
            <w:tcBorders>
              <w:top w:val="nil"/>
              <w:left w:val="nil"/>
              <w:bottom w:val="nil"/>
              <w:right w:val="nil"/>
            </w:tcBorders>
            <w:vAlign w:val="bottom"/>
          </w:tcPr>
          <w:p w14:paraId="505A77A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0.318</w:t>
            </w:r>
          </w:p>
        </w:tc>
      </w:tr>
      <w:tr w:rsidR="009F2232" w:rsidRPr="004153B4" w14:paraId="2351BF56" w14:textId="77777777" w:rsidTr="005440BF">
        <w:tc>
          <w:tcPr>
            <w:tcW w:w="0" w:type="auto"/>
            <w:tcBorders>
              <w:top w:val="nil"/>
              <w:left w:val="nil"/>
              <w:bottom w:val="nil"/>
              <w:right w:val="nil"/>
            </w:tcBorders>
            <w:vAlign w:val="center"/>
          </w:tcPr>
          <w:p w14:paraId="3D816461"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Comoros</w:t>
            </w:r>
          </w:p>
        </w:tc>
        <w:tc>
          <w:tcPr>
            <w:tcW w:w="0" w:type="auto"/>
            <w:tcBorders>
              <w:top w:val="nil"/>
              <w:left w:val="nil"/>
              <w:bottom w:val="nil"/>
              <w:right w:val="nil"/>
            </w:tcBorders>
            <w:vAlign w:val="bottom"/>
          </w:tcPr>
          <w:p w14:paraId="27F4A82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6FE445A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4E546ADE" w14:textId="77777777" w:rsidTr="005440BF">
        <w:tc>
          <w:tcPr>
            <w:tcW w:w="0" w:type="auto"/>
            <w:tcBorders>
              <w:top w:val="nil"/>
              <w:left w:val="nil"/>
              <w:bottom w:val="nil"/>
              <w:right w:val="nil"/>
            </w:tcBorders>
            <w:vAlign w:val="center"/>
          </w:tcPr>
          <w:p w14:paraId="122616C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Congo</w:t>
            </w:r>
          </w:p>
        </w:tc>
        <w:tc>
          <w:tcPr>
            <w:tcW w:w="0" w:type="auto"/>
            <w:tcBorders>
              <w:top w:val="nil"/>
              <w:left w:val="nil"/>
              <w:bottom w:val="nil"/>
              <w:right w:val="nil"/>
            </w:tcBorders>
            <w:vAlign w:val="bottom"/>
          </w:tcPr>
          <w:p w14:paraId="5A45275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c>
          <w:tcPr>
            <w:tcW w:w="0" w:type="auto"/>
            <w:tcBorders>
              <w:top w:val="nil"/>
              <w:left w:val="nil"/>
              <w:bottom w:val="nil"/>
              <w:right w:val="nil"/>
            </w:tcBorders>
            <w:vAlign w:val="bottom"/>
          </w:tcPr>
          <w:p w14:paraId="2A02F3E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0.006</w:t>
            </w:r>
          </w:p>
        </w:tc>
      </w:tr>
      <w:tr w:rsidR="009F2232" w:rsidRPr="004153B4" w14:paraId="26DF87AA" w14:textId="77777777" w:rsidTr="005440BF">
        <w:tc>
          <w:tcPr>
            <w:tcW w:w="0" w:type="auto"/>
            <w:tcBorders>
              <w:top w:val="nil"/>
              <w:left w:val="nil"/>
              <w:bottom w:val="nil"/>
              <w:right w:val="nil"/>
            </w:tcBorders>
            <w:vAlign w:val="center"/>
          </w:tcPr>
          <w:p w14:paraId="1794A117"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Cook Islands</w:t>
            </w:r>
          </w:p>
        </w:tc>
        <w:tc>
          <w:tcPr>
            <w:tcW w:w="0" w:type="auto"/>
            <w:tcBorders>
              <w:top w:val="nil"/>
              <w:left w:val="nil"/>
              <w:bottom w:val="nil"/>
              <w:right w:val="nil"/>
            </w:tcBorders>
            <w:vAlign w:val="bottom"/>
          </w:tcPr>
          <w:p w14:paraId="3BF4AC0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0.000</w:t>
            </w:r>
          </w:p>
        </w:tc>
        <w:tc>
          <w:tcPr>
            <w:tcW w:w="0" w:type="auto"/>
            <w:tcBorders>
              <w:top w:val="nil"/>
              <w:left w:val="nil"/>
              <w:bottom w:val="nil"/>
              <w:right w:val="nil"/>
            </w:tcBorders>
            <w:vAlign w:val="bottom"/>
          </w:tcPr>
          <w:p w14:paraId="3479272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42A5521F" w14:textId="77777777" w:rsidTr="005440BF">
        <w:tc>
          <w:tcPr>
            <w:tcW w:w="0" w:type="auto"/>
            <w:tcBorders>
              <w:top w:val="nil"/>
              <w:left w:val="nil"/>
              <w:bottom w:val="nil"/>
              <w:right w:val="nil"/>
            </w:tcBorders>
            <w:vAlign w:val="center"/>
          </w:tcPr>
          <w:p w14:paraId="68645AB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Costa Rica</w:t>
            </w:r>
          </w:p>
        </w:tc>
        <w:tc>
          <w:tcPr>
            <w:tcW w:w="0" w:type="auto"/>
            <w:tcBorders>
              <w:top w:val="nil"/>
              <w:left w:val="nil"/>
              <w:bottom w:val="nil"/>
              <w:right w:val="nil"/>
            </w:tcBorders>
            <w:vAlign w:val="bottom"/>
          </w:tcPr>
          <w:p w14:paraId="6CF86BF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0.069</w:t>
            </w:r>
          </w:p>
        </w:tc>
        <w:tc>
          <w:tcPr>
            <w:tcW w:w="0" w:type="auto"/>
            <w:tcBorders>
              <w:top w:val="nil"/>
              <w:left w:val="nil"/>
              <w:bottom w:val="nil"/>
              <w:right w:val="nil"/>
            </w:tcBorders>
            <w:vAlign w:val="bottom"/>
          </w:tcPr>
          <w:p w14:paraId="115345B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0.089</w:t>
            </w:r>
          </w:p>
        </w:tc>
      </w:tr>
      <w:tr w:rsidR="009F2232" w:rsidRPr="004153B4" w14:paraId="784EDE52" w14:textId="77777777" w:rsidTr="005440BF">
        <w:tc>
          <w:tcPr>
            <w:tcW w:w="0" w:type="auto"/>
            <w:tcBorders>
              <w:top w:val="nil"/>
              <w:left w:val="nil"/>
              <w:bottom w:val="nil"/>
              <w:right w:val="nil"/>
            </w:tcBorders>
            <w:vAlign w:val="center"/>
          </w:tcPr>
          <w:p w14:paraId="5B4C394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Côte d’Ivoire</w:t>
            </w:r>
          </w:p>
        </w:tc>
        <w:tc>
          <w:tcPr>
            <w:tcW w:w="0" w:type="auto"/>
            <w:tcBorders>
              <w:top w:val="nil"/>
              <w:left w:val="nil"/>
              <w:bottom w:val="nil"/>
              <w:right w:val="nil"/>
            </w:tcBorders>
            <w:vAlign w:val="bottom"/>
          </w:tcPr>
          <w:p w14:paraId="163EB76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0.022</w:t>
            </w:r>
          </w:p>
        </w:tc>
        <w:tc>
          <w:tcPr>
            <w:tcW w:w="0" w:type="auto"/>
            <w:tcBorders>
              <w:top w:val="nil"/>
              <w:left w:val="nil"/>
              <w:bottom w:val="nil"/>
              <w:right w:val="nil"/>
            </w:tcBorders>
            <w:vAlign w:val="bottom"/>
          </w:tcPr>
          <w:p w14:paraId="7F0EDD5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0.028</w:t>
            </w:r>
          </w:p>
        </w:tc>
      </w:tr>
      <w:tr w:rsidR="009F2232" w:rsidRPr="004153B4" w14:paraId="2C6865DC" w14:textId="77777777" w:rsidTr="005440BF">
        <w:tc>
          <w:tcPr>
            <w:tcW w:w="0" w:type="auto"/>
            <w:tcBorders>
              <w:top w:val="nil"/>
              <w:left w:val="nil"/>
              <w:bottom w:val="nil"/>
              <w:right w:val="nil"/>
            </w:tcBorders>
            <w:vAlign w:val="center"/>
          </w:tcPr>
          <w:p w14:paraId="04B3F025"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Croatia</w:t>
            </w:r>
          </w:p>
        </w:tc>
        <w:tc>
          <w:tcPr>
            <w:tcW w:w="0" w:type="auto"/>
            <w:tcBorders>
              <w:top w:val="nil"/>
              <w:left w:val="nil"/>
              <w:bottom w:val="nil"/>
              <w:right w:val="nil"/>
            </w:tcBorders>
            <w:vAlign w:val="bottom"/>
          </w:tcPr>
          <w:p w14:paraId="061074C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0.091</w:t>
            </w:r>
          </w:p>
        </w:tc>
        <w:tc>
          <w:tcPr>
            <w:tcW w:w="0" w:type="auto"/>
            <w:tcBorders>
              <w:top w:val="nil"/>
              <w:left w:val="nil"/>
              <w:bottom w:val="nil"/>
              <w:right w:val="nil"/>
            </w:tcBorders>
            <w:vAlign w:val="bottom"/>
          </w:tcPr>
          <w:p w14:paraId="405C34F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0.118</w:t>
            </w:r>
          </w:p>
        </w:tc>
      </w:tr>
      <w:tr w:rsidR="009F2232" w:rsidRPr="004153B4" w14:paraId="01F6593F" w14:textId="77777777" w:rsidTr="005440BF">
        <w:tc>
          <w:tcPr>
            <w:tcW w:w="0" w:type="auto"/>
            <w:tcBorders>
              <w:top w:val="nil"/>
              <w:left w:val="nil"/>
              <w:bottom w:val="nil"/>
              <w:right w:val="nil"/>
            </w:tcBorders>
            <w:vAlign w:val="center"/>
          </w:tcPr>
          <w:p w14:paraId="3C186E0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Cuba</w:t>
            </w:r>
          </w:p>
        </w:tc>
        <w:tc>
          <w:tcPr>
            <w:tcW w:w="0" w:type="auto"/>
            <w:tcBorders>
              <w:top w:val="nil"/>
              <w:left w:val="nil"/>
              <w:bottom w:val="nil"/>
              <w:right w:val="nil"/>
            </w:tcBorders>
            <w:vAlign w:val="bottom"/>
          </w:tcPr>
          <w:p w14:paraId="1041085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0.095</w:t>
            </w:r>
          </w:p>
        </w:tc>
        <w:tc>
          <w:tcPr>
            <w:tcW w:w="0" w:type="auto"/>
            <w:tcBorders>
              <w:top w:val="nil"/>
              <w:left w:val="nil"/>
              <w:bottom w:val="nil"/>
              <w:right w:val="nil"/>
            </w:tcBorders>
            <w:vAlign w:val="bottom"/>
          </w:tcPr>
          <w:p w14:paraId="29E99B4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0.123</w:t>
            </w:r>
          </w:p>
        </w:tc>
      </w:tr>
      <w:tr w:rsidR="009F2232" w:rsidRPr="004153B4" w14:paraId="40497100" w14:textId="77777777" w:rsidTr="005440BF">
        <w:tc>
          <w:tcPr>
            <w:tcW w:w="0" w:type="auto"/>
            <w:tcBorders>
              <w:top w:val="nil"/>
              <w:left w:val="nil"/>
              <w:bottom w:val="nil"/>
              <w:right w:val="nil"/>
            </w:tcBorders>
            <w:vAlign w:val="center"/>
          </w:tcPr>
          <w:p w14:paraId="62CA7BA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Cyprus</w:t>
            </w:r>
          </w:p>
        </w:tc>
        <w:tc>
          <w:tcPr>
            <w:tcW w:w="0" w:type="auto"/>
            <w:tcBorders>
              <w:top w:val="nil"/>
              <w:left w:val="nil"/>
              <w:bottom w:val="nil"/>
              <w:right w:val="nil"/>
            </w:tcBorders>
            <w:vAlign w:val="bottom"/>
          </w:tcPr>
          <w:p w14:paraId="0CF7D27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0.036</w:t>
            </w:r>
          </w:p>
        </w:tc>
        <w:tc>
          <w:tcPr>
            <w:tcW w:w="0" w:type="auto"/>
            <w:tcBorders>
              <w:top w:val="nil"/>
              <w:left w:val="nil"/>
              <w:bottom w:val="nil"/>
              <w:right w:val="nil"/>
            </w:tcBorders>
            <w:vAlign w:val="bottom"/>
          </w:tcPr>
          <w:p w14:paraId="1A51698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0.047</w:t>
            </w:r>
          </w:p>
        </w:tc>
      </w:tr>
      <w:tr w:rsidR="009F2232" w:rsidRPr="004153B4" w14:paraId="6D0801ED" w14:textId="77777777" w:rsidTr="005440BF">
        <w:tc>
          <w:tcPr>
            <w:tcW w:w="0" w:type="auto"/>
            <w:tcBorders>
              <w:top w:val="nil"/>
              <w:left w:val="nil"/>
              <w:bottom w:val="nil"/>
              <w:right w:val="nil"/>
            </w:tcBorders>
            <w:vAlign w:val="center"/>
          </w:tcPr>
          <w:p w14:paraId="5C80DF7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lastRenderedPageBreak/>
              <w:t>Czechia</w:t>
            </w:r>
          </w:p>
        </w:tc>
        <w:tc>
          <w:tcPr>
            <w:tcW w:w="0" w:type="auto"/>
            <w:tcBorders>
              <w:top w:val="nil"/>
              <w:left w:val="nil"/>
              <w:bottom w:val="nil"/>
              <w:right w:val="nil"/>
            </w:tcBorders>
            <w:vAlign w:val="bottom"/>
          </w:tcPr>
          <w:p w14:paraId="570AE47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0.340</w:t>
            </w:r>
          </w:p>
        </w:tc>
        <w:tc>
          <w:tcPr>
            <w:tcW w:w="0" w:type="auto"/>
            <w:tcBorders>
              <w:top w:val="nil"/>
              <w:left w:val="nil"/>
              <w:bottom w:val="nil"/>
              <w:right w:val="nil"/>
            </w:tcBorders>
            <w:vAlign w:val="bottom"/>
          </w:tcPr>
          <w:p w14:paraId="57EAFD6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0.440</w:t>
            </w:r>
          </w:p>
        </w:tc>
      </w:tr>
      <w:tr w:rsidR="009F2232" w:rsidRPr="004153B4" w14:paraId="4485AD78" w14:textId="77777777" w:rsidTr="005440BF">
        <w:tc>
          <w:tcPr>
            <w:tcW w:w="0" w:type="auto"/>
            <w:tcBorders>
              <w:top w:val="nil"/>
              <w:left w:val="nil"/>
              <w:bottom w:val="nil"/>
              <w:right w:val="nil"/>
            </w:tcBorders>
            <w:vAlign w:val="center"/>
          </w:tcPr>
          <w:p w14:paraId="673ED31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Democratic People’s Republic of Korea</w:t>
            </w:r>
          </w:p>
        </w:tc>
        <w:tc>
          <w:tcPr>
            <w:tcW w:w="0" w:type="auto"/>
            <w:tcBorders>
              <w:top w:val="nil"/>
              <w:left w:val="nil"/>
              <w:bottom w:val="nil"/>
              <w:right w:val="nil"/>
            </w:tcBorders>
            <w:vAlign w:val="bottom"/>
          </w:tcPr>
          <w:p w14:paraId="7033F14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c>
          <w:tcPr>
            <w:tcW w:w="0" w:type="auto"/>
            <w:tcBorders>
              <w:top w:val="nil"/>
              <w:left w:val="nil"/>
              <w:bottom w:val="nil"/>
              <w:right w:val="nil"/>
            </w:tcBorders>
            <w:vAlign w:val="bottom"/>
          </w:tcPr>
          <w:p w14:paraId="13BC93F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0.006</w:t>
            </w:r>
          </w:p>
        </w:tc>
      </w:tr>
      <w:tr w:rsidR="009F2232" w:rsidRPr="004153B4" w14:paraId="7A91D47C" w14:textId="77777777" w:rsidTr="005440BF">
        <w:tc>
          <w:tcPr>
            <w:tcW w:w="0" w:type="auto"/>
            <w:tcBorders>
              <w:top w:val="nil"/>
              <w:left w:val="nil"/>
              <w:bottom w:val="nil"/>
              <w:right w:val="nil"/>
            </w:tcBorders>
            <w:vAlign w:val="center"/>
          </w:tcPr>
          <w:p w14:paraId="575CB1A7" w14:textId="77777777" w:rsidR="009F2232" w:rsidRPr="004153B4" w:rsidRDefault="009F2232" w:rsidP="005440BF">
            <w:pPr>
              <w:suppressAutoHyphens w:val="0"/>
              <w:spacing w:before="40" w:after="40" w:line="200" w:lineRule="exact"/>
              <w:ind w:left="254" w:hanging="254"/>
              <w:rPr>
                <w:rFonts w:eastAsia="Arial Unicode MS"/>
                <w:color w:val="000000"/>
                <w:sz w:val="18"/>
                <w:szCs w:val="18"/>
                <w:lang w:eastAsia="de-DE"/>
              </w:rPr>
            </w:pPr>
            <w:r>
              <w:rPr>
                <w:color w:val="000000"/>
                <w:sz w:val="18"/>
                <w:szCs w:val="18"/>
              </w:rPr>
              <w:t>Democratic Republic of the Congo</w:t>
            </w:r>
          </w:p>
        </w:tc>
        <w:tc>
          <w:tcPr>
            <w:tcW w:w="0" w:type="auto"/>
            <w:tcBorders>
              <w:top w:val="nil"/>
              <w:left w:val="nil"/>
              <w:bottom w:val="nil"/>
              <w:right w:val="nil"/>
            </w:tcBorders>
            <w:vAlign w:val="bottom"/>
          </w:tcPr>
          <w:p w14:paraId="1A184470" w14:textId="77777777" w:rsidR="009F2232" w:rsidRPr="004153B4" w:rsidRDefault="009F2232" w:rsidP="005440BF">
            <w:pPr>
              <w:suppressAutoHyphens w:val="0"/>
              <w:spacing w:before="40" w:after="40" w:line="200" w:lineRule="exact"/>
              <w:ind w:left="254" w:hanging="254"/>
              <w:jc w:val="right"/>
              <w:rPr>
                <w:rFonts w:eastAsia="Arial Unicode MS"/>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30063E53" w14:textId="77777777" w:rsidR="009F2232" w:rsidRPr="004153B4" w:rsidRDefault="009F2232" w:rsidP="005440BF">
            <w:pPr>
              <w:suppressAutoHyphens w:val="0"/>
              <w:spacing w:before="40" w:after="40" w:line="200" w:lineRule="exact"/>
              <w:ind w:left="254" w:hanging="254"/>
              <w:jc w:val="right"/>
              <w:rPr>
                <w:rFonts w:eastAsia="Arial Unicode MS"/>
                <w:color w:val="000000"/>
                <w:sz w:val="18"/>
                <w:szCs w:val="18"/>
                <w:lang w:eastAsia="de-DE"/>
              </w:rPr>
            </w:pPr>
            <w:r>
              <w:rPr>
                <w:color w:val="000000"/>
                <w:sz w:val="18"/>
                <w:szCs w:val="18"/>
              </w:rPr>
              <w:t>0.013</w:t>
            </w:r>
          </w:p>
        </w:tc>
      </w:tr>
      <w:tr w:rsidR="009F2232" w:rsidRPr="004153B4" w14:paraId="150D9CFD" w14:textId="77777777" w:rsidTr="005440BF">
        <w:tc>
          <w:tcPr>
            <w:tcW w:w="0" w:type="auto"/>
            <w:tcBorders>
              <w:top w:val="nil"/>
              <w:left w:val="nil"/>
              <w:bottom w:val="nil"/>
              <w:right w:val="nil"/>
            </w:tcBorders>
            <w:vAlign w:val="center"/>
          </w:tcPr>
          <w:p w14:paraId="47918D3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Denmark</w:t>
            </w:r>
          </w:p>
        </w:tc>
        <w:tc>
          <w:tcPr>
            <w:tcW w:w="0" w:type="auto"/>
            <w:tcBorders>
              <w:top w:val="nil"/>
              <w:left w:val="nil"/>
              <w:bottom w:val="nil"/>
              <w:right w:val="nil"/>
            </w:tcBorders>
            <w:vAlign w:val="bottom"/>
          </w:tcPr>
          <w:p w14:paraId="35E232E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0.553</w:t>
            </w:r>
          </w:p>
        </w:tc>
        <w:tc>
          <w:tcPr>
            <w:tcW w:w="0" w:type="auto"/>
            <w:tcBorders>
              <w:top w:val="nil"/>
              <w:left w:val="nil"/>
              <w:bottom w:val="nil"/>
              <w:right w:val="nil"/>
            </w:tcBorders>
            <w:vAlign w:val="bottom"/>
          </w:tcPr>
          <w:p w14:paraId="41C7477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0.715</w:t>
            </w:r>
          </w:p>
        </w:tc>
      </w:tr>
      <w:tr w:rsidR="009F2232" w:rsidRPr="004153B4" w14:paraId="487A3F7F" w14:textId="77777777" w:rsidTr="005440BF">
        <w:tc>
          <w:tcPr>
            <w:tcW w:w="0" w:type="auto"/>
            <w:tcBorders>
              <w:top w:val="nil"/>
              <w:left w:val="nil"/>
              <w:bottom w:val="nil"/>
              <w:right w:val="nil"/>
            </w:tcBorders>
            <w:vAlign w:val="center"/>
          </w:tcPr>
          <w:p w14:paraId="464C59F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Djibouti</w:t>
            </w:r>
          </w:p>
        </w:tc>
        <w:tc>
          <w:tcPr>
            <w:tcW w:w="0" w:type="auto"/>
            <w:tcBorders>
              <w:top w:val="nil"/>
              <w:left w:val="nil"/>
              <w:bottom w:val="nil"/>
              <w:right w:val="nil"/>
            </w:tcBorders>
            <w:vAlign w:val="bottom"/>
          </w:tcPr>
          <w:p w14:paraId="7A23700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3C8EAC7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0F21B646" w14:textId="77777777" w:rsidTr="005440BF">
        <w:tc>
          <w:tcPr>
            <w:tcW w:w="0" w:type="auto"/>
            <w:tcBorders>
              <w:top w:val="nil"/>
              <w:left w:val="nil"/>
              <w:bottom w:val="nil"/>
              <w:right w:val="nil"/>
            </w:tcBorders>
            <w:vAlign w:val="center"/>
          </w:tcPr>
          <w:p w14:paraId="14E2B9D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Dominica</w:t>
            </w:r>
          </w:p>
        </w:tc>
        <w:tc>
          <w:tcPr>
            <w:tcW w:w="0" w:type="auto"/>
            <w:tcBorders>
              <w:top w:val="nil"/>
              <w:left w:val="nil"/>
              <w:bottom w:val="nil"/>
              <w:right w:val="nil"/>
            </w:tcBorders>
            <w:vAlign w:val="bottom"/>
          </w:tcPr>
          <w:p w14:paraId="58FF2FC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50D8257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6233D65F" w14:textId="77777777" w:rsidTr="005440BF">
        <w:tc>
          <w:tcPr>
            <w:tcW w:w="0" w:type="auto"/>
            <w:tcBorders>
              <w:top w:val="nil"/>
              <w:left w:val="nil"/>
              <w:bottom w:val="nil"/>
              <w:right w:val="nil"/>
            </w:tcBorders>
            <w:vAlign w:val="center"/>
          </w:tcPr>
          <w:p w14:paraId="1B5A5AD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Dominican Republic</w:t>
            </w:r>
          </w:p>
        </w:tc>
        <w:tc>
          <w:tcPr>
            <w:tcW w:w="0" w:type="auto"/>
            <w:tcBorders>
              <w:top w:val="nil"/>
              <w:left w:val="nil"/>
              <w:bottom w:val="nil"/>
              <w:right w:val="nil"/>
            </w:tcBorders>
            <w:vAlign w:val="bottom"/>
          </w:tcPr>
          <w:p w14:paraId="745AF76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0.067</w:t>
            </w:r>
          </w:p>
        </w:tc>
        <w:tc>
          <w:tcPr>
            <w:tcW w:w="0" w:type="auto"/>
            <w:tcBorders>
              <w:top w:val="nil"/>
              <w:left w:val="nil"/>
              <w:bottom w:val="nil"/>
              <w:right w:val="nil"/>
            </w:tcBorders>
            <w:vAlign w:val="bottom"/>
          </w:tcPr>
          <w:p w14:paraId="60D18DA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0.087</w:t>
            </w:r>
          </w:p>
        </w:tc>
      </w:tr>
      <w:tr w:rsidR="009F2232" w:rsidRPr="004153B4" w14:paraId="31718516" w14:textId="77777777" w:rsidTr="005440BF">
        <w:tc>
          <w:tcPr>
            <w:tcW w:w="0" w:type="auto"/>
            <w:tcBorders>
              <w:top w:val="nil"/>
              <w:left w:val="nil"/>
              <w:bottom w:val="nil"/>
              <w:right w:val="nil"/>
            </w:tcBorders>
            <w:vAlign w:val="center"/>
          </w:tcPr>
          <w:p w14:paraId="79B3D5C5"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Ecuador</w:t>
            </w:r>
          </w:p>
        </w:tc>
        <w:tc>
          <w:tcPr>
            <w:tcW w:w="0" w:type="auto"/>
            <w:tcBorders>
              <w:top w:val="nil"/>
              <w:left w:val="nil"/>
              <w:bottom w:val="nil"/>
              <w:right w:val="nil"/>
            </w:tcBorders>
            <w:vAlign w:val="bottom"/>
          </w:tcPr>
          <w:p w14:paraId="031CEFE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0.077</w:t>
            </w:r>
          </w:p>
        </w:tc>
        <w:tc>
          <w:tcPr>
            <w:tcW w:w="0" w:type="auto"/>
            <w:tcBorders>
              <w:top w:val="nil"/>
              <w:left w:val="nil"/>
              <w:bottom w:val="nil"/>
              <w:right w:val="nil"/>
            </w:tcBorders>
            <w:vAlign w:val="bottom"/>
          </w:tcPr>
          <w:p w14:paraId="082C958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0.100</w:t>
            </w:r>
          </w:p>
        </w:tc>
      </w:tr>
      <w:tr w:rsidR="009F2232" w:rsidRPr="004153B4" w14:paraId="77AD58A0" w14:textId="77777777" w:rsidTr="005440BF">
        <w:tc>
          <w:tcPr>
            <w:tcW w:w="0" w:type="auto"/>
            <w:tcBorders>
              <w:top w:val="nil"/>
              <w:left w:val="nil"/>
              <w:bottom w:val="nil"/>
              <w:right w:val="nil"/>
            </w:tcBorders>
            <w:vAlign w:val="center"/>
          </w:tcPr>
          <w:p w14:paraId="6B0B5F11"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Egypt</w:t>
            </w:r>
          </w:p>
        </w:tc>
        <w:tc>
          <w:tcPr>
            <w:tcW w:w="0" w:type="auto"/>
            <w:tcBorders>
              <w:top w:val="nil"/>
              <w:left w:val="nil"/>
              <w:bottom w:val="nil"/>
              <w:right w:val="nil"/>
            </w:tcBorders>
            <w:vAlign w:val="bottom"/>
          </w:tcPr>
          <w:p w14:paraId="2E4B081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0.139</w:t>
            </w:r>
          </w:p>
        </w:tc>
        <w:tc>
          <w:tcPr>
            <w:tcW w:w="0" w:type="auto"/>
            <w:tcBorders>
              <w:top w:val="nil"/>
              <w:left w:val="nil"/>
              <w:bottom w:val="nil"/>
              <w:right w:val="nil"/>
            </w:tcBorders>
            <w:vAlign w:val="bottom"/>
          </w:tcPr>
          <w:p w14:paraId="0F818A8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0.180</w:t>
            </w:r>
          </w:p>
        </w:tc>
      </w:tr>
      <w:tr w:rsidR="009F2232" w:rsidRPr="004153B4" w14:paraId="291DB501" w14:textId="77777777" w:rsidTr="005440BF">
        <w:tc>
          <w:tcPr>
            <w:tcW w:w="0" w:type="auto"/>
            <w:tcBorders>
              <w:top w:val="nil"/>
              <w:left w:val="nil"/>
              <w:bottom w:val="nil"/>
              <w:right w:val="nil"/>
            </w:tcBorders>
            <w:vAlign w:val="center"/>
          </w:tcPr>
          <w:p w14:paraId="502DF9A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El Salvador</w:t>
            </w:r>
          </w:p>
        </w:tc>
        <w:tc>
          <w:tcPr>
            <w:tcW w:w="0" w:type="auto"/>
            <w:tcBorders>
              <w:top w:val="nil"/>
              <w:left w:val="nil"/>
              <w:bottom w:val="nil"/>
              <w:right w:val="nil"/>
            </w:tcBorders>
            <w:vAlign w:val="bottom"/>
          </w:tcPr>
          <w:p w14:paraId="0ED0059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c>
          <w:tcPr>
            <w:tcW w:w="0" w:type="auto"/>
            <w:tcBorders>
              <w:top w:val="nil"/>
              <w:left w:val="nil"/>
              <w:bottom w:val="nil"/>
              <w:right w:val="nil"/>
            </w:tcBorders>
            <w:vAlign w:val="bottom"/>
          </w:tcPr>
          <w:p w14:paraId="5D733DF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0.017</w:t>
            </w:r>
          </w:p>
        </w:tc>
      </w:tr>
      <w:tr w:rsidR="009F2232" w:rsidRPr="004153B4" w14:paraId="7094CCC8" w14:textId="77777777" w:rsidTr="005440BF">
        <w:tc>
          <w:tcPr>
            <w:tcW w:w="0" w:type="auto"/>
            <w:tcBorders>
              <w:top w:val="nil"/>
              <w:left w:val="nil"/>
              <w:bottom w:val="nil"/>
              <w:right w:val="nil"/>
            </w:tcBorders>
            <w:vAlign w:val="center"/>
          </w:tcPr>
          <w:p w14:paraId="73B5B3A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Equatorial Guinea</w:t>
            </w:r>
          </w:p>
        </w:tc>
        <w:tc>
          <w:tcPr>
            <w:tcW w:w="0" w:type="auto"/>
            <w:tcBorders>
              <w:top w:val="nil"/>
              <w:left w:val="nil"/>
              <w:bottom w:val="nil"/>
              <w:right w:val="nil"/>
            </w:tcBorders>
            <w:vAlign w:val="bottom"/>
          </w:tcPr>
          <w:p w14:paraId="1CB970F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0.012</w:t>
            </w:r>
          </w:p>
        </w:tc>
        <w:tc>
          <w:tcPr>
            <w:tcW w:w="0" w:type="auto"/>
            <w:tcBorders>
              <w:top w:val="nil"/>
              <w:left w:val="nil"/>
              <w:bottom w:val="nil"/>
              <w:right w:val="nil"/>
            </w:tcBorders>
            <w:vAlign w:val="bottom"/>
          </w:tcPr>
          <w:p w14:paraId="112FC49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0.016</w:t>
            </w:r>
          </w:p>
        </w:tc>
      </w:tr>
      <w:tr w:rsidR="009F2232" w:rsidRPr="004153B4" w14:paraId="010F7C64" w14:textId="77777777" w:rsidTr="005440BF">
        <w:tc>
          <w:tcPr>
            <w:tcW w:w="0" w:type="auto"/>
            <w:tcBorders>
              <w:top w:val="nil"/>
              <w:left w:val="nil"/>
              <w:bottom w:val="nil"/>
              <w:right w:val="nil"/>
            </w:tcBorders>
            <w:vAlign w:val="center"/>
          </w:tcPr>
          <w:p w14:paraId="17811A4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Eritrea</w:t>
            </w:r>
          </w:p>
        </w:tc>
        <w:tc>
          <w:tcPr>
            <w:tcW w:w="0" w:type="auto"/>
            <w:tcBorders>
              <w:top w:val="nil"/>
              <w:left w:val="nil"/>
              <w:bottom w:val="nil"/>
              <w:right w:val="nil"/>
            </w:tcBorders>
            <w:vAlign w:val="bottom"/>
          </w:tcPr>
          <w:p w14:paraId="4ED9045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7689019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6378467C" w14:textId="77777777" w:rsidTr="005440BF">
        <w:tc>
          <w:tcPr>
            <w:tcW w:w="0" w:type="auto"/>
            <w:tcBorders>
              <w:top w:val="nil"/>
              <w:left w:val="nil"/>
              <w:bottom w:val="nil"/>
              <w:right w:val="nil"/>
            </w:tcBorders>
            <w:vAlign w:val="center"/>
          </w:tcPr>
          <w:p w14:paraId="4A23BD27"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Estonia</w:t>
            </w:r>
          </w:p>
        </w:tc>
        <w:tc>
          <w:tcPr>
            <w:tcW w:w="0" w:type="auto"/>
            <w:tcBorders>
              <w:top w:val="nil"/>
              <w:left w:val="nil"/>
              <w:bottom w:val="nil"/>
              <w:right w:val="nil"/>
            </w:tcBorders>
            <w:vAlign w:val="bottom"/>
          </w:tcPr>
          <w:p w14:paraId="581C5D2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0.044</w:t>
            </w:r>
          </w:p>
        </w:tc>
        <w:tc>
          <w:tcPr>
            <w:tcW w:w="0" w:type="auto"/>
            <w:tcBorders>
              <w:top w:val="nil"/>
              <w:left w:val="nil"/>
              <w:bottom w:val="nil"/>
              <w:right w:val="nil"/>
            </w:tcBorders>
            <w:vAlign w:val="bottom"/>
          </w:tcPr>
          <w:p w14:paraId="532F951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0.057</w:t>
            </w:r>
          </w:p>
        </w:tc>
      </w:tr>
      <w:tr w:rsidR="009F2232" w:rsidRPr="004153B4" w14:paraId="670B4C9A" w14:textId="77777777" w:rsidTr="005440BF">
        <w:tc>
          <w:tcPr>
            <w:tcW w:w="0" w:type="auto"/>
            <w:tcBorders>
              <w:top w:val="nil"/>
              <w:left w:val="nil"/>
              <w:bottom w:val="nil"/>
              <w:right w:val="nil"/>
            </w:tcBorders>
            <w:vAlign w:val="center"/>
          </w:tcPr>
          <w:p w14:paraId="1834F1C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Eswatini</w:t>
            </w:r>
          </w:p>
        </w:tc>
        <w:tc>
          <w:tcPr>
            <w:tcW w:w="0" w:type="auto"/>
            <w:tcBorders>
              <w:top w:val="nil"/>
              <w:left w:val="nil"/>
              <w:bottom w:val="nil"/>
              <w:right w:val="nil"/>
            </w:tcBorders>
            <w:vAlign w:val="bottom"/>
          </w:tcPr>
          <w:p w14:paraId="422CBE0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0.002</w:t>
            </w:r>
          </w:p>
        </w:tc>
        <w:tc>
          <w:tcPr>
            <w:tcW w:w="0" w:type="auto"/>
            <w:tcBorders>
              <w:top w:val="nil"/>
              <w:left w:val="nil"/>
              <w:bottom w:val="nil"/>
              <w:right w:val="nil"/>
            </w:tcBorders>
            <w:vAlign w:val="bottom"/>
          </w:tcPr>
          <w:p w14:paraId="4983F99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r>
      <w:tr w:rsidR="009F2232" w:rsidRPr="004153B4" w14:paraId="4105CE93" w14:textId="77777777" w:rsidTr="005440BF">
        <w:tc>
          <w:tcPr>
            <w:tcW w:w="0" w:type="auto"/>
            <w:tcBorders>
              <w:top w:val="nil"/>
              <w:left w:val="nil"/>
              <w:bottom w:val="nil"/>
              <w:right w:val="nil"/>
            </w:tcBorders>
            <w:vAlign w:val="center"/>
          </w:tcPr>
          <w:p w14:paraId="3786B0F9" w14:textId="77777777" w:rsidR="009F2232" w:rsidRPr="004153B4" w:rsidRDefault="009F2232" w:rsidP="005440BF">
            <w:pPr>
              <w:suppressAutoHyphens w:val="0"/>
              <w:spacing w:before="40" w:after="40" w:line="200" w:lineRule="exact"/>
              <w:ind w:left="360" w:hanging="360"/>
              <w:rPr>
                <w:rFonts w:eastAsia="MS Mincho"/>
                <w:color w:val="000000"/>
                <w:sz w:val="18"/>
                <w:szCs w:val="18"/>
                <w:lang w:eastAsia="de-DE"/>
              </w:rPr>
            </w:pPr>
            <w:r>
              <w:rPr>
                <w:color w:val="000000"/>
                <w:sz w:val="18"/>
                <w:szCs w:val="18"/>
              </w:rPr>
              <w:t>Ethiopia</w:t>
            </w:r>
          </w:p>
        </w:tc>
        <w:tc>
          <w:tcPr>
            <w:tcW w:w="0" w:type="auto"/>
            <w:tcBorders>
              <w:top w:val="nil"/>
              <w:left w:val="nil"/>
              <w:bottom w:val="nil"/>
              <w:right w:val="nil"/>
            </w:tcBorders>
            <w:vAlign w:val="bottom"/>
          </w:tcPr>
          <w:p w14:paraId="4540120E"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46017582"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0.013</w:t>
            </w:r>
          </w:p>
        </w:tc>
      </w:tr>
      <w:tr w:rsidR="009F2232" w:rsidRPr="004153B4" w14:paraId="5B04C8AD" w14:textId="77777777" w:rsidTr="005440BF">
        <w:tc>
          <w:tcPr>
            <w:tcW w:w="0" w:type="auto"/>
            <w:tcBorders>
              <w:top w:val="nil"/>
              <w:left w:val="nil"/>
              <w:bottom w:val="nil"/>
              <w:right w:val="nil"/>
            </w:tcBorders>
            <w:vAlign w:val="center"/>
          </w:tcPr>
          <w:p w14:paraId="16D2A8C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European Union</w:t>
            </w:r>
          </w:p>
        </w:tc>
        <w:tc>
          <w:tcPr>
            <w:tcW w:w="0" w:type="auto"/>
            <w:tcBorders>
              <w:top w:val="nil"/>
              <w:left w:val="nil"/>
              <w:bottom w:val="nil"/>
              <w:right w:val="nil"/>
            </w:tcBorders>
            <w:vAlign w:val="bottom"/>
          </w:tcPr>
          <w:p w14:paraId="2AA1D02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0.000</w:t>
            </w:r>
          </w:p>
        </w:tc>
        <w:tc>
          <w:tcPr>
            <w:tcW w:w="0" w:type="auto"/>
            <w:tcBorders>
              <w:top w:val="nil"/>
              <w:left w:val="nil"/>
              <w:bottom w:val="nil"/>
              <w:right w:val="nil"/>
            </w:tcBorders>
            <w:vAlign w:val="bottom"/>
          </w:tcPr>
          <w:p w14:paraId="1CBB5DA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2.500</w:t>
            </w:r>
          </w:p>
        </w:tc>
      </w:tr>
      <w:tr w:rsidR="009F2232" w:rsidRPr="004153B4" w14:paraId="35F3F955" w14:textId="77777777" w:rsidTr="005440BF">
        <w:tc>
          <w:tcPr>
            <w:tcW w:w="0" w:type="auto"/>
            <w:tcBorders>
              <w:top w:val="nil"/>
              <w:left w:val="nil"/>
              <w:bottom w:val="nil"/>
              <w:right w:val="nil"/>
            </w:tcBorders>
            <w:vAlign w:val="center"/>
          </w:tcPr>
          <w:p w14:paraId="61937C1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Fiji</w:t>
            </w:r>
          </w:p>
        </w:tc>
        <w:tc>
          <w:tcPr>
            <w:tcW w:w="0" w:type="auto"/>
            <w:tcBorders>
              <w:top w:val="nil"/>
              <w:left w:val="nil"/>
              <w:bottom w:val="nil"/>
              <w:right w:val="nil"/>
            </w:tcBorders>
            <w:vAlign w:val="bottom"/>
          </w:tcPr>
          <w:p w14:paraId="720CB07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c>
          <w:tcPr>
            <w:tcW w:w="0" w:type="auto"/>
            <w:tcBorders>
              <w:top w:val="nil"/>
              <w:left w:val="nil"/>
              <w:bottom w:val="nil"/>
              <w:right w:val="nil"/>
            </w:tcBorders>
            <w:vAlign w:val="bottom"/>
          </w:tcPr>
          <w:p w14:paraId="6BDA6F7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r>
      <w:tr w:rsidR="009F2232" w:rsidRPr="004153B4" w14:paraId="61788B06" w14:textId="77777777" w:rsidTr="005440BF">
        <w:tc>
          <w:tcPr>
            <w:tcW w:w="0" w:type="auto"/>
            <w:tcBorders>
              <w:top w:val="nil"/>
              <w:left w:val="nil"/>
              <w:bottom w:val="nil"/>
              <w:right w:val="nil"/>
            </w:tcBorders>
            <w:vAlign w:val="center"/>
          </w:tcPr>
          <w:p w14:paraId="6BB1138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Finland</w:t>
            </w:r>
          </w:p>
        </w:tc>
        <w:tc>
          <w:tcPr>
            <w:tcW w:w="0" w:type="auto"/>
            <w:tcBorders>
              <w:top w:val="nil"/>
              <w:left w:val="nil"/>
              <w:bottom w:val="nil"/>
              <w:right w:val="nil"/>
            </w:tcBorders>
            <w:vAlign w:val="bottom"/>
          </w:tcPr>
          <w:p w14:paraId="0346561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0.417</w:t>
            </w:r>
          </w:p>
        </w:tc>
        <w:tc>
          <w:tcPr>
            <w:tcW w:w="0" w:type="auto"/>
            <w:tcBorders>
              <w:top w:val="nil"/>
              <w:left w:val="nil"/>
              <w:bottom w:val="nil"/>
              <w:right w:val="nil"/>
            </w:tcBorders>
            <w:vAlign w:val="bottom"/>
          </w:tcPr>
          <w:p w14:paraId="3C609D1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0.540</w:t>
            </w:r>
          </w:p>
        </w:tc>
      </w:tr>
      <w:tr w:rsidR="009F2232" w:rsidRPr="004153B4" w14:paraId="29C2DF91" w14:textId="77777777" w:rsidTr="005440BF">
        <w:tc>
          <w:tcPr>
            <w:tcW w:w="0" w:type="auto"/>
            <w:tcBorders>
              <w:top w:val="nil"/>
              <w:left w:val="nil"/>
              <w:bottom w:val="nil"/>
              <w:right w:val="nil"/>
            </w:tcBorders>
            <w:vAlign w:val="center"/>
          </w:tcPr>
          <w:p w14:paraId="687A511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France</w:t>
            </w:r>
          </w:p>
        </w:tc>
        <w:tc>
          <w:tcPr>
            <w:tcW w:w="0" w:type="auto"/>
            <w:tcBorders>
              <w:top w:val="nil"/>
              <w:left w:val="nil"/>
              <w:bottom w:val="nil"/>
              <w:right w:val="nil"/>
            </w:tcBorders>
            <w:vAlign w:val="bottom"/>
          </w:tcPr>
          <w:p w14:paraId="3785355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4.318</w:t>
            </w:r>
          </w:p>
        </w:tc>
        <w:tc>
          <w:tcPr>
            <w:tcW w:w="0" w:type="auto"/>
            <w:tcBorders>
              <w:top w:val="nil"/>
              <w:left w:val="nil"/>
              <w:bottom w:val="nil"/>
              <w:right w:val="nil"/>
            </w:tcBorders>
            <w:vAlign w:val="bottom"/>
          </w:tcPr>
          <w:p w14:paraId="0C5B687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5.587</w:t>
            </w:r>
          </w:p>
        </w:tc>
      </w:tr>
      <w:tr w:rsidR="009F2232" w:rsidRPr="004153B4" w14:paraId="1EABAE49" w14:textId="77777777" w:rsidTr="005440BF">
        <w:tc>
          <w:tcPr>
            <w:tcW w:w="0" w:type="auto"/>
            <w:tcBorders>
              <w:top w:val="nil"/>
              <w:left w:val="nil"/>
              <w:bottom w:val="nil"/>
              <w:right w:val="nil"/>
            </w:tcBorders>
            <w:vAlign w:val="center"/>
          </w:tcPr>
          <w:p w14:paraId="340784B5"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Gabon</w:t>
            </w:r>
          </w:p>
        </w:tc>
        <w:tc>
          <w:tcPr>
            <w:tcW w:w="0" w:type="auto"/>
            <w:tcBorders>
              <w:top w:val="nil"/>
              <w:left w:val="nil"/>
              <w:bottom w:val="nil"/>
              <w:right w:val="nil"/>
            </w:tcBorders>
            <w:vAlign w:val="bottom"/>
          </w:tcPr>
          <w:p w14:paraId="1F7AF51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c>
          <w:tcPr>
            <w:tcW w:w="0" w:type="auto"/>
            <w:tcBorders>
              <w:top w:val="nil"/>
              <w:left w:val="nil"/>
              <w:bottom w:val="nil"/>
              <w:right w:val="nil"/>
            </w:tcBorders>
            <w:vAlign w:val="bottom"/>
          </w:tcPr>
          <w:p w14:paraId="4B1924F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0.017</w:t>
            </w:r>
          </w:p>
        </w:tc>
      </w:tr>
      <w:tr w:rsidR="009F2232" w:rsidRPr="004153B4" w14:paraId="43F2CB89" w14:textId="77777777" w:rsidTr="005440BF">
        <w:tc>
          <w:tcPr>
            <w:tcW w:w="0" w:type="auto"/>
            <w:tcBorders>
              <w:top w:val="nil"/>
              <w:left w:val="nil"/>
              <w:bottom w:val="nil"/>
              <w:right w:val="nil"/>
            </w:tcBorders>
            <w:vAlign w:val="center"/>
          </w:tcPr>
          <w:p w14:paraId="3B49F3D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Gambia</w:t>
            </w:r>
          </w:p>
        </w:tc>
        <w:tc>
          <w:tcPr>
            <w:tcW w:w="0" w:type="auto"/>
            <w:tcBorders>
              <w:top w:val="nil"/>
              <w:left w:val="nil"/>
              <w:bottom w:val="nil"/>
              <w:right w:val="nil"/>
            </w:tcBorders>
            <w:vAlign w:val="bottom"/>
          </w:tcPr>
          <w:p w14:paraId="1F1C90B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25E7AD5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7FE4CAF1" w14:textId="77777777" w:rsidTr="005440BF">
        <w:tc>
          <w:tcPr>
            <w:tcW w:w="0" w:type="auto"/>
            <w:tcBorders>
              <w:top w:val="nil"/>
              <w:left w:val="nil"/>
              <w:bottom w:val="nil"/>
              <w:right w:val="nil"/>
            </w:tcBorders>
            <w:vAlign w:val="center"/>
          </w:tcPr>
          <w:p w14:paraId="54771F2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Georgia</w:t>
            </w:r>
          </w:p>
        </w:tc>
        <w:tc>
          <w:tcPr>
            <w:tcW w:w="0" w:type="auto"/>
            <w:tcBorders>
              <w:top w:val="nil"/>
              <w:left w:val="nil"/>
              <w:bottom w:val="nil"/>
              <w:right w:val="nil"/>
            </w:tcBorders>
            <w:vAlign w:val="bottom"/>
          </w:tcPr>
          <w:p w14:paraId="78F434C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0.008</w:t>
            </w:r>
          </w:p>
        </w:tc>
        <w:tc>
          <w:tcPr>
            <w:tcW w:w="0" w:type="auto"/>
            <w:tcBorders>
              <w:top w:val="nil"/>
              <w:left w:val="nil"/>
              <w:bottom w:val="nil"/>
              <w:right w:val="nil"/>
            </w:tcBorders>
            <w:vAlign w:val="bottom"/>
          </w:tcPr>
          <w:p w14:paraId="4B9A776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r>
      <w:tr w:rsidR="009F2232" w:rsidRPr="004153B4" w14:paraId="2C6AAB2F" w14:textId="77777777" w:rsidTr="005440BF">
        <w:tc>
          <w:tcPr>
            <w:tcW w:w="0" w:type="auto"/>
            <w:tcBorders>
              <w:top w:val="nil"/>
              <w:left w:val="nil"/>
              <w:bottom w:val="nil"/>
              <w:right w:val="nil"/>
            </w:tcBorders>
            <w:vAlign w:val="center"/>
          </w:tcPr>
          <w:p w14:paraId="074A75C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Germany</w:t>
            </w:r>
          </w:p>
        </w:tc>
        <w:tc>
          <w:tcPr>
            <w:tcW w:w="0" w:type="auto"/>
            <w:tcBorders>
              <w:top w:val="nil"/>
              <w:left w:val="nil"/>
              <w:bottom w:val="nil"/>
              <w:right w:val="nil"/>
            </w:tcBorders>
            <w:vAlign w:val="bottom"/>
          </w:tcPr>
          <w:p w14:paraId="4E95922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6.111</w:t>
            </w:r>
          </w:p>
        </w:tc>
        <w:tc>
          <w:tcPr>
            <w:tcW w:w="0" w:type="auto"/>
            <w:tcBorders>
              <w:top w:val="nil"/>
              <w:left w:val="nil"/>
              <w:bottom w:val="nil"/>
              <w:right w:val="nil"/>
            </w:tcBorders>
            <w:vAlign w:val="bottom"/>
          </w:tcPr>
          <w:p w14:paraId="5B1414B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7.906</w:t>
            </w:r>
          </w:p>
        </w:tc>
      </w:tr>
      <w:tr w:rsidR="009F2232" w:rsidRPr="004153B4" w14:paraId="30FDE0C6" w14:textId="77777777" w:rsidTr="005440BF">
        <w:tc>
          <w:tcPr>
            <w:tcW w:w="0" w:type="auto"/>
            <w:tcBorders>
              <w:top w:val="nil"/>
              <w:left w:val="nil"/>
              <w:bottom w:val="nil"/>
              <w:right w:val="nil"/>
            </w:tcBorders>
            <w:vAlign w:val="center"/>
          </w:tcPr>
          <w:p w14:paraId="1335FE9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Ghana</w:t>
            </w:r>
          </w:p>
        </w:tc>
        <w:tc>
          <w:tcPr>
            <w:tcW w:w="0" w:type="auto"/>
            <w:tcBorders>
              <w:top w:val="nil"/>
              <w:left w:val="nil"/>
              <w:bottom w:val="nil"/>
              <w:right w:val="nil"/>
            </w:tcBorders>
            <w:vAlign w:val="bottom"/>
          </w:tcPr>
          <w:p w14:paraId="1974E2D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0.024</w:t>
            </w:r>
          </w:p>
        </w:tc>
        <w:tc>
          <w:tcPr>
            <w:tcW w:w="0" w:type="auto"/>
            <w:tcBorders>
              <w:top w:val="nil"/>
              <w:left w:val="nil"/>
              <w:bottom w:val="nil"/>
              <w:right w:val="nil"/>
            </w:tcBorders>
            <w:vAlign w:val="bottom"/>
          </w:tcPr>
          <w:p w14:paraId="3430035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0.031</w:t>
            </w:r>
          </w:p>
        </w:tc>
      </w:tr>
      <w:tr w:rsidR="009F2232" w:rsidRPr="004153B4" w14:paraId="363AC010" w14:textId="77777777" w:rsidTr="005440BF">
        <w:tc>
          <w:tcPr>
            <w:tcW w:w="0" w:type="auto"/>
            <w:tcBorders>
              <w:top w:val="nil"/>
              <w:left w:val="nil"/>
              <w:bottom w:val="nil"/>
              <w:right w:val="nil"/>
            </w:tcBorders>
            <w:vAlign w:val="center"/>
          </w:tcPr>
          <w:p w14:paraId="16A4EB8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Greece</w:t>
            </w:r>
          </w:p>
        </w:tc>
        <w:tc>
          <w:tcPr>
            <w:tcW w:w="0" w:type="auto"/>
            <w:tcBorders>
              <w:top w:val="nil"/>
              <w:left w:val="nil"/>
              <w:bottom w:val="nil"/>
              <w:right w:val="nil"/>
            </w:tcBorders>
            <w:vAlign w:val="bottom"/>
          </w:tcPr>
          <w:p w14:paraId="4FECDE4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0.325</w:t>
            </w:r>
          </w:p>
        </w:tc>
        <w:tc>
          <w:tcPr>
            <w:tcW w:w="0" w:type="auto"/>
            <w:tcBorders>
              <w:top w:val="nil"/>
              <w:left w:val="nil"/>
              <w:bottom w:val="nil"/>
              <w:right w:val="nil"/>
            </w:tcBorders>
            <w:vAlign w:val="bottom"/>
          </w:tcPr>
          <w:p w14:paraId="4D183F2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0.420</w:t>
            </w:r>
          </w:p>
        </w:tc>
      </w:tr>
      <w:tr w:rsidR="009F2232" w:rsidRPr="004153B4" w14:paraId="1B95D4A6" w14:textId="77777777" w:rsidTr="005440BF">
        <w:tc>
          <w:tcPr>
            <w:tcW w:w="0" w:type="auto"/>
            <w:tcBorders>
              <w:top w:val="nil"/>
              <w:left w:val="nil"/>
              <w:bottom w:val="nil"/>
              <w:right w:val="nil"/>
            </w:tcBorders>
            <w:vAlign w:val="center"/>
          </w:tcPr>
          <w:p w14:paraId="06E6EEF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Grenada</w:t>
            </w:r>
          </w:p>
        </w:tc>
        <w:tc>
          <w:tcPr>
            <w:tcW w:w="0" w:type="auto"/>
            <w:tcBorders>
              <w:top w:val="nil"/>
              <w:left w:val="nil"/>
              <w:bottom w:val="nil"/>
              <w:right w:val="nil"/>
            </w:tcBorders>
            <w:vAlign w:val="bottom"/>
          </w:tcPr>
          <w:p w14:paraId="6469782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3D34546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63A00D67" w14:textId="77777777" w:rsidTr="005440BF">
        <w:tc>
          <w:tcPr>
            <w:tcW w:w="0" w:type="auto"/>
            <w:tcBorders>
              <w:top w:val="nil"/>
              <w:left w:val="nil"/>
              <w:bottom w:val="nil"/>
              <w:right w:val="nil"/>
            </w:tcBorders>
            <w:vAlign w:val="center"/>
          </w:tcPr>
          <w:p w14:paraId="5E0B9BC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Guatemala</w:t>
            </w:r>
          </w:p>
        </w:tc>
        <w:tc>
          <w:tcPr>
            <w:tcW w:w="0" w:type="auto"/>
            <w:tcBorders>
              <w:top w:val="nil"/>
              <w:left w:val="nil"/>
              <w:bottom w:val="nil"/>
              <w:right w:val="nil"/>
            </w:tcBorders>
            <w:vAlign w:val="bottom"/>
          </w:tcPr>
          <w:p w14:paraId="7E62FE7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0.041</w:t>
            </w:r>
          </w:p>
        </w:tc>
        <w:tc>
          <w:tcPr>
            <w:tcW w:w="0" w:type="auto"/>
            <w:tcBorders>
              <w:top w:val="nil"/>
              <w:left w:val="nil"/>
              <w:bottom w:val="nil"/>
              <w:right w:val="nil"/>
            </w:tcBorders>
            <w:vAlign w:val="bottom"/>
          </w:tcPr>
          <w:p w14:paraId="36C94D1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0.053</w:t>
            </w:r>
          </w:p>
        </w:tc>
      </w:tr>
      <w:tr w:rsidR="009F2232" w:rsidRPr="004153B4" w14:paraId="283AD47A" w14:textId="77777777" w:rsidTr="005440BF">
        <w:tc>
          <w:tcPr>
            <w:tcW w:w="0" w:type="auto"/>
            <w:tcBorders>
              <w:top w:val="nil"/>
              <w:left w:val="nil"/>
              <w:bottom w:val="nil"/>
              <w:right w:val="nil"/>
            </w:tcBorders>
            <w:vAlign w:val="center"/>
          </w:tcPr>
          <w:p w14:paraId="0E2F074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Guinea</w:t>
            </w:r>
          </w:p>
        </w:tc>
        <w:tc>
          <w:tcPr>
            <w:tcW w:w="0" w:type="auto"/>
            <w:tcBorders>
              <w:top w:val="nil"/>
              <w:left w:val="nil"/>
              <w:bottom w:val="nil"/>
              <w:right w:val="nil"/>
            </w:tcBorders>
            <w:vAlign w:val="bottom"/>
          </w:tcPr>
          <w:p w14:paraId="3D3706F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c>
          <w:tcPr>
            <w:tcW w:w="0" w:type="auto"/>
            <w:tcBorders>
              <w:top w:val="nil"/>
              <w:left w:val="nil"/>
              <w:bottom w:val="nil"/>
              <w:right w:val="nil"/>
            </w:tcBorders>
            <w:vAlign w:val="bottom"/>
          </w:tcPr>
          <w:p w14:paraId="0313C35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r>
      <w:tr w:rsidR="009F2232" w:rsidRPr="004153B4" w14:paraId="1C08F91B" w14:textId="77777777" w:rsidTr="005440BF">
        <w:tc>
          <w:tcPr>
            <w:tcW w:w="0" w:type="auto"/>
            <w:tcBorders>
              <w:top w:val="nil"/>
              <w:left w:val="nil"/>
              <w:bottom w:val="nil"/>
              <w:right w:val="nil"/>
            </w:tcBorders>
            <w:vAlign w:val="center"/>
          </w:tcPr>
          <w:p w14:paraId="73F6124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Guinea-Bissau</w:t>
            </w:r>
          </w:p>
        </w:tc>
        <w:tc>
          <w:tcPr>
            <w:tcW w:w="0" w:type="auto"/>
            <w:tcBorders>
              <w:top w:val="nil"/>
              <w:left w:val="nil"/>
              <w:bottom w:val="nil"/>
              <w:right w:val="nil"/>
            </w:tcBorders>
            <w:vAlign w:val="bottom"/>
          </w:tcPr>
          <w:p w14:paraId="42291DD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3E6AA35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5F106490" w14:textId="77777777" w:rsidTr="005440BF">
        <w:tc>
          <w:tcPr>
            <w:tcW w:w="0" w:type="auto"/>
            <w:tcBorders>
              <w:top w:val="nil"/>
              <w:left w:val="nil"/>
              <w:bottom w:val="nil"/>
              <w:right w:val="nil"/>
            </w:tcBorders>
            <w:vAlign w:val="center"/>
          </w:tcPr>
          <w:p w14:paraId="1F4932A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Guyana</w:t>
            </w:r>
          </w:p>
        </w:tc>
        <w:tc>
          <w:tcPr>
            <w:tcW w:w="0" w:type="auto"/>
            <w:tcBorders>
              <w:top w:val="nil"/>
              <w:left w:val="nil"/>
              <w:bottom w:val="nil"/>
              <w:right w:val="nil"/>
            </w:tcBorders>
            <w:vAlign w:val="bottom"/>
          </w:tcPr>
          <w:p w14:paraId="5628690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c>
          <w:tcPr>
            <w:tcW w:w="0" w:type="auto"/>
            <w:tcBorders>
              <w:top w:val="nil"/>
              <w:left w:val="nil"/>
              <w:bottom w:val="nil"/>
              <w:right w:val="nil"/>
            </w:tcBorders>
            <w:vAlign w:val="bottom"/>
          </w:tcPr>
          <w:p w14:paraId="6752659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r>
      <w:tr w:rsidR="009F2232" w:rsidRPr="004153B4" w14:paraId="643B2229" w14:textId="77777777" w:rsidTr="005440BF">
        <w:tc>
          <w:tcPr>
            <w:tcW w:w="0" w:type="auto"/>
            <w:tcBorders>
              <w:top w:val="nil"/>
              <w:left w:val="nil"/>
              <w:bottom w:val="nil"/>
              <w:right w:val="nil"/>
            </w:tcBorders>
            <w:vAlign w:val="center"/>
          </w:tcPr>
          <w:p w14:paraId="12EEDB2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Haiti</w:t>
            </w:r>
          </w:p>
        </w:tc>
        <w:tc>
          <w:tcPr>
            <w:tcW w:w="0" w:type="auto"/>
            <w:tcBorders>
              <w:top w:val="nil"/>
              <w:left w:val="nil"/>
              <w:bottom w:val="nil"/>
              <w:right w:val="nil"/>
            </w:tcBorders>
            <w:vAlign w:val="bottom"/>
          </w:tcPr>
          <w:p w14:paraId="705B38A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0.006</w:t>
            </w:r>
          </w:p>
        </w:tc>
        <w:tc>
          <w:tcPr>
            <w:tcW w:w="0" w:type="auto"/>
            <w:tcBorders>
              <w:top w:val="nil"/>
              <w:left w:val="nil"/>
              <w:bottom w:val="nil"/>
              <w:right w:val="nil"/>
            </w:tcBorders>
            <w:vAlign w:val="bottom"/>
          </w:tcPr>
          <w:p w14:paraId="7698EFF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0.008</w:t>
            </w:r>
          </w:p>
        </w:tc>
      </w:tr>
      <w:tr w:rsidR="009F2232" w:rsidRPr="004153B4" w14:paraId="6050E791" w14:textId="77777777" w:rsidTr="005440BF">
        <w:tc>
          <w:tcPr>
            <w:tcW w:w="0" w:type="auto"/>
            <w:tcBorders>
              <w:top w:val="nil"/>
              <w:left w:val="nil"/>
              <w:bottom w:val="nil"/>
              <w:right w:val="nil"/>
            </w:tcBorders>
            <w:vAlign w:val="center"/>
          </w:tcPr>
          <w:p w14:paraId="4B9A5EB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Honduras</w:t>
            </w:r>
          </w:p>
        </w:tc>
        <w:tc>
          <w:tcPr>
            <w:tcW w:w="0" w:type="auto"/>
            <w:tcBorders>
              <w:top w:val="nil"/>
              <w:left w:val="nil"/>
              <w:bottom w:val="nil"/>
              <w:right w:val="nil"/>
            </w:tcBorders>
            <w:vAlign w:val="bottom"/>
          </w:tcPr>
          <w:p w14:paraId="7C30EB9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0.009</w:t>
            </w:r>
          </w:p>
        </w:tc>
        <w:tc>
          <w:tcPr>
            <w:tcW w:w="0" w:type="auto"/>
            <w:tcBorders>
              <w:top w:val="nil"/>
              <w:left w:val="nil"/>
              <w:bottom w:val="nil"/>
              <w:right w:val="nil"/>
            </w:tcBorders>
            <w:vAlign w:val="bottom"/>
          </w:tcPr>
          <w:p w14:paraId="7BCC1BB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0.012</w:t>
            </w:r>
          </w:p>
        </w:tc>
      </w:tr>
      <w:tr w:rsidR="009F2232" w:rsidRPr="004153B4" w14:paraId="27CEAA40" w14:textId="77777777" w:rsidTr="005440BF">
        <w:tc>
          <w:tcPr>
            <w:tcW w:w="0" w:type="auto"/>
            <w:tcBorders>
              <w:top w:val="nil"/>
              <w:left w:val="nil"/>
              <w:bottom w:val="nil"/>
              <w:right w:val="nil"/>
            </w:tcBorders>
            <w:vAlign w:val="center"/>
          </w:tcPr>
          <w:p w14:paraId="1AD091A6"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Hungary</w:t>
            </w:r>
          </w:p>
        </w:tc>
        <w:tc>
          <w:tcPr>
            <w:tcW w:w="0" w:type="auto"/>
            <w:tcBorders>
              <w:top w:val="nil"/>
              <w:left w:val="nil"/>
              <w:bottom w:val="nil"/>
              <w:right w:val="nil"/>
            </w:tcBorders>
            <w:vAlign w:val="bottom"/>
          </w:tcPr>
          <w:p w14:paraId="4E705D5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0.228</w:t>
            </w:r>
          </w:p>
        </w:tc>
        <w:tc>
          <w:tcPr>
            <w:tcW w:w="0" w:type="auto"/>
            <w:tcBorders>
              <w:top w:val="nil"/>
              <w:left w:val="nil"/>
              <w:bottom w:val="nil"/>
              <w:right w:val="nil"/>
            </w:tcBorders>
            <w:vAlign w:val="bottom"/>
          </w:tcPr>
          <w:p w14:paraId="47B9390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0.295</w:t>
            </w:r>
          </w:p>
        </w:tc>
      </w:tr>
      <w:tr w:rsidR="009F2232" w:rsidRPr="004153B4" w14:paraId="3F35D6B3" w14:textId="77777777" w:rsidTr="005440BF">
        <w:tc>
          <w:tcPr>
            <w:tcW w:w="0" w:type="auto"/>
            <w:tcBorders>
              <w:top w:val="nil"/>
              <w:left w:val="nil"/>
              <w:bottom w:val="nil"/>
              <w:right w:val="nil"/>
            </w:tcBorders>
            <w:vAlign w:val="center"/>
          </w:tcPr>
          <w:p w14:paraId="3E661CC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Iceland</w:t>
            </w:r>
          </w:p>
        </w:tc>
        <w:tc>
          <w:tcPr>
            <w:tcW w:w="0" w:type="auto"/>
            <w:tcBorders>
              <w:top w:val="nil"/>
              <w:left w:val="nil"/>
              <w:bottom w:val="nil"/>
              <w:right w:val="nil"/>
            </w:tcBorders>
            <w:vAlign w:val="bottom"/>
          </w:tcPr>
          <w:p w14:paraId="6E6A319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0.036</w:t>
            </w:r>
          </w:p>
        </w:tc>
        <w:tc>
          <w:tcPr>
            <w:tcW w:w="0" w:type="auto"/>
            <w:tcBorders>
              <w:top w:val="nil"/>
              <w:left w:val="nil"/>
              <w:bottom w:val="nil"/>
              <w:right w:val="nil"/>
            </w:tcBorders>
            <w:vAlign w:val="bottom"/>
          </w:tcPr>
          <w:p w14:paraId="7AFC618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0.047</w:t>
            </w:r>
          </w:p>
        </w:tc>
      </w:tr>
      <w:tr w:rsidR="009F2232" w:rsidRPr="004153B4" w14:paraId="664453C7" w14:textId="77777777" w:rsidTr="005440BF">
        <w:tc>
          <w:tcPr>
            <w:tcW w:w="0" w:type="auto"/>
            <w:tcBorders>
              <w:top w:val="nil"/>
              <w:left w:val="nil"/>
              <w:bottom w:val="nil"/>
              <w:right w:val="nil"/>
            </w:tcBorders>
            <w:vAlign w:val="center"/>
          </w:tcPr>
          <w:p w14:paraId="0F7A7177"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India</w:t>
            </w:r>
          </w:p>
        </w:tc>
        <w:tc>
          <w:tcPr>
            <w:tcW w:w="0" w:type="auto"/>
            <w:tcBorders>
              <w:top w:val="nil"/>
              <w:left w:val="nil"/>
              <w:bottom w:val="nil"/>
              <w:right w:val="nil"/>
            </w:tcBorders>
            <w:vAlign w:val="bottom"/>
          </w:tcPr>
          <w:p w14:paraId="675F8CF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1.044</w:t>
            </w:r>
          </w:p>
        </w:tc>
        <w:tc>
          <w:tcPr>
            <w:tcW w:w="0" w:type="auto"/>
            <w:tcBorders>
              <w:top w:val="nil"/>
              <w:left w:val="nil"/>
              <w:bottom w:val="nil"/>
              <w:right w:val="nil"/>
            </w:tcBorders>
            <w:vAlign w:val="bottom"/>
          </w:tcPr>
          <w:p w14:paraId="57AEC18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1.351</w:t>
            </w:r>
          </w:p>
        </w:tc>
      </w:tr>
      <w:tr w:rsidR="009F2232" w:rsidRPr="004153B4" w14:paraId="3058E4ED" w14:textId="77777777" w:rsidTr="005440BF">
        <w:tc>
          <w:tcPr>
            <w:tcW w:w="0" w:type="auto"/>
            <w:tcBorders>
              <w:top w:val="nil"/>
              <w:left w:val="nil"/>
              <w:bottom w:val="nil"/>
              <w:right w:val="nil"/>
            </w:tcBorders>
            <w:vAlign w:val="center"/>
          </w:tcPr>
          <w:p w14:paraId="664EE86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Indonesia</w:t>
            </w:r>
          </w:p>
        </w:tc>
        <w:tc>
          <w:tcPr>
            <w:tcW w:w="0" w:type="auto"/>
            <w:tcBorders>
              <w:top w:val="nil"/>
              <w:left w:val="nil"/>
              <w:bottom w:val="nil"/>
              <w:right w:val="nil"/>
            </w:tcBorders>
            <w:vAlign w:val="bottom"/>
          </w:tcPr>
          <w:p w14:paraId="7C36EC4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0.549</w:t>
            </w:r>
          </w:p>
        </w:tc>
        <w:tc>
          <w:tcPr>
            <w:tcW w:w="0" w:type="auto"/>
            <w:tcBorders>
              <w:top w:val="nil"/>
              <w:left w:val="nil"/>
              <w:bottom w:val="nil"/>
              <w:right w:val="nil"/>
            </w:tcBorders>
            <w:vAlign w:val="bottom"/>
          </w:tcPr>
          <w:p w14:paraId="6213E58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0.710</w:t>
            </w:r>
          </w:p>
        </w:tc>
      </w:tr>
      <w:tr w:rsidR="009F2232" w:rsidRPr="004153B4" w14:paraId="6093AAB9" w14:textId="77777777" w:rsidTr="005440BF">
        <w:tc>
          <w:tcPr>
            <w:tcW w:w="0" w:type="auto"/>
            <w:tcBorders>
              <w:top w:val="nil"/>
              <w:left w:val="nil"/>
              <w:bottom w:val="nil"/>
              <w:right w:val="nil"/>
            </w:tcBorders>
            <w:vAlign w:val="center"/>
          </w:tcPr>
          <w:p w14:paraId="5D53281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Iran (Islamic Republic of)</w:t>
            </w:r>
          </w:p>
        </w:tc>
        <w:tc>
          <w:tcPr>
            <w:tcW w:w="0" w:type="auto"/>
            <w:tcBorders>
              <w:top w:val="nil"/>
              <w:left w:val="nil"/>
              <w:bottom w:val="nil"/>
              <w:right w:val="nil"/>
            </w:tcBorders>
            <w:vAlign w:val="bottom"/>
          </w:tcPr>
          <w:p w14:paraId="5A3706C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0.371</w:t>
            </w:r>
          </w:p>
        </w:tc>
        <w:tc>
          <w:tcPr>
            <w:tcW w:w="0" w:type="auto"/>
            <w:tcBorders>
              <w:top w:val="nil"/>
              <w:left w:val="nil"/>
              <w:bottom w:val="nil"/>
              <w:right w:val="nil"/>
            </w:tcBorders>
            <w:vAlign w:val="bottom"/>
          </w:tcPr>
          <w:p w14:paraId="0C0CC2A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0.480</w:t>
            </w:r>
          </w:p>
        </w:tc>
      </w:tr>
      <w:tr w:rsidR="009F2232" w:rsidRPr="004153B4" w14:paraId="2D26D92B" w14:textId="77777777" w:rsidTr="005440BF">
        <w:tc>
          <w:tcPr>
            <w:tcW w:w="0" w:type="auto"/>
            <w:tcBorders>
              <w:top w:val="nil"/>
              <w:left w:val="nil"/>
              <w:bottom w:val="nil"/>
              <w:right w:val="nil"/>
            </w:tcBorders>
            <w:vAlign w:val="center"/>
          </w:tcPr>
          <w:p w14:paraId="1C096E4D"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Iraq</w:t>
            </w:r>
          </w:p>
        </w:tc>
        <w:tc>
          <w:tcPr>
            <w:tcW w:w="0" w:type="auto"/>
            <w:tcBorders>
              <w:top w:val="nil"/>
              <w:left w:val="nil"/>
              <w:bottom w:val="nil"/>
              <w:right w:val="nil"/>
            </w:tcBorders>
            <w:vAlign w:val="bottom"/>
          </w:tcPr>
          <w:p w14:paraId="30D9337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0.128</w:t>
            </w:r>
          </w:p>
        </w:tc>
        <w:tc>
          <w:tcPr>
            <w:tcW w:w="0" w:type="auto"/>
            <w:tcBorders>
              <w:top w:val="nil"/>
              <w:left w:val="nil"/>
              <w:bottom w:val="nil"/>
              <w:right w:val="nil"/>
            </w:tcBorders>
            <w:vAlign w:val="bottom"/>
          </w:tcPr>
          <w:p w14:paraId="1797947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0.166</w:t>
            </w:r>
          </w:p>
        </w:tc>
      </w:tr>
      <w:tr w:rsidR="009F2232" w:rsidRPr="004153B4" w14:paraId="49957E7A" w14:textId="77777777" w:rsidTr="005440BF">
        <w:tc>
          <w:tcPr>
            <w:tcW w:w="0" w:type="auto"/>
            <w:tcBorders>
              <w:top w:val="nil"/>
              <w:left w:val="nil"/>
              <w:bottom w:val="nil"/>
              <w:right w:val="nil"/>
            </w:tcBorders>
            <w:vAlign w:val="center"/>
          </w:tcPr>
          <w:p w14:paraId="466614D9" w14:textId="77777777" w:rsidR="009F2232" w:rsidRPr="004153B4" w:rsidRDefault="009F2232" w:rsidP="005440BF">
            <w:pPr>
              <w:suppressAutoHyphens w:val="0"/>
              <w:spacing w:before="40" w:after="40" w:line="200" w:lineRule="exact"/>
              <w:ind w:left="360" w:hanging="360"/>
              <w:rPr>
                <w:rFonts w:eastAsia="MS Mincho"/>
                <w:color w:val="000000"/>
                <w:sz w:val="18"/>
                <w:szCs w:val="18"/>
                <w:lang w:eastAsia="de-DE"/>
              </w:rPr>
            </w:pPr>
            <w:r>
              <w:rPr>
                <w:color w:val="000000"/>
                <w:sz w:val="18"/>
                <w:szCs w:val="18"/>
              </w:rPr>
              <w:t>Ireland</w:t>
            </w:r>
          </w:p>
        </w:tc>
        <w:tc>
          <w:tcPr>
            <w:tcW w:w="0" w:type="auto"/>
            <w:tcBorders>
              <w:top w:val="nil"/>
              <w:left w:val="nil"/>
              <w:bottom w:val="nil"/>
              <w:right w:val="nil"/>
            </w:tcBorders>
            <w:vAlign w:val="bottom"/>
          </w:tcPr>
          <w:p w14:paraId="553A9495"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0.439</w:t>
            </w:r>
          </w:p>
        </w:tc>
        <w:tc>
          <w:tcPr>
            <w:tcW w:w="0" w:type="auto"/>
            <w:tcBorders>
              <w:top w:val="nil"/>
              <w:left w:val="nil"/>
              <w:bottom w:val="nil"/>
              <w:right w:val="nil"/>
            </w:tcBorders>
            <w:vAlign w:val="bottom"/>
          </w:tcPr>
          <w:p w14:paraId="43630A78"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0.568</w:t>
            </w:r>
          </w:p>
        </w:tc>
      </w:tr>
      <w:tr w:rsidR="009F2232" w:rsidRPr="004153B4" w14:paraId="52D78E01" w14:textId="77777777" w:rsidTr="005440BF">
        <w:tc>
          <w:tcPr>
            <w:tcW w:w="0" w:type="auto"/>
            <w:tcBorders>
              <w:top w:val="nil"/>
              <w:left w:val="nil"/>
              <w:bottom w:val="nil"/>
              <w:right w:val="nil"/>
            </w:tcBorders>
            <w:vAlign w:val="center"/>
          </w:tcPr>
          <w:p w14:paraId="0721E2D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Israel</w:t>
            </w:r>
          </w:p>
        </w:tc>
        <w:tc>
          <w:tcPr>
            <w:tcW w:w="0" w:type="auto"/>
            <w:tcBorders>
              <w:top w:val="nil"/>
              <w:left w:val="nil"/>
              <w:bottom w:val="nil"/>
              <w:right w:val="nil"/>
            </w:tcBorders>
            <w:vAlign w:val="bottom"/>
          </w:tcPr>
          <w:p w14:paraId="3A0827C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0.561</w:t>
            </w:r>
          </w:p>
        </w:tc>
        <w:tc>
          <w:tcPr>
            <w:tcW w:w="0" w:type="auto"/>
            <w:tcBorders>
              <w:top w:val="nil"/>
              <w:left w:val="nil"/>
              <w:bottom w:val="nil"/>
              <w:right w:val="nil"/>
            </w:tcBorders>
            <w:vAlign w:val="bottom"/>
          </w:tcPr>
          <w:p w14:paraId="65E9BBD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0.726</w:t>
            </w:r>
          </w:p>
        </w:tc>
      </w:tr>
      <w:tr w:rsidR="009F2232" w:rsidRPr="004153B4" w14:paraId="3A83EA61" w14:textId="77777777" w:rsidTr="005440BF">
        <w:tc>
          <w:tcPr>
            <w:tcW w:w="0" w:type="auto"/>
            <w:tcBorders>
              <w:top w:val="nil"/>
              <w:left w:val="nil"/>
              <w:bottom w:val="nil"/>
              <w:right w:val="nil"/>
            </w:tcBorders>
            <w:vAlign w:val="center"/>
          </w:tcPr>
          <w:p w14:paraId="326F9BF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Italy</w:t>
            </w:r>
          </w:p>
        </w:tc>
        <w:tc>
          <w:tcPr>
            <w:tcW w:w="0" w:type="auto"/>
            <w:tcBorders>
              <w:top w:val="nil"/>
              <w:left w:val="nil"/>
              <w:bottom w:val="nil"/>
              <w:right w:val="nil"/>
            </w:tcBorders>
            <w:vAlign w:val="bottom"/>
          </w:tcPr>
          <w:p w14:paraId="7EBF709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3.189</w:t>
            </w:r>
          </w:p>
        </w:tc>
        <w:tc>
          <w:tcPr>
            <w:tcW w:w="0" w:type="auto"/>
            <w:tcBorders>
              <w:top w:val="nil"/>
              <w:left w:val="nil"/>
              <w:bottom w:val="nil"/>
              <w:right w:val="nil"/>
            </w:tcBorders>
            <w:vAlign w:val="bottom"/>
          </w:tcPr>
          <w:p w14:paraId="114FB94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4.126</w:t>
            </w:r>
          </w:p>
        </w:tc>
      </w:tr>
      <w:tr w:rsidR="009F2232" w:rsidRPr="004153B4" w14:paraId="7B6D1D6E" w14:textId="77777777" w:rsidTr="005440BF">
        <w:tc>
          <w:tcPr>
            <w:tcW w:w="0" w:type="auto"/>
            <w:tcBorders>
              <w:top w:val="nil"/>
              <w:left w:val="nil"/>
              <w:bottom w:val="nil"/>
              <w:right w:val="nil"/>
            </w:tcBorders>
            <w:vAlign w:val="center"/>
          </w:tcPr>
          <w:p w14:paraId="71C3624D"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Jamaica</w:t>
            </w:r>
          </w:p>
        </w:tc>
        <w:tc>
          <w:tcPr>
            <w:tcW w:w="0" w:type="auto"/>
            <w:tcBorders>
              <w:top w:val="nil"/>
              <w:left w:val="nil"/>
              <w:bottom w:val="nil"/>
              <w:right w:val="nil"/>
            </w:tcBorders>
            <w:vAlign w:val="bottom"/>
          </w:tcPr>
          <w:p w14:paraId="6F9F26B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0.008</w:t>
            </w:r>
          </w:p>
        </w:tc>
        <w:tc>
          <w:tcPr>
            <w:tcW w:w="0" w:type="auto"/>
            <w:tcBorders>
              <w:top w:val="nil"/>
              <w:left w:val="nil"/>
              <w:bottom w:val="nil"/>
              <w:right w:val="nil"/>
            </w:tcBorders>
            <w:vAlign w:val="bottom"/>
          </w:tcPr>
          <w:p w14:paraId="479D5FB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r>
      <w:tr w:rsidR="009F2232" w:rsidRPr="004153B4" w14:paraId="2EEBC051" w14:textId="77777777" w:rsidTr="005440BF">
        <w:tc>
          <w:tcPr>
            <w:tcW w:w="0" w:type="auto"/>
            <w:tcBorders>
              <w:top w:val="nil"/>
              <w:left w:val="nil"/>
              <w:bottom w:val="nil"/>
              <w:right w:val="nil"/>
            </w:tcBorders>
            <w:vAlign w:val="center"/>
          </w:tcPr>
          <w:p w14:paraId="240F092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Japan</w:t>
            </w:r>
          </w:p>
        </w:tc>
        <w:tc>
          <w:tcPr>
            <w:tcW w:w="0" w:type="auto"/>
            <w:tcBorders>
              <w:top w:val="nil"/>
              <w:left w:val="nil"/>
              <w:bottom w:val="nil"/>
              <w:right w:val="nil"/>
            </w:tcBorders>
            <w:vAlign w:val="bottom"/>
          </w:tcPr>
          <w:p w14:paraId="6FDE471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8.033</w:t>
            </w:r>
          </w:p>
        </w:tc>
        <w:tc>
          <w:tcPr>
            <w:tcW w:w="0" w:type="auto"/>
            <w:tcBorders>
              <w:top w:val="nil"/>
              <w:left w:val="nil"/>
              <w:bottom w:val="nil"/>
              <w:right w:val="nil"/>
            </w:tcBorders>
            <w:vAlign w:val="bottom"/>
          </w:tcPr>
          <w:p w14:paraId="3D59890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10.393</w:t>
            </w:r>
          </w:p>
        </w:tc>
      </w:tr>
      <w:tr w:rsidR="009F2232" w:rsidRPr="004153B4" w14:paraId="58440B83" w14:textId="77777777" w:rsidTr="005440BF">
        <w:tc>
          <w:tcPr>
            <w:tcW w:w="0" w:type="auto"/>
            <w:tcBorders>
              <w:top w:val="nil"/>
              <w:left w:val="nil"/>
              <w:bottom w:val="nil"/>
              <w:right w:val="nil"/>
            </w:tcBorders>
            <w:vAlign w:val="center"/>
          </w:tcPr>
          <w:p w14:paraId="253DC24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Jordan</w:t>
            </w:r>
          </w:p>
        </w:tc>
        <w:tc>
          <w:tcPr>
            <w:tcW w:w="0" w:type="auto"/>
            <w:tcBorders>
              <w:top w:val="nil"/>
              <w:left w:val="nil"/>
              <w:bottom w:val="nil"/>
              <w:right w:val="nil"/>
            </w:tcBorders>
            <w:vAlign w:val="bottom"/>
          </w:tcPr>
          <w:p w14:paraId="4D5342B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0.022</w:t>
            </w:r>
          </w:p>
        </w:tc>
        <w:tc>
          <w:tcPr>
            <w:tcW w:w="0" w:type="auto"/>
            <w:tcBorders>
              <w:top w:val="nil"/>
              <w:left w:val="nil"/>
              <w:bottom w:val="nil"/>
              <w:right w:val="nil"/>
            </w:tcBorders>
            <w:vAlign w:val="bottom"/>
          </w:tcPr>
          <w:p w14:paraId="0E3311F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0.028</w:t>
            </w:r>
          </w:p>
        </w:tc>
      </w:tr>
      <w:tr w:rsidR="009F2232" w:rsidRPr="004153B4" w14:paraId="2082F1D6" w14:textId="77777777" w:rsidTr="005440BF">
        <w:tc>
          <w:tcPr>
            <w:tcW w:w="0" w:type="auto"/>
            <w:tcBorders>
              <w:top w:val="nil"/>
              <w:left w:val="nil"/>
              <w:bottom w:val="nil"/>
              <w:right w:val="nil"/>
            </w:tcBorders>
            <w:vAlign w:val="center"/>
          </w:tcPr>
          <w:p w14:paraId="457A8CF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Kazakhstan</w:t>
            </w:r>
          </w:p>
        </w:tc>
        <w:tc>
          <w:tcPr>
            <w:tcW w:w="0" w:type="auto"/>
            <w:tcBorders>
              <w:top w:val="nil"/>
              <w:left w:val="nil"/>
              <w:bottom w:val="nil"/>
              <w:right w:val="nil"/>
            </w:tcBorders>
            <w:vAlign w:val="bottom"/>
          </w:tcPr>
          <w:p w14:paraId="097D9FB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0.133</w:t>
            </w:r>
          </w:p>
        </w:tc>
        <w:tc>
          <w:tcPr>
            <w:tcW w:w="0" w:type="auto"/>
            <w:tcBorders>
              <w:top w:val="nil"/>
              <w:left w:val="nil"/>
              <w:bottom w:val="nil"/>
              <w:right w:val="nil"/>
            </w:tcBorders>
            <w:vAlign w:val="bottom"/>
          </w:tcPr>
          <w:p w14:paraId="33640E3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0.172</w:t>
            </w:r>
          </w:p>
        </w:tc>
      </w:tr>
      <w:tr w:rsidR="009F2232" w:rsidRPr="004153B4" w14:paraId="19E40270" w14:textId="77777777" w:rsidTr="005440BF">
        <w:tc>
          <w:tcPr>
            <w:tcW w:w="0" w:type="auto"/>
            <w:tcBorders>
              <w:top w:val="nil"/>
              <w:left w:val="nil"/>
              <w:bottom w:val="nil"/>
              <w:right w:val="nil"/>
            </w:tcBorders>
            <w:vAlign w:val="center"/>
          </w:tcPr>
          <w:p w14:paraId="5A8450A5"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Kenya</w:t>
            </w:r>
          </w:p>
        </w:tc>
        <w:tc>
          <w:tcPr>
            <w:tcW w:w="0" w:type="auto"/>
            <w:tcBorders>
              <w:top w:val="nil"/>
              <w:left w:val="nil"/>
              <w:bottom w:val="nil"/>
              <w:right w:val="nil"/>
            </w:tcBorders>
            <w:vAlign w:val="bottom"/>
          </w:tcPr>
          <w:p w14:paraId="2116A2B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0.030</w:t>
            </w:r>
          </w:p>
        </w:tc>
        <w:tc>
          <w:tcPr>
            <w:tcW w:w="0" w:type="auto"/>
            <w:tcBorders>
              <w:top w:val="nil"/>
              <w:left w:val="nil"/>
              <w:bottom w:val="nil"/>
              <w:right w:val="nil"/>
            </w:tcBorders>
            <w:vAlign w:val="bottom"/>
          </w:tcPr>
          <w:p w14:paraId="7C6DC32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0.039</w:t>
            </w:r>
          </w:p>
        </w:tc>
      </w:tr>
      <w:tr w:rsidR="009F2232" w:rsidRPr="004153B4" w14:paraId="5004F613" w14:textId="77777777" w:rsidTr="005440BF">
        <w:tc>
          <w:tcPr>
            <w:tcW w:w="0" w:type="auto"/>
            <w:tcBorders>
              <w:top w:val="nil"/>
              <w:left w:val="nil"/>
              <w:bottom w:val="nil"/>
              <w:right w:val="nil"/>
            </w:tcBorders>
            <w:vAlign w:val="center"/>
          </w:tcPr>
          <w:p w14:paraId="651E972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Kiribati</w:t>
            </w:r>
          </w:p>
        </w:tc>
        <w:tc>
          <w:tcPr>
            <w:tcW w:w="0" w:type="auto"/>
            <w:tcBorders>
              <w:top w:val="nil"/>
              <w:left w:val="nil"/>
              <w:bottom w:val="nil"/>
              <w:right w:val="nil"/>
            </w:tcBorders>
            <w:vAlign w:val="bottom"/>
          </w:tcPr>
          <w:p w14:paraId="6198A0D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375EEF0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60EF8697" w14:textId="77777777" w:rsidTr="005440BF">
        <w:tc>
          <w:tcPr>
            <w:tcW w:w="0" w:type="auto"/>
            <w:tcBorders>
              <w:top w:val="nil"/>
              <w:left w:val="nil"/>
              <w:bottom w:val="nil"/>
              <w:right w:val="nil"/>
            </w:tcBorders>
            <w:vAlign w:val="center"/>
          </w:tcPr>
          <w:p w14:paraId="69610D84"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Kuwait</w:t>
            </w:r>
          </w:p>
        </w:tc>
        <w:tc>
          <w:tcPr>
            <w:tcW w:w="0" w:type="auto"/>
            <w:tcBorders>
              <w:top w:val="nil"/>
              <w:left w:val="nil"/>
              <w:bottom w:val="nil"/>
              <w:right w:val="nil"/>
            </w:tcBorders>
            <w:vAlign w:val="bottom"/>
          </w:tcPr>
          <w:p w14:paraId="4B50804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0.234</w:t>
            </w:r>
          </w:p>
        </w:tc>
        <w:tc>
          <w:tcPr>
            <w:tcW w:w="0" w:type="auto"/>
            <w:tcBorders>
              <w:top w:val="nil"/>
              <w:left w:val="nil"/>
              <w:bottom w:val="nil"/>
              <w:right w:val="nil"/>
            </w:tcBorders>
            <w:vAlign w:val="bottom"/>
          </w:tcPr>
          <w:p w14:paraId="6A552EC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0.303</w:t>
            </w:r>
          </w:p>
        </w:tc>
      </w:tr>
      <w:tr w:rsidR="009F2232" w:rsidRPr="004153B4" w14:paraId="246F234D" w14:textId="77777777" w:rsidTr="005440BF">
        <w:tc>
          <w:tcPr>
            <w:tcW w:w="0" w:type="auto"/>
            <w:tcBorders>
              <w:top w:val="nil"/>
              <w:left w:val="nil"/>
              <w:bottom w:val="nil"/>
              <w:right w:val="nil"/>
            </w:tcBorders>
            <w:vAlign w:val="center"/>
          </w:tcPr>
          <w:p w14:paraId="600B3EF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Kyrgyzstan</w:t>
            </w:r>
          </w:p>
        </w:tc>
        <w:tc>
          <w:tcPr>
            <w:tcW w:w="0" w:type="auto"/>
            <w:tcBorders>
              <w:top w:val="nil"/>
              <w:left w:val="nil"/>
              <w:bottom w:val="nil"/>
              <w:right w:val="nil"/>
            </w:tcBorders>
            <w:vAlign w:val="bottom"/>
          </w:tcPr>
          <w:p w14:paraId="2A7ABFE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0.002</w:t>
            </w:r>
          </w:p>
        </w:tc>
        <w:tc>
          <w:tcPr>
            <w:tcW w:w="0" w:type="auto"/>
            <w:tcBorders>
              <w:top w:val="nil"/>
              <w:left w:val="nil"/>
              <w:bottom w:val="nil"/>
              <w:right w:val="nil"/>
            </w:tcBorders>
            <w:vAlign w:val="bottom"/>
          </w:tcPr>
          <w:p w14:paraId="4221C42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r>
      <w:tr w:rsidR="009F2232" w:rsidRPr="004153B4" w14:paraId="1C99102C" w14:textId="77777777" w:rsidTr="005440BF">
        <w:tc>
          <w:tcPr>
            <w:tcW w:w="0" w:type="auto"/>
            <w:tcBorders>
              <w:top w:val="nil"/>
              <w:left w:val="nil"/>
              <w:bottom w:val="nil"/>
              <w:right w:val="nil"/>
            </w:tcBorders>
            <w:vAlign w:val="center"/>
          </w:tcPr>
          <w:p w14:paraId="56AA029C"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lastRenderedPageBreak/>
              <w:t>Lao People’s Democratic Republic</w:t>
            </w:r>
          </w:p>
        </w:tc>
        <w:tc>
          <w:tcPr>
            <w:tcW w:w="0" w:type="auto"/>
            <w:tcBorders>
              <w:top w:val="nil"/>
              <w:left w:val="nil"/>
              <w:bottom w:val="nil"/>
              <w:right w:val="nil"/>
            </w:tcBorders>
            <w:vAlign w:val="bottom"/>
          </w:tcPr>
          <w:p w14:paraId="5332F90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0.007</w:t>
            </w:r>
          </w:p>
        </w:tc>
        <w:tc>
          <w:tcPr>
            <w:tcW w:w="0" w:type="auto"/>
            <w:tcBorders>
              <w:top w:val="nil"/>
              <w:left w:val="nil"/>
              <w:bottom w:val="nil"/>
              <w:right w:val="nil"/>
            </w:tcBorders>
            <w:vAlign w:val="bottom"/>
          </w:tcPr>
          <w:p w14:paraId="65878F8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0.009</w:t>
            </w:r>
          </w:p>
        </w:tc>
      </w:tr>
      <w:tr w:rsidR="009F2232" w:rsidRPr="004153B4" w14:paraId="7763624E" w14:textId="77777777" w:rsidTr="005440BF">
        <w:tc>
          <w:tcPr>
            <w:tcW w:w="0" w:type="auto"/>
            <w:tcBorders>
              <w:top w:val="nil"/>
              <w:left w:val="nil"/>
              <w:bottom w:val="nil"/>
              <w:right w:val="nil"/>
            </w:tcBorders>
            <w:vAlign w:val="center"/>
          </w:tcPr>
          <w:p w14:paraId="370E265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Latvia</w:t>
            </w:r>
          </w:p>
        </w:tc>
        <w:tc>
          <w:tcPr>
            <w:tcW w:w="0" w:type="auto"/>
            <w:tcBorders>
              <w:top w:val="nil"/>
              <w:left w:val="nil"/>
              <w:bottom w:val="nil"/>
              <w:right w:val="nil"/>
            </w:tcBorders>
            <w:vAlign w:val="bottom"/>
          </w:tcPr>
          <w:p w14:paraId="34E11CC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0.050</w:t>
            </w:r>
          </w:p>
        </w:tc>
        <w:tc>
          <w:tcPr>
            <w:tcW w:w="0" w:type="auto"/>
            <w:tcBorders>
              <w:top w:val="nil"/>
              <w:left w:val="nil"/>
              <w:bottom w:val="nil"/>
              <w:right w:val="nil"/>
            </w:tcBorders>
            <w:vAlign w:val="bottom"/>
          </w:tcPr>
          <w:p w14:paraId="3B1A34A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0.065</w:t>
            </w:r>
          </w:p>
        </w:tc>
      </w:tr>
      <w:tr w:rsidR="009F2232" w:rsidRPr="004153B4" w14:paraId="5D72C9EF" w14:textId="77777777" w:rsidTr="005440BF">
        <w:tc>
          <w:tcPr>
            <w:tcW w:w="0" w:type="auto"/>
            <w:tcBorders>
              <w:top w:val="nil"/>
              <w:left w:val="nil"/>
              <w:bottom w:val="nil"/>
              <w:right w:val="nil"/>
            </w:tcBorders>
            <w:vAlign w:val="center"/>
          </w:tcPr>
          <w:p w14:paraId="3ABF308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Lebanon</w:t>
            </w:r>
          </w:p>
        </w:tc>
        <w:tc>
          <w:tcPr>
            <w:tcW w:w="0" w:type="auto"/>
            <w:tcBorders>
              <w:top w:val="nil"/>
              <w:left w:val="nil"/>
              <w:bottom w:val="nil"/>
              <w:right w:val="nil"/>
            </w:tcBorders>
            <w:vAlign w:val="bottom"/>
          </w:tcPr>
          <w:p w14:paraId="53B5EEA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0.036</w:t>
            </w:r>
          </w:p>
        </w:tc>
        <w:tc>
          <w:tcPr>
            <w:tcW w:w="0" w:type="auto"/>
            <w:tcBorders>
              <w:top w:val="nil"/>
              <w:left w:val="nil"/>
              <w:bottom w:val="nil"/>
              <w:right w:val="nil"/>
            </w:tcBorders>
            <w:vAlign w:val="bottom"/>
          </w:tcPr>
          <w:p w14:paraId="05926D2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0.047</w:t>
            </w:r>
          </w:p>
        </w:tc>
      </w:tr>
      <w:tr w:rsidR="009F2232" w:rsidRPr="004153B4" w14:paraId="54627C69" w14:textId="77777777" w:rsidTr="005440BF">
        <w:tc>
          <w:tcPr>
            <w:tcW w:w="0" w:type="auto"/>
            <w:tcBorders>
              <w:top w:val="nil"/>
              <w:left w:val="nil"/>
              <w:bottom w:val="nil"/>
              <w:right w:val="nil"/>
            </w:tcBorders>
            <w:vAlign w:val="center"/>
          </w:tcPr>
          <w:p w14:paraId="17B9C25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Lesotho</w:t>
            </w:r>
          </w:p>
        </w:tc>
        <w:tc>
          <w:tcPr>
            <w:tcW w:w="0" w:type="auto"/>
            <w:tcBorders>
              <w:top w:val="nil"/>
              <w:left w:val="nil"/>
              <w:bottom w:val="nil"/>
              <w:right w:val="nil"/>
            </w:tcBorders>
            <w:vAlign w:val="bottom"/>
          </w:tcPr>
          <w:p w14:paraId="4C609E3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31A2FA2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2AA03E35" w14:textId="77777777" w:rsidTr="005440BF">
        <w:tc>
          <w:tcPr>
            <w:tcW w:w="0" w:type="auto"/>
            <w:tcBorders>
              <w:top w:val="nil"/>
              <w:left w:val="nil"/>
              <w:bottom w:val="nil"/>
              <w:right w:val="nil"/>
            </w:tcBorders>
            <w:vAlign w:val="center"/>
          </w:tcPr>
          <w:p w14:paraId="614B995D"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Liberia</w:t>
            </w:r>
          </w:p>
        </w:tc>
        <w:tc>
          <w:tcPr>
            <w:tcW w:w="0" w:type="auto"/>
            <w:tcBorders>
              <w:top w:val="nil"/>
              <w:left w:val="nil"/>
              <w:bottom w:val="nil"/>
              <w:right w:val="nil"/>
            </w:tcBorders>
            <w:vAlign w:val="bottom"/>
          </w:tcPr>
          <w:p w14:paraId="2C47811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4E30364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4E168CEC" w14:textId="77777777" w:rsidTr="005440BF">
        <w:tc>
          <w:tcPr>
            <w:tcW w:w="0" w:type="auto"/>
            <w:tcBorders>
              <w:top w:val="nil"/>
              <w:left w:val="nil"/>
              <w:bottom w:val="nil"/>
              <w:right w:val="nil"/>
            </w:tcBorders>
            <w:vAlign w:val="center"/>
          </w:tcPr>
          <w:p w14:paraId="607F31F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Libya</w:t>
            </w:r>
          </w:p>
        </w:tc>
        <w:tc>
          <w:tcPr>
            <w:tcW w:w="0" w:type="auto"/>
            <w:tcBorders>
              <w:top w:val="nil"/>
              <w:left w:val="nil"/>
              <w:bottom w:val="nil"/>
              <w:right w:val="nil"/>
            </w:tcBorders>
            <w:vAlign w:val="bottom"/>
          </w:tcPr>
          <w:p w14:paraId="0AADED1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0.018</w:t>
            </w:r>
          </w:p>
        </w:tc>
        <w:tc>
          <w:tcPr>
            <w:tcW w:w="0" w:type="auto"/>
            <w:tcBorders>
              <w:top w:val="nil"/>
              <w:left w:val="nil"/>
              <w:bottom w:val="nil"/>
              <w:right w:val="nil"/>
            </w:tcBorders>
            <w:vAlign w:val="bottom"/>
          </w:tcPr>
          <w:p w14:paraId="4D6C481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0.023</w:t>
            </w:r>
          </w:p>
        </w:tc>
      </w:tr>
      <w:tr w:rsidR="009F2232" w:rsidRPr="004153B4" w14:paraId="43FEE949" w14:textId="77777777" w:rsidTr="005440BF">
        <w:tc>
          <w:tcPr>
            <w:tcW w:w="0" w:type="auto"/>
            <w:tcBorders>
              <w:top w:val="nil"/>
              <w:left w:val="nil"/>
              <w:bottom w:val="nil"/>
              <w:right w:val="nil"/>
            </w:tcBorders>
            <w:vAlign w:val="center"/>
          </w:tcPr>
          <w:p w14:paraId="5229092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Liechtenstein</w:t>
            </w:r>
          </w:p>
        </w:tc>
        <w:tc>
          <w:tcPr>
            <w:tcW w:w="0" w:type="auto"/>
            <w:tcBorders>
              <w:top w:val="nil"/>
              <w:left w:val="nil"/>
              <w:bottom w:val="nil"/>
              <w:right w:val="nil"/>
            </w:tcBorders>
            <w:vAlign w:val="bottom"/>
          </w:tcPr>
          <w:p w14:paraId="0B51320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44F9F37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r>
      <w:tr w:rsidR="009F2232" w:rsidRPr="004153B4" w14:paraId="57564127" w14:textId="77777777" w:rsidTr="005440BF">
        <w:tc>
          <w:tcPr>
            <w:tcW w:w="0" w:type="auto"/>
            <w:tcBorders>
              <w:top w:val="nil"/>
              <w:left w:val="nil"/>
              <w:bottom w:val="nil"/>
              <w:right w:val="nil"/>
            </w:tcBorders>
            <w:vAlign w:val="center"/>
          </w:tcPr>
          <w:p w14:paraId="25487E6C"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Lithuania</w:t>
            </w:r>
          </w:p>
        </w:tc>
        <w:tc>
          <w:tcPr>
            <w:tcW w:w="0" w:type="auto"/>
            <w:tcBorders>
              <w:top w:val="nil"/>
              <w:left w:val="nil"/>
              <w:bottom w:val="nil"/>
              <w:right w:val="nil"/>
            </w:tcBorders>
            <w:vAlign w:val="bottom"/>
          </w:tcPr>
          <w:p w14:paraId="6926B41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0.077</w:t>
            </w:r>
          </w:p>
        </w:tc>
        <w:tc>
          <w:tcPr>
            <w:tcW w:w="0" w:type="auto"/>
            <w:tcBorders>
              <w:top w:val="nil"/>
              <w:left w:val="nil"/>
              <w:bottom w:val="nil"/>
              <w:right w:val="nil"/>
            </w:tcBorders>
            <w:vAlign w:val="bottom"/>
          </w:tcPr>
          <w:p w14:paraId="0CD80C2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0.100</w:t>
            </w:r>
          </w:p>
        </w:tc>
      </w:tr>
      <w:tr w:rsidR="009F2232" w:rsidRPr="004153B4" w14:paraId="1C8D79A6" w14:textId="77777777" w:rsidTr="005440BF">
        <w:tc>
          <w:tcPr>
            <w:tcW w:w="0" w:type="auto"/>
            <w:tcBorders>
              <w:top w:val="nil"/>
              <w:left w:val="nil"/>
              <w:bottom w:val="nil"/>
              <w:right w:val="nil"/>
            </w:tcBorders>
            <w:vAlign w:val="center"/>
          </w:tcPr>
          <w:p w14:paraId="230E55F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Luxembourg</w:t>
            </w:r>
          </w:p>
        </w:tc>
        <w:tc>
          <w:tcPr>
            <w:tcW w:w="0" w:type="auto"/>
            <w:tcBorders>
              <w:top w:val="nil"/>
              <w:left w:val="nil"/>
              <w:bottom w:val="nil"/>
              <w:right w:val="nil"/>
            </w:tcBorders>
            <w:vAlign w:val="bottom"/>
          </w:tcPr>
          <w:p w14:paraId="7805255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0.068</w:t>
            </w:r>
          </w:p>
        </w:tc>
        <w:tc>
          <w:tcPr>
            <w:tcW w:w="0" w:type="auto"/>
            <w:tcBorders>
              <w:top w:val="nil"/>
              <w:left w:val="nil"/>
              <w:bottom w:val="nil"/>
              <w:right w:val="nil"/>
            </w:tcBorders>
            <w:vAlign w:val="bottom"/>
          </w:tcPr>
          <w:p w14:paraId="7877874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0.088</w:t>
            </w:r>
          </w:p>
        </w:tc>
      </w:tr>
      <w:tr w:rsidR="009F2232" w:rsidRPr="004153B4" w14:paraId="4CC3D71A" w14:textId="77777777" w:rsidTr="005440BF">
        <w:tc>
          <w:tcPr>
            <w:tcW w:w="0" w:type="auto"/>
            <w:tcBorders>
              <w:top w:val="nil"/>
              <w:left w:val="nil"/>
              <w:bottom w:val="nil"/>
              <w:right w:val="nil"/>
            </w:tcBorders>
            <w:vAlign w:val="center"/>
          </w:tcPr>
          <w:p w14:paraId="7A809A76"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Madagascar</w:t>
            </w:r>
          </w:p>
        </w:tc>
        <w:tc>
          <w:tcPr>
            <w:tcW w:w="0" w:type="auto"/>
            <w:tcBorders>
              <w:top w:val="nil"/>
              <w:left w:val="nil"/>
              <w:bottom w:val="nil"/>
              <w:right w:val="nil"/>
            </w:tcBorders>
            <w:vAlign w:val="bottom"/>
          </w:tcPr>
          <w:p w14:paraId="32B293C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c>
          <w:tcPr>
            <w:tcW w:w="0" w:type="auto"/>
            <w:tcBorders>
              <w:top w:val="nil"/>
              <w:left w:val="nil"/>
              <w:bottom w:val="nil"/>
              <w:right w:val="nil"/>
            </w:tcBorders>
            <w:vAlign w:val="bottom"/>
          </w:tcPr>
          <w:p w14:paraId="07DD384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r>
      <w:tr w:rsidR="009F2232" w:rsidRPr="004153B4" w14:paraId="3FF10D7A" w14:textId="77777777" w:rsidTr="005440BF">
        <w:tc>
          <w:tcPr>
            <w:tcW w:w="0" w:type="auto"/>
            <w:tcBorders>
              <w:top w:val="nil"/>
              <w:left w:val="nil"/>
              <w:bottom w:val="nil"/>
              <w:right w:val="nil"/>
            </w:tcBorders>
            <w:vAlign w:val="center"/>
          </w:tcPr>
          <w:p w14:paraId="101FD0D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Malawi</w:t>
            </w:r>
          </w:p>
        </w:tc>
        <w:tc>
          <w:tcPr>
            <w:tcW w:w="0" w:type="auto"/>
            <w:tcBorders>
              <w:top w:val="nil"/>
              <w:left w:val="nil"/>
              <w:bottom w:val="nil"/>
              <w:right w:val="nil"/>
            </w:tcBorders>
            <w:vAlign w:val="bottom"/>
          </w:tcPr>
          <w:p w14:paraId="2F9BC47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0.002</w:t>
            </w:r>
          </w:p>
        </w:tc>
        <w:tc>
          <w:tcPr>
            <w:tcW w:w="0" w:type="auto"/>
            <w:tcBorders>
              <w:top w:val="nil"/>
              <w:left w:val="nil"/>
              <w:bottom w:val="nil"/>
              <w:right w:val="nil"/>
            </w:tcBorders>
            <w:vAlign w:val="bottom"/>
          </w:tcPr>
          <w:p w14:paraId="05CDB6F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r>
      <w:tr w:rsidR="009F2232" w:rsidRPr="004153B4" w14:paraId="64B28028" w14:textId="77777777" w:rsidTr="005440BF">
        <w:tc>
          <w:tcPr>
            <w:tcW w:w="0" w:type="auto"/>
            <w:tcBorders>
              <w:top w:val="nil"/>
              <w:left w:val="nil"/>
              <w:bottom w:val="nil"/>
              <w:right w:val="nil"/>
            </w:tcBorders>
            <w:vAlign w:val="center"/>
          </w:tcPr>
          <w:p w14:paraId="1D9EE2C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Malaysia</w:t>
            </w:r>
          </w:p>
        </w:tc>
        <w:tc>
          <w:tcPr>
            <w:tcW w:w="0" w:type="auto"/>
            <w:tcBorders>
              <w:top w:val="nil"/>
              <w:left w:val="nil"/>
              <w:bottom w:val="nil"/>
              <w:right w:val="nil"/>
            </w:tcBorders>
            <w:vAlign w:val="bottom"/>
          </w:tcPr>
          <w:p w14:paraId="736FB85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0.348</w:t>
            </w:r>
          </w:p>
        </w:tc>
        <w:tc>
          <w:tcPr>
            <w:tcW w:w="0" w:type="auto"/>
            <w:tcBorders>
              <w:top w:val="nil"/>
              <w:left w:val="nil"/>
              <w:bottom w:val="nil"/>
              <w:right w:val="nil"/>
            </w:tcBorders>
            <w:vAlign w:val="bottom"/>
          </w:tcPr>
          <w:p w14:paraId="200115E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0.450</w:t>
            </w:r>
          </w:p>
        </w:tc>
      </w:tr>
      <w:tr w:rsidR="009F2232" w:rsidRPr="004153B4" w14:paraId="61F98C4B" w14:textId="77777777" w:rsidTr="005440BF">
        <w:tc>
          <w:tcPr>
            <w:tcW w:w="0" w:type="auto"/>
            <w:tcBorders>
              <w:top w:val="nil"/>
              <w:left w:val="nil"/>
              <w:bottom w:val="nil"/>
              <w:right w:val="nil"/>
            </w:tcBorders>
            <w:vAlign w:val="center"/>
          </w:tcPr>
          <w:p w14:paraId="2EEB69A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Maldives</w:t>
            </w:r>
          </w:p>
        </w:tc>
        <w:tc>
          <w:tcPr>
            <w:tcW w:w="0" w:type="auto"/>
            <w:tcBorders>
              <w:top w:val="nil"/>
              <w:left w:val="nil"/>
              <w:bottom w:val="nil"/>
              <w:right w:val="nil"/>
            </w:tcBorders>
            <w:vAlign w:val="bottom"/>
          </w:tcPr>
          <w:p w14:paraId="1842085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c>
          <w:tcPr>
            <w:tcW w:w="0" w:type="auto"/>
            <w:tcBorders>
              <w:top w:val="nil"/>
              <w:left w:val="nil"/>
              <w:bottom w:val="nil"/>
              <w:right w:val="nil"/>
            </w:tcBorders>
            <w:vAlign w:val="bottom"/>
          </w:tcPr>
          <w:p w14:paraId="38459F3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r>
      <w:tr w:rsidR="009F2232" w:rsidRPr="004153B4" w14:paraId="7528C76F" w14:textId="77777777" w:rsidTr="005440BF">
        <w:tc>
          <w:tcPr>
            <w:tcW w:w="0" w:type="auto"/>
            <w:tcBorders>
              <w:top w:val="nil"/>
              <w:left w:val="nil"/>
              <w:bottom w:val="nil"/>
              <w:right w:val="nil"/>
            </w:tcBorders>
            <w:vAlign w:val="center"/>
          </w:tcPr>
          <w:p w14:paraId="3D88037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Mali</w:t>
            </w:r>
          </w:p>
        </w:tc>
        <w:tc>
          <w:tcPr>
            <w:tcW w:w="0" w:type="auto"/>
            <w:tcBorders>
              <w:top w:val="nil"/>
              <w:left w:val="nil"/>
              <w:bottom w:val="nil"/>
              <w:right w:val="nil"/>
            </w:tcBorders>
            <w:vAlign w:val="bottom"/>
          </w:tcPr>
          <w:p w14:paraId="25FAE85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c>
          <w:tcPr>
            <w:tcW w:w="0" w:type="auto"/>
            <w:tcBorders>
              <w:top w:val="nil"/>
              <w:left w:val="nil"/>
              <w:bottom w:val="nil"/>
              <w:right w:val="nil"/>
            </w:tcBorders>
            <w:vAlign w:val="bottom"/>
          </w:tcPr>
          <w:p w14:paraId="25B03D3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0.006</w:t>
            </w:r>
          </w:p>
        </w:tc>
      </w:tr>
      <w:tr w:rsidR="009F2232" w:rsidRPr="004153B4" w14:paraId="7E10AA26" w14:textId="77777777" w:rsidTr="005440BF">
        <w:tc>
          <w:tcPr>
            <w:tcW w:w="0" w:type="auto"/>
            <w:tcBorders>
              <w:top w:val="nil"/>
              <w:left w:val="nil"/>
              <w:bottom w:val="nil"/>
              <w:right w:val="nil"/>
            </w:tcBorders>
            <w:vAlign w:val="center"/>
          </w:tcPr>
          <w:p w14:paraId="3877DB7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Malta</w:t>
            </w:r>
          </w:p>
        </w:tc>
        <w:tc>
          <w:tcPr>
            <w:tcW w:w="0" w:type="auto"/>
            <w:tcBorders>
              <w:top w:val="nil"/>
              <w:left w:val="nil"/>
              <w:bottom w:val="nil"/>
              <w:right w:val="nil"/>
            </w:tcBorders>
            <w:vAlign w:val="bottom"/>
          </w:tcPr>
          <w:p w14:paraId="692B650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0.019</w:t>
            </w:r>
          </w:p>
        </w:tc>
        <w:tc>
          <w:tcPr>
            <w:tcW w:w="0" w:type="auto"/>
            <w:tcBorders>
              <w:top w:val="nil"/>
              <w:left w:val="nil"/>
              <w:bottom w:val="nil"/>
              <w:right w:val="nil"/>
            </w:tcBorders>
            <w:vAlign w:val="bottom"/>
          </w:tcPr>
          <w:p w14:paraId="40CFC6F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0.025</w:t>
            </w:r>
          </w:p>
        </w:tc>
      </w:tr>
      <w:tr w:rsidR="009F2232" w:rsidRPr="004153B4" w14:paraId="2CFB0853" w14:textId="77777777" w:rsidTr="005440BF">
        <w:tc>
          <w:tcPr>
            <w:tcW w:w="0" w:type="auto"/>
            <w:tcBorders>
              <w:top w:val="nil"/>
              <w:left w:val="nil"/>
              <w:bottom w:val="nil"/>
              <w:right w:val="nil"/>
            </w:tcBorders>
            <w:vAlign w:val="center"/>
          </w:tcPr>
          <w:p w14:paraId="605C6B6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Marshall Islands</w:t>
            </w:r>
          </w:p>
        </w:tc>
        <w:tc>
          <w:tcPr>
            <w:tcW w:w="0" w:type="auto"/>
            <w:tcBorders>
              <w:top w:val="nil"/>
              <w:left w:val="nil"/>
              <w:bottom w:val="nil"/>
              <w:right w:val="nil"/>
            </w:tcBorders>
            <w:vAlign w:val="bottom"/>
          </w:tcPr>
          <w:p w14:paraId="5490B14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4DED8B0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6447A169" w14:textId="77777777" w:rsidTr="005440BF">
        <w:tc>
          <w:tcPr>
            <w:tcW w:w="0" w:type="auto"/>
            <w:tcBorders>
              <w:top w:val="nil"/>
              <w:left w:val="nil"/>
              <w:bottom w:val="nil"/>
              <w:right w:val="nil"/>
            </w:tcBorders>
            <w:vAlign w:val="center"/>
          </w:tcPr>
          <w:p w14:paraId="357B12E6"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Mauritania</w:t>
            </w:r>
          </w:p>
        </w:tc>
        <w:tc>
          <w:tcPr>
            <w:tcW w:w="0" w:type="auto"/>
            <w:tcBorders>
              <w:top w:val="nil"/>
              <w:left w:val="nil"/>
              <w:bottom w:val="nil"/>
              <w:right w:val="nil"/>
            </w:tcBorders>
            <w:vAlign w:val="bottom"/>
          </w:tcPr>
          <w:p w14:paraId="4D90C49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0.002</w:t>
            </w:r>
          </w:p>
        </w:tc>
        <w:tc>
          <w:tcPr>
            <w:tcW w:w="0" w:type="auto"/>
            <w:tcBorders>
              <w:top w:val="nil"/>
              <w:left w:val="nil"/>
              <w:bottom w:val="nil"/>
              <w:right w:val="nil"/>
            </w:tcBorders>
            <w:vAlign w:val="bottom"/>
          </w:tcPr>
          <w:p w14:paraId="45D3AAA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r>
      <w:tr w:rsidR="009F2232" w:rsidRPr="004153B4" w14:paraId="400F564E" w14:textId="77777777" w:rsidTr="005440BF">
        <w:tc>
          <w:tcPr>
            <w:tcW w:w="0" w:type="auto"/>
            <w:tcBorders>
              <w:top w:val="nil"/>
              <w:left w:val="nil"/>
              <w:bottom w:val="nil"/>
              <w:right w:val="nil"/>
            </w:tcBorders>
            <w:vAlign w:val="center"/>
          </w:tcPr>
          <w:p w14:paraId="2B082EE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Mauritius</w:t>
            </w:r>
          </w:p>
        </w:tc>
        <w:tc>
          <w:tcPr>
            <w:tcW w:w="0" w:type="auto"/>
            <w:tcBorders>
              <w:top w:val="nil"/>
              <w:left w:val="nil"/>
              <w:bottom w:val="nil"/>
              <w:right w:val="nil"/>
            </w:tcBorders>
            <w:vAlign w:val="bottom"/>
          </w:tcPr>
          <w:p w14:paraId="73FD4EF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0.019</w:t>
            </w:r>
          </w:p>
        </w:tc>
        <w:tc>
          <w:tcPr>
            <w:tcW w:w="0" w:type="auto"/>
            <w:tcBorders>
              <w:top w:val="nil"/>
              <w:left w:val="nil"/>
              <w:bottom w:val="nil"/>
              <w:right w:val="nil"/>
            </w:tcBorders>
            <w:vAlign w:val="bottom"/>
          </w:tcPr>
          <w:p w14:paraId="57CBC9F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0.025</w:t>
            </w:r>
          </w:p>
        </w:tc>
      </w:tr>
      <w:tr w:rsidR="009F2232" w:rsidRPr="004153B4" w14:paraId="248E2323" w14:textId="77777777" w:rsidTr="005440BF">
        <w:tc>
          <w:tcPr>
            <w:tcW w:w="0" w:type="auto"/>
            <w:tcBorders>
              <w:top w:val="nil"/>
              <w:left w:val="nil"/>
              <w:bottom w:val="nil"/>
              <w:right w:val="nil"/>
            </w:tcBorders>
            <w:vAlign w:val="center"/>
          </w:tcPr>
          <w:p w14:paraId="276EBED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Mexico</w:t>
            </w:r>
          </w:p>
        </w:tc>
        <w:tc>
          <w:tcPr>
            <w:tcW w:w="0" w:type="auto"/>
            <w:tcBorders>
              <w:top w:val="nil"/>
              <w:left w:val="nil"/>
              <w:bottom w:val="nil"/>
              <w:right w:val="nil"/>
            </w:tcBorders>
            <w:vAlign w:val="bottom"/>
          </w:tcPr>
          <w:p w14:paraId="5E9AE82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1.221</w:t>
            </w:r>
          </w:p>
        </w:tc>
        <w:tc>
          <w:tcPr>
            <w:tcW w:w="0" w:type="auto"/>
            <w:tcBorders>
              <w:top w:val="nil"/>
              <w:left w:val="nil"/>
              <w:bottom w:val="nil"/>
              <w:right w:val="nil"/>
            </w:tcBorders>
            <w:vAlign w:val="bottom"/>
          </w:tcPr>
          <w:p w14:paraId="77CA3CD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1.580</w:t>
            </w:r>
          </w:p>
        </w:tc>
      </w:tr>
      <w:tr w:rsidR="009F2232" w:rsidRPr="004153B4" w14:paraId="6DF71CA7" w14:textId="77777777" w:rsidTr="005440BF">
        <w:tc>
          <w:tcPr>
            <w:tcW w:w="0" w:type="auto"/>
            <w:tcBorders>
              <w:top w:val="nil"/>
              <w:left w:val="nil"/>
              <w:bottom w:val="nil"/>
              <w:right w:val="nil"/>
            </w:tcBorders>
            <w:vAlign w:val="center"/>
          </w:tcPr>
          <w:p w14:paraId="7BE6AD6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Micronesia (Federated States of)</w:t>
            </w:r>
          </w:p>
        </w:tc>
        <w:tc>
          <w:tcPr>
            <w:tcW w:w="0" w:type="auto"/>
            <w:tcBorders>
              <w:top w:val="nil"/>
              <w:left w:val="nil"/>
              <w:bottom w:val="nil"/>
              <w:right w:val="nil"/>
            </w:tcBorders>
            <w:vAlign w:val="bottom"/>
          </w:tcPr>
          <w:p w14:paraId="5B96873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38CEBB6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0E12F0D3" w14:textId="77777777" w:rsidTr="005440BF">
        <w:tc>
          <w:tcPr>
            <w:tcW w:w="0" w:type="auto"/>
            <w:tcBorders>
              <w:top w:val="nil"/>
              <w:left w:val="nil"/>
              <w:bottom w:val="nil"/>
              <w:right w:val="nil"/>
            </w:tcBorders>
            <w:vAlign w:val="center"/>
          </w:tcPr>
          <w:p w14:paraId="3C131726"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Monaco</w:t>
            </w:r>
          </w:p>
        </w:tc>
        <w:tc>
          <w:tcPr>
            <w:tcW w:w="0" w:type="auto"/>
            <w:tcBorders>
              <w:top w:val="nil"/>
              <w:left w:val="nil"/>
              <w:bottom w:val="nil"/>
              <w:right w:val="nil"/>
            </w:tcBorders>
            <w:vAlign w:val="bottom"/>
          </w:tcPr>
          <w:p w14:paraId="436BD69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0.011</w:t>
            </w:r>
          </w:p>
        </w:tc>
        <w:tc>
          <w:tcPr>
            <w:tcW w:w="0" w:type="auto"/>
            <w:tcBorders>
              <w:top w:val="nil"/>
              <w:left w:val="nil"/>
              <w:bottom w:val="nil"/>
              <w:right w:val="nil"/>
            </w:tcBorders>
            <w:vAlign w:val="bottom"/>
          </w:tcPr>
          <w:p w14:paraId="1B14F54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0.014</w:t>
            </w:r>
          </w:p>
        </w:tc>
      </w:tr>
      <w:tr w:rsidR="009F2232" w:rsidRPr="004153B4" w14:paraId="5922FD4E" w14:textId="77777777" w:rsidTr="005440BF">
        <w:tc>
          <w:tcPr>
            <w:tcW w:w="0" w:type="auto"/>
            <w:tcBorders>
              <w:top w:val="nil"/>
              <w:left w:val="nil"/>
              <w:bottom w:val="nil"/>
              <w:right w:val="nil"/>
            </w:tcBorders>
            <w:vAlign w:val="center"/>
          </w:tcPr>
          <w:p w14:paraId="07AD996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Mongolia</w:t>
            </w:r>
          </w:p>
        </w:tc>
        <w:tc>
          <w:tcPr>
            <w:tcW w:w="0" w:type="auto"/>
            <w:tcBorders>
              <w:top w:val="nil"/>
              <w:left w:val="nil"/>
              <w:bottom w:val="nil"/>
              <w:right w:val="nil"/>
            </w:tcBorders>
            <w:vAlign w:val="bottom"/>
          </w:tcPr>
          <w:p w14:paraId="29E3F57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c>
          <w:tcPr>
            <w:tcW w:w="0" w:type="auto"/>
            <w:tcBorders>
              <w:top w:val="nil"/>
              <w:left w:val="nil"/>
              <w:bottom w:val="nil"/>
              <w:right w:val="nil"/>
            </w:tcBorders>
            <w:vAlign w:val="bottom"/>
          </w:tcPr>
          <w:p w14:paraId="294BB9C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r>
      <w:tr w:rsidR="009F2232" w:rsidRPr="004153B4" w14:paraId="0FDF1C34" w14:textId="77777777" w:rsidTr="005440BF">
        <w:tc>
          <w:tcPr>
            <w:tcW w:w="0" w:type="auto"/>
            <w:tcBorders>
              <w:top w:val="nil"/>
              <w:left w:val="nil"/>
              <w:bottom w:val="nil"/>
              <w:right w:val="nil"/>
            </w:tcBorders>
            <w:vAlign w:val="center"/>
          </w:tcPr>
          <w:p w14:paraId="2E5C7666"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Montenegro</w:t>
            </w:r>
          </w:p>
        </w:tc>
        <w:tc>
          <w:tcPr>
            <w:tcW w:w="0" w:type="auto"/>
            <w:tcBorders>
              <w:top w:val="nil"/>
              <w:left w:val="nil"/>
              <w:bottom w:val="nil"/>
              <w:right w:val="nil"/>
            </w:tcBorders>
            <w:vAlign w:val="bottom"/>
          </w:tcPr>
          <w:p w14:paraId="2C36F17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c>
          <w:tcPr>
            <w:tcW w:w="0" w:type="auto"/>
            <w:tcBorders>
              <w:top w:val="nil"/>
              <w:left w:val="nil"/>
              <w:bottom w:val="nil"/>
              <w:right w:val="nil"/>
            </w:tcBorders>
            <w:vAlign w:val="bottom"/>
          </w:tcPr>
          <w:p w14:paraId="52D9FD8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r>
      <w:tr w:rsidR="009F2232" w:rsidRPr="004153B4" w14:paraId="16356EAA" w14:textId="77777777" w:rsidTr="005440BF">
        <w:tc>
          <w:tcPr>
            <w:tcW w:w="0" w:type="auto"/>
            <w:tcBorders>
              <w:top w:val="nil"/>
              <w:left w:val="nil"/>
              <w:bottom w:val="nil"/>
              <w:right w:val="nil"/>
            </w:tcBorders>
            <w:vAlign w:val="center"/>
          </w:tcPr>
          <w:p w14:paraId="7D499E4D"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 xml:space="preserve">Morocco </w:t>
            </w:r>
          </w:p>
        </w:tc>
        <w:tc>
          <w:tcPr>
            <w:tcW w:w="0" w:type="auto"/>
            <w:tcBorders>
              <w:top w:val="nil"/>
              <w:left w:val="nil"/>
              <w:bottom w:val="nil"/>
              <w:right w:val="nil"/>
            </w:tcBorders>
            <w:vAlign w:val="bottom"/>
          </w:tcPr>
          <w:p w14:paraId="0C4ADEA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0.055</w:t>
            </w:r>
          </w:p>
        </w:tc>
        <w:tc>
          <w:tcPr>
            <w:tcW w:w="0" w:type="auto"/>
            <w:tcBorders>
              <w:top w:val="nil"/>
              <w:left w:val="nil"/>
              <w:bottom w:val="nil"/>
              <w:right w:val="nil"/>
            </w:tcBorders>
            <w:vAlign w:val="bottom"/>
          </w:tcPr>
          <w:p w14:paraId="2F4C1E5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0.071</w:t>
            </w:r>
          </w:p>
        </w:tc>
      </w:tr>
      <w:tr w:rsidR="009F2232" w:rsidRPr="004153B4" w14:paraId="2D18AB68" w14:textId="77777777" w:rsidTr="005440BF">
        <w:tc>
          <w:tcPr>
            <w:tcW w:w="0" w:type="auto"/>
            <w:tcBorders>
              <w:top w:val="nil"/>
              <w:left w:val="nil"/>
              <w:bottom w:val="nil"/>
              <w:right w:val="nil"/>
            </w:tcBorders>
            <w:vAlign w:val="center"/>
          </w:tcPr>
          <w:p w14:paraId="1AE32EED"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Mozambique</w:t>
            </w:r>
          </w:p>
        </w:tc>
        <w:tc>
          <w:tcPr>
            <w:tcW w:w="0" w:type="auto"/>
            <w:tcBorders>
              <w:top w:val="nil"/>
              <w:left w:val="nil"/>
              <w:bottom w:val="nil"/>
              <w:right w:val="nil"/>
            </w:tcBorders>
            <w:vAlign w:val="bottom"/>
          </w:tcPr>
          <w:p w14:paraId="188BF24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c>
          <w:tcPr>
            <w:tcW w:w="0" w:type="auto"/>
            <w:tcBorders>
              <w:top w:val="nil"/>
              <w:left w:val="nil"/>
              <w:bottom w:val="nil"/>
              <w:right w:val="nil"/>
            </w:tcBorders>
            <w:vAlign w:val="bottom"/>
          </w:tcPr>
          <w:p w14:paraId="4BDB09E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r>
      <w:tr w:rsidR="009F2232" w:rsidRPr="004153B4" w14:paraId="1DFEF556" w14:textId="77777777" w:rsidTr="005440BF">
        <w:tc>
          <w:tcPr>
            <w:tcW w:w="0" w:type="auto"/>
            <w:tcBorders>
              <w:top w:val="nil"/>
              <w:left w:val="nil"/>
              <w:bottom w:val="nil"/>
              <w:right w:val="nil"/>
            </w:tcBorders>
            <w:vAlign w:val="center"/>
          </w:tcPr>
          <w:p w14:paraId="2674743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Myanmar</w:t>
            </w:r>
          </w:p>
        </w:tc>
        <w:tc>
          <w:tcPr>
            <w:tcW w:w="0" w:type="auto"/>
            <w:tcBorders>
              <w:top w:val="nil"/>
              <w:left w:val="nil"/>
              <w:bottom w:val="nil"/>
              <w:right w:val="nil"/>
            </w:tcBorders>
            <w:vAlign w:val="bottom"/>
          </w:tcPr>
          <w:p w14:paraId="5C9C68F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7773513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r>
      <w:tr w:rsidR="009F2232" w:rsidRPr="004153B4" w14:paraId="0A752C85" w14:textId="77777777" w:rsidTr="005440BF">
        <w:tc>
          <w:tcPr>
            <w:tcW w:w="0" w:type="auto"/>
            <w:tcBorders>
              <w:top w:val="nil"/>
              <w:left w:val="nil"/>
              <w:bottom w:val="nil"/>
              <w:right w:val="nil"/>
            </w:tcBorders>
            <w:vAlign w:val="center"/>
          </w:tcPr>
          <w:p w14:paraId="5916959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Namibia</w:t>
            </w:r>
          </w:p>
        </w:tc>
        <w:tc>
          <w:tcPr>
            <w:tcW w:w="0" w:type="auto"/>
            <w:tcBorders>
              <w:top w:val="nil"/>
              <w:left w:val="nil"/>
              <w:bottom w:val="nil"/>
              <w:right w:val="nil"/>
            </w:tcBorders>
            <w:vAlign w:val="bottom"/>
          </w:tcPr>
          <w:p w14:paraId="5276C32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0.009</w:t>
            </w:r>
          </w:p>
        </w:tc>
        <w:tc>
          <w:tcPr>
            <w:tcW w:w="0" w:type="auto"/>
            <w:tcBorders>
              <w:top w:val="nil"/>
              <w:left w:val="nil"/>
              <w:bottom w:val="nil"/>
              <w:right w:val="nil"/>
            </w:tcBorders>
            <w:vAlign w:val="bottom"/>
          </w:tcPr>
          <w:p w14:paraId="3128EF6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0.012</w:t>
            </w:r>
          </w:p>
        </w:tc>
      </w:tr>
      <w:tr w:rsidR="009F2232" w:rsidRPr="004153B4" w14:paraId="3FE57DA7" w14:textId="77777777" w:rsidTr="005440BF">
        <w:tc>
          <w:tcPr>
            <w:tcW w:w="0" w:type="auto"/>
            <w:tcBorders>
              <w:top w:val="nil"/>
              <w:left w:val="nil"/>
              <w:bottom w:val="nil"/>
              <w:right w:val="nil"/>
            </w:tcBorders>
            <w:vAlign w:val="center"/>
          </w:tcPr>
          <w:p w14:paraId="4C39A596"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Nauru</w:t>
            </w:r>
          </w:p>
        </w:tc>
        <w:tc>
          <w:tcPr>
            <w:tcW w:w="0" w:type="auto"/>
            <w:tcBorders>
              <w:top w:val="nil"/>
              <w:left w:val="nil"/>
              <w:bottom w:val="nil"/>
              <w:right w:val="nil"/>
            </w:tcBorders>
            <w:vAlign w:val="bottom"/>
          </w:tcPr>
          <w:p w14:paraId="5A9238F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36A054E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493A0423" w14:textId="77777777" w:rsidTr="005440BF">
        <w:tc>
          <w:tcPr>
            <w:tcW w:w="0" w:type="auto"/>
            <w:tcBorders>
              <w:top w:val="nil"/>
              <w:left w:val="nil"/>
              <w:bottom w:val="nil"/>
              <w:right w:val="nil"/>
            </w:tcBorders>
            <w:vAlign w:val="center"/>
          </w:tcPr>
          <w:p w14:paraId="62124CCD"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Nepal</w:t>
            </w:r>
          </w:p>
        </w:tc>
        <w:tc>
          <w:tcPr>
            <w:tcW w:w="0" w:type="auto"/>
            <w:tcBorders>
              <w:top w:val="nil"/>
              <w:left w:val="nil"/>
              <w:bottom w:val="nil"/>
              <w:right w:val="nil"/>
            </w:tcBorders>
            <w:vAlign w:val="bottom"/>
          </w:tcPr>
          <w:p w14:paraId="73194C3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2C8D712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r>
      <w:tr w:rsidR="00BC0969" w:rsidRPr="004153B4" w14:paraId="05B1569B" w14:textId="77777777">
        <w:tc>
          <w:tcPr>
            <w:tcW w:w="0" w:type="auto"/>
            <w:tcBorders>
              <w:top w:val="nil"/>
              <w:left w:val="nil"/>
              <w:bottom w:val="nil"/>
              <w:right w:val="nil"/>
            </w:tcBorders>
            <w:vAlign w:val="center"/>
          </w:tcPr>
          <w:p w14:paraId="08FD4F8F" w14:textId="63BF6040" w:rsidR="00BC0969" w:rsidRDefault="00BC0969">
            <w:pPr>
              <w:suppressAutoHyphens w:val="0"/>
              <w:spacing w:before="40" w:after="40" w:line="200" w:lineRule="exact"/>
              <w:ind w:left="360" w:hanging="360"/>
              <w:rPr>
                <w:color w:val="000000"/>
                <w:sz w:val="18"/>
                <w:szCs w:val="18"/>
              </w:rPr>
            </w:pPr>
            <w:r>
              <w:rPr>
                <w:color w:val="000000"/>
                <w:sz w:val="18"/>
                <w:szCs w:val="18"/>
              </w:rPr>
              <w:t>Netherlands (Kingdom of the)</w:t>
            </w:r>
          </w:p>
        </w:tc>
        <w:tc>
          <w:tcPr>
            <w:tcW w:w="0" w:type="auto"/>
            <w:tcBorders>
              <w:top w:val="nil"/>
              <w:left w:val="nil"/>
              <w:bottom w:val="nil"/>
              <w:right w:val="nil"/>
            </w:tcBorders>
            <w:vAlign w:val="bottom"/>
          </w:tcPr>
          <w:p w14:paraId="78E1CFA0" w14:textId="77777777" w:rsidR="00BC0969" w:rsidRDefault="00BC0969">
            <w:pPr>
              <w:suppressAutoHyphens w:val="0"/>
              <w:spacing w:before="40" w:after="40" w:line="200" w:lineRule="exact"/>
              <w:ind w:left="360" w:hanging="360"/>
              <w:jc w:val="right"/>
              <w:rPr>
                <w:color w:val="000000"/>
                <w:sz w:val="18"/>
                <w:szCs w:val="18"/>
              </w:rPr>
            </w:pPr>
            <w:r>
              <w:rPr>
                <w:color w:val="000000"/>
                <w:sz w:val="18"/>
                <w:szCs w:val="18"/>
              </w:rPr>
              <w:t>1.377</w:t>
            </w:r>
          </w:p>
        </w:tc>
        <w:tc>
          <w:tcPr>
            <w:tcW w:w="0" w:type="auto"/>
            <w:tcBorders>
              <w:top w:val="nil"/>
              <w:left w:val="nil"/>
              <w:bottom w:val="nil"/>
              <w:right w:val="nil"/>
            </w:tcBorders>
            <w:vAlign w:val="bottom"/>
          </w:tcPr>
          <w:p w14:paraId="09E7338D" w14:textId="77777777" w:rsidR="00BC0969" w:rsidRDefault="00BC0969">
            <w:pPr>
              <w:suppressAutoHyphens w:val="0"/>
              <w:spacing w:before="40" w:after="40" w:line="200" w:lineRule="exact"/>
              <w:ind w:left="360" w:hanging="360"/>
              <w:jc w:val="right"/>
              <w:rPr>
                <w:color w:val="000000"/>
                <w:sz w:val="18"/>
                <w:szCs w:val="18"/>
              </w:rPr>
            </w:pPr>
            <w:r>
              <w:rPr>
                <w:color w:val="000000"/>
                <w:sz w:val="18"/>
                <w:szCs w:val="18"/>
              </w:rPr>
              <w:t>1.782</w:t>
            </w:r>
          </w:p>
        </w:tc>
      </w:tr>
      <w:tr w:rsidR="009F2232" w:rsidRPr="004153B4" w14:paraId="0A71E335" w14:textId="77777777" w:rsidTr="005440BF">
        <w:tc>
          <w:tcPr>
            <w:tcW w:w="0" w:type="auto"/>
            <w:tcBorders>
              <w:top w:val="nil"/>
              <w:left w:val="nil"/>
              <w:bottom w:val="nil"/>
              <w:right w:val="nil"/>
            </w:tcBorders>
            <w:vAlign w:val="center"/>
          </w:tcPr>
          <w:p w14:paraId="51BD83F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New Zealand</w:t>
            </w:r>
          </w:p>
        </w:tc>
        <w:tc>
          <w:tcPr>
            <w:tcW w:w="0" w:type="auto"/>
            <w:tcBorders>
              <w:top w:val="nil"/>
              <w:left w:val="nil"/>
              <w:bottom w:val="nil"/>
              <w:right w:val="nil"/>
            </w:tcBorders>
            <w:vAlign w:val="bottom"/>
          </w:tcPr>
          <w:p w14:paraId="6E7B642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0.309</w:t>
            </w:r>
          </w:p>
        </w:tc>
        <w:tc>
          <w:tcPr>
            <w:tcW w:w="0" w:type="auto"/>
            <w:tcBorders>
              <w:top w:val="nil"/>
              <w:left w:val="nil"/>
              <w:bottom w:val="nil"/>
              <w:right w:val="nil"/>
            </w:tcBorders>
            <w:vAlign w:val="bottom"/>
          </w:tcPr>
          <w:p w14:paraId="0EBD2CF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0.400</w:t>
            </w:r>
          </w:p>
        </w:tc>
      </w:tr>
      <w:tr w:rsidR="009F2232" w:rsidRPr="004153B4" w14:paraId="671387A2" w14:textId="77777777" w:rsidTr="005440BF">
        <w:tc>
          <w:tcPr>
            <w:tcW w:w="0" w:type="auto"/>
            <w:tcBorders>
              <w:top w:val="nil"/>
              <w:left w:val="nil"/>
              <w:bottom w:val="nil"/>
              <w:right w:val="nil"/>
            </w:tcBorders>
            <w:vAlign w:val="center"/>
          </w:tcPr>
          <w:p w14:paraId="4E2630E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Nicaragua</w:t>
            </w:r>
          </w:p>
        </w:tc>
        <w:tc>
          <w:tcPr>
            <w:tcW w:w="0" w:type="auto"/>
            <w:tcBorders>
              <w:top w:val="nil"/>
              <w:left w:val="nil"/>
              <w:bottom w:val="nil"/>
              <w:right w:val="nil"/>
            </w:tcBorders>
            <w:vAlign w:val="bottom"/>
          </w:tcPr>
          <w:p w14:paraId="2A30220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c>
          <w:tcPr>
            <w:tcW w:w="0" w:type="auto"/>
            <w:tcBorders>
              <w:top w:val="nil"/>
              <w:left w:val="nil"/>
              <w:bottom w:val="nil"/>
              <w:right w:val="nil"/>
            </w:tcBorders>
            <w:vAlign w:val="bottom"/>
          </w:tcPr>
          <w:p w14:paraId="139570C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0.006</w:t>
            </w:r>
          </w:p>
        </w:tc>
      </w:tr>
      <w:tr w:rsidR="009F2232" w:rsidRPr="004153B4" w14:paraId="507631DB" w14:textId="77777777" w:rsidTr="005440BF">
        <w:tc>
          <w:tcPr>
            <w:tcW w:w="0" w:type="auto"/>
            <w:tcBorders>
              <w:top w:val="nil"/>
              <w:left w:val="nil"/>
              <w:bottom w:val="nil"/>
              <w:right w:val="nil"/>
            </w:tcBorders>
            <w:vAlign w:val="center"/>
          </w:tcPr>
          <w:p w14:paraId="734744C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Niger</w:t>
            </w:r>
          </w:p>
        </w:tc>
        <w:tc>
          <w:tcPr>
            <w:tcW w:w="0" w:type="auto"/>
            <w:tcBorders>
              <w:top w:val="nil"/>
              <w:left w:val="nil"/>
              <w:bottom w:val="nil"/>
              <w:right w:val="nil"/>
            </w:tcBorders>
            <w:vAlign w:val="bottom"/>
          </w:tcPr>
          <w:p w14:paraId="1026EBA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c>
          <w:tcPr>
            <w:tcW w:w="0" w:type="auto"/>
            <w:tcBorders>
              <w:top w:val="nil"/>
              <w:left w:val="nil"/>
              <w:bottom w:val="nil"/>
              <w:right w:val="nil"/>
            </w:tcBorders>
            <w:vAlign w:val="bottom"/>
          </w:tcPr>
          <w:p w14:paraId="402B194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r>
      <w:tr w:rsidR="009F2232" w:rsidRPr="004153B4" w14:paraId="78ABEE11" w14:textId="77777777" w:rsidTr="005440BF">
        <w:tc>
          <w:tcPr>
            <w:tcW w:w="0" w:type="auto"/>
            <w:tcBorders>
              <w:top w:val="nil"/>
              <w:left w:val="nil"/>
              <w:bottom w:val="nil"/>
              <w:right w:val="nil"/>
            </w:tcBorders>
            <w:vAlign w:val="center"/>
          </w:tcPr>
          <w:p w14:paraId="61636FB4"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Nigeria</w:t>
            </w:r>
          </w:p>
        </w:tc>
        <w:tc>
          <w:tcPr>
            <w:tcW w:w="0" w:type="auto"/>
            <w:tcBorders>
              <w:top w:val="nil"/>
              <w:left w:val="nil"/>
              <w:bottom w:val="nil"/>
              <w:right w:val="nil"/>
            </w:tcBorders>
            <w:vAlign w:val="bottom"/>
          </w:tcPr>
          <w:p w14:paraId="3EC141B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0.182</w:t>
            </w:r>
          </w:p>
        </w:tc>
        <w:tc>
          <w:tcPr>
            <w:tcW w:w="0" w:type="auto"/>
            <w:tcBorders>
              <w:top w:val="nil"/>
              <w:left w:val="nil"/>
              <w:bottom w:val="nil"/>
              <w:right w:val="nil"/>
            </w:tcBorders>
            <w:vAlign w:val="bottom"/>
          </w:tcPr>
          <w:p w14:paraId="170367A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0.235</w:t>
            </w:r>
          </w:p>
        </w:tc>
      </w:tr>
      <w:tr w:rsidR="009F2232" w:rsidRPr="004153B4" w14:paraId="7D6F7687" w14:textId="77777777" w:rsidTr="005440BF">
        <w:tc>
          <w:tcPr>
            <w:tcW w:w="0" w:type="auto"/>
            <w:tcBorders>
              <w:top w:val="nil"/>
              <w:left w:val="nil"/>
              <w:bottom w:val="nil"/>
              <w:right w:val="nil"/>
            </w:tcBorders>
            <w:vAlign w:val="center"/>
          </w:tcPr>
          <w:p w14:paraId="76D90D2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Niue</w:t>
            </w:r>
          </w:p>
        </w:tc>
        <w:tc>
          <w:tcPr>
            <w:tcW w:w="0" w:type="auto"/>
            <w:tcBorders>
              <w:top w:val="nil"/>
              <w:left w:val="nil"/>
              <w:bottom w:val="nil"/>
              <w:right w:val="nil"/>
            </w:tcBorders>
            <w:vAlign w:val="bottom"/>
          </w:tcPr>
          <w:p w14:paraId="7FDB025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0.000</w:t>
            </w:r>
          </w:p>
        </w:tc>
        <w:tc>
          <w:tcPr>
            <w:tcW w:w="0" w:type="auto"/>
            <w:tcBorders>
              <w:top w:val="nil"/>
              <w:left w:val="nil"/>
              <w:bottom w:val="nil"/>
              <w:right w:val="nil"/>
            </w:tcBorders>
            <w:vAlign w:val="bottom"/>
          </w:tcPr>
          <w:p w14:paraId="0FF6783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2A734181" w14:textId="77777777" w:rsidTr="005440BF">
        <w:tc>
          <w:tcPr>
            <w:tcW w:w="0" w:type="auto"/>
            <w:tcBorders>
              <w:top w:val="nil"/>
              <w:left w:val="nil"/>
              <w:bottom w:val="nil"/>
              <w:right w:val="nil"/>
            </w:tcBorders>
            <w:vAlign w:val="center"/>
          </w:tcPr>
          <w:p w14:paraId="382305FD"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North Macedonia</w:t>
            </w:r>
          </w:p>
        </w:tc>
        <w:tc>
          <w:tcPr>
            <w:tcW w:w="0" w:type="auto"/>
            <w:tcBorders>
              <w:top w:val="nil"/>
              <w:left w:val="nil"/>
              <w:bottom w:val="nil"/>
              <w:right w:val="nil"/>
            </w:tcBorders>
            <w:vAlign w:val="bottom"/>
          </w:tcPr>
          <w:p w14:paraId="32A998F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0.007</w:t>
            </w:r>
          </w:p>
        </w:tc>
        <w:tc>
          <w:tcPr>
            <w:tcW w:w="0" w:type="auto"/>
            <w:tcBorders>
              <w:top w:val="nil"/>
              <w:left w:val="nil"/>
              <w:bottom w:val="nil"/>
              <w:right w:val="nil"/>
            </w:tcBorders>
            <w:vAlign w:val="bottom"/>
          </w:tcPr>
          <w:p w14:paraId="2F5D542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0.009</w:t>
            </w:r>
          </w:p>
        </w:tc>
      </w:tr>
      <w:tr w:rsidR="009F2232" w:rsidRPr="004153B4" w14:paraId="1B8897A6" w14:textId="77777777" w:rsidTr="005440BF">
        <w:tc>
          <w:tcPr>
            <w:tcW w:w="0" w:type="auto"/>
            <w:tcBorders>
              <w:top w:val="nil"/>
              <w:left w:val="nil"/>
              <w:bottom w:val="nil"/>
              <w:right w:val="nil"/>
            </w:tcBorders>
            <w:vAlign w:val="center"/>
          </w:tcPr>
          <w:p w14:paraId="22A4AEB5" w14:textId="77777777" w:rsidR="009F2232" w:rsidRPr="004153B4" w:rsidRDefault="009F2232" w:rsidP="005440BF">
            <w:pPr>
              <w:suppressAutoHyphens w:val="0"/>
              <w:spacing w:before="40" w:after="40" w:line="200" w:lineRule="exact"/>
              <w:rPr>
                <w:rFonts w:eastAsia="Arial Unicode MS"/>
                <w:color w:val="000000"/>
                <w:sz w:val="18"/>
                <w:szCs w:val="18"/>
                <w:lang w:eastAsia="de-DE"/>
              </w:rPr>
            </w:pPr>
            <w:r>
              <w:rPr>
                <w:color w:val="000000"/>
                <w:sz w:val="18"/>
                <w:szCs w:val="18"/>
              </w:rPr>
              <w:t>Norway</w:t>
            </w:r>
          </w:p>
        </w:tc>
        <w:tc>
          <w:tcPr>
            <w:tcW w:w="0" w:type="auto"/>
            <w:tcBorders>
              <w:top w:val="nil"/>
              <w:left w:val="nil"/>
              <w:bottom w:val="nil"/>
              <w:right w:val="nil"/>
            </w:tcBorders>
            <w:vAlign w:val="bottom"/>
          </w:tcPr>
          <w:p w14:paraId="22CF1C1D" w14:textId="77777777" w:rsidR="009F2232" w:rsidRPr="004153B4" w:rsidRDefault="009F2232" w:rsidP="005440BF">
            <w:pPr>
              <w:suppressAutoHyphens w:val="0"/>
              <w:spacing w:before="40" w:after="40" w:line="200" w:lineRule="exact"/>
              <w:jc w:val="right"/>
              <w:rPr>
                <w:rFonts w:eastAsia="Arial Unicode MS"/>
                <w:color w:val="000000"/>
                <w:sz w:val="18"/>
                <w:szCs w:val="18"/>
                <w:lang w:eastAsia="de-DE"/>
              </w:rPr>
            </w:pPr>
            <w:r>
              <w:rPr>
                <w:color w:val="000000"/>
                <w:sz w:val="18"/>
                <w:szCs w:val="18"/>
              </w:rPr>
              <w:t>0.679</w:t>
            </w:r>
          </w:p>
        </w:tc>
        <w:tc>
          <w:tcPr>
            <w:tcW w:w="0" w:type="auto"/>
            <w:tcBorders>
              <w:top w:val="nil"/>
              <w:left w:val="nil"/>
              <w:bottom w:val="nil"/>
              <w:right w:val="nil"/>
            </w:tcBorders>
            <w:vAlign w:val="bottom"/>
          </w:tcPr>
          <w:p w14:paraId="7E764D83" w14:textId="77777777" w:rsidR="009F2232" w:rsidRPr="004153B4" w:rsidRDefault="009F2232" w:rsidP="005440BF">
            <w:pPr>
              <w:suppressAutoHyphens w:val="0"/>
              <w:spacing w:before="40" w:after="40" w:line="200" w:lineRule="exact"/>
              <w:jc w:val="right"/>
              <w:rPr>
                <w:rFonts w:eastAsia="Arial Unicode MS"/>
                <w:color w:val="000000"/>
                <w:sz w:val="18"/>
                <w:szCs w:val="18"/>
                <w:lang w:eastAsia="de-DE"/>
              </w:rPr>
            </w:pPr>
            <w:r>
              <w:rPr>
                <w:color w:val="000000"/>
                <w:sz w:val="18"/>
                <w:szCs w:val="18"/>
              </w:rPr>
              <w:t>0.878</w:t>
            </w:r>
          </w:p>
        </w:tc>
      </w:tr>
      <w:tr w:rsidR="009F2232" w:rsidRPr="004153B4" w14:paraId="44EB5622" w14:textId="77777777" w:rsidTr="005440BF">
        <w:tc>
          <w:tcPr>
            <w:tcW w:w="0" w:type="auto"/>
            <w:tcBorders>
              <w:top w:val="nil"/>
              <w:left w:val="nil"/>
              <w:bottom w:val="nil"/>
              <w:right w:val="nil"/>
            </w:tcBorders>
            <w:vAlign w:val="center"/>
          </w:tcPr>
          <w:p w14:paraId="622E74EC"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Oman</w:t>
            </w:r>
          </w:p>
        </w:tc>
        <w:tc>
          <w:tcPr>
            <w:tcW w:w="0" w:type="auto"/>
            <w:tcBorders>
              <w:top w:val="nil"/>
              <w:left w:val="nil"/>
              <w:bottom w:val="nil"/>
              <w:right w:val="nil"/>
            </w:tcBorders>
            <w:vAlign w:val="bottom"/>
          </w:tcPr>
          <w:p w14:paraId="2B4875B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0.111</w:t>
            </w:r>
          </w:p>
        </w:tc>
        <w:tc>
          <w:tcPr>
            <w:tcW w:w="0" w:type="auto"/>
            <w:tcBorders>
              <w:top w:val="nil"/>
              <w:left w:val="nil"/>
              <w:bottom w:val="nil"/>
              <w:right w:val="nil"/>
            </w:tcBorders>
            <w:vAlign w:val="bottom"/>
          </w:tcPr>
          <w:p w14:paraId="15D91AF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0.144</w:t>
            </w:r>
          </w:p>
        </w:tc>
      </w:tr>
      <w:tr w:rsidR="009F2232" w:rsidRPr="004153B4" w14:paraId="32F45F82" w14:textId="77777777" w:rsidTr="005440BF">
        <w:tc>
          <w:tcPr>
            <w:tcW w:w="0" w:type="auto"/>
            <w:tcBorders>
              <w:top w:val="nil"/>
              <w:left w:val="nil"/>
              <w:bottom w:val="nil"/>
              <w:right w:val="nil"/>
            </w:tcBorders>
            <w:vAlign w:val="center"/>
          </w:tcPr>
          <w:p w14:paraId="1354343D"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Pakistan</w:t>
            </w:r>
          </w:p>
        </w:tc>
        <w:tc>
          <w:tcPr>
            <w:tcW w:w="0" w:type="auto"/>
            <w:tcBorders>
              <w:top w:val="nil"/>
              <w:left w:val="nil"/>
              <w:bottom w:val="nil"/>
              <w:right w:val="nil"/>
            </w:tcBorders>
            <w:vAlign w:val="bottom"/>
          </w:tcPr>
          <w:p w14:paraId="2064D27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0.114</w:t>
            </w:r>
          </w:p>
        </w:tc>
        <w:tc>
          <w:tcPr>
            <w:tcW w:w="0" w:type="auto"/>
            <w:tcBorders>
              <w:top w:val="nil"/>
              <w:left w:val="nil"/>
              <w:bottom w:val="nil"/>
              <w:right w:val="nil"/>
            </w:tcBorders>
            <w:vAlign w:val="bottom"/>
          </w:tcPr>
          <w:p w14:paraId="56EBE67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0.147</w:t>
            </w:r>
          </w:p>
        </w:tc>
      </w:tr>
      <w:tr w:rsidR="009F2232" w:rsidRPr="004153B4" w14:paraId="3185BA46" w14:textId="77777777" w:rsidTr="005440BF">
        <w:tc>
          <w:tcPr>
            <w:tcW w:w="0" w:type="auto"/>
            <w:tcBorders>
              <w:top w:val="nil"/>
              <w:left w:val="nil"/>
              <w:bottom w:val="nil"/>
              <w:right w:val="nil"/>
            </w:tcBorders>
            <w:vAlign w:val="center"/>
          </w:tcPr>
          <w:p w14:paraId="6400CBA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Palau</w:t>
            </w:r>
          </w:p>
        </w:tc>
        <w:tc>
          <w:tcPr>
            <w:tcW w:w="0" w:type="auto"/>
            <w:tcBorders>
              <w:top w:val="nil"/>
              <w:left w:val="nil"/>
              <w:bottom w:val="nil"/>
              <w:right w:val="nil"/>
            </w:tcBorders>
            <w:vAlign w:val="bottom"/>
          </w:tcPr>
          <w:p w14:paraId="0D90AB5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0209156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2478E0DF" w14:textId="77777777" w:rsidTr="005440BF">
        <w:tc>
          <w:tcPr>
            <w:tcW w:w="0" w:type="auto"/>
            <w:tcBorders>
              <w:top w:val="nil"/>
              <w:left w:val="nil"/>
              <w:bottom w:val="nil"/>
              <w:right w:val="nil"/>
            </w:tcBorders>
            <w:vAlign w:val="center"/>
          </w:tcPr>
          <w:p w14:paraId="7247E45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Panama</w:t>
            </w:r>
          </w:p>
        </w:tc>
        <w:tc>
          <w:tcPr>
            <w:tcW w:w="0" w:type="auto"/>
            <w:tcBorders>
              <w:top w:val="nil"/>
              <w:left w:val="nil"/>
              <w:bottom w:val="nil"/>
              <w:right w:val="nil"/>
            </w:tcBorders>
            <w:vAlign w:val="bottom"/>
          </w:tcPr>
          <w:p w14:paraId="4B0F2D4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0.090</w:t>
            </w:r>
          </w:p>
        </w:tc>
        <w:tc>
          <w:tcPr>
            <w:tcW w:w="0" w:type="auto"/>
            <w:tcBorders>
              <w:top w:val="nil"/>
              <w:left w:val="nil"/>
              <w:bottom w:val="nil"/>
              <w:right w:val="nil"/>
            </w:tcBorders>
            <w:vAlign w:val="bottom"/>
          </w:tcPr>
          <w:p w14:paraId="2048D0A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0.116</w:t>
            </w:r>
          </w:p>
        </w:tc>
      </w:tr>
      <w:tr w:rsidR="009F2232" w:rsidRPr="004153B4" w14:paraId="2290B878" w14:textId="77777777" w:rsidTr="005440BF">
        <w:tc>
          <w:tcPr>
            <w:tcW w:w="0" w:type="auto"/>
            <w:tcBorders>
              <w:top w:val="nil"/>
              <w:left w:val="nil"/>
              <w:bottom w:val="nil"/>
              <w:right w:val="nil"/>
            </w:tcBorders>
            <w:vAlign w:val="center"/>
          </w:tcPr>
          <w:p w14:paraId="4C5794D1"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Papua New Guinea</w:t>
            </w:r>
          </w:p>
        </w:tc>
        <w:tc>
          <w:tcPr>
            <w:tcW w:w="0" w:type="auto"/>
            <w:tcBorders>
              <w:top w:val="nil"/>
              <w:left w:val="nil"/>
              <w:bottom w:val="nil"/>
              <w:right w:val="nil"/>
            </w:tcBorders>
            <w:vAlign w:val="bottom"/>
          </w:tcPr>
          <w:p w14:paraId="56F4EC8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0D23697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r>
      <w:tr w:rsidR="009F2232" w:rsidRPr="004153B4" w14:paraId="40E56BBF" w14:textId="77777777" w:rsidTr="005440BF">
        <w:tc>
          <w:tcPr>
            <w:tcW w:w="0" w:type="auto"/>
            <w:tcBorders>
              <w:top w:val="nil"/>
              <w:left w:val="nil"/>
              <w:bottom w:val="nil"/>
              <w:right w:val="nil"/>
            </w:tcBorders>
            <w:vAlign w:val="center"/>
          </w:tcPr>
          <w:p w14:paraId="250191B6"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Paraguay</w:t>
            </w:r>
          </w:p>
        </w:tc>
        <w:tc>
          <w:tcPr>
            <w:tcW w:w="0" w:type="auto"/>
            <w:tcBorders>
              <w:top w:val="nil"/>
              <w:left w:val="nil"/>
              <w:bottom w:val="nil"/>
              <w:right w:val="nil"/>
            </w:tcBorders>
            <w:vAlign w:val="bottom"/>
          </w:tcPr>
          <w:p w14:paraId="483FBCD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0.026</w:t>
            </w:r>
          </w:p>
        </w:tc>
        <w:tc>
          <w:tcPr>
            <w:tcW w:w="0" w:type="auto"/>
            <w:tcBorders>
              <w:top w:val="nil"/>
              <w:left w:val="nil"/>
              <w:bottom w:val="nil"/>
              <w:right w:val="nil"/>
            </w:tcBorders>
            <w:vAlign w:val="bottom"/>
          </w:tcPr>
          <w:p w14:paraId="503CA07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0.034</w:t>
            </w:r>
          </w:p>
        </w:tc>
      </w:tr>
      <w:tr w:rsidR="009F2232" w:rsidRPr="004153B4" w14:paraId="6970BAF6" w14:textId="77777777" w:rsidTr="005440BF">
        <w:tc>
          <w:tcPr>
            <w:tcW w:w="0" w:type="auto"/>
            <w:tcBorders>
              <w:top w:val="nil"/>
              <w:left w:val="nil"/>
              <w:bottom w:val="nil"/>
              <w:right w:val="nil"/>
            </w:tcBorders>
            <w:vAlign w:val="center"/>
          </w:tcPr>
          <w:p w14:paraId="3C6348C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Peru</w:t>
            </w:r>
          </w:p>
        </w:tc>
        <w:tc>
          <w:tcPr>
            <w:tcW w:w="0" w:type="auto"/>
            <w:tcBorders>
              <w:top w:val="nil"/>
              <w:left w:val="nil"/>
              <w:bottom w:val="nil"/>
              <w:right w:val="nil"/>
            </w:tcBorders>
            <w:vAlign w:val="bottom"/>
          </w:tcPr>
          <w:p w14:paraId="47EC556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0.163</w:t>
            </w:r>
          </w:p>
        </w:tc>
        <w:tc>
          <w:tcPr>
            <w:tcW w:w="0" w:type="auto"/>
            <w:tcBorders>
              <w:top w:val="nil"/>
              <w:left w:val="nil"/>
              <w:bottom w:val="nil"/>
              <w:right w:val="nil"/>
            </w:tcBorders>
            <w:vAlign w:val="bottom"/>
          </w:tcPr>
          <w:p w14:paraId="50946EF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0.211</w:t>
            </w:r>
          </w:p>
        </w:tc>
      </w:tr>
      <w:tr w:rsidR="009F2232" w:rsidRPr="004153B4" w14:paraId="76B32A00" w14:textId="77777777" w:rsidTr="005440BF">
        <w:tc>
          <w:tcPr>
            <w:tcW w:w="0" w:type="auto"/>
            <w:tcBorders>
              <w:top w:val="nil"/>
              <w:left w:val="nil"/>
              <w:bottom w:val="nil"/>
              <w:right w:val="nil"/>
            </w:tcBorders>
            <w:vAlign w:val="center"/>
          </w:tcPr>
          <w:p w14:paraId="24C15E0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Philippines</w:t>
            </w:r>
          </w:p>
        </w:tc>
        <w:tc>
          <w:tcPr>
            <w:tcW w:w="0" w:type="auto"/>
            <w:tcBorders>
              <w:top w:val="nil"/>
              <w:left w:val="nil"/>
              <w:bottom w:val="nil"/>
              <w:right w:val="nil"/>
            </w:tcBorders>
            <w:vAlign w:val="bottom"/>
          </w:tcPr>
          <w:p w14:paraId="294163F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0.212</w:t>
            </w:r>
          </w:p>
        </w:tc>
        <w:tc>
          <w:tcPr>
            <w:tcW w:w="0" w:type="auto"/>
            <w:tcBorders>
              <w:top w:val="nil"/>
              <w:left w:val="nil"/>
              <w:bottom w:val="nil"/>
              <w:right w:val="nil"/>
            </w:tcBorders>
            <w:vAlign w:val="bottom"/>
          </w:tcPr>
          <w:p w14:paraId="4CA5261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0.274</w:t>
            </w:r>
          </w:p>
        </w:tc>
      </w:tr>
      <w:tr w:rsidR="009F2232" w:rsidRPr="004153B4" w14:paraId="0C2EBC45" w14:textId="77777777" w:rsidTr="005440BF">
        <w:tc>
          <w:tcPr>
            <w:tcW w:w="0" w:type="auto"/>
            <w:tcBorders>
              <w:top w:val="nil"/>
              <w:left w:val="nil"/>
              <w:bottom w:val="nil"/>
              <w:right w:val="nil"/>
            </w:tcBorders>
            <w:vAlign w:val="center"/>
          </w:tcPr>
          <w:p w14:paraId="525F468C"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Poland</w:t>
            </w:r>
          </w:p>
        </w:tc>
        <w:tc>
          <w:tcPr>
            <w:tcW w:w="0" w:type="auto"/>
            <w:tcBorders>
              <w:top w:val="nil"/>
              <w:left w:val="nil"/>
              <w:bottom w:val="nil"/>
              <w:right w:val="nil"/>
            </w:tcBorders>
            <w:vAlign w:val="bottom"/>
          </w:tcPr>
          <w:p w14:paraId="2C224F2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0.837</w:t>
            </w:r>
          </w:p>
        </w:tc>
        <w:tc>
          <w:tcPr>
            <w:tcW w:w="0" w:type="auto"/>
            <w:tcBorders>
              <w:top w:val="nil"/>
              <w:left w:val="nil"/>
              <w:bottom w:val="nil"/>
              <w:right w:val="nil"/>
            </w:tcBorders>
            <w:vAlign w:val="bottom"/>
          </w:tcPr>
          <w:p w14:paraId="3B42C93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1.083</w:t>
            </w:r>
          </w:p>
        </w:tc>
      </w:tr>
      <w:tr w:rsidR="009F2232" w:rsidRPr="004153B4" w14:paraId="6BD3753C" w14:textId="77777777" w:rsidTr="005440BF">
        <w:tc>
          <w:tcPr>
            <w:tcW w:w="0" w:type="auto"/>
            <w:tcBorders>
              <w:top w:val="nil"/>
              <w:left w:val="nil"/>
              <w:bottom w:val="nil"/>
              <w:right w:val="nil"/>
            </w:tcBorders>
            <w:vAlign w:val="center"/>
          </w:tcPr>
          <w:p w14:paraId="77F962C1"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Portugal</w:t>
            </w:r>
          </w:p>
        </w:tc>
        <w:tc>
          <w:tcPr>
            <w:tcW w:w="0" w:type="auto"/>
            <w:tcBorders>
              <w:top w:val="nil"/>
              <w:left w:val="nil"/>
              <w:bottom w:val="nil"/>
              <w:right w:val="nil"/>
            </w:tcBorders>
            <w:vAlign w:val="bottom"/>
          </w:tcPr>
          <w:p w14:paraId="354E6F1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0.353</w:t>
            </w:r>
          </w:p>
        </w:tc>
        <w:tc>
          <w:tcPr>
            <w:tcW w:w="0" w:type="auto"/>
            <w:tcBorders>
              <w:top w:val="nil"/>
              <w:left w:val="nil"/>
              <w:bottom w:val="nil"/>
              <w:right w:val="nil"/>
            </w:tcBorders>
            <w:vAlign w:val="bottom"/>
          </w:tcPr>
          <w:p w14:paraId="1D088B4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0.457</w:t>
            </w:r>
          </w:p>
        </w:tc>
      </w:tr>
      <w:tr w:rsidR="009F2232" w:rsidRPr="004153B4" w14:paraId="2D40F313" w14:textId="77777777" w:rsidTr="005440BF">
        <w:tc>
          <w:tcPr>
            <w:tcW w:w="0" w:type="auto"/>
            <w:tcBorders>
              <w:top w:val="nil"/>
              <w:left w:val="nil"/>
              <w:bottom w:val="nil"/>
              <w:right w:val="nil"/>
            </w:tcBorders>
            <w:vAlign w:val="center"/>
          </w:tcPr>
          <w:p w14:paraId="2A456E3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Qatar</w:t>
            </w:r>
          </w:p>
        </w:tc>
        <w:tc>
          <w:tcPr>
            <w:tcW w:w="0" w:type="auto"/>
            <w:tcBorders>
              <w:top w:val="nil"/>
              <w:left w:val="nil"/>
              <w:bottom w:val="nil"/>
              <w:right w:val="nil"/>
            </w:tcBorders>
            <w:vAlign w:val="bottom"/>
          </w:tcPr>
          <w:p w14:paraId="44A211B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0.269</w:t>
            </w:r>
          </w:p>
        </w:tc>
        <w:tc>
          <w:tcPr>
            <w:tcW w:w="0" w:type="auto"/>
            <w:tcBorders>
              <w:top w:val="nil"/>
              <w:left w:val="nil"/>
              <w:bottom w:val="nil"/>
              <w:right w:val="nil"/>
            </w:tcBorders>
            <w:vAlign w:val="bottom"/>
          </w:tcPr>
          <w:p w14:paraId="188E7C3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0.348</w:t>
            </w:r>
          </w:p>
        </w:tc>
      </w:tr>
      <w:tr w:rsidR="009F2232" w:rsidRPr="004153B4" w14:paraId="113209CA" w14:textId="77777777" w:rsidTr="005440BF">
        <w:tc>
          <w:tcPr>
            <w:tcW w:w="0" w:type="auto"/>
            <w:tcBorders>
              <w:top w:val="nil"/>
              <w:left w:val="nil"/>
              <w:bottom w:val="nil"/>
              <w:right w:val="nil"/>
            </w:tcBorders>
            <w:vAlign w:val="center"/>
          </w:tcPr>
          <w:p w14:paraId="2FB9DB3F"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Republic of Korea</w:t>
            </w:r>
          </w:p>
        </w:tc>
        <w:tc>
          <w:tcPr>
            <w:tcW w:w="0" w:type="auto"/>
            <w:tcBorders>
              <w:top w:val="nil"/>
              <w:left w:val="nil"/>
              <w:bottom w:val="nil"/>
              <w:right w:val="nil"/>
            </w:tcBorders>
            <w:vAlign w:val="bottom"/>
          </w:tcPr>
          <w:p w14:paraId="081CD45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2.574</w:t>
            </w:r>
          </w:p>
        </w:tc>
        <w:tc>
          <w:tcPr>
            <w:tcW w:w="0" w:type="auto"/>
            <w:tcBorders>
              <w:top w:val="nil"/>
              <w:left w:val="nil"/>
              <w:bottom w:val="nil"/>
              <w:right w:val="nil"/>
            </w:tcBorders>
            <w:vAlign w:val="bottom"/>
          </w:tcPr>
          <w:p w14:paraId="550A8F8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3.330</w:t>
            </w:r>
          </w:p>
        </w:tc>
      </w:tr>
      <w:tr w:rsidR="009F2232" w:rsidRPr="004153B4" w14:paraId="1F57604B" w14:textId="77777777" w:rsidTr="005440BF">
        <w:tc>
          <w:tcPr>
            <w:tcW w:w="0" w:type="auto"/>
            <w:tcBorders>
              <w:top w:val="nil"/>
              <w:left w:val="nil"/>
              <w:bottom w:val="nil"/>
              <w:right w:val="nil"/>
            </w:tcBorders>
            <w:vAlign w:val="center"/>
          </w:tcPr>
          <w:p w14:paraId="47AE3DA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lastRenderedPageBreak/>
              <w:t>Republic of Moldova</w:t>
            </w:r>
          </w:p>
        </w:tc>
        <w:tc>
          <w:tcPr>
            <w:tcW w:w="0" w:type="auto"/>
            <w:tcBorders>
              <w:top w:val="nil"/>
              <w:left w:val="nil"/>
              <w:bottom w:val="nil"/>
              <w:right w:val="nil"/>
            </w:tcBorders>
            <w:vAlign w:val="bottom"/>
          </w:tcPr>
          <w:p w14:paraId="027F52F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0.005</w:t>
            </w:r>
          </w:p>
        </w:tc>
        <w:tc>
          <w:tcPr>
            <w:tcW w:w="0" w:type="auto"/>
            <w:tcBorders>
              <w:top w:val="nil"/>
              <w:left w:val="nil"/>
              <w:bottom w:val="nil"/>
              <w:right w:val="nil"/>
            </w:tcBorders>
            <w:vAlign w:val="bottom"/>
          </w:tcPr>
          <w:p w14:paraId="699F4CE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0.006</w:t>
            </w:r>
          </w:p>
        </w:tc>
      </w:tr>
      <w:tr w:rsidR="009F2232" w:rsidRPr="004153B4" w14:paraId="3DAD0BAD" w14:textId="77777777" w:rsidTr="005440BF">
        <w:tc>
          <w:tcPr>
            <w:tcW w:w="0" w:type="auto"/>
            <w:tcBorders>
              <w:top w:val="nil"/>
              <w:left w:val="nil"/>
              <w:bottom w:val="nil"/>
              <w:right w:val="nil"/>
            </w:tcBorders>
            <w:vAlign w:val="center"/>
          </w:tcPr>
          <w:p w14:paraId="7615E433" w14:textId="77777777" w:rsidR="009F2232" w:rsidRPr="004153B4" w:rsidRDefault="009F2232" w:rsidP="005440BF">
            <w:pPr>
              <w:suppressAutoHyphens w:val="0"/>
              <w:spacing w:before="40" w:after="40" w:line="200" w:lineRule="exact"/>
              <w:ind w:left="360" w:hanging="360"/>
              <w:rPr>
                <w:rFonts w:eastAsia="MS Mincho"/>
                <w:color w:val="000000"/>
                <w:sz w:val="18"/>
                <w:szCs w:val="18"/>
                <w:lang w:eastAsia="de-DE"/>
              </w:rPr>
            </w:pPr>
            <w:r>
              <w:rPr>
                <w:color w:val="000000"/>
                <w:sz w:val="18"/>
                <w:szCs w:val="18"/>
              </w:rPr>
              <w:t>Romania</w:t>
            </w:r>
          </w:p>
        </w:tc>
        <w:tc>
          <w:tcPr>
            <w:tcW w:w="0" w:type="auto"/>
            <w:tcBorders>
              <w:top w:val="nil"/>
              <w:left w:val="nil"/>
              <w:bottom w:val="nil"/>
              <w:right w:val="nil"/>
            </w:tcBorders>
            <w:vAlign w:val="bottom"/>
          </w:tcPr>
          <w:p w14:paraId="40E07941"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0.312</w:t>
            </w:r>
          </w:p>
        </w:tc>
        <w:tc>
          <w:tcPr>
            <w:tcW w:w="0" w:type="auto"/>
            <w:tcBorders>
              <w:top w:val="nil"/>
              <w:left w:val="nil"/>
              <w:bottom w:val="nil"/>
              <w:right w:val="nil"/>
            </w:tcBorders>
            <w:vAlign w:val="bottom"/>
          </w:tcPr>
          <w:p w14:paraId="7E988ED9"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0.404</w:t>
            </w:r>
          </w:p>
        </w:tc>
      </w:tr>
      <w:tr w:rsidR="009F2232" w:rsidRPr="004153B4" w14:paraId="15F429CF" w14:textId="77777777" w:rsidTr="005440BF">
        <w:tc>
          <w:tcPr>
            <w:tcW w:w="0" w:type="auto"/>
            <w:tcBorders>
              <w:top w:val="nil"/>
              <w:left w:val="nil"/>
              <w:bottom w:val="nil"/>
              <w:right w:val="nil"/>
            </w:tcBorders>
            <w:vAlign w:val="center"/>
          </w:tcPr>
          <w:p w14:paraId="32A5B49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Russian Federation</w:t>
            </w:r>
          </w:p>
        </w:tc>
        <w:tc>
          <w:tcPr>
            <w:tcW w:w="0" w:type="auto"/>
            <w:tcBorders>
              <w:top w:val="nil"/>
              <w:left w:val="nil"/>
              <w:bottom w:val="nil"/>
              <w:right w:val="nil"/>
            </w:tcBorders>
            <w:vAlign w:val="bottom"/>
          </w:tcPr>
          <w:p w14:paraId="1A0E601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1.866</w:t>
            </w:r>
          </w:p>
        </w:tc>
        <w:tc>
          <w:tcPr>
            <w:tcW w:w="0" w:type="auto"/>
            <w:tcBorders>
              <w:top w:val="nil"/>
              <w:left w:val="nil"/>
              <w:bottom w:val="nil"/>
              <w:right w:val="nil"/>
            </w:tcBorders>
            <w:vAlign w:val="bottom"/>
          </w:tcPr>
          <w:p w14:paraId="348964F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2.414</w:t>
            </w:r>
          </w:p>
        </w:tc>
      </w:tr>
      <w:tr w:rsidR="009F2232" w:rsidRPr="004153B4" w14:paraId="5794B260" w14:textId="77777777" w:rsidTr="005440BF">
        <w:tc>
          <w:tcPr>
            <w:tcW w:w="0" w:type="auto"/>
            <w:tcBorders>
              <w:top w:val="nil"/>
              <w:left w:val="nil"/>
              <w:bottom w:val="nil"/>
              <w:right w:val="nil"/>
            </w:tcBorders>
            <w:vAlign w:val="center"/>
          </w:tcPr>
          <w:p w14:paraId="52F4B341"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Rwanda</w:t>
            </w:r>
          </w:p>
        </w:tc>
        <w:tc>
          <w:tcPr>
            <w:tcW w:w="0" w:type="auto"/>
            <w:tcBorders>
              <w:top w:val="nil"/>
              <w:left w:val="nil"/>
              <w:bottom w:val="nil"/>
              <w:right w:val="nil"/>
            </w:tcBorders>
            <w:vAlign w:val="bottom"/>
          </w:tcPr>
          <w:p w14:paraId="108DA247"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c>
          <w:tcPr>
            <w:tcW w:w="0" w:type="auto"/>
            <w:tcBorders>
              <w:top w:val="nil"/>
              <w:left w:val="nil"/>
              <w:bottom w:val="nil"/>
              <w:right w:val="nil"/>
            </w:tcBorders>
            <w:vAlign w:val="bottom"/>
          </w:tcPr>
          <w:p w14:paraId="2497333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r>
      <w:tr w:rsidR="009F2232" w:rsidRPr="004153B4" w14:paraId="21D1C932" w14:textId="77777777" w:rsidTr="005440BF">
        <w:tc>
          <w:tcPr>
            <w:tcW w:w="0" w:type="auto"/>
            <w:tcBorders>
              <w:top w:val="nil"/>
              <w:left w:val="nil"/>
              <w:bottom w:val="nil"/>
              <w:right w:val="nil"/>
            </w:tcBorders>
            <w:vAlign w:val="center"/>
          </w:tcPr>
          <w:p w14:paraId="7E8BEE34"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Saint Kitts and Nevis</w:t>
            </w:r>
          </w:p>
        </w:tc>
        <w:tc>
          <w:tcPr>
            <w:tcW w:w="0" w:type="auto"/>
            <w:tcBorders>
              <w:top w:val="nil"/>
              <w:left w:val="nil"/>
              <w:bottom w:val="nil"/>
              <w:right w:val="nil"/>
            </w:tcBorders>
            <w:vAlign w:val="bottom"/>
          </w:tcPr>
          <w:p w14:paraId="593E3F3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0.002</w:t>
            </w:r>
          </w:p>
        </w:tc>
        <w:tc>
          <w:tcPr>
            <w:tcW w:w="0" w:type="auto"/>
            <w:tcBorders>
              <w:top w:val="nil"/>
              <w:left w:val="nil"/>
              <w:bottom w:val="nil"/>
              <w:right w:val="nil"/>
            </w:tcBorders>
            <w:vAlign w:val="bottom"/>
          </w:tcPr>
          <w:p w14:paraId="440C2AC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r>
      <w:tr w:rsidR="009F2232" w:rsidRPr="004153B4" w14:paraId="7508A58A" w14:textId="77777777" w:rsidTr="005440BF">
        <w:tc>
          <w:tcPr>
            <w:tcW w:w="0" w:type="auto"/>
            <w:tcBorders>
              <w:top w:val="nil"/>
              <w:left w:val="nil"/>
              <w:bottom w:val="nil"/>
              <w:right w:val="nil"/>
            </w:tcBorders>
            <w:vAlign w:val="center"/>
          </w:tcPr>
          <w:p w14:paraId="08203FC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Saint Lucia</w:t>
            </w:r>
          </w:p>
        </w:tc>
        <w:tc>
          <w:tcPr>
            <w:tcW w:w="0" w:type="auto"/>
            <w:tcBorders>
              <w:top w:val="nil"/>
              <w:left w:val="nil"/>
              <w:bottom w:val="nil"/>
              <w:right w:val="nil"/>
            </w:tcBorders>
            <w:vAlign w:val="bottom"/>
          </w:tcPr>
          <w:p w14:paraId="583BB37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0.002</w:t>
            </w:r>
          </w:p>
        </w:tc>
        <w:tc>
          <w:tcPr>
            <w:tcW w:w="0" w:type="auto"/>
            <w:tcBorders>
              <w:top w:val="nil"/>
              <w:left w:val="nil"/>
              <w:bottom w:val="nil"/>
              <w:right w:val="nil"/>
            </w:tcBorders>
            <w:vAlign w:val="bottom"/>
          </w:tcPr>
          <w:p w14:paraId="0560FE4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r>
      <w:tr w:rsidR="009F2232" w:rsidRPr="004153B4" w14:paraId="3F30175E" w14:textId="77777777" w:rsidTr="005440BF">
        <w:tc>
          <w:tcPr>
            <w:tcW w:w="0" w:type="auto"/>
            <w:tcBorders>
              <w:top w:val="nil"/>
              <w:left w:val="nil"/>
              <w:bottom w:val="nil"/>
              <w:right w:val="nil"/>
            </w:tcBorders>
            <w:vAlign w:val="center"/>
          </w:tcPr>
          <w:p w14:paraId="67C3899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Saint Vincent and the Grenadines</w:t>
            </w:r>
          </w:p>
        </w:tc>
        <w:tc>
          <w:tcPr>
            <w:tcW w:w="0" w:type="auto"/>
            <w:tcBorders>
              <w:top w:val="nil"/>
              <w:left w:val="nil"/>
              <w:bottom w:val="nil"/>
              <w:right w:val="nil"/>
            </w:tcBorders>
            <w:vAlign w:val="bottom"/>
          </w:tcPr>
          <w:p w14:paraId="5382DD7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5E7810F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1F7AA5EB" w14:textId="77777777" w:rsidTr="005440BF">
        <w:tc>
          <w:tcPr>
            <w:tcW w:w="0" w:type="auto"/>
            <w:tcBorders>
              <w:top w:val="nil"/>
              <w:left w:val="nil"/>
              <w:bottom w:val="nil"/>
              <w:right w:val="nil"/>
            </w:tcBorders>
            <w:vAlign w:val="center"/>
          </w:tcPr>
          <w:p w14:paraId="32FD551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Samoa</w:t>
            </w:r>
          </w:p>
        </w:tc>
        <w:tc>
          <w:tcPr>
            <w:tcW w:w="0" w:type="auto"/>
            <w:tcBorders>
              <w:top w:val="nil"/>
              <w:left w:val="nil"/>
              <w:bottom w:val="nil"/>
              <w:right w:val="nil"/>
            </w:tcBorders>
            <w:vAlign w:val="bottom"/>
          </w:tcPr>
          <w:p w14:paraId="3BB6AC2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69F60DC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4B9F97C7" w14:textId="77777777" w:rsidTr="005440BF">
        <w:tc>
          <w:tcPr>
            <w:tcW w:w="0" w:type="auto"/>
            <w:tcBorders>
              <w:top w:val="nil"/>
              <w:left w:val="nil"/>
              <w:bottom w:val="nil"/>
              <w:right w:val="nil"/>
            </w:tcBorders>
            <w:vAlign w:val="center"/>
          </w:tcPr>
          <w:p w14:paraId="3F3BE51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San Marino</w:t>
            </w:r>
          </w:p>
        </w:tc>
        <w:tc>
          <w:tcPr>
            <w:tcW w:w="0" w:type="auto"/>
            <w:tcBorders>
              <w:top w:val="nil"/>
              <w:left w:val="nil"/>
              <w:bottom w:val="nil"/>
              <w:right w:val="nil"/>
            </w:tcBorders>
            <w:vAlign w:val="bottom"/>
          </w:tcPr>
          <w:p w14:paraId="77CF759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0.002</w:t>
            </w:r>
          </w:p>
        </w:tc>
        <w:tc>
          <w:tcPr>
            <w:tcW w:w="0" w:type="auto"/>
            <w:tcBorders>
              <w:top w:val="nil"/>
              <w:left w:val="nil"/>
              <w:bottom w:val="nil"/>
              <w:right w:val="nil"/>
            </w:tcBorders>
            <w:vAlign w:val="bottom"/>
          </w:tcPr>
          <w:p w14:paraId="6CDF3FC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r>
      <w:tr w:rsidR="009F2232" w:rsidRPr="004153B4" w14:paraId="440592F3" w14:textId="77777777" w:rsidTr="005440BF">
        <w:tc>
          <w:tcPr>
            <w:tcW w:w="0" w:type="auto"/>
            <w:tcBorders>
              <w:top w:val="nil"/>
              <w:left w:val="nil"/>
              <w:bottom w:val="nil"/>
              <w:right w:val="nil"/>
            </w:tcBorders>
            <w:vAlign w:val="center"/>
          </w:tcPr>
          <w:p w14:paraId="448E945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Sao Tome and Principe</w:t>
            </w:r>
          </w:p>
        </w:tc>
        <w:tc>
          <w:tcPr>
            <w:tcW w:w="0" w:type="auto"/>
            <w:tcBorders>
              <w:top w:val="nil"/>
              <w:left w:val="nil"/>
              <w:bottom w:val="nil"/>
              <w:right w:val="nil"/>
            </w:tcBorders>
            <w:vAlign w:val="bottom"/>
          </w:tcPr>
          <w:p w14:paraId="2CDCDE4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30478D5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131BA3AA" w14:textId="77777777" w:rsidTr="005440BF">
        <w:tc>
          <w:tcPr>
            <w:tcW w:w="0" w:type="auto"/>
            <w:tcBorders>
              <w:top w:val="nil"/>
              <w:left w:val="nil"/>
              <w:bottom w:val="nil"/>
              <w:right w:val="nil"/>
            </w:tcBorders>
            <w:vAlign w:val="center"/>
          </w:tcPr>
          <w:p w14:paraId="24E36067"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Saudi Arabia</w:t>
            </w:r>
          </w:p>
        </w:tc>
        <w:tc>
          <w:tcPr>
            <w:tcW w:w="0" w:type="auto"/>
            <w:tcBorders>
              <w:top w:val="nil"/>
              <w:left w:val="nil"/>
              <w:bottom w:val="nil"/>
              <w:right w:val="nil"/>
            </w:tcBorders>
            <w:vAlign w:val="bottom"/>
          </w:tcPr>
          <w:p w14:paraId="41F6070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1.184</w:t>
            </w:r>
          </w:p>
        </w:tc>
        <w:tc>
          <w:tcPr>
            <w:tcW w:w="0" w:type="auto"/>
            <w:tcBorders>
              <w:top w:val="nil"/>
              <w:left w:val="nil"/>
              <w:bottom w:val="nil"/>
              <w:right w:val="nil"/>
            </w:tcBorders>
            <w:vAlign w:val="bottom"/>
          </w:tcPr>
          <w:p w14:paraId="1677F5C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1.532</w:t>
            </w:r>
          </w:p>
        </w:tc>
      </w:tr>
      <w:tr w:rsidR="009F2232" w:rsidRPr="004153B4" w14:paraId="6DA1A91A" w14:textId="77777777" w:rsidTr="005440BF">
        <w:tc>
          <w:tcPr>
            <w:tcW w:w="0" w:type="auto"/>
            <w:tcBorders>
              <w:top w:val="nil"/>
              <w:left w:val="nil"/>
              <w:bottom w:val="nil"/>
              <w:right w:val="nil"/>
            </w:tcBorders>
            <w:vAlign w:val="center"/>
          </w:tcPr>
          <w:p w14:paraId="26626D3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Senegal</w:t>
            </w:r>
          </w:p>
        </w:tc>
        <w:tc>
          <w:tcPr>
            <w:tcW w:w="0" w:type="auto"/>
            <w:tcBorders>
              <w:top w:val="nil"/>
              <w:left w:val="nil"/>
              <w:bottom w:val="nil"/>
              <w:right w:val="nil"/>
            </w:tcBorders>
            <w:vAlign w:val="bottom"/>
          </w:tcPr>
          <w:p w14:paraId="290513F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0.007</w:t>
            </w:r>
          </w:p>
        </w:tc>
        <w:tc>
          <w:tcPr>
            <w:tcW w:w="0" w:type="auto"/>
            <w:tcBorders>
              <w:top w:val="nil"/>
              <w:left w:val="nil"/>
              <w:bottom w:val="nil"/>
              <w:right w:val="nil"/>
            </w:tcBorders>
            <w:vAlign w:val="bottom"/>
          </w:tcPr>
          <w:p w14:paraId="42DB2ED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0.009</w:t>
            </w:r>
          </w:p>
        </w:tc>
      </w:tr>
      <w:tr w:rsidR="009F2232" w:rsidRPr="004153B4" w14:paraId="349342F0" w14:textId="77777777" w:rsidTr="005440BF">
        <w:tc>
          <w:tcPr>
            <w:tcW w:w="0" w:type="auto"/>
            <w:tcBorders>
              <w:top w:val="nil"/>
              <w:left w:val="nil"/>
              <w:bottom w:val="nil"/>
              <w:right w:val="nil"/>
            </w:tcBorders>
            <w:vAlign w:val="center"/>
          </w:tcPr>
          <w:p w14:paraId="6DE13BF6"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Serbia</w:t>
            </w:r>
          </w:p>
        </w:tc>
        <w:tc>
          <w:tcPr>
            <w:tcW w:w="0" w:type="auto"/>
            <w:tcBorders>
              <w:top w:val="nil"/>
              <w:left w:val="nil"/>
              <w:bottom w:val="nil"/>
              <w:right w:val="nil"/>
            </w:tcBorders>
            <w:vAlign w:val="bottom"/>
          </w:tcPr>
          <w:p w14:paraId="74C62D6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0.032</w:t>
            </w:r>
          </w:p>
        </w:tc>
        <w:tc>
          <w:tcPr>
            <w:tcW w:w="0" w:type="auto"/>
            <w:tcBorders>
              <w:top w:val="nil"/>
              <w:left w:val="nil"/>
              <w:bottom w:val="nil"/>
              <w:right w:val="nil"/>
            </w:tcBorders>
            <w:vAlign w:val="bottom"/>
          </w:tcPr>
          <w:p w14:paraId="71C8849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0.041</w:t>
            </w:r>
          </w:p>
        </w:tc>
      </w:tr>
      <w:tr w:rsidR="009F2232" w:rsidRPr="004153B4" w14:paraId="21DC4CCE" w14:textId="77777777" w:rsidTr="005440BF">
        <w:tc>
          <w:tcPr>
            <w:tcW w:w="0" w:type="auto"/>
            <w:tcBorders>
              <w:top w:val="nil"/>
              <w:left w:val="nil"/>
              <w:bottom w:val="nil"/>
              <w:right w:val="nil"/>
            </w:tcBorders>
            <w:vAlign w:val="center"/>
          </w:tcPr>
          <w:p w14:paraId="107BBFF1"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Seychelles</w:t>
            </w:r>
          </w:p>
        </w:tc>
        <w:tc>
          <w:tcPr>
            <w:tcW w:w="0" w:type="auto"/>
            <w:tcBorders>
              <w:top w:val="nil"/>
              <w:left w:val="nil"/>
              <w:bottom w:val="nil"/>
              <w:right w:val="nil"/>
            </w:tcBorders>
            <w:vAlign w:val="bottom"/>
          </w:tcPr>
          <w:p w14:paraId="767F305A"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0.002</w:t>
            </w:r>
          </w:p>
        </w:tc>
        <w:tc>
          <w:tcPr>
            <w:tcW w:w="0" w:type="auto"/>
            <w:tcBorders>
              <w:top w:val="nil"/>
              <w:left w:val="nil"/>
              <w:bottom w:val="nil"/>
              <w:right w:val="nil"/>
            </w:tcBorders>
            <w:vAlign w:val="bottom"/>
          </w:tcPr>
          <w:p w14:paraId="086EE88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r>
      <w:tr w:rsidR="009F2232" w:rsidRPr="004153B4" w14:paraId="2BCFDCBB" w14:textId="77777777" w:rsidTr="005440BF">
        <w:tc>
          <w:tcPr>
            <w:tcW w:w="0" w:type="auto"/>
            <w:tcBorders>
              <w:top w:val="nil"/>
              <w:left w:val="nil"/>
              <w:bottom w:val="nil"/>
              <w:right w:val="nil"/>
            </w:tcBorders>
            <w:vAlign w:val="center"/>
          </w:tcPr>
          <w:p w14:paraId="1B7B3DAD"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Sierra Leone</w:t>
            </w:r>
          </w:p>
        </w:tc>
        <w:tc>
          <w:tcPr>
            <w:tcW w:w="0" w:type="auto"/>
            <w:tcBorders>
              <w:top w:val="nil"/>
              <w:left w:val="nil"/>
              <w:bottom w:val="nil"/>
              <w:right w:val="nil"/>
            </w:tcBorders>
            <w:vAlign w:val="bottom"/>
          </w:tcPr>
          <w:p w14:paraId="61F9CA3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46CFC54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31E32335" w14:textId="77777777" w:rsidTr="005440BF">
        <w:tc>
          <w:tcPr>
            <w:tcW w:w="0" w:type="auto"/>
            <w:tcBorders>
              <w:top w:val="nil"/>
              <w:left w:val="nil"/>
              <w:bottom w:val="nil"/>
              <w:right w:val="nil"/>
            </w:tcBorders>
            <w:vAlign w:val="center"/>
          </w:tcPr>
          <w:p w14:paraId="6053C4A7"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Singapore</w:t>
            </w:r>
          </w:p>
        </w:tc>
        <w:tc>
          <w:tcPr>
            <w:tcW w:w="0" w:type="auto"/>
            <w:tcBorders>
              <w:top w:val="nil"/>
              <w:left w:val="nil"/>
              <w:bottom w:val="nil"/>
              <w:right w:val="nil"/>
            </w:tcBorders>
            <w:vAlign w:val="bottom"/>
          </w:tcPr>
          <w:p w14:paraId="08AC28E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0.504</w:t>
            </w:r>
          </w:p>
        </w:tc>
        <w:tc>
          <w:tcPr>
            <w:tcW w:w="0" w:type="auto"/>
            <w:tcBorders>
              <w:top w:val="nil"/>
              <w:left w:val="nil"/>
              <w:bottom w:val="nil"/>
              <w:right w:val="nil"/>
            </w:tcBorders>
            <w:vAlign w:val="bottom"/>
          </w:tcPr>
          <w:p w14:paraId="4FA96DB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0.652</w:t>
            </w:r>
          </w:p>
        </w:tc>
      </w:tr>
      <w:tr w:rsidR="009F2232" w:rsidRPr="004153B4" w14:paraId="5AE3B2E6" w14:textId="77777777" w:rsidTr="005440BF">
        <w:tc>
          <w:tcPr>
            <w:tcW w:w="0" w:type="auto"/>
            <w:tcBorders>
              <w:top w:val="nil"/>
              <w:left w:val="nil"/>
              <w:bottom w:val="nil"/>
              <w:right w:val="nil"/>
            </w:tcBorders>
            <w:vAlign w:val="center"/>
          </w:tcPr>
          <w:p w14:paraId="71CA694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Slovakia</w:t>
            </w:r>
          </w:p>
        </w:tc>
        <w:tc>
          <w:tcPr>
            <w:tcW w:w="0" w:type="auto"/>
            <w:tcBorders>
              <w:top w:val="nil"/>
              <w:left w:val="nil"/>
              <w:bottom w:val="nil"/>
              <w:right w:val="nil"/>
            </w:tcBorders>
            <w:vAlign w:val="bottom"/>
          </w:tcPr>
          <w:p w14:paraId="7D362F3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0.155</w:t>
            </w:r>
          </w:p>
        </w:tc>
        <w:tc>
          <w:tcPr>
            <w:tcW w:w="0" w:type="auto"/>
            <w:tcBorders>
              <w:top w:val="nil"/>
              <w:left w:val="nil"/>
              <w:bottom w:val="nil"/>
              <w:right w:val="nil"/>
            </w:tcBorders>
            <w:vAlign w:val="bottom"/>
          </w:tcPr>
          <w:p w14:paraId="22BD7FF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0.201</w:t>
            </w:r>
          </w:p>
        </w:tc>
      </w:tr>
      <w:tr w:rsidR="009F2232" w:rsidRPr="004153B4" w14:paraId="5377A5F9" w14:textId="77777777" w:rsidTr="005440BF">
        <w:tc>
          <w:tcPr>
            <w:tcW w:w="0" w:type="auto"/>
            <w:tcBorders>
              <w:top w:val="nil"/>
              <w:left w:val="nil"/>
              <w:bottom w:val="nil"/>
              <w:right w:val="nil"/>
            </w:tcBorders>
            <w:vAlign w:val="center"/>
          </w:tcPr>
          <w:p w14:paraId="6C52FEE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Slovenia</w:t>
            </w:r>
          </w:p>
        </w:tc>
        <w:tc>
          <w:tcPr>
            <w:tcW w:w="0" w:type="auto"/>
            <w:tcBorders>
              <w:top w:val="nil"/>
              <w:left w:val="nil"/>
              <w:bottom w:val="nil"/>
              <w:right w:val="nil"/>
            </w:tcBorders>
            <w:vAlign w:val="bottom"/>
          </w:tcPr>
          <w:p w14:paraId="470A3D4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0.079</w:t>
            </w:r>
          </w:p>
        </w:tc>
        <w:tc>
          <w:tcPr>
            <w:tcW w:w="0" w:type="auto"/>
            <w:tcBorders>
              <w:top w:val="nil"/>
              <w:left w:val="nil"/>
              <w:bottom w:val="nil"/>
              <w:right w:val="nil"/>
            </w:tcBorders>
            <w:vAlign w:val="bottom"/>
          </w:tcPr>
          <w:p w14:paraId="6EDDF11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0.102</w:t>
            </w:r>
          </w:p>
        </w:tc>
      </w:tr>
      <w:tr w:rsidR="009F2232" w:rsidRPr="004153B4" w14:paraId="4819F9FC" w14:textId="77777777" w:rsidTr="005440BF">
        <w:tc>
          <w:tcPr>
            <w:tcW w:w="0" w:type="auto"/>
            <w:tcBorders>
              <w:top w:val="nil"/>
              <w:left w:val="nil"/>
              <w:bottom w:val="nil"/>
              <w:right w:val="nil"/>
            </w:tcBorders>
            <w:vAlign w:val="center"/>
          </w:tcPr>
          <w:p w14:paraId="30272364"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Solomon Islands</w:t>
            </w:r>
          </w:p>
        </w:tc>
        <w:tc>
          <w:tcPr>
            <w:tcW w:w="0" w:type="auto"/>
            <w:tcBorders>
              <w:top w:val="nil"/>
              <w:left w:val="nil"/>
              <w:bottom w:val="nil"/>
              <w:right w:val="nil"/>
            </w:tcBorders>
            <w:vAlign w:val="bottom"/>
          </w:tcPr>
          <w:p w14:paraId="6885765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6318C3B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5B2ED256" w14:textId="77777777" w:rsidTr="005440BF">
        <w:tc>
          <w:tcPr>
            <w:tcW w:w="0" w:type="auto"/>
            <w:tcBorders>
              <w:top w:val="nil"/>
              <w:left w:val="nil"/>
              <w:bottom w:val="nil"/>
              <w:right w:val="nil"/>
            </w:tcBorders>
            <w:vAlign w:val="center"/>
          </w:tcPr>
          <w:p w14:paraId="2798079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Somalia</w:t>
            </w:r>
          </w:p>
        </w:tc>
        <w:tc>
          <w:tcPr>
            <w:tcW w:w="0" w:type="auto"/>
            <w:tcBorders>
              <w:top w:val="nil"/>
              <w:left w:val="nil"/>
              <w:bottom w:val="nil"/>
              <w:right w:val="nil"/>
            </w:tcBorders>
            <w:vAlign w:val="bottom"/>
          </w:tcPr>
          <w:p w14:paraId="0E68444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510F835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5AC4F799" w14:textId="77777777" w:rsidTr="005440BF">
        <w:tc>
          <w:tcPr>
            <w:tcW w:w="0" w:type="auto"/>
            <w:tcBorders>
              <w:top w:val="nil"/>
              <w:left w:val="nil"/>
              <w:bottom w:val="nil"/>
              <w:right w:val="nil"/>
            </w:tcBorders>
            <w:vAlign w:val="center"/>
          </w:tcPr>
          <w:p w14:paraId="2E480163" w14:textId="77777777" w:rsidR="009F2232" w:rsidRPr="004153B4" w:rsidRDefault="009F2232" w:rsidP="005440BF">
            <w:pPr>
              <w:suppressAutoHyphens w:val="0"/>
              <w:spacing w:before="40" w:after="40" w:line="200" w:lineRule="exact"/>
              <w:ind w:left="360" w:hanging="360"/>
              <w:rPr>
                <w:rFonts w:eastAsia="MS Mincho"/>
                <w:color w:val="000000"/>
                <w:sz w:val="18"/>
                <w:szCs w:val="18"/>
                <w:lang w:eastAsia="de-DE"/>
              </w:rPr>
            </w:pPr>
            <w:r>
              <w:rPr>
                <w:color w:val="000000"/>
                <w:sz w:val="18"/>
                <w:szCs w:val="18"/>
              </w:rPr>
              <w:t>South Africa</w:t>
            </w:r>
          </w:p>
        </w:tc>
        <w:tc>
          <w:tcPr>
            <w:tcW w:w="0" w:type="auto"/>
            <w:tcBorders>
              <w:top w:val="nil"/>
              <w:left w:val="nil"/>
              <w:bottom w:val="nil"/>
              <w:right w:val="nil"/>
            </w:tcBorders>
            <w:vAlign w:val="bottom"/>
          </w:tcPr>
          <w:p w14:paraId="1B6A0C22"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0.244</w:t>
            </w:r>
          </w:p>
        </w:tc>
        <w:tc>
          <w:tcPr>
            <w:tcW w:w="0" w:type="auto"/>
            <w:tcBorders>
              <w:top w:val="nil"/>
              <w:left w:val="nil"/>
              <w:bottom w:val="nil"/>
              <w:right w:val="nil"/>
            </w:tcBorders>
            <w:vAlign w:val="bottom"/>
          </w:tcPr>
          <w:p w14:paraId="4E602DAC"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0.316</w:t>
            </w:r>
          </w:p>
        </w:tc>
      </w:tr>
      <w:tr w:rsidR="009F2232" w:rsidRPr="004153B4" w14:paraId="7EE0E6F8" w14:textId="77777777" w:rsidTr="005440BF">
        <w:tc>
          <w:tcPr>
            <w:tcW w:w="0" w:type="auto"/>
            <w:tcBorders>
              <w:top w:val="nil"/>
              <w:left w:val="nil"/>
              <w:bottom w:val="nil"/>
              <w:right w:val="nil"/>
            </w:tcBorders>
            <w:vAlign w:val="center"/>
          </w:tcPr>
          <w:p w14:paraId="515B99CC"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Spain</w:t>
            </w:r>
          </w:p>
        </w:tc>
        <w:tc>
          <w:tcPr>
            <w:tcW w:w="0" w:type="auto"/>
            <w:tcBorders>
              <w:top w:val="nil"/>
              <w:left w:val="nil"/>
              <w:bottom w:val="nil"/>
              <w:right w:val="nil"/>
            </w:tcBorders>
            <w:vAlign w:val="bottom"/>
          </w:tcPr>
          <w:p w14:paraId="4228128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2.134</w:t>
            </w:r>
          </w:p>
        </w:tc>
        <w:tc>
          <w:tcPr>
            <w:tcW w:w="0" w:type="auto"/>
            <w:tcBorders>
              <w:top w:val="nil"/>
              <w:left w:val="nil"/>
              <w:bottom w:val="nil"/>
              <w:right w:val="nil"/>
            </w:tcBorders>
            <w:vAlign w:val="bottom"/>
          </w:tcPr>
          <w:p w14:paraId="165CBD8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2.761</w:t>
            </w:r>
          </w:p>
        </w:tc>
      </w:tr>
      <w:tr w:rsidR="009F2232" w:rsidRPr="004153B4" w14:paraId="2F125E2A" w14:textId="77777777" w:rsidTr="005440BF">
        <w:tc>
          <w:tcPr>
            <w:tcW w:w="0" w:type="auto"/>
            <w:tcBorders>
              <w:top w:val="nil"/>
              <w:left w:val="nil"/>
              <w:bottom w:val="nil"/>
              <w:right w:val="nil"/>
            </w:tcBorders>
            <w:vAlign w:val="center"/>
          </w:tcPr>
          <w:p w14:paraId="1509B800" w14:textId="77777777" w:rsidR="009F2232" w:rsidRPr="004153B4" w:rsidRDefault="009F2232" w:rsidP="005440BF">
            <w:pPr>
              <w:suppressAutoHyphens w:val="0"/>
              <w:spacing w:before="40" w:after="40" w:line="200" w:lineRule="exact"/>
              <w:ind w:left="360" w:hanging="360"/>
              <w:rPr>
                <w:rFonts w:eastAsia="MS Mincho"/>
                <w:color w:val="000000"/>
                <w:sz w:val="18"/>
                <w:szCs w:val="18"/>
                <w:lang w:eastAsia="de-DE"/>
              </w:rPr>
            </w:pPr>
            <w:r>
              <w:rPr>
                <w:color w:val="000000"/>
                <w:sz w:val="18"/>
                <w:szCs w:val="18"/>
              </w:rPr>
              <w:t>Sri Lanka</w:t>
            </w:r>
          </w:p>
        </w:tc>
        <w:tc>
          <w:tcPr>
            <w:tcW w:w="0" w:type="auto"/>
            <w:tcBorders>
              <w:top w:val="nil"/>
              <w:left w:val="nil"/>
              <w:bottom w:val="nil"/>
              <w:right w:val="nil"/>
            </w:tcBorders>
            <w:vAlign w:val="bottom"/>
          </w:tcPr>
          <w:p w14:paraId="30E48DE0"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0.045</w:t>
            </w:r>
          </w:p>
        </w:tc>
        <w:tc>
          <w:tcPr>
            <w:tcW w:w="0" w:type="auto"/>
            <w:tcBorders>
              <w:top w:val="nil"/>
              <w:left w:val="nil"/>
              <w:bottom w:val="nil"/>
              <w:right w:val="nil"/>
            </w:tcBorders>
            <w:vAlign w:val="bottom"/>
          </w:tcPr>
          <w:p w14:paraId="4B2394DA"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0.058</w:t>
            </w:r>
          </w:p>
        </w:tc>
      </w:tr>
      <w:tr w:rsidR="009F2232" w:rsidRPr="004153B4" w14:paraId="3474AC0D" w14:textId="77777777" w:rsidTr="005440BF">
        <w:tc>
          <w:tcPr>
            <w:tcW w:w="0" w:type="auto"/>
            <w:tcBorders>
              <w:top w:val="nil"/>
              <w:left w:val="nil"/>
              <w:bottom w:val="nil"/>
              <w:right w:val="nil"/>
            </w:tcBorders>
            <w:vAlign w:val="center"/>
          </w:tcPr>
          <w:p w14:paraId="6EB34B7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Sudan</w:t>
            </w:r>
          </w:p>
        </w:tc>
        <w:tc>
          <w:tcPr>
            <w:tcW w:w="0" w:type="auto"/>
            <w:tcBorders>
              <w:top w:val="nil"/>
              <w:left w:val="nil"/>
              <w:bottom w:val="nil"/>
              <w:right w:val="nil"/>
            </w:tcBorders>
            <w:vAlign w:val="bottom"/>
          </w:tcPr>
          <w:p w14:paraId="6F632F1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4B130A0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r>
      <w:tr w:rsidR="009F2232" w:rsidRPr="004153B4" w14:paraId="16AA6839" w14:textId="77777777" w:rsidTr="005440BF">
        <w:tc>
          <w:tcPr>
            <w:tcW w:w="0" w:type="auto"/>
            <w:tcBorders>
              <w:top w:val="nil"/>
              <w:left w:val="nil"/>
              <w:bottom w:val="nil"/>
              <w:right w:val="nil"/>
            </w:tcBorders>
            <w:vAlign w:val="center"/>
          </w:tcPr>
          <w:p w14:paraId="7AF92BB6"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Suriname</w:t>
            </w:r>
          </w:p>
        </w:tc>
        <w:tc>
          <w:tcPr>
            <w:tcW w:w="0" w:type="auto"/>
            <w:tcBorders>
              <w:top w:val="nil"/>
              <w:left w:val="nil"/>
              <w:bottom w:val="nil"/>
              <w:right w:val="nil"/>
            </w:tcBorders>
            <w:vAlign w:val="bottom"/>
          </w:tcPr>
          <w:p w14:paraId="440EDFC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c>
          <w:tcPr>
            <w:tcW w:w="0" w:type="auto"/>
            <w:tcBorders>
              <w:top w:val="nil"/>
              <w:left w:val="nil"/>
              <w:bottom w:val="nil"/>
              <w:right w:val="nil"/>
            </w:tcBorders>
            <w:vAlign w:val="bottom"/>
          </w:tcPr>
          <w:p w14:paraId="09AB961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r>
      <w:tr w:rsidR="009F2232" w:rsidRPr="004153B4" w14:paraId="1B9AC4BC" w14:textId="77777777" w:rsidTr="005440BF">
        <w:tc>
          <w:tcPr>
            <w:tcW w:w="0" w:type="auto"/>
            <w:tcBorders>
              <w:top w:val="nil"/>
              <w:left w:val="nil"/>
              <w:bottom w:val="nil"/>
              <w:right w:val="nil"/>
            </w:tcBorders>
            <w:vAlign w:val="center"/>
          </w:tcPr>
          <w:p w14:paraId="226D0117" w14:textId="77777777" w:rsidR="009F2232" w:rsidRPr="004153B4" w:rsidRDefault="009F2232" w:rsidP="005440BF">
            <w:pPr>
              <w:suppressAutoHyphens w:val="0"/>
              <w:spacing w:before="40" w:after="40" w:line="200" w:lineRule="exact"/>
              <w:ind w:left="360" w:hanging="360"/>
              <w:rPr>
                <w:rFonts w:eastAsia="MS Mincho"/>
                <w:color w:val="000000"/>
                <w:sz w:val="18"/>
                <w:szCs w:val="18"/>
                <w:lang w:eastAsia="de-DE"/>
              </w:rPr>
            </w:pPr>
            <w:r>
              <w:rPr>
                <w:color w:val="000000"/>
                <w:sz w:val="18"/>
                <w:szCs w:val="18"/>
              </w:rPr>
              <w:t>Sweden</w:t>
            </w:r>
          </w:p>
        </w:tc>
        <w:tc>
          <w:tcPr>
            <w:tcW w:w="0" w:type="auto"/>
            <w:tcBorders>
              <w:top w:val="nil"/>
              <w:left w:val="nil"/>
              <w:bottom w:val="nil"/>
              <w:right w:val="nil"/>
            </w:tcBorders>
            <w:vAlign w:val="bottom"/>
          </w:tcPr>
          <w:p w14:paraId="4ACF938A"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0.871</w:t>
            </w:r>
          </w:p>
        </w:tc>
        <w:tc>
          <w:tcPr>
            <w:tcW w:w="0" w:type="auto"/>
            <w:tcBorders>
              <w:top w:val="nil"/>
              <w:left w:val="nil"/>
              <w:bottom w:val="nil"/>
              <w:right w:val="nil"/>
            </w:tcBorders>
            <w:vAlign w:val="bottom"/>
          </w:tcPr>
          <w:p w14:paraId="185BFA37" w14:textId="77777777" w:rsidR="009F2232" w:rsidRPr="004153B4" w:rsidRDefault="009F2232" w:rsidP="005440BF">
            <w:pPr>
              <w:suppressAutoHyphens w:val="0"/>
              <w:spacing w:before="40" w:after="40" w:line="200" w:lineRule="exact"/>
              <w:ind w:left="360" w:hanging="360"/>
              <w:jc w:val="right"/>
              <w:rPr>
                <w:rFonts w:eastAsia="MS Mincho"/>
                <w:color w:val="000000"/>
                <w:sz w:val="18"/>
                <w:szCs w:val="18"/>
                <w:lang w:eastAsia="de-DE"/>
              </w:rPr>
            </w:pPr>
            <w:r>
              <w:rPr>
                <w:color w:val="000000"/>
                <w:sz w:val="18"/>
                <w:szCs w:val="18"/>
              </w:rPr>
              <w:t>1.127</w:t>
            </w:r>
          </w:p>
        </w:tc>
      </w:tr>
      <w:tr w:rsidR="009F2232" w:rsidRPr="004153B4" w14:paraId="0020417F" w14:textId="77777777" w:rsidTr="005440BF">
        <w:tc>
          <w:tcPr>
            <w:tcW w:w="0" w:type="auto"/>
            <w:tcBorders>
              <w:top w:val="nil"/>
              <w:left w:val="nil"/>
              <w:bottom w:val="nil"/>
              <w:right w:val="nil"/>
            </w:tcBorders>
            <w:vAlign w:val="center"/>
          </w:tcPr>
          <w:p w14:paraId="1B7A0EFB" w14:textId="77777777" w:rsidR="009F2232" w:rsidRPr="004153B4" w:rsidRDefault="009F2232" w:rsidP="00A25F78">
            <w:pPr>
              <w:suppressAutoHyphens w:val="0"/>
              <w:spacing w:before="40" w:after="40" w:line="200" w:lineRule="exact"/>
              <w:rPr>
                <w:rFonts w:eastAsia="Arial Unicode MS"/>
                <w:color w:val="000000"/>
                <w:sz w:val="18"/>
                <w:szCs w:val="18"/>
                <w:lang w:eastAsia="de-DE"/>
              </w:rPr>
            </w:pPr>
            <w:r>
              <w:rPr>
                <w:color w:val="000000"/>
                <w:sz w:val="18"/>
                <w:szCs w:val="18"/>
              </w:rPr>
              <w:t>Switzerland</w:t>
            </w:r>
          </w:p>
        </w:tc>
        <w:tc>
          <w:tcPr>
            <w:tcW w:w="0" w:type="auto"/>
            <w:tcBorders>
              <w:top w:val="nil"/>
              <w:left w:val="nil"/>
              <w:bottom w:val="nil"/>
              <w:right w:val="nil"/>
            </w:tcBorders>
            <w:vAlign w:val="bottom"/>
          </w:tcPr>
          <w:p w14:paraId="349D6CE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1.134</w:t>
            </w:r>
          </w:p>
        </w:tc>
        <w:tc>
          <w:tcPr>
            <w:tcW w:w="0" w:type="auto"/>
            <w:tcBorders>
              <w:top w:val="nil"/>
              <w:left w:val="nil"/>
              <w:bottom w:val="nil"/>
              <w:right w:val="nil"/>
            </w:tcBorders>
            <w:vAlign w:val="bottom"/>
          </w:tcPr>
          <w:p w14:paraId="1666C85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1.467</w:t>
            </w:r>
          </w:p>
        </w:tc>
      </w:tr>
      <w:tr w:rsidR="009F2232" w:rsidRPr="004153B4" w14:paraId="1E4A92BE" w14:textId="77777777" w:rsidTr="005440BF">
        <w:tc>
          <w:tcPr>
            <w:tcW w:w="0" w:type="auto"/>
            <w:tcBorders>
              <w:top w:val="nil"/>
              <w:left w:val="nil"/>
              <w:bottom w:val="nil"/>
              <w:right w:val="nil"/>
            </w:tcBorders>
            <w:vAlign w:val="center"/>
          </w:tcPr>
          <w:p w14:paraId="707D45B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Syrian Arab Republic</w:t>
            </w:r>
          </w:p>
        </w:tc>
        <w:tc>
          <w:tcPr>
            <w:tcW w:w="0" w:type="auto"/>
            <w:tcBorders>
              <w:top w:val="nil"/>
              <w:left w:val="nil"/>
              <w:bottom w:val="nil"/>
              <w:right w:val="nil"/>
            </w:tcBorders>
            <w:vAlign w:val="bottom"/>
          </w:tcPr>
          <w:p w14:paraId="10E8F14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0.009</w:t>
            </w:r>
          </w:p>
        </w:tc>
        <w:tc>
          <w:tcPr>
            <w:tcW w:w="0" w:type="auto"/>
            <w:tcBorders>
              <w:top w:val="nil"/>
              <w:left w:val="nil"/>
              <w:bottom w:val="nil"/>
              <w:right w:val="nil"/>
            </w:tcBorders>
            <w:vAlign w:val="bottom"/>
          </w:tcPr>
          <w:p w14:paraId="537DDB1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0.012</w:t>
            </w:r>
          </w:p>
        </w:tc>
      </w:tr>
      <w:tr w:rsidR="009F2232" w:rsidRPr="004153B4" w14:paraId="1F54DAB4" w14:textId="77777777" w:rsidTr="005440BF">
        <w:tc>
          <w:tcPr>
            <w:tcW w:w="0" w:type="auto"/>
            <w:tcBorders>
              <w:top w:val="nil"/>
              <w:left w:val="nil"/>
              <w:bottom w:val="nil"/>
              <w:right w:val="nil"/>
            </w:tcBorders>
            <w:vAlign w:val="center"/>
          </w:tcPr>
          <w:p w14:paraId="2DEC3BE5"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Tajikistan</w:t>
            </w:r>
          </w:p>
        </w:tc>
        <w:tc>
          <w:tcPr>
            <w:tcW w:w="0" w:type="auto"/>
            <w:tcBorders>
              <w:top w:val="nil"/>
              <w:left w:val="nil"/>
              <w:bottom w:val="nil"/>
              <w:right w:val="nil"/>
            </w:tcBorders>
            <w:vAlign w:val="bottom"/>
          </w:tcPr>
          <w:p w14:paraId="5AC294D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c>
          <w:tcPr>
            <w:tcW w:w="0" w:type="auto"/>
            <w:tcBorders>
              <w:top w:val="nil"/>
              <w:left w:val="nil"/>
              <w:bottom w:val="nil"/>
              <w:right w:val="nil"/>
            </w:tcBorders>
            <w:vAlign w:val="bottom"/>
          </w:tcPr>
          <w:p w14:paraId="75D59F8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0.004</w:t>
            </w:r>
          </w:p>
        </w:tc>
      </w:tr>
      <w:tr w:rsidR="009F2232" w:rsidRPr="004153B4" w14:paraId="5F8AC85E" w14:textId="77777777" w:rsidTr="005440BF">
        <w:tc>
          <w:tcPr>
            <w:tcW w:w="0" w:type="auto"/>
            <w:tcBorders>
              <w:top w:val="nil"/>
              <w:left w:val="nil"/>
              <w:bottom w:val="nil"/>
              <w:right w:val="nil"/>
            </w:tcBorders>
            <w:vAlign w:val="center"/>
          </w:tcPr>
          <w:p w14:paraId="1556DFC5"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Thailand</w:t>
            </w:r>
          </w:p>
        </w:tc>
        <w:tc>
          <w:tcPr>
            <w:tcW w:w="0" w:type="auto"/>
            <w:tcBorders>
              <w:top w:val="nil"/>
              <w:left w:val="nil"/>
              <w:bottom w:val="nil"/>
              <w:right w:val="nil"/>
            </w:tcBorders>
            <w:vAlign w:val="bottom"/>
          </w:tcPr>
          <w:p w14:paraId="40D33AC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0.368</w:t>
            </w:r>
          </w:p>
        </w:tc>
        <w:tc>
          <w:tcPr>
            <w:tcW w:w="0" w:type="auto"/>
            <w:tcBorders>
              <w:top w:val="nil"/>
              <w:left w:val="nil"/>
              <w:bottom w:val="nil"/>
              <w:right w:val="nil"/>
            </w:tcBorders>
            <w:vAlign w:val="bottom"/>
          </w:tcPr>
          <w:p w14:paraId="028265D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0.476</w:t>
            </w:r>
          </w:p>
        </w:tc>
      </w:tr>
      <w:tr w:rsidR="009F2232" w:rsidRPr="004153B4" w14:paraId="29040F21" w14:textId="77777777" w:rsidTr="005440BF">
        <w:tc>
          <w:tcPr>
            <w:tcW w:w="0" w:type="auto"/>
            <w:tcBorders>
              <w:top w:val="nil"/>
              <w:left w:val="nil"/>
              <w:bottom w:val="nil"/>
              <w:right w:val="nil"/>
            </w:tcBorders>
            <w:vAlign w:val="center"/>
          </w:tcPr>
          <w:p w14:paraId="6A35AC5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Timor-Leste</w:t>
            </w:r>
          </w:p>
        </w:tc>
        <w:tc>
          <w:tcPr>
            <w:tcW w:w="0" w:type="auto"/>
            <w:tcBorders>
              <w:top w:val="nil"/>
              <w:left w:val="nil"/>
              <w:bottom w:val="nil"/>
              <w:right w:val="nil"/>
            </w:tcBorders>
            <w:vAlign w:val="bottom"/>
          </w:tcPr>
          <w:p w14:paraId="28228A6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5024A61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7846E2A9" w14:textId="77777777" w:rsidTr="005440BF">
        <w:tc>
          <w:tcPr>
            <w:tcW w:w="0" w:type="auto"/>
            <w:tcBorders>
              <w:top w:val="nil"/>
              <w:left w:val="nil"/>
              <w:bottom w:val="nil"/>
              <w:right w:val="nil"/>
            </w:tcBorders>
            <w:vAlign w:val="center"/>
          </w:tcPr>
          <w:p w14:paraId="1BC531D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Togo</w:t>
            </w:r>
          </w:p>
        </w:tc>
        <w:tc>
          <w:tcPr>
            <w:tcW w:w="0" w:type="auto"/>
            <w:tcBorders>
              <w:top w:val="nil"/>
              <w:left w:val="nil"/>
              <w:bottom w:val="nil"/>
              <w:right w:val="nil"/>
            </w:tcBorders>
            <w:vAlign w:val="bottom"/>
          </w:tcPr>
          <w:p w14:paraId="7716D30F"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0.002</w:t>
            </w:r>
          </w:p>
        </w:tc>
        <w:tc>
          <w:tcPr>
            <w:tcW w:w="0" w:type="auto"/>
            <w:tcBorders>
              <w:top w:val="nil"/>
              <w:left w:val="nil"/>
              <w:bottom w:val="nil"/>
              <w:right w:val="nil"/>
            </w:tcBorders>
            <w:vAlign w:val="bottom"/>
          </w:tcPr>
          <w:p w14:paraId="41ABD63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0.003</w:t>
            </w:r>
          </w:p>
        </w:tc>
      </w:tr>
      <w:tr w:rsidR="009F2232" w:rsidRPr="004153B4" w14:paraId="0076B8E3" w14:textId="77777777" w:rsidTr="005440BF">
        <w:tc>
          <w:tcPr>
            <w:tcW w:w="0" w:type="auto"/>
            <w:tcBorders>
              <w:top w:val="nil"/>
              <w:left w:val="nil"/>
              <w:bottom w:val="nil"/>
              <w:right w:val="nil"/>
            </w:tcBorders>
            <w:vAlign w:val="center"/>
          </w:tcPr>
          <w:p w14:paraId="52725AF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Tonga</w:t>
            </w:r>
          </w:p>
        </w:tc>
        <w:tc>
          <w:tcPr>
            <w:tcW w:w="0" w:type="auto"/>
            <w:tcBorders>
              <w:top w:val="nil"/>
              <w:left w:val="nil"/>
              <w:bottom w:val="nil"/>
              <w:right w:val="nil"/>
            </w:tcBorders>
            <w:vAlign w:val="bottom"/>
          </w:tcPr>
          <w:p w14:paraId="0817989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0C464FF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30477CA1" w14:textId="77777777" w:rsidTr="005440BF">
        <w:tc>
          <w:tcPr>
            <w:tcW w:w="0" w:type="auto"/>
            <w:tcBorders>
              <w:top w:val="nil"/>
              <w:left w:val="nil"/>
              <w:bottom w:val="nil"/>
              <w:right w:val="nil"/>
            </w:tcBorders>
            <w:vAlign w:val="center"/>
          </w:tcPr>
          <w:p w14:paraId="659F7D2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Trinidad and Tobago</w:t>
            </w:r>
          </w:p>
        </w:tc>
        <w:tc>
          <w:tcPr>
            <w:tcW w:w="0" w:type="auto"/>
            <w:tcBorders>
              <w:top w:val="nil"/>
              <w:left w:val="nil"/>
              <w:bottom w:val="nil"/>
              <w:right w:val="nil"/>
            </w:tcBorders>
            <w:vAlign w:val="bottom"/>
          </w:tcPr>
          <w:p w14:paraId="329062B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0.037</w:t>
            </w:r>
          </w:p>
        </w:tc>
        <w:tc>
          <w:tcPr>
            <w:tcW w:w="0" w:type="auto"/>
            <w:tcBorders>
              <w:top w:val="nil"/>
              <w:left w:val="nil"/>
              <w:bottom w:val="nil"/>
              <w:right w:val="nil"/>
            </w:tcBorders>
            <w:vAlign w:val="bottom"/>
          </w:tcPr>
          <w:p w14:paraId="6826B70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0.048</w:t>
            </w:r>
          </w:p>
        </w:tc>
      </w:tr>
      <w:tr w:rsidR="009F2232" w:rsidRPr="004153B4" w14:paraId="2BB1CC2A" w14:textId="77777777" w:rsidTr="005440BF">
        <w:tc>
          <w:tcPr>
            <w:tcW w:w="0" w:type="auto"/>
            <w:tcBorders>
              <w:top w:val="nil"/>
              <w:left w:val="nil"/>
              <w:bottom w:val="nil"/>
              <w:right w:val="nil"/>
            </w:tcBorders>
            <w:vAlign w:val="center"/>
          </w:tcPr>
          <w:p w14:paraId="4184E91B"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Tunisia</w:t>
            </w:r>
          </w:p>
        </w:tc>
        <w:tc>
          <w:tcPr>
            <w:tcW w:w="0" w:type="auto"/>
            <w:tcBorders>
              <w:top w:val="nil"/>
              <w:left w:val="nil"/>
              <w:bottom w:val="nil"/>
              <w:right w:val="nil"/>
            </w:tcBorders>
            <w:vAlign w:val="bottom"/>
          </w:tcPr>
          <w:p w14:paraId="22EF88A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0.019</w:t>
            </w:r>
          </w:p>
        </w:tc>
        <w:tc>
          <w:tcPr>
            <w:tcW w:w="0" w:type="auto"/>
            <w:tcBorders>
              <w:top w:val="nil"/>
              <w:left w:val="nil"/>
              <w:bottom w:val="nil"/>
              <w:right w:val="nil"/>
            </w:tcBorders>
            <w:vAlign w:val="bottom"/>
          </w:tcPr>
          <w:p w14:paraId="5A59377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0.025</w:t>
            </w:r>
          </w:p>
        </w:tc>
      </w:tr>
      <w:tr w:rsidR="009F2232" w:rsidRPr="004153B4" w14:paraId="0AEC2E4A" w14:textId="77777777" w:rsidTr="005440BF">
        <w:tc>
          <w:tcPr>
            <w:tcW w:w="0" w:type="auto"/>
            <w:tcBorders>
              <w:top w:val="nil"/>
              <w:left w:val="nil"/>
              <w:bottom w:val="nil"/>
              <w:right w:val="nil"/>
            </w:tcBorders>
            <w:vAlign w:val="center"/>
          </w:tcPr>
          <w:p w14:paraId="5EF22B5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Türkiye</w:t>
            </w:r>
          </w:p>
        </w:tc>
        <w:tc>
          <w:tcPr>
            <w:tcW w:w="0" w:type="auto"/>
            <w:tcBorders>
              <w:top w:val="nil"/>
              <w:left w:val="nil"/>
              <w:bottom w:val="nil"/>
              <w:right w:val="nil"/>
            </w:tcBorders>
            <w:vAlign w:val="bottom"/>
          </w:tcPr>
          <w:p w14:paraId="0B76934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0.845</w:t>
            </w:r>
          </w:p>
        </w:tc>
        <w:tc>
          <w:tcPr>
            <w:tcW w:w="0" w:type="auto"/>
            <w:tcBorders>
              <w:top w:val="nil"/>
              <w:left w:val="nil"/>
              <w:bottom w:val="nil"/>
              <w:right w:val="nil"/>
            </w:tcBorders>
            <w:vAlign w:val="bottom"/>
          </w:tcPr>
          <w:p w14:paraId="5EFC2A3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1.093</w:t>
            </w:r>
          </w:p>
        </w:tc>
      </w:tr>
      <w:tr w:rsidR="009F2232" w:rsidRPr="004153B4" w14:paraId="6BA457C1" w14:textId="77777777" w:rsidTr="005440BF">
        <w:tc>
          <w:tcPr>
            <w:tcW w:w="0" w:type="auto"/>
            <w:tcBorders>
              <w:top w:val="nil"/>
              <w:left w:val="nil"/>
              <w:bottom w:val="nil"/>
              <w:right w:val="nil"/>
            </w:tcBorders>
            <w:vAlign w:val="center"/>
          </w:tcPr>
          <w:p w14:paraId="21B88A1A"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Turkmenistan</w:t>
            </w:r>
          </w:p>
        </w:tc>
        <w:tc>
          <w:tcPr>
            <w:tcW w:w="0" w:type="auto"/>
            <w:tcBorders>
              <w:top w:val="nil"/>
              <w:left w:val="nil"/>
              <w:bottom w:val="nil"/>
              <w:right w:val="nil"/>
            </w:tcBorders>
            <w:vAlign w:val="bottom"/>
          </w:tcPr>
          <w:p w14:paraId="3F96CA4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0.034</w:t>
            </w:r>
          </w:p>
        </w:tc>
        <w:tc>
          <w:tcPr>
            <w:tcW w:w="0" w:type="auto"/>
            <w:tcBorders>
              <w:top w:val="nil"/>
              <w:left w:val="nil"/>
              <w:bottom w:val="nil"/>
              <w:right w:val="nil"/>
            </w:tcBorders>
            <w:vAlign w:val="bottom"/>
          </w:tcPr>
          <w:p w14:paraId="16DB06E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0.044</w:t>
            </w:r>
          </w:p>
        </w:tc>
      </w:tr>
      <w:tr w:rsidR="009F2232" w:rsidRPr="004153B4" w14:paraId="03EB52DA" w14:textId="77777777" w:rsidTr="005440BF">
        <w:tc>
          <w:tcPr>
            <w:tcW w:w="0" w:type="auto"/>
            <w:tcBorders>
              <w:top w:val="nil"/>
              <w:left w:val="nil"/>
              <w:bottom w:val="nil"/>
              <w:right w:val="nil"/>
            </w:tcBorders>
            <w:vAlign w:val="center"/>
          </w:tcPr>
          <w:p w14:paraId="1AC77BC7"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Tuvalu</w:t>
            </w:r>
          </w:p>
        </w:tc>
        <w:tc>
          <w:tcPr>
            <w:tcW w:w="0" w:type="auto"/>
            <w:tcBorders>
              <w:top w:val="nil"/>
              <w:left w:val="nil"/>
              <w:bottom w:val="nil"/>
              <w:right w:val="nil"/>
            </w:tcBorders>
            <w:vAlign w:val="bottom"/>
          </w:tcPr>
          <w:p w14:paraId="71E4541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5F7AC52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1439DFEC" w14:textId="77777777" w:rsidTr="005440BF">
        <w:tc>
          <w:tcPr>
            <w:tcW w:w="0" w:type="auto"/>
            <w:tcBorders>
              <w:top w:val="nil"/>
              <w:left w:val="nil"/>
              <w:bottom w:val="nil"/>
              <w:right w:val="nil"/>
            </w:tcBorders>
            <w:vAlign w:val="center"/>
          </w:tcPr>
          <w:p w14:paraId="75D62034"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Uganda</w:t>
            </w:r>
          </w:p>
        </w:tc>
        <w:tc>
          <w:tcPr>
            <w:tcW w:w="0" w:type="auto"/>
            <w:tcBorders>
              <w:top w:val="nil"/>
              <w:left w:val="nil"/>
              <w:bottom w:val="nil"/>
              <w:right w:val="nil"/>
            </w:tcBorders>
            <w:vAlign w:val="bottom"/>
          </w:tcPr>
          <w:p w14:paraId="329E4EC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7E40BA5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r>
      <w:tr w:rsidR="009F2232" w:rsidRPr="004153B4" w14:paraId="2389861D" w14:textId="77777777" w:rsidTr="005440BF">
        <w:tc>
          <w:tcPr>
            <w:tcW w:w="0" w:type="auto"/>
            <w:tcBorders>
              <w:top w:val="nil"/>
              <w:left w:val="nil"/>
              <w:bottom w:val="nil"/>
              <w:right w:val="nil"/>
            </w:tcBorders>
            <w:vAlign w:val="center"/>
          </w:tcPr>
          <w:p w14:paraId="0B501051"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Ukraine</w:t>
            </w:r>
          </w:p>
        </w:tc>
        <w:tc>
          <w:tcPr>
            <w:tcW w:w="0" w:type="auto"/>
            <w:tcBorders>
              <w:top w:val="nil"/>
              <w:left w:val="nil"/>
              <w:bottom w:val="nil"/>
              <w:right w:val="nil"/>
            </w:tcBorders>
            <w:vAlign w:val="bottom"/>
          </w:tcPr>
          <w:p w14:paraId="198EB40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0.056</w:t>
            </w:r>
          </w:p>
        </w:tc>
        <w:tc>
          <w:tcPr>
            <w:tcW w:w="0" w:type="auto"/>
            <w:tcBorders>
              <w:top w:val="nil"/>
              <w:left w:val="nil"/>
              <w:bottom w:val="nil"/>
              <w:right w:val="nil"/>
            </w:tcBorders>
            <w:vAlign w:val="bottom"/>
          </w:tcPr>
          <w:p w14:paraId="129CC6F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0.072</w:t>
            </w:r>
          </w:p>
        </w:tc>
      </w:tr>
      <w:tr w:rsidR="009F2232" w:rsidRPr="004153B4" w14:paraId="7F951F92" w14:textId="77777777" w:rsidTr="005440BF">
        <w:tc>
          <w:tcPr>
            <w:tcW w:w="0" w:type="auto"/>
            <w:tcBorders>
              <w:top w:val="nil"/>
              <w:left w:val="nil"/>
              <w:bottom w:val="nil"/>
              <w:right w:val="nil"/>
            </w:tcBorders>
            <w:vAlign w:val="center"/>
          </w:tcPr>
          <w:p w14:paraId="6DEAC99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United Arab Emirates</w:t>
            </w:r>
          </w:p>
        </w:tc>
        <w:tc>
          <w:tcPr>
            <w:tcW w:w="0" w:type="auto"/>
            <w:tcBorders>
              <w:top w:val="nil"/>
              <w:left w:val="nil"/>
              <w:bottom w:val="nil"/>
              <w:right w:val="nil"/>
            </w:tcBorders>
            <w:vAlign w:val="bottom"/>
          </w:tcPr>
          <w:p w14:paraId="6344BBD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0.635</w:t>
            </w:r>
          </w:p>
        </w:tc>
        <w:tc>
          <w:tcPr>
            <w:tcW w:w="0" w:type="auto"/>
            <w:tcBorders>
              <w:top w:val="nil"/>
              <w:left w:val="nil"/>
              <w:bottom w:val="nil"/>
              <w:right w:val="nil"/>
            </w:tcBorders>
            <w:vAlign w:val="bottom"/>
          </w:tcPr>
          <w:p w14:paraId="5EE7D9A3"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0.822</w:t>
            </w:r>
          </w:p>
        </w:tc>
      </w:tr>
      <w:tr w:rsidR="009F2232" w:rsidRPr="004153B4" w14:paraId="45E7CC5C" w14:textId="77777777" w:rsidTr="005440BF">
        <w:tc>
          <w:tcPr>
            <w:tcW w:w="0" w:type="auto"/>
            <w:tcBorders>
              <w:top w:val="nil"/>
              <w:left w:val="nil"/>
              <w:bottom w:val="nil"/>
              <w:right w:val="nil"/>
            </w:tcBorders>
            <w:vAlign w:val="center"/>
          </w:tcPr>
          <w:p w14:paraId="16E930AF" w14:textId="744A4985" w:rsidR="009F2232" w:rsidRPr="004153B4" w:rsidRDefault="009F2232" w:rsidP="00A25F78">
            <w:pPr>
              <w:suppressAutoHyphens w:val="0"/>
              <w:spacing w:before="40" w:after="40" w:line="200" w:lineRule="exact"/>
              <w:rPr>
                <w:rFonts w:eastAsia="Arial Unicode MS"/>
                <w:color w:val="000000"/>
                <w:sz w:val="18"/>
                <w:szCs w:val="18"/>
                <w:lang w:eastAsia="de-DE"/>
              </w:rPr>
            </w:pPr>
            <w:r>
              <w:rPr>
                <w:color w:val="000000"/>
                <w:sz w:val="18"/>
                <w:szCs w:val="18"/>
              </w:rPr>
              <w:t>United Kingdom of Great Britain and Northern</w:t>
            </w:r>
            <w:r w:rsidR="00A25F78">
              <w:rPr>
                <w:color w:val="000000"/>
                <w:sz w:val="18"/>
                <w:szCs w:val="18"/>
              </w:rPr>
              <w:t> </w:t>
            </w:r>
            <w:r>
              <w:rPr>
                <w:color w:val="000000"/>
                <w:sz w:val="18"/>
                <w:szCs w:val="18"/>
              </w:rPr>
              <w:t>Ireland</w:t>
            </w:r>
          </w:p>
        </w:tc>
        <w:tc>
          <w:tcPr>
            <w:tcW w:w="0" w:type="auto"/>
            <w:tcBorders>
              <w:top w:val="nil"/>
              <w:left w:val="nil"/>
              <w:bottom w:val="nil"/>
              <w:right w:val="nil"/>
            </w:tcBorders>
            <w:vAlign w:val="bottom"/>
          </w:tcPr>
          <w:p w14:paraId="0AFD5AC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4.375</w:t>
            </w:r>
          </w:p>
        </w:tc>
        <w:tc>
          <w:tcPr>
            <w:tcW w:w="0" w:type="auto"/>
            <w:tcBorders>
              <w:top w:val="nil"/>
              <w:left w:val="nil"/>
              <w:bottom w:val="nil"/>
              <w:right w:val="nil"/>
            </w:tcBorders>
            <w:vAlign w:val="bottom"/>
          </w:tcPr>
          <w:p w14:paraId="3491514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5.660</w:t>
            </w:r>
          </w:p>
        </w:tc>
      </w:tr>
      <w:tr w:rsidR="009F2232" w:rsidRPr="004153B4" w14:paraId="617E29E1" w14:textId="77777777" w:rsidTr="005440BF">
        <w:tc>
          <w:tcPr>
            <w:tcW w:w="0" w:type="auto"/>
            <w:tcBorders>
              <w:top w:val="nil"/>
              <w:left w:val="nil"/>
              <w:bottom w:val="nil"/>
              <w:right w:val="nil"/>
            </w:tcBorders>
            <w:vAlign w:val="center"/>
          </w:tcPr>
          <w:p w14:paraId="6897CEC5"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United Republic of Tanzania</w:t>
            </w:r>
          </w:p>
        </w:tc>
        <w:tc>
          <w:tcPr>
            <w:tcW w:w="0" w:type="auto"/>
            <w:tcBorders>
              <w:top w:val="nil"/>
              <w:left w:val="nil"/>
              <w:bottom w:val="nil"/>
              <w:right w:val="nil"/>
            </w:tcBorders>
            <w:vAlign w:val="bottom"/>
          </w:tcPr>
          <w:p w14:paraId="22E4443E"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c>
          <w:tcPr>
            <w:tcW w:w="0" w:type="auto"/>
            <w:tcBorders>
              <w:top w:val="nil"/>
              <w:left w:val="nil"/>
              <w:bottom w:val="nil"/>
              <w:right w:val="nil"/>
            </w:tcBorders>
            <w:vAlign w:val="bottom"/>
          </w:tcPr>
          <w:p w14:paraId="2A1ACED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0.013</w:t>
            </w:r>
          </w:p>
        </w:tc>
      </w:tr>
      <w:tr w:rsidR="009F2232" w:rsidRPr="004153B4" w14:paraId="50955DFC" w14:textId="77777777" w:rsidTr="005440BF">
        <w:tc>
          <w:tcPr>
            <w:tcW w:w="0" w:type="auto"/>
            <w:tcBorders>
              <w:top w:val="nil"/>
              <w:left w:val="nil"/>
              <w:bottom w:val="nil"/>
              <w:right w:val="nil"/>
            </w:tcBorders>
            <w:vAlign w:val="center"/>
          </w:tcPr>
          <w:p w14:paraId="40198EC8"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Uruguay</w:t>
            </w:r>
          </w:p>
        </w:tc>
        <w:tc>
          <w:tcPr>
            <w:tcW w:w="0" w:type="auto"/>
            <w:tcBorders>
              <w:top w:val="nil"/>
              <w:left w:val="nil"/>
              <w:bottom w:val="nil"/>
              <w:right w:val="nil"/>
            </w:tcBorders>
            <w:vAlign w:val="bottom"/>
          </w:tcPr>
          <w:p w14:paraId="2F8753AB"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0.092</w:t>
            </w:r>
          </w:p>
        </w:tc>
        <w:tc>
          <w:tcPr>
            <w:tcW w:w="0" w:type="auto"/>
            <w:tcBorders>
              <w:top w:val="nil"/>
              <w:left w:val="nil"/>
              <w:bottom w:val="nil"/>
              <w:right w:val="nil"/>
            </w:tcBorders>
            <w:vAlign w:val="bottom"/>
          </w:tcPr>
          <w:p w14:paraId="75A185C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0.119</w:t>
            </w:r>
          </w:p>
        </w:tc>
      </w:tr>
      <w:tr w:rsidR="009F2232" w:rsidRPr="004153B4" w14:paraId="2DB211FD" w14:textId="77777777" w:rsidTr="005440BF">
        <w:tc>
          <w:tcPr>
            <w:tcW w:w="0" w:type="auto"/>
            <w:tcBorders>
              <w:top w:val="nil"/>
              <w:left w:val="nil"/>
              <w:bottom w:val="nil"/>
              <w:right w:val="nil"/>
            </w:tcBorders>
            <w:vAlign w:val="center"/>
          </w:tcPr>
          <w:p w14:paraId="0D4365CA" w14:textId="77777777" w:rsidR="009F2232" w:rsidRPr="004153B4" w:rsidRDefault="009F2232" w:rsidP="005440BF">
            <w:pPr>
              <w:suppressAutoHyphens w:val="0"/>
              <w:spacing w:before="40" w:after="40" w:line="200" w:lineRule="exact"/>
              <w:ind w:left="245" w:hanging="245"/>
              <w:rPr>
                <w:rFonts w:eastAsia="Arial Unicode MS"/>
                <w:color w:val="000000"/>
                <w:sz w:val="18"/>
                <w:szCs w:val="18"/>
                <w:lang w:eastAsia="de-DE"/>
              </w:rPr>
            </w:pPr>
            <w:r>
              <w:rPr>
                <w:color w:val="000000"/>
                <w:sz w:val="18"/>
                <w:szCs w:val="18"/>
              </w:rPr>
              <w:t>Uzbekistan</w:t>
            </w:r>
          </w:p>
        </w:tc>
        <w:tc>
          <w:tcPr>
            <w:tcW w:w="0" w:type="auto"/>
            <w:tcBorders>
              <w:top w:val="nil"/>
              <w:left w:val="nil"/>
              <w:bottom w:val="nil"/>
              <w:right w:val="nil"/>
            </w:tcBorders>
            <w:vAlign w:val="bottom"/>
          </w:tcPr>
          <w:p w14:paraId="6DA4B6AB" w14:textId="77777777" w:rsidR="009F2232" w:rsidRPr="004153B4" w:rsidRDefault="009F2232" w:rsidP="005440BF">
            <w:pPr>
              <w:suppressAutoHyphens w:val="0"/>
              <w:spacing w:before="40" w:after="40" w:line="200" w:lineRule="exact"/>
              <w:ind w:left="245" w:hanging="245"/>
              <w:jc w:val="right"/>
              <w:rPr>
                <w:rFonts w:eastAsia="Arial Unicode MS"/>
                <w:color w:val="000000"/>
                <w:sz w:val="18"/>
                <w:szCs w:val="18"/>
                <w:lang w:eastAsia="de-DE"/>
              </w:rPr>
            </w:pPr>
            <w:r>
              <w:rPr>
                <w:color w:val="000000"/>
                <w:sz w:val="18"/>
                <w:szCs w:val="18"/>
              </w:rPr>
              <w:t>0.027</w:t>
            </w:r>
          </w:p>
        </w:tc>
        <w:tc>
          <w:tcPr>
            <w:tcW w:w="0" w:type="auto"/>
            <w:tcBorders>
              <w:top w:val="nil"/>
              <w:left w:val="nil"/>
              <w:bottom w:val="nil"/>
              <w:right w:val="nil"/>
            </w:tcBorders>
            <w:vAlign w:val="bottom"/>
          </w:tcPr>
          <w:p w14:paraId="6300B87A" w14:textId="77777777" w:rsidR="009F2232" w:rsidRPr="004153B4" w:rsidRDefault="009F2232" w:rsidP="005440BF">
            <w:pPr>
              <w:suppressAutoHyphens w:val="0"/>
              <w:spacing w:before="40" w:after="40" w:line="200" w:lineRule="exact"/>
              <w:ind w:left="245" w:hanging="245"/>
              <w:jc w:val="right"/>
              <w:rPr>
                <w:rFonts w:eastAsia="Arial Unicode MS"/>
                <w:color w:val="000000"/>
                <w:sz w:val="18"/>
                <w:szCs w:val="18"/>
                <w:lang w:eastAsia="de-DE"/>
              </w:rPr>
            </w:pPr>
            <w:r>
              <w:rPr>
                <w:color w:val="000000"/>
                <w:sz w:val="18"/>
                <w:szCs w:val="18"/>
              </w:rPr>
              <w:t>0.035</w:t>
            </w:r>
          </w:p>
        </w:tc>
      </w:tr>
      <w:tr w:rsidR="009F2232" w:rsidRPr="004153B4" w14:paraId="77B39082" w14:textId="77777777" w:rsidTr="005440BF">
        <w:tc>
          <w:tcPr>
            <w:tcW w:w="0" w:type="auto"/>
            <w:tcBorders>
              <w:top w:val="nil"/>
              <w:left w:val="nil"/>
              <w:bottom w:val="nil"/>
              <w:right w:val="nil"/>
            </w:tcBorders>
            <w:vAlign w:val="center"/>
          </w:tcPr>
          <w:p w14:paraId="2368DF71"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Vanuatu</w:t>
            </w:r>
          </w:p>
        </w:tc>
        <w:tc>
          <w:tcPr>
            <w:tcW w:w="0" w:type="auto"/>
            <w:tcBorders>
              <w:top w:val="nil"/>
              <w:left w:val="nil"/>
              <w:bottom w:val="nil"/>
              <w:right w:val="nil"/>
            </w:tcBorders>
            <w:vAlign w:val="bottom"/>
          </w:tcPr>
          <w:p w14:paraId="0950C54D"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c>
          <w:tcPr>
            <w:tcW w:w="0" w:type="auto"/>
            <w:tcBorders>
              <w:top w:val="nil"/>
              <w:left w:val="nil"/>
              <w:bottom w:val="nil"/>
              <w:right w:val="nil"/>
            </w:tcBorders>
            <w:vAlign w:val="bottom"/>
          </w:tcPr>
          <w:p w14:paraId="7AADC6E1"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0.001</w:t>
            </w:r>
          </w:p>
        </w:tc>
      </w:tr>
      <w:tr w:rsidR="009F2232" w:rsidRPr="004153B4" w14:paraId="7A44DE02" w14:textId="77777777" w:rsidTr="005440BF">
        <w:tc>
          <w:tcPr>
            <w:tcW w:w="0" w:type="auto"/>
            <w:tcBorders>
              <w:top w:val="nil"/>
              <w:left w:val="nil"/>
              <w:bottom w:val="nil"/>
              <w:right w:val="nil"/>
            </w:tcBorders>
            <w:vAlign w:val="center"/>
          </w:tcPr>
          <w:p w14:paraId="3EBBC549"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Venezuela (Bolivarian Republic of)</w:t>
            </w:r>
          </w:p>
        </w:tc>
        <w:tc>
          <w:tcPr>
            <w:tcW w:w="0" w:type="auto"/>
            <w:tcBorders>
              <w:top w:val="nil"/>
              <w:left w:val="nil"/>
              <w:bottom w:val="nil"/>
              <w:right w:val="nil"/>
            </w:tcBorders>
            <w:vAlign w:val="bottom"/>
          </w:tcPr>
          <w:p w14:paraId="448C575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0.175</w:t>
            </w:r>
          </w:p>
        </w:tc>
        <w:tc>
          <w:tcPr>
            <w:tcW w:w="0" w:type="auto"/>
            <w:tcBorders>
              <w:top w:val="nil"/>
              <w:left w:val="nil"/>
              <w:bottom w:val="nil"/>
              <w:right w:val="nil"/>
            </w:tcBorders>
            <w:vAlign w:val="bottom"/>
          </w:tcPr>
          <w:p w14:paraId="56FE711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0.226</w:t>
            </w:r>
          </w:p>
        </w:tc>
      </w:tr>
      <w:tr w:rsidR="009F2232" w:rsidRPr="004153B4" w14:paraId="14BAFFAC" w14:textId="77777777" w:rsidTr="005440BF">
        <w:tc>
          <w:tcPr>
            <w:tcW w:w="0" w:type="auto"/>
            <w:tcBorders>
              <w:top w:val="nil"/>
              <w:left w:val="nil"/>
              <w:bottom w:val="nil"/>
              <w:right w:val="nil"/>
            </w:tcBorders>
            <w:vAlign w:val="center"/>
          </w:tcPr>
          <w:p w14:paraId="3F05F973"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Viet Nam</w:t>
            </w:r>
          </w:p>
        </w:tc>
        <w:tc>
          <w:tcPr>
            <w:tcW w:w="0" w:type="auto"/>
            <w:tcBorders>
              <w:top w:val="nil"/>
              <w:left w:val="nil"/>
              <w:bottom w:val="nil"/>
              <w:right w:val="nil"/>
            </w:tcBorders>
            <w:vAlign w:val="bottom"/>
          </w:tcPr>
          <w:p w14:paraId="633F7B08"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0.093</w:t>
            </w:r>
          </w:p>
        </w:tc>
        <w:tc>
          <w:tcPr>
            <w:tcW w:w="0" w:type="auto"/>
            <w:tcBorders>
              <w:top w:val="nil"/>
              <w:left w:val="nil"/>
              <w:bottom w:val="nil"/>
              <w:right w:val="nil"/>
            </w:tcBorders>
            <w:vAlign w:val="bottom"/>
          </w:tcPr>
          <w:p w14:paraId="155FBBF9"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0.120</w:t>
            </w:r>
          </w:p>
        </w:tc>
      </w:tr>
      <w:tr w:rsidR="009F2232" w:rsidRPr="004153B4" w14:paraId="68E1D18C" w14:textId="77777777" w:rsidTr="005440BF">
        <w:tc>
          <w:tcPr>
            <w:tcW w:w="0" w:type="auto"/>
            <w:tcBorders>
              <w:top w:val="nil"/>
              <w:left w:val="nil"/>
              <w:bottom w:val="nil"/>
              <w:right w:val="nil"/>
            </w:tcBorders>
            <w:vAlign w:val="center"/>
          </w:tcPr>
          <w:p w14:paraId="64EF3682"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lastRenderedPageBreak/>
              <w:t>Yemen</w:t>
            </w:r>
          </w:p>
        </w:tc>
        <w:tc>
          <w:tcPr>
            <w:tcW w:w="0" w:type="auto"/>
            <w:tcBorders>
              <w:top w:val="nil"/>
              <w:left w:val="nil"/>
              <w:bottom w:val="nil"/>
              <w:right w:val="nil"/>
            </w:tcBorders>
            <w:vAlign w:val="bottom"/>
          </w:tcPr>
          <w:p w14:paraId="480B0EF0"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0.008</w:t>
            </w:r>
          </w:p>
        </w:tc>
        <w:tc>
          <w:tcPr>
            <w:tcW w:w="0" w:type="auto"/>
            <w:tcBorders>
              <w:top w:val="nil"/>
              <w:left w:val="nil"/>
              <w:bottom w:val="nil"/>
              <w:right w:val="nil"/>
            </w:tcBorders>
            <w:vAlign w:val="bottom"/>
          </w:tcPr>
          <w:p w14:paraId="6B48F4BC"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r>
      <w:tr w:rsidR="009F2232" w:rsidRPr="004153B4" w14:paraId="4BAB1EA4" w14:textId="77777777" w:rsidTr="005440BF">
        <w:tc>
          <w:tcPr>
            <w:tcW w:w="0" w:type="auto"/>
            <w:tcBorders>
              <w:top w:val="nil"/>
              <w:left w:val="nil"/>
              <w:bottom w:val="nil"/>
              <w:right w:val="nil"/>
            </w:tcBorders>
            <w:vAlign w:val="center"/>
          </w:tcPr>
          <w:p w14:paraId="3A30CE70"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Zambia</w:t>
            </w:r>
          </w:p>
        </w:tc>
        <w:tc>
          <w:tcPr>
            <w:tcW w:w="0" w:type="auto"/>
            <w:tcBorders>
              <w:top w:val="nil"/>
              <w:left w:val="nil"/>
              <w:bottom w:val="nil"/>
              <w:right w:val="nil"/>
            </w:tcBorders>
            <w:vAlign w:val="bottom"/>
          </w:tcPr>
          <w:p w14:paraId="7D6C6BB6"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0.008</w:t>
            </w:r>
          </w:p>
        </w:tc>
        <w:tc>
          <w:tcPr>
            <w:tcW w:w="0" w:type="auto"/>
            <w:tcBorders>
              <w:top w:val="nil"/>
              <w:left w:val="nil"/>
              <w:bottom w:val="nil"/>
              <w:right w:val="nil"/>
            </w:tcBorders>
            <w:vAlign w:val="bottom"/>
          </w:tcPr>
          <w:p w14:paraId="436D1AD4"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0.010</w:t>
            </w:r>
          </w:p>
        </w:tc>
      </w:tr>
      <w:tr w:rsidR="009F2232" w:rsidRPr="004153B4" w14:paraId="0F42DA43" w14:textId="77777777" w:rsidTr="005440BF">
        <w:tc>
          <w:tcPr>
            <w:tcW w:w="0" w:type="auto"/>
            <w:tcBorders>
              <w:top w:val="nil"/>
              <w:left w:val="nil"/>
              <w:bottom w:val="nil"/>
              <w:right w:val="nil"/>
            </w:tcBorders>
            <w:vAlign w:val="center"/>
          </w:tcPr>
          <w:p w14:paraId="7EC35B6E" w14:textId="77777777" w:rsidR="009F2232" w:rsidRPr="004153B4" w:rsidRDefault="009F2232" w:rsidP="005440BF">
            <w:pPr>
              <w:suppressAutoHyphens w:val="0"/>
              <w:spacing w:before="40" w:after="40" w:line="200" w:lineRule="exact"/>
              <w:ind w:left="360" w:hanging="360"/>
              <w:rPr>
                <w:rFonts w:eastAsia="Arial Unicode MS"/>
                <w:color w:val="000000"/>
                <w:sz w:val="18"/>
                <w:szCs w:val="18"/>
                <w:lang w:eastAsia="de-DE"/>
              </w:rPr>
            </w:pPr>
            <w:r>
              <w:rPr>
                <w:color w:val="000000"/>
                <w:sz w:val="18"/>
                <w:szCs w:val="18"/>
              </w:rPr>
              <w:t>Zimbabwe</w:t>
            </w:r>
          </w:p>
        </w:tc>
        <w:tc>
          <w:tcPr>
            <w:tcW w:w="0" w:type="auto"/>
            <w:tcBorders>
              <w:top w:val="nil"/>
              <w:left w:val="nil"/>
              <w:bottom w:val="nil"/>
              <w:right w:val="nil"/>
            </w:tcBorders>
            <w:vAlign w:val="bottom"/>
          </w:tcPr>
          <w:p w14:paraId="279793B5"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0.007</w:t>
            </w:r>
          </w:p>
        </w:tc>
        <w:tc>
          <w:tcPr>
            <w:tcW w:w="0" w:type="auto"/>
            <w:tcBorders>
              <w:top w:val="nil"/>
              <w:left w:val="nil"/>
              <w:bottom w:val="nil"/>
              <w:right w:val="nil"/>
            </w:tcBorders>
            <w:vAlign w:val="bottom"/>
          </w:tcPr>
          <w:p w14:paraId="7D0A4D42" w14:textId="77777777" w:rsidR="009F2232" w:rsidRPr="004153B4" w:rsidRDefault="009F2232" w:rsidP="005440BF">
            <w:pPr>
              <w:suppressAutoHyphens w:val="0"/>
              <w:spacing w:before="40" w:after="40" w:line="200" w:lineRule="exact"/>
              <w:ind w:left="360" w:hanging="360"/>
              <w:jc w:val="right"/>
              <w:rPr>
                <w:rFonts w:eastAsia="Arial Unicode MS"/>
                <w:color w:val="000000"/>
                <w:sz w:val="18"/>
                <w:szCs w:val="18"/>
                <w:lang w:eastAsia="de-DE"/>
              </w:rPr>
            </w:pPr>
            <w:r>
              <w:rPr>
                <w:color w:val="000000"/>
                <w:sz w:val="18"/>
                <w:szCs w:val="18"/>
              </w:rPr>
              <w:t>0.009</w:t>
            </w:r>
          </w:p>
        </w:tc>
      </w:tr>
      <w:tr w:rsidR="009F2232" w:rsidRPr="004153B4" w14:paraId="072793DE" w14:textId="77777777" w:rsidTr="005440BF">
        <w:tc>
          <w:tcPr>
            <w:tcW w:w="0" w:type="auto"/>
            <w:tcBorders>
              <w:top w:val="single" w:sz="2" w:space="0" w:color="auto"/>
              <w:left w:val="nil"/>
              <w:bottom w:val="single" w:sz="12" w:space="0" w:color="auto"/>
              <w:right w:val="nil"/>
            </w:tcBorders>
            <w:vAlign w:val="center"/>
          </w:tcPr>
          <w:p w14:paraId="12BBE46E" w14:textId="77777777" w:rsidR="009F2232" w:rsidRDefault="009F2232" w:rsidP="00181310">
            <w:pPr>
              <w:suppressAutoHyphens w:val="0"/>
              <w:autoSpaceDE w:val="0"/>
              <w:autoSpaceDN w:val="0"/>
              <w:adjustRightInd w:val="0"/>
              <w:spacing w:before="40" w:after="40" w:line="200" w:lineRule="exact"/>
              <w:ind w:left="283" w:right="1999"/>
              <w:rPr>
                <w:b/>
                <w:color w:val="000000"/>
                <w:sz w:val="18"/>
                <w:szCs w:val="18"/>
              </w:rPr>
            </w:pPr>
            <w:r>
              <w:rPr>
                <w:b/>
                <w:bCs/>
                <w:color w:val="000000"/>
                <w:sz w:val="18"/>
                <w:szCs w:val="18"/>
              </w:rPr>
              <w:t>Total</w:t>
            </w:r>
          </w:p>
        </w:tc>
        <w:tc>
          <w:tcPr>
            <w:tcW w:w="0" w:type="auto"/>
            <w:tcBorders>
              <w:top w:val="single" w:sz="2" w:space="0" w:color="auto"/>
              <w:left w:val="nil"/>
              <w:bottom w:val="single" w:sz="12" w:space="0" w:color="auto"/>
              <w:right w:val="nil"/>
            </w:tcBorders>
            <w:vAlign w:val="bottom"/>
          </w:tcPr>
          <w:p w14:paraId="4D370A41" w14:textId="77777777" w:rsidR="009F2232" w:rsidRDefault="009F2232" w:rsidP="00181310">
            <w:pPr>
              <w:suppressAutoHyphens w:val="0"/>
              <w:autoSpaceDE w:val="0"/>
              <w:autoSpaceDN w:val="0"/>
              <w:adjustRightInd w:val="0"/>
              <w:spacing w:before="40" w:after="40" w:line="200" w:lineRule="exact"/>
              <w:ind w:left="-28"/>
              <w:jc w:val="right"/>
              <w:rPr>
                <w:b/>
                <w:color w:val="000000"/>
                <w:sz w:val="18"/>
                <w:szCs w:val="18"/>
              </w:rPr>
            </w:pPr>
            <w:r>
              <w:rPr>
                <w:b/>
                <w:bCs/>
                <w:color w:val="000000"/>
                <w:sz w:val="18"/>
                <w:szCs w:val="18"/>
              </w:rPr>
              <w:t>75.365</w:t>
            </w:r>
          </w:p>
        </w:tc>
        <w:tc>
          <w:tcPr>
            <w:tcW w:w="0" w:type="auto"/>
            <w:tcBorders>
              <w:top w:val="single" w:sz="2" w:space="0" w:color="auto"/>
              <w:left w:val="nil"/>
              <w:bottom w:val="single" w:sz="12" w:space="0" w:color="auto"/>
              <w:right w:val="nil"/>
            </w:tcBorders>
            <w:vAlign w:val="bottom"/>
          </w:tcPr>
          <w:p w14:paraId="53914597" w14:textId="77777777" w:rsidR="009F2232" w:rsidRDefault="009F2232" w:rsidP="005440BF">
            <w:pPr>
              <w:suppressAutoHyphens w:val="0"/>
              <w:autoSpaceDE w:val="0"/>
              <w:autoSpaceDN w:val="0"/>
              <w:adjustRightInd w:val="0"/>
              <w:spacing w:before="40" w:after="40" w:line="200" w:lineRule="exact"/>
              <w:ind w:left="-30"/>
              <w:jc w:val="right"/>
              <w:rPr>
                <w:b/>
                <w:color w:val="000000"/>
                <w:sz w:val="18"/>
                <w:szCs w:val="18"/>
              </w:rPr>
            </w:pPr>
            <w:r>
              <w:rPr>
                <w:b/>
                <w:bCs/>
                <w:color w:val="000000"/>
                <w:sz w:val="18"/>
                <w:szCs w:val="18"/>
              </w:rPr>
              <w:t>100.000</w:t>
            </w:r>
          </w:p>
        </w:tc>
      </w:tr>
    </w:tbl>
    <w:p w14:paraId="14604F3E" w14:textId="40FBD076" w:rsidR="009F2232" w:rsidRPr="00F0076A" w:rsidRDefault="009F2232" w:rsidP="00181310">
      <w:pPr>
        <w:pStyle w:val="FootnoteTable"/>
        <w:spacing w:after="180" w:line="200" w:lineRule="exact"/>
        <w:ind w:left="1134" w:firstLine="142"/>
        <w:jc w:val="left"/>
        <w:rPr>
          <w:color w:val="000000" w:themeColor="text1"/>
        </w:rPr>
      </w:pPr>
      <w:r w:rsidRPr="00F0076A">
        <w:rPr>
          <w:i/>
          <w:color w:val="000000" w:themeColor="text1"/>
        </w:rPr>
        <w:t>Notes</w:t>
      </w:r>
      <w:bookmarkStart w:id="55" w:name="_Hlk153290901"/>
      <w:r w:rsidRPr="00F0076A">
        <w:rPr>
          <w:color w:val="000000" w:themeColor="text1"/>
        </w:rPr>
        <w:t xml:space="preserve">: (1) For presentation purposes, all percentage figures for the UNFCCC revised indicative scale of contributions have been given to three decimal places; (2) </w:t>
      </w:r>
      <w:r w:rsidRPr="00F0076A">
        <w:rPr>
          <w:rFonts w:eastAsia="Times New Roman"/>
          <w:color w:val="000000" w:themeColor="text1"/>
        </w:rPr>
        <w:t>Cook Islands, the European Union, the Holy See, Niue and the State of Palestine are Parties to the Kyoto Protocol but not United Nations Member States</w:t>
      </w:r>
      <w:r w:rsidRPr="00F0076A">
        <w:rPr>
          <w:color w:val="000000" w:themeColor="text1"/>
        </w:rPr>
        <w:t>.</w:t>
      </w:r>
      <w:bookmarkEnd w:id="55"/>
    </w:p>
    <w:p w14:paraId="7A5C3DBD" w14:textId="76EE7138" w:rsidR="00471A1E" w:rsidRPr="00FF0952" w:rsidRDefault="003903C0" w:rsidP="00181310">
      <w:pPr>
        <w:tabs>
          <w:tab w:val="left" w:pos="1701"/>
        </w:tabs>
        <w:spacing w:line="20" w:lineRule="atLeast"/>
        <w:ind w:left="1134" w:right="1133"/>
        <w:jc w:val="right"/>
        <w:rPr>
          <w:i/>
          <w:iCs/>
        </w:rPr>
      </w:pPr>
      <w:r>
        <w:rPr>
          <w:i/>
          <w:iCs/>
        </w:rPr>
        <w:t>5</w:t>
      </w:r>
      <w:r w:rsidRPr="003903C0">
        <w:rPr>
          <w:i/>
          <w:iCs/>
          <w:vertAlign w:val="superscript"/>
        </w:rPr>
        <w:t>th</w:t>
      </w:r>
      <w:r>
        <w:rPr>
          <w:i/>
          <w:iCs/>
        </w:rPr>
        <w:t xml:space="preserve"> </w:t>
      </w:r>
      <w:r w:rsidR="00471A1E" w:rsidRPr="00FF0952">
        <w:rPr>
          <w:i/>
          <w:iCs/>
        </w:rPr>
        <w:t>plenary me</w:t>
      </w:r>
      <w:r w:rsidR="00471A1E">
        <w:rPr>
          <w:i/>
          <w:iCs/>
        </w:rPr>
        <w:t>e</w:t>
      </w:r>
      <w:r w:rsidR="00471A1E" w:rsidRPr="00FF0952">
        <w:rPr>
          <w:i/>
          <w:iCs/>
        </w:rPr>
        <w:t>ting</w:t>
      </w:r>
    </w:p>
    <w:p w14:paraId="3FB97E7C" w14:textId="57BF010D" w:rsidR="00471A1E" w:rsidRPr="00FF0952" w:rsidRDefault="00471A1E" w:rsidP="00181310">
      <w:pPr>
        <w:tabs>
          <w:tab w:val="left" w:pos="1701"/>
        </w:tabs>
        <w:spacing w:line="20" w:lineRule="atLeast"/>
        <w:ind w:left="1134" w:right="1133"/>
        <w:jc w:val="right"/>
        <w:rPr>
          <w:i/>
          <w:iCs/>
        </w:rPr>
      </w:pPr>
      <w:r w:rsidRPr="00FF0952">
        <w:rPr>
          <w:i/>
          <w:iCs/>
        </w:rPr>
        <w:t>1</w:t>
      </w:r>
      <w:r w:rsidR="003903C0">
        <w:rPr>
          <w:i/>
          <w:iCs/>
        </w:rPr>
        <w:t>1</w:t>
      </w:r>
      <w:r w:rsidRPr="00FF0952">
        <w:rPr>
          <w:i/>
          <w:iCs/>
        </w:rPr>
        <w:t xml:space="preserve"> December 2023</w:t>
      </w:r>
    </w:p>
    <w:p w14:paraId="6924E9DE" w14:textId="77777777" w:rsidR="00EF577D" w:rsidRDefault="00EF577D" w:rsidP="00181310">
      <w:pPr>
        <w:ind w:left="1134" w:right="1133"/>
        <w:jc w:val="right"/>
        <w:rPr>
          <w:lang w:val="ro-RO"/>
        </w:rPr>
        <w:sectPr w:rsidR="00EF577D" w:rsidSect="00AB0CD8">
          <w:headerReference w:type="even" r:id="rId46"/>
          <w:headerReference w:type="default" r:id="rId47"/>
          <w:footerReference w:type="even" r:id="rId48"/>
          <w:footerReference w:type="default" r:id="rId49"/>
          <w:footnotePr>
            <w:numRestart w:val="eachSect"/>
          </w:footnotePr>
          <w:pgSz w:w="11906" w:h="16838" w:code="9"/>
          <w:pgMar w:top="1417" w:right="1134" w:bottom="1134" w:left="1134" w:header="850" w:footer="567" w:gutter="0"/>
          <w:cols w:space="708"/>
          <w:docGrid w:linePitch="360"/>
        </w:sectPr>
      </w:pPr>
    </w:p>
    <w:p w14:paraId="3294A859" w14:textId="1BFEE4DF" w:rsidR="00CA73C3" w:rsidRDefault="00C86EAE" w:rsidP="0086098D">
      <w:pPr>
        <w:pStyle w:val="HChG"/>
        <w:spacing w:before="240"/>
      </w:pPr>
      <w:r>
        <w:lastRenderedPageBreak/>
        <w:tab/>
      </w:r>
      <w:r>
        <w:tab/>
      </w:r>
      <w:bookmarkStart w:id="56" w:name="_Toc161219965"/>
      <w:bookmarkStart w:id="57" w:name="Decision6"/>
      <w:r w:rsidR="00CA73C3" w:rsidRPr="00864D48">
        <w:t xml:space="preserve">Decision </w:t>
      </w:r>
      <w:r w:rsidR="00CA73C3">
        <w:t>6</w:t>
      </w:r>
      <w:r w:rsidR="00CA73C3" w:rsidRPr="00864D48">
        <w:t>/CMP.18</w:t>
      </w:r>
      <w:bookmarkEnd w:id="56"/>
    </w:p>
    <w:bookmarkEnd w:id="57"/>
    <w:p w14:paraId="0C0B3135" w14:textId="285DAC8C" w:rsidR="00CA73C3" w:rsidRPr="00626841" w:rsidRDefault="00CA73C3" w:rsidP="00C86EAE">
      <w:pPr>
        <w:pStyle w:val="HChG"/>
      </w:pPr>
      <w:r>
        <w:tab/>
      </w:r>
      <w:r w:rsidR="00C86EAE">
        <w:tab/>
      </w:r>
      <w:r w:rsidRPr="00973F19">
        <w:t>Budget for the international transaction log</w:t>
      </w:r>
    </w:p>
    <w:p w14:paraId="246B6DAF" w14:textId="1BECCFEF" w:rsidR="00CA73C3" w:rsidRPr="00181310" w:rsidRDefault="007E6827" w:rsidP="00A231AC">
      <w:pPr>
        <w:pStyle w:val="SingleTxtG"/>
        <w:ind w:firstLine="567"/>
        <w:rPr>
          <w:iCs/>
        </w:rPr>
      </w:pPr>
      <w:r>
        <w:rPr>
          <w:i/>
        </w:rPr>
        <w:tab/>
      </w:r>
      <w:r w:rsidR="00CA73C3" w:rsidRPr="002525DB">
        <w:rPr>
          <w:i/>
        </w:rPr>
        <w:t xml:space="preserve">The </w:t>
      </w:r>
      <w:r w:rsidR="00CA73C3" w:rsidRPr="00001347">
        <w:rPr>
          <w:i/>
          <w:iCs/>
        </w:rPr>
        <w:t>Conference</w:t>
      </w:r>
      <w:r w:rsidR="00CA73C3" w:rsidRPr="002525DB">
        <w:rPr>
          <w:i/>
        </w:rPr>
        <w:t xml:space="preserve"> of the Parties</w:t>
      </w:r>
      <w:r w:rsidR="00CA73C3" w:rsidRPr="00181310">
        <w:rPr>
          <w:i/>
          <w:iCs/>
        </w:rPr>
        <w:t xml:space="preserve"> </w:t>
      </w:r>
      <w:r w:rsidR="00CA73C3" w:rsidRPr="00A01F1A">
        <w:rPr>
          <w:i/>
          <w:iCs/>
        </w:rPr>
        <w:t>serving</w:t>
      </w:r>
      <w:r w:rsidR="00CA73C3" w:rsidRPr="00181310">
        <w:rPr>
          <w:i/>
          <w:iCs/>
        </w:rPr>
        <w:t xml:space="preserve"> </w:t>
      </w:r>
      <w:r w:rsidR="00CA73C3" w:rsidRPr="002525DB">
        <w:rPr>
          <w:i/>
        </w:rPr>
        <w:t>as the meeting of the Parties to the Kyoto Protocol</w:t>
      </w:r>
      <w:r w:rsidR="00CA73C3" w:rsidRPr="002525DB">
        <w:t>,</w:t>
      </w:r>
    </w:p>
    <w:p w14:paraId="485BAB97" w14:textId="0D817937" w:rsidR="00CA73C3" w:rsidRPr="002525DB" w:rsidRDefault="00CA73C3" w:rsidP="00250257">
      <w:pPr>
        <w:pStyle w:val="SingleTxtG"/>
        <w:ind w:firstLine="567"/>
      </w:pPr>
      <w:r>
        <w:rPr>
          <w:i/>
          <w:iCs/>
        </w:rPr>
        <w:tab/>
      </w:r>
      <w:r w:rsidRPr="002525DB">
        <w:rPr>
          <w:i/>
          <w:iCs/>
        </w:rPr>
        <w:t>Recalling</w:t>
      </w:r>
      <w:r w:rsidRPr="002525DB">
        <w:t xml:space="preserve"> Article 13, </w:t>
      </w:r>
      <w:r w:rsidRPr="00001347">
        <w:t>paragraph</w:t>
      </w:r>
      <w:r w:rsidRPr="002525DB">
        <w:t xml:space="preserve"> 5, of the Kyoto Protocol, </w:t>
      </w:r>
    </w:p>
    <w:p w14:paraId="7FD29199" w14:textId="26BAE226" w:rsidR="00CA73C3" w:rsidRPr="00181310" w:rsidRDefault="00CA73C3" w:rsidP="00250257">
      <w:pPr>
        <w:pStyle w:val="SingleTxtG"/>
        <w:ind w:firstLine="567"/>
      </w:pPr>
      <w:r>
        <w:rPr>
          <w:i/>
          <w:iCs/>
        </w:rPr>
        <w:tab/>
      </w:r>
      <w:r w:rsidRPr="002525DB">
        <w:rPr>
          <w:i/>
          <w:iCs/>
        </w:rPr>
        <w:t xml:space="preserve">Also recalling </w:t>
      </w:r>
      <w:r w:rsidRPr="002525DB">
        <w:t xml:space="preserve">decisions </w:t>
      </w:r>
      <w:r w:rsidRPr="00001347">
        <w:t>11</w:t>
      </w:r>
      <w:r w:rsidRPr="002525DB">
        <w:t>/CMP.3, 10/CMP.5, 9/CMP.6, 8/CMP.8, 8/CMP.11, 7/CMP.13 and 5/CMP.15,</w:t>
      </w:r>
    </w:p>
    <w:p w14:paraId="4C28A14D" w14:textId="2B212F57" w:rsidR="00CA73C3" w:rsidRPr="00181310" w:rsidRDefault="00CA73C3" w:rsidP="00250257">
      <w:pPr>
        <w:pStyle w:val="SingleTxtG"/>
        <w:ind w:firstLine="567"/>
      </w:pPr>
      <w:r>
        <w:rPr>
          <w:i/>
          <w:iCs/>
        </w:rPr>
        <w:tab/>
      </w:r>
      <w:r w:rsidRPr="002525DB">
        <w:rPr>
          <w:i/>
          <w:iCs/>
        </w:rPr>
        <w:t>Recognizing</w:t>
      </w:r>
      <w:r w:rsidRPr="002525DB">
        <w:t xml:space="preserve"> the importance of sufficient and stable funding for the international transaction log,</w:t>
      </w:r>
    </w:p>
    <w:p w14:paraId="4DC0F797" w14:textId="481E6577" w:rsidR="00CA73C3" w:rsidRPr="002525DB" w:rsidRDefault="00CA73C3" w:rsidP="00250257">
      <w:pPr>
        <w:pStyle w:val="SingleTxtG"/>
        <w:ind w:firstLine="567"/>
      </w:pPr>
      <w:r>
        <w:rPr>
          <w:i/>
          <w:iCs/>
        </w:rPr>
        <w:tab/>
      </w:r>
      <w:r w:rsidRPr="002525DB">
        <w:rPr>
          <w:i/>
          <w:iCs/>
        </w:rPr>
        <w:t xml:space="preserve">Also recognizing </w:t>
      </w:r>
      <w:r w:rsidRPr="002525DB">
        <w:t>the importance of the proper functioning of the international transaction log for the Parties listed in Annex B to the Kyoto Protocol, as contained in annex I to decision 1/CMP.8,</w:t>
      </w:r>
    </w:p>
    <w:p w14:paraId="7EE735EA" w14:textId="2B0C587C" w:rsidR="00CA73C3" w:rsidRPr="002525DB" w:rsidRDefault="00EA119B" w:rsidP="00EA119B">
      <w:pPr>
        <w:pStyle w:val="RegSingleTxtG"/>
        <w:ind w:left="1134"/>
        <w:rPr>
          <w:lang w:eastAsia="en-US"/>
        </w:rPr>
      </w:pPr>
      <w:r w:rsidRPr="002525DB">
        <w:rPr>
          <w:lang w:eastAsia="en-US"/>
        </w:rPr>
        <w:t>1.</w:t>
      </w:r>
      <w:r w:rsidRPr="002525DB">
        <w:rPr>
          <w:lang w:eastAsia="en-US"/>
        </w:rPr>
        <w:tab/>
      </w:r>
      <w:r w:rsidR="00CA73C3" w:rsidRPr="00F26675">
        <w:rPr>
          <w:i/>
          <w:iCs/>
          <w:lang w:eastAsia="en-US"/>
        </w:rPr>
        <w:t>Approves</w:t>
      </w:r>
      <w:r w:rsidR="00CA73C3" w:rsidRPr="002525DB">
        <w:rPr>
          <w:lang w:eastAsia="en-US"/>
        </w:rPr>
        <w:t xml:space="preserve"> the budget for the international transaction log for the biennium 202</w:t>
      </w:r>
      <w:r w:rsidR="00CA73C3">
        <w:rPr>
          <w:lang w:eastAsia="en-US"/>
        </w:rPr>
        <w:t>4</w:t>
      </w:r>
      <w:r w:rsidR="00CA73C3" w:rsidRPr="002525DB">
        <w:rPr>
          <w:lang w:eastAsia="en-US"/>
        </w:rPr>
        <w:t>–202</w:t>
      </w:r>
      <w:r w:rsidR="00CA73C3">
        <w:rPr>
          <w:lang w:eastAsia="en-US"/>
        </w:rPr>
        <w:t>5</w:t>
      </w:r>
      <w:r w:rsidR="00CA73C3" w:rsidRPr="002525DB">
        <w:rPr>
          <w:lang w:eastAsia="en-US"/>
        </w:rPr>
        <w:t>, amounting to EUR 3,</w:t>
      </w:r>
      <w:r w:rsidR="00CA73C3">
        <w:rPr>
          <w:lang w:eastAsia="en-US"/>
        </w:rPr>
        <w:t>321</w:t>
      </w:r>
      <w:r w:rsidR="00CA73C3" w:rsidRPr="002525DB">
        <w:rPr>
          <w:lang w:eastAsia="en-US"/>
        </w:rPr>
        <w:t>,</w:t>
      </w:r>
      <w:r w:rsidR="00CA73C3">
        <w:rPr>
          <w:lang w:eastAsia="en-US"/>
        </w:rPr>
        <w:t>311,</w:t>
      </w:r>
      <w:r w:rsidR="00CA73C3" w:rsidRPr="002525DB">
        <w:rPr>
          <w:lang w:eastAsia="en-US"/>
        </w:rPr>
        <w:t xml:space="preserve"> for the purposes specified in the proposed </w:t>
      </w:r>
      <w:bookmarkStart w:id="58" w:name="_Int_po35jZVQ"/>
      <w:r w:rsidR="00CA73C3" w:rsidRPr="002525DB">
        <w:rPr>
          <w:lang w:eastAsia="en-US"/>
        </w:rPr>
        <w:t>budget;</w:t>
      </w:r>
      <w:r w:rsidR="00CA73C3" w:rsidRPr="002525DB">
        <w:rPr>
          <w:rStyle w:val="FootnoteReference"/>
          <w:lang w:eastAsia="en-US"/>
        </w:rPr>
        <w:footnoteReference w:id="38"/>
      </w:r>
      <w:bookmarkEnd w:id="58"/>
      <w:r w:rsidR="00CA73C3" w:rsidRPr="002525DB">
        <w:rPr>
          <w:lang w:eastAsia="en-US"/>
        </w:rPr>
        <w:t xml:space="preserve"> </w:t>
      </w:r>
    </w:p>
    <w:p w14:paraId="070C5EF4" w14:textId="71C198B5" w:rsidR="00CA73C3" w:rsidRPr="002525DB" w:rsidRDefault="00EA119B" w:rsidP="00EA119B">
      <w:pPr>
        <w:pStyle w:val="RegSingleTxtG"/>
        <w:ind w:left="1134"/>
        <w:rPr>
          <w:lang w:eastAsia="en-US"/>
        </w:rPr>
      </w:pPr>
      <w:r w:rsidRPr="002525DB">
        <w:rPr>
          <w:lang w:eastAsia="en-US"/>
        </w:rPr>
        <w:t>2.</w:t>
      </w:r>
      <w:r w:rsidRPr="002525DB">
        <w:rPr>
          <w:lang w:eastAsia="en-US"/>
        </w:rPr>
        <w:tab/>
      </w:r>
      <w:r w:rsidR="00CA73C3" w:rsidRPr="002525DB">
        <w:rPr>
          <w:i/>
          <w:iCs/>
          <w:lang w:eastAsia="en-US"/>
        </w:rPr>
        <w:t xml:space="preserve">Decides </w:t>
      </w:r>
      <w:r w:rsidR="00CA73C3" w:rsidRPr="002525DB">
        <w:rPr>
          <w:lang w:eastAsia="en-US"/>
        </w:rPr>
        <w:t>to maintain the level of the working capital reserve at 8.3 per cent of the estimated expenditure for the Trust Fund for the International Transaction Log;</w:t>
      </w:r>
    </w:p>
    <w:p w14:paraId="00A35D62" w14:textId="65B47AF9" w:rsidR="00CA73C3" w:rsidRPr="002525DB" w:rsidRDefault="00EA119B" w:rsidP="00EA119B">
      <w:pPr>
        <w:pStyle w:val="RegSingleTxtG"/>
        <w:ind w:left="1134"/>
        <w:rPr>
          <w:lang w:eastAsia="en-US"/>
        </w:rPr>
      </w:pPr>
      <w:bookmarkStart w:id="59" w:name="_Ref155726000"/>
      <w:r w:rsidRPr="002525DB">
        <w:rPr>
          <w:lang w:eastAsia="en-US"/>
        </w:rPr>
        <w:t>3.</w:t>
      </w:r>
      <w:r w:rsidRPr="002525DB">
        <w:rPr>
          <w:lang w:eastAsia="en-US"/>
        </w:rPr>
        <w:tab/>
      </w:r>
      <w:r w:rsidR="00CA73C3" w:rsidRPr="002525DB">
        <w:rPr>
          <w:i/>
          <w:iCs/>
          <w:lang w:eastAsia="en-US"/>
        </w:rPr>
        <w:t xml:space="preserve">Authorizes </w:t>
      </w:r>
      <w:r w:rsidR="00CA73C3" w:rsidRPr="002525DB">
        <w:rPr>
          <w:lang w:eastAsia="en-US"/>
        </w:rPr>
        <w:t xml:space="preserve">the Executive Secretary to draw EUR </w:t>
      </w:r>
      <w:r w:rsidR="00CA73C3">
        <w:rPr>
          <w:lang w:eastAsia="en-US"/>
        </w:rPr>
        <w:t>3,321,311</w:t>
      </w:r>
      <w:r w:rsidR="00CA73C3" w:rsidRPr="002525DB">
        <w:rPr>
          <w:lang w:eastAsia="en-US"/>
        </w:rPr>
        <w:t xml:space="preserve"> from unspent balances of the Trust Fund for the International Transaction Log from previous financial periods </w:t>
      </w:r>
      <w:r w:rsidR="00CA73C3">
        <w:t xml:space="preserve">to cover the budget for the biennium </w:t>
      </w:r>
      <w:r w:rsidR="00CA73C3" w:rsidRPr="002525DB">
        <w:rPr>
          <w:lang w:eastAsia="en-US"/>
        </w:rPr>
        <w:t>202</w:t>
      </w:r>
      <w:r w:rsidR="00CA73C3">
        <w:rPr>
          <w:lang w:eastAsia="en-US"/>
        </w:rPr>
        <w:t>4</w:t>
      </w:r>
      <w:r w:rsidR="00CA73C3" w:rsidRPr="002525DB">
        <w:rPr>
          <w:lang w:eastAsia="en-US"/>
        </w:rPr>
        <w:t>–202</w:t>
      </w:r>
      <w:r w:rsidR="00CA73C3">
        <w:rPr>
          <w:lang w:eastAsia="en-US"/>
        </w:rPr>
        <w:t>5</w:t>
      </w:r>
      <w:r w:rsidR="00CA73C3" w:rsidRPr="002525DB">
        <w:rPr>
          <w:lang w:eastAsia="en-US"/>
        </w:rPr>
        <w:t>;</w:t>
      </w:r>
      <w:bookmarkEnd w:id="59"/>
    </w:p>
    <w:p w14:paraId="1642288F" w14:textId="24DDA29F" w:rsidR="00CA73C3" w:rsidRPr="002525DB" w:rsidRDefault="00EA119B" w:rsidP="00EA119B">
      <w:pPr>
        <w:pStyle w:val="RegSingleTxtG"/>
        <w:ind w:left="1134"/>
        <w:rPr>
          <w:lang w:eastAsia="en-US"/>
        </w:rPr>
      </w:pPr>
      <w:r w:rsidRPr="002525DB">
        <w:rPr>
          <w:lang w:eastAsia="en-US"/>
        </w:rPr>
        <w:t>4.</w:t>
      </w:r>
      <w:r w:rsidRPr="002525DB">
        <w:rPr>
          <w:lang w:eastAsia="en-US"/>
        </w:rPr>
        <w:tab/>
      </w:r>
      <w:r w:rsidR="00CA73C3">
        <w:rPr>
          <w:i/>
          <w:iCs/>
        </w:rPr>
        <w:t xml:space="preserve">Notes </w:t>
      </w:r>
      <w:r w:rsidR="00CA73C3">
        <w:t xml:space="preserve">that, following the action referred to in paragraph </w:t>
      </w:r>
      <w:r w:rsidR="00A51411">
        <w:rPr>
          <w:cs/>
        </w:rPr>
        <w:t>‎</w:t>
      </w:r>
      <w:r w:rsidR="00A51411">
        <w:t>3 above</w:t>
      </w:r>
      <w:r w:rsidR="00CA73C3">
        <w:t xml:space="preserve">, Parties connected to the </w:t>
      </w:r>
      <w:r w:rsidR="00CA73C3">
        <w:rPr>
          <w:lang w:eastAsia="en-US"/>
        </w:rPr>
        <w:t>i</w:t>
      </w:r>
      <w:r w:rsidR="00CA73C3" w:rsidRPr="52075873">
        <w:rPr>
          <w:lang w:eastAsia="en-US"/>
        </w:rPr>
        <w:t xml:space="preserve">nternational </w:t>
      </w:r>
      <w:r w:rsidR="00CA73C3">
        <w:rPr>
          <w:lang w:eastAsia="en-US"/>
        </w:rPr>
        <w:t>t</w:t>
      </w:r>
      <w:r w:rsidR="00CA73C3" w:rsidRPr="52075873">
        <w:rPr>
          <w:lang w:eastAsia="en-US"/>
        </w:rPr>
        <w:t xml:space="preserve">ransaction </w:t>
      </w:r>
      <w:r w:rsidR="00CA73C3">
        <w:rPr>
          <w:lang w:eastAsia="en-US"/>
        </w:rPr>
        <w:t>l</w:t>
      </w:r>
      <w:r w:rsidR="00CA73C3" w:rsidRPr="52075873">
        <w:rPr>
          <w:lang w:eastAsia="en-US"/>
        </w:rPr>
        <w:t>og</w:t>
      </w:r>
      <w:r w:rsidR="00CA73C3">
        <w:t xml:space="preserve"> will not pay user fees in the biennium 2024–2025</w:t>
      </w:r>
      <w:r w:rsidR="00CA73C3" w:rsidRPr="52075873">
        <w:rPr>
          <w:lang w:eastAsia="en-US"/>
        </w:rPr>
        <w:t>;</w:t>
      </w:r>
    </w:p>
    <w:p w14:paraId="031AB305" w14:textId="30075892" w:rsidR="00CA73C3" w:rsidRPr="002525DB" w:rsidRDefault="00EA119B" w:rsidP="00EA119B">
      <w:pPr>
        <w:pStyle w:val="RegSingleTxtG"/>
        <w:ind w:left="1134"/>
        <w:rPr>
          <w:lang w:eastAsia="en-US"/>
        </w:rPr>
      </w:pPr>
      <w:r w:rsidRPr="002525DB">
        <w:rPr>
          <w:lang w:eastAsia="en-US"/>
        </w:rPr>
        <w:t>5.</w:t>
      </w:r>
      <w:r w:rsidRPr="002525DB">
        <w:rPr>
          <w:lang w:eastAsia="en-US"/>
        </w:rPr>
        <w:tab/>
      </w:r>
      <w:r w:rsidR="00CA73C3">
        <w:rPr>
          <w:i/>
          <w:iCs/>
          <w:lang w:eastAsia="en-US"/>
        </w:rPr>
        <w:t>Also n</w:t>
      </w:r>
      <w:r w:rsidR="00CA73C3" w:rsidRPr="52075873">
        <w:rPr>
          <w:i/>
          <w:iCs/>
          <w:lang w:eastAsia="en-US"/>
        </w:rPr>
        <w:t>otes</w:t>
      </w:r>
      <w:r w:rsidR="00CA73C3" w:rsidRPr="52075873">
        <w:rPr>
          <w:lang w:eastAsia="en-US"/>
        </w:rPr>
        <w:t xml:space="preserve"> that any unspent balances of the Trust Fund for the International Transaction Log from previous financial periods remaining after the action referred to in paragraph </w:t>
      </w:r>
      <w:r w:rsidR="00A51411">
        <w:rPr>
          <w:cs/>
          <w:lang w:eastAsia="en-US"/>
        </w:rPr>
        <w:t>‎</w:t>
      </w:r>
      <w:r w:rsidR="00A51411">
        <w:rPr>
          <w:lang w:eastAsia="en-US"/>
        </w:rPr>
        <w:t>3 above</w:t>
      </w:r>
      <w:r w:rsidR="00CA73C3" w:rsidRPr="52075873">
        <w:rPr>
          <w:lang w:eastAsia="en-US"/>
        </w:rPr>
        <w:t xml:space="preserve"> could be used to partially or entirely cover the budget for the international transaction log for future bienniums;</w:t>
      </w:r>
    </w:p>
    <w:p w14:paraId="32528738" w14:textId="00CC1326" w:rsidR="00CA73C3" w:rsidRPr="002525DB" w:rsidRDefault="00EA119B" w:rsidP="00EA119B">
      <w:pPr>
        <w:pStyle w:val="RegSingleTxtG"/>
        <w:ind w:left="1134"/>
        <w:rPr>
          <w:lang w:eastAsia="en-US"/>
        </w:rPr>
      </w:pPr>
      <w:r w:rsidRPr="002525DB">
        <w:rPr>
          <w:lang w:eastAsia="en-US"/>
        </w:rPr>
        <w:t>6.</w:t>
      </w:r>
      <w:r w:rsidRPr="002525DB">
        <w:rPr>
          <w:lang w:eastAsia="en-US"/>
        </w:rPr>
        <w:tab/>
      </w:r>
      <w:r w:rsidR="00CA73C3" w:rsidRPr="002525DB">
        <w:rPr>
          <w:i/>
          <w:iCs/>
          <w:lang w:eastAsia="en-US"/>
        </w:rPr>
        <w:t>Requests</w:t>
      </w:r>
      <w:r w:rsidR="00CA73C3" w:rsidRPr="002525DB">
        <w:rPr>
          <w:lang w:eastAsia="en-US"/>
        </w:rPr>
        <w:t xml:space="preserve"> the administrator of the international transaction log to disclose in its annual reports the unspent balance of the Trust Fund for the International Transaction Log from the previous biennium as at the time of publication of the annual report;</w:t>
      </w:r>
    </w:p>
    <w:p w14:paraId="231A3A9D" w14:textId="1BC21C80" w:rsidR="00CA73C3" w:rsidRPr="002525DB" w:rsidRDefault="00EA119B" w:rsidP="00EA119B">
      <w:pPr>
        <w:pStyle w:val="RegSingleTxtG"/>
        <w:ind w:left="1134"/>
        <w:rPr>
          <w:lang w:eastAsia="en-US"/>
        </w:rPr>
      </w:pPr>
      <w:r w:rsidRPr="002525DB">
        <w:rPr>
          <w:lang w:eastAsia="en-US"/>
        </w:rPr>
        <w:t>7.</w:t>
      </w:r>
      <w:r w:rsidRPr="002525DB">
        <w:rPr>
          <w:lang w:eastAsia="en-US"/>
        </w:rPr>
        <w:tab/>
      </w:r>
      <w:r w:rsidR="00CA73C3">
        <w:rPr>
          <w:i/>
          <w:iCs/>
          <w:lang w:eastAsia="en-US"/>
        </w:rPr>
        <w:t>Also r</w:t>
      </w:r>
      <w:r w:rsidR="00CA73C3" w:rsidRPr="002525DB">
        <w:rPr>
          <w:i/>
          <w:iCs/>
          <w:lang w:eastAsia="en-US"/>
        </w:rPr>
        <w:t xml:space="preserve">equests </w:t>
      </w:r>
      <w:r w:rsidR="00CA73C3" w:rsidRPr="002525DB">
        <w:rPr>
          <w:lang w:eastAsia="en-US"/>
        </w:rPr>
        <w:t>the international transaction log administrator to provide, in its annual reports for 202</w:t>
      </w:r>
      <w:r w:rsidR="00CA73C3">
        <w:rPr>
          <w:lang w:eastAsia="en-US"/>
        </w:rPr>
        <w:t>4</w:t>
      </w:r>
      <w:r w:rsidR="00CA73C3" w:rsidRPr="002525DB">
        <w:rPr>
          <w:lang w:eastAsia="en-US"/>
        </w:rPr>
        <w:t xml:space="preserve"> and 202</w:t>
      </w:r>
      <w:r w:rsidR="00CA73C3">
        <w:rPr>
          <w:lang w:eastAsia="en-US"/>
        </w:rPr>
        <w:t>5</w:t>
      </w:r>
      <w:r w:rsidR="00CA73C3" w:rsidRPr="002525DB">
        <w:rPr>
          <w:lang w:eastAsia="en-US"/>
        </w:rPr>
        <w:t>, information on transactions of Kyoto Protocol units;</w:t>
      </w:r>
    </w:p>
    <w:p w14:paraId="404761E7" w14:textId="28D558F3" w:rsidR="00CA73C3" w:rsidRPr="00504431" w:rsidRDefault="00EA119B" w:rsidP="00EA119B">
      <w:pPr>
        <w:pStyle w:val="RegSingleTxtG"/>
        <w:ind w:left="1134"/>
      </w:pPr>
      <w:r w:rsidRPr="00504431">
        <w:t>8.</w:t>
      </w:r>
      <w:r w:rsidRPr="00504431">
        <w:tab/>
      </w:r>
      <w:r w:rsidR="00CA73C3">
        <w:rPr>
          <w:i/>
          <w:iCs/>
          <w:lang w:eastAsia="en-US"/>
        </w:rPr>
        <w:t>Further</w:t>
      </w:r>
      <w:r w:rsidR="00CA73C3" w:rsidRPr="00504431">
        <w:rPr>
          <w:i/>
          <w:iCs/>
          <w:lang w:eastAsia="en-US"/>
        </w:rPr>
        <w:t xml:space="preserve"> requests</w:t>
      </w:r>
      <w:r w:rsidR="00CA73C3" w:rsidRPr="00504431">
        <w:rPr>
          <w:lang w:eastAsia="en-US"/>
        </w:rPr>
        <w:t xml:space="preserve"> the international transaction log administrator to </w:t>
      </w:r>
      <w:r w:rsidR="00CA73C3">
        <w:rPr>
          <w:lang w:eastAsia="en-US"/>
        </w:rPr>
        <w:t>include</w:t>
      </w:r>
      <w:r w:rsidR="00CA73C3" w:rsidRPr="00504431">
        <w:rPr>
          <w:lang w:eastAsia="en-US"/>
        </w:rPr>
        <w:t>, in its</w:t>
      </w:r>
      <w:r w:rsidR="00CA73C3">
        <w:rPr>
          <w:lang w:eastAsia="en-US"/>
        </w:rPr>
        <w:t xml:space="preserve"> future</w:t>
      </w:r>
      <w:r w:rsidR="00CA73C3" w:rsidRPr="00504431">
        <w:rPr>
          <w:lang w:eastAsia="en-US"/>
        </w:rPr>
        <w:t xml:space="preserve"> annual reports, a table </w:t>
      </w:r>
      <w:r w:rsidR="00CA73C3">
        <w:rPr>
          <w:lang w:eastAsia="en-US"/>
        </w:rPr>
        <w:t>presenting</w:t>
      </w:r>
      <w:r w:rsidR="00CA73C3" w:rsidRPr="00504431">
        <w:rPr>
          <w:lang w:eastAsia="en-US"/>
        </w:rPr>
        <w:t xml:space="preserve"> the status of </w:t>
      </w:r>
      <w:r w:rsidR="00CA73C3">
        <w:rPr>
          <w:lang w:eastAsia="en-US"/>
        </w:rPr>
        <w:t xml:space="preserve">outstanding </w:t>
      </w:r>
      <w:r w:rsidR="00CA73C3" w:rsidRPr="00504431">
        <w:rPr>
          <w:lang w:eastAsia="en-US"/>
        </w:rPr>
        <w:t>payments.</w:t>
      </w:r>
      <w:r w:rsidR="00CA73C3" w:rsidRPr="00504431">
        <w:t xml:space="preserve"> </w:t>
      </w:r>
    </w:p>
    <w:p w14:paraId="5C5774D6" w14:textId="3DE2F33A" w:rsidR="00471A1E" w:rsidRPr="00FF0952" w:rsidRDefault="003903C0" w:rsidP="00181310">
      <w:pPr>
        <w:tabs>
          <w:tab w:val="left" w:pos="1701"/>
        </w:tabs>
        <w:spacing w:line="20" w:lineRule="atLeast"/>
        <w:ind w:left="1134" w:right="1134"/>
        <w:jc w:val="right"/>
        <w:rPr>
          <w:i/>
          <w:iCs/>
        </w:rPr>
      </w:pPr>
      <w:r>
        <w:rPr>
          <w:i/>
          <w:iCs/>
        </w:rPr>
        <w:t>5</w:t>
      </w:r>
      <w:r w:rsidRPr="003903C0">
        <w:rPr>
          <w:i/>
          <w:iCs/>
          <w:vertAlign w:val="superscript"/>
        </w:rPr>
        <w:t>th</w:t>
      </w:r>
      <w:r>
        <w:rPr>
          <w:i/>
          <w:iCs/>
        </w:rPr>
        <w:t xml:space="preserve"> </w:t>
      </w:r>
      <w:r w:rsidR="00471A1E" w:rsidRPr="00FF0952">
        <w:rPr>
          <w:i/>
          <w:iCs/>
        </w:rPr>
        <w:t>plenary me</w:t>
      </w:r>
      <w:r w:rsidR="00471A1E">
        <w:rPr>
          <w:i/>
          <w:iCs/>
        </w:rPr>
        <w:t>e</w:t>
      </w:r>
      <w:r w:rsidR="00471A1E" w:rsidRPr="00FF0952">
        <w:rPr>
          <w:i/>
          <w:iCs/>
        </w:rPr>
        <w:t>ting</w:t>
      </w:r>
    </w:p>
    <w:p w14:paraId="3AAFAED8" w14:textId="77777777" w:rsidR="002C61FB" w:rsidRDefault="00471A1E">
      <w:pPr>
        <w:tabs>
          <w:tab w:val="left" w:pos="1701"/>
        </w:tabs>
        <w:spacing w:line="20" w:lineRule="atLeast"/>
        <w:ind w:left="1134" w:right="1134"/>
        <w:jc w:val="right"/>
        <w:rPr>
          <w:i/>
          <w:iCs/>
        </w:rPr>
        <w:sectPr w:rsidR="002C61FB" w:rsidSect="00AB0CD8">
          <w:headerReference w:type="even" r:id="rId50"/>
          <w:headerReference w:type="default" r:id="rId51"/>
          <w:footerReference w:type="even" r:id="rId52"/>
          <w:footerReference w:type="default" r:id="rId53"/>
          <w:footnotePr>
            <w:numRestart w:val="eachSect"/>
          </w:footnotePr>
          <w:pgSz w:w="11906" w:h="16838" w:code="9"/>
          <w:pgMar w:top="1417" w:right="1134" w:bottom="1134" w:left="1134" w:header="850" w:footer="567" w:gutter="0"/>
          <w:cols w:space="708"/>
          <w:docGrid w:linePitch="360"/>
        </w:sectPr>
      </w:pPr>
      <w:r w:rsidRPr="00FF0952">
        <w:rPr>
          <w:i/>
          <w:iCs/>
        </w:rPr>
        <w:t>1</w:t>
      </w:r>
      <w:r w:rsidR="003903C0">
        <w:rPr>
          <w:i/>
          <w:iCs/>
        </w:rPr>
        <w:t>1</w:t>
      </w:r>
      <w:r w:rsidRPr="00FF0952">
        <w:rPr>
          <w:i/>
          <w:iCs/>
        </w:rPr>
        <w:t xml:space="preserve"> December 2023</w:t>
      </w:r>
    </w:p>
    <w:p w14:paraId="222A296F" w14:textId="183E907D" w:rsidR="00471A1E" w:rsidRPr="00FF0952" w:rsidRDefault="00471A1E" w:rsidP="00181310">
      <w:pPr>
        <w:tabs>
          <w:tab w:val="left" w:pos="1701"/>
        </w:tabs>
        <w:spacing w:line="20" w:lineRule="atLeast"/>
        <w:ind w:left="1134" w:right="1134"/>
        <w:jc w:val="right"/>
        <w:rPr>
          <w:i/>
          <w:iCs/>
        </w:rPr>
      </w:pPr>
    </w:p>
    <w:p w14:paraId="7100BBD3" w14:textId="38DEAA82" w:rsidR="007E6827" w:rsidRDefault="00C86EAE" w:rsidP="00C73131">
      <w:pPr>
        <w:pStyle w:val="HChG"/>
        <w:spacing w:before="240"/>
      </w:pPr>
      <w:r>
        <w:tab/>
      </w:r>
      <w:r>
        <w:tab/>
      </w:r>
      <w:bookmarkStart w:id="60" w:name="_Toc161219966"/>
      <w:bookmarkStart w:id="61" w:name="Decision7"/>
      <w:r w:rsidR="007E6827" w:rsidRPr="00D7747F">
        <w:t xml:space="preserve">Decision </w:t>
      </w:r>
      <w:r w:rsidR="007E6827">
        <w:t>7</w:t>
      </w:r>
      <w:r w:rsidR="007E6827" w:rsidRPr="00D7747F">
        <w:t>/CMP.18</w:t>
      </w:r>
      <w:bookmarkEnd w:id="60"/>
    </w:p>
    <w:bookmarkEnd w:id="61"/>
    <w:p w14:paraId="44328264" w14:textId="795D31BD" w:rsidR="007E6827" w:rsidRPr="003E51E4" w:rsidRDefault="00C86EAE" w:rsidP="00C86EAE">
      <w:pPr>
        <w:pStyle w:val="HChG"/>
      </w:pPr>
      <w:r>
        <w:tab/>
      </w:r>
      <w:r>
        <w:tab/>
      </w:r>
      <w:r w:rsidR="007E6827" w:rsidRPr="00051A6E">
        <w:t>Administrative, financial and institutional matters</w:t>
      </w:r>
    </w:p>
    <w:p w14:paraId="60C1102A" w14:textId="3BA84604" w:rsidR="007E6827" w:rsidRPr="00181310" w:rsidRDefault="0098428E" w:rsidP="001C2436">
      <w:pPr>
        <w:pStyle w:val="SingleTxtG"/>
        <w:ind w:firstLine="567"/>
        <w:rPr>
          <w:iCs/>
        </w:rPr>
      </w:pPr>
      <w:r>
        <w:rPr>
          <w:i/>
        </w:rPr>
        <w:tab/>
      </w:r>
      <w:r w:rsidR="007E6827" w:rsidRPr="003E51E4">
        <w:rPr>
          <w:i/>
        </w:rPr>
        <w:t>The Conference of the Parties serving as the meeting of the Parties to the Kyoto Protocol</w:t>
      </w:r>
      <w:r w:rsidR="007E6827" w:rsidRPr="003E51E4">
        <w:t>,</w:t>
      </w:r>
    </w:p>
    <w:p w14:paraId="6996134A" w14:textId="5AF6A9C0" w:rsidR="007E6827" w:rsidRPr="003E51E4" w:rsidRDefault="0098428E" w:rsidP="008B7BBA">
      <w:pPr>
        <w:pStyle w:val="SingleTxtG"/>
        <w:ind w:firstLine="567"/>
      </w:pPr>
      <w:r>
        <w:rPr>
          <w:i/>
        </w:rPr>
        <w:tab/>
      </w:r>
      <w:r w:rsidR="007E6827" w:rsidRPr="003E51E4">
        <w:rPr>
          <w:i/>
        </w:rPr>
        <w:t xml:space="preserve">Recalling </w:t>
      </w:r>
      <w:r w:rsidR="007E6827" w:rsidRPr="003E51E4">
        <w:t>Article 13, paragraph 5, of the Kyoto Protocol,</w:t>
      </w:r>
    </w:p>
    <w:p w14:paraId="3D6EFDA3" w14:textId="688638FA" w:rsidR="007E6827" w:rsidRPr="003E51E4" w:rsidRDefault="0098428E" w:rsidP="008B7BBA">
      <w:pPr>
        <w:pStyle w:val="SingleTxtG"/>
        <w:ind w:firstLine="567"/>
      </w:pPr>
      <w:r>
        <w:rPr>
          <w:i/>
          <w:iCs/>
        </w:rPr>
        <w:tab/>
      </w:r>
      <w:r w:rsidR="007E6827" w:rsidRPr="003E51E4">
        <w:rPr>
          <w:i/>
          <w:iCs/>
        </w:rPr>
        <w:t>Also recalling</w:t>
      </w:r>
      <w:r w:rsidR="007E6827" w:rsidRPr="003E51E4">
        <w:t xml:space="preserve"> the </w:t>
      </w:r>
      <w:r w:rsidR="00D57AE9">
        <w:t>UNFCCC</w:t>
      </w:r>
      <w:r w:rsidR="007E6827" w:rsidRPr="003E51E4">
        <w:t xml:space="preserve"> financial procedures,</w:t>
      </w:r>
      <w:r w:rsidR="007E6827" w:rsidRPr="003E51E4">
        <w:rPr>
          <w:sz w:val="18"/>
          <w:vertAlign w:val="superscript"/>
        </w:rPr>
        <w:footnoteReference w:id="39"/>
      </w:r>
      <w:r w:rsidR="007E6827" w:rsidRPr="003E51E4">
        <w:t xml:space="preserve"> which also apply to the Kyoto Protocol,</w:t>
      </w:r>
    </w:p>
    <w:p w14:paraId="66052470" w14:textId="03CA7785" w:rsidR="007E6827" w:rsidRPr="003E51E4" w:rsidRDefault="0098428E" w:rsidP="008B7BBA">
      <w:pPr>
        <w:pStyle w:val="SingleTxtG"/>
        <w:ind w:firstLine="567"/>
      </w:pPr>
      <w:r>
        <w:rPr>
          <w:i/>
        </w:rPr>
        <w:tab/>
      </w:r>
      <w:r w:rsidR="007E6827" w:rsidRPr="003E51E4">
        <w:rPr>
          <w:i/>
        </w:rPr>
        <w:t>Taking note</w:t>
      </w:r>
      <w:r w:rsidR="007E6827" w:rsidRPr="003E51E4">
        <w:t xml:space="preserve"> of decision </w:t>
      </w:r>
      <w:r w:rsidR="00902582">
        <w:t>1</w:t>
      </w:r>
      <w:r w:rsidR="00353EF5">
        <w:t>8</w:t>
      </w:r>
      <w:r w:rsidR="007E6827" w:rsidRPr="003E51E4">
        <w:t>/CP.28,</w:t>
      </w:r>
    </w:p>
    <w:p w14:paraId="6E53CECD" w14:textId="56023150" w:rsidR="007E6827" w:rsidRPr="003E51E4" w:rsidRDefault="0098428E" w:rsidP="008B7BBA">
      <w:pPr>
        <w:pStyle w:val="SingleTxtG"/>
        <w:ind w:firstLine="567"/>
      </w:pPr>
      <w:r>
        <w:rPr>
          <w:i/>
        </w:rPr>
        <w:tab/>
      </w:r>
      <w:r w:rsidR="007E6827" w:rsidRPr="003E51E4">
        <w:rPr>
          <w:i/>
        </w:rPr>
        <w:t xml:space="preserve">Having considered </w:t>
      </w:r>
      <w:r w:rsidR="007E6827" w:rsidRPr="003E51E4">
        <w:t>the information contained in the documents on administrative, financial and institutional matters prepared by the secretariat,</w:t>
      </w:r>
      <w:r w:rsidR="007E6827" w:rsidRPr="003E51E4">
        <w:rPr>
          <w:sz w:val="18"/>
          <w:vertAlign w:val="superscript"/>
        </w:rPr>
        <w:footnoteReference w:id="40"/>
      </w:r>
    </w:p>
    <w:p w14:paraId="203180D1" w14:textId="53E4A277" w:rsidR="007E6827" w:rsidRPr="00D13785" w:rsidRDefault="00EA119B" w:rsidP="00EA119B">
      <w:pPr>
        <w:pStyle w:val="RegHChG"/>
        <w:tabs>
          <w:tab w:val="left" w:pos="1135"/>
        </w:tabs>
        <w:ind w:left="1135" w:hanging="454"/>
      </w:pPr>
      <w:bookmarkStart w:id="62" w:name="_Toc161219967"/>
      <w:r w:rsidRPr="00D13785">
        <w:t>I.</w:t>
      </w:r>
      <w:r w:rsidRPr="00D13785">
        <w:tab/>
      </w:r>
      <w:r w:rsidR="007E6827" w:rsidRPr="00D13785">
        <w:t>Audit report and financial statements for 2022</w:t>
      </w:r>
      <w:bookmarkEnd w:id="62"/>
    </w:p>
    <w:p w14:paraId="26278C99" w14:textId="19EDD3D7" w:rsidR="007E6827" w:rsidRPr="003E51E4" w:rsidRDefault="00EA119B" w:rsidP="00EA119B">
      <w:pPr>
        <w:pStyle w:val="RegSingleTxtG"/>
        <w:ind w:left="1134"/>
        <w:rPr>
          <w:rFonts w:eastAsia="Times New Roman"/>
          <w:lang w:eastAsia="en-US"/>
        </w:rPr>
      </w:pPr>
      <w:r w:rsidRPr="003E51E4">
        <w:rPr>
          <w:rFonts w:eastAsia="Times New Roman"/>
          <w:lang w:eastAsia="en-US"/>
        </w:rPr>
        <w:t>1.</w:t>
      </w:r>
      <w:r w:rsidRPr="003E51E4">
        <w:rPr>
          <w:rFonts w:eastAsia="Times New Roman"/>
          <w:lang w:eastAsia="en-US"/>
        </w:rPr>
        <w:tab/>
      </w:r>
      <w:r w:rsidR="007E6827" w:rsidRPr="003E51E4">
        <w:rPr>
          <w:rFonts w:eastAsia="Times New Roman"/>
          <w:i/>
          <w:lang w:eastAsia="en-US"/>
        </w:rPr>
        <w:t>Takes note</w:t>
      </w:r>
      <w:r w:rsidR="007E6827" w:rsidRPr="003E51E4">
        <w:rPr>
          <w:rFonts w:eastAsia="Times New Roman"/>
          <w:lang w:eastAsia="en-US"/>
        </w:rPr>
        <w:t xml:space="preserve"> of the financial report and audited financial statements for 2022 and the report of the United Nations Board of Auditors, which include recommendations</w:t>
      </w:r>
      <w:r w:rsidR="007E6827">
        <w:rPr>
          <w:rFonts w:eastAsia="Times New Roman"/>
          <w:lang w:eastAsia="en-US"/>
        </w:rPr>
        <w:t>,</w:t>
      </w:r>
      <w:r w:rsidR="007E6827">
        <w:rPr>
          <w:rStyle w:val="FootnoteReference"/>
          <w:rFonts w:eastAsia="Times New Roman"/>
          <w:lang w:eastAsia="en-US"/>
        </w:rPr>
        <w:footnoteReference w:id="41"/>
      </w:r>
      <w:r w:rsidR="007E6827" w:rsidRPr="003E51E4">
        <w:rPr>
          <w:rFonts w:eastAsia="Times New Roman"/>
          <w:lang w:eastAsia="en-US"/>
        </w:rPr>
        <w:t xml:space="preserve"> and the comments of the secretariat thereon</w:t>
      </w:r>
      <w:r w:rsidR="007E6827">
        <w:rPr>
          <w:rFonts w:eastAsia="Times New Roman"/>
          <w:lang w:eastAsia="en-US"/>
        </w:rPr>
        <w:t>;</w:t>
      </w:r>
      <w:r w:rsidR="007E6827">
        <w:rPr>
          <w:rStyle w:val="FootnoteReference"/>
          <w:rFonts w:eastAsia="Times New Roman"/>
          <w:lang w:eastAsia="en-US"/>
        </w:rPr>
        <w:footnoteReference w:id="42"/>
      </w:r>
    </w:p>
    <w:p w14:paraId="564985AC" w14:textId="22D67FB4" w:rsidR="007E6827" w:rsidRPr="003E51E4" w:rsidRDefault="00EA119B" w:rsidP="00EA119B">
      <w:pPr>
        <w:pStyle w:val="RegSingleTxtG"/>
        <w:ind w:left="1134"/>
        <w:rPr>
          <w:rFonts w:eastAsia="Times New Roman"/>
          <w:lang w:eastAsia="en-US"/>
        </w:rPr>
      </w:pPr>
      <w:r w:rsidRPr="003E51E4">
        <w:rPr>
          <w:rFonts w:eastAsia="Times New Roman"/>
          <w:lang w:eastAsia="en-US"/>
        </w:rPr>
        <w:t>2.</w:t>
      </w:r>
      <w:r w:rsidRPr="003E51E4">
        <w:rPr>
          <w:rFonts w:eastAsia="Times New Roman"/>
          <w:lang w:eastAsia="en-US"/>
        </w:rPr>
        <w:tab/>
      </w:r>
      <w:r w:rsidR="007E6827" w:rsidRPr="003E51E4">
        <w:rPr>
          <w:rFonts w:eastAsia="Times New Roman"/>
          <w:i/>
          <w:lang w:eastAsia="en-US"/>
        </w:rPr>
        <w:t>Expresses appreciation</w:t>
      </w:r>
      <w:r w:rsidR="007E6827" w:rsidRPr="003E51E4">
        <w:rPr>
          <w:rFonts w:eastAsia="Times New Roman"/>
          <w:lang w:eastAsia="en-US"/>
        </w:rPr>
        <w:t xml:space="preserve"> to the United Nations for arranging the audit of the accounts of the Convention;</w:t>
      </w:r>
    </w:p>
    <w:p w14:paraId="5D9A0B3F" w14:textId="63111EC6" w:rsidR="007E6827" w:rsidRPr="003E51E4" w:rsidRDefault="00EA119B" w:rsidP="00EA119B">
      <w:pPr>
        <w:pStyle w:val="RegSingleTxtG"/>
        <w:ind w:left="1134"/>
        <w:rPr>
          <w:rFonts w:eastAsia="Times New Roman"/>
          <w:lang w:eastAsia="en-US"/>
        </w:rPr>
      </w:pPr>
      <w:r w:rsidRPr="003E51E4">
        <w:rPr>
          <w:rFonts w:eastAsia="Times New Roman"/>
          <w:lang w:eastAsia="en-US"/>
        </w:rPr>
        <w:t>3.</w:t>
      </w:r>
      <w:r w:rsidRPr="003E51E4">
        <w:rPr>
          <w:rFonts w:eastAsia="Times New Roman"/>
          <w:lang w:eastAsia="en-US"/>
        </w:rPr>
        <w:tab/>
      </w:r>
      <w:r w:rsidR="007E6827" w:rsidRPr="003E51E4">
        <w:rPr>
          <w:rFonts w:eastAsia="Times New Roman"/>
          <w:i/>
          <w:lang w:eastAsia="en-US"/>
        </w:rPr>
        <w:t>Also expresses appreciation</w:t>
      </w:r>
      <w:r w:rsidR="007E6827" w:rsidRPr="003E51E4">
        <w:rPr>
          <w:rFonts w:eastAsia="Times New Roman"/>
          <w:lang w:eastAsia="en-US"/>
        </w:rPr>
        <w:t xml:space="preserve"> to the auditors for their valuable observations and recommendations;</w:t>
      </w:r>
    </w:p>
    <w:p w14:paraId="79AE6213" w14:textId="311739CC" w:rsidR="007E6827" w:rsidRPr="003E51E4" w:rsidRDefault="00EA119B" w:rsidP="00EA119B">
      <w:pPr>
        <w:pStyle w:val="RegSingleTxtG"/>
        <w:ind w:left="1134"/>
        <w:rPr>
          <w:rFonts w:eastAsia="Times New Roman"/>
          <w:lang w:eastAsia="en-US"/>
        </w:rPr>
      </w:pPr>
      <w:r w:rsidRPr="003E51E4">
        <w:rPr>
          <w:rFonts w:eastAsia="Times New Roman"/>
          <w:lang w:eastAsia="en-US"/>
        </w:rPr>
        <w:t>4.</w:t>
      </w:r>
      <w:r w:rsidRPr="003E51E4">
        <w:rPr>
          <w:rFonts w:eastAsia="Times New Roman"/>
          <w:lang w:eastAsia="en-US"/>
        </w:rPr>
        <w:tab/>
      </w:r>
      <w:r w:rsidR="007E6827" w:rsidRPr="003E51E4">
        <w:rPr>
          <w:rFonts w:eastAsia="Times New Roman"/>
          <w:i/>
          <w:iCs/>
          <w:lang w:eastAsia="en-US"/>
        </w:rPr>
        <w:t>Expresses</w:t>
      </w:r>
      <w:r w:rsidR="007E6827" w:rsidRPr="00181310">
        <w:rPr>
          <w:rFonts w:eastAsia="Times New Roman"/>
          <w:i/>
          <w:iCs/>
          <w:lang w:eastAsia="en-US"/>
        </w:rPr>
        <w:t xml:space="preserve"> </w:t>
      </w:r>
      <w:r w:rsidR="007E6827" w:rsidRPr="003E51E4">
        <w:rPr>
          <w:rFonts w:eastAsia="Times New Roman"/>
          <w:i/>
          <w:lang w:eastAsia="en-US"/>
        </w:rPr>
        <w:t>concern</w:t>
      </w:r>
      <w:r w:rsidR="007E6827" w:rsidRPr="003E51E4">
        <w:rPr>
          <w:rFonts w:eastAsia="Times New Roman"/>
          <w:lang w:eastAsia="en-US"/>
        </w:rPr>
        <w:t xml:space="preserve"> about the high number of recommendations </w:t>
      </w:r>
      <w:r w:rsidR="007E6827">
        <w:rPr>
          <w:rFonts w:eastAsia="Times New Roman"/>
          <w:lang w:eastAsia="en-US"/>
        </w:rPr>
        <w:t>of</w:t>
      </w:r>
      <w:r w:rsidR="007E6827" w:rsidRPr="003E51E4">
        <w:rPr>
          <w:rFonts w:eastAsia="Times New Roman"/>
          <w:lang w:eastAsia="en-US"/>
        </w:rPr>
        <w:t xml:space="preserve"> the United Nations Board of Auditors not yet implemented by the secretariat;</w:t>
      </w:r>
    </w:p>
    <w:p w14:paraId="31F56C36" w14:textId="4F34A127" w:rsidR="007E6827" w:rsidRPr="003E51E4" w:rsidRDefault="00EA119B" w:rsidP="00EA119B">
      <w:pPr>
        <w:pStyle w:val="RegSingleTxtG"/>
        <w:ind w:left="1134"/>
        <w:rPr>
          <w:rFonts w:eastAsia="Times New Roman"/>
          <w:lang w:eastAsia="en-US"/>
        </w:rPr>
      </w:pPr>
      <w:r w:rsidRPr="003E51E4">
        <w:rPr>
          <w:rFonts w:eastAsia="Times New Roman"/>
          <w:lang w:eastAsia="en-US"/>
        </w:rPr>
        <w:t>5.</w:t>
      </w:r>
      <w:r w:rsidRPr="003E51E4">
        <w:rPr>
          <w:rFonts w:eastAsia="Times New Roman"/>
          <w:lang w:eastAsia="en-US"/>
        </w:rPr>
        <w:tab/>
      </w:r>
      <w:r w:rsidR="007E6827" w:rsidRPr="003E51E4">
        <w:rPr>
          <w:rFonts w:eastAsia="Times New Roman"/>
          <w:i/>
          <w:lang w:eastAsia="en-US"/>
        </w:rPr>
        <w:t>Urges</w:t>
      </w:r>
      <w:r w:rsidR="007E6827" w:rsidRPr="003E51E4">
        <w:rPr>
          <w:rFonts w:eastAsia="Times New Roman"/>
          <w:lang w:eastAsia="en-US"/>
        </w:rPr>
        <w:t xml:space="preserve"> the Executive Secretary to implement the recommendations of the auditors</w:t>
      </w:r>
      <w:r w:rsidR="007E6827" w:rsidRPr="003E51E4" w:rsidDel="00AD369F">
        <w:rPr>
          <w:rFonts w:eastAsia="Times New Roman"/>
          <w:lang w:eastAsia="en-US"/>
        </w:rPr>
        <w:t>,</w:t>
      </w:r>
      <w:r w:rsidR="007E6827" w:rsidRPr="003E51E4">
        <w:rPr>
          <w:rFonts w:eastAsia="Times New Roman"/>
          <w:lang w:eastAsia="en-US"/>
        </w:rPr>
        <w:t xml:space="preserve"> as appropriate, and to update Parties on progress; </w:t>
      </w:r>
    </w:p>
    <w:p w14:paraId="2F453074" w14:textId="361A467D" w:rsidR="007E6827" w:rsidRPr="003E51E4" w:rsidRDefault="00EA119B" w:rsidP="00EA119B">
      <w:pPr>
        <w:pStyle w:val="RegHChG"/>
        <w:tabs>
          <w:tab w:val="left" w:pos="1135"/>
        </w:tabs>
        <w:ind w:left="1135" w:hanging="454"/>
        <w:rPr>
          <w:rFonts w:eastAsiaTheme="minorHAnsi"/>
        </w:rPr>
      </w:pPr>
      <w:bookmarkStart w:id="63" w:name="_Toc161219968"/>
      <w:r w:rsidRPr="003E51E4">
        <w:rPr>
          <w:rFonts w:eastAsiaTheme="minorHAnsi"/>
        </w:rPr>
        <w:t>II.</w:t>
      </w:r>
      <w:r w:rsidRPr="003E51E4">
        <w:rPr>
          <w:rFonts w:eastAsiaTheme="minorHAnsi"/>
        </w:rPr>
        <w:tab/>
      </w:r>
      <w:r w:rsidR="007E6827" w:rsidRPr="003E51E4">
        <w:t>Other financial and budgetary matters</w:t>
      </w:r>
      <w:bookmarkEnd w:id="63"/>
    </w:p>
    <w:p w14:paraId="0C60AE02" w14:textId="5F9A1B68" w:rsidR="007E6827" w:rsidRPr="003E51E4" w:rsidRDefault="00EA119B" w:rsidP="00EA119B">
      <w:pPr>
        <w:pStyle w:val="RegSingleTxtG"/>
        <w:ind w:left="1134"/>
      </w:pPr>
      <w:r w:rsidRPr="003E51E4">
        <w:t>6.</w:t>
      </w:r>
      <w:r w:rsidRPr="003E51E4">
        <w:tab/>
      </w:r>
      <w:r w:rsidR="007E6827" w:rsidRPr="003E51E4">
        <w:rPr>
          <w:i/>
          <w:iCs/>
        </w:rPr>
        <w:t>Takes note</w:t>
      </w:r>
      <w:r w:rsidR="007E6827" w:rsidRPr="003E51E4">
        <w:t xml:space="preserve"> of the information contained in the note </w:t>
      </w:r>
      <w:r w:rsidR="007E6827">
        <w:t>providing an</w:t>
      </w:r>
      <w:r w:rsidR="007E6827" w:rsidRPr="003E51E4">
        <w:t xml:space="preserve"> update</w:t>
      </w:r>
      <w:r w:rsidR="007E6827">
        <w:t xml:space="preserve"> reflecting adjustments to the</w:t>
      </w:r>
      <w:r w:rsidR="007E6827" w:rsidRPr="003E51E4">
        <w:t xml:space="preserve"> work programme of the secretariat for the biennium 2022–2023;</w:t>
      </w:r>
      <w:r w:rsidR="007E6827" w:rsidRPr="003E51E4">
        <w:rPr>
          <w:sz w:val="18"/>
          <w:vertAlign w:val="superscript"/>
        </w:rPr>
        <w:footnoteReference w:id="43"/>
      </w:r>
    </w:p>
    <w:p w14:paraId="74002A5C" w14:textId="154A548B" w:rsidR="007E6827" w:rsidRPr="003E51E4" w:rsidRDefault="00EA119B" w:rsidP="00EA119B">
      <w:pPr>
        <w:pStyle w:val="RegSingleTxtG"/>
        <w:ind w:left="1134"/>
      </w:pPr>
      <w:r w:rsidRPr="003E51E4">
        <w:t>7.</w:t>
      </w:r>
      <w:r w:rsidRPr="003E51E4">
        <w:tab/>
      </w:r>
      <w:r w:rsidR="007E6827">
        <w:rPr>
          <w:i/>
          <w:iCs/>
        </w:rPr>
        <w:t>Also</w:t>
      </w:r>
      <w:r w:rsidR="007E6827" w:rsidRPr="003E51E4">
        <w:rPr>
          <w:i/>
          <w:iCs/>
        </w:rPr>
        <w:t xml:space="preserve"> takes note</w:t>
      </w:r>
      <w:r w:rsidR="007E6827" w:rsidRPr="003E51E4">
        <w:t xml:space="preserve"> of the information contained in the note on important changes to the secretariat’s administrative issuances;</w:t>
      </w:r>
      <w:r w:rsidR="007E6827" w:rsidRPr="003E51E4">
        <w:rPr>
          <w:rStyle w:val="FootnoteReference"/>
        </w:rPr>
        <w:footnoteReference w:id="44"/>
      </w:r>
    </w:p>
    <w:p w14:paraId="45660EFF" w14:textId="34B16A5D" w:rsidR="007E6827" w:rsidRPr="003E51E4" w:rsidRDefault="00EA119B" w:rsidP="00EA119B">
      <w:pPr>
        <w:pStyle w:val="RegSingleTxtG"/>
        <w:ind w:left="1134"/>
      </w:pPr>
      <w:r w:rsidRPr="003E51E4">
        <w:t>8.</w:t>
      </w:r>
      <w:r w:rsidRPr="003E51E4">
        <w:tab/>
      </w:r>
      <w:r w:rsidR="007E6827">
        <w:rPr>
          <w:i/>
          <w:iCs/>
        </w:rPr>
        <w:t>Further t</w:t>
      </w:r>
      <w:r w:rsidR="007E6827" w:rsidRPr="003E51E4">
        <w:rPr>
          <w:i/>
          <w:iCs/>
        </w:rPr>
        <w:t>akes note</w:t>
      </w:r>
      <w:r w:rsidR="007E6827" w:rsidRPr="003E51E4">
        <w:t xml:space="preserve"> of the information </w:t>
      </w:r>
      <w:r w:rsidR="007E6827">
        <w:t xml:space="preserve">relating to the trust funds administered by the secretariat </w:t>
      </w:r>
      <w:r w:rsidR="007E6827" w:rsidRPr="003E51E4">
        <w:t xml:space="preserve">contained in the note on </w:t>
      </w:r>
      <w:r w:rsidR="007E6827" w:rsidRPr="003E51E4">
        <w:rPr>
          <w:rFonts w:eastAsia="Times New Roman"/>
          <w:lang w:eastAsia="en-US"/>
        </w:rPr>
        <w:t xml:space="preserve">the status of contributions </w:t>
      </w:r>
      <w:r w:rsidR="007E6827">
        <w:rPr>
          <w:rFonts w:eastAsia="Times New Roman"/>
          <w:lang w:eastAsia="en-US"/>
        </w:rPr>
        <w:t>and fees</w:t>
      </w:r>
      <w:r w:rsidR="007E6827" w:rsidRPr="003E51E4">
        <w:rPr>
          <w:rFonts w:eastAsia="Times New Roman"/>
          <w:lang w:eastAsia="en-US"/>
        </w:rPr>
        <w:t xml:space="preserve"> as at 9 November 2023</w:t>
      </w:r>
      <w:r w:rsidR="007E6827" w:rsidRPr="003E51E4">
        <w:t>;</w:t>
      </w:r>
      <w:r w:rsidR="007E6827" w:rsidRPr="003E51E4">
        <w:rPr>
          <w:sz w:val="18"/>
          <w:vertAlign w:val="superscript"/>
        </w:rPr>
        <w:footnoteReference w:id="45"/>
      </w:r>
    </w:p>
    <w:p w14:paraId="775A24F9" w14:textId="19301543" w:rsidR="007E6827" w:rsidRPr="003E51E4" w:rsidRDefault="00EA119B" w:rsidP="00EA119B">
      <w:pPr>
        <w:pStyle w:val="RegSingleTxtG"/>
        <w:ind w:left="1134"/>
      </w:pPr>
      <w:r w:rsidRPr="003E51E4">
        <w:t>9.</w:t>
      </w:r>
      <w:r w:rsidRPr="003E51E4">
        <w:tab/>
      </w:r>
      <w:r w:rsidR="007E6827" w:rsidRPr="003E51E4">
        <w:rPr>
          <w:rFonts w:eastAsia="Times New Roman"/>
          <w:i/>
          <w:lang w:eastAsia="en-US"/>
        </w:rPr>
        <w:t xml:space="preserve">Expresses </w:t>
      </w:r>
      <w:r w:rsidR="007E6827" w:rsidRPr="003E51E4">
        <w:rPr>
          <w:i/>
        </w:rPr>
        <w:t>appreciation</w:t>
      </w:r>
      <w:r w:rsidR="007E6827" w:rsidRPr="003E51E4">
        <w:t xml:space="preserve"> to Parties that made contributions to the core budget in a timely manner;</w:t>
      </w:r>
    </w:p>
    <w:p w14:paraId="58496A94" w14:textId="7F37C290" w:rsidR="007E6827" w:rsidRPr="003E51E4" w:rsidRDefault="00EA119B" w:rsidP="00EA119B">
      <w:pPr>
        <w:pStyle w:val="RegSingleTxtG"/>
        <w:ind w:left="1134"/>
      </w:pPr>
      <w:r w:rsidRPr="003E51E4">
        <w:lastRenderedPageBreak/>
        <w:t>10.</w:t>
      </w:r>
      <w:r w:rsidRPr="003E51E4">
        <w:tab/>
      </w:r>
      <w:r w:rsidR="007E6827" w:rsidRPr="003E51E4">
        <w:rPr>
          <w:i/>
        </w:rPr>
        <w:t>Expresses concern</w:t>
      </w:r>
      <w:r w:rsidR="007E6827" w:rsidRPr="003E51E4">
        <w:t xml:space="preserve"> regarding the high level of outstanding contributions to the core budget for the current and previous bienniums, which has resulted in difficulties with </w:t>
      </w:r>
      <w:r w:rsidR="007E6827">
        <w:t xml:space="preserve">both </w:t>
      </w:r>
      <w:r w:rsidR="007E6827" w:rsidRPr="003E51E4">
        <w:t>cash flow and the effective implementation of activities;</w:t>
      </w:r>
    </w:p>
    <w:p w14:paraId="138A8F01" w14:textId="170D95C7" w:rsidR="007E6827" w:rsidRPr="003E51E4" w:rsidRDefault="00EA119B" w:rsidP="00EA119B">
      <w:pPr>
        <w:pStyle w:val="RegSingleTxtG"/>
        <w:ind w:left="1134"/>
      </w:pPr>
      <w:r w:rsidRPr="003E51E4">
        <w:t>11.</w:t>
      </w:r>
      <w:r w:rsidRPr="003E51E4">
        <w:tab/>
      </w:r>
      <w:r w:rsidR="007E6827" w:rsidRPr="003E51E4">
        <w:rPr>
          <w:i/>
        </w:rPr>
        <w:t>Strongly urges</w:t>
      </w:r>
      <w:r w:rsidR="007E6827" w:rsidRPr="003E51E4">
        <w:t xml:space="preserve"> Parties that have not made contributions in full to the core budget for the current and/or previous bienniums to do so without further delay;</w:t>
      </w:r>
    </w:p>
    <w:p w14:paraId="459CC7AB" w14:textId="67A3EED0" w:rsidR="007E6827" w:rsidRPr="003E51E4" w:rsidRDefault="00EA119B" w:rsidP="00EA119B">
      <w:pPr>
        <w:pStyle w:val="RegSingleTxtG"/>
        <w:ind w:left="1134"/>
      </w:pPr>
      <w:r w:rsidRPr="003E51E4">
        <w:t>12.</w:t>
      </w:r>
      <w:r w:rsidRPr="003E51E4">
        <w:tab/>
      </w:r>
      <w:r w:rsidR="007E6827" w:rsidRPr="003E51E4">
        <w:rPr>
          <w:i/>
        </w:rPr>
        <w:t>Expresses appreciation</w:t>
      </w:r>
      <w:r w:rsidR="007E6827" w:rsidRPr="003E51E4">
        <w:t xml:space="preserve"> for the contributions to the Trust Fund for Participation in the UNFCCC Process and to the Trust Fund for Supplementary Activities received from Parties, including those contributions that allow for greater flexibility in allocation;</w:t>
      </w:r>
    </w:p>
    <w:p w14:paraId="2AA4CEB4" w14:textId="6FBE03C7" w:rsidR="007E6827" w:rsidRPr="003E51E4" w:rsidRDefault="00EA119B" w:rsidP="00EA119B">
      <w:pPr>
        <w:pStyle w:val="RegSingleTxtG"/>
        <w:ind w:left="1134"/>
      </w:pPr>
      <w:r w:rsidRPr="003E51E4">
        <w:t>13.</w:t>
      </w:r>
      <w:r w:rsidRPr="003E51E4">
        <w:tab/>
      </w:r>
      <w:r w:rsidR="007E6827" w:rsidRPr="003E51E4">
        <w:rPr>
          <w:i/>
        </w:rPr>
        <w:t>Urges</w:t>
      </w:r>
      <w:r w:rsidR="007E6827" w:rsidRPr="003E51E4">
        <w:t xml:space="preserve"> Parties to further contribute to the Trust Fund for Participation in the UNFCCC Process in order to ensure the widest possible participation in the process in 2024–2025 and to the Trust Fund for Supplementary Activities </w:t>
      </w:r>
      <w:r w:rsidR="007E6827">
        <w:t xml:space="preserve">in order </w:t>
      </w:r>
      <w:r w:rsidR="007E6827" w:rsidRPr="003E51E4">
        <w:t>to ensure a high level of implementation of the work programme</w:t>
      </w:r>
      <w:r w:rsidR="007E6827">
        <w:t xml:space="preserve"> of the secretariat</w:t>
      </w:r>
      <w:r w:rsidR="007E6827" w:rsidRPr="003E51E4">
        <w:t>;</w:t>
      </w:r>
    </w:p>
    <w:p w14:paraId="0F9A923B" w14:textId="381098AD" w:rsidR="007E6827" w:rsidRPr="003E51E4" w:rsidRDefault="00EA119B" w:rsidP="00EA119B">
      <w:pPr>
        <w:pStyle w:val="RegSingleTxtG"/>
        <w:ind w:left="1134"/>
        <w:rPr>
          <w:rFonts w:eastAsia="Times New Roman"/>
          <w:lang w:eastAsia="en-US"/>
        </w:rPr>
      </w:pPr>
      <w:r w:rsidRPr="003E51E4">
        <w:rPr>
          <w:rFonts w:eastAsia="Times New Roman"/>
          <w:lang w:eastAsia="en-US"/>
        </w:rPr>
        <w:t>14.</w:t>
      </w:r>
      <w:r w:rsidRPr="003E51E4">
        <w:rPr>
          <w:rFonts w:eastAsia="Times New Roman"/>
          <w:lang w:eastAsia="en-US"/>
        </w:rPr>
        <w:tab/>
      </w:r>
      <w:r w:rsidR="007E6827" w:rsidRPr="003E51E4">
        <w:rPr>
          <w:i/>
        </w:rPr>
        <w:t xml:space="preserve">Reiterates </w:t>
      </w:r>
      <w:r w:rsidR="007E6827" w:rsidRPr="00D2268B">
        <w:rPr>
          <w:iCs/>
        </w:rPr>
        <w:t>its appreciation</w:t>
      </w:r>
      <w:r w:rsidR="007E6827" w:rsidRPr="003E51E4">
        <w:t xml:space="preserve"> to the Government of Germany for its annual voluntary contribution to the core budget of EUR</w:t>
      </w:r>
      <w:r w:rsidR="007E6827">
        <w:t> </w:t>
      </w:r>
      <w:r w:rsidR="007E6827" w:rsidRPr="003E51E4">
        <w:t>766,938 and its special contribution</w:t>
      </w:r>
      <w:r w:rsidR="007E6827" w:rsidRPr="003E51E4">
        <w:rPr>
          <w:rFonts w:eastAsia="Times New Roman"/>
          <w:lang w:eastAsia="en-US"/>
        </w:rPr>
        <w:t xml:space="preserve"> of EUR 1,789,522 as Host Government of the secretariat;</w:t>
      </w:r>
    </w:p>
    <w:p w14:paraId="37E895CF" w14:textId="6C69F609" w:rsidR="007E6827" w:rsidRPr="003E51E4" w:rsidRDefault="00EA119B" w:rsidP="00EA119B">
      <w:pPr>
        <w:pStyle w:val="RegSingleTxtG"/>
        <w:ind w:left="1134"/>
        <w:rPr>
          <w:rFonts w:eastAsia="Times New Roman"/>
          <w:lang w:eastAsia="en-US"/>
        </w:rPr>
      </w:pPr>
      <w:r w:rsidRPr="003E51E4">
        <w:rPr>
          <w:rFonts w:eastAsia="Times New Roman"/>
          <w:lang w:eastAsia="en-US"/>
        </w:rPr>
        <w:t>15.</w:t>
      </w:r>
      <w:r w:rsidRPr="003E51E4">
        <w:rPr>
          <w:rFonts w:eastAsia="Times New Roman"/>
          <w:lang w:eastAsia="en-US"/>
        </w:rPr>
        <w:tab/>
      </w:r>
      <w:r w:rsidR="007E6827" w:rsidRPr="003E51E4">
        <w:rPr>
          <w:i/>
          <w:lang w:eastAsia="en-US"/>
        </w:rPr>
        <w:t>Requests</w:t>
      </w:r>
      <w:r w:rsidR="007E6827" w:rsidRPr="003E51E4">
        <w:rPr>
          <w:lang w:eastAsia="en-US"/>
        </w:rPr>
        <w:t xml:space="preserve"> the Executive Secretary </w:t>
      </w:r>
      <w:r w:rsidR="007E6827" w:rsidRPr="003E51E4">
        <w:t xml:space="preserve">to </w:t>
      </w:r>
      <w:r w:rsidR="007E6827" w:rsidRPr="003E51E4">
        <w:rPr>
          <w:lang w:eastAsia="en-US"/>
        </w:rPr>
        <w:t xml:space="preserve">take further measures to </w:t>
      </w:r>
      <w:r w:rsidR="007E6827" w:rsidRPr="003E51E4">
        <w:rPr>
          <w:rFonts w:eastAsia="Times New Roman"/>
          <w:lang w:eastAsia="en-US"/>
        </w:rPr>
        <w:t>reduce Parties’ outstanding contributions.</w:t>
      </w:r>
    </w:p>
    <w:p w14:paraId="36BA9B46" w14:textId="21FB0172" w:rsidR="00545D9C" w:rsidRPr="00FF0952" w:rsidRDefault="007A266D" w:rsidP="00181310">
      <w:pPr>
        <w:tabs>
          <w:tab w:val="left" w:pos="1701"/>
        </w:tabs>
        <w:spacing w:line="20" w:lineRule="atLeast"/>
        <w:ind w:left="1134" w:right="1134"/>
        <w:jc w:val="right"/>
        <w:rPr>
          <w:i/>
          <w:iCs/>
        </w:rPr>
      </w:pPr>
      <w:r>
        <w:rPr>
          <w:i/>
          <w:iCs/>
        </w:rPr>
        <w:t>5</w:t>
      </w:r>
      <w:r w:rsidRPr="007A266D">
        <w:rPr>
          <w:i/>
          <w:iCs/>
          <w:vertAlign w:val="superscript"/>
        </w:rPr>
        <w:t>th</w:t>
      </w:r>
      <w:r>
        <w:rPr>
          <w:i/>
          <w:iCs/>
        </w:rPr>
        <w:t xml:space="preserve"> </w:t>
      </w:r>
      <w:r w:rsidR="00545D9C" w:rsidRPr="00FF0952">
        <w:rPr>
          <w:i/>
          <w:iCs/>
        </w:rPr>
        <w:t>plenary me</w:t>
      </w:r>
      <w:r w:rsidR="00545D9C">
        <w:rPr>
          <w:i/>
          <w:iCs/>
        </w:rPr>
        <w:t>e</w:t>
      </w:r>
      <w:r w:rsidR="00545D9C" w:rsidRPr="00FF0952">
        <w:rPr>
          <w:i/>
          <w:iCs/>
        </w:rPr>
        <w:t>ting</w:t>
      </w:r>
    </w:p>
    <w:p w14:paraId="2FE3AF90" w14:textId="217AFFB9" w:rsidR="00545D9C" w:rsidRPr="00FF0952" w:rsidRDefault="00545D9C" w:rsidP="00181310">
      <w:pPr>
        <w:tabs>
          <w:tab w:val="left" w:pos="1701"/>
        </w:tabs>
        <w:spacing w:line="20" w:lineRule="atLeast"/>
        <w:ind w:left="1134" w:right="1134"/>
        <w:jc w:val="right"/>
        <w:rPr>
          <w:i/>
          <w:iCs/>
        </w:rPr>
      </w:pPr>
      <w:r w:rsidRPr="00FF0952">
        <w:rPr>
          <w:i/>
          <w:iCs/>
        </w:rPr>
        <w:t>1</w:t>
      </w:r>
      <w:r w:rsidR="007A266D">
        <w:rPr>
          <w:i/>
          <w:iCs/>
        </w:rPr>
        <w:t>1</w:t>
      </w:r>
      <w:r w:rsidRPr="00FF0952">
        <w:rPr>
          <w:i/>
          <w:iCs/>
        </w:rPr>
        <w:t xml:space="preserve"> December 2023</w:t>
      </w:r>
    </w:p>
    <w:p w14:paraId="70C7FEC3" w14:textId="3108A87B" w:rsidR="007E6827" w:rsidRPr="000D11F4" w:rsidRDefault="007E6827" w:rsidP="007E6827">
      <w:pPr>
        <w:spacing w:before="240"/>
        <w:ind w:left="1134" w:right="1134"/>
        <w:jc w:val="center"/>
        <w:rPr>
          <w:u w:val="single"/>
        </w:rPr>
      </w:pPr>
      <w:r>
        <w:rPr>
          <w:u w:val="single"/>
        </w:rPr>
        <w:tab/>
      </w:r>
    </w:p>
    <w:p w14:paraId="1468FB93" w14:textId="77777777" w:rsidR="00F11FDA" w:rsidRDefault="00F11FDA" w:rsidP="0098239D">
      <w:pPr>
        <w:sectPr w:rsidR="00F11FDA" w:rsidSect="00AB0CD8">
          <w:headerReference w:type="even" r:id="rId54"/>
          <w:headerReference w:type="default" r:id="rId55"/>
          <w:footerReference w:type="even" r:id="rId56"/>
          <w:footerReference w:type="default" r:id="rId57"/>
          <w:footnotePr>
            <w:numRestart w:val="eachSect"/>
          </w:footnotePr>
          <w:pgSz w:w="11906" w:h="16838" w:code="9"/>
          <w:pgMar w:top="1417" w:right="1134" w:bottom="1134" w:left="1134" w:header="850" w:footer="567" w:gutter="0"/>
          <w:cols w:space="708"/>
          <w:docGrid w:linePitch="360"/>
        </w:sectPr>
      </w:pPr>
    </w:p>
    <w:p w14:paraId="27051214" w14:textId="3251BD75" w:rsidR="00B10D98" w:rsidRDefault="00AB07D3" w:rsidP="00EA119B">
      <w:pPr>
        <w:pStyle w:val="RegHChG"/>
        <w:spacing w:before="120"/>
        <w:ind w:left="1134" w:hanging="454"/>
      </w:pPr>
      <w:r>
        <w:lastRenderedPageBreak/>
        <w:tab/>
      </w:r>
      <w:bookmarkStart w:id="64" w:name="_Toc161219969"/>
      <w:bookmarkStart w:id="65" w:name="Resolution1"/>
      <w:r w:rsidR="00B10D98" w:rsidRPr="00B10D98">
        <w:t xml:space="preserve">Resolution </w:t>
      </w:r>
      <w:r w:rsidR="002B43CF">
        <w:t>1/</w:t>
      </w:r>
      <w:r w:rsidR="00B10D98" w:rsidRPr="00B10D98">
        <w:t>CMP.18</w:t>
      </w:r>
      <w:bookmarkEnd w:id="64"/>
    </w:p>
    <w:p w14:paraId="1690740A" w14:textId="18A4D2B9" w:rsidR="00B10D98" w:rsidRDefault="00B10D98" w:rsidP="00EA119B">
      <w:pPr>
        <w:pStyle w:val="RegHChG"/>
        <w:ind w:left="1135" w:hanging="454"/>
      </w:pPr>
      <w:bookmarkStart w:id="66" w:name="_Toc161219970"/>
      <w:bookmarkEnd w:id="65"/>
      <w:r w:rsidRPr="0088726A">
        <w:t>Expression of gratitude to the Government of the United Arab Emirates</w:t>
      </w:r>
      <w:bookmarkEnd w:id="66"/>
    </w:p>
    <w:p w14:paraId="74FFD1A6" w14:textId="35A92C7F" w:rsidR="00B10D98" w:rsidRPr="004C7398" w:rsidRDefault="00B10D98" w:rsidP="00C857F1">
      <w:pPr>
        <w:pStyle w:val="H1G"/>
        <w:ind w:firstLine="0"/>
      </w:pPr>
      <w:bookmarkStart w:id="67" w:name="_Toc161219971"/>
      <w:r>
        <w:t>Resolution submitted by the Republic of Azerbaijan</w:t>
      </w:r>
      <w:bookmarkEnd w:id="67"/>
      <w:r>
        <w:t xml:space="preserve"> </w:t>
      </w:r>
    </w:p>
    <w:p w14:paraId="4078C3E8" w14:textId="19FC4996" w:rsidR="00B10D98" w:rsidRPr="00824FEA" w:rsidRDefault="0098428E" w:rsidP="0020224F">
      <w:pPr>
        <w:pStyle w:val="SingleTxtG"/>
        <w:ind w:firstLine="567"/>
      </w:pPr>
      <w:r>
        <w:rPr>
          <w:i/>
          <w:iCs/>
        </w:rPr>
        <w:tab/>
      </w:r>
      <w:r w:rsidR="00B10D98">
        <w:rPr>
          <w:i/>
        </w:rPr>
        <w:t>The Conference of the Parties, the Conference of the Parties serving as the meeting of the Parties to the Kyoto Protocol and the Conference of the Parties serving as the meeting of the Parties to the Paris Agreement</w:t>
      </w:r>
      <w:r w:rsidR="00B10D98">
        <w:t xml:space="preserve">, </w:t>
      </w:r>
    </w:p>
    <w:p w14:paraId="74006010" w14:textId="377E1669" w:rsidR="00B10D98" w:rsidRDefault="0098428E" w:rsidP="0020224F">
      <w:pPr>
        <w:pStyle w:val="SingleTxtG"/>
        <w:ind w:firstLine="567"/>
      </w:pPr>
      <w:r>
        <w:rPr>
          <w:i/>
          <w:iCs/>
        </w:rPr>
        <w:tab/>
      </w:r>
      <w:r w:rsidR="00B10D98">
        <w:rPr>
          <w:i/>
        </w:rPr>
        <w:t xml:space="preserve">Having met </w:t>
      </w:r>
      <w:r w:rsidR="00B10D98">
        <w:t>in Dubai from 30 November to 1</w:t>
      </w:r>
      <w:r w:rsidR="003D5203">
        <w:t>3</w:t>
      </w:r>
      <w:r w:rsidR="00B10D98">
        <w:t xml:space="preserve"> December 2023, </w:t>
      </w:r>
    </w:p>
    <w:p w14:paraId="327F2A03" w14:textId="1DEBAA7A" w:rsidR="00B10D98" w:rsidRDefault="00B10D98" w:rsidP="00F823AB">
      <w:pPr>
        <w:pStyle w:val="RegSingleTxtG"/>
        <w:tabs>
          <w:tab w:val="left" w:pos="1701"/>
        </w:tabs>
        <w:ind w:left="1134"/>
      </w:pPr>
      <w:r>
        <w:t>1.</w:t>
      </w:r>
      <w:r>
        <w:tab/>
      </w:r>
      <w:r>
        <w:rPr>
          <w:i/>
          <w:iCs/>
        </w:rPr>
        <w:t xml:space="preserve">Express profound gratitude </w:t>
      </w:r>
      <w:r>
        <w:t xml:space="preserve">to the Government of the United Arab Emirates for having made it possible for the twenty-eighth session of the Conference of the Parties, the eighteenth session of the Conference of the Parties serving as the meeting of the Parties to the Kyoto Protocol and the fifth session of the Conference of the Parties serving as the meeting of the Parties to the Paris Agreement to be held in Dubai; </w:t>
      </w:r>
    </w:p>
    <w:p w14:paraId="517A00D5" w14:textId="74F7CFED" w:rsidR="007A266D" w:rsidRDefault="00B10D98" w:rsidP="00F823AB">
      <w:pPr>
        <w:pStyle w:val="RegSingleTxtG"/>
        <w:tabs>
          <w:tab w:val="left" w:pos="1701"/>
        </w:tabs>
        <w:ind w:left="1134"/>
      </w:pPr>
      <w:r>
        <w:t>2.</w:t>
      </w:r>
      <w:r>
        <w:tab/>
      </w:r>
      <w:r>
        <w:rPr>
          <w:i/>
          <w:iCs/>
        </w:rPr>
        <w:t xml:space="preserve">Request </w:t>
      </w:r>
      <w:r>
        <w:t xml:space="preserve">the Government of the United Arab Emirates to convey to the city and people of Dubai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 </w:t>
      </w:r>
    </w:p>
    <w:p w14:paraId="50C635FB" w14:textId="2EE47785" w:rsidR="00D03C41" w:rsidRPr="00FF0952" w:rsidRDefault="00A04F35" w:rsidP="00181310">
      <w:pPr>
        <w:tabs>
          <w:tab w:val="left" w:pos="1701"/>
        </w:tabs>
        <w:spacing w:line="20" w:lineRule="atLeast"/>
        <w:ind w:left="6521" w:right="1134" w:firstLine="283"/>
        <w:jc w:val="right"/>
        <w:rPr>
          <w:i/>
          <w:iCs/>
        </w:rPr>
      </w:pPr>
      <w:r>
        <w:rPr>
          <w:i/>
          <w:iCs/>
        </w:rPr>
        <w:t>5</w:t>
      </w:r>
      <w:r w:rsidRPr="00A04F35">
        <w:rPr>
          <w:i/>
          <w:iCs/>
          <w:vertAlign w:val="superscript"/>
        </w:rPr>
        <w:t>th</w:t>
      </w:r>
      <w:r>
        <w:rPr>
          <w:i/>
          <w:iCs/>
        </w:rPr>
        <w:t xml:space="preserve"> </w:t>
      </w:r>
      <w:r w:rsidR="00D03C41" w:rsidRPr="00FF0952">
        <w:rPr>
          <w:i/>
          <w:iCs/>
        </w:rPr>
        <w:t>plenary me</w:t>
      </w:r>
      <w:r w:rsidR="00D03C41">
        <w:rPr>
          <w:i/>
          <w:iCs/>
        </w:rPr>
        <w:t>e</w:t>
      </w:r>
      <w:r w:rsidR="00D03C41" w:rsidRPr="00FF0952">
        <w:rPr>
          <w:i/>
          <w:iCs/>
        </w:rPr>
        <w:t>ting</w:t>
      </w:r>
    </w:p>
    <w:p w14:paraId="5F11CDAD" w14:textId="18EDD275" w:rsidR="00D03C41" w:rsidRPr="00FF0952" w:rsidRDefault="00D03C41" w:rsidP="00181310">
      <w:pPr>
        <w:tabs>
          <w:tab w:val="left" w:pos="1701"/>
        </w:tabs>
        <w:spacing w:line="20" w:lineRule="atLeast"/>
        <w:ind w:left="6521" w:right="1134" w:firstLine="283"/>
        <w:jc w:val="right"/>
        <w:rPr>
          <w:i/>
          <w:iCs/>
        </w:rPr>
      </w:pPr>
      <w:r w:rsidRPr="00FF0952">
        <w:rPr>
          <w:i/>
          <w:iCs/>
        </w:rPr>
        <w:t>1</w:t>
      </w:r>
      <w:r w:rsidR="00A04F35">
        <w:rPr>
          <w:i/>
          <w:iCs/>
        </w:rPr>
        <w:t>1</w:t>
      </w:r>
      <w:r w:rsidRPr="00FF0952">
        <w:rPr>
          <w:i/>
          <w:iCs/>
        </w:rPr>
        <w:t xml:space="preserve"> December 2023</w:t>
      </w:r>
    </w:p>
    <w:p w14:paraId="53914A88" w14:textId="66EFA41E" w:rsidR="00B10D98" w:rsidRPr="00BF75B5" w:rsidRDefault="00B10D98" w:rsidP="00B10D98">
      <w:pPr>
        <w:jc w:val="center"/>
        <w:rPr>
          <w:rFonts w:eastAsia="Times New Roman"/>
          <w:sz w:val="22"/>
          <w:u w:val="single"/>
          <w:lang w:eastAsia="de-DE"/>
        </w:rPr>
      </w:pPr>
      <w:r>
        <w:rPr>
          <w:rFonts w:eastAsia="Times New Roman"/>
          <w:sz w:val="22"/>
          <w:u w:val="single"/>
          <w:lang w:eastAsia="de-DE"/>
        </w:rPr>
        <w:tab/>
      </w:r>
      <w:r>
        <w:rPr>
          <w:rFonts w:eastAsia="Times New Roman"/>
          <w:sz w:val="22"/>
          <w:u w:val="single"/>
          <w:lang w:eastAsia="de-DE"/>
        </w:rPr>
        <w:tab/>
      </w:r>
      <w:r>
        <w:rPr>
          <w:rFonts w:eastAsia="Times New Roman"/>
          <w:sz w:val="22"/>
          <w:u w:val="single"/>
          <w:lang w:eastAsia="de-DE"/>
        </w:rPr>
        <w:tab/>
      </w:r>
    </w:p>
    <w:sectPr w:rsidR="00B10D98" w:rsidRPr="00BF75B5" w:rsidSect="00AB0CD8">
      <w:headerReference w:type="even" r:id="rId58"/>
      <w:headerReference w:type="default" r:id="rId59"/>
      <w:footerReference w:type="even" r:id="rId60"/>
      <w:footerReference w:type="default" r:id="rId61"/>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351A" w14:textId="77777777" w:rsidR="008A55AB" w:rsidRPr="008362C4" w:rsidRDefault="008A55AB" w:rsidP="008362C4">
      <w:pPr>
        <w:spacing w:line="14" w:lineRule="exact"/>
        <w:rPr>
          <w:color w:val="FFFFFF" w:themeColor="background1"/>
        </w:rPr>
      </w:pPr>
      <w:r w:rsidRPr="008362C4">
        <w:rPr>
          <w:color w:val="FFFFFF" w:themeColor="background1"/>
        </w:rPr>
        <w:separator/>
      </w:r>
    </w:p>
    <w:p w14:paraId="144024DA" w14:textId="77777777" w:rsidR="008A55AB" w:rsidRPr="008362C4" w:rsidRDefault="008A55AB" w:rsidP="00C45173">
      <w:pPr>
        <w:spacing w:line="14" w:lineRule="atLeast"/>
        <w:rPr>
          <w:color w:val="FFFFFF" w:themeColor="background1"/>
          <w:sz w:val="2"/>
          <w:szCs w:val="2"/>
        </w:rPr>
      </w:pPr>
    </w:p>
  </w:endnote>
  <w:endnote w:type="continuationSeparator" w:id="0">
    <w:p w14:paraId="55FB85D5" w14:textId="77777777" w:rsidR="008A55AB" w:rsidRDefault="008A55AB">
      <w:r>
        <w:continuationSeparator/>
      </w:r>
    </w:p>
    <w:p w14:paraId="2D4A280D" w14:textId="77777777" w:rsidR="008A55AB" w:rsidRDefault="008A55AB"/>
  </w:endnote>
  <w:endnote w:type="continuationNotice" w:id="1">
    <w:p w14:paraId="48A5C8D2" w14:textId="77777777" w:rsidR="008A55AB" w:rsidRDefault="008A55AB">
      <w:pPr>
        <w:spacing w:line="240" w:lineRule="auto"/>
      </w:pPr>
    </w:p>
  </w:endnote>
  <w:endnote w:id="2">
    <w:p w14:paraId="1421CD82" w14:textId="1D2A3C2E" w:rsidR="00F53D73" w:rsidRPr="00CE121D" w:rsidRDefault="00F53D73" w:rsidP="00F53D73">
      <w:pPr>
        <w:pStyle w:val="EndnoteText"/>
        <w:tabs>
          <w:tab w:val="clear" w:pos="1021"/>
        </w:tabs>
        <w:spacing w:line="200" w:lineRule="exact"/>
        <w:ind w:firstLine="142"/>
        <w:rPr>
          <w:i w:val="0"/>
          <w:lang w:val="en-US"/>
        </w:rPr>
      </w:pPr>
      <w:r w:rsidRPr="00CE121D">
        <w:rPr>
          <w:rStyle w:val="EndnoteReference"/>
          <w:i/>
        </w:rPr>
        <w:endnoteRef/>
      </w:r>
      <w:r w:rsidRPr="00CE121D">
        <w:rPr>
          <w:i w:val="0"/>
        </w:rPr>
        <w:t xml:space="preserve"> </w:t>
      </w:r>
      <w:r>
        <w:rPr>
          <w:i w:val="0"/>
        </w:rPr>
        <w:t xml:space="preserve"> Accreditation granted for five years.</w:t>
      </w:r>
    </w:p>
  </w:endnote>
  <w:endnote w:id="3">
    <w:p w14:paraId="0800A331" w14:textId="5DC3E5A0" w:rsidR="000F6262" w:rsidRPr="00F76CAC" w:rsidRDefault="00F53D73" w:rsidP="00B901C6">
      <w:pPr>
        <w:pStyle w:val="EndnoteText"/>
        <w:tabs>
          <w:tab w:val="clear" w:pos="1021"/>
        </w:tabs>
        <w:spacing w:line="200" w:lineRule="exact"/>
        <w:ind w:left="283" w:firstLine="993"/>
        <w:rPr>
          <w:i w:val="0"/>
          <w:lang w:val="en-US"/>
        </w:rPr>
      </w:pPr>
      <w:r w:rsidRPr="00CE121D">
        <w:rPr>
          <w:rStyle w:val="EndnoteReference"/>
          <w:i/>
        </w:rPr>
        <w:endnoteRef/>
      </w:r>
      <w:r w:rsidRPr="00CE121D">
        <w:rPr>
          <w:i w:val="0"/>
        </w:rPr>
        <w:t xml:space="preserve"> </w:t>
      </w:r>
      <w:r>
        <w:rPr>
          <w:i w:val="0"/>
        </w:rPr>
        <w:t xml:space="preserve"> Voluntary withdrawal of accreditation in its entirety.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EAAB" w14:textId="77777777" w:rsidR="00E7480F" w:rsidRDefault="00E7480F">
    <w:pPr>
      <w:pStyle w:val="Footer"/>
      <w:tabs>
        <w:tab w:val="right" w:pos="9638"/>
      </w:tabs>
    </w:pPr>
    <w:r w:rsidRPr="006B4B0F">
      <w:rPr>
        <w:b/>
        <w:sz w:val="18"/>
      </w:rPr>
      <w:fldChar w:fldCharType="begin"/>
    </w:r>
    <w:r w:rsidRPr="006B4B0F">
      <w:rPr>
        <w:b/>
        <w:sz w:val="18"/>
      </w:rPr>
      <w:instrText xml:space="preserve"> PAGE  \* MERGEFORMAT </w:instrText>
    </w:r>
    <w:r w:rsidRPr="006B4B0F">
      <w:rPr>
        <w:b/>
        <w:sz w:val="18"/>
      </w:rPr>
      <w:fldChar w:fldCharType="separate"/>
    </w:r>
    <w:r w:rsidRPr="006B4B0F">
      <w:rPr>
        <w:b/>
        <w:noProof/>
        <w:sz w:val="18"/>
      </w:rPr>
      <w:t>3</w:t>
    </w:r>
    <w:r w:rsidRPr="006B4B0F">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15FE" w14:textId="1F4F0A7D" w:rsidR="0098239D" w:rsidRPr="00AB0CD8" w:rsidRDefault="00AB0CD8" w:rsidP="00AB0CD8">
    <w:pPr>
      <w:pStyle w:val="Footer"/>
      <w:tabs>
        <w:tab w:val="right" w:pos="9638"/>
      </w:tabs>
      <w:rPr>
        <w:b/>
        <w:sz w:val="18"/>
      </w:rPr>
    </w:pPr>
    <w:r>
      <w:tab/>
    </w: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14</w:t>
    </w:r>
    <w:r w:rsidRPr="00AB0CD8">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570D" w14:textId="13DB7C98" w:rsidR="00002A76" w:rsidRPr="00AB0CD8" w:rsidRDefault="00AB0CD8" w:rsidP="00AB0CD8">
    <w:pPr>
      <w:pStyle w:val="Footer"/>
      <w:tabs>
        <w:tab w:val="right" w:pos="9638"/>
      </w:tabs>
    </w:pP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17</w:t>
    </w:r>
    <w:r w:rsidRPr="00AB0CD8">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D1E1" w14:textId="214ED77F" w:rsidR="00002A76" w:rsidRPr="00AB0CD8" w:rsidRDefault="00AB0CD8" w:rsidP="00AB0CD8">
    <w:pPr>
      <w:pStyle w:val="Footer"/>
      <w:tabs>
        <w:tab w:val="right" w:pos="9638"/>
      </w:tabs>
      <w:rPr>
        <w:b/>
        <w:sz w:val="18"/>
      </w:rPr>
    </w:pPr>
    <w:r>
      <w:tab/>
    </w: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16</w:t>
    </w:r>
    <w:r w:rsidRPr="00AB0CD8">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959B" w14:textId="78B6235D" w:rsidR="00CB5D9B" w:rsidRPr="00002A76" w:rsidRDefault="00002A76" w:rsidP="00002A76">
    <w:pPr>
      <w:pStyle w:val="Footer"/>
      <w:tabs>
        <w:tab w:val="right" w:pos="9638"/>
      </w:tabs>
    </w:pPr>
    <w:r w:rsidRPr="00002A76">
      <w:rPr>
        <w:b/>
        <w:sz w:val="18"/>
      </w:rPr>
      <w:fldChar w:fldCharType="begin"/>
    </w:r>
    <w:r w:rsidRPr="00002A76">
      <w:rPr>
        <w:b/>
        <w:sz w:val="18"/>
      </w:rPr>
      <w:instrText xml:space="preserve"> PAGE  \* MERGEFORMAT </w:instrText>
    </w:r>
    <w:r w:rsidRPr="00002A76">
      <w:rPr>
        <w:b/>
        <w:sz w:val="18"/>
      </w:rPr>
      <w:fldChar w:fldCharType="separate"/>
    </w:r>
    <w:r w:rsidRPr="00002A76">
      <w:rPr>
        <w:b/>
        <w:noProof/>
        <w:sz w:val="18"/>
      </w:rPr>
      <w:t>19</w:t>
    </w:r>
    <w:r w:rsidRPr="00002A76">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3EC8" w14:textId="5CF9A311" w:rsidR="00CB5D9B" w:rsidRPr="00AB0CD8" w:rsidRDefault="00AB0CD8" w:rsidP="00AB0CD8">
    <w:pPr>
      <w:pStyle w:val="Footer"/>
      <w:tabs>
        <w:tab w:val="right" w:pos="9638"/>
      </w:tabs>
      <w:rPr>
        <w:b/>
        <w:sz w:val="18"/>
      </w:rPr>
    </w:pPr>
    <w:r>
      <w:tab/>
    </w: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18</w:t>
    </w:r>
    <w:r w:rsidRPr="00AB0CD8">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7305" w14:textId="4105B0E0" w:rsidR="005440BF" w:rsidRPr="00AB0CD8" w:rsidRDefault="00AB0CD8" w:rsidP="00AB0CD8">
    <w:pPr>
      <w:pStyle w:val="Footer"/>
      <w:tabs>
        <w:tab w:val="right" w:pos="9638"/>
      </w:tabs>
    </w:pP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23</w:t>
    </w:r>
    <w:r w:rsidRPr="00AB0CD8">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D258" w14:textId="5882D5A6" w:rsidR="005440BF" w:rsidRPr="00AB0CD8" w:rsidRDefault="00AB0CD8" w:rsidP="00AB0CD8">
    <w:pPr>
      <w:pStyle w:val="Footer"/>
      <w:tabs>
        <w:tab w:val="right" w:pos="9638"/>
      </w:tabs>
      <w:rPr>
        <w:b/>
        <w:sz w:val="18"/>
      </w:rPr>
    </w:pPr>
    <w:r>
      <w:tab/>
    </w: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24</w:t>
    </w:r>
    <w:r w:rsidRPr="00AB0CD8">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D6B2" w14:textId="5E87432D" w:rsidR="005440BF" w:rsidRPr="00AB0CD8" w:rsidRDefault="00AB0CD8" w:rsidP="00AB0CD8">
    <w:pPr>
      <w:pStyle w:val="Footer"/>
      <w:tabs>
        <w:tab w:val="right" w:pos="9638"/>
      </w:tabs>
    </w:pP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25</w:t>
    </w:r>
    <w:r w:rsidRPr="00AB0CD8">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54E6" w14:textId="2F305421" w:rsidR="005440BF" w:rsidRPr="00AB0CD8" w:rsidRDefault="00AB0CD8" w:rsidP="00AB0CD8">
    <w:pPr>
      <w:pStyle w:val="Footer"/>
      <w:tabs>
        <w:tab w:val="right" w:pos="9638"/>
      </w:tabs>
      <w:rPr>
        <w:b/>
        <w:sz w:val="18"/>
      </w:rPr>
    </w:pPr>
    <w:r>
      <w:tab/>
    </w: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26</w:t>
    </w:r>
    <w:r w:rsidRPr="00AB0CD8">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1843" w14:textId="77777777" w:rsidR="00AB0CD8" w:rsidRPr="00AB0CD8" w:rsidRDefault="00AB0CD8" w:rsidP="00AB0CD8">
    <w:pPr>
      <w:pStyle w:val="Footer"/>
      <w:tabs>
        <w:tab w:val="right" w:pos="9638"/>
      </w:tabs>
    </w:pP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25</w:t>
    </w:r>
    <w:r w:rsidRPr="00AB0CD8">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FA7D" w14:textId="77777777" w:rsidR="00E7480F" w:rsidRPr="00AA57CA" w:rsidRDefault="00E7480F" w:rsidP="00AA57CA">
    <w:pPr>
      <w:pStyle w:val="Footer"/>
      <w:tabs>
        <w:tab w:val="right" w:pos="9638"/>
      </w:tabs>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9590A" w14:textId="77777777" w:rsidR="00AB0CD8" w:rsidRPr="00002A76" w:rsidRDefault="00AB0CD8" w:rsidP="00002A76">
    <w:pPr>
      <w:pStyle w:val="Footer"/>
      <w:tabs>
        <w:tab w:val="right" w:pos="9638"/>
      </w:tabs>
      <w:rPr>
        <w:b/>
        <w:sz w:val="18"/>
      </w:rPr>
    </w:pPr>
    <w:r>
      <w:tab/>
    </w:r>
    <w:r w:rsidRPr="00002A76">
      <w:rPr>
        <w:b/>
        <w:sz w:val="18"/>
      </w:rPr>
      <w:fldChar w:fldCharType="begin"/>
    </w:r>
    <w:r w:rsidRPr="00002A76">
      <w:rPr>
        <w:b/>
        <w:sz w:val="18"/>
      </w:rPr>
      <w:instrText xml:space="preserve"> PAGE  \* MERGEFORMAT </w:instrText>
    </w:r>
    <w:r w:rsidRPr="00002A76">
      <w:rPr>
        <w:b/>
        <w:sz w:val="18"/>
      </w:rPr>
      <w:fldChar w:fldCharType="separate"/>
    </w:r>
    <w:r w:rsidRPr="00002A76">
      <w:rPr>
        <w:b/>
        <w:noProof/>
        <w:sz w:val="18"/>
      </w:rPr>
      <w:t>28</w:t>
    </w:r>
    <w:r w:rsidRPr="00002A76">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D492" w14:textId="5129A1AE" w:rsidR="005440BF" w:rsidRPr="00AB0CD8" w:rsidRDefault="00AB0CD8" w:rsidP="00AB0CD8">
    <w:pPr>
      <w:pStyle w:val="Footer"/>
      <w:tabs>
        <w:tab w:val="right" w:pos="9638"/>
      </w:tabs>
    </w:pP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28</w:t>
    </w:r>
    <w:r w:rsidRPr="00AB0CD8">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45C9" w14:textId="29DA6C12" w:rsidR="005440BF" w:rsidRPr="00AB0CD8" w:rsidRDefault="00AB0CD8" w:rsidP="00AB0CD8">
    <w:pPr>
      <w:pStyle w:val="Footer"/>
      <w:tabs>
        <w:tab w:val="right" w:pos="9638"/>
      </w:tabs>
      <w:rPr>
        <w:b/>
        <w:sz w:val="18"/>
      </w:rPr>
    </w:pPr>
    <w:r>
      <w:tab/>
    </w: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29</w:t>
    </w:r>
    <w:r w:rsidRPr="00AB0CD8">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381E" w14:textId="77777777" w:rsidR="00AB0CD8" w:rsidRPr="00AB0CD8" w:rsidRDefault="00AB0CD8" w:rsidP="00AB0CD8">
    <w:pPr>
      <w:pStyle w:val="Footer"/>
      <w:tabs>
        <w:tab w:val="right" w:pos="9638"/>
      </w:tabs>
    </w:pP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3</w:t>
    </w:r>
    <w:r w:rsidRPr="00AB0CD8">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5599" w14:textId="639462DF" w:rsidR="00002A76" w:rsidRPr="00AB0CD8" w:rsidRDefault="00AB0CD8" w:rsidP="00AB0CD8">
    <w:pPr>
      <w:pStyle w:val="Footer"/>
      <w:tabs>
        <w:tab w:val="right" w:pos="9638"/>
      </w:tabs>
      <w:rPr>
        <w:b/>
        <w:sz w:val="18"/>
      </w:rPr>
    </w:pPr>
    <w:r>
      <w:tab/>
    </w: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6</w:t>
    </w:r>
    <w:r w:rsidRPr="00AB0CD8">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89D5" w14:textId="4CC4DDB6" w:rsidR="00F53D73" w:rsidRPr="00002A76" w:rsidRDefault="00002A76" w:rsidP="00002A76">
    <w:pPr>
      <w:pStyle w:val="Footer"/>
      <w:tabs>
        <w:tab w:val="right" w:pos="9638"/>
      </w:tabs>
    </w:pPr>
    <w:r w:rsidRPr="00002A76">
      <w:rPr>
        <w:b/>
        <w:sz w:val="18"/>
      </w:rPr>
      <w:fldChar w:fldCharType="begin"/>
    </w:r>
    <w:r w:rsidRPr="00002A76">
      <w:rPr>
        <w:b/>
        <w:sz w:val="18"/>
      </w:rPr>
      <w:instrText xml:space="preserve"> PAGE  \* MERGEFORMAT </w:instrText>
    </w:r>
    <w:r w:rsidRPr="00002A76">
      <w:rPr>
        <w:b/>
        <w:sz w:val="18"/>
      </w:rPr>
      <w:fldChar w:fldCharType="separate"/>
    </w:r>
    <w:r w:rsidRPr="00002A76">
      <w:rPr>
        <w:b/>
        <w:noProof/>
        <w:sz w:val="18"/>
      </w:rPr>
      <w:t>7</w:t>
    </w:r>
    <w:r w:rsidRPr="00002A76">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EF6C" w14:textId="39B5D087" w:rsidR="00AB0CD8" w:rsidRPr="00002A76" w:rsidRDefault="00AB0CD8" w:rsidP="00002A76">
    <w:pPr>
      <w:pStyle w:val="Footer"/>
      <w:tabs>
        <w:tab w:val="right" w:pos="9638"/>
      </w:tabs>
      <w:rPr>
        <w:b/>
        <w:sz w:val="18"/>
      </w:rPr>
    </w:pPr>
    <w:r>
      <w:tab/>
    </w:r>
    <w:r w:rsidRPr="00002A76">
      <w:rPr>
        <w:b/>
        <w:sz w:val="18"/>
      </w:rPr>
      <w:fldChar w:fldCharType="begin"/>
    </w:r>
    <w:r w:rsidRPr="00002A76">
      <w:rPr>
        <w:b/>
        <w:sz w:val="18"/>
      </w:rPr>
      <w:instrText xml:space="preserve"> PAGE  \* MERGEFORMAT </w:instrText>
    </w:r>
    <w:r w:rsidRPr="00002A76">
      <w:rPr>
        <w:b/>
        <w:sz w:val="18"/>
      </w:rPr>
      <w:fldChar w:fldCharType="separate"/>
    </w:r>
    <w:r w:rsidR="00002A76" w:rsidRPr="00002A76">
      <w:rPr>
        <w:b/>
        <w:noProof/>
        <w:sz w:val="18"/>
      </w:rPr>
      <w:t>4</w:t>
    </w:r>
    <w:r w:rsidRPr="00002A76">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59BA" w14:textId="7DBFD55D" w:rsidR="00C445F1" w:rsidRPr="00AB0CD8" w:rsidRDefault="00AB0CD8" w:rsidP="00AB0CD8">
    <w:pPr>
      <w:pStyle w:val="Footer"/>
      <w:tabs>
        <w:tab w:val="right" w:pos="9638"/>
      </w:tabs>
    </w:pP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9</w:t>
    </w:r>
    <w:r w:rsidRPr="00AB0CD8">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2557" w14:textId="7483E540" w:rsidR="00C445F1" w:rsidRPr="00AB0CD8" w:rsidRDefault="00AB0CD8" w:rsidP="00AB0CD8">
    <w:pPr>
      <w:pStyle w:val="Footer"/>
      <w:tabs>
        <w:tab w:val="right" w:pos="9638"/>
      </w:tabs>
      <w:rPr>
        <w:b/>
        <w:sz w:val="18"/>
      </w:rPr>
    </w:pPr>
    <w:r>
      <w:tab/>
    </w: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10</w:t>
    </w:r>
    <w:r w:rsidRPr="00AB0CD8">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010C" w14:textId="0F1947A8" w:rsidR="0098239D" w:rsidRPr="00AB0CD8" w:rsidRDefault="00AB0CD8" w:rsidP="00AB0CD8">
    <w:pPr>
      <w:pStyle w:val="Footer"/>
      <w:tabs>
        <w:tab w:val="right" w:pos="9638"/>
      </w:tabs>
    </w:pPr>
    <w:r w:rsidRPr="00AB0CD8">
      <w:rPr>
        <w:b/>
        <w:sz w:val="18"/>
      </w:rPr>
      <w:fldChar w:fldCharType="begin"/>
    </w:r>
    <w:r w:rsidRPr="00AB0CD8">
      <w:rPr>
        <w:b/>
        <w:sz w:val="18"/>
      </w:rPr>
      <w:instrText xml:space="preserve"> PAGE  \* MERGEFORMAT </w:instrText>
    </w:r>
    <w:r w:rsidRPr="00AB0CD8">
      <w:rPr>
        <w:b/>
        <w:sz w:val="18"/>
      </w:rPr>
      <w:fldChar w:fldCharType="separate"/>
    </w:r>
    <w:r w:rsidRPr="00AB0CD8">
      <w:rPr>
        <w:b/>
        <w:noProof/>
        <w:sz w:val="18"/>
      </w:rPr>
      <w:t>13</w:t>
    </w:r>
    <w:r w:rsidRPr="00AB0CD8">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1162B" w14:textId="77777777" w:rsidR="008A55AB" w:rsidRDefault="008A55AB">
      <w:r>
        <w:separator/>
      </w:r>
    </w:p>
  </w:footnote>
  <w:footnote w:type="continuationSeparator" w:id="0">
    <w:p w14:paraId="08CDC00E" w14:textId="77777777" w:rsidR="008A55AB" w:rsidRDefault="008A55AB">
      <w:r>
        <w:continuationSeparator/>
      </w:r>
    </w:p>
    <w:p w14:paraId="584D8CEF" w14:textId="77777777" w:rsidR="008A55AB" w:rsidRDefault="008A55AB"/>
  </w:footnote>
  <w:footnote w:type="continuationNotice" w:id="1">
    <w:p w14:paraId="424E4B64" w14:textId="77777777" w:rsidR="008A55AB" w:rsidRDefault="008A55AB">
      <w:pPr>
        <w:spacing w:line="240" w:lineRule="auto"/>
      </w:pPr>
    </w:p>
  </w:footnote>
  <w:footnote w:id="2">
    <w:p w14:paraId="2C02C5DF" w14:textId="3C90548B" w:rsidR="00081DEE" w:rsidRPr="002A24C3" w:rsidRDefault="00081DEE" w:rsidP="002D3E44">
      <w:pPr>
        <w:pStyle w:val="FootnoteText"/>
        <w:widowControl w:val="0"/>
        <w:rPr>
          <w:lang w:val="en-US"/>
        </w:rPr>
      </w:pPr>
      <w:r>
        <w:tab/>
      </w:r>
      <w:r>
        <w:rPr>
          <w:rStyle w:val="FootnoteReference"/>
        </w:rPr>
        <w:footnoteRef/>
      </w:r>
      <w:r>
        <w:tab/>
        <w:t>As per decision 3/CMP.1, para. 28.</w:t>
      </w:r>
    </w:p>
  </w:footnote>
  <w:footnote w:id="3">
    <w:p w14:paraId="016DCFDC" w14:textId="77777777" w:rsidR="00081DEE" w:rsidRPr="00873512" w:rsidRDefault="00081DEE" w:rsidP="002D3E44">
      <w:pPr>
        <w:pStyle w:val="FootnoteText"/>
        <w:rPr>
          <w:lang w:val="en-US"/>
        </w:rPr>
      </w:pPr>
      <w:r>
        <w:tab/>
      </w:r>
      <w:r>
        <w:rPr>
          <w:rStyle w:val="FootnoteReference"/>
        </w:rPr>
        <w:footnoteRef/>
      </w:r>
      <w:r>
        <w:tab/>
      </w:r>
      <w:r w:rsidRPr="006B2817">
        <w:t xml:space="preserve">The total number of project activities registered </w:t>
      </w:r>
      <w:r>
        <w:t xml:space="preserve">as at 10 December 2023 </w:t>
      </w:r>
      <w:r w:rsidRPr="006B2817">
        <w:t>was 7,864, of which 24 ha</w:t>
      </w:r>
      <w:r>
        <w:t>d</w:t>
      </w:r>
      <w:r w:rsidRPr="006B2817">
        <w:t xml:space="preserve"> been deregistered. Additionally, 26 project activities were </w:t>
      </w:r>
      <w:r>
        <w:t xml:space="preserve">recorded as provisional </w:t>
      </w:r>
      <w:r w:rsidRPr="006B2817">
        <w:t xml:space="preserve">with a crediting period starting on or after </w:t>
      </w:r>
      <w:r>
        <w:t xml:space="preserve">1 </w:t>
      </w:r>
      <w:r w:rsidRPr="006B2817">
        <w:t>January 2021</w:t>
      </w:r>
      <w:r>
        <w:t>.</w:t>
      </w:r>
    </w:p>
  </w:footnote>
  <w:footnote w:id="4">
    <w:p w14:paraId="6CCBE836" w14:textId="08082873" w:rsidR="00081DEE" w:rsidRPr="00255793" w:rsidRDefault="00081DEE" w:rsidP="002D3E44">
      <w:pPr>
        <w:pStyle w:val="FootnoteText"/>
        <w:rPr>
          <w:lang w:val="en-US"/>
        </w:rPr>
      </w:pPr>
      <w:r>
        <w:tab/>
      </w:r>
      <w:r>
        <w:rPr>
          <w:rStyle w:val="FootnoteReference"/>
        </w:rPr>
        <w:footnoteRef/>
      </w:r>
      <w:r>
        <w:tab/>
      </w:r>
      <w:r>
        <w:tab/>
      </w:r>
      <w:r w:rsidRPr="006B2817">
        <w:t xml:space="preserve">The total number of </w:t>
      </w:r>
      <w:r>
        <w:t xml:space="preserve">programmes of </w:t>
      </w:r>
      <w:r w:rsidRPr="006B2817">
        <w:t xml:space="preserve">activities registered </w:t>
      </w:r>
      <w:r>
        <w:t xml:space="preserve">as at 10 December 2023 </w:t>
      </w:r>
      <w:r w:rsidRPr="006B2817">
        <w:t xml:space="preserve">was </w:t>
      </w:r>
      <w:r>
        <w:t>353;</w:t>
      </w:r>
      <w:r w:rsidRPr="006B2817">
        <w:t xml:space="preserve"> </w:t>
      </w:r>
      <w:r>
        <w:t>a</w:t>
      </w:r>
      <w:r w:rsidRPr="006B2817">
        <w:t>dditionally,</w:t>
      </w:r>
      <w:r>
        <w:t xml:space="preserve"> 10</w:t>
      </w:r>
      <w:r w:rsidRPr="006B2817">
        <w:t xml:space="preserve"> </w:t>
      </w:r>
      <w:r>
        <w:t xml:space="preserve">programmes of </w:t>
      </w:r>
      <w:r w:rsidRPr="006B2817">
        <w:t xml:space="preserve">activities were </w:t>
      </w:r>
      <w:r>
        <w:t xml:space="preserve">recorded as provisional </w:t>
      </w:r>
      <w:r w:rsidRPr="006B2817">
        <w:t xml:space="preserve">with a </w:t>
      </w:r>
      <w:r>
        <w:t xml:space="preserve">programme of activity period </w:t>
      </w:r>
      <w:r w:rsidRPr="006B2817">
        <w:t xml:space="preserve">starting on or after </w:t>
      </w:r>
      <w:r>
        <w:t xml:space="preserve">1 </w:t>
      </w:r>
      <w:r w:rsidRPr="006B2817">
        <w:t>January 2021</w:t>
      </w:r>
      <w:r>
        <w:t>.</w:t>
      </w:r>
    </w:p>
  </w:footnote>
  <w:footnote w:id="5">
    <w:p w14:paraId="1F39B441" w14:textId="3C046FFC" w:rsidR="00081DEE" w:rsidRPr="007C5B9E" w:rsidRDefault="00081DEE" w:rsidP="002D3E44">
      <w:pPr>
        <w:pStyle w:val="FootnoteText"/>
        <w:rPr>
          <w:lang w:val="en-US"/>
        </w:rPr>
      </w:pPr>
      <w:r>
        <w:tab/>
      </w:r>
      <w:r>
        <w:rPr>
          <w:rStyle w:val="FootnoteReference"/>
        </w:rPr>
        <w:footnoteRef/>
      </w:r>
      <w:r>
        <w:tab/>
      </w:r>
      <w:r w:rsidRPr="00203F82">
        <w:t>FCCC/KP/CMP/</w:t>
      </w:r>
      <w:r w:rsidRPr="00912AE0">
        <w:t>2023/5</w:t>
      </w:r>
      <w:r>
        <w:t>.</w:t>
      </w:r>
    </w:p>
  </w:footnote>
  <w:footnote w:id="6">
    <w:p w14:paraId="03C4DA1D" w14:textId="77777777" w:rsidR="00081DEE" w:rsidRPr="009313C7" w:rsidRDefault="00081DEE" w:rsidP="00081DEE">
      <w:pPr>
        <w:pStyle w:val="FootnoteText"/>
        <w:rPr>
          <w:lang w:val="en-US"/>
        </w:rPr>
      </w:pPr>
      <w:r>
        <w:tab/>
      </w:r>
      <w:r>
        <w:rPr>
          <w:rStyle w:val="FootnoteReference"/>
        </w:rPr>
        <w:footnoteRef/>
      </w:r>
      <w:r>
        <w:tab/>
        <w:t>See para. 24 of Executive Board document CDM-EB118.</w:t>
      </w:r>
    </w:p>
  </w:footnote>
  <w:footnote w:id="7">
    <w:p w14:paraId="31F03C5D" w14:textId="77777777" w:rsidR="00081DEE" w:rsidRPr="00486461" w:rsidRDefault="00081DEE" w:rsidP="00081DEE">
      <w:pPr>
        <w:pStyle w:val="FootnoteText"/>
        <w:widowControl w:val="0"/>
        <w:rPr>
          <w:lang w:val="en-US"/>
        </w:rPr>
      </w:pPr>
      <w:r>
        <w:tab/>
      </w:r>
      <w:r>
        <w:rPr>
          <w:rStyle w:val="FootnoteReference"/>
        </w:rPr>
        <w:footnoteRef/>
      </w:r>
      <w:r>
        <w:tab/>
        <w:t xml:space="preserve">See document FCCC/KP/CMP/2023/5, para. 10. </w:t>
      </w:r>
    </w:p>
  </w:footnote>
  <w:footnote w:id="8">
    <w:p w14:paraId="68488D9B" w14:textId="77777777" w:rsidR="00081DEE" w:rsidRPr="00486461" w:rsidRDefault="00081DEE" w:rsidP="00081DEE">
      <w:pPr>
        <w:pStyle w:val="FootnoteText"/>
        <w:widowControl w:val="0"/>
        <w:rPr>
          <w:lang w:val="en-US"/>
        </w:rPr>
      </w:pPr>
      <w:r>
        <w:tab/>
      </w:r>
      <w:r>
        <w:rPr>
          <w:rStyle w:val="FootnoteReference"/>
        </w:rPr>
        <w:footnoteRef/>
      </w:r>
      <w:r>
        <w:tab/>
        <w:t>See document FCCC/KP/CMP/2023/5, para. 12.</w:t>
      </w:r>
    </w:p>
  </w:footnote>
  <w:footnote w:id="9">
    <w:p w14:paraId="426D5AA3" w14:textId="77777777" w:rsidR="00081DEE" w:rsidRPr="00113FC4" w:rsidRDefault="00081DEE" w:rsidP="00081DEE">
      <w:pPr>
        <w:pStyle w:val="FootnoteText"/>
        <w:widowControl w:val="0"/>
        <w:tabs>
          <w:tab w:val="clear" w:pos="1021"/>
          <w:tab w:val="right" w:pos="1020"/>
        </w:tabs>
        <w:rPr>
          <w:lang w:val="en-US"/>
        </w:rPr>
      </w:pPr>
      <w:r>
        <w:tab/>
      </w:r>
      <w:r>
        <w:rPr>
          <w:rStyle w:val="FootnoteReference"/>
        </w:rPr>
        <w:footnoteRef/>
      </w:r>
      <w:r>
        <w:tab/>
        <w:t xml:space="preserve">FCCC/TP/2023/3. </w:t>
      </w:r>
    </w:p>
  </w:footnote>
  <w:footnote w:id="10">
    <w:p w14:paraId="73520A5A" w14:textId="77777777" w:rsidR="00D94D27" w:rsidRPr="0094673D" w:rsidRDefault="00D94D27" w:rsidP="00D94D27">
      <w:pPr>
        <w:pStyle w:val="FootnoteText"/>
        <w:rPr>
          <w:lang w:val="en-US"/>
        </w:rPr>
      </w:pPr>
      <w:r w:rsidRPr="007A14C4">
        <w:tab/>
      </w:r>
      <w:r w:rsidRPr="00D43E6C">
        <w:rPr>
          <w:rStyle w:val="FootnoteReference"/>
        </w:rPr>
        <w:footnoteRef/>
      </w:r>
      <w:r w:rsidRPr="0094673D">
        <w:rPr>
          <w:lang w:val="en-US"/>
        </w:rPr>
        <w:tab/>
        <w:t xml:space="preserve">Decision 2/CMP.17, para. 13. </w:t>
      </w:r>
    </w:p>
  </w:footnote>
  <w:footnote w:id="11">
    <w:p w14:paraId="3235A4D6" w14:textId="77777777" w:rsidR="002251F9" w:rsidRPr="003503AC" w:rsidRDefault="002251F9" w:rsidP="00B556C4">
      <w:pPr>
        <w:pStyle w:val="FootnoteText"/>
        <w:widowControl w:val="0"/>
        <w:jc w:val="both"/>
        <w:rPr>
          <w:lang w:val="en-US"/>
        </w:rPr>
      </w:pPr>
      <w:r>
        <w:tab/>
      </w:r>
      <w:r>
        <w:rPr>
          <w:rStyle w:val="FootnoteReference"/>
        </w:rPr>
        <w:footnoteRef/>
      </w:r>
      <w:r>
        <w:tab/>
        <w:t xml:space="preserve">The verification procedure under the Joint Implementation Supervisory Committee, defined in decision 9/CMP.1, annex, paras. 30–45. </w:t>
      </w:r>
    </w:p>
  </w:footnote>
  <w:footnote w:id="12">
    <w:p w14:paraId="4F016727" w14:textId="77777777" w:rsidR="002251F9" w:rsidRPr="003D4882" w:rsidRDefault="002251F9" w:rsidP="00B556C4">
      <w:pPr>
        <w:pStyle w:val="FootnoteText"/>
        <w:widowControl w:val="0"/>
        <w:jc w:val="both"/>
        <w:rPr>
          <w:lang w:val="en-US"/>
        </w:rPr>
      </w:pPr>
      <w:r>
        <w:tab/>
      </w:r>
      <w:r>
        <w:rPr>
          <w:rStyle w:val="FootnoteReference"/>
        </w:rPr>
        <w:footnoteRef/>
      </w:r>
      <w:r>
        <w:tab/>
        <w:t xml:space="preserve">FCCC/KP/CMP/2023/7. </w:t>
      </w:r>
    </w:p>
  </w:footnote>
  <w:footnote w:id="13">
    <w:p w14:paraId="03DF32F7" w14:textId="77777777" w:rsidR="002251F9" w:rsidRPr="002D3E44" w:rsidRDefault="002251F9" w:rsidP="00B556C4">
      <w:pPr>
        <w:pStyle w:val="FootnoteText"/>
        <w:jc w:val="both"/>
        <w:rPr>
          <w:szCs w:val="18"/>
          <w:lang w:val="en-US"/>
        </w:rPr>
      </w:pPr>
      <w:r>
        <w:tab/>
      </w:r>
      <w:r w:rsidRPr="002D3E44">
        <w:rPr>
          <w:rStyle w:val="FootnoteReference"/>
          <w:szCs w:val="18"/>
        </w:rPr>
        <w:footnoteRef/>
      </w:r>
      <w:r w:rsidRPr="002D3E44">
        <w:rPr>
          <w:szCs w:val="18"/>
        </w:rPr>
        <w:tab/>
        <w:t>In the estimated amount of USD 250,000.</w:t>
      </w:r>
    </w:p>
  </w:footnote>
  <w:footnote w:id="14">
    <w:p w14:paraId="2DD6CE86" w14:textId="77777777" w:rsidR="00BE7172" w:rsidRPr="004D7F09" w:rsidRDefault="00BE7172" w:rsidP="00BE7172">
      <w:pPr>
        <w:pStyle w:val="FootnoteText"/>
      </w:pPr>
      <w:r>
        <w:tab/>
      </w:r>
      <w:r w:rsidRPr="004D7F09">
        <w:rPr>
          <w:rStyle w:val="FootnoteReference"/>
        </w:rPr>
        <w:footnoteRef/>
      </w:r>
      <w:r w:rsidRPr="004D7F09">
        <w:tab/>
        <w:t>FCCC/KP/CMP/2023/2–FCCC/PA/CMA/2023/6 and Add.1.</w:t>
      </w:r>
    </w:p>
  </w:footnote>
  <w:footnote w:id="15">
    <w:p w14:paraId="24BDB6F5" w14:textId="77777777" w:rsidR="00BE7172" w:rsidRPr="004D7F09" w:rsidRDefault="00BE7172" w:rsidP="00BE7172">
      <w:pPr>
        <w:pStyle w:val="FootnoteText"/>
        <w:widowControl w:val="0"/>
        <w:tabs>
          <w:tab w:val="clear" w:pos="1021"/>
          <w:tab w:val="right" w:pos="1020"/>
        </w:tabs>
        <w:rPr>
          <w:lang w:val="en-US"/>
        </w:rPr>
      </w:pPr>
      <w:r w:rsidRPr="004D7F09">
        <w:tab/>
      </w:r>
      <w:r w:rsidRPr="004D7F09">
        <w:rPr>
          <w:rStyle w:val="FootnoteReference"/>
        </w:rPr>
        <w:footnoteRef/>
      </w:r>
      <w:r w:rsidRPr="004D7F09">
        <w:tab/>
        <w:t xml:space="preserve">See Adaptation Fund Board document AFB/B.40/5/Rev.1. </w:t>
      </w:r>
    </w:p>
  </w:footnote>
  <w:footnote w:id="16">
    <w:p w14:paraId="1D20AB66" w14:textId="77777777" w:rsidR="00BE7172" w:rsidRPr="004D7F09" w:rsidRDefault="00BE7172" w:rsidP="00BE7172">
      <w:pPr>
        <w:pStyle w:val="FootnoteText"/>
        <w:widowControl w:val="0"/>
        <w:tabs>
          <w:tab w:val="clear" w:pos="1021"/>
          <w:tab w:val="right" w:pos="1020"/>
        </w:tabs>
        <w:rPr>
          <w:lang w:val="en-AU"/>
        </w:rPr>
      </w:pPr>
      <w:r w:rsidRPr="004D7F09">
        <w:tab/>
      </w:r>
      <w:r w:rsidRPr="004D7F09">
        <w:rPr>
          <w:rStyle w:val="FootnoteReference"/>
        </w:rPr>
        <w:footnoteRef/>
      </w:r>
      <w:r w:rsidRPr="004D7F09">
        <w:tab/>
        <w:t>See Adaptation Fund Board document AFB/B.39/5/Rev.2.</w:t>
      </w:r>
    </w:p>
  </w:footnote>
  <w:footnote w:id="17">
    <w:p w14:paraId="095C2C18" w14:textId="77777777" w:rsidR="00BE7172" w:rsidRPr="000C5088" w:rsidRDefault="00BE7172" w:rsidP="00BE7172">
      <w:pPr>
        <w:pStyle w:val="FootnoteText"/>
        <w:widowControl w:val="0"/>
        <w:tabs>
          <w:tab w:val="clear" w:pos="1021"/>
          <w:tab w:val="right" w:pos="1020"/>
        </w:tabs>
        <w:rPr>
          <w:lang w:val="en-US"/>
        </w:rPr>
      </w:pPr>
      <w:r w:rsidRPr="004D7F09">
        <w:rPr>
          <w:lang w:val="en-US"/>
        </w:rPr>
        <w:tab/>
      </w:r>
      <w:r w:rsidRPr="004D7F09">
        <w:rPr>
          <w:rStyle w:val="FootnoteReference"/>
        </w:rPr>
        <w:footnoteRef/>
      </w:r>
      <w:r w:rsidRPr="004D7F09">
        <w:tab/>
      </w:r>
      <w:r w:rsidRPr="004D7F09">
        <w:tab/>
        <w:t>See Adaptation Fund Board document AFB/B.41/8/Rev.1</w:t>
      </w:r>
      <w:r w:rsidRPr="00010767">
        <w:t>.</w:t>
      </w:r>
    </w:p>
  </w:footnote>
  <w:footnote w:id="18">
    <w:p w14:paraId="30144580" w14:textId="253C1AE3" w:rsidR="00BE7172" w:rsidRPr="007B1C05" w:rsidRDefault="00BE7172" w:rsidP="00F61F2F">
      <w:pPr>
        <w:pStyle w:val="FootnoteText"/>
        <w:widowControl w:val="0"/>
        <w:rPr>
          <w:lang w:val="en-US"/>
        </w:rPr>
      </w:pPr>
      <w:r>
        <w:tab/>
      </w:r>
      <w:r>
        <w:rPr>
          <w:rStyle w:val="FootnoteReference"/>
        </w:rPr>
        <w:footnoteRef/>
      </w:r>
      <w:r>
        <w:tab/>
      </w:r>
      <w:r w:rsidRPr="00CE5BF8">
        <w:t>Including a training course on enhanced direct access; a study on the role of national financial institutions and trust funds in providing climate adaptation – lessons learned from the Adaptation Fund; a study on strengthening resilience through disaster risk reduction and early warning systems; an event during the Adaptation Futures 2023 Conference in Montreal, Canada; a project monitoring mission in Peru; and participation in the 2023 RedLAC Congress in Cusco, Peru.</w:t>
      </w:r>
    </w:p>
  </w:footnote>
  <w:footnote w:id="19">
    <w:p w14:paraId="14BAFC7F" w14:textId="77777777" w:rsidR="00BE7172" w:rsidRPr="007F58F8" w:rsidRDefault="00BE7172" w:rsidP="00F61F2F">
      <w:pPr>
        <w:pStyle w:val="FootnoteText"/>
        <w:widowControl w:val="0"/>
        <w:rPr>
          <w:lang w:val="en-US"/>
        </w:rPr>
      </w:pPr>
      <w:r>
        <w:tab/>
      </w:r>
      <w:r>
        <w:rPr>
          <w:rStyle w:val="FootnoteReference"/>
        </w:rPr>
        <w:footnoteRef/>
      </w:r>
      <w:r>
        <w:tab/>
      </w:r>
      <w:r w:rsidRPr="0077658C">
        <w:t>See decision 3/CMP.16, para. 3.</w:t>
      </w:r>
    </w:p>
  </w:footnote>
  <w:footnote w:id="20">
    <w:p w14:paraId="64754211" w14:textId="77777777" w:rsidR="00BE7172" w:rsidRPr="00BD3494" w:rsidRDefault="00BE7172" w:rsidP="00F61F2F">
      <w:pPr>
        <w:pStyle w:val="FootnoteText"/>
        <w:widowControl w:val="0"/>
      </w:pPr>
      <w:r>
        <w:tab/>
      </w:r>
      <w:r>
        <w:rPr>
          <w:rStyle w:val="FootnoteReference"/>
        </w:rPr>
        <w:footnoteRef/>
      </w:r>
      <w:r>
        <w:tab/>
        <w:t xml:space="preserve">Including the declaration by the Adaptation Fund, the Climate Investment Funds, the Global Environment Facility and the Green Climate Fund on enhancing access to climate finance and increasing </w:t>
      </w:r>
      <w:r w:rsidRPr="00BF14C9">
        <w:t xml:space="preserve">the effectiveness of multilateral climate funds (see </w:t>
      </w:r>
      <w:hyperlink r:id="rId1" w:history="1">
        <w:r w:rsidRPr="004D2D8E">
          <w:rPr>
            <w:rStyle w:val="Hyperlink"/>
          </w:rPr>
          <w:t>https://www.adaptation-fund.org/enhancing-access-and-increasing-impact-the-role-of-the-multilateral-climate-funds/</w:t>
        </w:r>
      </w:hyperlink>
      <w:r w:rsidRPr="00BF14C9">
        <w:t>).</w:t>
      </w:r>
    </w:p>
  </w:footnote>
  <w:footnote w:id="21">
    <w:p w14:paraId="6011F9A3" w14:textId="77777777" w:rsidR="0098239D" w:rsidRPr="0011453F" w:rsidRDefault="0098239D" w:rsidP="0098239D">
      <w:pPr>
        <w:pStyle w:val="FootnoteText"/>
        <w:widowControl w:val="0"/>
        <w:tabs>
          <w:tab w:val="clear" w:pos="1021"/>
          <w:tab w:val="right" w:pos="1020"/>
        </w:tabs>
        <w:rPr>
          <w:lang w:val="en-US"/>
        </w:rPr>
      </w:pPr>
      <w:r>
        <w:tab/>
      </w:r>
      <w:r>
        <w:rPr>
          <w:rStyle w:val="FootnoteReference"/>
        </w:rPr>
        <w:footnoteRef/>
      </w:r>
      <w:r>
        <w:tab/>
        <w:t xml:space="preserve">Decision 7/CMA.1. </w:t>
      </w:r>
    </w:p>
  </w:footnote>
  <w:footnote w:id="22">
    <w:p w14:paraId="2CA2BFBA" w14:textId="77777777" w:rsidR="0098239D" w:rsidRPr="004D0EC2" w:rsidRDefault="0098239D" w:rsidP="0098239D">
      <w:pPr>
        <w:pStyle w:val="FootnoteText"/>
        <w:widowControl w:val="0"/>
        <w:tabs>
          <w:tab w:val="clear" w:pos="1021"/>
          <w:tab w:val="right" w:pos="1020"/>
        </w:tabs>
        <w:rPr>
          <w:lang w:val="en-US"/>
        </w:rPr>
      </w:pPr>
      <w:r>
        <w:tab/>
      </w:r>
      <w:r>
        <w:rPr>
          <w:rStyle w:val="FootnoteReference"/>
        </w:rPr>
        <w:footnoteRef/>
      </w:r>
      <w:r>
        <w:tab/>
        <w:t>See decision 1/CP.21, para. 34.</w:t>
      </w:r>
    </w:p>
  </w:footnote>
  <w:footnote w:id="23">
    <w:p w14:paraId="7AA2106B" w14:textId="77777777" w:rsidR="0098239D" w:rsidRPr="00B2456F" w:rsidRDefault="0098239D" w:rsidP="0098239D">
      <w:pPr>
        <w:pStyle w:val="FootnoteText"/>
        <w:widowControl w:val="0"/>
        <w:tabs>
          <w:tab w:val="clear" w:pos="1021"/>
          <w:tab w:val="right" w:pos="1020"/>
        </w:tabs>
        <w:rPr>
          <w:lang w:val="en-US"/>
        </w:rPr>
      </w:pPr>
      <w:r>
        <w:tab/>
      </w:r>
      <w:r>
        <w:rPr>
          <w:rStyle w:val="FootnoteReference"/>
        </w:rPr>
        <w:footnoteRef/>
      </w:r>
      <w:r>
        <w:tab/>
        <w:t xml:space="preserve">See decision 7/CMA.1, annex, para. 4. </w:t>
      </w:r>
    </w:p>
  </w:footnote>
  <w:footnote w:id="24">
    <w:p w14:paraId="365CCE82" w14:textId="77777777" w:rsidR="0098239D" w:rsidRPr="00CF7DDC" w:rsidRDefault="0098239D" w:rsidP="0098239D">
      <w:pPr>
        <w:pStyle w:val="FootnoteText"/>
        <w:widowControl w:val="0"/>
        <w:rPr>
          <w:lang w:val="en-AU"/>
        </w:rPr>
      </w:pPr>
      <w:r>
        <w:tab/>
      </w:r>
      <w:r>
        <w:rPr>
          <w:rStyle w:val="FootnoteReference"/>
        </w:rPr>
        <w:footnoteRef/>
      </w:r>
      <w:r>
        <w:tab/>
        <w:t>Contained in annex II to decisions 4/CP.25, 4/CMP.15 and 4/CMA.2.</w:t>
      </w:r>
    </w:p>
  </w:footnote>
  <w:footnote w:id="25">
    <w:p w14:paraId="216B31F6" w14:textId="77777777" w:rsidR="0098239D" w:rsidRPr="00096703" w:rsidRDefault="0098239D" w:rsidP="00252146">
      <w:pPr>
        <w:pStyle w:val="FootnoteText"/>
        <w:widowControl w:val="0"/>
        <w:rPr>
          <w:lang w:val="en-US"/>
        </w:rPr>
      </w:pPr>
      <w:r>
        <w:tab/>
      </w:r>
      <w:r>
        <w:rPr>
          <w:rStyle w:val="FootnoteReference"/>
        </w:rPr>
        <w:footnoteRef/>
      </w:r>
      <w:r>
        <w:tab/>
        <w:t xml:space="preserve">FCCC/SB/2023/6. </w:t>
      </w:r>
    </w:p>
  </w:footnote>
  <w:footnote w:id="26">
    <w:p w14:paraId="286870F4" w14:textId="52028877" w:rsidR="0098239D" w:rsidRPr="00862A92" w:rsidRDefault="0098239D" w:rsidP="00252146">
      <w:pPr>
        <w:pStyle w:val="FootnoteText"/>
        <w:widowControl w:val="0"/>
        <w:rPr>
          <w:lang w:val="en-US"/>
        </w:rPr>
      </w:pPr>
      <w:r>
        <w:tab/>
      </w:r>
      <w:r>
        <w:rPr>
          <w:rStyle w:val="FootnoteReference"/>
        </w:rPr>
        <w:footnoteRef/>
      </w:r>
      <w:r>
        <w:tab/>
      </w:r>
      <w:r w:rsidR="00BB05EA">
        <w:t>I</w:t>
      </w:r>
      <w:r w:rsidRPr="00B5135A">
        <w:t>dentify</w:t>
      </w:r>
      <w:r>
        <w:t>ing</w:t>
      </w:r>
      <w:r w:rsidRPr="00B5135A">
        <w:t xml:space="preserve"> country-driven strategies and best practices on just transition of the workforce and creation of decent work and quality jobs and on economic diversification</w:t>
      </w:r>
      <w:r>
        <w:t xml:space="preserve"> </w:t>
      </w:r>
      <w:r w:rsidRPr="00801BFA">
        <w:t>and transformation focusing on challenges and opportunities from the implementation of low greenhouse gas emission policies and strategies towards the achievement of sustainable development</w:t>
      </w:r>
      <w:r>
        <w:t>.</w:t>
      </w:r>
    </w:p>
  </w:footnote>
  <w:footnote w:id="27">
    <w:p w14:paraId="49C1F82A" w14:textId="77CB6C31" w:rsidR="0098239D" w:rsidRPr="00676B49" w:rsidRDefault="0098239D" w:rsidP="00252146">
      <w:pPr>
        <w:pStyle w:val="FootnoteText"/>
        <w:widowControl w:val="0"/>
        <w:rPr>
          <w:lang w:val="en-US"/>
        </w:rPr>
      </w:pPr>
      <w:r>
        <w:tab/>
      </w:r>
      <w:r>
        <w:rPr>
          <w:rStyle w:val="FootnoteReference"/>
        </w:rPr>
        <w:footnoteRef/>
      </w:r>
      <w:r>
        <w:tab/>
      </w:r>
      <w:r w:rsidR="00250D12">
        <w:t>I</w:t>
      </w:r>
      <w:r w:rsidRPr="00461BB4">
        <w:t>dentify</w:t>
      </w:r>
      <w:r>
        <w:t>ing</w:t>
      </w:r>
      <w:r w:rsidRPr="00461BB4">
        <w:t xml:space="preserve"> and exchang</w:t>
      </w:r>
      <w:r>
        <w:t>ing</w:t>
      </w:r>
      <w:r w:rsidRPr="00461BB4">
        <w:t xml:space="preserve"> experience and best practices in engaging the private sector, including small and medium-sized enterprises and public–private partnerships, to facilitate the creation of decent work and quality jobs in low greenhouse gas emission sectors</w:t>
      </w:r>
      <w:r>
        <w:t>.</w:t>
      </w:r>
    </w:p>
  </w:footnote>
  <w:footnote w:id="28">
    <w:p w14:paraId="315A2D97" w14:textId="3B564615" w:rsidR="0098239D" w:rsidRPr="00EE2D7C" w:rsidRDefault="0098239D" w:rsidP="00252146">
      <w:pPr>
        <w:pStyle w:val="FootnoteText"/>
        <w:widowControl w:val="0"/>
        <w:rPr>
          <w:lang w:val="en-US"/>
        </w:rPr>
      </w:pPr>
      <w:r>
        <w:tab/>
      </w:r>
      <w:r>
        <w:rPr>
          <w:rStyle w:val="FootnoteReference"/>
        </w:rPr>
        <w:footnoteRef/>
      </w:r>
      <w:r>
        <w:tab/>
      </w:r>
      <w:r w:rsidR="00250D12">
        <w:t>I</w:t>
      </w:r>
      <w:r w:rsidRPr="008C78A7">
        <w:t>dentify</w:t>
      </w:r>
      <w:r>
        <w:t>ing</w:t>
      </w:r>
      <w:r w:rsidRPr="008C78A7">
        <w:t xml:space="preserve"> and assess</w:t>
      </w:r>
      <w:r>
        <w:t>ing</w:t>
      </w:r>
      <w:r w:rsidRPr="008C78A7">
        <w:t xml:space="preserve"> the impacts of the implementation of response measures taking into account intergenerational equity, gender considerations and the needs of local communities, </w:t>
      </w:r>
      <w:r w:rsidR="00250D12">
        <w:t>I</w:t>
      </w:r>
      <w:r w:rsidRPr="008C78A7">
        <w:t xml:space="preserve">ndigenous </w:t>
      </w:r>
      <w:r w:rsidR="00250D12">
        <w:t>P</w:t>
      </w:r>
      <w:r w:rsidRPr="008C78A7">
        <w:t>eoples, youth and other people in vulnerable situations</w:t>
      </w:r>
      <w:r>
        <w:t>.</w:t>
      </w:r>
    </w:p>
  </w:footnote>
  <w:footnote w:id="29">
    <w:p w14:paraId="6B93B486" w14:textId="5ACB3E28" w:rsidR="0098239D" w:rsidRPr="00676B49" w:rsidRDefault="0098239D" w:rsidP="00252146">
      <w:pPr>
        <w:pStyle w:val="FootnoteText"/>
        <w:widowControl w:val="0"/>
        <w:rPr>
          <w:lang w:val="en-US"/>
        </w:rPr>
      </w:pPr>
      <w:r>
        <w:tab/>
      </w:r>
      <w:r>
        <w:rPr>
          <w:rStyle w:val="FootnoteReference"/>
        </w:rPr>
        <w:footnoteRef/>
      </w:r>
      <w:r>
        <w:tab/>
      </w:r>
      <w:r w:rsidR="00250D12">
        <w:t>F</w:t>
      </w:r>
      <w:r w:rsidRPr="00605B32">
        <w:t>acilitat</w:t>
      </w:r>
      <w:r>
        <w:t>ing</w:t>
      </w:r>
      <w:r w:rsidRPr="00605B32">
        <w:t xml:space="preserve"> the development and exchange of regional, country- and/or sector-specific case studies and approaches on (1) economic diversification and transformation and just transition of the workforce and creation of decent work and quality jobs, and (2) assessment and analysis of the impacts of the implementation of response measures with a view to understanding the positive and negative impacts</w:t>
      </w:r>
      <w:r>
        <w:t xml:space="preserve">. </w:t>
      </w:r>
    </w:p>
  </w:footnote>
  <w:footnote w:id="30">
    <w:p w14:paraId="1C815B23" w14:textId="48F60EE5" w:rsidR="0098239D" w:rsidRPr="00D83B7D" w:rsidRDefault="0098239D" w:rsidP="00252146">
      <w:pPr>
        <w:pStyle w:val="FootnoteText"/>
        <w:widowControl w:val="0"/>
        <w:rPr>
          <w:lang w:val="en-US"/>
        </w:rPr>
      </w:pPr>
      <w:r>
        <w:tab/>
      </w:r>
      <w:r>
        <w:rPr>
          <w:rStyle w:val="FootnoteReference"/>
        </w:rPr>
        <w:footnoteRef/>
      </w:r>
      <w:r>
        <w:tab/>
      </w:r>
      <w:r w:rsidRPr="00A352FF">
        <w:rPr>
          <w:rStyle w:val="Hyperlink"/>
        </w:rPr>
        <w:t>https://www4.unfccc.int/sites/submissionsstaging/Pages/Home.aspx</w:t>
      </w:r>
      <w:r>
        <w:t>.</w:t>
      </w:r>
    </w:p>
  </w:footnote>
  <w:footnote w:id="31">
    <w:p w14:paraId="29921B44" w14:textId="277B6439" w:rsidR="0098239D" w:rsidRPr="00D847C9" w:rsidRDefault="0098239D" w:rsidP="00252146">
      <w:pPr>
        <w:pStyle w:val="FootnoteText"/>
        <w:widowControl w:val="0"/>
        <w:rPr>
          <w:lang w:val="en-US"/>
        </w:rPr>
      </w:pPr>
      <w:r>
        <w:tab/>
      </w:r>
      <w:r>
        <w:rPr>
          <w:rStyle w:val="FootnoteReference"/>
        </w:rPr>
        <w:footnoteRef/>
      </w:r>
      <w:r>
        <w:tab/>
      </w:r>
      <w:r w:rsidR="00745763">
        <w:t>F</w:t>
      </w:r>
      <w:r w:rsidRPr="00D847C9">
        <w:t>acilitat</w:t>
      </w:r>
      <w:r>
        <w:t>ing</w:t>
      </w:r>
      <w:r w:rsidRPr="00D847C9">
        <w:t xml:space="preserve"> the development, enhancement, customization and use of tools and methodologies for modelling and assessing the impacts of the implementation of response measures, including identifying and reviewing existing tools and approaches in data-poor environments, in consultation with technical experts, practitioners and other relevant stakeholders</w:t>
      </w:r>
      <w:r>
        <w:t xml:space="preserve">. </w:t>
      </w:r>
    </w:p>
  </w:footnote>
  <w:footnote w:id="32">
    <w:p w14:paraId="652CD977" w14:textId="050DC705" w:rsidR="0098239D" w:rsidRPr="007C04E5" w:rsidRDefault="0098239D" w:rsidP="00252146">
      <w:pPr>
        <w:pStyle w:val="FootnoteText"/>
        <w:widowControl w:val="0"/>
        <w:rPr>
          <w:lang w:val="en-US"/>
        </w:rPr>
      </w:pPr>
      <w:r>
        <w:tab/>
      </w:r>
      <w:r>
        <w:rPr>
          <w:rStyle w:val="FootnoteReference"/>
        </w:rPr>
        <w:footnoteRef/>
      </w:r>
      <w:r>
        <w:tab/>
      </w:r>
      <w:r w:rsidRPr="003A7808">
        <w:t xml:space="preserve">More information on the event, including the agenda and presentations, can be found at </w:t>
      </w:r>
      <w:hyperlink r:id="rId2" w:history="1">
        <w:r w:rsidRPr="00106AEF">
          <w:rPr>
            <w:rStyle w:val="Hyperlink"/>
          </w:rPr>
          <w:t>https://unfccc.int/event/RM-AsiaPacificWorkshop-Bangkok-2023</w:t>
        </w:r>
      </w:hyperlink>
      <w:r w:rsidRPr="00252146">
        <w:rPr>
          <w:rStyle w:val="Hyperlink"/>
          <w:color w:val="auto"/>
          <w:u w:val="none"/>
        </w:rPr>
        <w:t>.</w:t>
      </w:r>
    </w:p>
  </w:footnote>
  <w:footnote w:id="33">
    <w:p w14:paraId="2846C31D" w14:textId="77777777" w:rsidR="0098239D" w:rsidRPr="008A6845" w:rsidRDefault="0098239D" w:rsidP="00252146">
      <w:pPr>
        <w:pStyle w:val="FootnoteText"/>
        <w:widowControl w:val="0"/>
        <w:rPr>
          <w:lang w:val="en-US"/>
        </w:rPr>
      </w:pPr>
      <w:r>
        <w:tab/>
      </w:r>
      <w:r>
        <w:rPr>
          <w:rStyle w:val="FootnoteReference"/>
        </w:rPr>
        <w:footnoteRef/>
      </w:r>
      <w:r w:rsidRPr="007B0D1F">
        <w:rPr>
          <w:lang w:val="en-US"/>
        </w:rPr>
        <w:tab/>
      </w:r>
      <w:r w:rsidRPr="008A6845">
        <w:rPr>
          <w:szCs w:val="18"/>
          <w:lang w:val="en-US"/>
        </w:rPr>
        <w:t>Recalling decision 1/CMA.3, paras. 20–21.</w:t>
      </w:r>
      <w:r w:rsidRPr="008A6845">
        <w:rPr>
          <w:lang w:val="en-US"/>
        </w:rPr>
        <w:t xml:space="preserve"> </w:t>
      </w:r>
    </w:p>
  </w:footnote>
  <w:footnote w:id="34">
    <w:p w14:paraId="6A771DEE" w14:textId="2E2C66E9" w:rsidR="00B3473E" w:rsidRPr="00B3473E" w:rsidRDefault="00B3473E" w:rsidP="00B3473E">
      <w:pPr>
        <w:pStyle w:val="FootnoteText"/>
        <w:widowControl w:val="0"/>
        <w:tabs>
          <w:tab w:val="clear" w:pos="1021"/>
          <w:tab w:val="right" w:pos="1020"/>
        </w:tabs>
        <w:rPr>
          <w:lang w:val="en-US"/>
        </w:rPr>
      </w:pPr>
      <w:r w:rsidRPr="008A6845">
        <w:rPr>
          <w:lang w:val="en-US"/>
        </w:rPr>
        <w:tab/>
      </w:r>
      <w:r>
        <w:rPr>
          <w:rStyle w:val="FootnoteReference"/>
        </w:rPr>
        <w:footnoteRef/>
      </w:r>
      <w:r w:rsidRPr="008A6845">
        <w:rPr>
          <w:lang w:val="en-US"/>
        </w:rPr>
        <w:tab/>
      </w:r>
      <w:r w:rsidR="00606401">
        <w:rPr>
          <w:lang w:val="en-US"/>
        </w:rPr>
        <w:t>See d</w:t>
      </w:r>
      <w:r w:rsidRPr="008A6845">
        <w:rPr>
          <w:lang w:val="en-US"/>
        </w:rPr>
        <w:t>ec</w:t>
      </w:r>
      <w:r w:rsidR="00ED5AFA" w:rsidRPr="008A6845">
        <w:rPr>
          <w:lang w:val="en-US"/>
        </w:rPr>
        <w:t>ision</w:t>
      </w:r>
      <w:r w:rsidRPr="008A6845">
        <w:rPr>
          <w:lang w:val="en-US"/>
        </w:rPr>
        <w:t xml:space="preserve"> 19/CMA.1, paras. </w:t>
      </w:r>
      <w:r>
        <w:t xml:space="preserve">8 and 24. </w:t>
      </w:r>
    </w:p>
  </w:footnote>
  <w:footnote w:id="35">
    <w:p w14:paraId="56BA0BA7" w14:textId="46323087" w:rsidR="0098239D" w:rsidRPr="00183473" w:rsidRDefault="0098239D" w:rsidP="00EB3487">
      <w:pPr>
        <w:pStyle w:val="FootnoteText"/>
        <w:widowControl w:val="0"/>
        <w:rPr>
          <w:lang w:val="en-US"/>
        </w:rPr>
      </w:pPr>
      <w:r>
        <w:tab/>
      </w:r>
      <w:r>
        <w:rPr>
          <w:rStyle w:val="FootnoteReference"/>
        </w:rPr>
        <w:footnoteRef/>
      </w:r>
      <w:r>
        <w:tab/>
        <w:t xml:space="preserve">These activities are to be implemented as part of the implementation of the workplan of the forum and its </w:t>
      </w:r>
      <w:r w:rsidRPr="00ED118E">
        <w:t>Katowice Committee on Impacts</w:t>
      </w:r>
      <w:r>
        <w:t xml:space="preserve"> </w:t>
      </w:r>
      <w:r w:rsidRPr="00FE60FB">
        <w:t>(for the fifty-second to sixty-third sessions of the subsidiary bodies)</w:t>
      </w:r>
      <w:r>
        <w:t xml:space="preserve">. </w:t>
      </w:r>
    </w:p>
  </w:footnote>
  <w:footnote w:id="36">
    <w:p w14:paraId="3A5DE08F" w14:textId="02615562" w:rsidR="0098239D" w:rsidRPr="00737ED6" w:rsidRDefault="0098239D" w:rsidP="00EB3487">
      <w:pPr>
        <w:pStyle w:val="FootnoteText"/>
        <w:widowControl w:val="0"/>
        <w:rPr>
          <w:lang w:val="en-US"/>
        </w:rPr>
      </w:pPr>
      <w:r>
        <w:tab/>
      </w:r>
      <w:r>
        <w:rPr>
          <w:rStyle w:val="FootnoteReference"/>
        </w:rPr>
        <w:footnoteRef/>
      </w:r>
      <w:r>
        <w:tab/>
      </w:r>
      <w:r w:rsidR="005739BB">
        <w:t>F</w:t>
      </w:r>
      <w:r w:rsidRPr="0092752B">
        <w:t>acilitat</w:t>
      </w:r>
      <w:r>
        <w:t>ing</w:t>
      </w:r>
      <w:r w:rsidRPr="0092752B">
        <w:t xml:space="preserve"> the development and exchange of regional, country- and/or sector-specific case studies and approaches on (1) economic diversification and transformation and just transition of the workforce and creation of decent work and quality jobs, and (2) assessment and analysis of the impacts of the implementation of response measures with a view to understanding the positive and negative impacts</w:t>
      </w:r>
      <w:r>
        <w:t xml:space="preserve">. </w:t>
      </w:r>
    </w:p>
  </w:footnote>
  <w:footnote w:id="37">
    <w:p w14:paraId="328DAC3D" w14:textId="77777777" w:rsidR="009F2232" w:rsidRPr="00554B96" w:rsidRDefault="009F2232" w:rsidP="00CA73C3">
      <w:pPr>
        <w:pStyle w:val="FootnoteText"/>
        <w:widowControl w:val="0"/>
        <w:tabs>
          <w:tab w:val="clear" w:pos="1021"/>
          <w:tab w:val="right" w:pos="1020"/>
        </w:tabs>
        <w:jc w:val="both"/>
        <w:rPr>
          <w:lang w:val="en-US"/>
        </w:rPr>
      </w:pPr>
      <w:r>
        <w:tab/>
      </w:r>
      <w:r>
        <w:rPr>
          <w:rStyle w:val="FootnoteReference"/>
        </w:rPr>
        <w:footnoteRef/>
      </w:r>
      <w:r>
        <w:tab/>
        <w:t xml:space="preserve">Decision 15/CP.1, annex I. </w:t>
      </w:r>
    </w:p>
  </w:footnote>
  <w:footnote w:id="38">
    <w:p w14:paraId="11906E7B" w14:textId="1374D248" w:rsidR="00CA73C3" w:rsidRPr="00D96B07" w:rsidRDefault="00CA73C3" w:rsidP="00CA73C3">
      <w:pPr>
        <w:pStyle w:val="FootnoteText"/>
        <w:widowControl w:val="0"/>
        <w:tabs>
          <w:tab w:val="clear" w:pos="1021"/>
          <w:tab w:val="right" w:pos="1020"/>
        </w:tabs>
        <w:rPr>
          <w:lang w:val="en-US"/>
        </w:rPr>
      </w:pPr>
      <w:r>
        <w:tab/>
      </w:r>
      <w:r>
        <w:rPr>
          <w:rStyle w:val="FootnoteReference"/>
        </w:rPr>
        <w:footnoteRef/>
      </w:r>
      <w:r>
        <w:tab/>
      </w:r>
      <w:r w:rsidRPr="00885721">
        <w:tab/>
      </w:r>
      <w:r w:rsidR="00604338">
        <w:t xml:space="preserve">See document </w:t>
      </w:r>
      <w:r>
        <w:t>FCCC/SBI/2023/2/Add.2, table 1.</w:t>
      </w:r>
    </w:p>
  </w:footnote>
  <w:footnote w:id="39">
    <w:p w14:paraId="43857381" w14:textId="77777777" w:rsidR="007E6827" w:rsidRPr="008A382A" w:rsidRDefault="007E6827" w:rsidP="007E6827">
      <w:pPr>
        <w:pStyle w:val="FootnoteText"/>
        <w:widowControl w:val="0"/>
        <w:rPr>
          <w:lang w:val="en-US"/>
        </w:rPr>
      </w:pPr>
      <w:r w:rsidRPr="008171BE">
        <w:tab/>
      </w:r>
      <w:r>
        <w:rPr>
          <w:rStyle w:val="FootnoteReference"/>
        </w:rPr>
        <w:footnoteRef/>
      </w:r>
      <w:r>
        <w:tab/>
      </w:r>
      <w:r w:rsidRPr="00EB3756">
        <w:t>Decision 15/CP.1, annex I</w:t>
      </w:r>
      <w:r>
        <w:t>.</w:t>
      </w:r>
    </w:p>
  </w:footnote>
  <w:footnote w:id="40">
    <w:p w14:paraId="124C9839" w14:textId="77777777" w:rsidR="007E6827" w:rsidRDefault="007E6827" w:rsidP="007E6827">
      <w:pPr>
        <w:pStyle w:val="FootnoteText"/>
        <w:widowControl w:val="0"/>
        <w:rPr>
          <w:lang w:val="en-US"/>
        </w:rPr>
      </w:pPr>
      <w:r>
        <w:tab/>
      </w:r>
      <w:r>
        <w:rPr>
          <w:rStyle w:val="FootnoteReference"/>
        </w:rPr>
        <w:footnoteRef/>
      </w:r>
      <w:r>
        <w:tab/>
      </w:r>
      <w:r w:rsidRPr="000D0774">
        <w:t>FCCC/CP/2023/INF.2</w:t>
      </w:r>
      <w:r>
        <w:t xml:space="preserve">, </w:t>
      </w:r>
      <w:r w:rsidRPr="00FB2D0D">
        <w:t>FCCC/SBI/2023/INF.6</w:t>
      </w:r>
      <w:r>
        <w:t xml:space="preserve">, </w:t>
      </w:r>
      <w:r w:rsidRPr="001707F4">
        <w:t>FCCC/SBI/2023/INF.9</w:t>
      </w:r>
      <w:r>
        <w:t xml:space="preserve"> and Add.1, and </w:t>
      </w:r>
      <w:r w:rsidRPr="00BF1193">
        <w:t>FCCC/SBI/2023/INF.11</w:t>
      </w:r>
      <w:r>
        <w:t>.</w:t>
      </w:r>
    </w:p>
  </w:footnote>
  <w:footnote w:id="41">
    <w:p w14:paraId="1F78797B" w14:textId="77777777" w:rsidR="007E6827" w:rsidRPr="00854CB0" w:rsidRDefault="007E6827" w:rsidP="007E6827">
      <w:pPr>
        <w:pStyle w:val="FootnoteText"/>
        <w:widowControl w:val="0"/>
        <w:rPr>
          <w:lang w:val="en-US"/>
        </w:rPr>
      </w:pPr>
      <w:r>
        <w:tab/>
      </w:r>
      <w:r>
        <w:rPr>
          <w:rStyle w:val="FootnoteReference"/>
        </w:rPr>
        <w:footnoteRef/>
      </w:r>
      <w:r>
        <w:tab/>
      </w:r>
      <w:r w:rsidRPr="00F57D7F">
        <w:t>FCCC/SBI/2023/INF.9</w:t>
      </w:r>
      <w:r>
        <w:t>.</w:t>
      </w:r>
    </w:p>
  </w:footnote>
  <w:footnote w:id="42">
    <w:p w14:paraId="6BD9350E" w14:textId="77777777" w:rsidR="007E6827" w:rsidRPr="00854CB0" w:rsidRDefault="007E6827" w:rsidP="007E6827">
      <w:pPr>
        <w:pStyle w:val="FootnoteText"/>
        <w:rPr>
          <w:lang w:val="en-US"/>
        </w:rPr>
      </w:pPr>
      <w:r>
        <w:tab/>
      </w:r>
      <w:r>
        <w:rPr>
          <w:rStyle w:val="FootnoteReference"/>
        </w:rPr>
        <w:footnoteRef/>
      </w:r>
      <w:r>
        <w:tab/>
      </w:r>
      <w:r w:rsidRPr="0094340A">
        <w:t>FCCC/SBI/2023/INF.9/Add.1</w:t>
      </w:r>
      <w:r>
        <w:t>.</w:t>
      </w:r>
    </w:p>
  </w:footnote>
  <w:footnote w:id="43">
    <w:p w14:paraId="06D53DF8" w14:textId="77777777" w:rsidR="007E6827" w:rsidRPr="00AF55E9" w:rsidRDefault="007E6827" w:rsidP="007E6827">
      <w:pPr>
        <w:pStyle w:val="FootnoteText"/>
        <w:widowControl w:val="0"/>
      </w:pPr>
      <w:r>
        <w:tab/>
      </w:r>
      <w:r>
        <w:rPr>
          <w:rStyle w:val="FootnoteReference"/>
        </w:rPr>
        <w:footnoteRef/>
      </w:r>
      <w:r w:rsidRPr="008171BE">
        <w:tab/>
        <w:t>FCCC/SBI/2023/INF.11.</w:t>
      </w:r>
    </w:p>
  </w:footnote>
  <w:footnote w:id="44">
    <w:p w14:paraId="3DB70B84" w14:textId="77777777" w:rsidR="007E6827" w:rsidRPr="00AF55E9" w:rsidRDefault="007E6827" w:rsidP="007E6827">
      <w:pPr>
        <w:pStyle w:val="FootnoteText"/>
        <w:widowControl w:val="0"/>
        <w:tabs>
          <w:tab w:val="clear" w:pos="1021"/>
          <w:tab w:val="right" w:pos="1020"/>
        </w:tabs>
      </w:pPr>
      <w:r w:rsidRPr="008171BE">
        <w:tab/>
      </w:r>
      <w:r>
        <w:rPr>
          <w:rStyle w:val="FootnoteReference"/>
        </w:rPr>
        <w:footnoteRef/>
      </w:r>
      <w:r w:rsidRPr="008171BE">
        <w:tab/>
        <w:t>FCCC/CP/2023/INF.2.</w:t>
      </w:r>
    </w:p>
  </w:footnote>
  <w:footnote w:id="45">
    <w:p w14:paraId="3241982D" w14:textId="77777777" w:rsidR="007E6827" w:rsidRPr="00415049" w:rsidRDefault="007E6827" w:rsidP="007E6827">
      <w:pPr>
        <w:pStyle w:val="FootnoteText"/>
        <w:widowControl w:val="0"/>
      </w:pPr>
      <w:r w:rsidRPr="008171BE">
        <w:tab/>
      </w:r>
      <w:r>
        <w:rPr>
          <w:rStyle w:val="FootnoteReference"/>
        </w:rPr>
        <w:footnoteRef/>
      </w:r>
      <w:r w:rsidRPr="008171BE">
        <w:tab/>
        <w:t>FCCC/SBI/2023/INF.6.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E7480F" w14:paraId="141059B2" w14:textId="77777777" w:rsidTr="767AD3E6">
      <w:trPr>
        <w:trHeight w:val="300"/>
      </w:trPr>
      <w:tc>
        <w:tcPr>
          <w:tcW w:w="3210" w:type="dxa"/>
        </w:tcPr>
        <w:p w14:paraId="5B973277" w14:textId="77777777" w:rsidR="00E7480F" w:rsidRDefault="00E7480F" w:rsidP="767AD3E6">
          <w:pPr>
            <w:ind w:left="-115"/>
          </w:pPr>
        </w:p>
      </w:tc>
      <w:tc>
        <w:tcPr>
          <w:tcW w:w="3210" w:type="dxa"/>
        </w:tcPr>
        <w:p w14:paraId="5277F611" w14:textId="77777777" w:rsidR="00E7480F" w:rsidRDefault="00E7480F" w:rsidP="767AD3E6">
          <w:pPr>
            <w:jc w:val="center"/>
          </w:pPr>
        </w:p>
      </w:tc>
      <w:tc>
        <w:tcPr>
          <w:tcW w:w="3210" w:type="dxa"/>
        </w:tcPr>
        <w:p w14:paraId="5F27C729" w14:textId="77777777" w:rsidR="00E7480F" w:rsidRDefault="00E7480F" w:rsidP="767AD3E6">
          <w:pPr>
            <w:ind w:right="-115"/>
            <w:jc w:val="right"/>
          </w:pPr>
        </w:p>
      </w:tc>
    </w:tr>
  </w:tbl>
  <w:p w14:paraId="524DC76C" w14:textId="77777777" w:rsidR="00E7480F" w:rsidRDefault="00E7480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3C51" w14:textId="77777777" w:rsidR="00C445F1" w:rsidRDefault="00C445F1" w:rsidP="005440BF">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8E17" w14:textId="53396D22" w:rsidR="0098239D" w:rsidRPr="00AB0CD8" w:rsidRDefault="00AB0CD8" w:rsidP="00AB0CD8">
    <w:pPr>
      <w:pStyle w:val="Header"/>
    </w:pPr>
    <w:r>
      <w:t>FCCC/KP/CMP/2023/9/Add.1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28BFA" w14:textId="46392517" w:rsidR="0098239D" w:rsidRPr="00AB0CD8" w:rsidRDefault="00AB0CD8" w:rsidP="00AB0CD8">
    <w:pPr>
      <w:pStyle w:val="Header"/>
      <w:jc w:val="right"/>
    </w:pPr>
    <w:r>
      <w:t>FCCC/KP/CMP/2023/9/Add.1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D5D0" w14:textId="77777777" w:rsidR="0098239D" w:rsidRDefault="0098239D" w:rsidP="005440BF">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C9995" w14:textId="2ED232B6" w:rsidR="0098239D" w:rsidRPr="00AB0CD8" w:rsidRDefault="00AB0CD8" w:rsidP="00AB0CD8">
    <w:pPr>
      <w:pStyle w:val="Header"/>
    </w:pPr>
    <w:r>
      <w:t>FCCC/KP/CMP/2023/9/Add.1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C9D9" w14:textId="3BF783DB" w:rsidR="00002A76" w:rsidRPr="00AB0CD8" w:rsidRDefault="00AB0CD8" w:rsidP="00AB0CD8">
    <w:pPr>
      <w:pStyle w:val="Header"/>
      <w:jc w:val="right"/>
    </w:pPr>
    <w:r>
      <w:t>FCCC/KP/CMP/2023/9/Add.1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4F638" w14:textId="1F243F5C" w:rsidR="00CB5D9B" w:rsidRPr="00002A76" w:rsidRDefault="00002A76" w:rsidP="00002A76">
    <w:pPr>
      <w:pStyle w:val="Header"/>
    </w:pPr>
    <w:r>
      <w:t>FCCC/KP/CMP/2023/X/Add.1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7B4C" w14:textId="3A7C2602" w:rsidR="00CB5D9B" w:rsidRPr="00AB0CD8" w:rsidRDefault="00AB0CD8" w:rsidP="00AB0CD8">
    <w:pPr>
      <w:pStyle w:val="Header"/>
      <w:jc w:val="right"/>
    </w:pPr>
    <w:r>
      <w:t>FCCC/KP/CMP/2023/9/Add.1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7D9A" w14:textId="6CB8BC68" w:rsidR="005440BF" w:rsidRPr="00AB0CD8" w:rsidRDefault="00AB0CD8" w:rsidP="00AB0CD8">
    <w:pPr>
      <w:pStyle w:val="Header"/>
    </w:pPr>
    <w:r>
      <w:t>FCCC/KP/CMP/2023/9/Add.1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731A0" w14:textId="68E8E73A" w:rsidR="005440BF" w:rsidRPr="00AB0CD8" w:rsidRDefault="00AB0CD8" w:rsidP="00AB0CD8">
    <w:pPr>
      <w:pStyle w:val="Header"/>
      <w:jc w:val="right"/>
    </w:pPr>
    <w:r>
      <w:t>FCCC/KP/CMP/2023/9/Add.1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E7480F" w14:paraId="6442DC81" w14:textId="77777777" w:rsidTr="767AD3E6">
      <w:trPr>
        <w:trHeight w:val="300"/>
      </w:trPr>
      <w:tc>
        <w:tcPr>
          <w:tcW w:w="3210" w:type="dxa"/>
        </w:tcPr>
        <w:p w14:paraId="488C4776" w14:textId="77777777" w:rsidR="00E7480F" w:rsidRDefault="00E7480F" w:rsidP="767AD3E6">
          <w:pPr>
            <w:ind w:left="-115"/>
          </w:pPr>
        </w:p>
      </w:tc>
      <w:tc>
        <w:tcPr>
          <w:tcW w:w="3210" w:type="dxa"/>
        </w:tcPr>
        <w:p w14:paraId="489E56C7" w14:textId="77777777" w:rsidR="00E7480F" w:rsidRDefault="00E7480F" w:rsidP="767AD3E6">
          <w:pPr>
            <w:jc w:val="center"/>
          </w:pPr>
        </w:p>
      </w:tc>
      <w:tc>
        <w:tcPr>
          <w:tcW w:w="3210" w:type="dxa"/>
        </w:tcPr>
        <w:p w14:paraId="7D73F31F" w14:textId="77777777" w:rsidR="00E7480F" w:rsidRDefault="00E7480F" w:rsidP="767AD3E6">
          <w:pPr>
            <w:ind w:right="-115"/>
            <w:jc w:val="right"/>
          </w:pPr>
        </w:p>
      </w:tc>
    </w:tr>
  </w:tbl>
  <w:p w14:paraId="74121E99" w14:textId="77777777" w:rsidR="00E7480F" w:rsidRDefault="00E7480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CC4B" w14:textId="2AC11C36" w:rsidR="005440BF" w:rsidRPr="00AB0CD8" w:rsidRDefault="00AB0CD8" w:rsidP="00AB0CD8">
    <w:pPr>
      <w:pStyle w:val="Header"/>
    </w:pPr>
    <w:r>
      <w:t>FCCC/KP/CMP/2023/9/Add.1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F040" w14:textId="461EEE5C" w:rsidR="005440BF" w:rsidRPr="00002A76" w:rsidRDefault="00002A76" w:rsidP="00002A76">
    <w:pPr>
      <w:pStyle w:val="Header"/>
      <w:jc w:val="right"/>
    </w:pPr>
    <w:r>
      <w:t>FCCC/KP/CMP/2023/X/Add.1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77A8" w14:textId="5EF55095" w:rsidR="00AB0CD8" w:rsidRPr="00AB0CD8" w:rsidRDefault="00AB0CD8" w:rsidP="00AB0CD8">
    <w:pPr>
      <w:pStyle w:val="Header"/>
    </w:pPr>
    <w:r>
      <w:t>FCCC/KP/CMP/2023/9/Add.1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5DBE" w14:textId="3E36B13B" w:rsidR="00AB0CD8" w:rsidRPr="00AB0CD8" w:rsidRDefault="00AB0CD8" w:rsidP="00AB0CD8">
    <w:pPr>
      <w:pStyle w:val="Header"/>
      <w:jc w:val="right"/>
    </w:pPr>
    <w:r>
      <w:t>FCCC/KP/CMP/2023/9/Add.1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943D" w14:textId="6CD3205B" w:rsidR="005440BF" w:rsidRPr="00AB0CD8" w:rsidRDefault="00AB0CD8" w:rsidP="00AB0CD8">
    <w:pPr>
      <w:pStyle w:val="Header"/>
    </w:pPr>
    <w:r>
      <w:t>FCCC/KP/CMP/2023/9/Add.1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17E2" w14:textId="4E90E43B" w:rsidR="005440BF" w:rsidRPr="00AB0CD8" w:rsidRDefault="00AB0CD8" w:rsidP="00AB0CD8">
    <w:pPr>
      <w:pStyle w:val="Header"/>
      <w:jc w:val="right"/>
    </w:pPr>
    <w:r>
      <w:t>FCCC/KP/CMP/2023/9/Add.1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6023" w14:textId="77777777" w:rsidR="00AB0CD8" w:rsidRDefault="00AB0CD8" w:rsidP="00AB0CD8">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C329C" w14:textId="0A6B897F" w:rsidR="00AB0CD8" w:rsidRPr="00AB0CD8" w:rsidRDefault="00AB0CD8" w:rsidP="00AB0CD8">
    <w:pPr>
      <w:pStyle w:val="Header"/>
    </w:pPr>
    <w:r>
      <w:t>FCCC/KP/CMP/2023/9/Add.1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DFE7" w14:textId="27492E6C" w:rsidR="00002A76" w:rsidRPr="00002A76" w:rsidRDefault="00002A76" w:rsidP="00002A76">
    <w:pPr>
      <w:pStyle w:val="Header"/>
      <w:jc w:val="right"/>
    </w:pPr>
    <w:r>
      <w:t>FCCC/KP/CMP/2023/X/Add.1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3FF1" w14:textId="42BDE3F2" w:rsidR="00F53D73" w:rsidRPr="00002A76" w:rsidRDefault="00002A76" w:rsidP="00002A76">
    <w:pPr>
      <w:pStyle w:val="Header"/>
    </w:pPr>
    <w:r>
      <w:t>FCCC/KP/CMP/2023/</w:t>
    </w:r>
    <w:r w:rsidR="00AB0CD8">
      <w:t>9</w:t>
    </w:r>
    <w:r>
      <w:t>/Add.1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CCD54" w14:textId="09DE8C37" w:rsidR="00AB0CD8" w:rsidRPr="00AB0CD8" w:rsidRDefault="00AB0CD8" w:rsidP="00AB0CD8">
    <w:pPr>
      <w:pStyle w:val="Header"/>
      <w:jc w:val="right"/>
    </w:pPr>
    <w:r>
      <w:t>FCCC/KP/CMP/2023/</w:t>
    </w:r>
    <w:r w:rsidR="00002A76">
      <w:t>X</w:t>
    </w:r>
    <w:r>
      <w:t>/Add.1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E0A8F" w14:textId="2D179F3F" w:rsidR="00C445F1" w:rsidRPr="00AB0CD8" w:rsidRDefault="00AB0CD8" w:rsidP="00AB0CD8">
    <w:pPr>
      <w:pStyle w:val="Header"/>
    </w:pPr>
    <w:r>
      <w:t>FCCC/KP/CMP/2023/9/Add.1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FDB7" w14:textId="7A817378" w:rsidR="00C445F1" w:rsidRPr="00AB0CD8" w:rsidRDefault="00AB0CD8" w:rsidP="00AB0CD8">
    <w:pPr>
      <w:pStyle w:val="Header"/>
      <w:jc w:val="right"/>
    </w:pPr>
    <w:r>
      <w:t>FCCC/KP/CMP/2023/9/Add.1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EAB4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B096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5EAD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9A7D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5E85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608F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AC5B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2C58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108E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2EE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D7267"/>
    <w:multiLevelType w:val="hybridMultilevel"/>
    <w:tmpl w:val="60B2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5320646"/>
    <w:multiLevelType w:val="multilevel"/>
    <w:tmpl w:val="854E9922"/>
    <w:lvl w:ilvl="0">
      <w:start w:val="1"/>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1"/>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14" w15:restartNumberingAfterBreak="0">
    <w:nsid w:val="0646678C"/>
    <w:multiLevelType w:val="multilevel"/>
    <w:tmpl w:val="2244EA8E"/>
    <w:lvl w:ilvl="0">
      <w:start w:val="2"/>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26"/>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15"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9752FC"/>
    <w:multiLevelType w:val="multilevel"/>
    <w:tmpl w:val="2244EA8E"/>
    <w:lvl w:ilvl="0">
      <w:start w:val="2"/>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26"/>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17" w15:restartNumberingAfterBreak="0">
    <w:nsid w:val="1023354E"/>
    <w:multiLevelType w:val="multilevel"/>
    <w:tmpl w:val="854E9922"/>
    <w:lvl w:ilvl="0">
      <w:start w:val="1"/>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1"/>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18"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9"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1FA94B41"/>
    <w:multiLevelType w:val="multilevel"/>
    <w:tmpl w:val="F536D62A"/>
    <w:lvl w:ilvl="0">
      <w:start w:val="2"/>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1"/>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21"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10E5B06"/>
    <w:multiLevelType w:val="hybridMultilevel"/>
    <w:tmpl w:val="754422F8"/>
    <w:lvl w:ilvl="0" w:tplc="0409000F">
      <w:start w:val="1"/>
      <w:numFmt w:val="decimal"/>
      <w:lvlText w:val="%1."/>
      <w:lvlJc w:val="left"/>
      <w:pPr>
        <w:ind w:left="1855" w:hanging="360"/>
      </w:pPr>
    </w:lvl>
    <w:lvl w:ilvl="1" w:tplc="FFFFFFFF" w:tentative="1">
      <w:start w:val="1"/>
      <w:numFmt w:val="lowerLetter"/>
      <w:lvlText w:val="%2."/>
      <w:lvlJc w:val="left"/>
      <w:pPr>
        <w:ind w:left="2575" w:hanging="360"/>
      </w:pPr>
    </w:lvl>
    <w:lvl w:ilvl="2" w:tplc="FFFFFFFF" w:tentative="1">
      <w:start w:val="1"/>
      <w:numFmt w:val="lowerRoman"/>
      <w:lvlText w:val="%3."/>
      <w:lvlJc w:val="right"/>
      <w:pPr>
        <w:ind w:left="3295" w:hanging="180"/>
      </w:pPr>
    </w:lvl>
    <w:lvl w:ilvl="3" w:tplc="FFFFFFFF" w:tentative="1">
      <w:start w:val="1"/>
      <w:numFmt w:val="decimal"/>
      <w:lvlText w:val="%4."/>
      <w:lvlJc w:val="left"/>
      <w:pPr>
        <w:ind w:left="4015" w:hanging="360"/>
      </w:pPr>
    </w:lvl>
    <w:lvl w:ilvl="4" w:tplc="FFFFFFFF" w:tentative="1">
      <w:start w:val="1"/>
      <w:numFmt w:val="lowerLetter"/>
      <w:lvlText w:val="%5."/>
      <w:lvlJc w:val="left"/>
      <w:pPr>
        <w:ind w:left="4735" w:hanging="360"/>
      </w:pPr>
    </w:lvl>
    <w:lvl w:ilvl="5" w:tplc="FFFFFFFF" w:tentative="1">
      <w:start w:val="1"/>
      <w:numFmt w:val="lowerRoman"/>
      <w:lvlText w:val="%6."/>
      <w:lvlJc w:val="right"/>
      <w:pPr>
        <w:ind w:left="5455" w:hanging="180"/>
      </w:pPr>
    </w:lvl>
    <w:lvl w:ilvl="6" w:tplc="FFFFFFFF" w:tentative="1">
      <w:start w:val="1"/>
      <w:numFmt w:val="decimal"/>
      <w:lvlText w:val="%7."/>
      <w:lvlJc w:val="left"/>
      <w:pPr>
        <w:ind w:left="6175" w:hanging="360"/>
      </w:pPr>
    </w:lvl>
    <w:lvl w:ilvl="7" w:tplc="FFFFFFFF" w:tentative="1">
      <w:start w:val="1"/>
      <w:numFmt w:val="lowerLetter"/>
      <w:lvlText w:val="%8."/>
      <w:lvlJc w:val="left"/>
      <w:pPr>
        <w:ind w:left="6895" w:hanging="360"/>
      </w:pPr>
    </w:lvl>
    <w:lvl w:ilvl="8" w:tplc="FFFFFFFF" w:tentative="1">
      <w:start w:val="1"/>
      <w:numFmt w:val="lowerRoman"/>
      <w:lvlText w:val="%9."/>
      <w:lvlJc w:val="right"/>
      <w:pPr>
        <w:ind w:left="7615" w:hanging="180"/>
      </w:pPr>
    </w:lvl>
  </w:abstractNum>
  <w:abstractNum w:abstractNumId="23"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C64F00"/>
    <w:multiLevelType w:val="multilevel"/>
    <w:tmpl w:val="966E7848"/>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lowerLetter"/>
      <w:lvlRestart w:val="0"/>
      <w:pStyle w:val="AnnoSingleTxtG"/>
      <w:lvlText w:val="(%4)"/>
      <w:lvlJc w:val="left"/>
      <w:pPr>
        <w:tabs>
          <w:tab w:val="num" w:pos="1702"/>
        </w:tabs>
        <w:ind w:left="1702" w:hanging="567"/>
      </w:pPr>
      <w:rPr>
        <w:rFonts w:ascii="Times New Roman" w:eastAsia="SimSun" w:hAnsi="Times New Roman" w:cs="Times New Roman"/>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5"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E8A1B1B"/>
    <w:multiLevelType w:val="multilevel"/>
    <w:tmpl w:val="9F0890BA"/>
    <w:lvl w:ilvl="0">
      <w:start w:val="3"/>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2"/>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1"/>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27"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6E49E2"/>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0" w15:restartNumberingAfterBreak="0">
    <w:nsid w:val="3D0644D3"/>
    <w:multiLevelType w:val="multilevel"/>
    <w:tmpl w:val="954632E8"/>
    <w:lvl w:ilvl="0">
      <w:start w:val="3"/>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6"/>
      <w:numFmt w:val="decimal"/>
      <w:lvlRestart w:val="0"/>
      <w:lvlText w:val="%6."/>
      <w:lvlJc w:val="left"/>
      <w:pPr>
        <w:ind w:left="1701" w:firstLine="0"/>
      </w:pPr>
      <w:rPr>
        <w:rFonts w:hint="default"/>
        <w:sz w:val="20"/>
      </w:rPr>
    </w:lvl>
    <w:lvl w:ilvl="6">
      <w:start w:val="2"/>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31" w15:restartNumberingAfterBreak="0">
    <w:nsid w:val="439B46B4"/>
    <w:multiLevelType w:val="multilevel"/>
    <w:tmpl w:val="E37A3F7A"/>
    <w:lvl w:ilvl="0">
      <w:start w:val="2"/>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1"/>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3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E603E8"/>
    <w:multiLevelType w:val="hybridMultilevel"/>
    <w:tmpl w:val="FA380008"/>
    <w:lvl w:ilvl="0" w:tplc="04090011">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34" w15:restartNumberingAfterBreak="0">
    <w:nsid w:val="48E11A86"/>
    <w:multiLevelType w:val="multilevel"/>
    <w:tmpl w:val="D6808C38"/>
    <w:lvl w:ilvl="0">
      <w:start w:val="1"/>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1"/>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35" w15:restartNumberingAfterBreak="0">
    <w:nsid w:val="4DA20B9F"/>
    <w:multiLevelType w:val="multilevel"/>
    <w:tmpl w:val="DCE6111A"/>
    <w:lvl w:ilvl="0">
      <w:start w:val="1"/>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1"/>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36" w15:restartNumberingAfterBreak="0">
    <w:nsid w:val="4EEA3BBE"/>
    <w:multiLevelType w:val="hybridMultilevel"/>
    <w:tmpl w:val="71A89CC6"/>
    <w:lvl w:ilvl="0" w:tplc="C03E988A">
      <w:start w:val="12"/>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BE4848"/>
    <w:multiLevelType w:val="multilevel"/>
    <w:tmpl w:val="854E9922"/>
    <w:lvl w:ilvl="0">
      <w:start w:val="1"/>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1"/>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38"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2F2BC1"/>
    <w:multiLevelType w:val="multilevel"/>
    <w:tmpl w:val="A768DCB2"/>
    <w:lvl w:ilvl="0">
      <w:start w:val="2"/>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7"/>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1"/>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41" w15:restartNumberingAfterBreak="0">
    <w:nsid w:val="747323E9"/>
    <w:multiLevelType w:val="multilevel"/>
    <w:tmpl w:val="854E9922"/>
    <w:lvl w:ilvl="0">
      <w:start w:val="1"/>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1"/>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abstractNum w:abstractNumId="42" w15:restartNumberingAfterBreak="0">
    <w:nsid w:val="788565EE"/>
    <w:multiLevelType w:val="multilevel"/>
    <w:tmpl w:val="7B46B9DC"/>
    <w:lvl w:ilvl="0">
      <w:start w:val="2"/>
      <w:numFmt w:val="upperRoman"/>
      <w:lvlRestart w:val="0"/>
      <w:lvlText w:val="%1."/>
      <w:lvlJc w:val="right"/>
      <w:pPr>
        <w:tabs>
          <w:tab w:val="num" w:pos="1702"/>
        </w:tabs>
        <w:ind w:left="1702" w:hanging="284"/>
      </w:pPr>
      <w:rPr>
        <w:rFonts w:ascii="Times New Roman" w:hAnsi="Times New Roman" w:cs="Times New Roman" w:hint="default"/>
        <w:b/>
        <w:i w:val="0"/>
        <w:sz w:val="28"/>
      </w:rPr>
    </w:lvl>
    <w:lvl w:ilvl="1">
      <w:start w:val="1"/>
      <w:numFmt w:val="upperLetter"/>
      <w:lvlText w:val="%2."/>
      <w:lvlJc w:val="right"/>
      <w:pPr>
        <w:tabs>
          <w:tab w:val="num" w:pos="993"/>
        </w:tabs>
        <w:ind w:left="993" w:hanging="284"/>
      </w:pPr>
      <w:rPr>
        <w:rFonts w:ascii="Times New Roman" w:hAnsi="Times New Roman" w:cs="Times New Roman" w:hint="default"/>
        <w:b/>
        <w:i w:val="0"/>
        <w:sz w:val="24"/>
      </w:rPr>
    </w:lvl>
    <w:lvl w:ilvl="2">
      <w:start w:val="1"/>
      <w:numFmt w:val="decimal"/>
      <w:lvlText w:val="%3."/>
      <w:lvlJc w:val="right"/>
      <w:pPr>
        <w:tabs>
          <w:tab w:val="num" w:pos="1702"/>
        </w:tabs>
        <w:ind w:left="1702" w:hanging="284"/>
      </w:pPr>
      <w:rPr>
        <w:rFonts w:ascii="Times New Roman" w:hAnsi="Times New Roman" w:cs="Times New Roman" w:hint="default"/>
        <w:b/>
        <w:bCs/>
        <w:i w:val="0"/>
        <w:iCs w:val="0"/>
        <w:sz w:val="20"/>
        <w:szCs w:val="20"/>
      </w:rPr>
    </w:lvl>
    <w:lvl w:ilvl="3">
      <w:start w:val="1"/>
      <w:numFmt w:val="decimal"/>
      <w:lvlText w:val="(%4)"/>
      <w:lvlJc w:val="right"/>
      <w:pPr>
        <w:tabs>
          <w:tab w:val="num" w:pos="1701"/>
        </w:tabs>
        <w:ind w:left="1702" w:hanging="284"/>
      </w:pPr>
      <w:rPr>
        <w:rFonts w:ascii="Times New Roman" w:hAnsi="Times New Roman" w:cs="Times New Roman" w:hint="default"/>
        <w:b/>
        <w:i w:val="0"/>
        <w:caps w:val="0"/>
        <w:strike w:val="0"/>
        <w:dstrike w:val="0"/>
        <w:vanish w:val="0"/>
        <w:sz w:val="20"/>
        <w:vertAlign w:val="baseline"/>
      </w:rPr>
    </w:lvl>
    <w:lvl w:ilvl="4">
      <w:start w:val="1"/>
      <w:numFmt w:val="lowerRoman"/>
      <w:lvlText w:val="(%5)"/>
      <w:lvlJc w:val="right"/>
      <w:pPr>
        <w:tabs>
          <w:tab w:val="num" w:pos="1701"/>
        </w:tabs>
        <w:ind w:left="1702" w:hanging="284"/>
      </w:pPr>
      <w:rPr>
        <w:rFonts w:ascii="Times New Roman" w:hAnsi="Times New Roman" w:hint="default"/>
        <w:b w:val="0"/>
        <w:i/>
      </w:rPr>
    </w:lvl>
    <w:lvl w:ilvl="5">
      <w:start w:val="2"/>
      <w:numFmt w:val="decimal"/>
      <w:lvlRestart w:val="0"/>
      <w:lvlText w:val="%6."/>
      <w:lvlJc w:val="left"/>
      <w:pPr>
        <w:ind w:left="1701" w:firstLine="0"/>
      </w:pPr>
      <w:rPr>
        <w:rFonts w:hint="default"/>
        <w:sz w:val="20"/>
      </w:rPr>
    </w:lvl>
    <w:lvl w:ilvl="6">
      <w:start w:val="1"/>
      <w:numFmt w:val="lowerLetter"/>
      <w:lvlText w:val="(%7)"/>
      <w:lvlJc w:val="left"/>
      <w:pPr>
        <w:tabs>
          <w:tab w:val="num" w:pos="1845"/>
        </w:tabs>
        <w:ind w:left="1277" w:firstLine="567"/>
      </w:pPr>
      <w:rPr>
        <w:rFonts w:hint="default"/>
        <w:b w:val="0"/>
        <w:i w:val="0"/>
        <w:color w:val="auto"/>
        <w:sz w:val="20"/>
        <w:szCs w:val="28"/>
      </w:rPr>
    </w:lvl>
    <w:lvl w:ilvl="7">
      <w:start w:val="1"/>
      <w:numFmt w:val="lowerRoman"/>
      <w:lvlText w:val="(%8)"/>
      <w:lvlJc w:val="left"/>
      <w:pPr>
        <w:ind w:left="2268" w:firstLine="0"/>
      </w:pPr>
      <w:rPr>
        <w:rFonts w:hint="default"/>
        <w:sz w:val="20"/>
      </w:rPr>
    </w:lvl>
    <w:lvl w:ilvl="8">
      <w:start w:val="1"/>
      <w:numFmt w:val="lowerLetter"/>
      <w:lvlText w:val="%9."/>
      <w:lvlJc w:val="left"/>
      <w:pPr>
        <w:tabs>
          <w:tab w:val="num" w:pos="2835"/>
        </w:tabs>
        <w:ind w:left="2835" w:firstLine="0"/>
      </w:pPr>
      <w:rPr>
        <w:rFonts w:hint="default"/>
      </w:rPr>
    </w:lvl>
  </w:abstractNum>
  <w:num w:numId="1" w16cid:durableId="1624464528">
    <w:abstractNumId w:val="17"/>
  </w:num>
  <w:num w:numId="2" w16cid:durableId="1708796270">
    <w:abstractNumId w:val="24"/>
  </w:num>
  <w:num w:numId="3" w16cid:durableId="1276594722">
    <w:abstractNumId w:val="21"/>
  </w:num>
  <w:num w:numId="4" w16cid:durableId="349920480">
    <w:abstractNumId w:val="25"/>
  </w:num>
  <w:num w:numId="5" w16cid:durableId="357853475">
    <w:abstractNumId w:val="12"/>
  </w:num>
  <w:num w:numId="6" w16cid:durableId="1357073150">
    <w:abstractNumId w:val="11"/>
  </w:num>
  <w:num w:numId="7" w16cid:durableId="1978220972">
    <w:abstractNumId w:val="39"/>
  </w:num>
  <w:num w:numId="8" w16cid:durableId="137263882">
    <w:abstractNumId w:val="24"/>
  </w:num>
  <w:num w:numId="9" w16cid:durableId="18612360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22180891">
    <w:abstractNumId w:val="40"/>
  </w:num>
  <w:num w:numId="11" w16cid:durableId="1521776595">
    <w:abstractNumId w:val="26"/>
  </w:num>
  <w:num w:numId="12" w16cid:durableId="657464519">
    <w:abstractNumId w:val="31"/>
  </w:num>
  <w:num w:numId="13" w16cid:durableId="1495296414">
    <w:abstractNumId w:val="20"/>
  </w:num>
  <w:num w:numId="14" w16cid:durableId="2011330351">
    <w:abstractNumId w:val="14"/>
  </w:num>
  <w:num w:numId="15" w16cid:durableId="1461337713">
    <w:abstractNumId w:val="15"/>
  </w:num>
  <w:num w:numId="16" w16cid:durableId="1587835619">
    <w:abstractNumId w:val="34"/>
  </w:num>
  <w:num w:numId="17" w16cid:durableId="1588540721">
    <w:abstractNumId w:val="16"/>
  </w:num>
  <w:num w:numId="18" w16cid:durableId="1932398085">
    <w:abstractNumId w:val="42"/>
  </w:num>
  <w:num w:numId="19" w16cid:durableId="1012993946">
    <w:abstractNumId w:val="30"/>
  </w:num>
  <w:num w:numId="20" w16cid:durableId="84494085">
    <w:abstractNumId w:val="18"/>
  </w:num>
  <w:num w:numId="21" w16cid:durableId="946893239">
    <w:abstractNumId w:val="33"/>
  </w:num>
  <w:num w:numId="22" w16cid:durableId="1113210184">
    <w:abstractNumId w:val="22"/>
  </w:num>
  <w:num w:numId="23" w16cid:durableId="804398484">
    <w:abstractNumId w:val="35"/>
  </w:num>
  <w:num w:numId="24" w16cid:durableId="887304168">
    <w:abstractNumId w:val="29"/>
  </w:num>
  <w:num w:numId="25" w16cid:durableId="5414038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94994017">
    <w:abstractNumId w:val="36"/>
  </w:num>
  <w:num w:numId="27" w16cid:durableId="1341157450">
    <w:abstractNumId w:val="9"/>
  </w:num>
  <w:num w:numId="28" w16cid:durableId="39982316">
    <w:abstractNumId w:val="7"/>
  </w:num>
  <w:num w:numId="29" w16cid:durableId="304968616">
    <w:abstractNumId w:val="6"/>
  </w:num>
  <w:num w:numId="30" w16cid:durableId="760178635">
    <w:abstractNumId w:val="5"/>
  </w:num>
  <w:num w:numId="31" w16cid:durableId="1107240066">
    <w:abstractNumId w:val="4"/>
  </w:num>
  <w:num w:numId="32" w16cid:durableId="515462818">
    <w:abstractNumId w:val="8"/>
  </w:num>
  <w:num w:numId="33" w16cid:durableId="2106463983">
    <w:abstractNumId w:val="3"/>
  </w:num>
  <w:num w:numId="34" w16cid:durableId="190655362">
    <w:abstractNumId w:val="2"/>
  </w:num>
  <w:num w:numId="35" w16cid:durableId="1131745195">
    <w:abstractNumId w:val="1"/>
  </w:num>
  <w:num w:numId="36" w16cid:durableId="1534733596">
    <w:abstractNumId w:val="0"/>
  </w:num>
  <w:num w:numId="37" w16cid:durableId="1129781191">
    <w:abstractNumId w:val="10"/>
  </w:num>
  <w:num w:numId="38" w16cid:durableId="755828646">
    <w:abstractNumId w:val="37"/>
  </w:num>
  <w:num w:numId="39" w16cid:durableId="472450324">
    <w:abstractNumId w:val="13"/>
  </w:num>
  <w:num w:numId="40" w16cid:durableId="8502930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722878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77728067">
    <w:abstractNumId w:val="4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3E"/>
    <w:rsid w:val="0000023F"/>
    <w:rsid w:val="000022BD"/>
    <w:rsid w:val="00002558"/>
    <w:rsid w:val="00002907"/>
    <w:rsid w:val="00002977"/>
    <w:rsid w:val="00002A76"/>
    <w:rsid w:val="0000410C"/>
    <w:rsid w:val="00004A30"/>
    <w:rsid w:val="00004CC3"/>
    <w:rsid w:val="00007089"/>
    <w:rsid w:val="0000728A"/>
    <w:rsid w:val="00007B4E"/>
    <w:rsid w:val="000107A5"/>
    <w:rsid w:val="00010889"/>
    <w:rsid w:val="00011456"/>
    <w:rsid w:val="00011658"/>
    <w:rsid w:val="000130F8"/>
    <w:rsid w:val="00013A8E"/>
    <w:rsid w:val="000156D0"/>
    <w:rsid w:val="00015B67"/>
    <w:rsid w:val="00017162"/>
    <w:rsid w:val="00017627"/>
    <w:rsid w:val="000201B7"/>
    <w:rsid w:val="00020889"/>
    <w:rsid w:val="00020AA8"/>
    <w:rsid w:val="00021487"/>
    <w:rsid w:val="00021BB6"/>
    <w:rsid w:val="00022F6C"/>
    <w:rsid w:val="000230DF"/>
    <w:rsid w:val="0002382B"/>
    <w:rsid w:val="00023A98"/>
    <w:rsid w:val="000241AF"/>
    <w:rsid w:val="000249EE"/>
    <w:rsid w:val="00025E53"/>
    <w:rsid w:val="00026CDB"/>
    <w:rsid w:val="00027F7F"/>
    <w:rsid w:val="00030694"/>
    <w:rsid w:val="000324D3"/>
    <w:rsid w:val="00032C6D"/>
    <w:rsid w:val="00032D90"/>
    <w:rsid w:val="00032DDE"/>
    <w:rsid w:val="000337AC"/>
    <w:rsid w:val="00034AB1"/>
    <w:rsid w:val="00035707"/>
    <w:rsid w:val="00035BF2"/>
    <w:rsid w:val="00036681"/>
    <w:rsid w:val="000371E7"/>
    <w:rsid w:val="000372D2"/>
    <w:rsid w:val="000375BD"/>
    <w:rsid w:val="00037650"/>
    <w:rsid w:val="0003776D"/>
    <w:rsid w:val="00037A30"/>
    <w:rsid w:val="00037BCF"/>
    <w:rsid w:val="00040F04"/>
    <w:rsid w:val="00041040"/>
    <w:rsid w:val="00041F2D"/>
    <w:rsid w:val="000423A6"/>
    <w:rsid w:val="00043987"/>
    <w:rsid w:val="00045D12"/>
    <w:rsid w:val="00047B48"/>
    <w:rsid w:val="000512C7"/>
    <w:rsid w:val="0005144C"/>
    <w:rsid w:val="000514B5"/>
    <w:rsid w:val="00052217"/>
    <w:rsid w:val="00052463"/>
    <w:rsid w:val="000525AA"/>
    <w:rsid w:val="000539BE"/>
    <w:rsid w:val="00054CCE"/>
    <w:rsid w:val="000555B3"/>
    <w:rsid w:val="000561BD"/>
    <w:rsid w:val="0005624E"/>
    <w:rsid w:val="00056A58"/>
    <w:rsid w:val="00056BAB"/>
    <w:rsid w:val="00056BC5"/>
    <w:rsid w:val="00056F53"/>
    <w:rsid w:val="000610B7"/>
    <w:rsid w:val="000611C4"/>
    <w:rsid w:val="00061BA2"/>
    <w:rsid w:val="00062420"/>
    <w:rsid w:val="00062443"/>
    <w:rsid w:val="00062505"/>
    <w:rsid w:val="00062897"/>
    <w:rsid w:val="00062AA8"/>
    <w:rsid w:val="00063057"/>
    <w:rsid w:val="0006318A"/>
    <w:rsid w:val="000639A1"/>
    <w:rsid w:val="00065BFB"/>
    <w:rsid w:val="00065C70"/>
    <w:rsid w:val="0006624B"/>
    <w:rsid w:val="000666D5"/>
    <w:rsid w:val="00071751"/>
    <w:rsid w:val="00072624"/>
    <w:rsid w:val="00072688"/>
    <w:rsid w:val="000732A0"/>
    <w:rsid w:val="000734AC"/>
    <w:rsid w:val="00074034"/>
    <w:rsid w:val="00074855"/>
    <w:rsid w:val="000748E1"/>
    <w:rsid w:val="00074E5D"/>
    <w:rsid w:val="00074EC5"/>
    <w:rsid w:val="00074FC8"/>
    <w:rsid w:val="00075039"/>
    <w:rsid w:val="00075E64"/>
    <w:rsid w:val="00076113"/>
    <w:rsid w:val="00076C11"/>
    <w:rsid w:val="00076D4C"/>
    <w:rsid w:val="000773C8"/>
    <w:rsid w:val="00080AC7"/>
    <w:rsid w:val="00081C44"/>
    <w:rsid w:val="00081DEE"/>
    <w:rsid w:val="00082213"/>
    <w:rsid w:val="00082794"/>
    <w:rsid w:val="00082CC6"/>
    <w:rsid w:val="00082FBC"/>
    <w:rsid w:val="00082FED"/>
    <w:rsid w:val="000835D2"/>
    <w:rsid w:val="00083647"/>
    <w:rsid w:val="00084680"/>
    <w:rsid w:val="0008471C"/>
    <w:rsid w:val="00084969"/>
    <w:rsid w:val="00085260"/>
    <w:rsid w:val="000859B7"/>
    <w:rsid w:val="00085E73"/>
    <w:rsid w:val="000870C6"/>
    <w:rsid w:val="00087400"/>
    <w:rsid w:val="0008755C"/>
    <w:rsid w:val="0008756E"/>
    <w:rsid w:val="00087BE9"/>
    <w:rsid w:val="00090016"/>
    <w:rsid w:val="00090527"/>
    <w:rsid w:val="00090A78"/>
    <w:rsid w:val="000913E6"/>
    <w:rsid w:val="0009177D"/>
    <w:rsid w:val="00091B06"/>
    <w:rsid w:val="00091F19"/>
    <w:rsid w:val="000920F9"/>
    <w:rsid w:val="00092837"/>
    <w:rsid w:val="00092E29"/>
    <w:rsid w:val="00092FD5"/>
    <w:rsid w:val="00093044"/>
    <w:rsid w:val="00093CA1"/>
    <w:rsid w:val="00093EE0"/>
    <w:rsid w:val="000950EA"/>
    <w:rsid w:val="00095664"/>
    <w:rsid w:val="00095BF9"/>
    <w:rsid w:val="000962C6"/>
    <w:rsid w:val="00096B64"/>
    <w:rsid w:val="00097FC5"/>
    <w:rsid w:val="000A0F4D"/>
    <w:rsid w:val="000A1A67"/>
    <w:rsid w:val="000A1E65"/>
    <w:rsid w:val="000A399F"/>
    <w:rsid w:val="000A3C7A"/>
    <w:rsid w:val="000A4C99"/>
    <w:rsid w:val="000A4CDE"/>
    <w:rsid w:val="000A566F"/>
    <w:rsid w:val="000A5B53"/>
    <w:rsid w:val="000A63B3"/>
    <w:rsid w:val="000A687F"/>
    <w:rsid w:val="000A69D3"/>
    <w:rsid w:val="000A69EC"/>
    <w:rsid w:val="000A7C2B"/>
    <w:rsid w:val="000B0AB7"/>
    <w:rsid w:val="000B1FD0"/>
    <w:rsid w:val="000B2BB4"/>
    <w:rsid w:val="000B3220"/>
    <w:rsid w:val="000B5C34"/>
    <w:rsid w:val="000B5E59"/>
    <w:rsid w:val="000B63F5"/>
    <w:rsid w:val="000B68E2"/>
    <w:rsid w:val="000B767E"/>
    <w:rsid w:val="000C0E05"/>
    <w:rsid w:val="000C1D90"/>
    <w:rsid w:val="000C24E3"/>
    <w:rsid w:val="000C2735"/>
    <w:rsid w:val="000C46C4"/>
    <w:rsid w:val="000C4C0D"/>
    <w:rsid w:val="000C5173"/>
    <w:rsid w:val="000C60EC"/>
    <w:rsid w:val="000C6AA7"/>
    <w:rsid w:val="000C731D"/>
    <w:rsid w:val="000C7ABD"/>
    <w:rsid w:val="000C7FAF"/>
    <w:rsid w:val="000D06FB"/>
    <w:rsid w:val="000D0DD4"/>
    <w:rsid w:val="000D27A3"/>
    <w:rsid w:val="000D2977"/>
    <w:rsid w:val="000D339E"/>
    <w:rsid w:val="000D3C34"/>
    <w:rsid w:val="000D46E2"/>
    <w:rsid w:val="000D5DED"/>
    <w:rsid w:val="000D6922"/>
    <w:rsid w:val="000D6D4A"/>
    <w:rsid w:val="000D7A44"/>
    <w:rsid w:val="000D7EF9"/>
    <w:rsid w:val="000E09FC"/>
    <w:rsid w:val="000E0B04"/>
    <w:rsid w:val="000E0DB9"/>
    <w:rsid w:val="000E1C77"/>
    <w:rsid w:val="000E26A1"/>
    <w:rsid w:val="000E343D"/>
    <w:rsid w:val="000E3BD5"/>
    <w:rsid w:val="000E3FE8"/>
    <w:rsid w:val="000E59A9"/>
    <w:rsid w:val="000E5A58"/>
    <w:rsid w:val="000E6E68"/>
    <w:rsid w:val="000F0932"/>
    <w:rsid w:val="000F13AC"/>
    <w:rsid w:val="000F26D4"/>
    <w:rsid w:val="000F329A"/>
    <w:rsid w:val="000F3724"/>
    <w:rsid w:val="000F379C"/>
    <w:rsid w:val="000F3E78"/>
    <w:rsid w:val="000F43AF"/>
    <w:rsid w:val="000F4528"/>
    <w:rsid w:val="000F49D0"/>
    <w:rsid w:val="000F4A97"/>
    <w:rsid w:val="000F5020"/>
    <w:rsid w:val="000F52B0"/>
    <w:rsid w:val="000F6262"/>
    <w:rsid w:val="000F64A5"/>
    <w:rsid w:val="000F66C6"/>
    <w:rsid w:val="0010015F"/>
    <w:rsid w:val="001007C9"/>
    <w:rsid w:val="0010158B"/>
    <w:rsid w:val="001019DB"/>
    <w:rsid w:val="00102F37"/>
    <w:rsid w:val="00103D5C"/>
    <w:rsid w:val="00104B48"/>
    <w:rsid w:val="00104D83"/>
    <w:rsid w:val="00104F59"/>
    <w:rsid w:val="00106384"/>
    <w:rsid w:val="00107536"/>
    <w:rsid w:val="00107B0E"/>
    <w:rsid w:val="00111045"/>
    <w:rsid w:val="0011157B"/>
    <w:rsid w:val="00111FDC"/>
    <w:rsid w:val="00112AA8"/>
    <w:rsid w:val="00113163"/>
    <w:rsid w:val="0011453A"/>
    <w:rsid w:val="00114B49"/>
    <w:rsid w:val="001154BA"/>
    <w:rsid w:val="001161E5"/>
    <w:rsid w:val="00117397"/>
    <w:rsid w:val="0011781E"/>
    <w:rsid w:val="00117CCE"/>
    <w:rsid w:val="00120109"/>
    <w:rsid w:val="00120826"/>
    <w:rsid w:val="00120901"/>
    <w:rsid w:val="001209A8"/>
    <w:rsid w:val="00120E84"/>
    <w:rsid w:val="001214B4"/>
    <w:rsid w:val="00121DBA"/>
    <w:rsid w:val="00122964"/>
    <w:rsid w:val="00123C52"/>
    <w:rsid w:val="00124496"/>
    <w:rsid w:val="00124883"/>
    <w:rsid w:val="001262C1"/>
    <w:rsid w:val="001272CA"/>
    <w:rsid w:val="00127311"/>
    <w:rsid w:val="00127DE1"/>
    <w:rsid w:val="00127F76"/>
    <w:rsid w:val="00127FAE"/>
    <w:rsid w:val="0013016A"/>
    <w:rsid w:val="00130FA1"/>
    <w:rsid w:val="00131A12"/>
    <w:rsid w:val="001328F9"/>
    <w:rsid w:val="00133539"/>
    <w:rsid w:val="001338A8"/>
    <w:rsid w:val="0013391E"/>
    <w:rsid w:val="001349EC"/>
    <w:rsid w:val="00134F15"/>
    <w:rsid w:val="0013511F"/>
    <w:rsid w:val="001366C1"/>
    <w:rsid w:val="00136D2C"/>
    <w:rsid w:val="00136D61"/>
    <w:rsid w:val="00136ED8"/>
    <w:rsid w:val="0013784C"/>
    <w:rsid w:val="0014045B"/>
    <w:rsid w:val="001404D7"/>
    <w:rsid w:val="00141710"/>
    <w:rsid w:val="00141EC5"/>
    <w:rsid w:val="00142A35"/>
    <w:rsid w:val="00142F46"/>
    <w:rsid w:val="0014346B"/>
    <w:rsid w:val="001449AF"/>
    <w:rsid w:val="00144AF4"/>
    <w:rsid w:val="00145F59"/>
    <w:rsid w:val="00146F49"/>
    <w:rsid w:val="0014713C"/>
    <w:rsid w:val="00147648"/>
    <w:rsid w:val="00147CDA"/>
    <w:rsid w:val="00150B78"/>
    <w:rsid w:val="001510CF"/>
    <w:rsid w:val="00152A6E"/>
    <w:rsid w:val="00154711"/>
    <w:rsid w:val="00154C1C"/>
    <w:rsid w:val="001556A2"/>
    <w:rsid w:val="00156687"/>
    <w:rsid w:val="001568F5"/>
    <w:rsid w:val="00156E32"/>
    <w:rsid w:val="00157E9F"/>
    <w:rsid w:val="001600D9"/>
    <w:rsid w:val="001601DF"/>
    <w:rsid w:val="001602A9"/>
    <w:rsid w:val="0016152D"/>
    <w:rsid w:val="0016173E"/>
    <w:rsid w:val="001617BB"/>
    <w:rsid w:val="001632F2"/>
    <w:rsid w:val="0016448E"/>
    <w:rsid w:val="00165039"/>
    <w:rsid w:val="0017000D"/>
    <w:rsid w:val="001712D3"/>
    <w:rsid w:val="00172CF0"/>
    <w:rsid w:val="001736A8"/>
    <w:rsid w:val="001738F1"/>
    <w:rsid w:val="00174347"/>
    <w:rsid w:val="00174428"/>
    <w:rsid w:val="00174A05"/>
    <w:rsid w:val="001753A0"/>
    <w:rsid w:val="00176071"/>
    <w:rsid w:val="00176D28"/>
    <w:rsid w:val="00177074"/>
    <w:rsid w:val="00177B58"/>
    <w:rsid w:val="00180806"/>
    <w:rsid w:val="00180DE6"/>
    <w:rsid w:val="00181310"/>
    <w:rsid w:val="001824A4"/>
    <w:rsid w:val="0018399B"/>
    <w:rsid w:val="00183B98"/>
    <w:rsid w:val="00184537"/>
    <w:rsid w:val="00184C03"/>
    <w:rsid w:val="00185F21"/>
    <w:rsid w:val="00186A4F"/>
    <w:rsid w:val="00186C00"/>
    <w:rsid w:val="00186EC0"/>
    <w:rsid w:val="001906D0"/>
    <w:rsid w:val="001915EF"/>
    <w:rsid w:val="00192401"/>
    <w:rsid w:val="001925ED"/>
    <w:rsid w:val="0019261D"/>
    <w:rsid w:val="0019330F"/>
    <w:rsid w:val="00193507"/>
    <w:rsid w:val="0019430F"/>
    <w:rsid w:val="001945C7"/>
    <w:rsid w:val="00194BFA"/>
    <w:rsid w:val="00194E11"/>
    <w:rsid w:val="00195018"/>
    <w:rsid w:val="001957AC"/>
    <w:rsid w:val="00195FF4"/>
    <w:rsid w:val="001965A0"/>
    <w:rsid w:val="00196C83"/>
    <w:rsid w:val="00196E77"/>
    <w:rsid w:val="00197B67"/>
    <w:rsid w:val="001A0403"/>
    <w:rsid w:val="001A0A3A"/>
    <w:rsid w:val="001A0F97"/>
    <w:rsid w:val="001A1FC1"/>
    <w:rsid w:val="001A2653"/>
    <w:rsid w:val="001A2E9A"/>
    <w:rsid w:val="001A3C9A"/>
    <w:rsid w:val="001A3E9A"/>
    <w:rsid w:val="001A594B"/>
    <w:rsid w:val="001A5E06"/>
    <w:rsid w:val="001A5FE8"/>
    <w:rsid w:val="001A6305"/>
    <w:rsid w:val="001A70E2"/>
    <w:rsid w:val="001B0439"/>
    <w:rsid w:val="001B049B"/>
    <w:rsid w:val="001B085A"/>
    <w:rsid w:val="001B0C1C"/>
    <w:rsid w:val="001B1483"/>
    <w:rsid w:val="001B1B51"/>
    <w:rsid w:val="001B3146"/>
    <w:rsid w:val="001B3664"/>
    <w:rsid w:val="001B3A2F"/>
    <w:rsid w:val="001B4165"/>
    <w:rsid w:val="001B4D84"/>
    <w:rsid w:val="001B5409"/>
    <w:rsid w:val="001B69A0"/>
    <w:rsid w:val="001B79C1"/>
    <w:rsid w:val="001C08E3"/>
    <w:rsid w:val="001C107A"/>
    <w:rsid w:val="001C1AFE"/>
    <w:rsid w:val="001C2436"/>
    <w:rsid w:val="001C3616"/>
    <w:rsid w:val="001C3DE7"/>
    <w:rsid w:val="001C3F2F"/>
    <w:rsid w:val="001C40F0"/>
    <w:rsid w:val="001C4688"/>
    <w:rsid w:val="001C4BB3"/>
    <w:rsid w:val="001C65C1"/>
    <w:rsid w:val="001C73FB"/>
    <w:rsid w:val="001C7619"/>
    <w:rsid w:val="001C7B73"/>
    <w:rsid w:val="001C7B87"/>
    <w:rsid w:val="001D012A"/>
    <w:rsid w:val="001D0B93"/>
    <w:rsid w:val="001D0F0F"/>
    <w:rsid w:val="001D1D1B"/>
    <w:rsid w:val="001D2130"/>
    <w:rsid w:val="001D2FD8"/>
    <w:rsid w:val="001D2FDB"/>
    <w:rsid w:val="001D35A1"/>
    <w:rsid w:val="001D377D"/>
    <w:rsid w:val="001D397D"/>
    <w:rsid w:val="001D3C82"/>
    <w:rsid w:val="001D5B18"/>
    <w:rsid w:val="001D6018"/>
    <w:rsid w:val="001E082E"/>
    <w:rsid w:val="001E0B4E"/>
    <w:rsid w:val="001E1EFC"/>
    <w:rsid w:val="001E24FB"/>
    <w:rsid w:val="001E2989"/>
    <w:rsid w:val="001E2B60"/>
    <w:rsid w:val="001E2F01"/>
    <w:rsid w:val="001E38E4"/>
    <w:rsid w:val="001E6D6D"/>
    <w:rsid w:val="001E6EB4"/>
    <w:rsid w:val="001E7167"/>
    <w:rsid w:val="001E7D13"/>
    <w:rsid w:val="001F043E"/>
    <w:rsid w:val="001F065E"/>
    <w:rsid w:val="001F0C87"/>
    <w:rsid w:val="001F0F6F"/>
    <w:rsid w:val="001F108B"/>
    <w:rsid w:val="001F20CD"/>
    <w:rsid w:val="001F230B"/>
    <w:rsid w:val="001F23D4"/>
    <w:rsid w:val="001F2858"/>
    <w:rsid w:val="001F2BBF"/>
    <w:rsid w:val="001F3478"/>
    <w:rsid w:val="001F35DC"/>
    <w:rsid w:val="001F3888"/>
    <w:rsid w:val="001F4922"/>
    <w:rsid w:val="001F5BC7"/>
    <w:rsid w:val="001F5D99"/>
    <w:rsid w:val="001F5FC1"/>
    <w:rsid w:val="001F6138"/>
    <w:rsid w:val="001F64FB"/>
    <w:rsid w:val="001F6D29"/>
    <w:rsid w:val="001F6F19"/>
    <w:rsid w:val="002008AA"/>
    <w:rsid w:val="00200BFF"/>
    <w:rsid w:val="002014F7"/>
    <w:rsid w:val="00201B92"/>
    <w:rsid w:val="0020224F"/>
    <w:rsid w:val="002025E1"/>
    <w:rsid w:val="00202635"/>
    <w:rsid w:val="00202C1D"/>
    <w:rsid w:val="002030FC"/>
    <w:rsid w:val="002051C6"/>
    <w:rsid w:val="00205EE2"/>
    <w:rsid w:val="00206467"/>
    <w:rsid w:val="00206558"/>
    <w:rsid w:val="00207452"/>
    <w:rsid w:val="002076AF"/>
    <w:rsid w:val="0021014C"/>
    <w:rsid w:val="00210DDA"/>
    <w:rsid w:val="002110D4"/>
    <w:rsid w:val="0021186D"/>
    <w:rsid w:val="0021446A"/>
    <w:rsid w:val="002148CA"/>
    <w:rsid w:val="002155DE"/>
    <w:rsid w:val="0021569F"/>
    <w:rsid w:val="00216245"/>
    <w:rsid w:val="00216589"/>
    <w:rsid w:val="00216A02"/>
    <w:rsid w:val="002171AA"/>
    <w:rsid w:val="002179E7"/>
    <w:rsid w:val="002203D5"/>
    <w:rsid w:val="002204D1"/>
    <w:rsid w:val="002220FF"/>
    <w:rsid w:val="00222E73"/>
    <w:rsid w:val="00223453"/>
    <w:rsid w:val="00224111"/>
    <w:rsid w:val="002242C6"/>
    <w:rsid w:val="002251F9"/>
    <w:rsid w:val="00225602"/>
    <w:rsid w:val="002264A1"/>
    <w:rsid w:val="002271D9"/>
    <w:rsid w:val="00227267"/>
    <w:rsid w:val="002273E2"/>
    <w:rsid w:val="00230360"/>
    <w:rsid w:val="00230D0F"/>
    <w:rsid w:val="002311D1"/>
    <w:rsid w:val="00231D55"/>
    <w:rsid w:val="00231FB5"/>
    <w:rsid w:val="00232479"/>
    <w:rsid w:val="00232EAA"/>
    <w:rsid w:val="00232F92"/>
    <w:rsid w:val="002333C0"/>
    <w:rsid w:val="00233BA3"/>
    <w:rsid w:val="00234348"/>
    <w:rsid w:val="00234C8A"/>
    <w:rsid w:val="00234FA0"/>
    <w:rsid w:val="00236E43"/>
    <w:rsid w:val="00237B65"/>
    <w:rsid w:val="00240274"/>
    <w:rsid w:val="00240D9C"/>
    <w:rsid w:val="00242A9B"/>
    <w:rsid w:val="00242AD9"/>
    <w:rsid w:val="00242CE3"/>
    <w:rsid w:val="00243B47"/>
    <w:rsid w:val="0024447B"/>
    <w:rsid w:val="00244FB0"/>
    <w:rsid w:val="0024532A"/>
    <w:rsid w:val="002455EA"/>
    <w:rsid w:val="00245BFF"/>
    <w:rsid w:val="00245D9A"/>
    <w:rsid w:val="00245F83"/>
    <w:rsid w:val="00246888"/>
    <w:rsid w:val="00246DF9"/>
    <w:rsid w:val="00247BF6"/>
    <w:rsid w:val="00250037"/>
    <w:rsid w:val="00250137"/>
    <w:rsid w:val="00250257"/>
    <w:rsid w:val="00250722"/>
    <w:rsid w:val="00250D12"/>
    <w:rsid w:val="00251D18"/>
    <w:rsid w:val="00251FF9"/>
    <w:rsid w:val="0025211B"/>
    <w:rsid w:val="00252146"/>
    <w:rsid w:val="002524A8"/>
    <w:rsid w:val="002528C4"/>
    <w:rsid w:val="00253D17"/>
    <w:rsid w:val="0025484F"/>
    <w:rsid w:val="00255457"/>
    <w:rsid w:val="002561DD"/>
    <w:rsid w:val="0025665D"/>
    <w:rsid w:val="00256CFB"/>
    <w:rsid w:val="00256F45"/>
    <w:rsid w:val="00257AA3"/>
    <w:rsid w:val="00257CB6"/>
    <w:rsid w:val="00260BFA"/>
    <w:rsid w:val="00260E04"/>
    <w:rsid w:val="00262659"/>
    <w:rsid w:val="00262679"/>
    <w:rsid w:val="00262A6D"/>
    <w:rsid w:val="00264F17"/>
    <w:rsid w:val="002663CB"/>
    <w:rsid w:val="00266D68"/>
    <w:rsid w:val="00266E61"/>
    <w:rsid w:val="00267B98"/>
    <w:rsid w:val="00267F18"/>
    <w:rsid w:val="00271A05"/>
    <w:rsid w:val="00272D35"/>
    <w:rsid w:val="00273E8E"/>
    <w:rsid w:val="0027419E"/>
    <w:rsid w:val="00275069"/>
    <w:rsid w:val="0027523F"/>
    <w:rsid w:val="002761C6"/>
    <w:rsid w:val="00276A17"/>
    <w:rsid w:val="002771CA"/>
    <w:rsid w:val="0027733B"/>
    <w:rsid w:val="002776B4"/>
    <w:rsid w:val="0027799E"/>
    <w:rsid w:val="002779EB"/>
    <w:rsid w:val="00280216"/>
    <w:rsid w:val="00280370"/>
    <w:rsid w:val="00280668"/>
    <w:rsid w:val="00281095"/>
    <w:rsid w:val="00281573"/>
    <w:rsid w:val="0028225E"/>
    <w:rsid w:val="002823A1"/>
    <w:rsid w:val="00283275"/>
    <w:rsid w:val="002836BF"/>
    <w:rsid w:val="00285108"/>
    <w:rsid w:val="002851A9"/>
    <w:rsid w:val="002859C9"/>
    <w:rsid w:val="0028632C"/>
    <w:rsid w:val="002866FB"/>
    <w:rsid w:val="00286D57"/>
    <w:rsid w:val="00286EE1"/>
    <w:rsid w:val="0028796C"/>
    <w:rsid w:val="0029007C"/>
    <w:rsid w:val="00290409"/>
    <w:rsid w:val="00290C05"/>
    <w:rsid w:val="00291349"/>
    <w:rsid w:val="0029213B"/>
    <w:rsid w:val="00292DC3"/>
    <w:rsid w:val="00292DEA"/>
    <w:rsid w:val="002933A4"/>
    <w:rsid w:val="00293A4C"/>
    <w:rsid w:val="00293FC4"/>
    <w:rsid w:val="00294EC2"/>
    <w:rsid w:val="002954CD"/>
    <w:rsid w:val="002955DC"/>
    <w:rsid w:val="00295866"/>
    <w:rsid w:val="002967FD"/>
    <w:rsid w:val="00297019"/>
    <w:rsid w:val="00297130"/>
    <w:rsid w:val="0029733B"/>
    <w:rsid w:val="00297C1E"/>
    <w:rsid w:val="002A34FE"/>
    <w:rsid w:val="002A46E6"/>
    <w:rsid w:val="002A5C5D"/>
    <w:rsid w:val="002A5E0A"/>
    <w:rsid w:val="002A6A8D"/>
    <w:rsid w:val="002A6FB6"/>
    <w:rsid w:val="002A741A"/>
    <w:rsid w:val="002A797E"/>
    <w:rsid w:val="002A7B52"/>
    <w:rsid w:val="002B00DA"/>
    <w:rsid w:val="002B0283"/>
    <w:rsid w:val="002B0350"/>
    <w:rsid w:val="002B03C6"/>
    <w:rsid w:val="002B2BC5"/>
    <w:rsid w:val="002B3059"/>
    <w:rsid w:val="002B3984"/>
    <w:rsid w:val="002B43CF"/>
    <w:rsid w:val="002B446B"/>
    <w:rsid w:val="002B4A97"/>
    <w:rsid w:val="002B5399"/>
    <w:rsid w:val="002B662D"/>
    <w:rsid w:val="002B6C20"/>
    <w:rsid w:val="002B71EA"/>
    <w:rsid w:val="002B72CE"/>
    <w:rsid w:val="002B7532"/>
    <w:rsid w:val="002C051E"/>
    <w:rsid w:val="002C0A85"/>
    <w:rsid w:val="002C0E43"/>
    <w:rsid w:val="002C11F7"/>
    <w:rsid w:val="002C2B41"/>
    <w:rsid w:val="002C3336"/>
    <w:rsid w:val="002C3851"/>
    <w:rsid w:val="002C4681"/>
    <w:rsid w:val="002C472B"/>
    <w:rsid w:val="002C4F84"/>
    <w:rsid w:val="002C52A6"/>
    <w:rsid w:val="002C5632"/>
    <w:rsid w:val="002C576A"/>
    <w:rsid w:val="002C61FB"/>
    <w:rsid w:val="002C6D05"/>
    <w:rsid w:val="002C7877"/>
    <w:rsid w:val="002D0733"/>
    <w:rsid w:val="002D0FA9"/>
    <w:rsid w:val="002D154A"/>
    <w:rsid w:val="002D1F6E"/>
    <w:rsid w:val="002D34DB"/>
    <w:rsid w:val="002D374C"/>
    <w:rsid w:val="002D3E44"/>
    <w:rsid w:val="002D409E"/>
    <w:rsid w:val="002D46CD"/>
    <w:rsid w:val="002D53FB"/>
    <w:rsid w:val="002D59E3"/>
    <w:rsid w:val="002D5D4D"/>
    <w:rsid w:val="002D642B"/>
    <w:rsid w:val="002D66A2"/>
    <w:rsid w:val="002D737B"/>
    <w:rsid w:val="002D7A85"/>
    <w:rsid w:val="002E02E8"/>
    <w:rsid w:val="002E1247"/>
    <w:rsid w:val="002E1257"/>
    <w:rsid w:val="002E1B89"/>
    <w:rsid w:val="002E2200"/>
    <w:rsid w:val="002E37ED"/>
    <w:rsid w:val="002E3ED8"/>
    <w:rsid w:val="002E3EEB"/>
    <w:rsid w:val="002E40B8"/>
    <w:rsid w:val="002E4119"/>
    <w:rsid w:val="002E4E45"/>
    <w:rsid w:val="002E5918"/>
    <w:rsid w:val="002E5D92"/>
    <w:rsid w:val="002E62A3"/>
    <w:rsid w:val="002E7E94"/>
    <w:rsid w:val="002F0077"/>
    <w:rsid w:val="002F050C"/>
    <w:rsid w:val="002F2189"/>
    <w:rsid w:val="002F282D"/>
    <w:rsid w:val="002F304A"/>
    <w:rsid w:val="002F4688"/>
    <w:rsid w:val="002F60E8"/>
    <w:rsid w:val="002F6979"/>
    <w:rsid w:val="002F7409"/>
    <w:rsid w:val="002F7912"/>
    <w:rsid w:val="002F7B01"/>
    <w:rsid w:val="00300780"/>
    <w:rsid w:val="003012AF"/>
    <w:rsid w:val="00301588"/>
    <w:rsid w:val="00302B19"/>
    <w:rsid w:val="00303045"/>
    <w:rsid w:val="003038F4"/>
    <w:rsid w:val="00303CBE"/>
    <w:rsid w:val="00304115"/>
    <w:rsid w:val="00304BA1"/>
    <w:rsid w:val="00304D9D"/>
    <w:rsid w:val="00305B8A"/>
    <w:rsid w:val="00306423"/>
    <w:rsid w:val="003079B2"/>
    <w:rsid w:val="00307AD0"/>
    <w:rsid w:val="00310883"/>
    <w:rsid w:val="0031149B"/>
    <w:rsid w:val="00312F56"/>
    <w:rsid w:val="003132EC"/>
    <w:rsid w:val="003142F3"/>
    <w:rsid w:val="003147E4"/>
    <w:rsid w:val="0031499E"/>
    <w:rsid w:val="00314B56"/>
    <w:rsid w:val="003151A6"/>
    <w:rsid w:val="00315322"/>
    <w:rsid w:val="00316110"/>
    <w:rsid w:val="00317B8C"/>
    <w:rsid w:val="003219A6"/>
    <w:rsid w:val="00321A14"/>
    <w:rsid w:val="0032389D"/>
    <w:rsid w:val="00323EDB"/>
    <w:rsid w:val="003240FB"/>
    <w:rsid w:val="00324954"/>
    <w:rsid w:val="00324B31"/>
    <w:rsid w:val="003250E7"/>
    <w:rsid w:val="003250FA"/>
    <w:rsid w:val="00325AD5"/>
    <w:rsid w:val="003261F6"/>
    <w:rsid w:val="00327293"/>
    <w:rsid w:val="00327575"/>
    <w:rsid w:val="003279EA"/>
    <w:rsid w:val="00327B89"/>
    <w:rsid w:val="00330B71"/>
    <w:rsid w:val="00332592"/>
    <w:rsid w:val="00332C41"/>
    <w:rsid w:val="00335456"/>
    <w:rsid w:val="003354A0"/>
    <w:rsid w:val="00335CF4"/>
    <w:rsid w:val="0033664A"/>
    <w:rsid w:val="00336DC3"/>
    <w:rsid w:val="0034005C"/>
    <w:rsid w:val="00340554"/>
    <w:rsid w:val="003408BC"/>
    <w:rsid w:val="00340BE0"/>
    <w:rsid w:val="00341289"/>
    <w:rsid w:val="003415A2"/>
    <w:rsid w:val="00343FF4"/>
    <w:rsid w:val="00344174"/>
    <w:rsid w:val="00344AD3"/>
    <w:rsid w:val="00344C90"/>
    <w:rsid w:val="00346402"/>
    <w:rsid w:val="00346ECB"/>
    <w:rsid w:val="00350710"/>
    <w:rsid w:val="00350DB8"/>
    <w:rsid w:val="00352E7D"/>
    <w:rsid w:val="00353CEC"/>
    <w:rsid w:val="00353EF5"/>
    <w:rsid w:val="00354B06"/>
    <w:rsid w:val="00355B23"/>
    <w:rsid w:val="00356E26"/>
    <w:rsid w:val="00357684"/>
    <w:rsid w:val="00357AB5"/>
    <w:rsid w:val="003603B8"/>
    <w:rsid w:val="00360B38"/>
    <w:rsid w:val="00360D8B"/>
    <w:rsid w:val="00361387"/>
    <w:rsid w:val="0036140C"/>
    <w:rsid w:val="00361821"/>
    <w:rsid w:val="00361A9D"/>
    <w:rsid w:val="00361AA2"/>
    <w:rsid w:val="00362246"/>
    <w:rsid w:val="00363D80"/>
    <w:rsid w:val="00363F61"/>
    <w:rsid w:val="003643C9"/>
    <w:rsid w:val="00364B85"/>
    <w:rsid w:val="00364C3E"/>
    <w:rsid w:val="00366A72"/>
    <w:rsid w:val="00367230"/>
    <w:rsid w:val="00371176"/>
    <w:rsid w:val="00371514"/>
    <w:rsid w:val="00371BB7"/>
    <w:rsid w:val="00373053"/>
    <w:rsid w:val="0037312C"/>
    <w:rsid w:val="00373B23"/>
    <w:rsid w:val="00373D35"/>
    <w:rsid w:val="00374DBE"/>
    <w:rsid w:val="003757CE"/>
    <w:rsid w:val="00375F53"/>
    <w:rsid w:val="003762C2"/>
    <w:rsid w:val="00377181"/>
    <w:rsid w:val="00377E0D"/>
    <w:rsid w:val="00380AE6"/>
    <w:rsid w:val="00380CD2"/>
    <w:rsid w:val="00381206"/>
    <w:rsid w:val="00381632"/>
    <w:rsid w:val="0038180B"/>
    <w:rsid w:val="00381E79"/>
    <w:rsid w:val="00381FAE"/>
    <w:rsid w:val="003821CC"/>
    <w:rsid w:val="00383494"/>
    <w:rsid w:val="003838FC"/>
    <w:rsid w:val="00383C6A"/>
    <w:rsid w:val="003847B9"/>
    <w:rsid w:val="003847E4"/>
    <w:rsid w:val="003854B4"/>
    <w:rsid w:val="00385B8D"/>
    <w:rsid w:val="00385E56"/>
    <w:rsid w:val="00387BCF"/>
    <w:rsid w:val="003903C0"/>
    <w:rsid w:val="00390714"/>
    <w:rsid w:val="003908A9"/>
    <w:rsid w:val="00393EEA"/>
    <w:rsid w:val="00394B0A"/>
    <w:rsid w:val="00394E4E"/>
    <w:rsid w:val="00395F5E"/>
    <w:rsid w:val="00397DE4"/>
    <w:rsid w:val="003A04B4"/>
    <w:rsid w:val="003A0568"/>
    <w:rsid w:val="003A0655"/>
    <w:rsid w:val="003A074C"/>
    <w:rsid w:val="003A0D3F"/>
    <w:rsid w:val="003A1167"/>
    <w:rsid w:val="003A12FA"/>
    <w:rsid w:val="003A1869"/>
    <w:rsid w:val="003A18C3"/>
    <w:rsid w:val="003A2773"/>
    <w:rsid w:val="003A2AF1"/>
    <w:rsid w:val="003A3A1F"/>
    <w:rsid w:val="003A4513"/>
    <w:rsid w:val="003A4936"/>
    <w:rsid w:val="003A4DFA"/>
    <w:rsid w:val="003A5E35"/>
    <w:rsid w:val="003A7800"/>
    <w:rsid w:val="003A7C09"/>
    <w:rsid w:val="003B0B3C"/>
    <w:rsid w:val="003B1229"/>
    <w:rsid w:val="003B2C11"/>
    <w:rsid w:val="003B3322"/>
    <w:rsid w:val="003B3C25"/>
    <w:rsid w:val="003B4C6A"/>
    <w:rsid w:val="003B4D23"/>
    <w:rsid w:val="003B5450"/>
    <w:rsid w:val="003B5A7A"/>
    <w:rsid w:val="003B714F"/>
    <w:rsid w:val="003C23BE"/>
    <w:rsid w:val="003C26B2"/>
    <w:rsid w:val="003C3854"/>
    <w:rsid w:val="003C3E1E"/>
    <w:rsid w:val="003C44F4"/>
    <w:rsid w:val="003C580C"/>
    <w:rsid w:val="003C5DC4"/>
    <w:rsid w:val="003C70B9"/>
    <w:rsid w:val="003C73F3"/>
    <w:rsid w:val="003C75B9"/>
    <w:rsid w:val="003D0313"/>
    <w:rsid w:val="003D1A53"/>
    <w:rsid w:val="003D2892"/>
    <w:rsid w:val="003D309B"/>
    <w:rsid w:val="003D34A4"/>
    <w:rsid w:val="003D36AD"/>
    <w:rsid w:val="003D4C1E"/>
    <w:rsid w:val="003D5203"/>
    <w:rsid w:val="003D5FAA"/>
    <w:rsid w:val="003D6B47"/>
    <w:rsid w:val="003D70DD"/>
    <w:rsid w:val="003D7328"/>
    <w:rsid w:val="003E05CD"/>
    <w:rsid w:val="003E12BF"/>
    <w:rsid w:val="003E30A3"/>
    <w:rsid w:val="003E3854"/>
    <w:rsid w:val="003E3A52"/>
    <w:rsid w:val="003E4286"/>
    <w:rsid w:val="003E42FF"/>
    <w:rsid w:val="003E5755"/>
    <w:rsid w:val="003E7CA8"/>
    <w:rsid w:val="003F046E"/>
    <w:rsid w:val="003F0BC6"/>
    <w:rsid w:val="003F0C08"/>
    <w:rsid w:val="003F0E83"/>
    <w:rsid w:val="003F0EAA"/>
    <w:rsid w:val="003F0F53"/>
    <w:rsid w:val="003F1E27"/>
    <w:rsid w:val="003F20C4"/>
    <w:rsid w:val="003F2225"/>
    <w:rsid w:val="003F222B"/>
    <w:rsid w:val="003F3102"/>
    <w:rsid w:val="003F3389"/>
    <w:rsid w:val="003F3835"/>
    <w:rsid w:val="003F3C7F"/>
    <w:rsid w:val="003F408B"/>
    <w:rsid w:val="003F5B58"/>
    <w:rsid w:val="003F5C56"/>
    <w:rsid w:val="003F5FEE"/>
    <w:rsid w:val="003F7301"/>
    <w:rsid w:val="00400797"/>
    <w:rsid w:val="00400B35"/>
    <w:rsid w:val="00400D5D"/>
    <w:rsid w:val="004021DC"/>
    <w:rsid w:val="00402CE6"/>
    <w:rsid w:val="00403117"/>
    <w:rsid w:val="00403E2E"/>
    <w:rsid w:val="00404E01"/>
    <w:rsid w:val="00405060"/>
    <w:rsid w:val="004061BF"/>
    <w:rsid w:val="00406B07"/>
    <w:rsid w:val="00406B9D"/>
    <w:rsid w:val="004071D6"/>
    <w:rsid w:val="00410508"/>
    <w:rsid w:val="004106C9"/>
    <w:rsid w:val="004125E8"/>
    <w:rsid w:val="00412CCA"/>
    <w:rsid w:val="004147E7"/>
    <w:rsid w:val="00415EFB"/>
    <w:rsid w:val="0041637F"/>
    <w:rsid w:val="004168DE"/>
    <w:rsid w:val="00416A42"/>
    <w:rsid w:val="00417292"/>
    <w:rsid w:val="004215DD"/>
    <w:rsid w:val="00421BC1"/>
    <w:rsid w:val="004222A4"/>
    <w:rsid w:val="00422A48"/>
    <w:rsid w:val="00422A55"/>
    <w:rsid w:val="00423021"/>
    <w:rsid w:val="004245B6"/>
    <w:rsid w:val="00424AEB"/>
    <w:rsid w:val="004252F9"/>
    <w:rsid w:val="00426CAA"/>
    <w:rsid w:val="00427DA2"/>
    <w:rsid w:val="00433ECB"/>
    <w:rsid w:val="00434686"/>
    <w:rsid w:val="00435449"/>
    <w:rsid w:val="004357F3"/>
    <w:rsid w:val="0043729E"/>
    <w:rsid w:val="00437435"/>
    <w:rsid w:val="00440033"/>
    <w:rsid w:val="00440633"/>
    <w:rsid w:val="00440A5B"/>
    <w:rsid w:val="00441413"/>
    <w:rsid w:val="00441490"/>
    <w:rsid w:val="00442AFD"/>
    <w:rsid w:val="0044327A"/>
    <w:rsid w:val="00443C05"/>
    <w:rsid w:val="00445627"/>
    <w:rsid w:val="00446B2E"/>
    <w:rsid w:val="00446E01"/>
    <w:rsid w:val="00447CBE"/>
    <w:rsid w:val="00450E06"/>
    <w:rsid w:val="00451C36"/>
    <w:rsid w:val="0045222C"/>
    <w:rsid w:val="0045246E"/>
    <w:rsid w:val="00453E1E"/>
    <w:rsid w:val="00453EB2"/>
    <w:rsid w:val="00453F4B"/>
    <w:rsid w:val="0045495B"/>
    <w:rsid w:val="00454BC5"/>
    <w:rsid w:val="004555ED"/>
    <w:rsid w:val="00455747"/>
    <w:rsid w:val="00456080"/>
    <w:rsid w:val="004575A6"/>
    <w:rsid w:val="004578AD"/>
    <w:rsid w:val="0046242E"/>
    <w:rsid w:val="00463402"/>
    <w:rsid w:val="00464A93"/>
    <w:rsid w:val="00464BE9"/>
    <w:rsid w:val="00464F4E"/>
    <w:rsid w:val="004653A3"/>
    <w:rsid w:val="004658D2"/>
    <w:rsid w:val="00465F2D"/>
    <w:rsid w:val="00467208"/>
    <w:rsid w:val="00467943"/>
    <w:rsid w:val="00470408"/>
    <w:rsid w:val="0047052C"/>
    <w:rsid w:val="00471A1E"/>
    <w:rsid w:val="004723AA"/>
    <w:rsid w:val="0047251B"/>
    <w:rsid w:val="0047258C"/>
    <w:rsid w:val="004732FC"/>
    <w:rsid w:val="004761B6"/>
    <w:rsid w:val="0047697E"/>
    <w:rsid w:val="00477328"/>
    <w:rsid w:val="004774D4"/>
    <w:rsid w:val="00477584"/>
    <w:rsid w:val="004808F2"/>
    <w:rsid w:val="004812E6"/>
    <w:rsid w:val="004812F2"/>
    <w:rsid w:val="0048196D"/>
    <w:rsid w:val="0048281B"/>
    <w:rsid w:val="00482AA4"/>
    <w:rsid w:val="00483BEA"/>
    <w:rsid w:val="00484B74"/>
    <w:rsid w:val="0048523B"/>
    <w:rsid w:val="00485524"/>
    <w:rsid w:val="0048584C"/>
    <w:rsid w:val="00485971"/>
    <w:rsid w:val="00485F72"/>
    <w:rsid w:val="0048709D"/>
    <w:rsid w:val="00487DED"/>
    <w:rsid w:val="004903C5"/>
    <w:rsid w:val="00490900"/>
    <w:rsid w:val="00491F0B"/>
    <w:rsid w:val="0049251C"/>
    <w:rsid w:val="004931E0"/>
    <w:rsid w:val="00493261"/>
    <w:rsid w:val="004932CD"/>
    <w:rsid w:val="004959C2"/>
    <w:rsid w:val="004977C3"/>
    <w:rsid w:val="00497AA5"/>
    <w:rsid w:val="004A040E"/>
    <w:rsid w:val="004A147C"/>
    <w:rsid w:val="004A2140"/>
    <w:rsid w:val="004A255E"/>
    <w:rsid w:val="004A2E86"/>
    <w:rsid w:val="004A36EC"/>
    <w:rsid w:val="004A6278"/>
    <w:rsid w:val="004A6522"/>
    <w:rsid w:val="004A67DD"/>
    <w:rsid w:val="004A6A8C"/>
    <w:rsid w:val="004A7489"/>
    <w:rsid w:val="004B0280"/>
    <w:rsid w:val="004B02E4"/>
    <w:rsid w:val="004B1602"/>
    <w:rsid w:val="004B176E"/>
    <w:rsid w:val="004B2317"/>
    <w:rsid w:val="004B2869"/>
    <w:rsid w:val="004B2E3B"/>
    <w:rsid w:val="004B40DB"/>
    <w:rsid w:val="004B4A82"/>
    <w:rsid w:val="004B4E07"/>
    <w:rsid w:val="004B501A"/>
    <w:rsid w:val="004B6A6D"/>
    <w:rsid w:val="004B6DE3"/>
    <w:rsid w:val="004B7304"/>
    <w:rsid w:val="004C022A"/>
    <w:rsid w:val="004C1052"/>
    <w:rsid w:val="004C2021"/>
    <w:rsid w:val="004C28D1"/>
    <w:rsid w:val="004C2DD3"/>
    <w:rsid w:val="004C33DE"/>
    <w:rsid w:val="004C399B"/>
    <w:rsid w:val="004C44EF"/>
    <w:rsid w:val="004C494F"/>
    <w:rsid w:val="004C4A87"/>
    <w:rsid w:val="004C4B39"/>
    <w:rsid w:val="004C4BF6"/>
    <w:rsid w:val="004C5D8E"/>
    <w:rsid w:val="004C5F69"/>
    <w:rsid w:val="004C6120"/>
    <w:rsid w:val="004C639A"/>
    <w:rsid w:val="004C6B5E"/>
    <w:rsid w:val="004C6BD1"/>
    <w:rsid w:val="004C6DF4"/>
    <w:rsid w:val="004C6F7D"/>
    <w:rsid w:val="004C7398"/>
    <w:rsid w:val="004C7BB7"/>
    <w:rsid w:val="004D1BD9"/>
    <w:rsid w:val="004D24CE"/>
    <w:rsid w:val="004D26DD"/>
    <w:rsid w:val="004D2D30"/>
    <w:rsid w:val="004D2EFC"/>
    <w:rsid w:val="004D3747"/>
    <w:rsid w:val="004D3A52"/>
    <w:rsid w:val="004D3AC6"/>
    <w:rsid w:val="004D412F"/>
    <w:rsid w:val="004D5292"/>
    <w:rsid w:val="004D6FE1"/>
    <w:rsid w:val="004D72AF"/>
    <w:rsid w:val="004D7F09"/>
    <w:rsid w:val="004D7F8F"/>
    <w:rsid w:val="004E0C57"/>
    <w:rsid w:val="004E1843"/>
    <w:rsid w:val="004E1F85"/>
    <w:rsid w:val="004E2287"/>
    <w:rsid w:val="004E2E33"/>
    <w:rsid w:val="004E3961"/>
    <w:rsid w:val="004E4B8F"/>
    <w:rsid w:val="004E5123"/>
    <w:rsid w:val="004E5A04"/>
    <w:rsid w:val="004E5BA0"/>
    <w:rsid w:val="004E618F"/>
    <w:rsid w:val="004E6404"/>
    <w:rsid w:val="004E72E6"/>
    <w:rsid w:val="004E7437"/>
    <w:rsid w:val="004E79E7"/>
    <w:rsid w:val="004F0716"/>
    <w:rsid w:val="004F0D45"/>
    <w:rsid w:val="004F425C"/>
    <w:rsid w:val="004F49D1"/>
    <w:rsid w:val="004F4B1A"/>
    <w:rsid w:val="004F5F26"/>
    <w:rsid w:val="004F6147"/>
    <w:rsid w:val="004F615A"/>
    <w:rsid w:val="004F6E5F"/>
    <w:rsid w:val="005005B2"/>
    <w:rsid w:val="00501B92"/>
    <w:rsid w:val="00501E18"/>
    <w:rsid w:val="00502166"/>
    <w:rsid w:val="005030B1"/>
    <w:rsid w:val="00503373"/>
    <w:rsid w:val="00505EB0"/>
    <w:rsid w:val="00506277"/>
    <w:rsid w:val="005065A1"/>
    <w:rsid w:val="00507893"/>
    <w:rsid w:val="0051012B"/>
    <w:rsid w:val="00510447"/>
    <w:rsid w:val="005115A4"/>
    <w:rsid w:val="00511DE5"/>
    <w:rsid w:val="00511FA7"/>
    <w:rsid w:val="005120CF"/>
    <w:rsid w:val="00512549"/>
    <w:rsid w:val="00512B37"/>
    <w:rsid w:val="00513138"/>
    <w:rsid w:val="00513684"/>
    <w:rsid w:val="0051384C"/>
    <w:rsid w:val="00513D5A"/>
    <w:rsid w:val="0051452E"/>
    <w:rsid w:val="005158A3"/>
    <w:rsid w:val="00517221"/>
    <w:rsid w:val="00517657"/>
    <w:rsid w:val="00520166"/>
    <w:rsid w:val="00520733"/>
    <w:rsid w:val="0052093A"/>
    <w:rsid w:val="00521929"/>
    <w:rsid w:val="00522515"/>
    <w:rsid w:val="005229E8"/>
    <w:rsid w:val="00523A12"/>
    <w:rsid w:val="00523B40"/>
    <w:rsid w:val="00523EF2"/>
    <w:rsid w:val="005240BC"/>
    <w:rsid w:val="00524587"/>
    <w:rsid w:val="00524ADA"/>
    <w:rsid w:val="00524BBA"/>
    <w:rsid w:val="00525043"/>
    <w:rsid w:val="005255F0"/>
    <w:rsid w:val="0052572B"/>
    <w:rsid w:val="00525814"/>
    <w:rsid w:val="00527381"/>
    <w:rsid w:val="00527573"/>
    <w:rsid w:val="00527836"/>
    <w:rsid w:val="005279BE"/>
    <w:rsid w:val="0053158C"/>
    <w:rsid w:val="005324FA"/>
    <w:rsid w:val="00533AB8"/>
    <w:rsid w:val="00533CC4"/>
    <w:rsid w:val="00533EE0"/>
    <w:rsid w:val="00534061"/>
    <w:rsid w:val="00537F93"/>
    <w:rsid w:val="005416D2"/>
    <w:rsid w:val="00543023"/>
    <w:rsid w:val="00543482"/>
    <w:rsid w:val="005440BF"/>
    <w:rsid w:val="005450E5"/>
    <w:rsid w:val="00545616"/>
    <w:rsid w:val="00545D81"/>
    <w:rsid w:val="00545D9C"/>
    <w:rsid w:val="005464AA"/>
    <w:rsid w:val="00546735"/>
    <w:rsid w:val="005474C8"/>
    <w:rsid w:val="00550C10"/>
    <w:rsid w:val="00551C0F"/>
    <w:rsid w:val="0055244B"/>
    <w:rsid w:val="00552D8D"/>
    <w:rsid w:val="00553A2C"/>
    <w:rsid w:val="005549B8"/>
    <w:rsid w:val="00556333"/>
    <w:rsid w:val="0055700C"/>
    <w:rsid w:val="00560D6E"/>
    <w:rsid w:val="0056112E"/>
    <w:rsid w:val="0056116D"/>
    <w:rsid w:val="00561DE3"/>
    <w:rsid w:val="00561F5C"/>
    <w:rsid w:val="0056206A"/>
    <w:rsid w:val="0056212D"/>
    <w:rsid w:val="0056250B"/>
    <w:rsid w:val="005627AB"/>
    <w:rsid w:val="0056358B"/>
    <w:rsid w:val="00563818"/>
    <w:rsid w:val="00563C96"/>
    <w:rsid w:val="00563D2E"/>
    <w:rsid w:val="00564FC4"/>
    <w:rsid w:val="0056523F"/>
    <w:rsid w:val="0056538B"/>
    <w:rsid w:val="005653A9"/>
    <w:rsid w:val="00565AF2"/>
    <w:rsid w:val="005662EC"/>
    <w:rsid w:val="00566B81"/>
    <w:rsid w:val="00566BFE"/>
    <w:rsid w:val="0056758F"/>
    <w:rsid w:val="0057038E"/>
    <w:rsid w:val="00570F55"/>
    <w:rsid w:val="00571982"/>
    <w:rsid w:val="00571B05"/>
    <w:rsid w:val="00572C10"/>
    <w:rsid w:val="00573130"/>
    <w:rsid w:val="0057317A"/>
    <w:rsid w:val="005739BB"/>
    <w:rsid w:val="005741EA"/>
    <w:rsid w:val="00574AC5"/>
    <w:rsid w:val="00574D66"/>
    <w:rsid w:val="005753B2"/>
    <w:rsid w:val="00576132"/>
    <w:rsid w:val="00576F19"/>
    <w:rsid w:val="00577949"/>
    <w:rsid w:val="005806D8"/>
    <w:rsid w:val="0058192A"/>
    <w:rsid w:val="00581E9D"/>
    <w:rsid w:val="00582898"/>
    <w:rsid w:val="00582CD8"/>
    <w:rsid w:val="005831EE"/>
    <w:rsid w:val="0058341F"/>
    <w:rsid w:val="00583CEE"/>
    <w:rsid w:val="00584476"/>
    <w:rsid w:val="005857A1"/>
    <w:rsid w:val="00587601"/>
    <w:rsid w:val="00587A64"/>
    <w:rsid w:val="00587A78"/>
    <w:rsid w:val="00587D57"/>
    <w:rsid w:val="00587FA2"/>
    <w:rsid w:val="0059002F"/>
    <w:rsid w:val="00590E6D"/>
    <w:rsid w:val="0059193B"/>
    <w:rsid w:val="00592405"/>
    <w:rsid w:val="005958E5"/>
    <w:rsid w:val="00596129"/>
    <w:rsid w:val="00597E94"/>
    <w:rsid w:val="005A012D"/>
    <w:rsid w:val="005A0171"/>
    <w:rsid w:val="005A1844"/>
    <w:rsid w:val="005A30B8"/>
    <w:rsid w:val="005A30EA"/>
    <w:rsid w:val="005A3292"/>
    <w:rsid w:val="005A369D"/>
    <w:rsid w:val="005A4122"/>
    <w:rsid w:val="005A4EB2"/>
    <w:rsid w:val="005A52E5"/>
    <w:rsid w:val="005A5618"/>
    <w:rsid w:val="005A64BF"/>
    <w:rsid w:val="005B0A79"/>
    <w:rsid w:val="005B0E61"/>
    <w:rsid w:val="005B1820"/>
    <w:rsid w:val="005B1D36"/>
    <w:rsid w:val="005B2835"/>
    <w:rsid w:val="005B3711"/>
    <w:rsid w:val="005B47F8"/>
    <w:rsid w:val="005B58D8"/>
    <w:rsid w:val="005B5FC0"/>
    <w:rsid w:val="005B7A65"/>
    <w:rsid w:val="005C0625"/>
    <w:rsid w:val="005C08EC"/>
    <w:rsid w:val="005C0B06"/>
    <w:rsid w:val="005C180C"/>
    <w:rsid w:val="005C3AA0"/>
    <w:rsid w:val="005C495D"/>
    <w:rsid w:val="005C5303"/>
    <w:rsid w:val="005C56A7"/>
    <w:rsid w:val="005C5B76"/>
    <w:rsid w:val="005C683F"/>
    <w:rsid w:val="005C6895"/>
    <w:rsid w:val="005C6EBC"/>
    <w:rsid w:val="005C71C2"/>
    <w:rsid w:val="005C7B3B"/>
    <w:rsid w:val="005C7E84"/>
    <w:rsid w:val="005D025D"/>
    <w:rsid w:val="005D02DE"/>
    <w:rsid w:val="005D0777"/>
    <w:rsid w:val="005D165C"/>
    <w:rsid w:val="005D2254"/>
    <w:rsid w:val="005D2A31"/>
    <w:rsid w:val="005D3902"/>
    <w:rsid w:val="005D5B58"/>
    <w:rsid w:val="005D5F2F"/>
    <w:rsid w:val="005D6532"/>
    <w:rsid w:val="005D6C7A"/>
    <w:rsid w:val="005D6F29"/>
    <w:rsid w:val="005D70F3"/>
    <w:rsid w:val="005D713A"/>
    <w:rsid w:val="005D7FFD"/>
    <w:rsid w:val="005E0B2E"/>
    <w:rsid w:val="005E432D"/>
    <w:rsid w:val="005E5E24"/>
    <w:rsid w:val="005E6467"/>
    <w:rsid w:val="005E72D9"/>
    <w:rsid w:val="005F0829"/>
    <w:rsid w:val="005F16C2"/>
    <w:rsid w:val="005F1ECF"/>
    <w:rsid w:val="005F2F5B"/>
    <w:rsid w:val="005F42E3"/>
    <w:rsid w:val="005F6147"/>
    <w:rsid w:val="005F69AE"/>
    <w:rsid w:val="005F6B00"/>
    <w:rsid w:val="005F734C"/>
    <w:rsid w:val="005F7584"/>
    <w:rsid w:val="005F78C0"/>
    <w:rsid w:val="006002E5"/>
    <w:rsid w:val="006005E0"/>
    <w:rsid w:val="00600B47"/>
    <w:rsid w:val="00601526"/>
    <w:rsid w:val="00601D7B"/>
    <w:rsid w:val="00601FE9"/>
    <w:rsid w:val="00603D73"/>
    <w:rsid w:val="00604338"/>
    <w:rsid w:val="0060436D"/>
    <w:rsid w:val="00606156"/>
    <w:rsid w:val="00606374"/>
    <w:rsid w:val="00606401"/>
    <w:rsid w:val="0061173F"/>
    <w:rsid w:val="00611E89"/>
    <w:rsid w:val="0061207D"/>
    <w:rsid w:val="00613364"/>
    <w:rsid w:val="00613AE3"/>
    <w:rsid w:val="00614343"/>
    <w:rsid w:val="0061638E"/>
    <w:rsid w:val="006172C4"/>
    <w:rsid w:val="00617B57"/>
    <w:rsid w:val="0062123D"/>
    <w:rsid w:val="00622643"/>
    <w:rsid w:val="00622B9F"/>
    <w:rsid w:val="006246E1"/>
    <w:rsid w:val="00624AC7"/>
    <w:rsid w:val="00624D03"/>
    <w:rsid w:val="00625AD1"/>
    <w:rsid w:val="00627F3F"/>
    <w:rsid w:val="00630EEB"/>
    <w:rsid w:val="00631EE2"/>
    <w:rsid w:val="00632B1A"/>
    <w:rsid w:val="00632B86"/>
    <w:rsid w:val="00632D92"/>
    <w:rsid w:val="00633037"/>
    <w:rsid w:val="00633BF3"/>
    <w:rsid w:val="00633C39"/>
    <w:rsid w:val="006344F7"/>
    <w:rsid w:val="00634B80"/>
    <w:rsid w:val="00634DBB"/>
    <w:rsid w:val="0063544D"/>
    <w:rsid w:val="0063570A"/>
    <w:rsid w:val="006357A5"/>
    <w:rsid w:val="00635943"/>
    <w:rsid w:val="0063652F"/>
    <w:rsid w:val="0063667C"/>
    <w:rsid w:val="00636D5F"/>
    <w:rsid w:val="006372FA"/>
    <w:rsid w:val="00637325"/>
    <w:rsid w:val="006379C7"/>
    <w:rsid w:val="00640D5A"/>
    <w:rsid w:val="00640ECB"/>
    <w:rsid w:val="00641160"/>
    <w:rsid w:val="006416E3"/>
    <w:rsid w:val="00641F29"/>
    <w:rsid w:val="006434E6"/>
    <w:rsid w:val="00645442"/>
    <w:rsid w:val="0064579B"/>
    <w:rsid w:val="006506CC"/>
    <w:rsid w:val="006506D3"/>
    <w:rsid w:val="00651BDB"/>
    <w:rsid w:val="00654756"/>
    <w:rsid w:val="00654C9F"/>
    <w:rsid w:val="00654D0D"/>
    <w:rsid w:val="00655F79"/>
    <w:rsid w:val="00656011"/>
    <w:rsid w:val="0065616D"/>
    <w:rsid w:val="0065661B"/>
    <w:rsid w:val="00657C14"/>
    <w:rsid w:val="006608E8"/>
    <w:rsid w:val="00660944"/>
    <w:rsid w:val="00660CB4"/>
    <w:rsid w:val="0066159F"/>
    <w:rsid w:val="00662277"/>
    <w:rsid w:val="006622BB"/>
    <w:rsid w:val="0066271E"/>
    <w:rsid w:val="00662A41"/>
    <w:rsid w:val="0066365C"/>
    <w:rsid w:val="00664ABD"/>
    <w:rsid w:val="00664E65"/>
    <w:rsid w:val="00665748"/>
    <w:rsid w:val="0066582A"/>
    <w:rsid w:val="00665DDB"/>
    <w:rsid w:val="00666EA1"/>
    <w:rsid w:val="0066779B"/>
    <w:rsid w:val="006707B9"/>
    <w:rsid w:val="00670B0D"/>
    <w:rsid w:val="0067159C"/>
    <w:rsid w:val="00671981"/>
    <w:rsid w:val="00672101"/>
    <w:rsid w:val="006721E1"/>
    <w:rsid w:val="00673048"/>
    <w:rsid w:val="006730DD"/>
    <w:rsid w:val="006735BB"/>
    <w:rsid w:val="00673870"/>
    <w:rsid w:val="00673955"/>
    <w:rsid w:val="006740A1"/>
    <w:rsid w:val="0067437C"/>
    <w:rsid w:val="006761F2"/>
    <w:rsid w:val="006769E3"/>
    <w:rsid w:val="00676D0E"/>
    <w:rsid w:val="006771A4"/>
    <w:rsid w:val="006776A5"/>
    <w:rsid w:val="0068019C"/>
    <w:rsid w:val="006810D8"/>
    <w:rsid w:val="00683F9C"/>
    <w:rsid w:val="0068552D"/>
    <w:rsid w:val="00685944"/>
    <w:rsid w:val="00687740"/>
    <w:rsid w:val="006901F1"/>
    <w:rsid w:val="00693901"/>
    <w:rsid w:val="00693C3F"/>
    <w:rsid w:val="0069565A"/>
    <w:rsid w:val="00695C1F"/>
    <w:rsid w:val="006973FA"/>
    <w:rsid w:val="00697891"/>
    <w:rsid w:val="00697A60"/>
    <w:rsid w:val="006A069B"/>
    <w:rsid w:val="006A0D27"/>
    <w:rsid w:val="006A1297"/>
    <w:rsid w:val="006A1B02"/>
    <w:rsid w:val="006A2D67"/>
    <w:rsid w:val="006A3385"/>
    <w:rsid w:val="006A3969"/>
    <w:rsid w:val="006A4E36"/>
    <w:rsid w:val="006A56FD"/>
    <w:rsid w:val="006A583D"/>
    <w:rsid w:val="006A63F7"/>
    <w:rsid w:val="006A6909"/>
    <w:rsid w:val="006A6BC5"/>
    <w:rsid w:val="006A6FDA"/>
    <w:rsid w:val="006B06DB"/>
    <w:rsid w:val="006B13CC"/>
    <w:rsid w:val="006B18EB"/>
    <w:rsid w:val="006B1B05"/>
    <w:rsid w:val="006B1C68"/>
    <w:rsid w:val="006B2AAF"/>
    <w:rsid w:val="006B2FFC"/>
    <w:rsid w:val="006B4A62"/>
    <w:rsid w:val="006B4BA5"/>
    <w:rsid w:val="006B62F2"/>
    <w:rsid w:val="006B6D3A"/>
    <w:rsid w:val="006B743A"/>
    <w:rsid w:val="006B775F"/>
    <w:rsid w:val="006B79FF"/>
    <w:rsid w:val="006C0C05"/>
    <w:rsid w:val="006C18CB"/>
    <w:rsid w:val="006C2170"/>
    <w:rsid w:val="006C57BE"/>
    <w:rsid w:val="006C590B"/>
    <w:rsid w:val="006C5B9D"/>
    <w:rsid w:val="006C6896"/>
    <w:rsid w:val="006C6F2B"/>
    <w:rsid w:val="006C7204"/>
    <w:rsid w:val="006C7E1D"/>
    <w:rsid w:val="006C7E67"/>
    <w:rsid w:val="006D0BDC"/>
    <w:rsid w:val="006D0C1D"/>
    <w:rsid w:val="006D0CA9"/>
    <w:rsid w:val="006D0D55"/>
    <w:rsid w:val="006D1286"/>
    <w:rsid w:val="006D1776"/>
    <w:rsid w:val="006D2BEA"/>
    <w:rsid w:val="006D4298"/>
    <w:rsid w:val="006D46CF"/>
    <w:rsid w:val="006D525E"/>
    <w:rsid w:val="006D59B8"/>
    <w:rsid w:val="006D59BF"/>
    <w:rsid w:val="006D64FA"/>
    <w:rsid w:val="006D7785"/>
    <w:rsid w:val="006D7F5D"/>
    <w:rsid w:val="006E02CF"/>
    <w:rsid w:val="006E2336"/>
    <w:rsid w:val="006E2413"/>
    <w:rsid w:val="006E2B05"/>
    <w:rsid w:val="006E30B4"/>
    <w:rsid w:val="006E41C9"/>
    <w:rsid w:val="006E62D7"/>
    <w:rsid w:val="006E6311"/>
    <w:rsid w:val="006E657C"/>
    <w:rsid w:val="006E6852"/>
    <w:rsid w:val="006E691E"/>
    <w:rsid w:val="006E7D83"/>
    <w:rsid w:val="006F0902"/>
    <w:rsid w:val="006F0A25"/>
    <w:rsid w:val="006F140C"/>
    <w:rsid w:val="006F1462"/>
    <w:rsid w:val="006F1BFA"/>
    <w:rsid w:val="006F1D68"/>
    <w:rsid w:val="006F200F"/>
    <w:rsid w:val="006F2373"/>
    <w:rsid w:val="006F2D36"/>
    <w:rsid w:val="006F36D0"/>
    <w:rsid w:val="006F400F"/>
    <w:rsid w:val="006F4A87"/>
    <w:rsid w:val="006F4C1F"/>
    <w:rsid w:val="006F4F70"/>
    <w:rsid w:val="006F53A2"/>
    <w:rsid w:val="006F7727"/>
    <w:rsid w:val="0070029B"/>
    <w:rsid w:val="007007D2"/>
    <w:rsid w:val="00700EEF"/>
    <w:rsid w:val="00701A3B"/>
    <w:rsid w:val="00701AD8"/>
    <w:rsid w:val="00701B0C"/>
    <w:rsid w:val="00703760"/>
    <w:rsid w:val="00706ACC"/>
    <w:rsid w:val="00707F27"/>
    <w:rsid w:val="00710BCA"/>
    <w:rsid w:val="00710E60"/>
    <w:rsid w:val="007112BE"/>
    <w:rsid w:val="007119BC"/>
    <w:rsid w:val="00711F2A"/>
    <w:rsid w:val="00712109"/>
    <w:rsid w:val="0071428F"/>
    <w:rsid w:val="007147D9"/>
    <w:rsid w:val="00714A56"/>
    <w:rsid w:val="00715A45"/>
    <w:rsid w:val="00715B19"/>
    <w:rsid w:val="00716798"/>
    <w:rsid w:val="00716E78"/>
    <w:rsid w:val="00717342"/>
    <w:rsid w:val="00717BC5"/>
    <w:rsid w:val="00720B96"/>
    <w:rsid w:val="00721221"/>
    <w:rsid w:val="00721FF8"/>
    <w:rsid w:val="007238C8"/>
    <w:rsid w:val="00725075"/>
    <w:rsid w:val="00726562"/>
    <w:rsid w:val="0072691A"/>
    <w:rsid w:val="0072705E"/>
    <w:rsid w:val="007275F1"/>
    <w:rsid w:val="00730222"/>
    <w:rsid w:val="00730855"/>
    <w:rsid w:val="00731509"/>
    <w:rsid w:val="00732C24"/>
    <w:rsid w:val="0073349C"/>
    <w:rsid w:val="007334B2"/>
    <w:rsid w:val="007334C8"/>
    <w:rsid w:val="00733560"/>
    <w:rsid w:val="0073470C"/>
    <w:rsid w:val="00734E9C"/>
    <w:rsid w:val="00735AA9"/>
    <w:rsid w:val="00736346"/>
    <w:rsid w:val="00736525"/>
    <w:rsid w:val="007367AC"/>
    <w:rsid w:val="00736837"/>
    <w:rsid w:val="00736D50"/>
    <w:rsid w:val="0073753A"/>
    <w:rsid w:val="00737859"/>
    <w:rsid w:val="0074046C"/>
    <w:rsid w:val="00740984"/>
    <w:rsid w:val="00741FEC"/>
    <w:rsid w:val="00742E11"/>
    <w:rsid w:val="00742F78"/>
    <w:rsid w:val="0074339C"/>
    <w:rsid w:val="0074461F"/>
    <w:rsid w:val="00744D22"/>
    <w:rsid w:val="00745763"/>
    <w:rsid w:val="00745C58"/>
    <w:rsid w:val="00746018"/>
    <w:rsid w:val="00746431"/>
    <w:rsid w:val="007473D8"/>
    <w:rsid w:val="00747EA4"/>
    <w:rsid w:val="00750A34"/>
    <w:rsid w:val="00750A74"/>
    <w:rsid w:val="00750AE3"/>
    <w:rsid w:val="00750CCE"/>
    <w:rsid w:val="0075108F"/>
    <w:rsid w:val="007518DE"/>
    <w:rsid w:val="00752275"/>
    <w:rsid w:val="00752562"/>
    <w:rsid w:val="00752F78"/>
    <w:rsid w:val="00752FEF"/>
    <w:rsid w:val="007539FC"/>
    <w:rsid w:val="00753CBC"/>
    <w:rsid w:val="00753E5F"/>
    <w:rsid w:val="00753E81"/>
    <w:rsid w:val="00754145"/>
    <w:rsid w:val="00756906"/>
    <w:rsid w:val="00756BC7"/>
    <w:rsid w:val="00756CAC"/>
    <w:rsid w:val="007626E6"/>
    <w:rsid w:val="00762912"/>
    <w:rsid w:val="00762FF5"/>
    <w:rsid w:val="007658FD"/>
    <w:rsid w:val="00765C33"/>
    <w:rsid w:val="007662FB"/>
    <w:rsid w:val="00767A46"/>
    <w:rsid w:val="00767D89"/>
    <w:rsid w:val="00767EA4"/>
    <w:rsid w:val="00770F9E"/>
    <w:rsid w:val="007712B0"/>
    <w:rsid w:val="0077156C"/>
    <w:rsid w:val="007719B7"/>
    <w:rsid w:val="00771FE3"/>
    <w:rsid w:val="00772F32"/>
    <w:rsid w:val="007735D4"/>
    <w:rsid w:val="00774D1B"/>
    <w:rsid w:val="00775EDA"/>
    <w:rsid w:val="007760E2"/>
    <w:rsid w:val="007764CA"/>
    <w:rsid w:val="00777329"/>
    <w:rsid w:val="007773CF"/>
    <w:rsid w:val="0077789A"/>
    <w:rsid w:val="0078064D"/>
    <w:rsid w:val="00780AEB"/>
    <w:rsid w:val="00782931"/>
    <w:rsid w:val="00782985"/>
    <w:rsid w:val="00783616"/>
    <w:rsid w:val="007847E8"/>
    <w:rsid w:val="00785280"/>
    <w:rsid w:val="0078549A"/>
    <w:rsid w:val="007864C6"/>
    <w:rsid w:val="00787FD3"/>
    <w:rsid w:val="0079072D"/>
    <w:rsid w:val="0079301E"/>
    <w:rsid w:val="007930F2"/>
    <w:rsid w:val="00793284"/>
    <w:rsid w:val="007940F2"/>
    <w:rsid w:val="00794303"/>
    <w:rsid w:val="0079502A"/>
    <w:rsid w:val="00796447"/>
    <w:rsid w:val="007965C4"/>
    <w:rsid w:val="00796DC7"/>
    <w:rsid w:val="00796FB5"/>
    <w:rsid w:val="007977EC"/>
    <w:rsid w:val="00797E5A"/>
    <w:rsid w:val="007A0360"/>
    <w:rsid w:val="007A12D6"/>
    <w:rsid w:val="007A1F2C"/>
    <w:rsid w:val="007A266D"/>
    <w:rsid w:val="007A4D39"/>
    <w:rsid w:val="007A4F31"/>
    <w:rsid w:val="007A52A3"/>
    <w:rsid w:val="007A64F0"/>
    <w:rsid w:val="007A6553"/>
    <w:rsid w:val="007A6555"/>
    <w:rsid w:val="007A663B"/>
    <w:rsid w:val="007A7868"/>
    <w:rsid w:val="007B07E9"/>
    <w:rsid w:val="007B0D1F"/>
    <w:rsid w:val="007B0DFC"/>
    <w:rsid w:val="007B282F"/>
    <w:rsid w:val="007B2CE5"/>
    <w:rsid w:val="007B4376"/>
    <w:rsid w:val="007B4D8D"/>
    <w:rsid w:val="007B55B8"/>
    <w:rsid w:val="007B6D88"/>
    <w:rsid w:val="007C0957"/>
    <w:rsid w:val="007C169C"/>
    <w:rsid w:val="007C186F"/>
    <w:rsid w:val="007C1D10"/>
    <w:rsid w:val="007C1F50"/>
    <w:rsid w:val="007C23B8"/>
    <w:rsid w:val="007C28FB"/>
    <w:rsid w:val="007C2C60"/>
    <w:rsid w:val="007C2E96"/>
    <w:rsid w:val="007C3AFE"/>
    <w:rsid w:val="007C3EC7"/>
    <w:rsid w:val="007C4046"/>
    <w:rsid w:val="007C4282"/>
    <w:rsid w:val="007C43B0"/>
    <w:rsid w:val="007C5661"/>
    <w:rsid w:val="007C58FA"/>
    <w:rsid w:val="007C59F8"/>
    <w:rsid w:val="007C60C6"/>
    <w:rsid w:val="007C7DBD"/>
    <w:rsid w:val="007D09AD"/>
    <w:rsid w:val="007D0DBF"/>
    <w:rsid w:val="007D0DEF"/>
    <w:rsid w:val="007D101D"/>
    <w:rsid w:val="007D2E58"/>
    <w:rsid w:val="007D3A77"/>
    <w:rsid w:val="007D4439"/>
    <w:rsid w:val="007D46D9"/>
    <w:rsid w:val="007D54EF"/>
    <w:rsid w:val="007D65A3"/>
    <w:rsid w:val="007D67A7"/>
    <w:rsid w:val="007D67ED"/>
    <w:rsid w:val="007D695C"/>
    <w:rsid w:val="007D6BCA"/>
    <w:rsid w:val="007D73F0"/>
    <w:rsid w:val="007D78C0"/>
    <w:rsid w:val="007E0C0F"/>
    <w:rsid w:val="007E2705"/>
    <w:rsid w:val="007E2A04"/>
    <w:rsid w:val="007E4210"/>
    <w:rsid w:val="007E437F"/>
    <w:rsid w:val="007E4689"/>
    <w:rsid w:val="007E4932"/>
    <w:rsid w:val="007E4DF6"/>
    <w:rsid w:val="007E5602"/>
    <w:rsid w:val="007E5A0D"/>
    <w:rsid w:val="007E5C76"/>
    <w:rsid w:val="007E6827"/>
    <w:rsid w:val="007E6F4E"/>
    <w:rsid w:val="007E74AA"/>
    <w:rsid w:val="007E7C74"/>
    <w:rsid w:val="007F0C6B"/>
    <w:rsid w:val="007F1130"/>
    <w:rsid w:val="007F11A7"/>
    <w:rsid w:val="007F2D22"/>
    <w:rsid w:val="007F3BB6"/>
    <w:rsid w:val="007F4B50"/>
    <w:rsid w:val="007F5855"/>
    <w:rsid w:val="007F5D41"/>
    <w:rsid w:val="007F615B"/>
    <w:rsid w:val="007F6C8A"/>
    <w:rsid w:val="007F71B4"/>
    <w:rsid w:val="007F7D10"/>
    <w:rsid w:val="00800242"/>
    <w:rsid w:val="00800B9D"/>
    <w:rsid w:val="00800CDA"/>
    <w:rsid w:val="00801215"/>
    <w:rsid w:val="00802646"/>
    <w:rsid w:val="008032C7"/>
    <w:rsid w:val="0080493B"/>
    <w:rsid w:val="00804BC8"/>
    <w:rsid w:val="00805529"/>
    <w:rsid w:val="008071D5"/>
    <w:rsid w:val="0080726C"/>
    <w:rsid w:val="00810726"/>
    <w:rsid w:val="008116A4"/>
    <w:rsid w:val="00811F91"/>
    <w:rsid w:val="008121EA"/>
    <w:rsid w:val="008123CD"/>
    <w:rsid w:val="00812C7C"/>
    <w:rsid w:val="00814C80"/>
    <w:rsid w:val="0081743A"/>
    <w:rsid w:val="008175F0"/>
    <w:rsid w:val="00817C3B"/>
    <w:rsid w:val="00820698"/>
    <w:rsid w:val="00820954"/>
    <w:rsid w:val="00820D03"/>
    <w:rsid w:val="00821927"/>
    <w:rsid w:val="00822406"/>
    <w:rsid w:val="0082296D"/>
    <w:rsid w:val="00823220"/>
    <w:rsid w:val="00823603"/>
    <w:rsid w:val="00824785"/>
    <w:rsid w:val="00824D92"/>
    <w:rsid w:val="00824FEA"/>
    <w:rsid w:val="00825F19"/>
    <w:rsid w:val="0082611E"/>
    <w:rsid w:val="008262E8"/>
    <w:rsid w:val="008263F2"/>
    <w:rsid w:val="008265B3"/>
    <w:rsid w:val="00826893"/>
    <w:rsid w:val="00827087"/>
    <w:rsid w:val="008273E0"/>
    <w:rsid w:val="00827816"/>
    <w:rsid w:val="00827E13"/>
    <w:rsid w:val="0083172F"/>
    <w:rsid w:val="008317AC"/>
    <w:rsid w:val="00831C2B"/>
    <w:rsid w:val="00831F66"/>
    <w:rsid w:val="0083297E"/>
    <w:rsid w:val="00833CF0"/>
    <w:rsid w:val="00834E6B"/>
    <w:rsid w:val="008355D2"/>
    <w:rsid w:val="00835CCC"/>
    <w:rsid w:val="008362C4"/>
    <w:rsid w:val="00836B4F"/>
    <w:rsid w:val="008370E0"/>
    <w:rsid w:val="00837D9E"/>
    <w:rsid w:val="0084026C"/>
    <w:rsid w:val="00840611"/>
    <w:rsid w:val="00840B77"/>
    <w:rsid w:val="008414DE"/>
    <w:rsid w:val="00841603"/>
    <w:rsid w:val="008419FD"/>
    <w:rsid w:val="00841F6A"/>
    <w:rsid w:val="008421F3"/>
    <w:rsid w:val="00842245"/>
    <w:rsid w:val="00842451"/>
    <w:rsid w:val="00842C67"/>
    <w:rsid w:val="0084341D"/>
    <w:rsid w:val="00845317"/>
    <w:rsid w:val="008456E4"/>
    <w:rsid w:val="00846897"/>
    <w:rsid w:val="00846A94"/>
    <w:rsid w:val="00847A56"/>
    <w:rsid w:val="0085013F"/>
    <w:rsid w:val="00850493"/>
    <w:rsid w:val="00850BA0"/>
    <w:rsid w:val="008513C1"/>
    <w:rsid w:val="00851755"/>
    <w:rsid w:val="00851DC4"/>
    <w:rsid w:val="00851FED"/>
    <w:rsid w:val="008523D4"/>
    <w:rsid w:val="00852C8B"/>
    <w:rsid w:val="00853598"/>
    <w:rsid w:val="008539D5"/>
    <w:rsid w:val="008543F3"/>
    <w:rsid w:val="0085450E"/>
    <w:rsid w:val="00854822"/>
    <w:rsid w:val="00854B76"/>
    <w:rsid w:val="00854F81"/>
    <w:rsid w:val="0085562A"/>
    <w:rsid w:val="008558DC"/>
    <w:rsid w:val="0085623F"/>
    <w:rsid w:val="008563D5"/>
    <w:rsid w:val="00857A55"/>
    <w:rsid w:val="0086015C"/>
    <w:rsid w:val="008607C9"/>
    <w:rsid w:val="0086098D"/>
    <w:rsid w:val="008619FF"/>
    <w:rsid w:val="00862626"/>
    <w:rsid w:val="00862CFB"/>
    <w:rsid w:val="00862E1D"/>
    <w:rsid w:val="0086364B"/>
    <w:rsid w:val="008636D6"/>
    <w:rsid w:val="00863B98"/>
    <w:rsid w:val="00865A2F"/>
    <w:rsid w:val="00866850"/>
    <w:rsid w:val="008673EA"/>
    <w:rsid w:val="00867765"/>
    <w:rsid w:val="00870144"/>
    <w:rsid w:val="00870569"/>
    <w:rsid w:val="0087175C"/>
    <w:rsid w:val="00871932"/>
    <w:rsid w:val="00871E36"/>
    <w:rsid w:val="0087297D"/>
    <w:rsid w:val="00872D2C"/>
    <w:rsid w:val="00873FF2"/>
    <w:rsid w:val="00874907"/>
    <w:rsid w:val="00874B04"/>
    <w:rsid w:val="008763A4"/>
    <w:rsid w:val="0087667B"/>
    <w:rsid w:val="00876B47"/>
    <w:rsid w:val="00876FDD"/>
    <w:rsid w:val="00877791"/>
    <w:rsid w:val="00877FAB"/>
    <w:rsid w:val="00877FEF"/>
    <w:rsid w:val="0088003F"/>
    <w:rsid w:val="008819AB"/>
    <w:rsid w:val="00882830"/>
    <w:rsid w:val="008830B3"/>
    <w:rsid w:val="008834AF"/>
    <w:rsid w:val="00883CE8"/>
    <w:rsid w:val="00884218"/>
    <w:rsid w:val="00885641"/>
    <w:rsid w:val="00885EE0"/>
    <w:rsid w:val="008867B4"/>
    <w:rsid w:val="00886C88"/>
    <w:rsid w:val="00886E87"/>
    <w:rsid w:val="008870DC"/>
    <w:rsid w:val="00890AC2"/>
    <w:rsid w:val="0089114C"/>
    <w:rsid w:val="008916BE"/>
    <w:rsid w:val="00892684"/>
    <w:rsid w:val="00892E7D"/>
    <w:rsid w:val="00893B92"/>
    <w:rsid w:val="00893D29"/>
    <w:rsid w:val="008947F8"/>
    <w:rsid w:val="008962AE"/>
    <w:rsid w:val="008968CB"/>
    <w:rsid w:val="00896F25"/>
    <w:rsid w:val="008977E2"/>
    <w:rsid w:val="008978D2"/>
    <w:rsid w:val="008A31EB"/>
    <w:rsid w:val="008A3C63"/>
    <w:rsid w:val="008A4037"/>
    <w:rsid w:val="008A49F3"/>
    <w:rsid w:val="008A4FB8"/>
    <w:rsid w:val="008A55AB"/>
    <w:rsid w:val="008A58E5"/>
    <w:rsid w:val="008A6845"/>
    <w:rsid w:val="008A6C9E"/>
    <w:rsid w:val="008A6D3F"/>
    <w:rsid w:val="008A71A2"/>
    <w:rsid w:val="008A7472"/>
    <w:rsid w:val="008A749B"/>
    <w:rsid w:val="008A7864"/>
    <w:rsid w:val="008A7ED8"/>
    <w:rsid w:val="008B0639"/>
    <w:rsid w:val="008B0BDE"/>
    <w:rsid w:val="008B11D6"/>
    <w:rsid w:val="008B17FB"/>
    <w:rsid w:val="008B2230"/>
    <w:rsid w:val="008B3B3E"/>
    <w:rsid w:val="008B3C4E"/>
    <w:rsid w:val="008B427A"/>
    <w:rsid w:val="008B4372"/>
    <w:rsid w:val="008B5583"/>
    <w:rsid w:val="008B7641"/>
    <w:rsid w:val="008B7BBA"/>
    <w:rsid w:val="008C0558"/>
    <w:rsid w:val="008C05BD"/>
    <w:rsid w:val="008C1F5D"/>
    <w:rsid w:val="008C24B1"/>
    <w:rsid w:val="008C2E56"/>
    <w:rsid w:val="008C3312"/>
    <w:rsid w:val="008C357C"/>
    <w:rsid w:val="008C39F3"/>
    <w:rsid w:val="008C3C5B"/>
    <w:rsid w:val="008C3E31"/>
    <w:rsid w:val="008C42B4"/>
    <w:rsid w:val="008C479A"/>
    <w:rsid w:val="008C485C"/>
    <w:rsid w:val="008C5158"/>
    <w:rsid w:val="008C539B"/>
    <w:rsid w:val="008C5CFB"/>
    <w:rsid w:val="008C742F"/>
    <w:rsid w:val="008C7664"/>
    <w:rsid w:val="008D03C9"/>
    <w:rsid w:val="008D04D3"/>
    <w:rsid w:val="008D120E"/>
    <w:rsid w:val="008D1D78"/>
    <w:rsid w:val="008D2969"/>
    <w:rsid w:val="008D3B3C"/>
    <w:rsid w:val="008D3EE8"/>
    <w:rsid w:val="008D4009"/>
    <w:rsid w:val="008D49EA"/>
    <w:rsid w:val="008D5D7C"/>
    <w:rsid w:val="008D7CC1"/>
    <w:rsid w:val="008E078E"/>
    <w:rsid w:val="008E2B17"/>
    <w:rsid w:val="008E4889"/>
    <w:rsid w:val="008E4AAA"/>
    <w:rsid w:val="008E4C48"/>
    <w:rsid w:val="008E64F0"/>
    <w:rsid w:val="008E6543"/>
    <w:rsid w:val="008E661E"/>
    <w:rsid w:val="008E7382"/>
    <w:rsid w:val="008F0DA9"/>
    <w:rsid w:val="008F2081"/>
    <w:rsid w:val="008F2B42"/>
    <w:rsid w:val="008F3592"/>
    <w:rsid w:val="008F36D1"/>
    <w:rsid w:val="008F3FD4"/>
    <w:rsid w:val="008F4C57"/>
    <w:rsid w:val="008F58E7"/>
    <w:rsid w:val="008F6041"/>
    <w:rsid w:val="008F6651"/>
    <w:rsid w:val="008F67D5"/>
    <w:rsid w:val="008F7B36"/>
    <w:rsid w:val="00902582"/>
    <w:rsid w:val="0090297A"/>
    <w:rsid w:val="009034BB"/>
    <w:rsid w:val="0090366A"/>
    <w:rsid w:val="0090403E"/>
    <w:rsid w:val="00904332"/>
    <w:rsid w:val="00905271"/>
    <w:rsid w:val="00905BD1"/>
    <w:rsid w:val="0090601C"/>
    <w:rsid w:val="00906948"/>
    <w:rsid w:val="009071CE"/>
    <w:rsid w:val="00907841"/>
    <w:rsid w:val="0091113E"/>
    <w:rsid w:val="0091119B"/>
    <w:rsid w:val="00912589"/>
    <w:rsid w:val="009128AD"/>
    <w:rsid w:val="0091297B"/>
    <w:rsid w:val="009137D2"/>
    <w:rsid w:val="00915238"/>
    <w:rsid w:val="0091605C"/>
    <w:rsid w:val="009162F9"/>
    <w:rsid w:val="00917177"/>
    <w:rsid w:val="00917213"/>
    <w:rsid w:val="009176A4"/>
    <w:rsid w:val="009179D6"/>
    <w:rsid w:val="00920BCE"/>
    <w:rsid w:val="00921A21"/>
    <w:rsid w:val="00921DB5"/>
    <w:rsid w:val="0092263E"/>
    <w:rsid w:val="009230A8"/>
    <w:rsid w:val="00924EB1"/>
    <w:rsid w:val="00925084"/>
    <w:rsid w:val="009252FD"/>
    <w:rsid w:val="0092617C"/>
    <w:rsid w:val="0092795B"/>
    <w:rsid w:val="00927C30"/>
    <w:rsid w:val="00927C55"/>
    <w:rsid w:val="00930509"/>
    <w:rsid w:val="00932692"/>
    <w:rsid w:val="009328EE"/>
    <w:rsid w:val="00933228"/>
    <w:rsid w:val="00936886"/>
    <w:rsid w:val="0094000A"/>
    <w:rsid w:val="00940A5A"/>
    <w:rsid w:val="009412D9"/>
    <w:rsid w:val="00941A60"/>
    <w:rsid w:val="009422B8"/>
    <w:rsid w:val="00942B7E"/>
    <w:rsid w:val="00942F6B"/>
    <w:rsid w:val="0094334C"/>
    <w:rsid w:val="009434F7"/>
    <w:rsid w:val="009444D4"/>
    <w:rsid w:val="00944531"/>
    <w:rsid w:val="00945198"/>
    <w:rsid w:val="009455AF"/>
    <w:rsid w:val="009458A5"/>
    <w:rsid w:val="0094674B"/>
    <w:rsid w:val="00946ACF"/>
    <w:rsid w:val="009476D3"/>
    <w:rsid w:val="0095040F"/>
    <w:rsid w:val="00950544"/>
    <w:rsid w:val="009505A0"/>
    <w:rsid w:val="00950874"/>
    <w:rsid w:val="009513D4"/>
    <w:rsid w:val="009515FB"/>
    <w:rsid w:val="009522B8"/>
    <w:rsid w:val="00952BFF"/>
    <w:rsid w:val="009565EC"/>
    <w:rsid w:val="0095716C"/>
    <w:rsid w:val="00957A10"/>
    <w:rsid w:val="00957E38"/>
    <w:rsid w:val="00960298"/>
    <w:rsid w:val="0096039C"/>
    <w:rsid w:val="00960D62"/>
    <w:rsid w:val="009617EB"/>
    <w:rsid w:val="0096262A"/>
    <w:rsid w:val="00963690"/>
    <w:rsid w:val="00963769"/>
    <w:rsid w:val="0096452B"/>
    <w:rsid w:val="00964E59"/>
    <w:rsid w:val="00965737"/>
    <w:rsid w:val="00965F74"/>
    <w:rsid w:val="00967036"/>
    <w:rsid w:val="00970401"/>
    <w:rsid w:val="00970A19"/>
    <w:rsid w:val="00970F53"/>
    <w:rsid w:val="00970FD7"/>
    <w:rsid w:val="00971B44"/>
    <w:rsid w:val="00973113"/>
    <w:rsid w:val="0097522E"/>
    <w:rsid w:val="00977285"/>
    <w:rsid w:val="009774F4"/>
    <w:rsid w:val="0098022B"/>
    <w:rsid w:val="00980399"/>
    <w:rsid w:val="0098044F"/>
    <w:rsid w:val="00980E44"/>
    <w:rsid w:val="0098239D"/>
    <w:rsid w:val="00982547"/>
    <w:rsid w:val="00982AA6"/>
    <w:rsid w:val="0098428E"/>
    <w:rsid w:val="0098589E"/>
    <w:rsid w:val="00986865"/>
    <w:rsid w:val="009868F5"/>
    <w:rsid w:val="00987F4D"/>
    <w:rsid w:val="00992614"/>
    <w:rsid w:val="009929D4"/>
    <w:rsid w:val="00994613"/>
    <w:rsid w:val="009956CA"/>
    <w:rsid w:val="00996312"/>
    <w:rsid w:val="0099697C"/>
    <w:rsid w:val="0099793F"/>
    <w:rsid w:val="00997950"/>
    <w:rsid w:val="009979A7"/>
    <w:rsid w:val="009A0ED0"/>
    <w:rsid w:val="009A108B"/>
    <w:rsid w:val="009A180C"/>
    <w:rsid w:val="009A1EFD"/>
    <w:rsid w:val="009A2124"/>
    <w:rsid w:val="009A2813"/>
    <w:rsid w:val="009A2879"/>
    <w:rsid w:val="009A2DA9"/>
    <w:rsid w:val="009A3502"/>
    <w:rsid w:val="009A38FD"/>
    <w:rsid w:val="009A4A83"/>
    <w:rsid w:val="009A71AA"/>
    <w:rsid w:val="009A71FE"/>
    <w:rsid w:val="009A7B72"/>
    <w:rsid w:val="009B01C7"/>
    <w:rsid w:val="009B064C"/>
    <w:rsid w:val="009B0DC4"/>
    <w:rsid w:val="009B1CB9"/>
    <w:rsid w:val="009B2D95"/>
    <w:rsid w:val="009B2F50"/>
    <w:rsid w:val="009B4AA6"/>
    <w:rsid w:val="009B5EEA"/>
    <w:rsid w:val="009B6667"/>
    <w:rsid w:val="009B6B6A"/>
    <w:rsid w:val="009B730C"/>
    <w:rsid w:val="009B76F1"/>
    <w:rsid w:val="009B771D"/>
    <w:rsid w:val="009B7877"/>
    <w:rsid w:val="009B7A7F"/>
    <w:rsid w:val="009C07F6"/>
    <w:rsid w:val="009C15C9"/>
    <w:rsid w:val="009C15D1"/>
    <w:rsid w:val="009C15EE"/>
    <w:rsid w:val="009C1691"/>
    <w:rsid w:val="009C270A"/>
    <w:rsid w:val="009C2A5A"/>
    <w:rsid w:val="009C3768"/>
    <w:rsid w:val="009C4244"/>
    <w:rsid w:val="009C5354"/>
    <w:rsid w:val="009C57A2"/>
    <w:rsid w:val="009C65CE"/>
    <w:rsid w:val="009D10DD"/>
    <w:rsid w:val="009D186B"/>
    <w:rsid w:val="009D229C"/>
    <w:rsid w:val="009D292A"/>
    <w:rsid w:val="009D3DA5"/>
    <w:rsid w:val="009D4AD9"/>
    <w:rsid w:val="009D51B7"/>
    <w:rsid w:val="009D565E"/>
    <w:rsid w:val="009D6836"/>
    <w:rsid w:val="009D6F3B"/>
    <w:rsid w:val="009D7644"/>
    <w:rsid w:val="009D7985"/>
    <w:rsid w:val="009D7D53"/>
    <w:rsid w:val="009E0315"/>
    <w:rsid w:val="009E04AB"/>
    <w:rsid w:val="009E07CF"/>
    <w:rsid w:val="009E105B"/>
    <w:rsid w:val="009E1FA9"/>
    <w:rsid w:val="009E2556"/>
    <w:rsid w:val="009E3F82"/>
    <w:rsid w:val="009E41AF"/>
    <w:rsid w:val="009E4757"/>
    <w:rsid w:val="009E50DD"/>
    <w:rsid w:val="009E6B58"/>
    <w:rsid w:val="009E726D"/>
    <w:rsid w:val="009E7A0C"/>
    <w:rsid w:val="009E7AC0"/>
    <w:rsid w:val="009E7DD4"/>
    <w:rsid w:val="009F2232"/>
    <w:rsid w:val="009F29D4"/>
    <w:rsid w:val="009F3048"/>
    <w:rsid w:val="009F3356"/>
    <w:rsid w:val="009F33E4"/>
    <w:rsid w:val="009F3514"/>
    <w:rsid w:val="009F3A00"/>
    <w:rsid w:val="009F4969"/>
    <w:rsid w:val="009F65C0"/>
    <w:rsid w:val="009F6C4B"/>
    <w:rsid w:val="009F7619"/>
    <w:rsid w:val="009F7990"/>
    <w:rsid w:val="009F7A41"/>
    <w:rsid w:val="009F7B13"/>
    <w:rsid w:val="009F7EC7"/>
    <w:rsid w:val="00A00028"/>
    <w:rsid w:val="00A00CD5"/>
    <w:rsid w:val="00A029EC"/>
    <w:rsid w:val="00A02DF8"/>
    <w:rsid w:val="00A02E12"/>
    <w:rsid w:val="00A02F44"/>
    <w:rsid w:val="00A0304D"/>
    <w:rsid w:val="00A04333"/>
    <w:rsid w:val="00A04983"/>
    <w:rsid w:val="00A04F35"/>
    <w:rsid w:val="00A05C5E"/>
    <w:rsid w:val="00A05FD3"/>
    <w:rsid w:val="00A060B4"/>
    <w:rsid w:val="00A06E92"/>
    <w:rsid w:val="00A0753F"/>
    <w:rsid w:val="00A078E1"/>
    <w:rsid w:val="00A10496"/>
    <w:rsid w:val="00A10E7C"/>
    <w:rsid w:val="00A10FFD"/>
    <w:rsid w:val="00A11347"/>
    <w:rsid w:val="00A114DF"/>
    <w:rsid w:val="00A11818"/>
    <w:rsid w:val="00A126B2"/>
    <w:rsid w:val="00A12DCE"/>
    <w:rsid w:val="00A130ED"/>
    <w:rsid w:val="00A13617"/>
    <w:rsid w:val="00A13AB1"/>
    <w:rsid w:val="00A13C01"/>
    <w:rsid w:val="00A13C50"/>
    <w:rsid w:val="00A1620D"/>
    <w:rsid w:val="00A1634D"/>
    <w:rsid w:val="00A16590"/>
    <w:rsid w:val="00A166DC"/>
    <w:rsid w:val="00A1673F"/>
    <w:rsid w:val="00A167EA"/>
    <w:rsid w:val="00A1685B"/>
    <w:rsid w:val="00A16B18"/>
    <w:rsid w:val="00A16C8B"/>
    <w:rsid w:val="00A17208"/>
    <w:rsid w:val="00A1757C"/>
    <w:rsid w:val="00A17643"/>
    <w:rsid w:val="00A2083E"/>
    <w:rsid w:val="00A208D6"/>
    <w:rsid w:val="00A21302"/>
    <w:rsid w:val="00A21ADB"/>
    <w:rsid w:val="00A21D2A"/>
    <w:rsid w:val="00A225CA"/>
    <w:rsid w:val="00A22905"/>
    <w:rsid w:val="00A22A32"/>
    <w:rsid w:val="00A22E7A"/>
    <w:rsid w:val="00A231AC"/>
    <w:rsid w:val="00A23D67"/>
    <w:rsid w:val="00A24092"/>
    <w:rsid w:val="00A24152"/>
    <w:rsid w:val="00A25E9B"/>
    <w:rsid w:val="00A25F78"/>
    <w:rsid w:val="00A30DE3"/>
    <w:rsid w:val="00A30EBD"/>
    <w:rsid w:val="00A31DAA"/>
    <w:rsid w:val="00A3227D"/>
    <w:rsid w:val="00A32408"/>
    <w:rsid w:val="00A32A95"/>
    <w:rsid w:val="00A33325"/>
    <w:rsid w:val="00A336E2"/>
    <w:rsid w:val="00A341E8"/>
    <w:rsid w:val="00A348D1"/>
    <w:rsid w:val="00A35DA3"/>
    <w:rsid w:val="00A36552"/>
    <w:rsid w:val="00A37E36"/>
    <w:rsid w:val="00A400AC"/>
    <w:rsid w:val="00A409DD"/>
    <w:rsid w:val="00A4174D"/>
    <w:rsid w:val="00A41DB5"/>
    <w:rsid w:val="00A41DEF"/>
    <w:rsid w:val="00A4248B"/>
    <w:rsid w:val="00A4306A"/>
    <w:rsid w:val="00A43272"/>
    <w:rsid w:val="00A44337"/>
    <w:rsid w:val="00A45177"/>
    <w:rsid w:val="00A46476"/>
    <w:rsid w:val="00A4697C"/>
    <w:rsid w:val="00A46F80"/>
    <w:rsid w:val="00A47AB3"/>
    <w:rsid w:val="00A47DA0"/>
    <w:rsid w:val="00A50330"/>
    <w:rsid w:val="00A51411"/>
    <w:rsid w:val="00A51559"/>
    <w:rsid w:val="00A52AD3"/>
    <w:rsid w:val="00A52C48"/>
    <w:rsid w:val="00A542E2"/>
    <w:rsid w:val="00A546AC"/>
    <w:rsid w:val="00A54A58"/>
    <w:rsid w:val="00A55242"/>
    <w:rsid w:val="00A558FE"/>
    <w:rsid w:val="00A55AAA"/>
    <w:rsid w:val="00A55C74"/>
    <w:rsid w:val="00A55D32"/>
    <w:rsid w:val="00A57ACD"/>
    <w:rsid w:val="00A6022F"/>
    <w:rsid w:val="00A60427"/>
    <w:rsid w:val="00A611CB"/>
    <w:rsid w:val="00A63C00"/>
    <w:rsid w:val="00A640AE"/>
    <w:rsid w:val="00A64123"/>
    <w:rsid w:val="00A646FD"/>
    <w:rsid w:val="00A6472E"/>
    <w:rsid w:val="00A647EC"/>
    <w:rsid w:val="00A6486B"/>
    <w:rsid w:val="00A64947"/>
    <w:rsid w:val="00A65957"/>
    <w:rsid w:val="00A65CA1"/>
    <w:rsid w:val="00A66451"/>
    <w:rsid w:val="00A66862"/>
    <w:rsid w:val="00A66A0C"/>
    <w:rsid w:val="00A675A3"/>
    <w:rsid w:val="00A67985"/>
    <w:rsid w:val="00A67CA7"/>
    <w:rsid w:val="00A70345"/>
    <w:rsid w:val="00A70EB1"/>
    <w:rsid w:val="00A710B2"/>
    <w:rsid w:val="00A71AF4"/>
    <w:rsid w:val="00A71FE6"/>
    <w:rsid w:val="00A7266A"/>
    <w:rsid w:val="00A72AAF"/>
    <w:rsid w:val="00A72AC2"/>
    <w:rsid w:val="00A72AC5"/>
    <w:rsid w:val="00A72B5C"/>
    <w:rsid w:val="00A730BB"/>
    <w:rsid w:val="00A738B2"/>
    <w:rsid w:val="00A73BA9"/>
    <w:rsid w:val="00A73C9C"/>
    <w:rsid w:val="00A75936"/>
    <w:rsid w:val="00A76791"/>
    <w:rsid w:val="00A77684"/>
    <w:rsid w:val="00A7768C"/>
    <w:rsid w:val="00A77A61"/>
    <w:rsid w:val="00A77BFF"/>
    <w:rsid w:val="00A77F23"/>
    <w:rsid w:val="00A8002C"/>
    <w:rsid w:val="00A81C50"/>
    <w:rsid w:val="00A829A3"/>
    <w:rsid w:val="00A83786"/>
    <w:rsid w:val="00A83901"/>
    <w:rsid w:val="00A85038"/>
    <w:rsid w:val="00A851A1"/>
    <w:rsid w:val="00A866D7"/>
    <w:rsid w:val="00A86746"/>
    <w:rsid w:val="00A86B87"/>
    <w:rsid w:val="00A86EF7"/>
    <w:rsid w:val="00A9001C"/>
    <w:rsid w:val="00A9065E"/>
    <w:rsid w:val="00A913F8"/>
    <w:rsid w:val="00A91C37"/>
    <w:rsid w:val="00A91D88"/>
    <w:rsid w:val="00A92D23"/>
    <w:rsid w:val="00A933B1"/>
    <w:rsid w:val="00A93AF3"/>
    <w:rsid w:val="00A9402E"/>
    <w:rsid w:val="00A94DFE"/>
    <w:rsid w:val="00A95BD2"/>
    <w:rsid w:val="00A96877"/>
    <w:rsid w:val="00A97D8F"/>
    <w:rsid w:val="00AA0557"/>
    <w:rsid w:val="00AA0D8A"/>
    <w:rsid w:val="00AA1F95"/>
    <w:rsid w:val="00AA294D"/>
    <w:rsid w:val="00AA3651"/>
    <w:rsid w:val="00AA3969"/>
    <w:rsid w:val="00AA3CAD"/>
    <w:rsid w:val="00AA4C40"/>
    <w:rsid w:val="00AA711C"/>
    <w:rsid w:val="00AA79D8"/>
    <w:rsid w:val="00AB075E"/>
    <w:rsid w:val="00AB07D3"/>
    <w:rsid w:val="00AB0CD8"/>
    <w:rsid w:val="00AB113A"/>
    <w:rsid w:val="00AB1658"/>
    <w:rsid w:val="00AB2E3D"/>
    <w:rsid w:val="00AB39DE"/>
    <w:rsid w:val="00AB5103"/>
    <w:rsid w:val="00AB6B30"/>
    <w:rsid w:val="00AB79BA"/>
    <w:rsid w:val="00AC02DB"/>
    <w:rsid w:val="00AC0A33"/>
    <w:rsid w:val="00AC0E04"/>
    <w:rsid w:val="00AC1286"/>
    <w:rsid w:val="00AC1BEA"/>
    <w:rsid w:val="00AC1F08"/>
    <w:rsid w:val="00AC5F94"/>
    <w:rsid w:val="00AC6058"/>
    <w:rsid w:val="00AC6162"/>
    <w:rsid w:val="00AC6BF3"/>
    <w:rsid w:val="00AC7176"/>
    <w:rsid w:val="00AC7F77"/>
    <w:rsid w:val="00AD0CB2"/>
    <w:rsid w:val="00AD0F1E"/>
    <w:rsid w:val="00AD2DEE"/>
    <w:rsid w:val="00AD3FBD"/>
    <w:rsid w:val="00AD40C4"/>
    <w:rsid w:val="00AD457B"/>
    <w:rsid w:val="00AD4D69"/>
    <w:rsid w:val="00AD4F63"/>
    <w:rsid w:val="00AD5DCC"/>
    <w:rsid w:val="00AD626E"/>
    <w:rsid w:val="00AD680B"/>
    <w:rsid w:val="00AD6C9D"/>
    <w:rsid w:val="00AE03E0"/>
    <w:rsid w:val="00AE15B3"/>
    <w:rsid w:val="00AE1A27"/>
    <w:rsid w:val="00AE2044"/>
    <w:rsid w:val="00AE2942"/>
    <w:rsid w:val="00AE3B92"/>
    <w:rsid w:val="00AE4007"/>
    <w:rsid w:val="00AE45D0"/>
    <w:rsid w:val="00AE550C"/>
    <w:rsid w:val="00AE55E2"/>
    <w:rsid w:val="00AE5697"/>
    <w:rsid w:val="00AE65BB"/>
    <w:rsid w:val="00AE69B0"/>
    <w:rsid w:val="00AE73A3"/>
    <w:rsid w:val="00AE73B8"/>
    <w:rsid w:val="00AF0BEC"/>
    <w:rsid w:val="00AF1794"/>
    <w:rsid w:val="00AF2ADE"/>
    <w:rsid w:val="00AF3BD0"/>
    <w:rsid w:val="00AF45B0"/>
    <w:rsid w:val="00AF4B17"/>
    <w:rsid w:val="00AF5AF3"/>
    <w:rsid w:val="00AF62B9"/>
    <w:rsid w:val="00AF7584"/>
    <w:rsid w:val="00B002EA"/>
    <w:rsid w:val="00B003FC"/>
    <w:rsid w:val="00B00D7D"/>
    <w:rsid w:val="00B01020"/>
    <w:rsid w:val="00B0161D"/>
    <w:rsid w:val="00B01B03"/>
    <w:rsid w:val="00B020D6"/>
    <w:rsid w:val="00B03244"/>
    <w:rsid w:val="00B0410D"/>
    <w:rsid w:val="00B045C7"/>
    <w:rsid w:val="00B075FF"/>
    <w:rsid w:val="00B10BDB"/>
    <w:rsid w:val="00B10D98"/>
    <w:rsid w:val="00B10DB0"/>
    <w:rsid w:val="00B10F41"/>
    <w:rsid w:val="00B10F76"/>
    <w:rsid w:val="00B12BBB"/>
    <w:rsid w:val="00B12DAB"/>
    <w:rsid w:val="00B13162"/>
    <w:rsid w:val="00B13218"/>
    <w:rsid w:val="00B1393D"/>
    <w:rsid w:val="00B139BC"/>
    <w:rsid w:val="00B13D31"/>
    <w:rsid w:val="00B14345"/>
    <w:rsid w:val="00B14924"/>
    <w:rsid w:val="00B202E8"/>
    <w:rsid w:val="00B20C77"/>
    <w:rsid w:val="00B210F0"/>
    <w:rsid w:val="00B21319"/>
    <w:rsid w:val="00B217B4"/>
    <w:rsid w:val="00B24666"/>
    <w:rsid w:val="00B2560F"/>
    <w:rsid w:val="00B256E3"/>
    <w:rsid w:val="00B26645"/>
    <w:rsid w:val="00B26DAB"/>
    <w:rsid w:val="00B27F33"/>
    <w:rsid w:val="00B301A9"/>
    <w:rsid w:val="00B3040F"/>
    <w:rsid w:val="00B30815"/>
    <w:rsid w:val="00B30FEC"/>
    <w:rsid w:val="00B314CC"/>
    <w:rsid w:val="00B31E78"/>
    <w:rsid w:val="00B31ED8"/>
    <w:rsid w:val="00B33E91"/>
    <w:rsid w:val="00B3411F"/>
    <w:rsid w:val="00B342C3"/>
    <w:rsid w:val="00B3473E"/>
    <w:rsid w:val="00B34BE4"/>
    <w:rsid w:val="00B34FFF"/>
    <w:rsid w:val="00B353F3"/>
    <w:rsid w:val="00B3570C"/>
    <w:rsid w:val="00B37C98"/>
    <w:rsid w:val="00B40093"/>
    <w:rsid w:val="00B40431"/>
    <w:rsid w:val="00B40C0C"/>
    <w:rsid w:val="00B422DE"/>
    <w:rsid w:val="00B4240C"/>
    <w:rsid w:val="00B43CCA"/>
    <w:rsid w:val="00B44148"/>
    <w:rsid w:val="00B44597"/>
    <w:rsid w:val="00B44EE0"/>
    <w:rsid w:val="00B44F8E"/>
    <w:rsid w:val="00B45833"/>
    <w:rsid w:val="00B465AB"/>
    <w:rsid w:val="00B47783"/>
    <w:rsid w:val="00B47E89"/>
    <w:rsid w:val="00B50200"/>
    <w:rsid w:val="00B51353"/>
    <w:rsid w:val="00B514F3"/>
    <w:rsid w:val="00B51620"/>
    <w:rsid w:val="00B517B3"/>
    <w:rsid w:val="00B52071"/>
    <w:rsid w:val="00B524F4"/>
    <w:rsid w:val="00B52B41"/>
    <w:rsid w:val="00B52E86"/>
    <w:rsid w:val="00B552DF"/>
    <w:rsid w:val="00B5564B"/>
    <w:rsid w:val="00B556C4"/>
    <w:rsid w:val="00B55A9D"/>
    <w:rsid w:val="00B6031E"/>
    <w:rsid w:val="00B61282"/>
    <w:rsid w:val="00B62A21"/>
    <w:rsid w:val="00B62D24"/>
    <w:rsid w:val="00B63F9F"/>
    <w:rsid w:val="00B640F9"/>
    <w:rsid w:val="00B64660"/>
    <w:rsid w:val="00B64FBF"/>
    <w:rsid w:val="00B6508C"/>
    <w:rsid w:val="00B65136"/>
    <w:rsid w:val="00B65EE3"/>
    <w:rsid w:val="00B660FE"/>
    <w:rsid w:val="00B66267"/>
    <w:rsid w:val="00B67031"/>
    <w:rsid w:val="00B7035E"/>
    <w:rsid w:val="00B70FE5"/>
    <w:rsid w:val="00B7185B"/>
    <w:rsid w:val="00B71C7D"/>
    <w:rsid w:val="00B72B3A"/>
    <w:rsid w:val="00B73213"/>
    <w:rsid w:val="00B73ACE"/>
    <w:rsid w:val="00B74B2D"/>
    <w:rsid w:val="00B758CB"/>
    <w:rsid w:val="00B760C4"/>
    <w:rsid w:val="00B76DB8"/>
    <w:rsid w:val="00B771ED"/>
    <w:rsid w:val="00B80017"/>
    <w:rsid w:val="00B80937"/>
    <w:rsid w:val="00B80B43"/>
    <w:rsid w:val="00B80C8E"/>
    <w:rsid w:val="00B81E58"/>
    <w:rsid w:val="00B8202B"/>
    <w:rsid w:val="00B82BB6"/>
    <w:rsid w:val="00B82F1F"/>
    <w:rsid w:val="00B82F22"/>
    <w:rsid w:val="00B83A4D"/>
    <w:rsid w:val="00B846A2"/>
    <w:rsid w:val="00B84B28"/>
    <w:rsid w:val="00B84F35"/>
    <w:rsid w:val="00B8593A"/>
    <w:rsid w:val="00B86176"/>
    <w:rsid w:val="00B8626D"/>
    <w:rsid w:val="00B874AD"/>
    <w:rsid w:val="00B87B88"/>
    <w:rsid w:val="00B87D7A"/>
    <w:rsid w:val="00B901C6"/>
    <w:rsid w:val="00B90BC9"/>
    <w:rsid w:val="00B90E33"/>
    <w:rsid w:val="00B90F52"/>
    <w:rsid w:val="00B9123D"/>
    <w:rsid w:val="00B91CC2"/>
    <w:rsid w:val="00B92359"/>
    <w:rsid w:val="00B923A9"/>
    <w:rsid w:val="00B92E6A"/>
    <w:rsid w:val="00B939B5"/>
    <w:rsid w:val="00B943F9"/>
    <w:rsid w:val="00B944FB"/>
    <w:rsid w:val="00B946F3"/>
    <w:rsid w:val="00B94BE1"/>
    <w:rsid w:val="00B955EC"/>
    <w:rsid w:val="00B95707"/>
    <w:rsid w:val="00B95AE4"/>
    <w:rsid w:val="00B961E8"/>
    <w:rsid w:val="00B97994"/>
    <w:rsid w:val="00BA0582"/>
    <w:rsid w:val="00BA07EF"/>
    <w:rsid w:val="00BA0BF9"/>
    <w:rsid w:val="00BA151F"/>
    <w:rsid w:val="00BA3284"/>
    <w:rsid w:val="00BA3A8C"/>
    <w:rsid w:val="00BA4524"/>
    <w:rsid w:val="00BA4AF6"/>
    <w:rsid w:val="00BA5F8A"/>
    <w:rsid w:val="00BA662F"/>
    <w:rsid w:val="00BA6A53"/>
    <w:rsid w:val="00BA707B"/>
    <w:rsid w:val="00BA7377"/>
    <w:rsid w:val="00BA7406"/>
    <w:rsid w:val="00BA7DE1"/>
    <w:rsid w:val="00BB05EA"/>
    <w:rsid w:val="00BB0700"/>
    <w:rsid w:val="00BB158E"/>
    <w:rsid w:val="00BB2D0C"/>
    <w:rsid w:val="00BB2D1B"/>
    <w:rsid w:val="00BB3070"/>
    <w:rsid w:val="00BB4988"/>
    <w:rsid w:val="00BB4A92"/>
    <w:rsid w:val="00BB530C"/>
    <w:rsid w:val="00BB6697"/>
    <w:rsid w:val="00BB6A46"/>
    <w:rsid w:val="00BB7231"/>
    <w:rsid w:val="00BB7CEE"/>
    <w:rsid w:val="00BC013C"/>
    <w:rsid w:val="00BC0969"/>
    <w:rsid w:val="00BC0D0E"/>
    <w:rsid w:val="00BC1129"/>
    <w:rsid w:val="00BC179A"/>
    <w:rsid w:val="00BC1A95"/>
    <w:rsid w:val="00BC208C"/>
    <w:rsid w:val="00BC2263"/>
    <w:rsid w:val="00BC3101"/>
    <w:rsid w:val="00BC36B3"/>
    <w:rsid w:val="00BC43C0"/>
    <w:rsid w:val="00BC5A44"/>
    <w:rsid w:val="00BC5E65"/>
    <w:rsid w:val="00BC6040"/>
    <w:rsid w:val="00BD1CDC"/>
    <w:rsid w:val="00BD34DB"/>
    <w:rsid w:val="00BD3EB7"/>
    <w:rsid w:val="00BD4436"/>
    <w:rsid w:val="00BD4F78"/>
    <w:rsid w:val="00BD68E2"/>
    <w:rsid w:val="00BD7715"/>
    <w:rsid w:val="00BD7F3C"/>
    <w:rsid w:val="00BE08B9"/>
    <w:rsid w:val="00BE0CCB"/>
    <w:rsid w:val="00BE0EAC"/>
    <w:rsid w:val="00BE20CC"/>
    <w:rsid w:val="00BE2658"/>
    <w:rsid w:val="00BE2811"/>
    <w:rsid w:val="00BE2DE5"/>
    <w:rsid w:val="00BE374E"/>
    <w:rsid w:val="00BE5727"/>
    <w:rsid w:val="00BE5A41"/>
    <w:rsid w:val="00BE5D9D"/>
    <w:rsid w:val="00BE6757"/>
    <w:rsid w:val="00BE6CC5"/>
    <w:rsid w:val="00BE7172"/>
    <w:rsid w:val="00BE71A0"/>
    <w:rsid w:val="00BE7C06"/>
    <w:rsid w:val="00BE7E4E"/>
    <w:rsid w:val="00BF0732"/>
    <w:rsid w:val="00BF091B"/>
    <w:rsid w:val="00BF0EE6"/>
    <w:rsid w:val="00BF10C1"/>
    <w:rsid w:val="00BF115F"/>
    <w:rsid w:val="00BF15B4"/>
    <w:rsid w:val="00BF29DF"/>
    <w:rsid w:val="00BF2C7C"/>
    <w:rsid w:val="00BF4347"/>
    <w:rsid w:val="00BF43C3"/>
    <w:rsid w:val="00BF4EE3"/>
    <w:rsid w:val="00BF5DC0"/>
    <w:rsid w:val="00BF6589"/>
    <w:rsid w:val="00BF69C2"/>
    <w:rsid w:val="00BF75B5"/>
    <w:rsid w:val="00BF76DA"/>
    <w:rsid w:val="00BF771E"/>
    <w:rsid w:val="00C00568"/>
    <w:rsid w:val="00C0105B"/>
    <w:rsid w:val="00C01CE8"/>
    <w:rsid w:val="00C01F94"/>
    <w:rsid w:val="00C02AB8"/>
    <w:rsid w:val="00C0337D"/>
    <w:rsid w:val="00C03CBD"/>
    <w:rsid w:val="00C04B6E"/>
    <w:rsid w:val="00C04EA9"/>
    <w:rsid w:val="00C069A0"/>
    <w:rsid w:val="00C06E59"/>
    <w:rsid w:val="00C073F7"/>
    <w:rsid w:val="00C11F18"/>
    <w:rsid w:val="00C120C7"/>
    <w:rsid w:val="00C12506"/>
    <w:rsid w:val="00C1276C"/>
    <w:rsid w:val="00C12D57"/>
    <w:rsid w:val="00C15432"/>
    <w:rsid w:val="00C15E14"/>
    <w:rsid w:val="00C16295"/>
    <w:rsid w:val="00C16808"/>
    <w:rsid w:val="00C17FDF"/>
    <w:rsid w:val="00C200A6"/>
    <w:rsid w:val="00C20DA0"/>
    <w:rsid w:val="00C214F2"/>
    <w:rsid w:val="00C21A98"/>
    <w:rsid w:val="00C21EFA"/>
    <w:rsid w:val="00C22770"/>
    <w:rsid w:val="00C235C6"/>
    <w:rsid w:val="00C238D6"/>
    <w:rsid w:val="00C239FF"/>
    <w:rsid w:val="00C23F8F"/>
    <w:rsid w:val="00C24427"/>
    <w:rsid w:val="00C244D8"/>
    <w:rsid w:val="00C248D8"/>
    <w:rsid w:val="00C24963"/>
    <w:rsid w:val="00C24EEC"/>
    <w:rsid w:val="00C251F3"/>
    <w:rsid w:val="00C25772"/>
    <w:rsid w:val="00C27268"/>
    <w:rsid w:val="00C27AA3"/>
    <w:rsid w:val="00C27B1F"/>
    <w:rsid w:val="00C30353"/>
    <w:rsid w:val="00C3075C"/>
    <w:rsid w:val="00C30D10"/>
    <w:rsid w:val="00C315F9"/>
    <w:rsid w:val="00C3174E"/>
    <w:rsid w:val="00C325B6"/>
    <w:rsid w:val="00C3276A"/>
    <w:rsid w:val="00C32FDE"/>
    <w:rsid w:val="00C332FF"/>
    <w:rsid w:val="00C33E96"/>
    <w:rsid w:val="00C340E7"/>
    <w:rsid w:val="00C34623"/>
    <w:rsid w:val="00C34D9C"/>
    <w:rsid w:val="00C35208"/>
    <w:rsid w:val="00C35A08"/>
    <w:rsid w:val="00C3697F"/>
    <w:rsid w:val="00C36B6C"/>
    <w:rsid w:val="00C402EC"/>
    <w:rsid w:val="00C425D3"/>
    <w:rsid w:val="00C42960"/>
    <w:rsid w:val="00C445F1"/>
    <w:rsid w:val="00C44D6B"/>
    <w:rsid w:val="00C44DDC"/>
    <w:rsid w:val="00C4503C"/>
    <w:rsid w:val="00C45173"/>
    <w:rsid w:val="00C45461"/>
    <w:rsid w:val="00C4674D"/>
    <w:rsid w:val="00C46FF4"/>
    <w:rsid w:val="00C50EA8"/>
    <w:rsid w:val="00C51480"/>
    <w:rsid w:val="00C52778"/>
    <w:rsid w:val="00C5322B"/>
    <w:rsid w:val="00C53371"/>
    <w:rsid w:val="00C53A08"/>
    <w:rsid w:val="00C53A13"/>
    <w:rsid w:val="00C54200"/>
    <w:rsid w:val="00C543EA"/>
    <w:rsid w:val="00C5442C"/>
    <w:rsid w:val="00C54DAC"/>
    <w:rsid w:val="00C559F8"/>
    <w:rsid w:val="00C55C51"/>
    <w:rsid w:val="00C57BD9"/>
    <w:rsid w:val="00C625F5"/>
    <w:rsid w:val="00C631AC"/>
    <w:rsid w:val="00C63774"/>
    <w:rsid w:val="00C64AF5"/>
    <w:rsid w:val="00C6500F"/>
    <w:rsid w:val="00C6567C"/>
    <w:rsid w:val="00C660E1"/>
    <w:rsid w:val="00C662FC"/>
    <w:rsid w:val="00C67050"/>
    <w:rsid w:val="00C678B1"/>
    <w:rsid w:val="00C70DA1"/>
    <w:rsid w:val="00C7203A"/>
    <w:rsid w:val="00C721DD"/>
    <w:rsid w:val="00C72C22"/>
    <w:rsid w:val="00C72FF4"/>
    <w:rsid w:val="00C73016"/>
    <w:rsid w:val="00C73131"/>
    <w:rsid w:val="00C7372E"/>
    <w:rsid w:val="00C737CA"/>
    <w:rsid w:val="00C737F7"/>
    <w:rsid w:val="00C73A92"/>
    <w:rsid w:val="00C74C66"/>
    <w:rsid w:val="00C75688"/>
    <w:rsid w:val="00C75CD0"/>
    <w:rsid w:val="00C76EB1"/>
    <w:rsid w:val="00C7706F"/>
    <w:rsid w:val="00C773CD"/>
    <w:rsid w:val="00C77A2E"/>
    <w:rsid w:val="00C77E82"/>
    <w:rsid w:val="00C804C7"/>
    <w:rsid w:val="00C80DDB"/>
    <w:rsid w:val="00C80E9D"/>
    <w:rsid w:val="00C83DFC"/>
    <w:rsid w:val="00C857F1"/>
    <w:rsid w:val="00C869CA"/>
    <w:rsid w:val="00C86EAE"/>
    <w:rsid w:val="00C87683"/>
    <w:rsid w:val="00C9016E"/>
    <w:rsid w:val="00C91C6D"/>
    <w:rsid w:val="00C92592"/>
    <w:rsid w:val="00C933F3"/>
    <w:rsid w:val="00C94A36"/>
    <w:rsid w:val="00C9529E"/>
    <w:rsid w:val="00C96580"/>
    <w:rsid w:val="00C96D35"/>
    <w:rsid w:val="00C970D7"/>
    <w:rsid w:val="00C97ED3"/>
    <w:rsid w:val="00CA1C2D"/>
    <w:rsid w:val="00CA1F2C"/>
    <w:rsid w:val="00CA225D"/>
    <w:rsid w:val="00CA22E2"/>
    <w:rsid w:val="00CA459B"/>
    <w:rsid w:val="00CA4C6C"/>
    <w:rsid w:val="00CA588F"/>
    <w:rsid w:val="00CA64BF"/>
    <w:rsid w:val="00CA67AE"/>
    <w:rsid w:val="00CA6CB4"/>
    <w:rsid w:val="00CA73C3"/>
    <w:rsid w:val="00CA76FC"/>
    <w:rsid w:val="00CA7918"/>
    <w:rsid w:val="00CA7E68"/>
    <w:rsid w:val="00CA7E96"/>
    <w:rsid w:val="00CB04D6"/>
    <w:rsid w:val="00CB0F75"/>
    <w:rsid w:val="00CB188D"/>
    <w:rsid w:val="00CB2006"/>
    <w:rsid w:val="00CB2F6A"/>
    <w:rsid w:val="00CB35BC"/>
    <w:rsid w:val="00CB3A4F"/>
    <w:rsid w:val="00CB3F4E"/>
    <w:rsid w:val="00CB3FFE"/>
    <w:rsid w:val="00CB451A"/>
    <w:rsid w:val="00CB46BF"/>
    <w:rsid w:val="00CB4B44"/>
    <w:rsid w:val="00CB5071"/>
    <w:rsid w:val="00CB50A8"/>
    <w:rsid w:val="00CB5D9B"/>
    <w:rsid w:val="00CB5ECE"/>
    <w:rsid w:val="00CB65D5"/>
    <w:rsid w:val="00CB6892"/>
    <w:rsid w:val="00CB68A1"/>
    <w:rsid w:val="00CB6A6E"/>
    <w:rsid w:val="00CB7ED6"/>
    <w:rsid w:val="00CC1B78"/>
    <w:rsid w:val="00CC2B8C"/>
    <w:rsid w:val="00CC2BBF"/>
    <w:rsid w:val="00CC3D1B"/>
    <w:rsid w:val="00CC4D12"/>
    <w:rsid w:val="00CC5615"/>
    <w:rsid w:val="00CC61CC"/>
    <w:rsid w:val="00CC7923"/>
    <w:rsid w:val="00CD0D86"/>
    <w:rsid w:val="00CD2376"/>
    <w:rsid w:val="00CD310E"/>
    <w:rsid w:val="00CD359E"/>
    <w:rsid w:val="00CD3B16"/>
    <w:rsid w:val="00CD41F3"/>
    <w:rsid w:val="00CD4503"/>
    <w:rsid w:val="00CD4E50"/>
    <w:rsid w:val="00CD5538"/>
    <w:rsid w:val="00CD554E"/>
    <w:rsid w:val="00CD6291"/>
    <w:rsid w:val="00CD7443"/>
    <w:rsid w:val="00CD7578"/>
    <w:rsid w:val="00CE0229"/>
    <w:rsid w:val="00CE3E5B"/>
    <w:rsid w:val="00CE4C42"/>
    <w:rsid w:val="00CE535A"/>
    <w:rsid w:val="00CF07DD"/>
    <w:rsid w:val="00CF0A1D"/>
    <w:rsid w:val="00CF0E9B"/>
    <w:rsid w:val="00CF1445"/>
    <w:rsid w:val="00CF170E"/>
    <w:rsid w:val="00CF2B3A"/>
    <w:rsid w:val="00CF31BB"/>
    <w:rsid w:val="00CF3297"/>
    <w:rsid w:val="00CF3733"/>
    <w:rsid w:val="00CF5A16"/>
    <w:rsid w:val="00CF5D12"/>
    <w:rsid w:val="00CF5E23"/>
    <w:rsid w:val="00CF6B04"/>
    <w:rsid w:val="00CF7BBA"/>
    <w:rsid w:val="00D00A89"/>
    <w:rsid w:val="00D012B1"/>
    <w:rsid w:val="00D0146F"/>
    <w:rsid w:val="00D01EC6"/>
    <w:rsid w:val="00D02E98"/>
    <w:rsid w:val="00D033B7"/>
    <w:rsid w:val="00D03C41"/>
    <w:rsid w:val="00D04145"/>
    <w:rsid w:val="00D04405"/>
    <w:rsid w:val="00D05A45"/>
    <w:rsid w:val="00D077AD"/>
    <w:rsid w:val="00D07E3E"/>
    <w:rsid w:val="00D10569"/>
    <w:rsid w:val="00D11D6B"/>
    <w:rsid w:val="00D11FDC"/>
    <w:rsid w:val="00D12D3C"/>
    <w:rsid w:val="00D13240"/>
    <w:rsid w:val="00D136DA"/>
    <w:rsid w:val="00D1446B"/>
    <w:rsid w:val="00D1457A"/>
    <w:rsid w:val="00D1495F"/>
    <w:rsid w:val="00D14C72"/>
    <w:rsid w:val="00D1534B"/>
    <w:rsid w:val="00D17946"/>
    <w:rsid w:val="00D17A7D"/>
    <w:rsid w:val="00D17BDE"/>
    <w:rsid w:val="00D2054B"/>
    <w:rsid w:val="00D2190C"/>
    <w:rsid w:val="00D21910"/>
    <w:rsid w:val="00D21C65"/>
    <w:rsid w:val="00D2268B"/>
    <w:rsid w:val="00D22DD8"/>
    <w:rsid w:val="00D22EBD"/>
    <w:rsid w:val="00D23CE2"/>
    <w:rsid w:val="00D2487A"/>
    <w:rsid w:val="00D27802"/>
    <w:rsid w:val="00D27CDD"/>
    <w:rsid w:val="00D27F6D"/>
    <w:rsid w:val="00D3221A"/>
    <w:rsid w:val="00D3282F"/>
    <w:rsid w:val="00D33395"/>
    <w:rsid w:val="00D3426A"/>
    <w:rsid w:val="00D34735"/>
    <w:rsid w:val="00D351E8"/>
    <w:rsid w:val="00D35384"/>
    <w:rsid w:val="00D353B4"/>
    <w:rsid w:val="00D358E0"/>
    <w:rsid w:val="00D3635D"/>
    <w:rsid w:val="00D3650A"/>
    <w:rsid w:val="00D3689D"/>
    <w:rsid w:val="00D378FB"/>
    <w:rsid w:val="00D4053D"/>
    <w:rsid w:val="00D41489"/>
    <w:rsid w:val="00D41763"/>
    <w:rsid w:val="00D435EB"/>
    <w:rsid w:val="00D43A97"/>
    <w:rsid w:val="00D4412E"/>
    <w:rsid w:val="00D445EF"/>
    <w:rsid w:val="00D44A37"/>
    <w:rsid w:val="00D461AA"/>
    <w:rsid w:val="00D463CF"/>
    <w:rsid w:val="00D464F6"/>
    <w:rsid w:val="00D474DE"/>
    <w:rsid w:val="00D47741"/>
    <w:rsid w:val="00D50E2F"/>
    <w:rsid w:val="00D52BE5"/>
    <w:rsid w:val="00D5397D"/>
    <w:rsid w:val="00D54D60"/>
    <w:rsid w:val="00D55065"/>
    <w:rsid w:val="00D56153"/>
    <w:rsid w:val="00D574F2"/>
    <w:rsid w:val="00D57AE9"/>
    <w:rsid w:val="00D6034E"/>
    <w:rsid w:val="00D60D4B"/>
    <w:rsid w:val="00D61345"/>
    <w:rsid w:val="00D61765"/>
    <w:rsid w:val="00D617D6"/>
    <w:rsid w:val="00D62064"/>
    <w:rsid w:val="00D62FDB"/>
    <w:rsid w:val="00D63018"/>
    <w:rsid w:val="00D64271"/>
    <w:rsid w:val="00D6462F"/>
    <w:rsid w:val="00D64B72"/>
    <w:rsid w:val="00D64CC4"/>
    <w:rsid w:val="00D64DEF"/>
    <w:rsid w:val="00D64ED2"/>
    <w:rsid w:val="00D65E8A"/>
    <w:rsid w:val="00D66276"/>
    <w:rsid w:val="00D667AF"/>
    <w:rsid w:val="00D66826"/>
    <w:rsid w:val="00D6711E"/>
    <w:rsid w:val="00D67275"/>
    <w:rsid w:val="00D67281"/>
    <w:rsid w:val="00D71D26"/>
    <w:rsid w:val="00D73A1A"/>
    <w:rsid w:val="00D74206"/>
    <w:rsid w:val="00D745E8"/>
    <w:rsid w:val="00D74808"/>
    <w:rsid w:val="00D74C38"/>
    <w:rsid w:val="00D74EC8"/>
    <w:rsid w:val="00D756F9"/>
    <w:rsid w:val="00D7598E"/>
    <w:rsid w:val="00D821CA"/>
    <w:rsid w:val="00D82CF8"/>
    <w:rsid w:val="00D8315B"/>
    <w:rsid w:val="00D832A3"/>
    <w:rsid w:val="00D834F2"/>
    <w:rsid w:val="00D83785"/>
    <w:rsid w:val="00D83BDE"/>
    <w:rsid w:val="00D846FE"/>
    <w:rsid w:val="00D85397"/>
    <w:rsid w:val="00D85630"/>
    <w:rsid w:val="00D85C4A"/>
    <w:rsid w:val="00D85EA8"/>
    <w:rsid w:val="00D87844"/>
    <w:rsid w:val="00D87C8B"/>
    <w:rsid w:val="00D902DC"/>
    <w:rsid w:val="00D90BC1"/>
    <w:rsid w:val="00D91518"/>
    <w:rsid w:val="00D9168E"/>
    <w:rsid w:val="00D91B77"/>
    <w:rsid w:val="00D92432"/>
    <w:rsid w:val="00D933AC"/>
    <w:rsid w:val="00D93A5A"/>
    <w:rsid w:val="00D93AB3"/>
    <w:rsid w:val="00D93F6A"/>
    <w:rsid w:val="00D94491"/>
    <w:rsid w:val="00D94CD8"/>
    <w:rsid w:val="00D94D27"/>
    <w:rsid w:val="00D94EA6"/>
    <w:rsid w:val="00D94FDF"/>
    <w:rsid w:val="00D96472"/>
    <w:rsid w:val="00D96831"/>
    <w:rsid w:val="00D96B33"/>
    <w:rsid w:val="00D976CF"/>
    <w:rsid w:val="00D97990"/>
    <w:rsid w:val="00D97D47"/>
    <w:rsid w:val="00D97FBC"/>
    <w:rsid w:val="00DA0482"/>
    <w:rsid w:val="00DA0633"/>
    <w:rsid w:val="00DA115D"/>
    <w:rsid w:val="00DA11A3"/>
    <w:rsid w:val="00DA172A"/>
    <w:rsid w:val="00DA31E9"/>
    <w:rsid w:val="00DA32E8"/>
    <w:rsid w:val="00DA53A8"/>
    <w:rsid w:val="00DA5A75"/>
    <w:rsid w:val="00DA6528"/>
    <w:rsid w:val="00DA6A25"/>
    <w:rsid w:val="00DA6C71"/>
    <w:rsid w:val="00DA756C"/>
    <w:rsid w:val="00DB15B1"/>
    <w:rsid w:val="00DB1B5C"/>
    <w:rsid w:val="00DB1FAE"/>
    <w:rsid w:val="00DB2054"/>
    <w:rsid w:val="00DB218F"/>
    <w:rsid w:val="00DB2553"/>
    <w:rsid w:val="00DB27C6"/>
    <w:rsid w:val="00DB3143"/>
    <w:rsid w:val="00DB41D1"/>
    <w:rsid w:val="00DB462A"/>
    <w:rsid w:val="00DB53A4"/>
    <w:rsid w:val="00DB5E5F"/>
    <w:rsid w:val="00DB632C"/>
    <w:rsid w:val="00DB7EA6"/>
    <w:rsid w:val="00DC043D"/>
    <w:rsid w:val="00DC2585"/>
    <w:rsid w:val="00DC47D0"/>
    <w:rsid w:val="00DC4EB7"/>
    <w:rsid w:val="00DC56EA"/>
    <w:rsid w:val="00DC5782"/>
    <w:rsid w:val="00DC5FE6"/>
    <w:rsid w:val="00DC61F9"/>
    <w:rsid w:val="00DC64C3"/>
    <w:rsid w:val="00DC7C8F"/>
    <w:rsid w:val="00DD0C99"/>
    <w:rsid w:val="00DD0F13"/>
    <w:rsid w:val="00DD2024"/>
    <w:rsid w:val="00DD29FC"/>
    <w:rsid w:val="00DD2C40"/>
    <w:rsid w:val="00DD382E"/>
    <w:rsid w:val="00DD3C19"/>
    <w:rsid w:val="00DD420B"/>
    <w:rsid w:val="00DD4773"/>
    <w:rsid w:val="00DD5903"/>
    <w:rsid w:val="00DD650E"/>
    <w:rsid w:val="00DD69E5"/>
    <w:rsid w:val="00DD6D0D"/>
    <w:rsid w:val="00DD75FC"/>
    <w:rsid w:val="00DD773C"/>
    <w:rsid w:val="00DE0318"/>
    <w:rsid w:val="00DE0F91"/>
    <w:rsid w:val="00DE1189"/>
    <w:rsid w:val="00DE1C45"/>
    <w:rsid w:val="00DE2BF4"/>
    <w:rsid w:val="00DE3405"/>
    <w:rsid w:val="00DE39A3"/>
    <w:rsid w:val="00DE51E9"/>
    <w:rsid w:val="00DE55C5"/>
    <w:rsid w:val="00DE55EF"/>
    <w:rsid w:val="00DE6080"/>
    <w:rsid w:val="00DE627D"/>
    <w:rsid w:val="00DE70B9"/>
    <w:rsid w:val="00DE7C95"/>
    <w:rsid w:val="00DE7CA7"/>
    <w:rsid w:val="00DF1DA0"/>
    <w:rsid w:val="00DF22F0"/>
    <w:rsid w:val="00DF3DED"/>
    <w:rsid w:val="00DF414F"/>
    <w:rsid w:val="00DF428B"/>
    <w:rsid w:val="00DF4C30"/>
    <w:rsid w:val="00DF502A"/>
    <w:rsid w:val="00DF5B58"/>
    <w:rsid w:val="00DF5ED8"/>
    <w:rsid w:val="00DF5FC6"/>
    <w:rsid w:val="00DF6463"/>
    <w:rsid w:val="00DF6933"/>
    <w:rsid w:val="00DF723C"/>
    <w:rsid w:val="00DF7616"/>
    <w:rsid w:val="00DF7D99"/>
    <w:rsid w:val="00DF7ED7"/>
    <w:rsid w:val="00E0055B"/>
    <w:rsid w:val="00E00A24"/>
    <w:rsid w:val="00E01CD1"/>
    <w:rsid w:val="00E02D01"/>
    <w:rsid w:val="00E02FCF"/>
    <w:rsid w:val="00E03424"/>
    <w:rsid w:val="00E03ED0"/>
    <w:rsid w:val="00E043F5"/>
    <w:rsid w:val="00E063DF"/>
    <w:rsid w:val="00E06BE1"/>
    <w:rsid w:val="00E077EF"/>
    <w:rsid w:val="00E07906"/>
    <w:rsid w:val="00E10A1A"/>
    <w:rsid w:val="00E12151"/>
    <w:rsid w:val="00E14A55"/>
    <w:rsid w:val="00E150E5"/>
    <w:rsid w:val="00E151C2"/>
    <w:rsid w:val="00E155CB"/>
    <w:rsid w:val="00E15D79"/>
    <w:rsid w:val="00E17BB7"/>
    <w:rsid w:val="00E21A8F"/>
    <w:rsid w:val="00E21DBF"/>
    <w:rsid w:val="00E22429"/>
    <w:rsid w:val="00E24C26"/>
    <w:rsid w:val="00E25C57"/>
    <w:rsid w:val="00E26BE6"/>
    <w:rsid w:val="00E277C3"/>
    <w:rsid w:val="00E277D8"/>
    <w:rsid w:val="00E3092E"/>
    <w:rsid w:val="00E315EC"/>
    <w:rsid w:val="00E3181D"/>
    <w:rsid w:val="00E31C0D"/>
    <w:rsid w:val="00E324E0"/>
    <w:rsid w:val="00E32726"/>
    <w:rsid w:val="00E329E5"/>
    <w:rsid w:val="00E33BDC"/>
    <w:rsid w:val="00E34EE4"/>
    <w:rsid w:val="00E34EFE"/>
    <w:rsid w:val="00E356A5"/>
    <w:rsid w:val="00E35924"/>
    <w:rsid w:val="00E374A5"/>
    <w:rsid w:val="00E3765E"/>
    <w:rsid w:val="00E3777C"/>
    <w:rsid w:val="00E37CB8"/>
    <w:rsid w:val="00E37FD8"/>
    <w:rsid w:val="00E40307"/>
    <w:rsid w:val="00E4082B"/>
    <w:rsid w:val="00E40EF7"/>
    <w:rsid w:val="00E411D4"/>
    <w:rsid w:val="00E42000"/>
    <w:rsid w:val="00E42EA9"/>
    <w:rsid w:val="00E42FAA"/>
    <w:rsid w:val="00E43076"/>
    <w:rsid w:val="00E433FA"/>
    <w:rsid w:val="00E434AD"/>
    <w:rsid w:val="00E43DFF"/>
    <w:rsid w:val="00E44152"/>
    <w:rsid w:val="00E443F5"/>
    <w:rsid w:val="00E46164"/>
    <w:rsid w:val="00E466BB"/>
    <w:rsid w:val="00E479E4"/>
    <w:rsid w:val="00E501F5"/>
    <w:rsid w:val="00E5072A"/>
    <w:rsid w:val="00E50AEE"/>
    <w:rsid w:val="00E52935"/>
    <w:rsid w:val="00E54A9C"/>
    <w:rsid w:val="00E569BC"/>
    <w:rsid w:val="00E56F9D"/>
    <w:rsid w:val="00E57315"/>
    <w:rsid w:val="00E57481"/>
    <w:rsid w:val="00E57B62"/>
    <w:rsid w:val="00E6132A"/>
    <w:rsid w:val="00E61422"/>
    <w:rsid w:val="00E624EB"/>
    <w:rsid w:val="00E62A15"/>
    <w:rsid w:val="00E6392A"/>
    <w:rsid w:val="00E64981"/>
    <w:rsid w:val="00E64CB9"/>
    <w:rsid w:val="00E65069"/>
    <w:rsid w:val="00E658D9"/>
    <w:rsid w:val="00E65C81"/>
    <w:rsid w:val="00E6663D"/>
    <w:rsid w:val="00E6745D"/>
    <w:rsid w:val="00E678D1"/>
    <w:rsid w:val="00E7000B"/>
    <w:rsid w:val="00E702C1"/>
    <w:rsid w:val="00E71566"/>
    <w:rsid w:val="00E718C7"/>
    <w:rsid w:val="00E721F8"/>
    <w:rsid w:val="00E72491"/>
    <w:rsid w:val="00E72539"/>
    <w:rsid w:val="00E731A7"/>
    <w:rsid w:val="00E740AF"/>
    <w:rsid w:val="00E740E3"/>
    <w:rsid w:val="00E7480F"/>
    <w:rsid w:val="00E75D67"/>
    <w:rsid w:val="00E75FD2"/>
    <w:rsid w:val="00E77015"/>
    <w:rsid w:val="00E777E5"/>
    <w:rsid w:val="00E8017C"/>
    <w:rsid w:val="00E8031C"/>
    <w:rsid w:val="00E80418"/>
    <w:rsid w:val="00E80C69"/>
    <w:rsid w:val="00E825A1"/>
    <w:rsid w:val="00E83188"/>
    <w:rsid w:val="00E83BD5"/>
    <w:rsid w:val="00E8410C"/>
    <w:rsid w:val="00E84679"/>
    <w:rsid w:val="00E847EA"/>
    <w:rsid w:val="00E8492D"/>
    <w:rsid w:val="00E8523B"/>
    <w:rsid w:val="00E8529B"/>
    <w:rsid w:val="00E85D4E"/>
    <w:rsid w:val="00E860D7"/>
    <w:rsid w:val="00E863E4"/>
    <w:rsid w:val="00E86C47"/>
    <w:rsid w:val="00E87FC3"/>
    <w:rsid w:val="00E90CDB"/>
    <w:rsid w:val="00E912F1"/>
    <w:rsid w:val="00E91D48"/>
    <w:rsid w:val="00E9259E"/>
    <w:rsid w:val="00E92E7D"/>
    <w:rsid w:val="00E93797"/>
    <w:rsid w:val="00E939E4"/>
    <w:rsid w:val="00E93FCC"/>
    <w:rsid w:val="00E967CB"/>
    <w:rsid w:val="00E971D9"/>
    <w:rsid w:val="00E977D7"/>
    <w:rsid w:val="00EA1029"/>
    <w:rsid w:val="00EA119B"/>
    <w:rsid w:val="00EA2634"/>
    <w:rsid w:val="00EA3569"/>
    <w:rsid w:val="00EA3ACD"/>
    <w:rsid w:val="00EA3D09"/>
    <w:rsid w:val="00EA4BD3"/>
    <w:rsid w:val="00EA59C1"/>
    <w:rsid w:val="00EA5A94"/>
    <w:rsid w:val="00EA5F63"/>
    <w:rsid w:val="00EA6616"/>
    <w:rsid w:val="00EA685F"/>
    <w:rsid w:val="00EA6DAD"/>
    <w:rsid w:val="00EA7039"/>
    <w:rsid w:val="00EA71A4"/>
    <w:rsid w:val="00EA7C05"/>
    <w:rsid w:val="00EB0369"/>
    <w:rsid w:val="00EB0442"/>
    <w:rsid w:val="00EB1254"/>
    <w:rsid w:val="00EB3487"/>
    <w:rsid w:val="00EB3D93"/>
    <w:rsid w:val="00EB4ED2"/>
    <w:rsid w:val="00EB5238"/>
    <w:rsid w:val="00EB5476"/>
    <w:rsid w:val="00EB58AB"/>
    <w:rsid w:val="00EB597A"/>
    <w:rsid w:val="00EB5BB3"/>
    <w:rsid w:val="00EB638E"/>
    <w:rsid w:val="00EB6707"/>
    <w:rsid w:val="00EC0C6E"/>
    <w:rsid w:val="00EC1E2B"/>
    <w:rsid w:val="00EC2BC3"/>
    <w:rsid w:val="00EC340B"/>
    <w:rsid w:val="00EC37D6"/>
    <w:rsid w:val="00EC3A3D"/>
    <w:rsid w:val="00EC3BBD"/>
    <w:rsid w:val="00EC49E0"/>
    <w:rsid w:val="00EC50B2"/>
    <w:rsid w:val="00EC511D"/>
    <w:rsid w:val="00EC7E0A"/>
    <w:rsid w:val="00ED029E"/>
    <w:rsid w:val="00ED080A"/>
    <w:rsid w:val="00ED0DDF"/>
    <w:rsid w:val="00ED1850"/>
    <w:rsid w:val="00ED229B"/>
    <w:rsid w:val="00ED2F8E"/>
    <w:rsid w:val="00ED336C"/>
    <w:rsid w:val="00ED38EC"/>
    <w:rsid w:val="00ED3E92"/>
    <w:rsid w:val="00ED495A"/>
    <w:rsid w:val="00ED4E4B"/>
    <w:rsid w:val="00ED4F1F"/>
    <w:rsid w:val="00ED5AFA"/>
    <w:rsid w:val="00ED5C50"/>
    <w:rsid w:val="00ED6789"/>
    <w:rsid w:val="00ED6961"/>
    <w:rsid w:val="00ED698D"/>
    <w:rsid w:val="00EE0EC5"/>
    <w:rsid w:val="00EE25C4"/>
    <w:rsid w:val="00EE2DC5"/>
    <w:rsid w:val="00EE304E"/>
    <w:rsid w:val="00EE379D"/>
    <w:rsid w:val="00EE3F69"/>
    <w:rsid w:val="00EE449A"/>
    <w:rsid w:val="00EE46BB"/>
    <w:rsid w:val="00EE4784"/>
    <w:rsid w:val="00EE4C98"/>
    <w:rsid w:val="00EE531E"/>
    <w:rsid w:val="00EE5711"/>
    <w:rsid w:val="00EE57C1"/>
    <w:rsid w:val="00EE5B73"/>
    <w:rsid w:val="00EE603B"/>
    <w:rsid w:val="00EE61ED"/>
    <w:rsid w:val="00EE7958"/>
    <w:rsid w:val="00EF0172"/>
    <w:rsid w:val="00EF0B7C"/>
    <w:rsid w:val="00EF0E2E"/>
    <w:rsid w:val="00EF0EE1"/>
    <w:rsid w:val="00EF28C1"/>
    <w:rsid w:val="00EF3D5F"/>
    <w:rsid w:val="00EF4135"/>
    <w:rsid w:val="00EF4475"/>
    <w:rsid w:val="00EF4682"/>
    <w:rsid w:val="00EF52F3"/>
    <w:rsid w:val="00EF577D"/>
    <w:rsid w:val="00EF6F93"/>
    <w:rsid w:val="00F0123E"/>
    <w:rsid w:val="00F02202"/>
    <w:rsid w:val="00F03595"/>
    <w:rsid w:val="00F03628"/>
    <w:rsid w:val="00F04576"/>
    <w:rsid w:val="00F0528B"/>
    <w:rsid w:val="00F05948"/>
    <w:rsid w:val="00F11FDA"/>
    <w:rsid w:val="00F1262E"/>
    <w:rsid w:val="00F12D8F"/>
    <w:rsid w:val="00F13323"/>
    <w:rsid w:val="00F1380E"/>
    <w:rsid w:val="00F1390B"/>
    <w:rsid w:val="00F14AE4"/>
    <w:rsid w:val="00F15C40"/>
    <w:rsid w:val="00F15E9E"/>
    <w:rsid w:val="00F16314"/>
    <w:rsid w:val="00F176B1"/>
    <w:rsid w:val="00F176BB"/>
    <w:rsid w:val="00F17FCC"/>
    <w:rsid w:val="00F204B3"/>
    <w:rsid w:val="00F217F6"/>
    <w:rsid w:val="00F227DE"/>
    <w:rsid w:val="00F229ED"/>
    <w:rsid w:val="00F232A8"/>
    <w:rsid w:val="00F234D5"/>
    <w:rsid w:val="00F23AC9"/>
    <w:rsid w:val="00F24327"/>
    <w:rsid w:val="00F2496F"/>
    <w:rsid w:val="00F24B65"/>
    <w:rsid w:val="00F258C9"/>
    <w:rsid w:val="00F26499"/>
    <w:rsid w:val="00F2649C"/>
    <w:rsid w:val="00F264A1"/>
    <w:rsid w:val="00F2657E"/>
    <w:rsid w:val="00F26CC5"/>
    <w:rsid w:val="00F30344"/>
    <w:rsid w:val="00F303A7"/>
    <w:rsid w:val="00F3124B"/>
    <w:rsid w:val="00F32387"/>
    <w:rsid w:val="00F32C06"/>
    <w:rsid w:val="00F3393A"/>
    <w:rsid w:val="00F359CC"/>
    <w:rsid w:val="00F36343"/>
    <w:rsid w:val="00F36846"/>
    <w:rsid w:val="00F36C45"/>
    <w:rsid w:val="00F372CA"/>
    <w:rsid w:val="00F3735D"/>
    <w:rsid w:val="00F37B54"/>
    <w:rsid w:val="00F37F05"/>
    <w:rsid w:val="00F40D61"/>
    <w:rsid w:val="00F41090"/>
    <w:rsid w:val="00F428AD"/>
    <w:rsid w:val="00F43416"/>
    <w:rsid w:val="00F43434"/>
    <w:rsid w:val="00F43F40"/>
    <w:rsid w:val="00F43FF3"/>
    <w:rsid w:val="00F44840"/>
    <w:rsid w:val="00F44B99"/>
    <w:rsid w:val="00F44C6A"/>
    <w:rsid w:val="00F45B62"/>
    <w:rsid w:val="00F46227"/>
    <w:rsid w:val="00F47317"/>
    <w:rsid w:val="00F516A8"/>
    <w:rsid w:val="00F51990"/>
    <w:rsid w:val="00F52A14"/>
    <w:rsid w:val="00F52E5B"/>
    <w:rsid w:val="00F530B7"/>
    <w:rsid w:val="00F53D73"/>
    <w:rsid w:val="00F542CD"/>
    <w:rsid w:val="00F548B8"/>
    <w:rsid w:val="00F54973"/>
    <w:rsid w:val="00F54D21"/>
    <w:rsid w:val="00F5595C"/>
    <w:rsid w:val="00F55BA0"/>
    <w:rsid w:val="00F560CD"/>
    <w:rsid w:val="00F56415"/>
    <w:rsid w:val="00F564F2"/>
    <w:rsid w:val="00F5674F"/>
    <w:rsid w:val="00F56D51"/>
    <w:rsid w:val="00F56E0A"/>
    <w:rsid w:val="00F576A9"/>
    <w:rsid w:val="00F6083D"/>
    <w:rsid w:val="00F60A01"/>
    <w:rsid w:val="00F60B3E"/>
    <w:rsid w:val="00F60E37"/>
    <w:rsid w:val="00F61F2F"/>
    <w:rsid w:val="00F6217F"/>
    <w:rsid w:val="00F62419"/>
    <w:rsid w:val="00F63855"/>
    <w:rsid w:val="00F64F9C"/>
    <w:rsid w:val="00F650DD"/>
    <w:rsid w:val="00F65124"/>
    <w:rsid w:val="00F6546F"/>
    <w:rsid w:val="00F65711"/>
    <w:rsid w:val="00F7003A"/>
    <w:rsid w:val="00F702A5"/>
    <w:rsid w:val="00F71266"/>
    <w:rsid w:val="00F716A7"/>
    <w:rsid w:val="00F71D7E"/>
    <w:rsid w:val="00F71FB8"/>
    <w:rsid w:val="00F723F6"/>
    <w:rsid w:val="00F72A53"/>
    <w:rsid w:val="00F72A56"/>
    <w:rsid w:val="00F73B1E"/>
    <w:rsid w:val="00F7496B"/>
    <w:rsid w:val="00F74E04"/>
    <w:rsid w:val="00F75228"/>
    <w:rsid w:val="00F755C8"/>
    <w:rsid w:val="00F7606F"/>
    <w:rsid w:val="00F761D9"/>
    <w:rsid w:val="00F76CAC"/>
    <w:rsid w:val="00F801AF"/>
    <w:rsid w:val="00F802CE"/>
    <w:rsid w:val="00F805CB"/>
    <w:rsid w:val="00F819FA"/>
    <w:rsid w:val="00F823AB"/>
    <w:rsid w:val="00F82445"/>
    <w:rsid w:val="00F83A5E"/>
    <w:rsid w:val="00F84005"/>
    <w:rsid w:val="00F8421B"/>
    <w:rsid w:val="00F852B3"/>
    <w:rsid w:val="00F86C31"/>
    <w:rsid w:val="00F87228"/>
    <w:rsid w:val="00F8748B"/>
    <w:rsid w:val="00F8786F"/>
    <w:rsid w:val="00F87B82"/>
    <w:rsid w:val="00F9039B"/>
    <w:rsid w:val="00F91742"/>
    <w:rsid w:val="00F917D5"/>
    <w:rsid w:val="00F93781"/>
    <w:rsid w:val="00F93E30"/>
    <w:rsid w:val="00F954FE"/>
    <w:rsid w:val="00F957AB"/>
    <w:rsid w:val="00F9629C"/>
    <w:rsid w:val="00F964E4"/>
    <w:rsid w:val="00F978AE"/>
    <w:rsid w:val="00FA0E61"/>
    <w:rsid w:val="00FA1A46"/>
    <w:rsid w:val="00FA2658"/>
    <w:rsid w:val="00FA2B32"/>
    <w:rsid w:val="00FA3AE9"/>
    <w:rsid w:val="00FA3CE0"/>
    <w:rsid w:val="00FA4306"/>
    <w:rsid w:val="00FA4D8C"/>
    <w:rsid w:val="00FA5278"/>
    <w:rsid w:val="00FA5CAE"/>
    <w:rsid w:val="00FA5CED"/>
    <w:rsid w:val="00FA5DA0"/>
    <w:rsid w:val="00FA6ABD"/>
    <w:rsid w:val="00FA6EEB"/>
    <w:rsid w:val="00FB03D9"/>
    <w:rsid w:val="00FB0711"/>
    <w:rsid w:val="00FB1426"/>
    <w:rsid w:val="00FB1876"/>
    <w:rsid w:val="00FB2A97"/>
    <w:rsid w:val="00FB2AE8"/>
    <w:rsid w:val="00FB3115"/>
    <w:rsid w:val="00FB3129"/>
    <w:rsid w:val="00FB3781"/>
    <w:rsid w:val="00FB3FA3"/>
    <w:rsid w:val="00FB4AB2"/>
    <w:rsid w:val="00FB4BA2"/>
    <w:rsid w:val="00FB593B"/>
    <w:rsid w:val="00FB5CA5"/>
    <w:rsid w:val="00FB60D2"/>
    <w:rsid w:val="00FC024D"/>
    <w:rsid w:val="00FC0D6A"/>
    <w:rsid w:val="00FC1280"/>
    <w:rsid w:val="00FC1618"/>
    <w:rsid w:val="00FC1C24"/>
    <w:rsid w:val="00FC3244"/>
    <w:rsid w:val="00FC386E"/>
    <w:rsid w:val="00FC3E05"/>
    <w:rsid w:val="00FC4A55"/>
    <w:rsid w:val="00FC5DA9"/>
    <w:rsid w:val="00FC7B0B"/>
    <w:rsid w:val="00FC7E8B"/>
    <w:rsid w:val="00FD1BD7"/>
    <w:rsid w:val="00FD1D7B"/>
    <w:rsid w:val="00FD2089"/>
    <w:rsid w:val="00FD263F"/>
    <w:rsid w:val="00FD3B5A"/>
    <w:rsid w:val="00FD4BA4"/>
    <w:rsid w:val="00FD5BAF"/>
    <w:rsid w:val="00FD5C74"/>
    <w:rsid w:val="00FD73CB"/>
    <w:rsid w:val="00FD780E"/>
    <w:rsid w:val="00FE05B4"/>
    <w:rsid w:val="00FE11D1"/>
    <w:rsid w:val="00FE2987"/>
    <w:rsid w:val="00FE2B38"/>
    <w:rsid w:val="00FE2C52"/>
    <w:rsid w:val="00FE3332"/>
    <w:rsid w:val="00FE33BB"/>
    <w:rsid w:val="00FE447E"/>
    <w:rsid w:val="00FE4ACF"/>
    <w:rsid w:val="00FE57F0"/>
    <w:rsid w:val="00FE59A0"/>
    <w:rsid w:val="00FE622D"/>
    <w:rsid w:val="00FE6550"/>
    <w:rsid w:val="00FE7456"/>
    <w:rsid w:val="00FE746E"/>
    <w:rsid w:val="00FE7D57"/>
    <w:rsid w:val="00FF0278"/>
    <w:rsid w:val="00FF194A"/>
    <w:rsid w:val="00FF21B8"/>
    <w:rsid w:val="00FF2D2B"/>
    <w:rsid w:val="00FF3F55"/>
    <w:rsid w:val="00FF4966"/>
    <w:rsid w:val="00FF4B35"/>
    <w:rsid w:val="00FF5CF1"/>
    <w:rsid w:val="00FF5D33"/>
    <w:rsid w:val="00FF6587"/>
    <w:rsid w:val="00FF6C9F"/>
    <w:rsid w:val="00FF726B"/>
    <w:rsid w:val="00FF74E6"/>
    <w:rsid w:val="00FF797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1C610"/>
  <w15:docId w15:val="{A6887577-20E8-4DBB-85CB-3D82E481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6"/>
      </w:numPr>
      <w:spacing w:after="120"/>
      <w:ind w:right="1134"/>
      <w:jc w:val="both"/>
    </w:pPr>
  </w:style>
  <w:style w:type="paragraph" w:customStyle="1" w:styleId="Bullet2G">
    <w:name w:val="_Bullet 2_G"/>
    <w:basedOn w:val="Normal"/>
    <w:rsid w:val="00FA1A46"/>
    <w:pPr>
      <w:numPr>
        <w:numId w:val="7"/>
      </w:numPr>
      <w:spacing w:after="120"/>
      <w:ind w:right="1134"/>
      <w:jc w:val="both"/>
    </w:pPr>
  </w:style>
  <w:style w:type="paragraph" w:customStyle="1" w:styleId="AnnoHCHG">
    <w:name w:val="Anno _ H_CH_G"/>
    <w:basedOn w:val="Normal"/>
    <w:next w:val="AnnoH1G"/>
    <w:rsid w:val="00FA1A46"/>
    <w:pPr>
      <w:keepNext/>
      <w:keepLines/>
      <w:numPr>
        <w:numId w:val="2"/>
      </w:numPr>
      <w:spacing w:before="360" w:after="240" w:line="300" w:lineRule="exact"/>
      <w:ind w:right="1134"/>
    </w:pPr>
    <w:rPr>
      <w:b/>
      <w:sz w:val="28"/>
    </w:rPr>
  </w:style>
  <w:style w:type="paragraph" w:customStyle="1" w:styleId="AnnoH1G">
    <w:name w:val="Anno_ H_1_G"/>
    <w:basedOn w:val="Normal"/>
    <w:next w:val="AnnoH23G"/>
    <w:autoRedefine/>
    <w:rsid w:val="004B40DB"/>
    <w:pPr>
      <w:keepNext/>
      <w:keepLines/>
      <w:spacing w:before="360" w:after="240" w:line="270" w:lineRule="exact"/>
      <w:ind w:left="567" w:right="1134" w:firstLine="567"/>
    </w:pPr>
    <w:rPr>
      <w:b/>
      <w:sz w:val="28"/>
      <w:szCs w:val="28"/>
    </w:rPr>
  </w:style>
  <w:style w:type="paragraph" w:customStyle="1" w:styleId="AnnoH23G">
    <w:name w:val="Anno_ H_2/3_G"/>
    <w:basedOn w:val="Normal"/>
    <w:next w:val="AnnoSingleTxtG"/>
    <w:autoRedefine/>
    <w:rsid w:val="00767EA4"/>
    <w:pPr>
      <w:keepNext/>
      <w:keepLines/>
      <w:spacing w:before="240" w:after="120" w:line="240" w:lineRule="exact"/>
      <w:ind w:left="851" w:right="1134"/>
    </w:pPr>
    <w:rPr>
      <w:u w:val="single"/>
    </w:rPr>
  </w:style>
  <w:style w:type="paragraph" w:customStyle="1" w:styleId="AnnoSingleTxtG">
    <w:name w:val="Anno_ Single Txt_G"/>
    <w:basedOn w:val="Normal"/>
    <w:rsid w:val="00FA1A46"/>
    <w:pPr>
      <w:numPr>
        <w:ilvl w:val="3"/>
        <w:numId w:val="8"/>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f"/>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uiPriority w:val="99"/>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spacing w:before="360" w:after="240" w:line="300" w:lineRule="exact"/>
      <w:ind w:right="113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rsid w:val="00FA1A46"/>
    <w:pPr>
      <w:keepNext/>
      <w:keepLines/>
      <w:spacing w:before="240" w:after="120" w:line="240" w:lineRule="exact"/>
      <w:ind w:right="1134"/>
    </w:pPr>
    <w:rPr>
      <w:b/>
    </w:rPr>
  </w:style>
  <w:style w:type="paragraph" w:customStyle="1" w:styleId="RegSingleTxtG">
    <w:name w:val="Reg_Single Txt_G"/>
    <w:basedOn w:val="Normal"/>
    <w:link w:val="RegSingleTxtGChar"/>
    <w:qFormat/>
    <w:rsid w:val="00FA1A46"/>
    <w:pPr>
      <w:spacing w:after="120"/>
      <w:ind w:right="1134"/>
      <w:jc w:val="both"/>
    </w:pPr>
  </w:style>
  <w:style w:type="paragraph" w:styleId="TOC1">
    <w:name w:val="toc 1"/>
    <w:basedOn w:val="Normal"/>
    <w:next w:val="Normal"/>
    <w:autoRedefine/>
    <w:rsid w:val="000A687F"/>
    <w:pPr>
      <w:tabs>
        <w:tab w:val="right" w:pos="851"/>
        <w:tab w:val="left" w:pos="1134"/>
        <w:tab w:val="left" w:pos="1559"/>
        <w:tab w:val="left" w:pos="2268"/>
        <w:tab w:val="right" w:leader="dot" w:pos="8930"/>
        <w:tab w:val="right" w:pos="9639"/>
      </w:tabs>
      <w:spacing w:after="120"/>
      <w:ind w:left="1134"/>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style>
  <w:style w:type="paragraph" w:customStyle="1" w:styleId="RegH5G">
    <w:name w:val="Reg_H_5_G"/>
    <w:basedOn w:val="RegH4G"/>
    <w:qFormat/>
    <w:rsid w:val="00FA1A46"/>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style>
  <w:style w:type="paragraph" w:customStyle="1" w:styleId="RegSingleTxtG3">
    <w:name w:val="Reg_Single Txt_G3"/>
    <w:basedOn w:val="RegSingleTxtG"/>
    <w:qFormat/>
    <w:rsid w:val="00FA1A46"/>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3"/>
      </w:numPr>
    </w:pPr>
  </w:style>
  <w:style w:type="numbering" w:customStyle="1" w:styleId="FCCCTextboxfootnote">
    <w:name w:val="FCCC Textbox footnote"/>
    <w:uiPriority w:val="99"/>
    <w:rsid w:val="00FC386E"/>
    <w:pPr>
      <w:numPr>
        <w:numId w:val="4"/>
      </w:numPr>
    </w:pPr>
  </w:style>
  <w:style w:type="numbering" w:customStyle="1" w:styleId="FigureFootnote">
    <w:name w:val="Figure Footnote"/>
    <w:uiPriority w:val="99"/>
    <w:rsid w:val="00FE622D"/>
    <w:pPr>
      <w:numPr>
        <w:numId w:val="5"/>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16173E"/>
    <w:rPr>
      <w:sz w:val="16"/>
      <w:szCs w:val="16"/>
    </w:rPr>
  </w:style>
  <w:style w:type="paragraph" w:styleId="CommentText">
    <w:name w:val="annotation text"/>
    <w:basedOn w:val="Normal"/>
    <w:link w:val="CommentTextChar"/>
    <w:unhideWhenUsed/>
    <w:rsid w:val="0016173E"/>
    <w:pPr>
      <w:spacing w:line="240" w:lineRule="auto"/>
    </w:pPr>
  </w:style>
  <w:style w:type="character" w:customStyle="1" w:styleId="CommentTextChar">
    <w:name w:val="Comment Text Char"/>
    <w:basedOn w:val="DefaultParagraphFont"/>
    <w:link w:val="CommentText"/>
    <w:rsid w:val="0016173E"/>
    <w:rPr>
      <w:rFonts w:eastAsia="SimSun"/>
      <w:lang w:val="en-GB" w:eastAsia="zh-CN"/>
    </w:rPr>
  </w:style>
  <w:style w:type="character" w:customStyle="1" w:styleId="RegSingleTxtGChar">
    <w:name w:val="Reg_Single Txt_G Char"/>
    <w:basedOn w:val="DefaultParagraphFont"/>
    <w:link w:val="RegSingleTxtG"/>
    <w:rsid w:val="00EF4135"/>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locked/>
    <w:rsid w:val="00EF4135"/>
    <w:rPr>
      <w:rFonts w:eastAsia="SimSun"/>
      <w:sz w:val="18"/>
      <w:lang w:val="en-GB" w:eastAsia="zh-CN"/>
    </w:rPr>
  </w:style>
  <w:style w:type="character" w:customStyle="1" w:styleId="HeaderChar">
    <w:name w:val="Header Char"/>
    <w:aliases w:val="6_G Char"/>
    <w:basedOn w:val="DefaultParagraphFont"/>
    <w:link w:val="Header"/>
    <w:uiPriority w:val="99"/>
    <w:rsid w:val="00EF4135"/>
    <w:rPr>
      <w:rFonts w:eastAsia="SimSun"/>
      <w:b/>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EF4135"/>
    <w:pPr>
      <w:suppressAutoHyphens w:val="0"/>
      <w:spacing w:after="160" w:line="240" w:lineRule="exact"/>
    </w:pPr>
    <w:rPr>
      <w:rFonts w:eastAsia="Times New Roman"/>
      <w:sz w:val="18"/>
      <w:vertAlign w:val="superscript"/>
      <w:lang w:val="en-US" w:eastAsia="en-US"/>
    </w:rPr>
  </w:style>
  <w:style w:type="character" w:customStyle="1" w:styleId="FooterChar">
    <w:name w:val="Footer Char"/>
    <w:aliases w:val="3_G Char"/>
    <w:link w:val="Footer"/>
    <w:rsid w:val="00EF4135"/>
    <w:rPr>
      <w:rFonts w:eastAsia="SimSun"/>
      <w:sz w:val="16"/>
      <w:lang w:val="en-GB" w:eastAsia="zh-CN"/>
    </w:rPr>
  </w:style>
  <w:style w:type="character" w:customStyle="1" w:styleId="EndnoteTextChar">
    <w:name w:val="Endnote Text Char"/>
    <w:aliases w:val="2_G Char"/>
    <w:basedOn w:val="DefaultParagraphFont"/>
    <w:link w:val="EndnoteText"/>
    <w:rsid w:val="00EF4135"/>
    <w:rPr>
      <w:rFonts w:eastAsia="SimSun"/>
      <w:i/>
      <w:sz w:val="18"/>
      <w:lang w:val="en-GB" w:eastAsia="zh-CN"/>
    </w:rPr>
  </w:style>
  <w:style w:type="character" w:styleId="Hyperlink">
    <w:name w:val="Hyperlink"/>
    <w:basedOn w:val="DefaultParagraphFont"/>
    <w:unhideWhenUsed/>
    <w:rsid w:val="005C71C2"/>
    <w:rPr>
      <w:color w:val="0000FF" w:themeColor="hyperlink"/>
      <w:u w:val="single"/>
    </w:rPr>
  </w:style>
  <w:style w:type="character" w:customStyle="1" w:styleId="HChGChar">
    <w:name w:val="_ H _Ch_G Char"/>
    <w:link w:val="HChG"/>
    <w:rsid w:val="000F0932"/>
    <w:rPr>
      <w:rFonts w:eastAsia="SimSun"/>
      <w:b/>
      <w:sz w:val="28"/>
      <w:lang w:val="en-GB" w:eastAsia="zh-CN"/>
    </w:rPr>
  </w:style>
  <w:style w:type="paragraph" w:customStyle="1" w:styleId="Default">
    <w:name w:val="Default"/>
    <w:rsid w:val="00DD2024"/>
    <w:pPr>
      <w:autoSpaceDE w:val="0"/>
      <w:autoSpaceDN w:val="0"/>
      <w:adjustRightInd w:val="0"/>
    </w:pPr>
    <w:rPr>
      <w:color w:val="000000"/>
      <w:sz w:val="24"/>
      <w:szCs w:val="24"/>
      <w:lang w:eastAsia="en-GB"/>
    </w:rPr>
  </w:style>
  <w:style w:type="character" w:customStyle="1" w:styleId="H1GChar">
    <w:name w:val="_ H_1_G Char"/>
    <w:link w:val="H1G"/>
    <w:locked/>
    <w:rsid w:val="00A710B2"/>
    <w:rPr>
      <w:rFonts w:eastAsia="SimSun"/>
      <w:b/>
      <w:sz w:val="24"/>
      <w:lang w:val="en-GB" w:eastAsia="zh-CN"/>
    </w:rPr>
  </w:style>
  <w:style w:type="paragraph" w:styleId="CommentSubject">
    <w:name w:val="annotation subject"/>
    <w:basedOn w:val="CommentText"/>
    <w:next w:val="CommentText"/>
    <w:link w:val="CommentSubjectChar"/>
    <w:semiHidden/>
    <w:unhideWhenUsed/>
    <w:rsid w:val="00CB68A1"/>
    <w:rPr>
      <w:b/>
      <w:bCs/>
    </w:rPr>
  </w:style>
  <w:style w:type="character" w:customStyle="1" w:styleId="CommentSubjectChar">
    <w:name w:val="Comment Subject Char"/>
    <w:basedOn w:val="CommentTextChar"/>
    <w:link w:val="CommentSubject"/>
    <w:semiHidden/>
    <w:rsid w:val="00CB68A1"/>
    <w:rPr>
      <w:rFonts w:eastAsia="SimSun"/>
      <w:b/>
      <w:bCs/>
      <w:lang w:val="en-GB" w:eastAsia="zh-CN"/>
    </w:rPr>
  </w:style>
  <w:style w:type="paragraph" w:styleId="Date">
    <w:name w:val="Date"/>
    <w:basedOn w:val="Normal"/>
    <w:next w:val="Normal"/>
    <w:link w:val="DateChar"/>
    <w:rsid w:val="004C639A"/>
  </w:style>
  <w:style w:type="character" w:customStyle="1" w:styleId="DateChar">
    <w:name w:val="Date Char"/>
    <w:basedOn w:val="DefaultParagraphFont"/>
    <w:link w:val="Date"/>
    <w:rsid w:val="004C639A"/>
    <w:rPr>
      <w:rFonts w:eastAsia="SimSun"/>
      <w:lang w:val="en-GB" w:eastAsia="zh-CN"/>
    </w:rPr>
  </w:style>
  <w:style w:type="paragraph" w:styleId="Revision">
    <w:name w:val="Revision"/>
    <w:hidden/>
    <w:uiPriority w:val="99"/>
    <w:semiHidden/>
    <w:rsid w:val="001F6D29"/>
    <w:rPr>
      <w:rFonts w:eastAsia="SimSun"/>
      <w:lang w:val="en-GB" w:eastAsia="zh-CN"/>
    </w:rPr>
  </w:style>
  <w:style w:type="character" w:styleId="UnresolvedMention">
    <w:name w:val="Unresolved Mention"/>
    <w:basedOn w:val="DefaultParagraphFont"/>
    <w:uiPriority w:val="99"/>
    <w:unhideWhenUsed/>
    <w:rsid w:val="002155DE"/>
    <w:rPr>
      <w:color w:val="605E5C"/>
      <w:shd w:val="clear" w:color="auto" w:fill="E1DFDD"/>
    </w:rPr>
  </w:style>
  <w:style w:type="character" w:styleId="Mention">
    <w:name w:val="Mention"/>
    <w:basedOn w:val="DefaultParagraphFont"/>
    <w:uiPriority w:val="99"/>
    <w:unhideWhenUsed/>
    <w:rsid w:val="002155DE"/>
    <w:rPr>
      <w:color w:val="2B579A"/>
      <w:shd w:val="clear" w:color="auto" w:fill="E1DFDD"/>
    </w:rPr>
  </w:style>
  <w:style w:type="character" w:styleId="FollowedHyperlink">
    <w:name w:val="FollowedHyperlink"/>
    <w:basedOn w:val="DefaultParagraphFont"/>
    <w:semiHidden/>
    <w:unhideWhenUsed/>
    <w:rsid w:val="001A3C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5.xml"/><Relationship Id="rId39" Type="http://schemas.openxmlformats.org/officeDocument/2006/relationships/header" Target="header15.xml"/><Relationship Id="rId21" Type="http://schemas.openxmlformats.org/officeDocument/2006/relationships/header" Target="head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eader" Target="header9.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oter" Target="footer11.xml"/><Relationship Id="rId45" Type="http://schemas.openxmlformats.org/officeDocument/2006/relationships/footer" Target="footer14.xml"/><Relationship Id="rId53" Type="http://schemas.openxmlformats.org/officeDocument/2006/relationships/footer" Target="footer18.xml"/><Relationship Id="rId58" Type="http://schemas.openxmlformats.org/officeDocument/2006/relationships/header" Target="header24.xml"/><Relationship Id="rId5" Type="http://schemas.openxmlformats.org/officeDocument/2006/relationships/customXml" Target="../customXml/item5.xml"/><Relationship Id="rId61" Type="http://schemas.openxmlformats.org/officeDocument/2006/relationships/footer" Target="footer22.xml"/><Relationship Id="rId1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footer" Target="footer9.xml"/><Relationship Id="rId43" Type="http://schemas.openxmlformats.org/officeDocument/2006/relationships/header" Target="header17.xml"/><Relationship Id="rId48" Type="http://schemas.openxmlformats.org/officeDocument/2006/relationships/footer" Target="footer15.xml"/><Relationship Id="rId56" Type="http://schemas.openxmlformats.org/officeDocument/2006/relationships/footer" Target="footer19.xml"/><Relationship Id="rId8" Type="http://schemas.openxmlformats.org/officeDocument/2006/relationships/styles" Target="styles.xml"/><Relationship Id="rId51" Type="http://schemas.openxmlformats.org/officeDocument/2006/relationships/header" Target="header2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eader" Target="header25.xml"/><Relationship Id="rId20" Type="http://schemas.openxmlformats.org/officeDocument/2006/relationships/header" Target="header4.xml"/><Relationship Id="rId41" Type="http://schemas.openxmlformats.org/officeDocument/2006/relationships/footer" Target="footer12.xml"/><Relationship Id="rId54" Type="http://schemas.openxmlformats.org/officeDocument/2006/relationships/header" Target="header22.xml"/><Relationship Id="rId62" Type="http://schemas.openxmlformats.org/officeDocument/2006/relationships/fontTable" Target="fontTable.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footer" Target="footer10.xml"/><Relationship Id="rId49" Type="http://schemas.openxmlformats.org/officeDocument/2006/relationships/footer" Target="footer16.xml"/><Relationship Id="rId57" Type="http://schemas.openxmlformats.org/officeDocument/2006/relationships/footer" Target="footer20.xml"/><Relationship Id="rId10" Type="http://schemas.openxmlformats.org/officeDocument/2006/relationships/webSettings" Target="webSettings.xml"/><Relationship Id="rId31" Type="http://schemas.openxmlformats.org/officeDocument/2006/relationships/footer" Target="footer8.xml"/><Relationship Id="rId44" Type="http://schemas.openxmlformats.org/officeDocument/2006/relationships/footer" Target="footer13.xml"/><Relationship Id="rId52" Type="http://schemas.openxmlformats.org/officeDocument/2006/relationships/footer" Target="footer17.xml"/><Relationship Id="rId60" Type="http://schemas.openxmlformats.org/officeDocument/2006/relationships/footer" Target="footer21.xml"/><Relationship Id="rId4" Type="http://schemas.openxmlformats.org/officeDocument/2006/relationships/customXml" Target="../customXml/item4.xml"/><Relationship Id="rId9"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unfccc.int/event/RM-AsiaPacificWorkshop-Bangkok-2023" TargetMode="External"/><Relationship Id="rId1" Type="http://schemas.openxmlformats.org/officeDocument/2006/relationships/hyperlink" Target="https://www.adaptation-fund.org/enhancing-access-and-increasing-impact-the-role-of-the-multilateral-climate-fun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9d8c265a-5436-43a7-80c1-713d2827ffde"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Nattley Williams</DisplayName>
        <AccountId>160</AccountId>
        <AccountType/>
      </UserInfo>
      <UserInfo>
        <DisplayName>Laurence Pollier</DisplayName>
        <AccountId>30</AccountId>
        <AccountType/>
      </UserInfo>
      <UserInfo>
        <DisplayName>Karen N Smith</DisplayName>
        <AccountId>58</AccountId>
        <AccountType/>
      </UserInfo>
      <UserInfo>
        <DisplayName>Ahmed Abdalnabi</DisplayName>
        <AccountId>1666</AccountId>
        <AccountType/>
      </UserInfo>
      <UserInfo>
        <DisplayName>Franklin Odhiambo</DisplayName>
        <AccountId>2442</AccountId>
        <AccountType/>
      </UserInfo>
      <UserInfo>
        <DisplayName>Monica Gavriluta</DisplayName>
        <AccountId>349</AccountId>
        <AccountType/>
      </UserInfo>
      <UserInfo>
        <DisplayName>Tshering Sherpa</DisplayName>
        <AccountId>532</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9d8c265a-5436-43a7-80c1-713d2827ffde" ContentTypeId="0x010100FBF3CCE9969B6749B3CE13949E44C4B503" PreviousValue="true"/>
</file>

<file path=customXml/itemProps1.xml><?xml version="1.0" encoding="utf-8"?>
<ds:datastoreItem xmlns:ds="http://schemas.openxmlformats.org/officeDocument/2006/customXml" ds:itemID="{E97AC5B9-438B-4A66-A6E0-10EBBB97D661}"/>
</file>

<file path=customXml/itemProps2.xml><?xml version="1.0" encoding="utf-8"?>
<ds:datastoreItem xmlns:ds="http://schemas.openxmlformats.org/officeDocument/2006/customXml" ds:itemID="{01D37DD2-FC38-41E6-8C90-B5E31DCA3061}">
  <ds:schemaRefs>
    <ds:schemaRef ds:uri="http://schemas.microsoft.com/office/2006/metadata/properties"/>
    <ds:schemaRef ds:uri="http://schemas.microsoft.com/office/infopath/2007/PartnerControls"/>
    <ds:schemaRef ds:uri="0d8f00d2-86fc-4eff-afef-8f73dd50878e"/>
    <ds:schemaRef ds:uri="eb4559c4-8463-4985-927f-f0d558bff8f0"/>
  </ds:schemaRefs>
</ds:datastoreItem>
</file>

<file path=customXml/itemProps3.xml><?xml version="1.0" encoding="utf-8"?>
<ds:datastoreItem xmlns:ds="http://schemas.openxmlformats.org/officeDocument/2006/customXml" ds:itemID="{D46A8A57-52A0-4A01-B5FD-36131E73C490}"/>
</file>

<file path=customXml/itemProps4.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5.xml><?xml version="1.0" encoding="utf-8"?>
<ds:datastoreItem xmlns:ds="http://schemas.openxmlformats.org/officeDocument/2006/customXml" ds:itemID="{A6381188-DCE8-433B-9AD9-EBA61F5213A8}">
  <ds:schemaRefs>
    <ds:schemaRef ds:uri="http://schemas.microsoft.com/sharepoint/v3/contenttype/forms"/>
  </ds:schemaRefs>
</ds:datastoreItem>
</file>

<file path=customXml/itemProps6.xml><?xml version="1.0" encoding="utf-8"?>
<ds:datastoreItem xmlns:ds="http://schemas.openxmlformats.org/officeDocument/2006/customXml" ds:itemID="{C37C84FB-78E3-4802-951A-DAA116188C7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FCCC.dotm</Template>
  <TotalTime>3683</TotalTime>
  <Pages>27</Pages>
  <Words>7586</Words>
  <Characters>43246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Kyoto Protocol on its eighteenth session. Addendum</vt:lpstr>
    </vt:vector>
  </TitlesOfParts>
  <Company>UNFCCC</Company>
  <LinksUpToDate>false</LinksUpToDate>
  <CharactersWithSpaces>50731</CharactersWithSpaces>
  <SharedDoc>false</SharedDoc>
  <HLinks>
    <vt:vector size="12" baseType="variant">
      <vt:variant>
        <vt:i4>4784139</vt:i4>
      </vt:variant>
      <vt:variant>
        <vt:i4>3</vt:i4>
      </vt:variant>
      <vt:variant>
        <vt:i4>0</vt:i4>
      </vt:variant>
      <vt:variant>
        <vt:i4>5</vt:i4>
      </vt:variant>
      <vt:variant>
        <vt:lpwstr>https://unfccc.int/event/RM-AsiaPacificWorkshop-Bangkok-2023</vt:lpwstr>
      </vt:variant>
      <vt:variant>
        <vt:lpwstr/>
      </vt:variant>
      <vt:variant>
        <vt:i4>2752631</vt:i4>
      </vt:variant>
      <vt:variant>
        <vt:i4>0</vt:i4>
      </vt:variant>
      <vt:variant>
        <vt:i4>0</vt:i4>
      </vt:variant>
      <vt:variant>
        <vt:i4>5</vt:i4>
      </vt:variant>
      <vt:variant>
        <vt:lpwstr>https://www.adaptation-fund.org/enhancing-access-and-increasing-impact-the-role-of-the-multilateral-climate-funds/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Kyoto Protocol on its eighteenth session. Addendum</dc:title>
  <dc:subject/>
  <dc:creator>UNFCCC</dc:creator>
  <cp:keywords/>
  <dc:description/>
  <cp:lastModifiedBy>Corinne Cornu</cp:lastModifiedBy>
  <cp:revision>854</cp:revision>
  <cp:lastPrinted>2022-09-21T06:19:00Z</cp:lastPrinted>
  <dcterms:created xsi:type="dcterms:W3CDTF">2023-04-07T10:01:00Z</dcterms:created>
  <dcterms:modified xsi:type="dcterms:W3CDTF">2024-03-18T13:08:00Z</dcterms:modified>
  <cp:category>UNFCCC Template 2022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15/3/2023 10:32:18</vt:lpwstr>
  </property>
  <property fmtid="{D5CDD505-2E9C-101B-9397-08002B2CF9AE}" pid="4" name="ContentTypeId">
    <vt:lpwstr>0x0101002BEBFA4AD3D067488A4F8AE22F38BF68</vt:lpwstr>
  </property>
  <property fmtid="{D5CDD505-2E9C-101B-9397-08002B2CF9AE}" pid="5" name="_dlc_DocIdItemGuid">
    <vt:lpwstr>822370be-b277-418e-9fdf-dce3deb91a4d</vt:lpwstr>
  </property>
  <property fmtid="{D5CDD505-2E9C-101B-9397-08002B2CF9AE}" pid="6" name="fccc_body">
    <vt:lpwstr>85;#Conference of the Parties serving as the meeting of the Parties to the Kyoto Protocol (CMP)|38118d30-6ed6-42bf-9f20-9c3046d01012</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Submission clearance officer(s)">
    <vt:lpwstr/>
  </property>
  <property fmtid="{D5CDD505-2E9C-101B-9397-08002B2CF9AE}" pid="11" name="fccc_Keywords">
    <vt:lpwstr>47;#Sessional proceedings|ff7bdb8c-f4ee-4fbb-ab88-7747669b7746</vt:lpwstr>
  </property>
  <property fmtid="{D5CDD505-2E9C-101B-9397-08002B2CF9AE}" pid="12" name="fccc_session">
    <vt:lpwstr>745;#CMP 18|faf79a0a-ea40-4915-9f3c-3fcbd2ffd340</vt:lpwstr>
  </property>
  <property fmtid="{D5CDD505-2E9C-101B-9397-08002B2CF9AE}" pid="13" name="LinkedUNFCCCDocumentTracker">
    <vt:lpwstr>6048</vt:lpwstr>
  </property>
  <property fmtid="{D5CDD505-2E9C-101B-9397-08002B2CF9AE}" pid="14" name="Web_x0020_doc_x0020_type">
    <vt:lpwstr/>
  </property>
  <property fmtid="{D5CDD505-2E9C-101B-9397-08002B2CF9AE}" pid="15" name="Conference">
    <vt:lpwstr/>
  </property>
  <property fmtid="{D5CDD505-2E9C-101B-9397-08002B2CF9AE}" pid="16" name="Corporate author">
    <vt:lpwstr/>
  </property>
  <property fmtid="{D5CDD505-2E9C-101B-9397-08002B2CF9AE}" pid="17" name="Agenda Item">
    <vt:lpwstr/>
  </property>
  <property fmtid="{D5CDD505-2E9C-101B-9397-08002B2CF9AE}" pid="18" name="Web doc type">
    <vt:lpwstr/>
  </property>
  <property fmtid="{D5CDD505-2E9C-101B-9397-08002B2CF9AE}" pid="19" name="fccc_contact">
    <vt:lpwstr/>
  </property>
  <property fmtid="{D5CDD505-2E9C-101B-9397-08002B2CF9AE}" pid="20" name="Document highlight">
    <vt:bool>false</vt:bool>
  </property>
  <property fmtid="{D5CDD505-2E9C-101B-9397-08002B2CF9AE}" pid="21" name="CMS doc type">
    <vt:lpwstr>Enter Choice #1</vt:lpwstr>
  </property>
  <property fmtid="{D5CDD505-2E9C-101B-9397-08002B2CF9AE}" pid="22" name="TaxCatchAll">
    <vt:lpwstr/>
  </property>
  <property fmtid="{D5CDD505-2E9C-101B-9397-08002B2CF9AE}" pid="23" name="ecb85f88989e4f11bfedb6318c1ed337">
    <vt:lpwstr/>
  </property>
  <property fmtid="{D5CDD505-2E9C-101B-9397-08002B2CF9AE}" pid="24" name="mb2653527eb04114b1d23d229a13893d">
    <vt:lpwstr/>
  </property>
  <property fmtid="{D5CDD505-2E9C-101B-9397-08002B2CF9AE}" pid="25" name="c51c080fb2d149e1934818200981989c">
    <vt:lpwstr/>
  </property>
  <property fmtid="{D5CDD505-2E9C-101B-9397-08002B2CF9AE}" pid="26" name="l6e091cbada04ed4b01f309d1d8edbb4">
    <vt:lpwstr/>
  </property>
  <property fmtid="{D5CDD505-2E9C-101B-9397-08002B2CF9AE}" pid="27" name="i961c1f3d95e40d19f5413b53439d186">
    <vt:lpwstr/>
  </property>
  <property fmtid="{D5CDD505-2E9C-101B-9397-08002B2CF9AE}" pid="28" name="oa198490080c4764bc1f8325a2b96d35">
    <vt:lpwstr/>
  </property>
  <property fmtid="{D5CDD505-2E9C-101B-9397-08002B2CF9AE}" pid="29" name="ES clearance?">
    <vt:bool>false</vt:bool>
  </property>
  <property fmtid="{D5CDD505-2E9C-101B-9397-08002B2CF9AE}" pid="30" name="Document Group">
    <vt:lpwstr/>
  </property>
  <property fmtid="{D5CDD505-2E9C-101B-9397-08002B2CF9AE}" pid="31" name="Symbolchanged">
    <vt:bool>false</vt:bool>
  </property>
  <property fmtid="{D5CDD505-2E9C-101B-9397-08002B2CF9AE}" pid="32" name="Defer">
    <vt:bool>false</vt:bool>
  </property>
  <property fmtid="{D5CDD505-2E9C-101B-9397-08002B2CF9AE}" pid="33" name="Ready for gDoc?">
    <vt:bool>false</vt:bool>
  </property>
  <property fmtid="{D5CDD505-2E9C-101B-9397-08002B2CF9AE}" pid="34" name="Editstatus">
    <vt:lpwstr>Not edited</vt:lpwstr>
  </property>
  <property fmtid="{D5CDD505-2E9C-101B-9397-08002B2CF9AE}" pid="35" name="lcf76f155ced4ddcb4097134ff3c332f">
    <vt:lpwstr/>
  </property>
  <property fmtid="{D5CDD505-2E9C-101B-9397-08002B2CF9AE}" pid="36" name="Submitted">
    <vt:bool>false</vt:bool>
  </property>
  <property fmtid="{D5CDD505-2E9C-101B-9397-08002B2CF9AE}" pid="37" name="mc8c0c91454a4efc97cb5a2e90a99718">
    <vt:lpwstr/>
  </property>
  <property fmtid="{D5CDD505-2E9C-101B-9397-08002B2CF9AE}" pid="38" name="SharedWithUsers">
    <vt:lpwstr>160;#Nattley Williams;#30;#Laurence Pollier;#58;#Karen N Smith;#1666;#Ahmed Abdalnabi;#2442;#Franklin Odhiambo;#349;#Monica Gavriluta;#532;#Tshering Sherpa</vt:lpwstr>
  </property>
  <property fmtid="{D5CDD505-2E9C-101B-9397-08002B2CF9AE}" pid="39" name="docSymbol1">
    <vt:lpwstr>FCCC/KP/CMP/2023/9/Add.1</vt:lpwstr>
  </property>
  <property fmtid="{D5CDD505-2E9C-101B-9397-08002B2CF9AE}" pid="40" name="docSymbol2">
    <vt:lpwstr/>
  </property>
</Properties>
</file>