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14.xml" ContentType="application/vnd.openxmlformats-officedocument.wordprocessingml.header+xml"/>
  <Override PartName="/word/footer13.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footer14.xml" ContentType="application/vnd.openxmlformats-officedocument.wordprocessingml.footer+xml"/>
  <Override PartName="/word/footer1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42" w:rightFromText="142" w:vertAnchor="page" w:horzAnchor="page" w:tblpX="1135" w:tblpY="285"/>
        <w:tblOverlap w:val="never"/>
        <w:tblW w:w="9639" w:type="dxa"/>
        <w:tblBorders>
          <w:bottom w:val="single" w:sz="12" w:space="0" w:color="auto"/>
          <w:insideH w:val="single" w:sz="4" w:space="0" w:color="auto"/>
        </w:tblBorders>
        <w:tblLayout w:type="fixed"/>
        <w:tblCellMar>
          <w:left w:w="0" w:type="dxa"/>
          <w:right w:w="0" w:type="dxa"/>
        </w:tblCellMar>
        <w:tblLook w:val="01E0" w:firstRow="1" w:lastRow="1" w:firstColumn="1" w:lastColumn="1" w:noHBand="0" w:noVBand="0"/>
      </w:tblPr>
      <w:tblGrid>
        <w:gridCol w:w="1242"/>
        <w:gridCol w:w="2552"/>
        <w:gridCol w:w="717"/>
        <w:gridCol w:w="2293"/>
        <w:gridCol w:w="2835"/>
      </w:tblGrid>
      <w:tr w:rsidR="002D66A2" w:rsidRPr="00AD1F92" w14:paraId="7CFB316F" w14:textId="77777777">
        <w:trPr>
          <w:cantSplit/>
          <w:trHeight w:hRule="exact" w:val="1134"/>
        </w:trPr>
        <w:tc>
          <w:tcPr>
            <w:tcW w:w="1242" w:type="dxa"/>
            <w:vAlign w:val="bottom"/>
          </w:tcPr>
          <w:p w14:paraId="6F2E0533" w14:textId="08D9008E" w:rsidR="002D66A2" w:rsidRPr="00AD1F92" w:rsidRDefault="002D66A2">
            <w:r w:rsidRPr="00AD1F92">
              <w:rPr>
                <w:noProof/>
                <w:lang w:eastAsia="en-US"/>
              </w:rPr>
              <w:drawing>
                <wp:inline distT="0" distB="0" distL="0" distR="0" wp14:anchorId="3694D843" wp14:editId="3E7E676A">
                  <wp:extent cx="668020" cy="564515"/>
                  <wp:effectExtent l="0" t="0" r="0" b="6985"/>
                  <wp:docPr id="1" name="Picture 1" descr="Description: Description: Description: _un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Description: _unlogo"/>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68020" cy="564515"/>
                          </a:xfrm>
                          <a:prstGeom prst="rect">
                            <a:avLst/>
                          </a:prstGeom>
                          <a:noFill/>
                          <a:ln>
                            <a:noFill/>
                          </a:ln>
                        </pic:spPr>
                      </pic:pic>
                    </a:graphicData>
                  </a:graphic>
                </wp:inline>
              </w:drawing>
            </w:r>
          </w:p>
        </w:tc>
        <w:tc>
          <w:tcPr>
            <w:tcW w:w="2552" w:type="dxa"/>
            <w:vAlign w:val="bottom"/>
          </w:tcPr>
          <w:p w14:paraId="538A66BE" w14:textId="77777777" w:rsidR="002D66A2" w:rsidRPr="00AD1F92" w:rsidRDefault="002D66A2">
            <w:pPr>
              <w:ind w:left="113"/>
              <w:rPr>
                <w:sz w:val="28"/>
                <w:szCs w:val="28"/>
              </w:rPr>
            </w:pPr>
            <w:r w:rsidRPr="00AD1F92">
              <w:rPr>
                <w:sz w:val="28"/>
                <w:szCs w:val="28"/>
              </w:rPr>
              <w:t>United Nations</w:t>
            </w:r>
          </w:p>
        </w:tc>
        <w:tc>
          <w:tcPr>
            <w:tcW w:w="5845" w:type="dxa"/>
            <w:gridSpan w:val="3"/>
            <w:vAlign w:val="bottom"/>
          </w:tcPr>
          <w:p w14:paraId="7F94728B" w14:textId="7C52C674" w:rsidR="002D66A2" w:rsidRPr="00AD1F92" w:rsidRDefault="00D43A6E" w:rsidP="00D43A6E">
            <w:pPr>
              <w:jc w:val="right"/>
            </w:pPr>
            <w:r w:rsidRPr="00AD1F92">
              <w:rPr>
                <w:sz w:val="40"/>
              </w:rPr>
              <w:t>FCCC</w:t>
            </w:r>
            <w:r w:rsidRPr="00AD1F92">
              <w:t>/KP/CMP/2024/7/Add.1</w:t>
            </w:r>
          </w:p>
        </w:tc>
      </w:tr>
      <w:tr w:rsidR="002D66A2" w:rsidRPr="00AD1F92" w14:paraId="06B76353" w14:textId="77777777">
        <w:trPr>
          <w:cantSplit/>
          <w:trHeight w:hRule="exact" w:val="2552"/>
        </w:trPr>
        <w:tc>
          <w:tcPr>
            <w:tcW w:w="4511" w:type="dxa"/>
            <w:gridSpan w:val="3"/>
          </w:tcPr>
          <w:p w14:paraId="4BA461BD" w14:textId="77777777" w:rsidR="002D66A2" w:rsidRPr="00AD1F92" w:rsidRDefault="002D66A2">
            <w:r w:rsidRPr="00AD1F92">
              <w:rPr>
                <w:noProof/>
                <w:lang w:eastAsia="en-US"/>
              </w:rPr>
              <w:drawing>
                <wp:anchor distT="0" distB="0" distL="114300" distR="114300" simplePos="0" relativeHeight="251658240" behindDoc="1" locked="0" layoutInCell="1" allowOverlap="1" wp14:anchorId="3F2D5B66" wp14:editId="4BD33F9B">
                  <wp:simplePos x="0" y="0"/>
                  <wp:positionH relativeFrom="column">
                    <wp:posOffset>-3200</wp:posOffset>
                  </wp:positionH>
                  <wp:positionV relativeFrom="paragraph">
                    <wp:posOffset>305</wp:posOffset>
                  </wp:positionV>
                  <wp:extent cx="2401570" cy="57277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401570" cy="5727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C467795" w14:textId="15905CE6" w:rsidR="002D66A2" w:rsidRPr="00AD1F92" w:rsidRDefault="002D66A2"/>
          <w:p w14:paraId="36668CDC" w14:textId="77777777" w:rsidR="002D66A2" w:rsidRPr="00AD1F92" w:rsidRDefault="002D66A2"/>
          <w:p w14:paraId="1736A5F9" w14:textId="77777777" w:rsidR="002D66A2" w:rsidRPr="00AD1F92" w:rsidRDefault="002D66A2"/>
        </w:tc>
        <w:tc>
          <w:tcPr>
            <w:tcW w:w="2293" w:type="dxa"/>
          </w:tcPr>
          <w:p w14:paraId="2689F0F7" w14:textId="77777777" w:rsidR="002D66A2" w:rsidRPr="00AD1F92" w:rsidRDefault="002D66A2"/>
        </w:tc>
        <w:tc>
          <w:tcPr>
            <w:tcW w:w="2835" w:type="dxa"/>
          </w:tcPr>
          <w:p w14:paraId="499645B6" w14:textId="77777777" w:rsidR="00461955" w:rsidRPr="00AD1F92" w:rsidRDefault="00D43A6E" w:rsidP="00D43A6E">
            <w:pPr>
              <w:spacing w:before="240" w:line="240" w:lineRule="exact"/>
              <w:ind w:left="143"/>
            </w:pPr>
            <w:r w:rsidRPr="00AD1F92">
              <w:t>Distr.: General</w:t>
            </w:r>
          </w:p>
          <w:p w14:paraId="6FC071F3" w14:textId="4FF21805" w:rsidR="00D43A6E" w:rsidRPr="00AD1F92" w:rsidRDefault="00664105" w:rsidP="00D43A6E">
            <w:pPr>
              <w:spacing w:line="240" w:lineRule="exact"/>
              <w:ind w:left="143"/>
            </w:pPr>
            <w:r>
              <w:t>27 March</w:t>
            </w:r>
            <w:r w:rsidR="00D43A6E" w:rsidRPr="00AD1F92">
              <w:t xml:space="preserve"> 202</w:t>
            </w:r>
            <w:r w:rsidR="00DF7C65" w:rsidRPr="00AD1F92">
              <w:t>5</w:t>
            </w:r>
          </w:p>
          <w:p w14:paraId="6EE4E300" w14:textId="77777777" w:rsidR="00D43A6E" w:rsidRPr="00AD1F92" w:rsidRDefault="00D43A6E" w:rsidP="00D43A6E">
            <w:pPr>
              <w:spacing w:line="240" w:lineRule="exact"/>
              <w:ind w:left="143"/>
            </w:pPr>
          </w:p>
          <w:p w14:paraId="14EDED5A" w14:textId="5DE578C6" w:rsidR="00D43A6E" w:rsidRPr="00AD1F92" w:rsidRDefault="00D43A6E" w:rsidP="00D43A6E">
            <w:pPr>
              <w:spacing w:line="240" w:lineRule="exact"/>
              <w:ind w:left="143"/>
            </w:pPr>
            <w:r w:rsidRPr="00AD1F92">
              <w:t>Original: English</w:t>
            </w:r>
          </w:p>
        </w:tc>
      </w:tr>
    </w:tbl>
    <w:p w14:paraId="0ED489C7" w14:textId="50945EAE" w:rsidR="003F6A01" w:rsidRPr="00AD1F92" w:rsidRDefault="009647CF" w:rsidP="003F6A01">
      <w:pPr>
        <w:spacing w:before="120"/>
        <w:rPr>
          <w:b/>
          <w:sz w:val="24"/>
          <w:szCs w:val="24"/>
        </w:rPr>
      </w:pPr>
      <w:r w:rsidRPr="00AD1F92">
        <w:rPr>
          <w:b/>
          <w:sz w:val="24"/>
          <w:szCs w:val="24"/>
        </w:rPr>
        <w:t>Conference of the Parties</w:t>
      </w:r>
      <w:r w:rsidR="00E11062" w:rsidRPr="00AD1F92">
        <w:rPr>
          <w:b/>
          <w:sz w:val="24"/>
          <w:szCs w:val="24"/>
        </w:rPr>
        <w:t xml:space="preserve"> serving as the meeting </w:t>
      </w:r>
      <w:r w:rsidR="00E11062" w:rsidRPr="00AD1F92">
        <w:rPr>
          <w:b/>
          <w:sz w:val="24"/>
          <w:szCs w:val="24"/>
        </w:rPr>
        <w:br/>
        <w:t>of the Parties to the Kyoto Protocol</w:t>
      </w:r>
    </w:p>
    <w:p w14:paraId="0AB6453A" w14:textId="62C0BFFE" w:rsidR="003F6A01" w:rsidRPr="00AD1F92" w:rsidRDefault="003F6A01" w:rsidP="005F5ED5">
      <w:pPr>
        <w:pStyle w:val="RegHChG"/>
        <w:numPr>
          <w:ilvl w:val="0"/>
          <w:numId w:val="0"/>
        </w:numPr>
        <w:ind w:left="1135" w:hanging="454"/>
      </w:pPr>
      <w:r w:rsidRPr="00AD1F92">
        <w:t xml:space="preserve">Report of the </w:t>
      </w:r>
      <w:r w:rsidR="009647CF" w:rsidRPr="00AD1F92">
        <w:rPr>
          <w:bCs/>
          <w:szCs w:val="28"/>
        </w:rPr>
        <w:t>Conference of the Parties</w:t>
      </w:r>
      <w:r w:rsidR="009647CF" w:rsidRPr="00AD1F92">
        <w:t xml:space="preserve"> </w:t>
      </w:r>
      <w:r w:rsidR="00E11062" w:rsidRPr="00AD1F92">
        <w:t>serving as the meeting of the Parties to the Kyoto Protocol on its nineteenth session</w:t>
      </w:r>
      <w:r w:rsidRPr="00AD1F92">
        <w:t>, held in Baku from 11 to</w:t>
      </w:r>
      <w:r w:rsidR="009647CF" w:rsidRPr="00AD1F92">
        <w:t xml:space="preserve"> 2</w:t>
      </w:r>
      <w:r w:rsidR="00B63A26" w:rsidRPr="00AD1F92">
        <w:t>4</w:t>
      </w:r>
      <w:r w:rsidRPr="00AD1F92">
        <w:t xml:space="preserve"> November 2024</w:t>
      </w:r>
    </w:p>
    <w:p w14:paraId="0D8A82D0" w14:textId="2B16E761" w:rsidR="003F6A01" w:rsidRPr="00AD1F92" w:rsidRDefault="006C5F6E" w:rsidP="005F5ED5">
      <w:pPr>
        <w:pStyle w:val="RegH1G"/>
        <w:numPr>
          <w:ilvl w:val="0"/>
          <w:numId w:val="0"/>
        </w:numPr>
        <w:ind w:left="1135" w:hanging="454"/>
      </w:pPr>
      <w:bookmarkStart w:id="0" w:name="_Toc184133523"/>
      <w:r w:rsidRPr="00AD1F92">
        <w:t>Addendum</w:t>
      </w:r>
      <w:bookmarkEnd w:id="0"/>
    </w:p>
    <w:p w14:paraId="1783B1BF" w14:textId="40F1549B" w:rsidR="006C5F6E" w:rsidRPr="00AD1F92" w:rsidRDefault="00FB1BF6" w:rsidP="005F5ED5">
      <w:pPr>
        <w:pStyle w:val="RegH1G"/>
        <w:numPr>
          <w:ilvl w:val="0"/>
          <w:numId w:val="0"/>
        </w:numPr>
        <w:ind w:left="1135" w:hanging="454"/>
      </w:pPr>
      <w:bookmarkStart w:id="1" w:name="_Toc184133524"/>
      <w:r w:rsidRPr="00AD1F92">
        <w:t xml:space="preserve">Part </w:t>
      </w:r>
      <w:r w:rsidR="002A7E3A">
        <w:t>two</w:t>
      </w:r>
      <w:r w:rsidRPr="00AD1F92">
        <w:t xml:space="preserve">: </w:t>
      </w:r>
      <w:r w:rsidR="00510504" w:rsidRPr="00AD1F92">
        <w:t>Action taken by the Conference of the Parties serving as the meeting of the Parties to the Kyoto Protocol at its</w:t>
      </w:r>
      <w:r w:rsidR="003501D1" w:rsidRPr="00AD1F92">
        <w:t xml:space="preserve"> nineteenth session</w:t>
      </w:r>
      <w:bookmarkEnd w:id="1"/>
    </w:p>
    <w:p w14:paraId="32A54EE2" w14:textId="17E92092" w:rsidR="00780649" w:rsidRPr="00AD1F92" w:rsidRDefault="00780649" w:rsidP="00802E2E">
      <w:pPr>
        <w:spacing w:after="120"/>
        <w:rPr>
          <w:sz w:val="28"/>
        </w:rPr>
      </w:pPr>
      <w:r w:rsidRPr="00AD1F92">
        <w:rPr>
          <w:sz w:val="28"/>
        </w:rPr>
        <w:t>Contents</w:t>
      </w:r>
    </w:p>
    <w:p w14:paraId="51CAC0B7" w14:textId="01390F1A" w:rsidR="0017527C" w:rsidRPr="00AD1F92" w:rsidRDefault="0017527C" w:rsidP="005F5ED5">
      <w:pPr>
        <w:pStyle w:val="RegHChG"/>
        <w:numPr>
          <w:ilvl w:val="0"/>
          <w:numId w:val="0"/>
        </w:numPr>
        <w:ind w:left="1135" w:hanging="454"/>
      </w:pPr>
      <w:r w:rsidRPr="00AD1F92">
        <w:t>Decisions adopted</w:t>
      </w:r>
      <w:r w:rsidR="005B7914" w:rsidRPr="00AD1F92">
        <w:t xml:space="preserve"> by the Conference of the Parties serving as the meeting of the Parties to the Kyoto Protocol</w:t>
      </w:r>
    </w:p>
    <w:p w14:paraId="19233D05" w14:textId="317231A3" w:rsidR="00150EDA" w:rsidRPr="00AD1F92" w:rsidRDefault="00D1639B" w:rsidP="00D1639B">
      <w:pPr>
        <w:tabs>
          <w:tab w:val="right" w:pos="9638"/>
        </w:tabs>
        <w:spacing w:after="120"/>
        <w:ind w:left="1134"/>
      </w:pPr>
      <w:r w:rsidRPr="00AD1F92">
        <w:rPr>
          <w:i/>
        </w:rPr>
        <w:t>Decision</w:t>
      </w:r>
      <w:r w:rsidR="00150EDA" w:rsidRPr="00AD1F92">
        <w:rPr>
          <w:i/>
        </w:rPr>
        <w:tab/>
        <w:t>Page</w:t>
      </w:r>
    </w:p>
    <w:p w14:paraId="0FB43267" w14:textId="00B41E8E" w:rsidR="004C5D4C" w:rsidRPr="00AD1F92" w:rsidRDefault="00000000" w:rsidP="001F6233">
      <w:pPr>
        <w:pStyle w:val="TOC1"/>
        <w:tabs>
          <w:tab w:val="clear" w:pos="9356"/>
          <w:tab w:val="right" w:pos="9639"/>
        </w:tabs>
        <w:ind w:left="1134" w:right="0" w:firstLine="0"/>
      </w:pPr>
      <w:hyperlink w:anchor="decision1_cmp19" w:history="1">
        <w:r w:rsidR="00150EDA" w:rsidRPr="00AD1F92">
          <w:rPr>
            <w:rStyle w:val="Hyperlink"/>
            <w:noProof w:val="0"/>
          </w:rPr>
          <w:t>1/CMP.19</w:t>
        </w:r>
      </w:hyperlink>
      <w:r w:rsidR="00FB7D06" w:rsidRPr="00AD1F92">
        <w:tab/>
        <w:t>Guidance relating to the clean development mechanism</w:t>
      </w:r>
      <w:r w:rsidR="00EE727C" w:rsidRPr="00AD1F92">
        <w:tab/>
      </w:r>
      <w:r w:rsidR="004C5D4C" w:rsidRPr="00AD1F92">
        <w:tab/>
      </w:r>
      <w:r w:rsidR="004919FC" w:rsidRPr="00AD1F92">
        <w:t>2</w:t>
      </w:r>
    </w:p>
    <w:p w14:paraId="1BF9E1F6" w14:textId="0232EE1A" w:rsidR="00E32B6E" w:rsidRPr="00AD1F92" w:rsidRDefault="00000000" w:rsidP="001F6233">
      <w:pPr>
        <w:pStyle w:val="TOC1"/>
        <w:tabs>
          <w:tab w:val="clear" w:pos="9356"/>
          <w:tab w:val="right" w:pos="9639"/>
        </w:tabs>
        <w:ind w:left="1134" w:right="0" w:firstLine="0"/>
      </w:pPr>
      <w:hyperlink w:anchor="decision2_cmp19" w:history="1">
        <w:r w:rsidR="00EB1AE2" w:rsidRPr="00AD1F92">
          <w:rPr>
            <w:rStyle w:val="Hyperlink"/>
            <w:noProof w:val="0"/>
          </w:rPr>
          <w:t>2/CMP.19</w:t>
        </w:r>
      </w:hyperlink>
      <w:r w:rsidR="00EB1AE2" w:rsidRPr="00AD1F92">
        <w:tab/>
      </w:r>
      <w:r w:rsidR="0038280A" w:rsidRPr="00AD1F92">
        <w:t>Matters relating to the Adaptation Fund</w:t>
      </w:r>
      <w:r w:rsidR="00DD7D1A" w:rsidRPr="00AD1F92">
        <w:tab/>
      </w:r>
      <w:r w:rsidR="004C5D4C" w:rsidRPr="00AD1F92">
        <w:tab/>
      </w:r>
      <w:r w:rsidR="004919FC" w:rsidRPr="00AD1F92">
        <w:t>4</w:t>
      </w:r>
    </w:p>
    <w:p w14:paraId="05532932" w14:textId="4ABD7F23" w:rsidR="00E32B6E" w:rsidRPr="00AD1F92" w:rsidRDefault="00000000" w:rsidP="001F6233">
      <w:pPr>
        <w:pStyle w:val="TOC1"/>
        <w:tabs>
          <w:tab w:val="clear" w:pos="9356"/>
          <w:tab w:val="right" w:pos="9639"/>
        </w:tabs>
        <w:ind w:left="1134" w:right="0" w:firstLine="0"/>
      </w:pPr>
      <w:hyperlink w:anchor="decision3_cmp19" w:history="1">
        <w:r w:rsidR="00DD7D1A" w:rsidRPr="00AD1F92">
          <w:rPr>
            <w:rStyle w:val="Hyperlink"/>
            <w:noProof w:val="0"/>
          </w:rPr>
          <w:t>3/CMP.19</w:t>
        </w:r>
      </w:hyperlink>
      <w:r w:rsidR="00DD7D1A" w:rsidRPr="00AD1F92">
        <w:tab/>
        <w:t>Matters relat</w:t>
      </w:r>
      <w:r w:rsidR="00A000C4" w:rsidRPr="00AD1F92">
        <w:t xml:space="preserve">ing </w:t>
      </w:r>
      <w:r w:rsidR="00DD7D1A" w:rsidRPr="00AD1F92">
        <w:t>to the</w:t>
      </w:r>
      <w:r w:rsidR="00A0687D" w:rsidRPr="00AD1F92">
        <w:t xml:space="preserve"> impacts of the</w:t>
      </w:r>
      <w:r w:rsidR="007667E1" w:rsidRPr="00AD1F92">
        <w:t xml:space="preserve"> implementation of response measures</w:t>
      </w:r>
      <w:r w:rsidR="007667E1" w:rsidRPr="00AD1F92">
        <w:tab/>
      </w:r>
      <w:r w:rsidR="00E32B6E" w:rsidRPr="00AD1F92">
        <w:tab/>
      </w:r>
      <w:r w:rsidR="004919FC" w:rsidRPr="00AD1F92">
        <w:t>7</w:t>
      </w:r>
    </w:p>
    <w:p w14:paraId="2FE10369" w14:textId="701BCBC1" w:rsidR="00E32B6E" w:rsidRPr="00AD1F92" w:rsidRDefault="00000000" w:rsidP="001F6233">
      <w:pPr>
        <w:pStyle w:val="TOC1"/>
        <w:tabs>
          <w:tab w:val="clear" w:pos="9356"/>
          <w:tab w:val="right" w:pos="9639"/>
        </w:tabs>
        <w:ind w:left="1134" w:right="0" w:firstLine="0"/>
      </w:pPr>
      <w:hyperlink w:anchor="decision4_cmp19" w:history="1">
        <w:r w:rsidR="007667E1" w:rsidRPr="00AD1F92">
          <w:rPr>
            <w:rStyle w:val="Hyperlink"/>
            <w:noProof w:val="0"/>
          </w:rPr>
          <w:t>4/CMP.19</w:t>
        </w:r>
      </w:hyperlink>
      <w:r w:rsidR="007667E1" w:rsidRPr="00AD1F92">
        <w:tab/>
        <w:t>Administrative, financial and institutional matters</w:t>
      </w:r>
      <w:r w:rsidR="007667E1" w:rsidRPr="00AD1F92">
        <w:tab/>
      </w:r>
      <w:r w:rsidR="00E32B6E" w:rsidRPr="00AD1F92">
        <w:tab/>
      </w:r>
      <w:r w:rsidR="00D941DD" w:rsidRPr="00AD1F92">
        <w:t>1</w:t>
      </w:r>
      <w:r w:rsidR="004919FC" w:rsidRPr="00AD1F92">
        <w:t>4</w:t>
      </w:r>
    </w:p>
    <w:p w14:paraId="52A2EFD2" w14:textId="6618B31A" w:rsidR="00EB1AE2" w:rsidRPr="00AD1F92" w:rsidRDefault="00000000" w:rsidP="001F6233">
      <w:pPr>
        <w:pStyle w:val="TOC1"/>
        <w:tabs>
          <w:tab w:val="clear" w:pos="9356"/>
          <w:tab w:val="right" w:pos="9639"/>
        </w:tabs>
        <w:ind w:left="1134" w:right="0" w:firstLine="0"/>
      </w:pPr>
      <w:hyperlink w:anchor="decision5_cmp19" w:history="1">
        <w:r w:rsidR="007667E1" w:rsidRPr="00AD1F92">
          <w:rPr>
            <w:rStyle w:val="Hyperlink"/>
            <w:noProof w:val="0"/>
          </w:rPr>
          <w:t>5/CMP.19</w:t>
        </w:r>
      </w:hyperlink>
      <w:r w:rsidR="007667E1" w:rsidRPr="00AD1F92">
        <w:tab/>
        <w:t>Administrative, financial and institutional matters</w:t>
      </w:r>
      <w:r w:rsidR="007667E1" w:rsidRPr="00AD1F92">
        <w:tab/>
      </w:r>
      <w:r w:rsidR="00E32B6E" w:rsidRPr="00AD1F92">
        <w:tab/>
      </w:r>
      <w:r w:rsidR="00D941DD" w:rsidRPr="00AD1F92">
        <w:t>1</w:t>
      </w:r>
      <w:r w:rsidR="004919FC" w:rsidRPr="00AD1F92">
        <w:t>6</w:t>
      </w:r>
    </w:p>
    <w:p w14:paraId="1996F164" w14:textId="335DE7C5" w:rsidR="00CB42E1" w:rsidRPr="00AD1F92" w:rsidRDefault="00CB42E1" w:rsidP="00EE727C">
      <w:pPr>
        <w:tabs>
          <w:tab w:val="right" w:pos="850"/>
          <w:tab w:val="left" w:pos="1134"/>
          <w:tab w:val="left" w:pos="1559"/>
          <w:tab w:val="left" w:pos="2268"/>
          <w:tab w:val="center" w:leader="dot" w:pos="9638"/>
        </w:tabs>
        <w:spacing w:after="120"/>
        <w:ind w:left="1134"/>
        <w:rPr>
          <w:i/>
        </w:rPr>
      </w:pPr>
      <w:r w:rsidRPr="00AD1F92">
        <w:rPr>
          <w:i/>
        </w:rPr>
        <w:t>Resolution</w:t>
      </w:r>
    </w:p>
    <w:p w14:paraId="14C60C07" w14:textId="75C7582F" w:rsidR="00802E2E" w:rsidRPr="00AD1F92" w:rsidRDefault="00000000" w:rsidP="001F6233">
      <w:pPr>
        <w:pStyle w:val="TOC1"/>
        <w:tabs>
          <w:tab w:val="clear" w:pos="9356"/>
          <w:tab w:val="right" w:pos="9639"/>
        </w:tabs>
        <w:ind w:right="0" w:hanging="1134"/>
      </w:pPr>
      <w:hyperlink w:anchor="resolution1_cmp19" w:history="1">
        <w:r w:rsidR="00D44F51" w:rsidRPr="00AD1F92">
          <w:rPr>
            <w:rStyle w:val="Hyperlink"/>
            <w:iCs/>
            <w:noProof w:val="0"/>
          </w:rPr>
          <w:t>1/CMP.19</w:t>
        </w:r>
      </w:hyperlink>
      <w:r w:rsidR="007667E1" w:rsidRPr="00AD1F92">
        <w:tab/>
      </w:r>
      <w:r w:rsidR="000C413C" w:rsidRPr="00AD1F92">
        <w:t>Expression of gratitude to the Government of</w:t>
      </w:r>
      <w:r w:rsidR="001F6233">
        <w:br/>
      </w:r>
      <w:r w:rsidR="00D24FB7" w:rsidRPr="00AD1F92">
        <w:t>the Republic of</w:t>
      </w:r>
      <w:r w:rsidR="000C413C" w:rsidRPr="00AD1F92">
        <w:t xml:space="preserve"> Azerbaijan and the people of the </w:t>
      </w:r>
      <w:r w:rsidR="003757BA" w:rsidRPr="00AD1F92">
        <w:t>city of Bak</w:t>
      </w:r>
      <w:r w:rsidR="007A4DD0" w:rsidRPr="00AD1F92">
        <w:t>u</w:t>
      </w:r>
      <w:r w:rsidR="00175444" w:rsidRPr="00AD1F92">
        <w:tab/>
      </w:r>
      <w:r w:rsidR="00E32B6E" w:rsidRPr="00AD1F92">
        <w:tab/>
      </w:r>
      <w:r w:rsidR="00D941DD" w:rsidRPr="00AD1F92">
        <w:t>1</w:t>
      </w:r>
      <w:r w:rsidR="004919FC" w:rsidRPr="00AD1F92">
        <w:t>7</w:t>
      </w:r>
    </w:p>
    <w:p w14:paraId="491ACFBD" w14:textId="5A0A0476" w:rsidR="00E64E04" w:rsidRPr="00AD1F92" w:rsidRDefault="00E64E04" w:rsidP="00E34E69">
      <w:pPr>
        <w:suppressAutoHyphens w:val="0"/>
        <w:spacing w:line="240" w:lineRule="auto"/>
      </w:pPr>
      <w:bookmarkStart w:id="2" w:name="_Toc184133526"/>
      <w:r w:rsidRPr="00AD1F92">
        <w:br w:type="page"/>
      </w:r>
    </w:p>
    <w:p w14:paraId="1F286697" w14:textId="6CEA6CB6" w:rsidR="00D840A5" w:rsidRPr="00AD1F92" w:rsidRDefault="00D840A5" w:rsidP="005F5ED5">
      <w:pPr>
        <w:pStyle w:val="RegHChG"/>
        <w:numPr>
          <w:ilvl w:val="0"/>
          <w:numId w:val="0"/>
        </w:numPr>
        <w:ind w:left="1134" w:hanging="454"/>
      </w:pPr>
      <w:bookmarkStart w:id="3" w:name="decision1_cmp19"/>
      <w:r w:rsidRPr="00AD1F92">
        <w:lastRenderedPageBreak/>
        <w:t xml:space="preserve">Decision </w:t>
      </w:r>
      <w:bookmarkStart w:id="4" w:name="OLE_LINK1"/>
      <w:r w:rsidRPr="00AD1F92">
        <w:t>1/CMP.19</w:t>
      </w:r>
      <w:bookmarkEnd w:id="2"/>
      <w:bookmarkEnd w:id="4"/>
    </w:p>
    <w:bookmarkEnd w:id="3"/>
    <w:p w14:paraId="1C32E700" w14:textId="0490A6F7" w:rsidR="00007264" w:rsidRPr="00AD1F92" w:rsidRDefault="00D840A5" w:rsidP="00D62E60">
      <w:pPr>
        <w:pStyle w:val="HChG"/>
        <w:ind w:firstLine="0"/>
      </w:pPr>
      <w:r w:rsidRPr="00AD1F92">
        <w:t>Guidance relating to the clean development mechanism</w:t>
      </w:r>
    </w:p>
    <w:p w14:paraId="67D4B4A7" w14:textId="77777777" w:rsidR="00007264" w:rsidRPr="00AD1F92" w:rsidRDefault="00007264" w:rsidP="00007264">
      <w:pPr>
        <w:pStyle w:val="RegSingleTxtG"/>
        <w:numPr>
          <w:ilvl w:val="0"/>
          <w:numId w:val="0"/>
        </w:numPr>
        <w:tabs>
          <w:tab w:val="clear" w:pos="1701"/>
        </w:tabs>
        <w:ind w:left="1134" w:firstLine="567"/>
      </w:pPr>
      <w:r w:rsidRPr="00AD1F92">
        <w:rPr>
          <w:rFonts w:eastAsia="Times New Roman"/>
          <w:i/>
          <w:iCs/>
        </w:rPr>
        <w:t>The Conference of the Parties serving as the meeting of the Parties to the Kyoto Protocol</w:t>
      </w:r>
      <w:r w:rsidRPr="00AD1F92">
        <w:rPr>
          <w:rFonts w:eastAsia="Times New Roman"/>
        </w:rPr>
        <w:t>,</w:t>
      </w:r>
    </w:p>
    <w:p w14:paraId="662359B6" w14:textId="77777777" w:rsidR="00007264" w:rsidRPr="00AD1F92" w:rsidRDefault="00007264" w:rsidP="00007264">
      <w:pPr>
        <w:pStyle w:val="RegSingleTxtG"/>
        <w:numPr>
          <w:ilvl w:val="0"/>
          <w:numId w:val="0"/>
        </w:numPr>
        <w:tabs>
          <w:tab w:val="clear" w:pos="1701"/>
        </w:tabs>
        <w:ind w:left="1134" w:firstLine="567"/>
        <w:rPr>
          <w:rFonts w:eastAsia="Times New Roman"/>
        </w:rPr>
      </w:pPr>
      <w:r w:rsidRPr="00AD1F92">
        <w:rPr>
          <w:rFonts w:eastAsia="Times New Roman"/>
          <w:i/>
          <w:iCs/>
        </w:rPr>
        <w:t>Recalling</w:t>
      </w:r>
      <w:r w:rsidRPr="00AD1F92">
        <w:rPr>
          <w:rFonts w:eastAsia="Times New Roman"/>
        </w:rPr>
        <w:t xml:space="preserve"> Articles 3 and 12 of the Kyoto Protocol,</w:t>
      </w:r>
    </w:p>
    <w:p w14:paraId="75357C4C" w14:textId="77777777" w:rsidR="00007264" w:rsidRPr="00AD1F92" w:rsidRDefault="00007264" w:rsidP="00007264">
      <w:pPr>
        <w:pStyle w:val="RegSingleTxtG"/>
        <w:numPr>
          <w:ilvl w:val="0"/>
          <w:numId w:val="0"/>
        </w:numPr>
        <w:tabs>
          <w:tab w:val="clear" w:pos="1701"/>
        </w:tabs>
        <w:ind w:left="1134" w:firstLine="567"/>
        <w:rPr>
          <w:rFonts w:eastAsia="Times New Roman"/>
        </w:rPr>
      </w:pPr>
      <w:r w:rsidRPr="00AD1F92">
        <w:rPr>
          <w:rFonts w:eastAsia="Times New Roman"/>
          <w:i/>
          <w:iCs/>
        </w:rPr>
        <w:t>Also recalling</w:t>
      </w:r>
      <w:r w:rsidRPr="00AD1F92">
        <w:rPr>
          <w:rFonts w:eastAsia="Times New Roman"/>
        </w:rPr>
        <w:t xml:space="preserve"> that participation in a clean development mechanism project activity is voluntary,</w:t>
      </w:r>
      <w:r w:rsidRPr="00AD1F92">
        <w:rPr>
          <w:rStyle w:val="FootnoteReference"/>
          <w:rFonts w:eastAsia="Times New Roman"/>
        </w:rPr>
        <w:footnoteReference w:id="2"/>
      </w:r>
    </w:p>
    <w:p w14:paraId="1FEE6001" w14:textId="3E7B71A6" w:rsidR="00007264" w:rsidRPr="00AD1F92" w:rsidRDefault="00007264" w:rsidP="00007264">
      <w:pPr>
        <w:pStyle w:val="RegSingleTxtG"/>
        <w:numPr>
          <w:ilvl w:val="0"/>
          <w:numId w:val="0"/>
        </w:numPr>
        <w:tabs>
          <w:tab w:val="clear" w:pos="1701"/>
        </w:tabs>
        <w:ind w:left="1134" w:firstLine="567"/>
        <w:rPr>
          <w:rFonts w:eastAsia="Times New Roman"/>
        </w:rPr>
      </w:pPr>
      <w:r w:rsidRPr="00AD1F92">
        <w:rPr>
          <w:rFonts w:eastAsia="Times New Roman"/>
          <w:i/>
          <w:iCs/>
        </w:rPr>
        <w:t>Further recalling</w:t>
      </w:r>
      <w:r w:rsidRPr="00AD1F92">
        <w:rPr>
          <w:rFonts w:eastAsia="Times New Roman"/>
        </w:rPr>
        <w:t xml:space="preserve"> decision </w:t>
      </w:r>
      <w:hyperlink r:id="rId15" w:history="1">
        <w:r w:rsidRPr="00AD1F92">
          <w:rPr>
            <w:rStyle w:val="Hyperlink"/>
            <w:rFonts w:eastAsia="Times New Roman"/>
          </w:rPr>
          <w:t>3/CMP.1</w:t>
        </w:r>
      </w:hyperlink>
      <w:r w:rsidRPr="00AD1F92">
        <w:rPr>
          <w:rFonts w:eastAsia="Times New Roman"/>
        </w:rPr>
        <w:t xml:space="preserve"> and subsequent guidance provided by the Conference of the Parties serving as the meeting of the Parties to the Kyoto Protocol relating to the clean development mechanism,</w:t>
      </w:r>
    </w:p>
    <w:p w14:paraId="16E5CB86" w14:textId="77777777" w:rsidR="00007264" w:rsidRPr="00AD1F92" w:rsidRDefault="00007264" w:rsidP="00007264">
      <w:pPr>
        <w:pStyle w:val="RegSingleTxtG"/>
        <w:numPr>
          <w:ilvl w:val="0"/>
          <w:numId w:val="0"/>
        </w:numPr>
        <w:tabs>
          <w:tab w:val="clear" w:pos="1701"/>
        </w:tabs>
        <w:ind w:left="1134" w:firstLine="567"/>
        <w:rPr>
          <w:rFonts w:eastAsia="Times New Roman"/>
        </w:rPr>
      </w:pPr>
      <w:r w:rsidRPr="00AD1F92">
        <w:rPr>
          <w:rFonts w:eastAsia="Times New Roman"/>
          <w:i/>
          <w:iCs/>
        </w:rPr>
        <w:t>Acknowledging</w:t>
      </w:r>
      <w:r w:rsidRPr="00AD1F92">
        <w:rPr>
          <w:rFonts w:eastAsia="Times New Roman"/>
        </w:rPr>
        <w:t xml:space="preserve"> the contribution to global efforts to address climate change of the clean development mechanism, which as at 18 November 2024 was responsible for 7,837</w:t>
      </w:r>
      <w:r w:rsidRPr="00AD1F92">
        <w:rPr>
          <w:rStyle w:val="FootnoteReference"/>
          <w:rFonts w:eastAsia="Times New Roman"/>
        </w:rPr>
        <w:footnoteReference w:id="3"/>
      </w:r>
      <w:r w:rsidRPr="00AD1F92">
        <w:rPr>
          <w:rFonts w:eastAsia="Times New Roman"/>
        </w:rPr>
        <w:t xml:space="preserve"> project activities being registered, 353</w:t>
      </w:r>
      <w:r w:rsidRPr="00AD1F92">
        <w:rPr>
          <w:rStyle w:val="FootnoteReference"/>
          <w:rFonts w:eastAsia="Times New Roman"/>
        </w:rPr>
        <w:footnoteReference w:id="4"/>
      </w:r>
      <w:r w:rsidRPr="00AD1F92">
        <w:rPr>
          <w:rFonts w:eastAsia="Times New Roman"/>
        </w:rPr>
        <w:t xml:space="preserve"> programmes of activities being registered and more than 2,450 million certified emission reductions being issued, of which more than 179 million had been voluntarily cancelled either in national registries or in the clean development mechanism registry,</w:t>
      </w:r>
    </w:p>
    <w:p w14:paraId="6F418BBF" w14:textId="6BB2E3AC" w:rsidR="003A3281" w:rsidRPr="00AD1F92" w:rsidRDefault="00007264" w:rsidP="00AA0BFB">
      <w:pPr>
        <w:pStyle w:val="RegSingleTxtG"/>
        <w:numPr>
          <w:ilvl w:val="0"/>
          <w:numId w:val="0"/>
        </w:numPr>
        <w:tabs>
          <w:tab w:val="clear" w:pos="1701"/>
        </w:tabs>
        <w:ind w:left="1134" w:firstLine="567"/>
        <w:rPr>
          <w:rFonts w:eastAsia="Times New Roman"/>
        </w:rPr>
      </w:pPr>
      <w:r w:rsidRPr="00AD1F92">
        <w:rPr>
          <w:rFonts w:eastAsia="Times New Roman"/>
          <w:i/>
          <w:iCs/>
        </w:rPr>
        <w:t xml:space="preserve">Cognizant </w:t>
      </w:r>
      <w:r w:rsidRPr="00AD1F92">
        <w:rPr>
          <w:rFonts w:eastAsia="Times New Roman"/>
          <w:i/>
        </w:rPr>
        <w:t>of</w:t>
      </w:r>
      <w:r w:rsidRPr="00AD1F92">
        <w:rPr>
          <w:rFonts w:eastAsia="Times New Roman"/>
        </w:rPr>
        <w:t xml:space="preserve"> decisions </w:t>
      </w:r>
      <w:hyperlink r:id="rId16" w:history="1">
        <w:r w:rsidRPr="00AD1F92">
          <w:rPr>
            <w:rStyle w:val="Hyperlink"/>
            <w:rFonts w:eastAsia="Times New Roman"/>
          </w:rPr>
          <w:t>2/CMP.17</w:t>
        </w:r>
      </w:hyperlink>
      <w:r w:rsidRPr="00AD1F92">
        <w:rPr>
          <w:rFonts w:eastAsia="Times New Roman"/>
        </w:rPr>
        <w:t xml:space="preserve"> and </w:t>
      </w:r>
      <w:hyperlink r:id="rId17" w:history="1">
        <w:r w:rsidRPr="00AD1F92">
          <w:rPr>
            <w:rStyle w:val="Hyperlink"/>
            <w:rFonts w:eastAsia="Times New Roman"/>
          </w:rPr>
          <w:t>1/CMP.18</w:t>
        </w:r>
      </w:hyperlink>
      <w:r w:rsidRPr="00AD1F92">
        <w:rPr>
          <w:rFonts w:eastAsia="Times New Roman"/>
        </w:rPr>
        <w:t xml:space="preserve"> and their annexes,</w:t>
      </w:r>
    </w:p>
    <w:p w14:paraId="6DB9CFE0" w14:textId="47D04264" w:rsidR="00007264" w:rsidRPr="00AD1F92" w:rsidRDefault="005F5ED5" w:rsidP="005F5ED5">
      <w:pPr>
        <w:pStyle w:val="RegSingleTxtG"/>
        <w:numPr>
          <w:ilvl w:val="0"/>
          <w:numId w:val="0"/>
        </w:numPr>
        <w:tabs>
          <w:tab w:val="clear" w:pos="1701"/>
        </w:tabs>
        <w:ind w:left="1134"/>
      </w:pPr>
      <w:r w:rsidRPr="00AD1F92">
        <w:t>1.</w:t>
      </w:r>
      <w:r w:rsidRPr="00AD1F92">
        <w:tab/>
      </w:r>
      <w:r w:rsidR="00007264" w:rsidRPr="00AD1F92">
        <w:rPr>
          <w:i/>
          <w:iCs/>
        </w:rPr>
        <w:t>Welcomes</w:t>
      </w:r>
      <w:r w:rsidR="00007264" w:rsidRPr="00AD1F92">
        <w:t xml:space="preserve"> the annual report of the Executive Board of the clean development mechanism to the Conference of the Parties serving as the meeting of the Parties to the Kyoto Protocol;</w:t>
      </w:r>
      <w:r w:rsidR="00007264" w:rsidRPr="00AD1F92">
        <w:rPr>
          <w:rStyle w:val="FootnoteReference"/>
        </w:rPr>
        <w:footnoteReference w:id="5"/>
      </w:r>
    </w:p>
    <w:p w14:paraId="0C68C4A8" w14:textId="3B0EF4C0" w:rsidR="00007264" w:rsidRPr="00AD1F92" w:rsidRDefault="005F5ED5" w:rsidP="005F5ED5">
      <w:pPr>
        <w:pStyle w:val="RegSingleTxtG"/>
        <w:numPr>
          <w:ilvl w:val="0"/>
          <w:numId w:val="0"/>
        </w:numPr>
        <w:tabs>
          <w:tab w:val="clear" w:pos="1701"/>
        </w:tabs>
        <w:ind w:left="1134"/>
      </w:pPr>
      <w:r w:rsidRPr="00AD1F92">
        <w:t>2.</w:t>
      </w:r>
      <w:r w:rsidRPr="00AD1F92">
        <w:tab/>
      </w:r>
      <w:r w:rsidR="00007264" w:rsidRPr="00AD1F92">
        <w:rPr>
          <w:i/>
          <w:iCs/>
        </w:rPr>
        <w:t>Takes note</w:t>
      </w:r>
      <w:r w:rsidR="00007264" w:rsidRPr="00AD1F92">
        <w:t xml:space="preserve"> of the work undertaken from 28 September 2023 to 7 November 2024 by the Executive Board, its panels and the secretariat in overseeing the implementation of the clean development mechanism and maintaining stakeholder engagement in its </w:t>
      </w:r>
      <w:proofErr w:type="gramStart"/>
      <w:r w:rsidR="00007264" w:rsidRPr="00AD1F92">
        <w:t>operations;</w:t>
      </w:r>
      <w:proofErr w:type="gramEnd"/>
    </w:p>
    <w:p w14:paraId="2A4D134F" w14:textId="6B446CCD" w:rsidR="00007264" w:rsidRPr="00AD1F92" w:rsidRDefault="005F5ED5" w:rsidP="005F5ED5">
      <w:pPr>
        <w:pStyle w:val="RegSingleTxtG"/>
        <w:numPr>
          <w:ilvl w:val="0"/>
          <w:numId w:val="0"/>
        </w:numPr>
        <w:tabs>
          <w:tab w:val="clear" w:pos="1701"/>
        </w:tabs>
        <w:ind w:left="1134"/>
      </w:pPr>
      <w:r w:rsidRPr="00AD1F92">
        <w:t>3.</w:t>
      </w:r>
      <w:r w:rsidRPr="00AD1F92">
        <w:tab/>
      </w:r>
      <w:r w:rsidR="00007264" w:rsidRPr="00AD1F92">
        <w:rPr>
          <w:i/>
          <w:iCs/>
        </w:rPr>
        <w:t>Designates</w:t>
      </w:r>
      <w:r w:rsidR="00007264" w:rsidRPr="00AD1F92">
        <w:t xml:space="preserve"> as operational entities those entities that have been accredited and provisionally designated as such by the Executive Board to carry out sectoral scope-specific validation and/or verification functions as set out in the </w:t>
      </w:r>
      <w:proofErr w:type="gramStart"/>
      <w:r w:rsidR="00007264" w:rsidRPr="00AD1F92">
        <w:t>annex;</w:t>
      </w:r>
      <w:proofErr w:type="gramEnd"/>
    </w:p>
    <w:p w14:paraId="69EA92F7" w14:textId="7377BBC7" w:rsidR="00007264" w:rsidRPr="00AD1F92" w:rsidRDefault="005F5ED5" w:rsidP="005F5ED5">
      <w:pPr>
        <w:pStyle w:val="RegSingleTxtG"/>
        <w:numPr>
          <w:ilvl w:val="0"/>
          <w:numId w:val="0"/>
        </w:numPr>
        <w:tabs>
          <w:tab w:val="clear" w:pos="1701"/>
        </w:tabs>
        <w:ind w:left="1134"/>
        <w:rPr>
          <w:bCs/>
        </w:rPr>
      </w:pPr>
      <w:bookmarkStart w:id="5" w:name="_Ref152954648"/>
      <w:r w:rsidRPr="00AD1F92">
        <w:rPr>
          <w:bCs/>
        </w:rPr>
        <w:t>4.</w:t>
      </w:r>
      <w:r w:rsidRPr="00AD1F92">
        <w:rPr>
          <w:bCs/>
        </w:rPr>
        <w:tab/>
      </w:r>
      <w:r w:rsidR="00007264" w:rsidRPr="00AD1F92">
        <w:rPr>
          <w:bCs/>
          <w:i/>
          <w:iCs/>
        </w:rPr>
        <w:t xml:space="preserve">Takes note </w:t>
      </w:r>
      <w:r w:rsidR="00007264" w:rsidRPr="00AD1F92">
        <w:rPr>
          <w:bCs/>
        </w:rPr>
        <w:t xml:space="preserve">of the progress made by the </w:t>
      </w:r>
      <w:r w:rsidR="00007264" w:rsidRPr="00AD1F92">
        <w:t xml:space="preserve">Executive Board in addressing the issue of </w:t>
      </w:r>
      <w:r w:rsidR="00007264" w:rsidRPr="00AD1F92">
        <w:rPr>
          <w:bCs/>
        </w:rPr>
        <w:t xml:space="preserve">non-responsive designated national authorities of Parties to the Kyoto Protocol and </w:t>
      </w:r>
      <w:r w:rsidR="00007264" w:rsidRPr="00AD1F92">
        <w:rPr>
          <w:bCs/>
          <w:i/>
          <w:iCs/>
        </w:rPr>
        <w:t>requests</w:t>
      </w:r>
      <w:r w:rsidR="00007264" w:rsidRPr="00AD1F92">
        <w:rPr>
          <w:bCs/>
        </w:rPr>
        <w:t xml:space="preserve"> the </w:t>
      </w:r>
      <w:r w:rsidR="00007264" w:rsidRPr="00AD1F92">
        <w:t xml:space="preserve">Executive Board to continue following up with non-responsive </w:t>
      </w:r>
      <w:r w:rsidR="00007264" w:rsidRPr="00AD1F92">
        <w:rPr>
          <w:bCs/>
        </w:rPr>
        <w:t xml:space="preserve">designated national authorities as per the </w:t>
      </w:r>
      <w:r w:rsidR="00007264" w:rsidRPr="00AD1F92">
        <w:t xml:space="preserve">approach established by the Board, as </w:t>
      </w:r>
      <w:proofErr w:type="gramStart"/>
      <w:r w:rsidR="00007264" w:rsidRPr="00AD1F92">
        <w:t>necessary</w:t>
      </w:r>
      <w:r w:rsidR="00007264" w:rsidRPr="00AD1F92">
        <w:rPr>
          <w:bCs/>
        </w:rPr>
        <w:t>;</w:t>
      </w:r>
      <w:proofErr w:type="gramEnd"/>
    </w:p>
    <w:p w14:paraId="79BB6F67" w14:textId="711FFE9D" w:rsidR="0028672C" w:rsidRPr="00AD1F92" w:rsidRDefault="005F5ED5" w:rsidP="005F5ED5">
      <w:pPr>
        <w:pStyle w:val="RegSingleTxtG"/>
        <w:numPr>
          <w:ilvl w:val="0"/>
          <w:numId w:val="0"/>
        </w:numPr>
        <w:tabs>
          <w:tab w:val="clear" w:pos="1701"/>
        </w:tabs>
        <w:ind w:left="1134"/>
        <w:rPr>
          <w:bCs/>
        </w:rPr>
      </w:pPr>
      <w:r w:rsidRPr="00AD1F92">
        <w:rPr>
          <w:bCs/>
        </w:rPr>
        <w:t>5.</w:t>
      </w:r>
      <w:r w:rsidRPr="00AD1F92">
        <w:rPr>
          <w:bCs/>
        </w:rPr>
        <w:tab/>
      </w:r>
      <w:r w:rsidR="000973BA" w:rsidRPr="00AD1F92">
        <w:rPr>
          <w:i/>
          <w:iCs/>
        </w:rPr>
        <w:t>Welcomes</w:t>
      </w:r>
      <w:r w:rsidR="000973BA" w:rsidRPr="00AD1F92">
        <w:t xml:space="preserve"> the adoption by the Executive Board</w:t>
      </w:r>
      <w:r w:rsidR="000973BA" w:rsidRPr="00AD1F92">
        <w:rPr>
          <w:rStyle w:val="FootnoteReference"/>
        </w:rPr>
        <w:footnoteReference w:id="6"/>
      </w:r>
      <w:r w:rsidR="000973BA" w:rsidRPr="00AD1F92">
        <w:t xml:space="preserve"> of the procedure for submitting requests for transferring </w:t>
      </w:r>
      <w:r w:rsidR="000973BA" w:rsidRPr="00AD1F92">
        <w:rPr>
          <w:rFonts w:eastAsia="Times New Roman"/>
        </w:rPr>
        <w:t>certified emission reduction</w:t>
      </w:r>
      <w:r w:rsidR="000973BA" w:rsidRPr="00AD1F92">
        <w:t xml:space="preserve">s in accordance with paragraph 11 of decision </w:t>
      </w:r>
      <w:hyperlink r:id="rId18" w:history="1">
        <w:r w:rsidR="000973BA" w:rsidRPr="00AD1F92">
          <w:rPr>
            <w:rStyle w:val="Hyperlink"/>
          </w:rPr>
          <w:t>2/CMP.17</w:t>
        </w:r>
      </w:hyperlink>
      <w:r w:rsidR="000973BA" w:rsidRPr="00AD1F92">
        <w:t>.</w:t>
      </w:r>
      <w:r w:rsidR="005D7ADA" w:rsidRPr="00AD1F92">
        <w:t xml:space="preserve"> </w:t>
      </w:r>
    </w:p>
    <w:p w14:paraId="3A0822F2" w14:textId="77777777" w:rsidR="00484FBD" w:rsidRPr="00AD1F92" w:rsidRDefault="00484FBD" w:rsidP="006B488B">
      <w:pPr>
        <w:pStyle w:val="HChG"/>
        <w:ind w:left="0" w:firstLine="0"/>
      </w:pPr>
      <w:r w:rsidRPr="00AD1F92">
        <w:br w:type="page"/>
      </w:r>
    </w:p>
    <w:p w14:paraId="481D483E" w14:textId="215AF8D1" w:rsidR="00862151" w:rsidRPr="00AD1F92" w:rsidRDefault="00862151" w:rsidP="006B488B">
      <w:pPr>
        <w:pStyle w:val="HChG"/>
        <w:ind w:left="0" w:firstLine="0"/>
      </w:pPr>
      <w:r w:rsidRPr="00AD1F92">
        <w:lastRenderedPageBreak/>
        <w:t xml:space="preserve">Annex </w:t>
      </w:r>
    </w:p>
    <w:p w14:paraId="26695F79" w14:textId="77777777" w:rsidR="00862151" w:rsidRPr="00AD1F92" w:rsidRDefault="00862151" w:rsidP="00862151">
      <w:pPr>
        <w:pStyle w:val="HChG"/>
        <w:tabs>
          <w:tab w:val="clear" w:pos="851"/>
        </w:tabs>
        <w:ind w:firstLine="0"/>
      </w:pPr>
      <w:r w:rsidRPr="00AD1F92">
        <w:t>Entities accredited and provisionally designated by the Executive Board of the clean development mechanism</w:t>
      </w:r>
    </w:p>
    <w:p w14:paraId="33805C7B" w14:textId="77777777" w:rsidR="00862151" w:rsidRPr="00AD1F92" w:rsidRDefault="00862151" w:rsidP="00862151">
      <w:pPr>
        <w:spacing w:after="240"/>
        <w:ind w:right="1133"/>
        <w:jc w:val="right"/>
      </w:pPr>
      <w:r w:rsidRPr="00AD1F92">
        <w:t>[English only]</w:t>
      </w:r>
    </w:p>
    <w:tbl>
      <w:tblPr>
        <w:tblW w:w="7370" w:type="dxa"/>
        <w:tblInd w:w="1134" w:type="dxa"/>
        <w:tblBorders>
          <w:top w:val="single" w:sz="4" w:space="0" w:color="auto"/>
        </w:tblBorders>
        <w:tblCellMar>
          <w:left w:w="0" w:type="dxa"/>
          <w:right w:w="0" w:type="dxa"/>
        </w:tblCellMar>
        <w:tblLook w:val="04A0" w:firstRow="1" w:lastRow="0" w:firstColumn="1" w:lastColumn="0" w:noHBand="0" w:noVBand="1"/>
      </w:tblPr>
      <w:tblGrid>
        <w:gridCol w:w="5244"/>
        <w:gridCol w:w="2126"/>
      </w:tblGrid>
      <w:tr w:rsidR="00862151" w:rsidRPr="00AD1F92" w14:paraId="665B98B7" w14:textId="77777777">
        <w:trPr>
          <w:cantSplit/>
          <w:trHeight w:val="17"/>
          <w:tblHeader/>
        </w:trPr>
        <w:tc>
          <w:tcPr>
            <w:tcW w:w="3558" w:type="pct"/>
            <w:tcBorders>
              <w:top w:val="single" w:sz="4" w:space="0" w:color="auto"/>
              <w:bottom w:val="single" w:sz="12" w:space="0" w:color="auto"/>
            </w:tcBorders>
            <w:shd w:val="clear" w:color="auto" w:fill="auto"/>
            <w:tcMar>
              <w:top w:w="0" w:type="dxa"/>
              <w:bottom w:w="0" w:type="dxa"/>
            </w:tcMar>
            <w:vAlign w:val="bottom"/>
          </w:tcPr>
          <w:p w14:paraId="5E68A503" w14:textId="77777777" w:rsidR="00862151" w:rsidRPr="00AD1F92" w:rsidRDefault="00862151">
            <w:pPr>
              <w:suppressAutoHyphens w:val="0"/>
              <w:spacing w:before="40" w:after="40" w:line="180" w:lineRule="exact"/>
              <w:ind w:right="113"/>
              <w:rPr>
                <w:i/>
                <w:sz w:val="16"/>
                <w:szCs w:val="16"/>
              </w:rPr>
            </w:pPr>
            <w:r w:rsidRPr="00AD1F92">
              <w:rPr>
                <w:i/>
                <w:sz w:val="16"/>
                <w:szCs w:val="16"/>
              </w:rPr>
              <w:t>Name of entity</w:t>
            </w:r>
          </w:p>
        </w:tc>
        <w:tc>
          <w:tcPr>
            <w:tcW w:w="1442" w:type="pct"/>
            <w:tcBorders>
              <w:top w:val="single" w:sz="4" w:space="0" w:color="auto"/>
              <w:bottom w:val="single" w:sz="12" w:space="0" w:color="auto"/>
            </w:tcBorders>
            <w:shd w:val="clear" w:color="auto" w:fill="auto"/>
            <w:tcMar>
              <w:top w:w="0" w:type="dxa"/>
              <w:bottom w:w="0" w:type="dxa"/>
            </w:tcMar>
            <w:vAlign w:val="bottom"/>
          </w:tcPr>
          <w:p w14:paraId="6F8F451F" w14:textId="77777777" w:rsidR="00862151" w:rsidRPr="00AD1F92" w:rsidRDefault="00862151">
            <w:pPr>
              <w:suppressAutoHyphens w:val="0"/>
              <w:spacing w:before="40" w:after="40" w:line="180" w:lineRule="exact"/>
              <w:ind w:left="113" w:right="113"/>
              <w:jc w:val="right"/>
              <w:rPr>
                <w:i/>
                <w:sz w:val="16"/>
                <w:szCs w:val="16"/>
              </w:rPr>
            </w:pPr>
            <w:r w:rsidRPr="00AD1F92">
              <w:rPr>
                <w:i/>
                <w:sz w:val="16"/>
                <w:szCs w:val="16"/>
              </w:rPr>
              <w:t>Sectoral scopes (validation and verification)</w:t>
            </w:r>
          </w:p>
        </w:tc>
      </w:tr>
      <w:tr w:rsidR="00862151" w:rsidRPr="00AD1F92" w14:paraId="33CE3735" w14:textId="77777777">
        <w:trPr>
          <w:cantSplit/>
          <w:trHeight w:val="240"/>
        </w:trPr>
        <w:tc>
          <w:tcPr>
            <w:tcW w:w="3558" w:type="pct"/>
            <w:tcBorders>
              <w:top w:val="single" w:sz="12" w:space="0" w:color="auto"/>
            </w:tcBorders>
            <w:shd w:val="clear" w:color="auto" w:fill="auto"/>
          </w:tcPr>
          <w:p w14:paraId="62FE9865" w14:textId="77777777" w:rsidR="00862151" w:rsidRPr="00AD1F92" w:rsidRDefault="00862151">
            <w:pPr>
              <w:suppressAutoHyphens w:val="0"/>
              <w:spacing w:before="40" w:after="80" w:line="220" w:lineRule="exact"/>
              <w:ind w:right="113"/>
            </w:pPr>
            <w:r w:rsidRPr="00AD1F92">
              <w:t>4K Earth Science Private Limited (4KES)</w:t>
            </w:r>
            <w:r w:rsidRPr="00AD1F92">
              <w:rPr>
                <w:rStyle w:val="EndnoteReference"/>
              </w:rPr>
              <w:endnoteReference w:id="2"/>
            </w:r>
          </w:p>
        </w:tc>
        <w:tc>
          <w:tcPr>
            <w:tcW w:w="1442" w:type="pct"/>
            <w:tcBorders>
              <w:top w:val="single" w:sz="12" w:space="0" w:color="auto"/>
            </w:tcBorders>
            <w:shd w:val="clear" w:color="auto" w:fill="auto"/>
            <w:vAlign w:val="bottom"/>
          </w:tcPr>
          <w:p w14:paraId="5C293474" w14:textId="77777777" w:rsidR="00862151" w:rsidRPr="00AD1F92" w:rsidRDefault="00862151">
            <w:pPr>
              <w:suppressAutoHyphens w:val="0"/>
              <w:spacing w:before="40" w:after="80" w:line="220" w:lineRule="exact"/>
              <w:ind w:left="113" w:right="113"/>
              <w:jc w:val="right"/>
            </w:pPr>
            <w:r w:rsidRPr="00AD1F92">
              <w:t>1–16</w:t>
            </w:r>
          </w:p>
        </w:tc>
      </w:tr>
      <w:tr w:rsidR="00862151" w:rsidRPr="00AD1F92" w14:paraId="007A125D" w14:textId="77777777">
        <w:trPr>
          <w:cantSplit/>
          <w:trHeight w:val="240"/>
        </w:trPr>
        <w:tc>
          <w:tcPr>
            <w:tcW w:w="3558" w:type="pct"/>
            <w:shd w:val="clear" w:color="auto" w:fill="auto"/>
          </w:tcPr>
          <w:p w14:paraId="0928C9C5" w14:textId="77777777" w:rsidR="00862151" w:rsidRPr="00AD1F92" w:rsidRDefault="00862151">
            <w:pPr>
              <w:suppressAutoHyphens w:val="0"/>
              <w:spacing w:before="40" w:after="80" w:line="220" w:lineRule="exact"/>
              <w:ind w:right="113"/>
            </w:pPr>
            <w:r w:rsidRPr="00AD1F92">
              <w:t>Beijing Carbon Brilliant Technology Ltd. (CBT)</w:t>
            </w:r>
            <w:r w:rsidRPr="00AD1F92">
              <w:rPr>
                <w:i/>
                <w:iCs/>
                <w:sz w:val="18"/>
                <w:szCs w:val="18"/>
                <w:vertAlign w:val="superscript"/>
              </w:rPr>
              <w:t>a</w:t>
            </w:r>
          </w:p>
        </w:tc>
        <w:tc>
          <w:tcPr>
            <w:tcW w:w="1442" w:type="pct"/>
            <w:shd w:val="clear" w:color="auto" w:fill="auto"/>
            <w:vAlign w:val="bottom"/>
          </w:tcPr>
          <w:p w14:paraId="7CD1320D" w14:textId="77777777" w:rsidR="00862151" w:rsidRPr="00AD1F92" w:rsidRDefault="00862151">
            <w:pPr>
              <w:suppressAutoHyphens w:val="0"/>
              <w:spacing w:before="40" w:after="80" w:line="220" w:lineRule="exact"/>
              <w:ind w:left="113" w:right="113"/>
              <w:jc w:val="right"/>
            </w:pPr>
            <w:r w:rsidRPr="00AD1F92">
              <w:t>1–3, 14</w:t>
            </w:r>
          </w:p>
        </w:tc>
      </w:tr>
      <w:tr w:rsidR="00862151" w:rsidRPr="00AD1F92" w14:paraId="3E04A6E3" w14:textId="77777777">
        <w:trPr>
          <w:cantSplit/>
          <w:trHeight w:val="240"/>
        </w:trPr>
        <w:tc>
          <w:tcPr>
            <w:tcW w:w="3558" w:type="pct"/>
            <w:shd w:val="clear" w:color="auto" w:fill="auto"/>
          </w:tcPr>
          <w:p w14:paraId="661F3427" w14:textId="06DE4A2A" w:rsidR="00862151" w:rsidRPr="00AD1F92" w:rsidRDefault="00862151">
            <w:pPr>
              <w:suppressAutoHyphens w:val="0"/>
              <w:spacing w:before="40" w:after="80" w:line="220" w:lineRule="exact"/>
              <w:ind w:right="113"/>
            </w:pPr>
            <w:r w:rsidRPr="00AD1F92">
              <w:t>Beijing United Intelligence Certification Co., Ltd</w:t>
            </w:r>
            <w:r w:rsidR="00BF362E" w:rsidRPr="00AD1F92">
              <w:t>.</w:t>
            </w:r>
            <w:r w:rsidRPr="00AD1F92">
              <w:t xml:space="preserve"> (UICC)</w:t>
            </w:r>
            <w:r w:rsidRPr="00AD1F92">
              <w:rPr>
                <w:i/>
                <w:iCs/>
                <w:sz w:val="18"/>
                <w:szCs w:val="18"/>
                <w:vertAlign w:val="superscript"/>
              </w:rPr>
              <w:t>a</w:t>
            </w:r>
          </w:p>
        </w:tc>
        <w:tc>
          <w:tcPr>
            <w:tcW w:w="1442" w:type="pct"/>
            <w:shd w:val="clear" w:color="auto" w:fill="auto"/>
            <w:vAlign w:val="bottom"/>
          </w:tcPr>
          <w:p w14:paraId="5620A91D" w14:textId="77777777" w:rsidR="00862151" w:rsidRPr="00AD1F92" w:rsidRDefault="00862151">
            <w:pPr>
              <w:suppressAutoHyphens w:val="0"/>
              <w:spacing w:before="40" w:after="80" w:line="220" w:lineRule="exact"/>
              <w:ind w:left="113" w:right="113"/>
              <w:jc w:val="right"/>
            </w:pPr>
            <w:r w:rsidRPr="00AD1F92">
              <w:t>1–9, 12–13</w:t>
            </w:r>
          </w:p>
        </w:tc>
      </w:tr>
      <w:tr w:rsidR="00862151" w:rsidRPr="00AD1F92" w14:paraId="115C0A73" w14:textId="77777777">
        <w:trPr>
          <w:cantSplit/>
          <w:trHeight w:val="240"/>
        </w:trPr>
        <w:tc>
          <w:tcPr>
            <w:tcW w:w="3558" w:type="pct"/>
            <w:shd w:val="clear" w:color="auto" w:fill="auto"/>
          </w:tcPr>
          <w:p w14:paraId="538314C7" w14:textId="77777777" w:rsidR="00862151" w:rsidRPr="00AD1F92" w:rsidRDefault="00862151">
            <w:pPr>
              <w:suppressAutoHyphens w:val="0"/>
              <w:spacing w:before="40" w:after="80" w:line="220" w:lineRule="exact"/>
              <w:ind w:right="113"/>
            </w:pPr>
            <w:r w:rsidRPr="00AD1F92">
              <w:t>Carbon Check (India) Private Ltd. (Carbon Check)</w:t>
            </w:r>
            <w:r w:rsidRPr="00AD1F92">
              <w:rPr>
                <w:i/>
                <w:iCs/>
                <w:sz w:val="18"/>
                <w:szCs w:val="18"/>
                <w:vertAlign w:val="superscript"/>
              </w:rPr>
              <w:t>a</w:t>
            </w:r>
          </w:p>
        </w:tc>
        <w:tc>
          <w:tcPr>
            <w:tcW w:w="1442" w:type="pct"/>
            <w:shd w:val="clear" w:color="auto" w:fill="auto"/>
            <w:vAlign w:val="bottom"/>
          </w:tcPr>
          <w:p w14:paraId="66C0E69D" w14:textId="77777777" w:rsidR="00862151" w:rsidRPr="00AD1F92" w:rsidRDefault="00862151">
            <w:pPr>
              <w:suppressAutoHyphens w:val="0"/>
              <w:spacing w:before="40" w:after="80" w:line="220" w:lineRule="exact"/>
              <w:ind w:left="113" w:right="113"/>
              <w:jc w:val="right"/>
            </w:pPr>
            <w:r w:rsidRPr="00AD1F92">
              <w:t>1–5, 7–10, 13–16</w:t>
            </w:r>
          </w:p>
        </w:tc>
      </w:tr>
      <w:tr w:rsidR="00862151" w:rsidRPr="00AD1F92" w14:paraId="1FEB3098" w14:textId="77777777">
        <w:trPr>
          <w:cantSplit/>
          <w:trHeight w:val="240"/>
        </w:trPr>
        <w:tc>
          <w:tcPr>
            <w:tcW w:w="3558" w:type="pct"/>
            <w:shd w:val="clear" w:color="auto" w:fill="auto"/>
          </w:tcPr>
          <w:p w14:paraId="1309A975" w14:textId="77777777" w:rsidR="00862151" w:rsidRPr="00AD1F92" w:rsidRDefault="00862151">
            <w:pPr>
              <w:suppressAutoHyphens w:val="0"/>
              <w:spacing w:before="40" w:after="80" w:line="220" w:lineRule="exact"/>
              <w:ind w:right="113"/>
            </w:pPr>
            <w:r w:rsidRPr="00AD1F92">
              <w:t>China Classification Society Certification Co., Ltd. (CCSC)</w:t>
            </w:r>
            <w:r w:rsidRPr="00AD1F92">
              <w:rPr>
                <w:rStyle w:val="EndnoteReference"/>
                <w:iCs/>
              </w:rPr>
              <w:endnoteReference w:id="3"/>
            </w:r>
          </w:p>
        </w:tc>
        <w:tc>
          <w:tcPr>
            <w:tcW w:w="1442" w:type="pct"/>
            <w:shd w:val="clear" w:color="auto" w:fill="auto"/>
            <w:vAlign w:val="bottom"/>
          </w:tcPr>
          <w:p w14:paraId="74B6B283" w14:textId="77777777" w:rsidR="00862151" w:rsidRPr="00AD1F92" w:rsidRDefault="00862151">
            <w:pPr>
              <w:suppressAutoHyphens w:val="0"/>
              <w:spacing w:before="40" w:after="80" w:line="220" w:lineRule="exact"/>
              <w:ind w:left="113" w:right="113"/>
              <w:jc w:val="right"/>
            </w:pPr>
            <w:r w:rsidRPr="00AD1F92">
              <w:t>15</w:t>
            </w:r>
          </w:p>
        </w:tc>
      </w:tr>
      <w:tr w:rsidR="00862151" w:rsidRPr="00AD1F92" w14:paraId="181794F7" w14:textId="77777777">
        <w:trPr>
          <w:cantSplit/>
          <w:trHeight w:val="240"/>
        </w:trPr>
        <w:tc>
          <w:tcPr>
            <w:tcW w:w="3558" w:type="pct"/>
            <w:shd w:val="clear" w:color="auto" w:fill="auto"/>
          </w:tcPr>
          <w:p w14:paraId="1CB40B5E" w14:textId="77777777" w:rsidR="00862151" w:rsidRPr="00AD1F92" w:rsidRDefault="00862151">
            <w:pPr>
              <w:suppressAutoHyphens w:val="0"/>
              <w:spacing w:before="40" w:after="80" w:line="220" w:lineRule="exact"/>
              <w:ind w:right="113"/>
            </w:pPr>
            <w:r w:rsidRPr="00AD1F92">
              <w:t>EPIC Sustainability Services Pvt. Ltd. (EPIC)</w:t>
            </w:r>
            <w:r w:rsidRPr="00AD1F92">
              <w:rPr>
                <w:i/>
                <w:iCs/>
                <w:sz w:val="18"/>
                <w:szCs w:val="18"/>
                <w:vertAlign w:val="superscript"/>
              </w:rPr>
              <w:t>a</w:t>
            </w:r>
          </w:p>
        </w:tc>
        <w:tc>
          <w:tcPr>
            <w:tcW w:w="1442" w:type="pct"/>
            <w:shd w:val="clear" w:color="auto" w:fill="auto"/>
            <w:vAlign w:val="bottom"/>
          </w:tcPr>
          <w:p w14:paraId="4224C7F3" w14:textId="77777777" w:rsidR="00862151" w:rsidRPr="00AD1F92" w:rsidRDefault="00862151">
            <w:pPr>
              <w:suppressAutoHyphens w:val="0"/>
              <w:spacing w:before="40" w:after="80" w:line="220" w:lineRule="exact"/>
              <w:ind w:left="113" w:right="113"/>
              <w:jc w:val="right"/>
            </w:pPr>
            <w:r w:rsidRPr="00AD1F92">
              <w:t>1–16</w:t>
            </w:r>
          </w:p>
        </w:tc>
      </w:tr>
      <w:tr w:rsidR="00862151" w:rsidRPr="00AD1F92" w14:paraId="156CE701" w14:textId="77777777">
        <w:trPr>
          <w:cantSplit/>
          <w:trHeight w:val="240"/>
        </w:trPr>
        <w:tc>
          <w:tcPr>
            <w:tcW w:w="3558" w:type="pct"/>
            <w:shd w:val="clear" w:color="auto" w:fill="auto"/>
          </w:tcPr>
          <w:p w14:paraId="5BBA797B" w14:textId="77777777" w:rsidR="00862151" w:rsidRPr="00AD1F92" w:rsidRDefault="00862151">
            <w:pPr>
              <w:suppressAutoHyphens w:val="0"/>
              <w:spacing w:before="40" w:after="80" w:line="220" w:lineRule="exact"/>
              <w:ind w:right="113"/>
            </w:pPr>
            <w:r w:rsidRPr="00AD1F92">
              <w:t>LGAI Technological Center, S.A. (LGAI Tech. Center S.A)</w:t>
            </w:r>
            <w:r w:rsidRPr="00AD1F92">
              <w:rPr>
                <w:i/>
                <w:iCs/>
                <w:sz w:val="18"/>
                <w:szCs w:val="18"/>
                <w:vertAlign w:val="superscript"/>
              </w:rPr>
              <w:t>a</w:t>
            </w:r>
          </w:p>
        </w:tc>
        <w:tc>
          <w:tcPr>
            <w:tcW w:w="1442" w:type="pct"/>
            <w:shd w:val="clear" w:color="auto" w:fill="auto"/>
            <w:vAlign w:val="bottom"/>
          </w:tcPr>
          <w:p w14:paraId="1BD354E7" w14:textId="77777777" w:rsidR="00862151" w:rsidRPr="00AD1F92" w:rsidRDefault="00862151">
            <w:pPr>
              <w:suppressAutoHyphens w:val="0"/>
              <w:spacing w:before="40" w:after="80" w:line="220" w:lineRule="exact"/>
              <w:ind w:left="113" w:right="113"/>
              <w:jc w:val="right"/>
            </w:pPr>
            <w:r w:rsidRPr="00AD1F92">
              <w:t>1, 3, 13</w:t>
            </w:r>
          </w:p>
        </w:tc>
      </w:tr>
      <w:tr w:rsidR="00862151" w:rsidRPr="00AD1F92" w14:paraId="6D50EE38" w14:textId="77777777">
        <w:trPr>
          <w:cantSplit/>
          <w:trHeight w:val="240"/>
        </w:trPr>
        <w:tc>
          <w:tcPr>
            <w:tcW w:w="3558" w:type="pct"/>
            <w:shd w:val="clear" w:color="auto" w:fill="auto"/>
          </w:tcPr>
          <w:p w14:paraId="0DE6D6FA" w14:textId="77777777" w:rsidR="00862151" w:rsidRPr="00AD1F92" w:rsidRDefault="00862151">
            <w:pPr>
              <w:suppressAutoHyphens w:val="0"/>
              <w:spacing w:before="40" w:after="80" w:line="220" w:lineRule="exact"/>
              <w:ind w:right="113"/>
            </w:pPr>
            <w:r w:rsidRPr="00AD1F92">
              <w:t>Re Carbon Gözetim Denetim ve Belgelendirme Limited Sirketi (Re Carbon)</w:t>
            </w:r>
            <w:r w:rsidRPr="00AD1F92">
              <w:rPr>
                <w:rStyle w:val="EndnoteReference"/>
                <w:iCs/>
              </w:rPr>
              <w:endnoteReference w:id="4"/>
            </w:r>
          </w:p>
        </w:tc>
        <w:tc>
          <w:tcPr>
            <w:tcW w:w="1442" w:type="pct"/>
            <w:shd w:val="clear" w:color="auto" w:fill="auto"/>
            <w:vAlign w:val="bottom"/>
          </w:tcPr>
          <w:p w14:paraId="6BD1DE7A" w14:textId="77777777" w:rsidR="00862151" w:rsidRPr="00AD1F92" w:rsidRDefault="00862151">
            <w:pPr>
              <w:suppressAutoHyphens w:val="0"/>
              <w:spacing w:before="40" w:after="80" w:line="220" w:lineRule="exact"/>
              <w:ind w:left="113" w:right="113"/>
              <w:jc w:val="right"/>
            </w:pPr>
            <w:r w:rsidRPr="00AD1F92">
              <w:t>1–3, 13, 15</w:t>
            </w:r>
          </w:p>
        </w:tc>
      </w:tr>
      <w:tr w:rsidR="00862151" w:rsidRPr="00AD1F92" w14:paraId="74A49D2A" w14:textId="77777777">
        <w:trPr>
          <w:cantSplit/>
          <w:trHeight w:val="240"/>
        </w:trPr>
        <w:tc>
          <w:tcPr>
            <w:tcW w:w="3558" w:type="pct"/>
            <w:tcBorders>
              <w:bottom w:val="single" w:sz="12" w:space="0" w:color="auto"/>
            </w:tcBorders>
            <w:shd w:val="clear" w:color="auto" w:fill="auto"/>
          </w:tcPr>
          <w:p w14:paraId="54CFDCF1" w14:textId="77777777" w:rsidR="00862151" w:rsidRPr="00AD1F92" w:rsidRDefault="00862151">
            <w:pPr>
              <w:suppressAutoHyphens w:val="0"/>
              <w:spacing w:before="40" w:after="80" w:line="220" w:lineRule="exact"/>
              <w:ind w:right="113"/>
            </w:pPr>
            <w:r w:rsidRPr="00AD1F92">
              <w:t>TÜV NORD CERT GmbH (TÜV NORD)</w:t>
            </w:r>
            <w:r w:rsidRPr="00AD1F92">
              <w:rPr>
                <w:i/>
                <w:iCs/>
                <w:sz w:val="18"/>
                <w:szCs w:val="18"/>
                <w:vertAlign w:val="superscript"/>
              </w:rPr>
              <w:t>a</w:t>
            </w:r>
          </w:p>
        </w:tc>
        <w:tc>
          <w:tcPr>
            <w:tcW w:w="1442" w:type="pct"/>
            <w:tcBorders>
              <w:bottom w:val="single" w:sz="12" w:space="0" w:color="auto"/>
            </w:tcBorders>
            <w:shd w:val="clear" w:color="auto" w:fill="auto"/>
            <w:vAlign w:val="bottom"/>
          </w:tcPr>
          <w:p w14:paraId="455BFA78" w14:textId="77777777" w:rsidR="00862151" w:rsidRPr="00AD1F92" w:rsidRDefault="00862151">
            <w:pPr>
              <w:suppressAutoHyphens w:val="0"/>
              <w:spacing w:before="40" w:after="80" w:line="220" w:lineRule="exact"/>
              <w:ind w:left="113" w:right="113"/>
              <w:jc w:val="right"/>
            </w:pPr>
            <w:r w:rsidRPr="00AD1F92">
              <w:t>1–16</w:t>
            </w:r>
          </w:p>
        </w:tc>
      </w:tr>
    </w:tbl>
    <w:p w14:paraId="7E5E4E30" w14:textId="77777777" w:rsidR="00862151" w:rsidRPr="00AD1F92" w:rsidRDefault="00862151" w:rsidP="00862151">
      <w:pPr>
        <w:keepNext/>
        <w:spacing w:line="60" w:lineRule="exact"/>
        <w:ind w:right="1134"/>
        <w:jc w:val="both"/>
      </w:pPr>
    </w:p>
    <w:p w14:paraId="6A2E50B6" w14:textId="565E653A" w:rsidR="00D86120" w:rsidRPr="00AD1F92" w:rsidRDefault="00D86120" w:rsidP="00862151">
      <w:pPr>
        <w:keepNext/>
        <w:spacing w:line="60" w:lineRule="exact"/>
        <w:ind w:right="1134"/>
        <w:jc w:val="both"/>
        <w:sectPr w:rsidR="00D86120" w:rsidRPr="00AD1F92" w:rsidSect="00D43A6E">
          <w:headerReference w:type="even" r:id="rId19"/>
          <w:headerReference w:type="default" r:id="rId20"/>
          <w:footerReference w:type="even" r:id="rId21"/>
          <w:footerReference w:type="default" r:id="rId22"/>
          <w:headerReference w:type="first" r:id="rId23"/>
          <w:endnotePr>
            <w:numFmt w:val="lowerLetter"/>
            <w:numRestart w:val="eachSect"/>
          </w:endnotePr>
          <w:pgSz w:w="11906" w:h="16838" w:code="9"/>
          <w:pgMar w:top="1417" w:right="1134" w:bottom="1134" w:left="1134" w:header="850" w:footer="567" w:gutter="0"/>
          <w:cols w:space="708"/>
          <w:titlePg/>
          <w:docGrid w:linePitch="360"/>
        </w:sectPr>
      </w:pPr>
    </w:p>
    <w:p w14:paraId="6294B53C" w14:textId="77777777" w:rsidR="00B17273" w:rsidRPr="00AD1F92" w:rsidRDefault="00B17273" w:rsidP="005F5ED5">
      <w:pPr>
        <w:pStyle w:val="RegHChG"/>
        <w:numPr>
          <w:ilvl w:val="0"/>
          <w:numId w:val="0"/>
        </w:numPr>
        <w:ind w:hanging="454"/>
        <w:sectPr w:rsidR="00B17273" w:rsidRPr="00AD1F92" w:rsidSect="007475EB">
          <w:headerReference w:type="even" r:id="rId24"/>
          <w:headerReference w:type="default" r:id="rId25"/>
          <w:footerReference w:type="even" r:id="rId26"/>
          <w:footerReference w:type="default" r:id="rId27"/>
          <w:footnotePr>
            <w:numRestart w:val="eachSect"/>
          </w:footnotePr>
          <w:endnotePr>
            <w:numFmt w:val="lowerLetter"/>
            <w:numRestart w:val="eachSect"/>
          </w:endnotePr>
          <w:type w:val="continuous"/>
          <w:pgSz w:w="11906" w:h="16838" w:code="9"/>
          <w:pgMar w:top="1417" w:right="1134" w:bottom="1134" w:left="1134" w:header="567" w:footer="567" w:gutter="0"/>
          <w:cols w:space="708"/>
          <w:docGrid w:linePitch="360"/>
        </w:sectPr>
      </w:pPr>
      <w:bookmarkStart w:id="6" w:name="_Toc184133527"/>
      <w:bookmarkEnd w:id="5"/>
    </w:p>
    <w:p w14:paraId="2B9CBC5E" w14:textId="19F8376C" w:rsidR="005C37C7" w:rsidRPr="00AD1F92" w:rsidRDefault="00FF5705" w:rsidP="005F5ED5">
      <w:pPr>
        <w:pStyle w:val="RegHChG"/>
        <w:numPr>
          <w:ilvl w:val="0"/>
          <w:numId w:val="0"/>
        </w:numPr>
        <w:spacing w:before="240"/>
        <w:ind w:left="1134" w:hanging="454"/>
      </w:pPr>
      <w:bookmarkStart w:id="7" w:name="decision2_cmp19"/>
      <w:r w:rsidRPr="00AD1F92">
        <w:lastRenderedPageBreak/>
        <w:t>Decision 2/CMP.19</w:t>
      </w:r>
      <w:bookmarkEnd w:id="6"/>
    </w:p>
    <w:bookmarkEnd w:id="7"/>
    <w:p w14:paraId="6A2B73BF" w14:textId="77777777" w:rsidR="0085225E" w:rsidRPr="00AD1F92" w:rsidRDefault="0085225E" w:rsidP="004A2C33">
      <w:pPr>
        <w:pStyle w:val="HChG"/>
        <w:ind w:firstLine="0"/>
      </w:pPr>
      <w:r w:rsidRPr="00AD1F92">
        <w:t>Matters relating to the Adaptation Fund</w:t>
      </w:r>
    </w:p>
    <w:p w14:paraId="200463F8" w14:textId="77777777" w:rsidR="0085225E" w:rsidRPr="00AD1F92" w:rsidRDefault="0085225E" w:rsidP="0085225E">
      <w:pPr>
        <w:pStyle w:val="RegSingleTxtG"/>
        <w:numPr>
          <w:ilvl w:val="0"/>
          <w:numId w:val="0"/>
        </w:numPr>
        <w:ind w:left="1134"/>
        <w:rPr>
          <w:rFonts w:eastAsia="DengXian"/>
          <w:i/>
          <w:iCs/>
          <w:color w:val="000000"/>
        </w:rPr>
      </w:pPr>
      <w:r w:rsidRPr="00AD1F92">
        <w:rPr>
          <w:rFonts w:eastAsia="DengXian"/>
          <w:i/>
          <w:iCs/>
          <w:color w:val="000000"/>
        </w:rPr>
        <w:tab/>
        <w:t>The Conference of the Parties serving as the meeting of the Parties to the Kyoto Protocol</w:t>
      </w:r>
      <w:r w:rsidRPr="00AD1F92">
        <w:rPr>
          <w:rFonts w:eastAsia="DengXian"/>
          <w:color w:val="000000"/>
        </w:rPr>
        <w:t>,</w:t>
      </w:r>
    </w:p>
    <w:p w14:paraId="637BE50D" w14:textId="613D2FE0" w:rsidR="0085225E" w:rsidRPr="00AD1F92" w:rsidRDefault="0085225E" w:rsidP="0085225E">
      <w:pPr>
        <w:pStyle w:val="RegSingleTxtG"/>
        <w:numPr>
          <w:ilvl w:val="0"/>
          <w:numId w:val="0"/>
        </w:numPr>
        <w:ind w:left="1134"/>
        <w:rPr>
          <w:rFonts w:eastAsia="DengXian"/>
          <w:i/>
          <w:iCs/>
          <w:color w:val="000000"/>
        </w:rPr>
      </w:pPr>
      <w:r w:rsidRPr="00AD1F92">
        <w:rPr>
          <w:rFonts w:eastAsia="DengXian"/>
          <w:i/>
          <w:iCs/>
          <w:color w:val="000000"/>
        </w:rPr>
        <w:tab/>
        <w:t xml:space="preserve">Recalling </w:t>
      </w:r>
      <w:r w:rsidRPr="00AD1F92">
        <w:rPr>
          <w:rFonts w:eastAsia="DengXian"/>
          <w:color w:val="000000"/>
        </w:rPr>
        <w:t xml:space="preserve">decisions </w:t>
      </w:r>
      <w:hyperlink r:id="rId28" w:history="1">
        <w:r w:rsidRPr="00AD1F92">
          <w:rPr>
            <w:rStyle w:val="Hyperlink"/>
            <w:rFonts w:eastAsia="DengXian"/>
          </w:rPr>
          <w:t>1/CMP.3</w:t>
        </w:r>
      </w:hyperlink>
      <w:r w:rsidRPr="00AD1F92">
        <w:rPr>
          <w:rFonts w:eastAsia="DengXian"/>
          <w:color w:val="000000"/>
        </w:rPr>
        <w:t xml:space="preserve">, </w:t>
      </w:r>
      <w:hyperlink r:id="rId29" w:history="1">
        <w:r w:rsidRPr="00AD1F92">
          <w:rPr>
            <w:rStyle w:val="Hyperlink"/>
            <w:rFonts w:eastAsia="DengXian"/>
          </w:rPr>
          <w:t>1/CMP.4</w:t>
        </w:r>
      </w:hyperlink>
      <w:r w:rsidRPr="00AD1F92">
        <w:rPr>
          <w:rFonts w:eastAsia="DengXian"/>
          <w:color w:val="000000"/>
        </w:rPr>
        <w:t xml:space="preserve">, </w:t>
      </w:r>
      <w:hyperlink r:id="rId30" w:history="1">
        <w:r w:rsidRPr="00AD1F92">
          <w:rPr>
            <w:rStyle w:val="Hyperlink"/>
            <w:rFonts w:eastAsia="DengXian"/>
          </w:rPr>
          <w:t>2/CMP.10</w:t>
        </w:r>
      </w:hyperlink>
      <w:r w:rsidRPr="00AD1F92">
        <w:rPr>
          <w:rFonts w:eastAsia="DengXian"/>
          <w:color w:val="000000"/>
        </w:rPr>
        <w:t xml:space="preserve">, </w:t>
      </w:r>
      <w:hyperlink r:id="rId31" w:history="1">
        <w:r w:rsidRPr="00AD1F92">
          <w:rPr>
            <w:rStyle w:val="Hyperlink"/>
            <w:rFonts w:eastAsia="DengXian"/>
          </w:rPr>
          <w:t>1/CMP.11</w:t>
        </w:r>
      </w:hyperlink>
      <w:r w:rsidRPr="00AD1F92">
        <w:rPr>
          <w:rFonts w:eastAsia="DengXian"/>
          <w:color w:val="000000"/>
        </w:rPr>
        <w:t xml:space="preserve">, </w:t>
      </w:r>
      <w:hyperlink r:id="rId32" w:history="1">
        <w:r w:rsidRPr="00AD1F92">
          <w:rPr>
            <w:rStyle w:val="Hyperlink"/>
            <w:rFonts w:eastAsia="DengXian"/>
          </w:rPr>
          <w:t>2/CMP.12</w:t>
        </w:r>
      </w:hyperlink>
      <w:r w:rsidRPr="00AD1F92">
        <w:rPr>
          <w:rFonts w:eastAsia="DengXian"/>
          <w:color w:val="000000"/>
        </w:rPr>
        <w:t xml:space="preserve">, </w:t>
      </w:r>
      <w:hyperlink r:id="rId33" w:history="1">
        <w:r w:rsidRPr="00AD1F92">
          <w:rPr>
            <w:rStyle w:val="Hyperlink"/>
            <w:rFonts w:eastAsia="DengXian"/>
          </w:rPr>
          <w:t>1/CMP.13</w:t>
        </w:r>
      </w:hyperlink>
      <w:r w:rsidRPr="00AD1F92">
        <w:rPr>
          <w:rFonts w:eastAsia="DengXian"/>
          <w:color w:val="000000"/>
        </w:rPr>
        <w:t xml:space="preserve">, </w:t>
      </w:r>
      <w:hyperlink r:id="rId34" w:history="1">
        <w:r w:rsidRPr="00AD1F92">
          <w:rPr>
            <w:rStyle w:val="Hyperlink"/>
            <w:rFonts w:eastAsia="DengXian"/>
          </w:rPr>
          <w:t>1/CMP.14</w:t>
        </w:r>
      </w:hyperlink>
      <w:r w:rsidRPr="00AD1F92">
        <w:rPr>
          <w:rFonts w:eastAsia="DengXian"/>
          <w:color w:val="000000"/>
        </w:rPr>
        <w:t xml:space="preserve">, </w:t>
      </w:r>
      <w:hyperlink r:id="rId35" w:history="1">
        <w:r w:rsidRPr="00AD1F92">
          <w:rPr>
            <w:rStyle w:val="Hyperlink"/>
            <w:rFonts w:eastAsia="DengXian"/>
          </w:rPr>
          <w:t>3/CMP.15</w:t>
        </w:r>
      </w:hyperlink>
      <w:r w:rsidRPr="00AD1F92">
        <w:rPr>
          <w:rFonts w:eastAsia="DengXian"/>
          <w:color w:val="000000"/>
        </w:rPr>
        <w:t xml:space="preserve">, </w:t>
      </w:r>
      <w:hyperlink r:id="rId36" w:history="1">
        <w:r w:rsidRPr="00AD1F92">
          <w:rPr>
            <w:rStyle w:val="Hyperlink"/>
            <w:rFonts w:eastAsia="DengXian"/>
          </w:rPr>
          <w:t>3/CMP.16</w:t>
        </w:r>
      </w:hyperlink>
      <w:r w:rsidRPr="00AD1F92">
        <w:rPr>
          <w:rFonts w:eastAsia="DengXian"/>
          <w:color w:val="000000"/>
        </w:rPr>
        <w:t xml:space="preserve">, </w:t>
      </w:r>
      <w:hyperlink r:id="rId37" w:history="1">
        <w:r w:rsidRPr="00AD1F92">
          <w:rPr>
            <w:rStyle w:val="Hyperlink"/>
            <w:rFonts w:eastAsia="DengXian"/>
          </w:rPr>
          <w:t>4/CMP.17</w:t>
        </w:r>
      </w:hyperlink>
      <w:r w:rsidRPr="00AD1F92">
        <w:rPr>
          <w:rFonts w:eastAsia="DengXian"/>
          <w:color w:val="000000"/>
        </w:rPr>
        <w:t xml:space="preserve"> and </w:t>
      </w:r>
      <w:hyperlink r:id="rId38" w:history="1">
        <w:r w:rsidRPr="00AD1F92">
          <w:rPr>
            <w:rStyle w:val="Hyperlink"/>
            <w:rFonts w:eastAsia="DengXian"/>
          </w:rPr>
          <w:t>3/CMP.18</w:t>
        </w:r>
      </w:hyperlink>
      <w:r w:rsidRPr="00AD1F92">
        <w:rPr>
          <w:rFonts w:eastAsia="DengXian"/>
          <w:color w:val="000000"/>
        </w:rPr>
        <w:t>,</w:t>
      </w:r>
    </w:p>
    <w:p w14:paraId="230F1A43" w14:textId="4CCEA48D" w:rsidR="0085225E" w:rsidRPr="00AD1F92" w:rsidRDefault="0085225E" w:rsidP="0085225E">
      <w:pPr>
        <w:pStyle w:val="RegSingleTxtG"/>
        <w:numPr>
          <w:ilvl w:val="0"/>
          <w:numId w:val="0"/>
        </w:numPr>
        <w:ind w:left="1134"/>
        <w:rPr>
          <w:rFonts w:eastAsia="DengXian"/>
          <w:color w:val="000000"/>
        </w:rPr>
      </w:pPr>
      <w:r w:rsidRPr="00AD1F92">
        <w:rPr>
          <w:rFonts w:eastAsia="DengXian"/>
          <w:i/>
          <w:iCs/>
          <w:color w:val="000000"/>
        </w:rPr>
        <w:tab/>
        <w:t xml:space="preserve">Also recalling </w:t>
      </w:r>
      <w:r w:rsidRPr="00AD1F92">
        <w:rPr>
          <w:rFonts w:eastAsia="DengXian"/>
          <w:color w:val="000000"/>
        </w:rPr>
        <w:t xml:space="preserve">decision </w:t>
      </w:r>
      <w:hyperlink r:id="rId39" w:history="1">
        <w:r w:rsidRPr="00AD1F92">
          <w:rPr>
            <w:rStyle w:val="Hyperlink"/>
            <w:rFonts w:eastAsia="DengXian"/>
          </w:rPr>
          <w:t>13/CMA.1</w:t>
        </w:r>
      </w:hyperlink>
      <w:r w:rsidRPr="00AD1F92">
        <w:rPr>
          <w:rFonts w:eastAsia="DengXian"/>
          <w:color w:val="000000"/>
        </w:rPr>
        <w:t>,</w:t>
      </w:r>
    </w:p>
    <w:p w14:paraId="156F3D75" w14:textId="0414AFF0" w:rsidR="0085225E" w:rsidRPr="00AD1F92" w:rsidRDefault="0085225E" w:rsidP="0085225E">
      <w:pPr>
        <w:pStyle w:val="RegSingleTxtG"/>
        <w:numPr>
          <w:ilvl w:val="0"/>
          <w:numId w:val="0"/>
        </w:numPr>
        <w:ind w:left="1134"/>
      </w:pPr>
      <w:r w:rsidRPr="00AD1F92">
        <w:rPr>
          <w:rFonts w:eastAsia="DengXian"/>
          <w:i/>
          <w:iCs/>
          <w:color w:val="000000"/>
        </w:rPr>
        <w:tab/>
        <w:t xml:space="preserve">Further recalling </w:t>
      </w:r>
      <w:r w:rsidRPr="00AD1F92">
        <w:rPr>
          <w:rFonts w:eastAsia="DengXian"/>
          <w:color w:val="000000"/>
        </w:rPr>
        <w:t xml:space="preserve">decision </w:t>
      </w:r>
      <w:hyperlink r:id="rId40" w:history="1">
        <w:r w:rsidRPr="00AD1F92">
          <w:rPr>
            <w:rStyle w:val="Hyperlink"/>
            <w:rFonts w:eastAsia="DengXian"/>
          </w:rPr>
          <w:t>5/CMP.17</w:t>
        </w:r>
      </w:hyperlink>
      <w:r w:rsidRPr="00AD1F92">
        <w:rPr>
          <w:rFonts w:eastAsia="DengXian"/>
          <w:color w:val="000000"/>
        </w:rPr>
        <w:t>, paragraph 8,</w:t>
      </w:r>
    </w:p>
    <w:p w14:paraId="67955F0F" w14:textId="36A849B2" w:rsidR="0085225E" w:rsidRPr="00AD1F92" w:rsidRDefault="005F5ED5" w:rsidP="005F5ED5">
      <w:pPr>
        <w:pStyle w:val="RegSingleTxtG"/>
        <w:numPr>
          <w:ilvl w:val="0"/>
          <w:numId w:val="0"/>
        </w:numPr>
        <w:ind w:left="1134"/>
      </w:pPr>
      <w:r w:rsidRPr="00AD1F92">
        <w:t>1.</w:t>
      </w:r>
      <w:r w:rsidRPr="00AD1F92">
        <w:tab/>
      </w:r>
      <w:r w:rsidR="0085225E" w:rsidRPr="00AD1F92">
        <w:rPr>
          <w:i/>
          <w:iCs/>
        </w:rPr>
        <w:t xml:space="preserve">Welcomes </w:t>
      </w:r>
      <w:r w:rsidR="0085225E" w:rsidRPr="00AD1F92">
        <w:t>the annual report of the Adaptation Fund Board for 2024, including its addendum, and the information therein;</w:t>
      </w:r>
      <w:r w:rsidR="0085225E" w:rsidRPr="00AD1F92">
        <w:rPr>
          <w:vertAlign w:val="superscript"/>
        </w:rPr>
        <w:footnoteReference w:id="7"/>
      </w:r>
    </w:p>
    <w:p w14:paraId="686CAD12" w14:textId="447AD0C7" w:rsidR="0085225E" w:rsidRPr="00AD1F92" w:rsidRDefault="005F5ED5" w:rsidP="005F5ED5">
      <w:pPr>
        <w:pStyle w:val="RegSingleTxtG"/>
        <w:numPr>
          <w:ilvl w:val="0"/>
          <w:numId w:val="0"/>
        </w:numPr>
        <w:ind w:left="1134"/>
      </w:pPr>
      <w:r w:rsidRPr="00AD1F92">
        <w:t>2.</w:t>
      </w:r>
      <w:r w:rsidRPr="00AD1F92">
        <w:tab/>
      </w:r>
      <w:r w:rsidR="0085225E" w:rsidRPr="00AD1F92">
        <w:rPr>
          <w:i/>
          <w:iCs/>
        </w:rPr>
        <w:t>Notes</w:t>
      </w:r>
      <w:r w:rsidR="0085225E" w:rsidRPr="00AD1F92">
        <w:t xml:space="preserve"> the following information, actions and decisions relating to the Adaptation Fund Board presented in the report referred to in paragraph 1 above:</w:t>
      </w:r>
    </w:p>
    <w:p w14:paraId="2C387796" w14:textId="42DD7268" w:rsidR="0085225E" w:rsidRPr="00AD1F92" w:rsidRDefault="005F5ED5" w:rsidP="005F5ED5">
      <w:pPr>
        <w:pStyle w:val="RegSingleTxtG"/>
        <w:numPr>
          <w:ilvl w:val="0"/>
          <w:numId w:val="0"/>
        </w:numPr>
        <w:ind w:left="1134" w:firstLine="567"/>
      </w:pPr>
      <w:r w:rsidRPr="00AD1F92">
        <w:rPr>
          <w:szCs w:val="28"/>
        </w:rPr>
        <w:t>(a)</w:t>
      </w:r>
      <w:r w:rsidRPr="00AD1F92">
        <w:rPr>
          <w:szCs w:val="28"/>
        </w:rPr>
        <w:tab/>
      </w:r>
      <w:r w:rsidR="0085225E" w:rsidRPr="00AD1F92">
        <w:t>The progress of the Adaptation Fund Board in implementing the Medium</w:t>
      </w:r>
      <w:r w:rsidR="0085225E" w:rsidRPr="00AD1F92">
        <w:noBreakHyphen/>
        <w:t>Term Strategy of the Adaptation Fund for 2023–‍2027</w:t>
      </w:r>
      <w:r w:rsidR="0085225E" w:rsidRPr="00AD1F92">
        <w:rPr>
          <w:vertAlign w:val="superscript"/>
        </w:rPr>
        <w:footnoteReference w:id="8"/>
      </w:r>
      <w:r w:rsidR="0085225E" w:rsidRPr="00AD1F92">
        <w:t xml:space="preserve"> in line with the Board’s implementation plan;</w:t>
      </w:r>
      <w:r w:rsidR="0085225E" w:rsidRPr="00AD1F92">
        <w:rPr>
          <w:vertAlign w:val="superscript"/>
        </w:rPr>
        <w:footnoteReference w:id="9"/>
      </w:r>
      <w:r w:rsidR="0085225E" w:rsidRPr="00AD1F92">
        <w:t xml:space="preserve"> </w:t>
      </w:r>
    </w:p>
    <w:p w14:paraId="0D508C7D" w14:textId="0C4EB75F" w:rsidR="0085225E" w:rsidRPr="00AD1F92" w:rsidRDefault="005F5ED5" w:rsidP="005F5ED5">
      <w:pPr>
        <w:pStyle w:val="RegSingleTxtG"/>
        <w:numPr>
          <w:ilvl w:val="0"/>
          <w:numId w:val="0"/>
        </w:numPr>
        <w:ind w:left="1134" w:firstLine="567"/>
      </w:pPr>
      <w:r w:rsidRPr="00AD1F92">
        <w:rPr>
          <w:szCs w:val="28"/>
        </w:rPr>
        <w:t>(b)</w:t>
      </w:r>
      <w:r w:rsidRPr="00AD1F92">
        <w:rPr>
          <w:szCs w:val="28"/>
        </w:rPr>
        <w:tab/>
      </w:r>
      <w:r w:rsidR="0085225E" w:rsidRPr="00AD1F92">
        <w:t>The decision of the Adaptation Fund Board to update the</w:t>
      </w:r>
      <w:r w:rsidR="0085225E" w:rsidRPr="00AD1F92">
        <w:rPr>
          <w:i/>
          <w:iCs/>
        </w:rPr>
        <w:t xml:space="preserve"> </w:t>
      </w:r>
      <w:r w:rsidR="0085225E" w:rsidRPr="00AD1F92">
        <w:t>environmental and social safeguard policy of the Adaptation Fund;</w:t>
      </w:r>
      <w:r w:rsidR="0085225E" w:rsidRPr="00AD1F92">
        <w:rPr>
          <w:vertAlign w:val="superscript"/>
        </w:rPr>
        <w:footnoteReference w:id="10"/>
      </w:r>
    </w:p>
    <w:p w14:paraId="662A4677" w14:textId="4B014F5E" w:rsidR="0085225E" w:rsidRPr="00AD1F92" w:rsidRDefault="005F5ED5" w:rsidP="005F5ED5">
      <w:pPr>
        <w:pStyle w:val="RegSingleTxtG"/>
        <w:numPr>
          <w:ilvl w:val="0"/>
          <w:numId w:val="0"/>
        </w:numPr>
        <w:ind w:left="1134" w:firstLine="567"/>
      </w:pPr>
      <w:r w:rsidRPr="00AD1F92">
        <w:rPr>
          <w:szCs w:val="28"/>
        </w:rPr>
        <w:t>(c)</w:t>
      </w:r>
      <w:r w:rsidRPr="00AD1F92">
        <w:rPr>
          <w:szCs w:val="28"/>
        </w:rPr>
        <w:tab/>
      </w:r>
      <w:r w:rsidR="0085225E" w:rsidRPr="00AD1F92">
        <w:t xml:space="preserve">The adoption of a resource mobilization target for 2024 of USD 300 million, to come from a greater number of contributors than in </w:t>
      </w:r>
      <w:proofErr w:type="gramStart"/>
      <w:r w:rsidR="0085225E" w:rsidRPr="00AD1F92">
        <w:t>2023;</w:t>
      </w:r>
      <w:proofErr w:type="gramEnd"/>
    </w:p>
    <w:p w14:paraId="7EDE1FC3" w14:textId="547C98DE" w:rsidR="0085225E" w:rsidRPr="00AD1F92" w:rsidRDefault="005F5ED5" w:rsidP="005F5ED5">
      <w:pPr>
        <w:pStyle w:val="RegSingleTxtG"/>
        <w:numPr>
          <w:ilvl w:val="0"/>
          <w:numId w:val="0"/>
        </w:numPr>
        <w:ind w:left="1134" w:firstLine="567"/>
      </w:pPr>
      <w:r w:rsidRPr="00AD1F92">
        <w:rPr>
          <w:szCs w:val="28"/>
        </w:rPr>
        <w:t>(d)</w:t>
      </w:r>
      <w:r w:rsidRPr="00AD1F92">
        <w:rPr>
          <w:szCs w:val="28"/>
        </w:rPr>
        <w:tab/>
      </w:r>
      <w:r w:rsidR="0085225E" w:rsidRPr="00AD1F92">
        <w:t xml:space="preserve">Cumulative receipts of USD 1,827.14 million, as </w:t>
      </w:r>
      <w:proofErr w:type="gramStart"/>
      <w:r w:rsidR="0085225E" w:rsidRPr="00AD1F92">
        <w:t>at</w:t>
      </w:r>
      <w:proofErr w:type="gramEnd"/>
      <w:r w:rsidR="0085225E" w:rsidRPr="00AD1F92">
        <w:t xml:space="preserve"> 30 June 2024, into the Adaptation Fund Trust Fund, comprising USD 215.83 million from the monetization of certified emission reductions, USD 1,489.88 million from voluntary contributions and USD 121.43 million from investment income earned on the Trust Fund balance;</w:t>
      </w:r>
    </w:p>
    <w:p w14:paraId="2A75888F" w14:textId="064D09C6" w:rsidR="0085225E" w:rsidRPr="00AD1F92" w:rsidRDefault="005F5ED5" w:rsidP="005F5ED5">
      <w:pPr>
        <w:pStyle w:val="RegSingleTxtG"/>
        <w:numPr>
          <w:ilvl w:val="0"/>
          <w:numId w:val="0"/>
        </w:numPr>
        <w:ind w:left="1134" w:firstLine="567"/>
      </w:pPr>
      <w:r w:rsidRPr="00AD1F92">
        <w:rPr>
          <w:szCs w:val="28"/>
        </w:rPr>
        <w:t>(e)</w:t>
      </w:r>
      <w:r w:rsidRPr="00AD1F92">
        <w:rPr>
          <w:szCs w:val="28"/>
        </w:rPr>
        <w:tab/>
      </w:r>
      <w:r w:rsidR="0085225E" w:rsidRPr="00AD1F92">
        <w:t xml:space="preserve">Cash receipts amounting to USD 309.94 million, comprising USD 0.91 million from the monetization of certified emission reductions, USD 256.92 million from voluntary contributions and USD 52.11 million from investment income earned on the Adaptation Fund Trust Fund balance, received between 1 July 2023 and 30 June </w:t>
      </w:r>
      <w:proofErr w:type="gramStart"/>
      <w:r w:rsidR="0085225E" w:rsidRPr="00AD1F92">
        <w:t>2024;</w:t>
      </w:r>
      <w:proofErr w:type="gramEnd"/>
    </w:p>
    <w:p w14:paraId="7A048E38" w14:textId="299CFAC4" w:rsidR="0085225E" w:rsidRPr="00AD1F92" w:rsidRDefault="005F5ED5" w:rsidP="005F5ED5">
      <w:pPr>
        <w:pStyle w:val="RegSingleTxtG"/>
        <w:numPr>
          <w:ilvl w:val="0"/>
          <w:numId w:val="0"/>
        </w:numPr>
        <w:ind w:left="1134" w:firstLine="567"/>
      </w:pPr>
      <w:r w:rsidRPr="00AD1F92">
        <w:rPr>
          <w:szCs w:val="28"/>
        </w:rPr>
        <w:t>(f)</w:t>
      </w:r>
      <w:r w:rsidRPr="00AD1F92">
        <w:rPr>
          <w:szCs w:val="28"/>
        </w:rPr>
        <w:tab/>
      </w:r>
      <w:r w:rsidR="0085225E" w:rsidRPr="00AD1F92">
        <w:t xml:space="preserve">Outstanding pledged contributions from previous years of USD 122.57 million, of which USD 72.67 million </w:t>
      </w:r>
      <w:proofErr w:type="gramStart"/>
      <w:r w:rsidR="0085225E" w:rsidRPr="00AD1F92">
        <w:t>under signed</w:t>
      </w:r>
      <w:proofErr w:type="gramEnd"/>
      <w:r w:rsidR="0085225E" w:rsidRPr="00AD1F92">
        <w:t xml:space="preserve"> agreements, as at 20 November 2024;</w:t>
      </w:r>
    </w:p>
    <w:p w14:paraId="1BD0E3FF" w14:textId="46BBB1B3" w:rsidR="0085225E" w:rsidRPr="00AD1F92" w:rsidRDefault="005F5ED5" w:rsidP="005F5ED5">
      <w:pPr>
        <w:pStyle w:val="RegSingleTxtG"/>
        <w:numPr>
          <w:ilvl w:val="0"/>
          <w:numId w:val="0"/>
        </w:numPr>
        <w:ind w:left="1134"/>
      </w:pPr>
      <w:r w:rsidRPr="00AD1F92">
        <w:t>3.</w:t>
      </w:r>
      <w:r w:rsidRPr="00AD1F92">
        <w:tab/>
      </w:r>
      <w:r w:rsidR="0085225E" w:rsidRPr="00AD1F92">
        <w:rPr>
          <w:i/>
          <w:iCs/>
        </w:rPr>
        <w:t>Welcomes</w:t>
      </w:r>
      <w:r w:rsidR="0085225E" w:rsidRPr="00AD1F92">
        <w:t xml:space="preserve"> the financial pledges made towards the Adaptation Fund resource mobilization target for 2024 of USD 300 million, to come from</w:t>
      </w:r>
      <w:r w:rsidR="0085225E" w:rsidRPr="00AD1F92" w:rsidDel="00CA3194">
        <w:t xml:space="preserve"> more than </w:t>
      </w:r>
      <w:r w:rsidR="0085225E" w:rsidRPr="00AD1F92">
        <w:t xml:space="preserve">the 14 </w:t>
      </w:r>
      <w:r w:rsidR="0085225E" w:rsidRPr="00AD1F92" w:rsidDel="00CA3194">
        <w:t xml:space="preserve">contributors </w:t>
      </w:r>
      <w:r w:rsidR="0085225E" w:rsidRPr="00AD1F92">
        <w:t xml:space="preserve">in 2023, by the Governments of Denmark, Germany, Iceland, Ireland, Norway, the Republic of Korea, Spain, Sweden and Switzerland, as well as the governments of the Brussels-Capital and Walloon Regions of Belgium, equivalent to USD 132.85 </w:t>
      </w:r>
      <w:proofErr w:type="gramStart"/>
      <w:r w:rsidR="0085225E" w:rsidRPr="00AD1F92">
        <w:t>million;</w:t>
      </w:r>
      <w:proofErr w:type="gramEnd"/>
    </w:p>
    <w:p w14:paraId="37C7659C" w14:textId="69DC6280" w:rsidR="0085225E" w:rsidRPr="00AD1F92" w:rsidRDefault="005F5ED5" w:rsidP="005F5ED5">
      <w:pPr>
        <w:pStyle w:val="RegSingleTxtG"/>
        <w:numPr>
          <w:ilvl w:val="0"/>
          <w:numId w:val="0"/>
        </w:numPr>
        <w:ind w:left="1134"/>
      </w:pPr>
      <w:r w:rsidRPr="00AD1F92">
        <w:t>4.</w:t>
      </w:r>
      <w:r w:rsidRPr="00AD1F92">
        <w:tab/>
      </w:r>
      <w:r w:rsidR="0085225E" w:rsidRPr="00AD1F92">
        <w:rPr>
          <w:i/>
          <w:iCs/>
        </w:rPr>
        <w:t>Notes</w:t>
      </w:r>
      <w:r w:rsidR="0085225E" w:rsidRPr="00AD1F92">
        <w:t xml:space="preserve"> </w:t>
      </w:r>
      <w:r w:rsidR="0085225E" w:rsidRPr="00AD1F92">
        <w:rPr>
          <w:i/>
          <w:iCs/>
        </w:rPr>
        <w:t>with concern</w:t>
      </w:r>
      <w:r w:rsidR="0085225E" w:rsidRPr="00AD1F92">
        <w:t xml:space="preserve"> the outstanding pledged contributions to the Adaptation Fund and </w:t>
      </w:r>
      <w:r w:rsidR="0085225E" w:rsidRPr="00AD1F92">
        <w:rPr>
          <w:i/>
          <w:iCs/>
        </w:rPr>
        <w:t>urges</w:t>
      </w:r>
      <w:r w:rsidR="0085225E" w:rsidRPr="00AD1F92">
        <w:t xml:space="preserve"> Parties to fulfil their pledges </w:t>
      </w:r>
      <w:proofErr w:type="gramStart"/>
      <w:r w:rsidR="0085225E" w:rsidRPr="00AD1F92">
        <w:t>as soon as possible;</w:t>
      </w:r>
      <w:proofErr w:type="gramEnd"/>
    </w:p>
    <w:p w14:paraId="7791DF72" w14:textId="1E9233DD" w:rsidR="0085225E" w:rsidRPr="00AD1F92" w:rsidRDefault="005F5ED5" w:rsidP="005F5ED5">
      <w:pPr>
        <w:pStyle w:val="RegSingleTxtG"/>
        <w:numPr>
          <w:ilvl w:val="0"/>
          <w:numId w:val="0"/>
        </w:numPr>
        <w:ind w:left="1134"/>
      </w:pPr>
      <w:r w:rsidRPr="00AD1F92">
        <w:t>5.</w:t>
      </w:r>
      <w:r w:rsidRPr="00AD1F92">
        <w:tab/>
      </w:r>
      <w:r w:rsidR="0085225E" w:rsidRPr="00AD1F92">
        <w:rPr>
          <w:i/>
          <w:iCs/>
        </w:rPr>
        <w:t>Encourages</w:t>
      </w:r>
      <w:r w:rsidR="0085225E" w:rsidRPr="00AD1F92">
        <w:t xml:space="preserve"> continued and increased voluntary contributions of financial resources to the Adaptation Fund in line with its resource mobilization strategy for 2022–2025;</w:t>
      </w:r>
      <w:r w:rsidR="006505EB" w:rsidRPr="00AD1F92">
        <w:rPr>
          <w:rStyle w:val="FootnoteReference"/>
        </w:rPr>
        <w:footnoteReference w:id="11"/>
      </w:r>
    </w:p>
    <w:p w14:paraId="32360716" w14:textId="6BB875F5" w:rsidR="0085225E" w:rsidRPr="00AD1F92" w:rsidRDefault="005F5ED5" w:rsidP="005F5ED5">
      <w:pPr>
        <w:pStyle w:val="RegSingleTxtG"/>
        <w:numPr>
          <w:ilvl w:val="0"/>
          <w:numId w:val="0"/>
        </w:numPr>
        <w:ind w:left="1134"/>
      </w:pPr>
      <w:r w:rsidRPr="00AD1F92">
        <w:t>6.</w:t>
      </w:r>
      <w:r w:rsidRPr="00AD1F92">
        <w:tab/>
      </w:r>
      <w:r w:rsidR="0085225E" w:rsidRPr="00AD1F92">
        <w:rPr>
          <w:i/>
          <w:iCs/>
        </w:rPr>
        <w:t>Underscores</w:t>
      </w:r>
      <w:r w:rsidR="0085225E" w:rsidRPr="00AD1F92">
        <w:t xml:space="preserve"> the urgency of scaling up financial resources, including the provision of voluntary support, that are additional to the share of proceeds levied on certified emission reductions in order to support the resource mobilization efforts of the Adaptation Fund Board with a view to strengthening the Adaptation </w:t>
      </w:r>
      <w:proofErr w:type="gramStart"/>
      <w:r w:rsidR="0085225E" w:rsidRPr="00AD1F92">
        <w:t>Fund;</w:t>
      </w:r>
      <w:proofErr w:type="gramEnd"/>
    </w:p>
    <w:p w14:paraId="5DBA9568" w14:textId="7C733B57" w:rsidR="0085225E" w:rsidRPr="00AD1F92" w:rsidRDefault="005F5ED5" w:rsidP="005F5ED5">
      <w:pPr>
        <w:pStyle w:val="RegSingleTxtG"/>
        <w:numPr>
          <w:ilvl w:val="0"/>
          <w:numId w:val="0"/>
        </w:numPr>
        <w:ind w:left="1134"/>
      </w:pPr>
      <w:r w:rsidRPr="00AD1F92">
        <w:lastRenderedPageBreak/>
        <w:t>7.</w:t>
      </w:r>
      <w:r w:rsidRPr="00AD1F92">
        <w:tab/>
      </w:r>
      <w:r w:rsidR="0085225E" w:rsidRPr="00AD1F92">
        <w:rPr>
          <w:i/>
          <w:iCs/>
        </w:rPr>
        <w:t>Emphasizes</w:t>
      </w:r>
      <w:r w:rsidR="0085225E" w:rsidRPr="00AD1F92">
        <w:t xml:space="preserve"> the importance of continuing to take action to promote the adequacy and predictability of adaptation finance, including through multi-year contributions, taking into account the role of the Adaptation Fund in delivering dedicated support for </w:t>
      </w:r>
      <w:proofErr w:type="gramStart"/>
      <w:r w:rsidR="0085225E" w:rsidRPr="00AD1F92">
        <w:t>adaptation;</w:t>
      </w:r>
      <w:proofErr w:type="gramEnd"/>
    </w:p>
    <w:p w14:paraId="5A029C62" w14:textId="5F2A7FBC" w:rsidR="0085225E" w:rsidRPr="00AD1F92" w:rsidRDefault="005F5ED5" w:rsidP="005F5ED5">
      <w:pPr>
        <w:pStyle w:val="RegSingleTxtG"/>
        <w:numPr>
          <w:ilvl w:val="0"/>
          <w:numId w:val="0"/>
        </w:numPr>
        <w:ind w:left="1134"/>
      </w:pPr>
      <w:r w:rsidRPr="00AD1F92">
        <w:t>8.</w:t>
      </w:r>
      <w:r w:rsidRPr="00AD1F92">
        <w:tab/>
      </w:r>
      <w:r w:rsidR="0085225E" w:rsidRPr="00AD1F92">
        <w:rPr>
          <w:i/>
          <w:iCs/>
        </w:rPr>
        <w:t>Recalls</w:t>
      </w:r>
      <w:r w:rsidR="0085225E" w:rsidRPr="00AD1F92">
        <w:t xml:space="preserve"> the importance of financial contributions to the Adaptation Fund, including in the context of urging developed country Parties to at least double their collective provision of climate finance for adaptation to developing countries from 2019 levels by 2025, in the context of achieving a balance between mitigation and adaptation in the provision of scaled</w:t>
      </w:r>
      <w:r w:rsidR="0085225E" w:rsidRPr="00AD1F92">
        <w:noBreakHyphen/>
        <w:t xml:space="preserve">up financial resources, recalling Article 9, paragraph 4, of the Paris Agreement, as per paragraph 18 of decision </w:t>
      </w:r>
      <w:hyperlink r:id="rId41" w:history="1">
        <w:r w:rsidR="0085225E" w:rsidRPr="00AD1F92">
          <w:rPr>
            <w:rStyle w:val="Hyperlink"/>
          </w:rPr>
          <w:t>1/CMA.3</w:t>
        </w:r>
      </w:hyperlink>
      <w:r w:rsidR="0085225E" w:rsidRPr="00AD1F92">
        <w:t xml:space="preserve">; </w:t>
      </w:r>
    </w:p>
    <w:p w14:paraId="31364121" w14:textId="2F86BDC2" w:rsidR="0085225E" w:rsidRPr="00AD1F92" w:rsidRDefault="005F5ED5" w:rsidP="005F5ED5">
      <w:pPr>
        <w:pStyle w:val="RegSingleTxtG"/>
        <w:numPr>
          <w:ilvl w:val="0"/>
          <w:numId w:val="0"/>
        </w:numPr>
        <w:ind w:left="1134"/>
      </w:pPr>
      <w:r w:rsidRPr="00AD1F92">
        <w:t>9.</w:t>
      </w:r>
      <w:r w:rsidRPr="00AD1F92">
        <w:tab/>
      </w:r>
      <w:r w:rsidR="0085225E" w:rsidRPr="00AD1F92">
        <w:rPr>
          <w:i/>
          <w:iCs/>
        </w:rPr>
        <w:t>Encourages</w:t>
      </w:r>
      <w:r w:rsidR="0085225E" w:rsidRPr="00AD1F92">
        <w:t xml:space="preserve"> the achievement of the goals set out in the Medium-Term Strategy of the Adaptation Fund for 2023–‍2027 with the expectation that its implementation will generate significant outcomes in terms of promoting locally led adaptation, scaling up projects and replicating their results, and strengthening linkages and synergies between the Strategy’s strategic pillars of action, innovation, and learning and </w:t>
      </w:r>
      <w:proofErr w:type="gramStart"/>
      <w:r w:rsidR="0085225E" w:rsidRPr="00AD1F92">
        <w:t>sharing;</w:t>
      </w:r>
      <w:proofErr w:type="gramEnd"/>
    </w:p>
    <w:p w14:paraId="096D6D8D" w14:textId="3EA087CE" w:rsidR="0085225E" w:rsidRPr="00AD1F92" w:rsidRDefault="005F5ED5" w:rsidP="005F5ED5">
      <w:pPr>
        <w:pStyle w:val="RegSingleTxtG"/>
        <w:numPr>
          <w:ilvl w:val="0"/>
          <w:numId w:val="0"/>
        </w:numPr>
        <w:ind w:left="1134"/>
      </w:pPr>
      <w:r w:rsidRPr="00AD1F92">
        <w:t>10.</w:t>
      </w:r>
      <w:r w:rsidRPr="00AD1F92">
        <w:tab/>
      </w:r>
      <w:r w:rsidR="0085225E" w:rsidRPr="00AD1F92">
        <w:rPr>
          <w:i/>
          <w:iCs/>
        </w:rPr>
        <w:t>Welcomes</w:t>
      </w:r>
      <w:r w:rsidR="0085225E" w:rsidRPr="00AD1F92">
        <w:t xml:space="preserve"> the establishment by the Adaptation Fund Board of a new global aggregator programme for channelling small grants for locally led adaptation projects and programmes to non-accredited entities, and of a new funding window for regional projects and programmes on locally led adaptation, as well as the approval of 13 single-country proposals and 1 regional proposal, and </w:t>
      </w:r>
      <w:r w:rsidR="0085225E" w:rsidRPr="00AD1F92">
        <w:rPr>
          <w:i/>
          <w:iCs/>
        </w:rPr>
        <w:t>notes with appreciation</w:t>
      </w:r>
      <w:r w:rsidR="0085225E" w:rsidRPr="00AD1F92">
        <w:t xml:space="preserve"> the efforts of developing country Parties to access funding under the Adaptation Fund for implementing concrete adaptation activities;</w:t>
      </w:r>
    </w:p>
    <w:p w14:paraId="4610768A" w14:textId="2384F465" w:rsidR="0085225E" w:rsidRPr="00AD1F92" w:rsidRDefault="005F5ED5" w:rsidP="005F5ED5">
      <w:pPr>
        <w:pStyle w:val="RegSingleTxtG"/>
        <w:numPr>
          <w:ilvl w:val="0"/>
          <w:numId w:val="0"/>
        </w:numPr>
        <w:ind w:left="1134"/>
      </w:pPr>
      <w:r w:rsidRPr="00AD1F92">
        <w:t>11.</w:t>
      </w:r>
      <w:r w:rsidRPr="00AD1F92">
        <w:tab/>
      </w:r>
      <w:r w:rsidR="0085225E" w:rsidRPr="00AD1F92">
        <w:rPr>
          <w:i/>
          <w:iCs/>
        </w:rPr>
        <w:t>Welcomes</w:t>
      </w:r>
      <w:r w:rsidR="0085225E" w:rsidRPr="00AD1F92">
        <w:t xml:space="preserve"> the approval of additional financing and delivery partners for the global aggregator programme under the Adaptation Fund innovation facility and </w:t>
      </w:r>
      <w:r w:rsidR="0085225E" w:rsidRPr="00AD1F92">
        <w:rPr>
          <w:i/>
          <w:iCs/>
        </w:rPr>
        <w:t>requests</w:t>
      </w:r>
      <w:r w:rsidR="0085225E" w:rsidRPr="00AD1F92">
        <w:t xml:space="preserve"> the Adaptation Fund Board to accelerate efforts to implement the </w:t>
      </w:r>
      <w:proofErr w:type="gramStart"/>
      <w:r w:rsidR="0085225E" w:rsidRPr="00AD1F92">
        <w:t>programme;</w:t>
      </w:r>
      <w:proofErr w:type="gramEnd"/>
    </w:p>
    <w:p w14:paraId="00A06E71" w14:textId="4F770198" w:rsidR="0085225E" w:rsidRPr="00AD1F92" w:rsidRDefault="005F5ED5" w:rsidP="005F5ED5">
      <w:pPr>
        <w:pStyle w:val="RegSingleTxtG"/>
        <w:numPr>
          <w:ilvl w:val="0"/>
          <w:numId w:val="0"/>
        </w:numPr>
        <w:ind w:left="1134"/>
      </w:pPr>
      <w:r w:rsidRPr="00AD1F92">
        <w:t>12.</w:t>
      </w:r>
      <w:r w:rsidRPr="00AD1F92">
        <w:tab/>
      </w:r>
      <w:r w:rsidR="0085225E" w:rsidRPr="00AD1F92">
        <w:rPr>
          <w:i/>
          <w:iCs/>
        </w:rPr>
        <w:t>Underscores</w:t>
      </w:r>
      <w:r w:rsidR="0085225E" w:rsidRPr="00AD1F92">
        <w:t xml:space="preserve"> the need to tailor projects to local contexts, including through initial assessments and consultations with diverse groups in line with the Adaptation Fund guidelines and </w:t>
      </w:r>
      <w:proofErr w:type="gramStart"/>
      <w:r w:rsidR="0085225E" w:rsidRPr="00AD1F92">
        <w:t>policies;</w:t>
      </w:r>
      <w:proofErr w:type="gramEnd"/>
    </w:p>
    <w:p w14:paraId="25B9A484" w14:textId="1243D60A" w:rsidR="0085225E" w:rsidRPr="00AD1F92" w:rsidRDefault="005F5ED5" w:rsidP="005F5ED5">
      <w:pPr>
        <w:pStyle w:val="RegSingleTxtG"/>
        <w:numPr>
          <w:ilvl w:val="0"/>
          <w:numId w:val="0"/>
        </w:numPr>
        <w:ind w:left="1134"/>
      </w:pPr>
      <w:r w:rsidRPr="00AD1F92">
        <w:t>13.</w:t>
      </w:r>
      <w:r w:rsidRPr="00AD1F92">
        <w:tab/>
      </w:r>
      <w:r w:rsidR="0085225E" w:rsidRPr="00AD1F92">
        <w:rPr>
          <w:i/>
          <w:iCs/>
        </w:rPr>
        <w:t>Notes</w:t>
      </w:r>
      <w:r w:rsidR="0085225E" w:rsidRPr="00AD1F92">
        <w:t xml:space="preserve"> the increased support for readiness and capacity-building as a result of increasing project formulation grants for all projects and programmes, with additional support for locally led adaptation projects, and </w:t>
      </w:r>
      <w:r w:rsidR="0085225E" w:rsidRPr="00AD1F92">
        <w:rPr>
          <w:i/>
          <w:iCs/>
        </w:rPr>
        <w:t>stresses</w:t>
      </w:r>
      <w:r w:rsidR="0085225E" w:rsidRPr="00AD1F92">
        <w:t xml:space="preserve"> the importance of the continuation of this </w:t>
      </w:r>
      <w:proofErr w:type="gramStart"/>
      <w:r w:rsidR="0085225E" w:rsidRPr="00AD1F92">
        <w:t>work;</w:t>
      </w:r>
      <w:proofErr w:type="gramEnd"/>
    </w:p>
    <w:p w14:paraId="5DE93006" w14:textId="1E2F28FB" w:rsidR="0085225E" w:rsidRPr="00AD1F92" w:rsidRDefault="005F5ED5" w:rsidP="005F5ED5">
      <w:pPr>
        <w:pStyle w:val="RegSingleTxtG"/>
        <w:numPr>
          <w:ilvl w:val="0"/>
          <w:numId w:val="0"/>
        </w:numPr>
        <w:ind w:left="1134"/>
      </w:pPr>
      <w:r w:rsidRPr="00AD1F92">
        <w:t>14.</w:t>
      </w:r>
      <w:r w:rsidRPr="00AD1F92">
        <w:tab/>
      </w:r>
      <w:r w:rsidR="0085225E" w:rsidRPr="00AD1F92">
        <w:rPr>
          <w:i/>
          <w:iCs/>
        </w:rPr>
        <w:t xml:space="preserve">Takes note </w:t>
      </w:r>
      <w:r w:rsidR="0085225E" w:rsidRPr="00AD1F92">
        <w:t>of the information in the report referred to in paragraph 1 above,</w:t>
      </w:r>
      <w:r w:rsidR="0085225E" w:rsidRPr="00AD1F92">
        <w:rPr>
          <w:i/>
          <w:iCs/>
        </w:rPr>
        <w:t xml:space="preserve"> welcomes </w:t>
      </w:r>
      <w:r w:rsidR="0085225E" w:rsidRPr="00AD1F92">
        <w:t>the consideration by the Adaptation Fund Board of the funding caps, noting that the Board had requested the secretariat to prepare an analysis for consideration at its 43</w:t>
      </w:r>
      <w:r w:rsidR="0085225E" w:rsidRPr="00AD1F92">
        <w:rPr>
          <w:vertAlign w:val="superscript"/>
        </w:rPr>
        <w:t>rd</w:t>
      </w:r>
      <w:r w:rsidR="0085225E" w:rsidRPr="00AD1F92">
        <w:t xml:space="preserve"> meeting, and </w:t>
      </w:r>
      <w:r w:rsidR="0085225E" w:rsidRPr="00AD1F92">
        <w:rPr>
          <w:i/>
          <w:iCs/>
        </w:rPr>
        <w:t>requests</w:t>
      </w:r>
      <w:r w:rsidR="0085225E" w:rsidRPr="00AD1F92">
        <w:t xml:space="preserve"> the Board to complete its consideration in a timely </w:t>
      </w:r>
      <w:proofErr w:type="gramStart"/>
      <w:r w:rsidR="0085225E" w:rsidRPr="00AD1F92">
        <w:t>manner;</w:t>
      </w:r>
      <w:proofErr w:type="gramEnd"/>
    </w:p>
    <w:p w14:paraId="55E433E0" w14:textId="2F099894" w:rsidR="0085225E" w:rsidRPr="00AD1F92" w:rsidRDefault="005F5ED5" w:rsidP="005F5ED5">
      <w:pPr>
        <w:pStyle w:val="RegSingleTxtG"/>
        <w:numPr>
          <w:ilvl w:val="0"/>
          <w:numId w:val="0"/>
        </w:numPr>
        <w:ind w:left="1134"/>
      </w:pPr>
      <w:r w:rsidRPr="00AD1F92">
        <w:t>15.</w:t>
      </w:r>
      <w:r w:rsidRPr="00AD1F92">
        <w:tab/>
      </w:r>
      <w:r w:rsidR="0085225E" w:rsidRPr="00AD1F92">
        <w:rPr>
          <w:i/>
          <w:iCs/>
        </w:rPr>
        <w:t xml:space="preserve">Welcomes </w:t>
      </w:r>
      <w:r w:rsidR="0085225E" w:rsidRPr="00AD1F92">
        <w:t xml:space="preserve">the decision of the Adaptation Fund Board to outline an enhanced readiness programme and </w:t>
      </w:r>
      <w:r w:rsidR="0085225E" w:rsidRPr="00AD1F92">
        <w:rPr>
          <w:i/>
          <w:iCs/>
        </w:rPr>
        <w:t>looks forward</w:t>
      </w:r>
      <w:r w:rsidR="0085225E" w:rsidRPr="00AD1F92">
        <w:t xml:space="preserve"> to receiving an update on progress in this </w:t>
      </w:r>
      <w:proofErr w:type="gramStart"/>
      <w:r w:rsidR="0085225E" w:rsidRPr="00AD1F92">
        <w:t>regard;</w:t>
      </w:r>
      <w:proofErr w:type="gramEnd"/>
      <w:r w:rsidR="0085225E" w:rsidRPr="00AD1F92">
        <w:t xml:space="preserve"> </w:t>
      </w:r>
    </w:p>
    <w:p w14:paraId="2EA70ADE" w14:textId="3A0A0FB6" w:rsidR="0085225E" w:rsidRPr="00AD1F92" w:rsidRDefault="005F5ED5" w:rsidP="005F5ED5">
      <w:pPr>
        <w:pStyle w:val="RegSingleTxtG"/>
        <w:numPr>
          <w:ilvl w:val="0"/>
          <w:numId w:val="0"/>
        </w:numPr>
        <w:ind w:left="1134"/>
      </w:pPr>
      <w:r w:rsidRPr="00AD1F92">
        <w:t>16.</w:t>
      </w:r>
      <w:r w:rsidRPr="00AD1F92">
        <w:tab/>
      </w:r>
      <w:r w:rsidR="0085225E" w:rsidRPr="00AD1F92">
        <w:rPr>
          <w:i/>
          <w:iCs/>
        </w:rPr>
        <w:t>Welcomes</w:t>
      </w:r>
      <w:r w:rsidR="0085225E" w:rsidRPr="00AD1F92">
        <w:t xml:space="preserve"> the progress of the Adaptation Fund Board in implementing the updated gender policy and action plan of the Adaptation Fund</w:t>
      </w:r>
      <w:r w:rsidR="0085225E" w:rsidRPr="00AD1F92">
        <w:rPr>
          <w:vertAlign w:val="superscript"/>
        </w:rPr>
        <w:footnoteReference w:id="12"/>
      </w:r>
      <w:r w:rsidR="65DDC2E3" w:rsidRPr="00AD1F92">
        <w:t xml:space="preserve"> </w:t>
      </w:r>
      <w:r w:rsidR="0085225E" w:rsidRPr="00AD1F92">
        <w:t>and the gender scorecard, including by developing the first Adaptation Fund e-learning course on gender mainstreaming</w:t>
      </w:r>
      <w:r w:rsidR="0085225E" w:rsidRPr="00AD1F92">
        <w:rPr>
          <w:vertAlign w:val="superscript"/>
        </w:rPr>
        <w:footnoteReference w:id="13"/>
      </w:r>
      <w:r w:rsidR="0085225E" w:rsidRPr="00AD1F92">
        <w:t xml:space="preserve"> to help strengthen the capacity of implementing entities to develop gender-responsive adaptation projects, and </w:t>
      </w:r>
      <w:r w:rsidR="0085225E" w:rsidRPr="00AD1F92">
        <w:rPr>
          <w:i/>
          <w:iCs/>
        </w:rPr>
        <w:t>requests</w:t>
      </w:r>
      <w:r w:rsidR="0085225E" w:rsidRPr="00AD1F92">
        <w:t xml:space="preserve"> the Adaptation Fund Board to further increase the gender-responsiveness of the resources of the Adaptation </w:t>
      </w:r>
      <w:proofErr w:type="gramStart"/>
      <w:r w:rsidR="0085225E" w:rsidRPr="00AD1F92">
        <w:t>Fund;</w:t>
      </w:r>
      <w:proofErr w:type="gramEnd"/>
      <w:r w:rsidR="0085225E" w:rsidRPr="00AD1F92">
        <w:t xml:space="preserve"> </w:t>
      </w:r>
    </w:p>
    <w:p w14:paraId="5958AF1A" w14:textId="2BFA3D2F" w:rsidR="0085225E" w:rsidRPr="00AD1F92" w:rsidRDefault="005F5ED5" w:rsidP="005F5ED5">
      <w:pPr>
        <w:pStyle w:val="RegSingleTxtG"/>
        <w:numPr>
          <w:ilvl w:val="0"/>
          <w:numId w:val="0"/>
        </w:numPr>
        <w:ind w:left="1134"/>
      </w:pPr>
      <w:r w:rsidRPr="00AD1F92">
        <w:t>17.</w:t>
      </w:r>
      <w:r w:rsidRPr="00AD1F92">
        <w:tab/>
      </w:r>
      <w:r w:rsidR="0085225E" w:rsidRPr="00AD1F92">
        <w:rPr>
          <w:i/>
          <w:iCs/>
        </w:rPr>
        <w:t xml:space="preserve">Invites </w:t>
      </w:r>
      <w:r w:rsidR="0085225E" w:rsidRPr="00AD1F92">
        <w:t xml:space="preserve">the Adaptation Fund Board to consider areas for improvement in the context of the gender-responsiveness of the work of the Adaptation Fund, </w:t>
      </w:r>
      <w:proofErr w:type="gramStart"/>
      <w:r w:rsidR="0085225E" w:rsidRPr="00AD1F92">
        <w:t>taking into account</w:t>
      </w:r>
      <w:proofErr w:type="gramEnd"/>
      <w:r w:rsidR="0085225E" w:rsidRPr="00AD1F92">
        <w:t xml:space="preserve"> relevant insights, including from the summary report on the 2024 Standing Committee on Finance Forum on accelerating climate action and resilience through gender-responsive finance;</w:t>
      </w:r>
      <w:r w:rsidR="0085225E" w:rsidRPr="00AD1F92">
        <w:rPr>
          <w:vertAlign w:val="superscript"/>
        </w:rPr>
        <w:footnoteReference w:id="14"/>
      </w:r>
      <w:r w:rsidR="0085225E" w:rsidRPr="00AD1F92">
        <w:rPr>
          <w:vertAlign w:val="superscript"/>
        </w:rPr>
        <w:t xml:space="preserve"> </w:t>
      </w:r>
    </w:p>
    <w:p w14:paraId="3A426B16" w14:textId="3F153760" w:rsidR="0085225E" w:rsidRPr="00AD1F92" w:rsidRDefault="005F5ED5" w:rsidP="005F5ED5">
      <w:pPr>
        <w:pStyle w:val="RegSingleTxtG"/>
        <w:numPr>
          <w:ilvl w:val="0"/>
          <w:numId w:val="0"/>
        </w:numPr>
        <w:ind w:left="1134"/>
      </w:pPr>
      <w:r w:rsidRPr="00AD1F92">
        <w:lastRenderedPageBreak/>
        <w:t>18.</w:t>
      </w:r>
      <w:r w:rsidRPr="00AD1F92">
        <w:tab/>
      </w:r>
      <w:r w:rsidR="0085225E" w:rsidRPr="00AD1F92">
        <w:rPr>
          <w:i/>
          <w:iCs/>
        </w:rPr>
        <w:t>Welcomes</w:t>
      </w:r>
      <w:r w:rsidR="0085225E" w:rsidRPr="00AD1F92">
        <w:t xml:space="preserve"> the decision of the Adaptation Fund Board to develop and adopt a stand-alone Adaptation Fund policy on sexual exploitation and abuse and sexual harassment</w:t>
      </w:r>
      <w:r w:rsidR="0085225E" w:rsidRPr="00AD1F92">
        <w:rPr>
          <w:vertAlign w:val="superscript"/>
        </w:rPr>
        <w:footnoteReference w:id="15"/>
      </w:r>
      <w:r w:rsidR="0085225E" w:rsidRPr="00AD1F92">
        <w:t xml:space="preserve"> and </w:t>
      </w:r>
      <w:r w:rsidR="0085225E" w:rsidRPr="00AD1F92">
        <w:rPr>
          <w:i/>
          <w:iCs/>
        </w:rPr>
        <w:t>reiterates</w:t>
      </w:r>
      <w:r w:rsidR="0085225E" w:rsidRPr="00AD1F92">
        <w:t xml:space="preserve"> the importance of the Adaptation Fund Board completing its work in this </w:t>
      </w:r>
      <w:proofErr w:type="gramStart"/>
      <w:r w:rsidR="0085225E" w:rsidRPr="00AD1F92">
        <w:t>regard;</w:t>
      </w:r>
      <w:proofErr w:type="gramEnd"/>
    </w:p>
    <w:p w14:paraId="21130163" w14:textId="44AFD8A6" w:rsidR="0085225E" w:rsidRPr="00AD1F92" w:rsidRDefault="005F5ED5" w:rsidP="005F5ED5">
      <w:pPr>
        <w:pStyle w:val="RegSingleTxtG"/>
        <w:numPr>
          <w:ilvl w:val="0"/>
          <w:numId w:val="0"/>
        </w:numPr>
        <w:ind w:left="1134"/>
      </w:pPr>
      <w:bookmarkStart w:id="8" w:name="_Hlk183004359"/>
      <w:r w:rsidRPr="00AD1F92">
        <w:t>19.</w:t>
      </w:r>
      <w:r w:rsidRPr="00AD1F92">
        <w:tab/>
      </w:r>
      <w:r w:rsidR="0085225E" w:rsidRPr="00AD1F92">
        <w:rPr>
          <w:i/>
          <w:iCs/>
        </w:rPr>
        <w:t>Welcomes</w:t>
      </w:r>
      <w:r w:rsidR="0085225E" w:rsidRPr="00AD1F92">
        <w:t xml:space="preserve"> the work of the Adaptation Fund Board on complementarity and coherence with other multilateral climate funds</w:t>
      </w:r>
      <w:r w:rsidR="0085225E" w:rsidRPr="00AD1F92">
        <w:rPr>
          <w:rStyle w:val="FootnoteReference"/>
        </w:rPr>
        <w:footnoteReference w:id="16"/>
      </w:r>
      <w:r w:rsidR="0085225E" w:rsidRPr="00AD1F92">
        <w:t xml:space="preserve"> </w:t>
      </w:r>
      <w:bookmarkEnd w:id="8"/>
      <w:r w:rsidR="0085225E" w:rsidRPr="00AD1F92">
        <w:t xml:space="preserve">and </w:t>
      </w:r>
      <w:r w:rsidR="0085225E" w:rsidRPr="00AD1F92">
        <w:rPr>
          <w:i/>
          <w:iCs/>
        </w:rPr>
        <w:t>encourages</w:t>
      </w:r>
      <w:r w:rsidR="0085225E" w:rsidRPr="00AD1F92">
        <w:t xml:space="preserve"> the Board to continue this work with a view to simplifying its access modalities, as appropriate, and maximizing its </w:t>
      </w:r>
      <w:proofErr w:type="gramStart"/>
      <w:r w:rsidR="0085225E" w:rsidRPr="00AD1F92">
        <w:t>impact;</w:t>
      </w:r>
      <w:proofErr w:type="gramEnd"/>
    </w:p>
    <w:p w14:paraId="7128F6FF" w14:textId="352417BF" w:rsidR="0085225E" w:rsidRPr="00AD1F92" w:rsidRDefault="005F5ED5" w:rsidP="005F5ED5">
      <w:pPr>
        <w:pStyle w:val="RegSingleTxtG"/>
        <w:numPr>
          <w:ilvl w:val="0"/>
          <w:numId w:val="0"/>
        </w:numPr>
        <w:ind w:left="1134"/>
      </w:pPr>
      <w:r w:rsidRPr="00AD1F92">
        <w:t>20.</w:t>
      </w:r>
      <w:r w:rsidRPr="00AD1F92">
        <w:tab/>
      </w:r>
      <w:r w:rsidR="0085225E" w:rsidRPr="00AD1F92">
        <w:rPr>
          <w:i/>
          <w:iCs/>
        </w:rPr>
        <w:t>Welcomes</w:t>
      </w:r>
      <w:r w:rsidR="0085225E" w:rsidRPr="00AD1F92">
        <w:t xml:space="preserve"> the continued collaboration between the Adaptation Fund and the Technology Executive Committee and the Climate Technology Centre and Network, including through the Adaptation Fund Climate Innovation Accelerator, and </w:t>
      </w:r>
      <w:r w:rsidR="0085225E" w:rsidRPr="00AD1F92">
        <w:rPr>
          <w:i/>
          <w:iCs/>
        </w:rPr>
        <w:t>encourages</w:t>
      </w:r>
      <w:r w:rsidR="0085225E" w:rsidRPr="00AD1F92">
        <w:t xml:space="preserve"> continued collaboration in this </w:t>
      </w:r>
      <w:proofErr w:type="gramStart"/>
      <w:r w:rsidR="0085225E" w:rsidRPr="00AD1F92">
        <w:t>regard;</w:t>
      </w:r>
      <w:proofErr w:type="gramEnd"/>
    </w:p>
    <w:p w14:paraId="4B989224" w14:textId="3D1DA3DD" w:rsidR="0085225E" w:rsidRPr="00AD1F92" w:rsidRDefault="005F5ED5" w:rsidP="005F5ED5">
      <w:pPr>
        <w:pStyle w:val="RegSingleTxtG"/>
        <w:numPr>
          <w:ilvl w:val="0"/>
          <w:numId w:val="0"/>
        </w:numPr>
        <w:ind w:left="1134"/>
      </w:pPr>
      <w:r w:rsidRPr="00AD1F92">
        <w:t>21.</w:t>
      </w:r>
      <w:r w:rsidRPr="00AD1F92">
        <w:tab/>
      </w:r>
      <w:r w:rsidR="0085225E" w:rsidRPr="00AD1F92">
        <w:rPr>
          <w:i/>
          <w:iCs/>
        </w:rPr>
        <w:t>Also encourages</w:t>
      </w:r>
      <w:r w:rsidR="0085225E" w:rsidRPr="00AD1F92">
        <w:t xml:space="preserve"> the Adaptation Fund Board</w:t>
      </w:r>
      <w:r w:rsidR="0085225E" w:rsidRPr="00AD1F92" w:rsidDel="009D5621">
        <w:t xml:space="preserve"> </w:t>
      </w:r>
      <w:r w:rsidR="0085225E" w:rsidRPr="00AD1F92">
        <w:t xml:space="preserve">to complete, as a matter of priority, its work related to implementing its mandates in decisions </w:t>
      </w:r>
      <w:hyperlink r:id="rId42" w:history="1">
        <w:r w:rsidR="0085225E" w:rsidRPr="00AD1F92">
          <w:rPr>
            <w:rStyle w:val="Hyperlink"/>
          </w:rPr>
          <w:t>1/CMP.14</w:t>
        </w:r>
      </w:hyperlink>
      <w:r w:rsidR="0085225E" w:rsidRPr="00AD1F92">
        <w:t xml:space="preserve"> and </w:t>
      </w:r>
      <w:hyperlink r:id="rId43" w:history="1">
        <w:r w:rsidR="0085225E" w:rsidRPr="00AD1F92">
          <w:rPr>
            <w:rStyle w:val="Hyperlink"/>
          </w:rPr>
          <w:t>13/CMA.1</w:t>
        </w:r>
      </w:hyperlink>
      <w:r w:rsidR="0085225E" w:rsidRPr="00AD1F92">
        <w:t xml:space="preserve"> and to report thereon in its annual report to the Conference of the Parties serving as the meeting of the Parties to the Kyoto Protocol at its twentieth session (November 2025)</w:t>
      </w:r>
      <w:r w:rsidR="0085225E" w:rsidRPr="00AD1F92">
        <w:rPr>
          <w:i/>
          <w:iCs/>
        </w:rPr>
        <w:t xml:space="preserve"> </w:t>
      </w:r>
      <w:r w:rsidR="0085225E" w:rsidRPr="00AD1F92">
        <w:t>and the Conference of the Parties serving as the meeting of the Parties to the Paris Agreement at its seventh session (November 2025);</w:t>
      </w:r>
    </w:p>
    <w:p w14:paraId="372B5282" w14:textId="7128965F" w:rsidR="0085225E" w:rsidRPr="00AD1F92" w:rsidRDefault="005F5ED5" w:rsidP="005F5ED5">
      <w:pPr>
        <w:pStyle w:val="RegSingleTxtG"/>
        <w:numPr>
          <w:ilvl w:val="0"/>
          <w:numId w:val="0"/>
        </w:numPr>
        <w:ind w:left="1134"/>
      </w:pPr>
      <w:r w:rsidRPr="00AD1F92">
        <w:t>22.</w:t>
      </w:r>
      <w:r w:rsidRPr="00AD1F92">
        <w:tab/>
      </w:r>
      <w:r w:rsidR="0085225E" w:rsidRPr="00AD1F92">
        <w:rPr>
          <w:i/>
          <w:iCs/>
        </w:rPr>
        <w:t>Emphasizes</w:t>
      </w:r>
      <w:r w:rsidR="0085225E" w:rsidRPr="00AD1F92">
        <w:t xml:space="preserve"> the need for maintaining continuity in implementing the activities of the Adaptation Fund Board during the transition of the Adaptation Fund from the Kyoto Protocol to the Paris Agreement, including continued access of developing countries to support for </w:t>
      </w:r>
      <w:proofErr w:type="gramStart"/>
      <w:r w:rsidR="0085225E" w:rsidRPr="00AD1F92">
        <w:t>adaptation;</w:t>
      </w:r>
      <w:proofErr w:type="gramEnd"/>
    </w:p>
    <w:p w14:paraId="1409207E" w14:textId="0D9A3D26" w:rsidR="0085225E" w:rsidRPr="00AD1F92" w:rsidRDefault="005F5ED5" w:rsidP="005F5ED5">
      <w:pPr>
        <w:pStyle w:val="RegSingleTxtG"/>
        <w:numPr>
          <w:ilvl w:val="0"/>
          <w:numId w:val="0"/>
        </w:numPr>
        <w:ind w:left="1134"/>
      </w:pPr>
      <w:r w:rsidRPr="00AD1F92">
        <w:t>23.</w:t>
      </w:r>
      <w:r w:rsidRPr="00AD1F92">
        <w:tab/>
      </w:r>
      <w:r w:rsidR="0085225E" w:rsidRPr="00AD1F92">
        <w:rPr>
          <w:i/>
          <w:iCs/>
        </w:rPr>
        <w:t xml:space="preserve">Requests </w:t>
      </w:r>
      <w:r w:rsidR="0085225E" w:rsidRPr="00AD1F92">
        <w:t>the Subsidiary Body for Implementation</w:t>
      </w:r>
      <w:r w:rsidR="0085225E" w:rsidRPr="00AD1F92">
        <w:rPr>
          <w:i/>
          <w:iCs/>
        </w:rPr>
        <w:t xml:space="preserve"> </w:t>
      </w:r>
      <w:r w:rsidR="0085225E" w:rsidRPr="00AD1F92">
        <w:t>to consider, at its sixty-second session (June 2025), the matter of the arrangements for the Adaptation Fund to exclusively serve the Paris Agreement and to make recommendations on this matter for consideration by the Conference of the Parties serving as the meeting of the Parties to the Kyoto Protocol at its twentieth session.</w:t>
      </w:r>
    </w:p>
    <w:p w14:paraId="2C1C7E89" w14:textId="2A81E96E" w:rsidR="00B76B27" w:rsidRPr="00AD1F92" w:rsidRDefault="00484704" w:rsidP="00B76B27">
      <w:pPr>
        <w:ind w:right="1133"/>
        <w:jc w:val="right"/>
        <w:rPr>
          <w:i/>
          <w:iCs/>
        </w:rPr>
      </w:pPr>
      <w:r w:rsidRPr="00AD1F92">
        <w:rPr>
          <w:i/>
          <w:iCs/>
        </w:rPr>
        <w:t>11</w:t>
      </w:r>
      <w:r w:rsidRPr="00AD1F92">
        <w:rPr>
          <w:i/>
          <w:iCs/>
          <w:vertAlign w:val="superscript"/>
        </w:rPr>
        <w:t>th</w:t>
      </w:r>
      <w:r w:rsidRPr="00AD1F92">
        <w:rPr>
          <w:i/>
          <w:iCs/>
        </w:rPr>
        <w:t xml:space="preserve"> </w:t>
      </w:r>
      <w:r w:rsidR="00B76B27" w:rsidRPr="00AD1F92">
        <w:rPr>
          <w:i/>
          <w:iCs/>
        </w:rPr>
        <w:t>plenary meeting</w:t>
      </w:r>
    </w:p>
    <w:p w14:paraId="565858D3" w14:textId="26EC08B4" w:rsidR="00B76B27" w:rsidRPr="00AD1F92" w:rsidRDefault="00484704" w:rsidP="00B76B27">
      <w:pPr>
        <w:ind w:right="1133"/>
        <w:jc w:val="right"/>
        <w:rPr>
          <w:i/>
          <w:iCs/>
        </w:rPr>
      </w:pPr>
      <w:r w:rsidRPr="00AD1F92">
        <w:rPr>
          <w:i/>
          <w:iCs/>
        </w:rPr>
        <w:t>23</w:t>
      </w:r>
      <w:r w:rsidR="00B76B27" w:rsidRPr="00AD1F92">
        <w:rPr>
          <w:i/>
          <w:iCs/>
        </w:rPr>
        <w:t xml:space="preserve"> November 2024</w:t>
      </w:r>
    </w:p>
    <w:p w14:paraId="513FBBF0" w14:textId="77777777" w:rsidR="005677B8" w:rsidRPr="00AD1F92" w:rsidRDefault="005677B8" w:rsidP="005F5ED5">
      <w:pPr>
        <w:pStyle w:val="RegHChG"/>
        <w:numPr>
          <w:ilvl w:val="0"/>
          <w:numId w:val="0"/>
        </w:numPr>
        <w:ind w:hanging="454"/>
      </w:pPr>
      <w:bookmarkStart w:id="9" w:name="_Toc184133528"/>
    </w:p>
    <w:p w14:paraId="46425DBD" w14:textId="77777777" w:rsidR="00C621A9" w:rsidRPr="00AD1F92" w:rsidRDefault="00C621A9" w:rsidP="005F5ED5">
      <w:pPr>
        <w:pStyle w:val="RegHChG"/>
        <w:numPr>
          <w:ilvl w:val="0"/>
          <w:numId w:val="0"/>
        </w:numPr>
        <w:ind w:left="1134" w:hanging="454"/>
        <w:sectPr w:rsidR="00C621A9" w:rsidRPr="00AD1F92" w:rsidSect="00D43A6E">
          <w:headerReference w:type="even" r:id="rId44"/>
          <w:headerReference w:type="default" r:id="rId45"/>
          <w:footerReference w:type="even" r:id="rId46"/>
          <w:footerReference w:type="default" r:id="rId47"/>
          <w:footnotePr>
            <w:numRestart w:val="eachSect"/>
          </w:footnotePr>
          <w:endnotePr>
            <w:numFmt w:val="lowerLetter"/>
            <w:numRestart w:val="eachSect"/>
          </w:endnotePr>
          <w:pgSz w:w="11906" w:h="16838" w:code="9"/>
          <w:pgMar w:top="1417" w:right="1134" w:bottom="1134" w:left="1134" w:header="850" w:footer="567" w:gutter="0"/>
          <w:cols w:space="708"/>
          <w:docGrid w:linePitch="360"/>
        </w:sectPr>
      </w:pPr>
    </w:p>
    <w:p w14:paraId="32DCD353" w14:textId="6D820BD6" w:rsidR="00A26E93" w:rsidRPr="00AD1F92" w:rsidRDefault="001D6886" w:rsidP="005F5ED5">
      <w:pPr>
        <w:pStyle w:val="RegHChG"/>
        <w:numPr>
          <w:ilvl w:val="0"/>
          <w:numId w:val="0"/>
        </w:numPr>
        <w:ind w:left="1134" w:hanging="454"/>
      </w:pPr>
      <w:bookmarkStart w:id="10" w:name="decision3_cmp19"/>
      <w:r w:rsidRPr="00AD1F92">
        <w:lastRenderedPageBreak/>
        <w:t>Decision 3/CMP.19</w:t>
      </w:r>
      <w:bookmarkEnd w:id="9"/>
    </w:p>
    <w:bookmarkEnd w:id="10"/>
    <w:p w14:paraId="19627579" w14:textId="03DDDA44" w:rsidR="00AB0B97" w:rsidRPr="00AD1F92" w:rsidRDefault="00AB0B97" w:rsidP="00734C05">
      <w:pPr>
        <w:pStyle w:val="HChG"/>
        <w:ind w:firstLine="0"/>
      </w:pPr>
      <w:r w:rsidRPr="00AD1F92">
        <w:t>Matters relat</w:t>
      </w:r>
      <w:r w:rsidR="00B66AC9" w:rsidRPr="00AD1F92">
        <w:t>ing</w:t>
      </w:r>
      <w:r w:rsidRPr="00AD1F92">
        <w:t xml:space="preserve"> to the impacts of the implementation of response measures</w:t>
      </w:r>
    </w:p>
    <w:p w14:paraId="71415921" w14:textId="77777777" w:rsidR="00AB0B97" w:rsidRPr="00AD1F92" w:rsidRDefault="00AB0B97" w:rsidP="00AB0B97">
      <w:pPr>
        <w:pStyle w:val="RegSingleTxtG"/>
        <w:numPr>
          <w:ilvl w:val="0"/>
          <w:numId w:val="0"/>
        </w:numPr>
        <w:ind w:left="1134"/>
      </w:pPr>
      <w:r w:rsidRPr="00AD1F92">
        <w:rPr>
          <w:i/>
          <w:iCs/>
        </w:rPr>
        <w:tab/>
        <w:t>The Conference of the Parties, the Conference of the Parties serving as the meeting of the Parties to the Kyoto Protocol and the Conference of the Parties serving as the meeting of the Parties to the Paris Agreement</w:t>
      </w:r>
      <w:r w:rsidRPr="00AD1F92">
        <w:t>,</w:t>
      </w:r>
    </w:p>
    <w:p w14:paraId="73052D56" w14:textId="77777777" w:rsidR="00AB0B97" w:rsidRPr="00AD1F92" w:rsidRDefault="00AB0B97" w:rsidP="00AB0B97">
      <w:pPr>
        <w:pStyle w:val="RegSingleTxtG"/>
        <w:numPr>
          <w:ilvl w:val="0"/>
          <w:numId w:val="0"/>
        </w:numPr>
        <w:ind w:left="1134"/>
        <w:rPr>
          <w:i/>
          <w:iCs/>
        </w:rPr>
      </w:pPr>
      <w:r w:rsidRPr="00AD1F92">
        <w:rPr>
          <w:i/>
          <w:iCs/>
        </w:rPr>
        <w:tab/>
        <w:t xml:space="preserve">Recalling </w:t>
      </w:r>
      <w:r w:rsidRPr="00AD1F92">
        <w:t>Article 4 of the Convention,</w:t>
      </w:r>
    </w:p>
    <w:p w14:paraId="28A9413E" w14:textId="77777777" w:rsidR="00AB0B97" w:rsidRPr="00AD1F92" w:rsidRDefault="00AB0B97" w:rsidP="00AB0B97">
      <w:pPr>
        <w:pStyle w:val="RegSingleTxtG"/>
        <w:numPr>
          <w:ilvl w:val="0"/>
          <w:numId w:val="0"/>
        </w:numPr>
        <w:ind w:left="1134"/>
        <w:rPr>
          <w:i/>
          <w:iCs/>
        </w:rPr>
      </w:pPr>
      <w:r w:rsidRPr="00AD1F92">
        <w:rPr>
          <w:i/>
          <w:iCs/>
        </w:rPr>
        <w:tab/>
        <w:t xml:space="preserve">Also recalling </w:t>
      </w:r>
      <w:r w:rsidRPr="00AD1F92">
        <w:t>Article 2 and Article 3, paragraph 14, of the Kyoto Protocol,</w:t>
      </w:r>
    </w:p>
    <w:p w14:paraId="0038AAE3" w14:textId="77777777" w:rsidR="00AB0B97" w:rsidRPr="00AD1F92" w:rsidRDefault="00AB0B97" w:rsidP="00AB0B97">
      <w:pPr>
        <w:pStyle w:val="RegSingleTxtG"/>
        <w:numPr>
          <w:ilvl w:val="0"/>
          <w:numId w:val="0"/>
        </w:numPr>
        <w:ind w:left="1134"/>
      </w:pPr>
      <w:r w:rsidRPr="00AD1F92">
        <w:rPr>
          <w:i/>
          <w:iCs/>
        </w:rPr>
        <w:tab/>
        <w:t xml:space="preserve">Reaffirming </w:t>
      </w:r>
      <w:r w:rsidRPr="00AD1F92">
        <w:t>Article 4, paragraph 15, of the Paris Agreement,</w:t>
      </w:r>
    </w:p>
    <w:p w14:paraId="19008542" w14:textId="4E3051B7" w:rsidR="00AB0B97" w:rsidRPr="00AD1F92" w:rsidRDefault="00AB0B97" w:rsidP="00AB0B97">
      <w:pPr>
        <w:pStyle w:val="RegSingleTxtG"/>
        <w:numPr>
          <w:ilvl w:val="0"/>
          <w:numId w:val="0"/>
        </w:numPr>
        <w:ind w:left="1134"/>
      </w:pPr>
      <w:r w:rsidRPr="00AD1F92">
        <w:tab/>
      </w:r>
      <w:r w:rsidRPr="00AD1F92">
        <w:rPr>
          <w:i/>
          <w:iCs/>
        </w:rPr>
        <w:t>Recalling</w:t>
      </w:r>
      <w:r w:rsidRPr="00AD1F92">
        <w:t xml:space="preserve"> decisions </w:t>
      </w:r>
      <w:hyperlink r:id="rId48" w:history="1">
        <w:r w:rsidRPr="00AD1F92">
          <w:rPr>
            <w:rStyle w:val="Hyperlink"/>
          </w:rPr>
          <w:t>1/CP.21</w:t>
        </w:r>
      </w:hyperlink>
      <w:r w:rsidRPr="00AD1F92">
        <w:t xml:space="preserve">, </w:t>
      </w:r>
      <w:hyperlink r:id="rId49" w:history="1">
        <w:r w:rsidRPr="00AD1F92">
          <w:rPr>
            <w:rStyle w:val="Hyperlink"/>
          </w:rPr>
          <w:t>7/CP.24</w:t>
        </w:r>
      </w:hyperlink>
      <w:r w:rsidRPr="00AD1F92">
        <w:t xml:space="preserve">, </w:t>
      </w:r>
      <w:hyperlink r:id="rId50" w:history="1">
        <w:r w:rsidRPr="00AD1F92">
          <w:rPr>
            <w:rStyle w:val="Hyperlink"/>
          </w:rPr>
          <w:t>4/CP.25</w:t>
        </w:r>
      </w:hyperlink>
      <w:r w:rsidRPr="00AD1F92">
        <w:t xml:space="preserve">, </w:t>
      </w:r>
      <w:hyperlink r:id="rId51" w:history="1">
        <w:r w:rsidRPr="00AD1F92">
          <w:rPr>
            <w:rStyle w:val="Hyperlink"/>
          </w:rPr>
          <w:t>19/CP.26</w:t>
        </w:r>
      </w:hyperlink>
      <w:r w:rsidRPr="00AD1F92">
        <w:t xml:space="preserve">, </w:t>
      </w:r>
      <w:hyperlink r:id="rId52" w:history="1">
        <w:r w:rsidRPr="00AD1F92">
          <w:rPr>
            <w:rStyle w:val="Hyperlink"/>
          </w:rPr>
          <w:t>20/CP.27</w:t>
        </w:r>
      </w:hyperlink>
      <w:r w:rsidRPr="00AD1F92">
        <w:t xml:space="preserve">, </w:t>
      </w:r>
      <w:hyperlink r:id="rId53" w:history="1">
        <w:r w:rsidRPr="00AD1F92">
          <w:rPr>
            <w:rStyle w:val="Hyperlink"/>
          </w:rPr>
          <w:t>13/CP.28</w:t>
        </w:r>
      </w:hyperlink>
      <w:r w:rsidRPr="00AD1F92">
        <w:t xml:space="preserve">, </w:t>
      </w:r>
      <w:hyperlink r:id="rId54" w:history="1">
        <w:r w:rsidRPr="00AD1F92">
          <w:rPr>
            <w:rStyle w:val="Hyperlink"/>
          </w:rPr>
          <w:t>3/CMP.14</w:t>
        </w:r>
      </w:hyperlink>
      <w:r w:rsidRPr="00AD1F92">
        <w:t xml:space="preserve">, </w:t>
      </w:r>
      <w:hyperlink r:id="rId55" w:history="1">
        <w:r w:rsidRPr="00AD1F92">
          <w:rPr>
            <w:rStyle w:val="Hyperlink"/>
          </w:rPr>
          <w:t>4/CMP.15</w:t>
        </w:r>
      </w:hyperlink>
      <w:r w:rsidRPr="00AD1F92">
        <w:t xml:space="preserve">, </w:t>
      </w:r>
      <w:hyperlink r:id="rId56" w:history="1">
        <w:r w:rsidRPr="00AD1F92">
          <w:rPr>
            <w:rStyle w:val="Hyperlink"/>
          </w:rPr>
          <w:t>7/CMP.16</w:t>
        </w:r>
      </w:hyperlink>
      <w:r w:rsidRPr="00AD1F92">
        <w:t xml:space="preserve">, </w:t>
      </w:r>
      <w:hyperlink r:id="rId57" w:history="1">
        <w:r w:rsidRPr="00AD1F92">
          <w:rPr>
            <w:rStyle w:val="Hyperlink"/>
          </w:rPr>
          <w:t>7/CMP.17</w:t>
        </w:r>
      </w:hyperlink>
      <w:r w:rsidRPr="00AD1F92">
        <w:t xml:space="preserve">, </w:t>
      </w:r>
      <w:hyperlink r:id="rId58" w:history="1">
        <w:r w:rsidRPr="00AD1F92">
          <w:rPr>
            <w:rStyle w:val="Hyperlink"/>
          </w:rPr>
          <w:t>4/CMP.18</w:t>
        </w:r>
      </w:hyperlink>
      <w:r w:rsidRPr="00AD1F92">
        <w:t xml:space="preserve">, </w:t>
      </w:r>
      <w:hyperlink r:id="rId59" w:history="1">
        <w:r w:rsidRPr="00AD1F92">
          <w:rPr>
            <w:rStyle w:val="Hyperlink"/>
          </w:rPr>
          <w:t>7/CMA.1</w:t>
        </w:r>
      </w:hyperlink>
      <w:r w:rsidRPr="00AD1F92">
        <w:t xml:space="preserve">, </w:t>
      </w:r>
      <w:hyperlink r:id="rId60" w:history="1">
        <w:r w:rsidRPr="00AD1F92">
          <w:rPr>
            <w:rStyle w:val="Hyperlink"/>
          </w:rPr>
          <w:t>4/CMA.2</w:t>
        </w:r>
      </w:hyperlink>
      <w:r w:rsidRPr="00AD1F92">
        <w:t xml:space="preserve">, </w:t>
      </w:r>
      <w:hyperlink r:id="rId61" w:history="1">
        <w:r w:rsidRPr="00AD1F92">
          <w:rPr>
            <w:rStyle w:val="Hyperlink"/>
          </w:rPr>
          <w:t>23/CMA.3</w:t>
        </w:r>
      </w:hyperlink>
      <w:r w:rsidRPr="00AD1F92">
        <w:t xml:space="preserve">, </w:t>
      </w:r>
      <w:hyperlink r:id="rId62" w:history="1">
        <w:r w:rsidRPr="00AD1F92">
          <w:rPr>
            <w:rStyle w:val="Hyperlink"/>
          </w:rPr>
          <w:t>23/CMA.4</w:t>
        </w:r>
      </w:hyperlink>
      <w:r w:rsidRPr="00AD1F92">
        <w:t xml:space="preserve"> and </w:t>
      </w:r>
      <w:hyperlink r:id="rId63" w:history="1">
        <w:r w:rsidRPr="00AD1F92">
          <w:rPr>
            <w:rStyle w:val="Hyperlink"/>
          </w:rPr>
          <w:t>19/CMA.5</w:t>
        </w:r>
      </w:hyperlink>
      <w:r w:rsidRPr="00AD1F92">
        <w:t>,</w:t>
      </w:r>
    </w:p>
    <w:p w14:paraId="4404F0B2" w14:textId="4306589F" w:rsidR="00AB0B97" w:rsidRPr="00AD1F92" w:rsidRDefault="00AB0B97" w:rsidP="00AB0B97">
      <w:pPr>
        <w:pStyle w:val="RegSingleTxtG"/>
        <w:numPr>
          <w:ilvl w:val="0"/>
          <w:numId w:val="0"/>
        </w:numPr>
        <w:ind w:left="1134"/>
        <w:rPr>
          <w:rFonts w:asciiTheme="majorBidi" w:hAnsiTheme="majorBidi" w:cstheme="majorBidi"/>
        </w:rPr>
      </w:pPr>
      <w:r w:rsidRPr="00AD1F92">
        <w:rPr>
          <w:i/>
          <w:iCs/>
        </w:rPr>
        <w:tab/>
      </w:r>
      <w:r w:rsidRPr="00AD1F92">
        <w:rPr>
          <w:rFonts w:asciiTheme="majorBidi" w:hAnsiTheme="majorBidi" w:cstheme="majorBidi"/>
          <w:i/>
          <w:iCs/>
        </w:rPr>
        <w:tab/>
        <w:t xml:space="preserve">Also recalling </w:t>
      </w:r>
      <w:r w:rsidRPr="00AD1F92">
        <w:rPr>
          <w:rFonts w:asciiTheme="majorBidi" w:hAnsiTheme="majorBidi" w:cstheme="majorBidi"/>
        </w:rPr>
        <w:t>decision</w:t>
      </w:r>
      <w:r w:rsidRPr="00AD1F92">
        <w:rPr>
          <w:rFonts w:asciiTheme="majorBidi" w:hAnsiTheme="majorBidi" w:cstheme="majorBidi"/>
          <w:i/>
          <w:iCs/>
        </w:rPr>
        <w:t xml:space="preserve"> </w:t>
      </w:r>
      <w:hyperlink r:id="rId64" w:history="1">
        <w:r w:rsidRPr="00AD1F92">
          <w:rPr>
            <w:rStyle w:val="Hyperlink"/>
            <w:rFonts w:asciiTheme="majorBidi" w:hAnsiTheme="majorBidi" w:cstheme="majorBidi"/>
          </w:rPr>
          <w:t>1/CMA.5</w:t>
        </w:r>
      </w:hyperlink>
      <w:r w:rsidRPr="00AD1F92">
        <w:rPr>
          <w:rFonts w:asciiTheme="majorBidi" w:hAnsiTheme="majorBidi" w:cstheme="majorBidi"/>
        </w:rPr>
        <w:t xml:space="preserve">, paragraph 136, and decision </w:t>
      </w:r>
      <w:hyperlink r:id="rId65" w:history="1">
        <w:r w:rsidRPr="00AD1F92">
          <w:rPr>
            <w:rStyle w:val="Hyperlink"/>
            <w:rFonts w:asciiTheme="majorBidi" w:hAnsiTheme="majorBidi" w:cstheme="majorBidi"/>
          </w:rPr>
          <w:t>19/CMA.5</w:t>
        </w:r>
      </w:hyperlink>
      <w:r w:rsidRPr="00AD1F92">
        <w:rPr>
          <w:rFonts w:asciiTheme="majorBidi" w:hAnsiTheme="majorBidi" w:cstheme="majorBidi"/>
        </w:rPr>
        <w:t>, annex I, paragraph 1(f), which highlight the importance of promoting action to minimize the adverse impacts and maximize the positive impacts of the implementation of response measures,</w:t>
      </w:r>
    </w:p>
    <w:p w14:paraId="0C92BBF5" w14:textId="6CFBA949" w:rsidR="00AB0B97" w:rsidRPr="00AD1F92" w:rsidRDefault="005F5ED5" w:rsidP="005F5ED5">
      <w:pPr>
        <w:pStyle w:val="RegSingleTxtG"/>
        <w:numPr>
          <w:ilvl w:val="0"/>
          <w:numId w:val="0"/>
        </w:numPr>
        <w:ind w:left="1134"/>
      </w:pPr>
      <w:r w:rsidRPr="00AD1F92">
        <w:t>1.</w:t>
      </w:r>
      <w:r w:rsidRPr="00AD1F92">
        <w:tab/>
      </w:r>
      <w:r w:rsidR="00AB0B97" w:rsidRPr="00AD1F92">
        <w:rPr>
          <w:i/>
          <w:iCs/>
        </w:rPr>
        <w:tab/>
        <w:t>Express</w:t>
      </w:r>
      <w:r w:rsidR="00AB0B97" w:rsidRPr="00AD1F92">
        <w:t xml:space="preserve"> </w:t>
      </w:r>
      <w:r w:rsidR="00AB0B97" w:rsidRPr="00AD1F92">
        <w:rPr>
          <w:i/>
          <w:iCs/>
        </w:rPr>
        <w:t>appreciation</w:t>
      </w:r>
      <w:r w:rsidR="00AB0B97" w:rsidRPr="00AD1F92">
        <w:t xml:space="preserve"> to the Government of Ghana for hosting the first global dialogue on the impacts of the implementation of response measures, held from 9 to 10 September 2024 in </w:t>
      </w:r>
      <w:proofErr w:type="gramStart"/>
      <w:r w:rsidR="00AB0B97" w:rsidRPr="00AD1F92">
        <w:t>Accra;</w:t>
      </w:r>
      <w:proofErr w:type="gramEnd"/>
    </w:p>
    <w:p w14:paraId="74416324" w14:textId="1AD4B39F" w:rsidR="00AB0B97" w:rsidRPr="00AD1F92" w:rsidRDefault="005F5ED5" w:rsidP="005F5ED5">
      <w:pPr>
        <w:pStyle w:val="RegSingleTxtG"/>
        <w:numPr>
          <w:ilvl w:val="0"/>
          <w:numId w:val="0"/>
        </w:numPr>
        <w:ind w:left="1134"/>
      </w:pPr>
      <w:r w:rsidRPr="00AD1F92">
        <w:t>2.</w:t>
      </w:r>
      <w:r w:rsidRPr="00AD1F92">
        <w:tab/>
      </w:r>
      <w:proofErr w:type="gramStart"/>
      <w:r w:rsidR="00AB0B97" w:rsidRPr="00AD1F92">
        <w:rPr>
          <w:i/>
          <w:iCs/>
        </w:rPr>
        <w:t>Also</w:t>
      </w:r>
      <w:proofErr w:type="gramEnd"/>
      <w:r w:rsidR="00AB0B97" w:rsidRPr="00AD1F92">
        <w:rPr>
          <w:i/>
          <w:iCs/>
        </w:rPr>
        <w:t xml:space="preserve"> express appreciation</w:t>
      </w:r>
      <w:r w:rsidR="00AB0B97" w:rsidRPr="00AD1F92">
        <w:t xml:space="preserve"> to the United Nations Development Programme for supporting the organization of the global dialogue; the Chairs of the subsidiary bodies and the secretariat for organizing the dialogue; the experts and facilitators who contributed to the event; and the Parties and observers that participated;</w:t>
      </w:r>
    </w:p>
    <w:p w14:paraId="0B8564AD" w14:textId="4D2B8D33" w:rsidR="00AB0B97" w:rsidRPr="00AD1F92" w:rsidRDefault="005F5ED5" w:rsidP="005F5ED5">
      <w:pPr>
        <w:pStyle w:val="RegSingleTxtG"/>
        <w:numPr>
          <w:ilvl w:val="0"/>
          <w:numId w:val="0"/>
        </w:numPr>
        <w:ind w:left="1134"/>
      </w:pPr>
      <w:r w:rsidRPr="00AD1F92">
        <w:t>3.</w:t>
      </w:r>
      <w:r w:rsidRPr="00AD1F92">
        <w:tab/>
      </w:r>
      <w:r w:rsidR="00AB0B97" w:rsidRPr="00AD1F92">
        <w:rPr>
          <w:i/>
          <w:iCs/>
        </w:rPr>
        <w:t>Acknowledge</w:t>
      </w:r>
      <w:r w:rsidR="00AB0B97" w:rsidRPr="00AD1F92">
        <w:t xml:space="preserve"> the report on the global dialogue</w:t>
      </w:r>
      <w:r w:rsidR="00650B11" w:rsidRPr="00AD1F92">
        <w:rPr>
          <w:rStyle w:val="FootnoteReference"/>
        </w:rPr>
        <w:footnoteReference w:id="17"/>
      </w:r>
      <w:r w:rsidR="00AB0B97" w:rsidRPr="00AD1F92">
        <w:t xml:space="preserve"> prepared by the secretariat, </w:t>
      </w:r>
      <w:r w:rsidR="00AB0B97" w:rsidRPr="00AD1F92">
        <w:rPr>
          <w:rFonts w:asciiTheme="majorBidi" w:hAnsiTheme="majorBidi" w:cstheme="majorBidi"/>
        </w:rPr>
        <w:t xml:space="preserve">recognizing that it is not an exhaustive account </w:t>
      </w:r>
      <w:proofErr w:type="gramStart"/>
      <w:r w:rsidR="00AB0B97" w:rsidRPr="00AD1F92">
        <w:rPr>
          <w:rFonts w:asciiTheme="majorBidi" w:hAnsiTheme="majorBidi" w:cstheme="majorBidi"/>
        </w:rPr>
        <w:t>thereof</w:t>
      </w:r>
      <w:r w:rsidR="00AB0B97" w:rsidRPr="00AD1F92">
        <w:t>;</w:t>
      </w:r>
      <w:proofErr w:type="gramEnd"/>
    </w:p>
    <w:p w14:paraId="1773F96C" w14:textId="01A2EA8A" w:rsidR="00AB0B97" w:rsidRPr="00AD1F92" w:rsidRDefault="00AB0B97" w:rsidP="001B0F78">
      <w:pPr>
        <w:pStyle w:val="RegSingleTxtG"/>
        <w:numPr>
          <w:ilvl w:val="0"/>
          <w:numId w:val="0"/>
        </w:numPr>
        <w:ind w:left="1134"/>
      </w:pPr>
      <w:r w:rsidRPr="00AD1F92">
        <w:t>4.</w:t>
      </w:r>
      <w:r w:rsidRPr="00AD1F92">
        <w:tab/>
      </w:r>
      <w:r w:rsidRPr="00AD1F92">
        <w:tab/>
      </w:r>
      <w:r w:rsidRPr="00AD1F92">
        <w:rPr>
          <w:i/>
          <w:iCs/>
        </w:rPr>
        <w:t>Welcome</w:t>
      </w:r>
      <w:r w:rsidRPr="00AD1F92">
        <w:t xml:space="preserve"> the annual report of the Katowice Committee of Experts on the Impacts of the Implementation of Response Measures for 2024</w:t>
      </w:r>
      <w:r w:rsidR="00F64403" w:rsidRPr="00AD1F92">
        <w:t>,</w:t>
      </w:r>
      <w:r w:rsidR="0088285F" w:rsidRPr="00AD1F92">
        <w:rPr>
          <w:rStyle w:val="FootnoteReference"/>
        </w:rPr>
        <w:footnoteReference w:id="18"/>
      </w:r>
      <w:r w:rsidRPr="00AD1F92">
        <w:t xml:space="preserve"> </w:t>
      </w:r>
      <w:r w:rsidRPr="00AD1F92">
        <w:rPr>
          <w:i/>
          <w:iCs/>
        </w:rPr>
        <w:t>adopt</w:t>
      </w:r>
      <w:r w:rsidRPr="00AD1F92">
        <w:t xml:space="preserve"> the updated rules of procedure contained therein </w:t>
      </w:r>
      <w:proofErr w:type="gramStart"/>
      <w:r w:rsidRPr="00AD1F92">
        <w:t xml:space="preserve">and </w:t>
      </w:r>
      <w:r w:rsidRPr="00AD1F92">
        <w:rPr>
          <w:i/>
          <w:iCs/>
        </w:rPr>
        <w:t>also</w:t>
      </w:r>
      <w:proofErr w:type="gramEnd"/>
      <w:r w:rsidRPr="00AD1F92">
        <w:rPr>
          <w:i/>
          <w:iCs/>
        </w:rPr>
        <w:t xml:space="preserve"> adopt</w:t>
      </w:r>
      <w:r w:rsidRPr="00AD1F92">
        <w:t xml:space="preserve"> the recommendations forwarded by the forum on the impact of the implementation of response measures contained in sections I–II below, which pertain to activities 6</w:t>
      </w:r>
      <w:r w:rsidR="006F337A" w:rsidRPr="00AD1F92">
        <w:rPr>
          <w:rStyle w:val="FootnoteReference"/>
        </w:rPr>
        <w:footnoteReference w:id="19"/>
      </w:r>
      <w:r w:rsidRPr="00AD1F92">
        <w:t xml:space="preserve"> and 10</w:t>
      </w:r>
      <w:r w:rsidR="00306E84" w:rsidRPr="00AD1F92">
        <w:rPr>
          <w:rStyle w:val="FootnoteReference"/>
        </w:rPr>
        <w:footnoteReference w:id="20"/>
      </w:r>
      <w:r w:rsidRPr="00AD1F92">
        <w:t xml:space="preserve"> of the workplan of the forum and its Katowice Committee on Impacts;</w:t>
      </w:r>
      <w:r w:rsidR="00F64403" w:rsidRPr="00AD1F92">
        <w:rPr>
          <w:rStyle w:val="FootnoteReference"/>
        </w:rPr>
        <w:footnoteReference w:id="21"/>
      </w:r>
    </w:p>
    <w:p w14:paraId="57345D07" w14:textId="0ABE9A21" w:rsidR="00AB0B97" w:rsidRPr="00AD1F92" w:rsidRDefault="005F5ED5" w:rsidP="005F5ED5">
      <w:pPr>
        <w:pStyle w:val="RegSingleTxtG"/>
        <w:numPr>
          <w:ilvl w:val="0"/>
          <w:numId w:val="0"/>
        </w:numPr>
        <w:ind w:left="1134"/>
      </w:pPr>
      <w:r w:rsidRPr="00AD1F92">
        <w:t>5.</w:t>
      </w:r>
      <w:r w:rsidRPr="00AD1F92">
        <w:tab/>
      </w:r>
      <w:r w:rsidR="00AB0B97" w:rsidRPr="00AD1F92">
        <w:rPr>
          <w:i/>
          <w:iCs/>
        </w:rPr>
        <w:t>Further adopt</w:t>
      </w:r>
      <w:r w:rsidR="00AB0B97" w:rsidRPr="00AD1F92">
        <w:t xml:space="preserve"> the workplan of the forum and its Katowice Committee on Impacts for 2026–2030, as contained in the </w:t>
      </w:r>
      <w:proofErr w:type="gramStart"/>
      <w:r w:rsidR="00AB0B97" w:rsidRPr="00AD1F92">
        <w:t>annex;</w:t>
      </w:r>
      <w:proofErr w:type="gramEnd"/>
    </w:p>
    <w:p w14:paraId="0EE1C99C" w14:textId="2AAEB0BA" w:rsidR="00AB0B97" w:rsidRPr="00AD1F92" w:rsidRDefault="005F5ED5" w:rsidP="005F5ED5">
      <w:pPr>
        <w:pStyle w:val="RegSingleTxtG"/>
        <w:numPr>
          <w:ilvl w:val="0"/>
          <w:numId w:val="0"/>
        </w:numPr>
        <w:ind w:left="1134"/>
      </w:pPr>
      <w:r w:rsidRPr="00AD1F92">
        <w:t>6.</w:t>
      </w:r>
      <w:r w:rsidRPr="00AD1F92">
        <w:tab/>
      </w:r>
      <w:r w:rsidR="00AB0B97" w:rsidRPr="00AD1F92">
        <w:rPr>
          <w:i/>
          <w:iCs/>
        </w:rPr>
        <w:t>Request</w:t>
      </w:r>
      <w:r w:rsidR="00AB0B97" w:rsidRPr="00AD1F92">
        <w:t xml:space="preserve"> the Katowice Committee on Impacts to prepare and include in its annual report for 2025 a timeline and modalities for its implementation of each activity in the workplan referred to in paragraph 5 </w:t>
      </w:r>
      <w:proofErr w:type="gramStart"/>
      <w:r w:rsidR="00AB0B97" w:rsidRPr="00AD1F92">
        <w:t>above;</w:t>
      </w:r>
      <w:proofErr w:type="gramEnd"/>
    </w:p>
    <w:p w14:paraId="07002703" w14:textId="16573591" w:rsidR="00AB0B97" w:rsidRPr="00AD1F92" w:rsidRDefault="005F5ED5" w:rsidP="005F5ED5">
      <w:pPr>
        <w:pStyle w:val="RegSingleTxtG"/>
        <w:numPr>
          <w:ilvl w:val="0"/>
          <w:numId w:val="0"/>
        </w:numPr>
        <w:ind w:left="1134"/>
      </w:pPr>
      <w:r w:rsidRPr="00AD1F92">
        <w:t>7.</w:t>
      </w:r>
      <w:r w:rsidRPr="00AD1F92">
        <w:tab/>
      </w:r>
      <w:r w:rsidR="00AB0B97" w:rsidRPr="00AD1F92">
        <w:rPr>
          <w:i/>
          <w:iCs/>
        </w:rPr>
        <w:t>Also request</w:t>
      </w:r>
      <w:r w:rsidR="00AB0B97" w:rsidRPr="00AD1F92">
        <w:t xml:space="preserve"> the forum to incorporate into its annual workplan the consideration of matters of process and substantive matters related to the work of the Katowice Committee on Impacts at the sessions of the governing bodies on the basis of the annual report of the Katowice Committee on </w:t>
      </w:r>
      <w:proofErr w:type="gramStart"/>
      <w:r w:rsidR="00AB0B97" w:rsidRPr="00AD1F92">
        <w:t>Impacts;</w:t>
      </w:r>
      <w:proofErr w:type="gramEnd"/>
    </w:p>
    <w:p w14:paraId="2BE5608E" w14:textId="233DD669" w:rsidR="00AB0B97" w:rsidRPr="00AD1F92" w:rsidRDefault="005F5ED5" w:rsidP="005F5ED5">
      <w:pPr>
        <w:pStyle w:val="RegSingleTxtG"/>
        <w:numPr>
          <w:ilvl w:val="0"/>
          <w:numId w:val="0"/>
        </w:numPr>
        <w:ind w:left="1134"/>
      </w:pPr>
      <w:r w:rsidRPr="00AD1F92">
        <w:lastRenderedPageBreak/>
        <w:t>8.</w:t>
      </w:r>
      <w:r w:rsidRPr="00AD1F92">
        <w:tab/>
      </w:r>
      <w:r w:rsidR="00AB0B97" w:rsidRPr="00AD1F92">
        <w:rPr>
          <w:i/>
          <w:iCs/>
        </w:rPr>
        <w:t>Further request</w:t>
      </w:r>
      <w:r w:rsidR="00AB0B97" w:rsidRPr="00AD1F92">
        <w:t xml:space="preserve"> the secretariat to support the implementation of the workplan referred to in paragraph 5 </w:t>
      </w:r>
      <w:proofErr w:type="gramStart"/>
      <w:r w:rsidR="00AB0B97" w:rsidRPr="00AD1F92">
        <w:t>above;</w:t>
      </w:r>
      <w:proofErr w:type="gramEnd"/>
    </w:p>
    <w:p w14:paraId="19B5DF7C" w14:textId="27953C7A" w:rsidR="00AB0B97" w:rsidRPr="00AD1F92" w:rsidRDefault="005F5ED5" w:rsidP="005F5ED5">
      <w:pPr>
        <w:pStyle w:val="RegSingleTxtG"/>
        <w:numPr>
          <w:ilvl w:val="0"/>
          <w:numId w:val="0"/>
        </w:numPr>
        <w:ind w:left="1134"/>
      </w:pPr>
      <w:r w:rsidRPr="00AD1F92">
        <w:t>9.</w:t>
      </w:r>
      <w:r w:rsidRPr="00AD1F92">
        <w:tab/>
      </w:r>
      <w:r w:rsidR="00AB0B97" w:rsidRPr="00AD1F92">
        <w:rPr>
          <w:i/>
          <w:iCs/>
        </w:rPr>
        <w:t>Take note</w:t>
      </w:r>
      <w:r w:rsidR="00AB0B97" w:rsidRPr="00AD1F92">
        <w:t xml:space="preserve"> of the estimated budgetary implications of the activities to be undertaken by the secretariat referred to in paragraphs 5–8 above</w:t>
      </w:r>
      <w:r w:rsidR="00CD7CFF" w:rsidRPr="00AD1F92">
        <w:t xml:space="preserve"> and 16 </w:t>
      </w:r>
      <w:proofErr w:type="gramStart"/>
      <w:r w:rsidR="00CD7CFF" w:rsidRPr="00AD1F92">
        <w:t>below</w:t>
      </w:r>
      <w:r w:rsidR="00AB0B97" w:rsidRPr="00AD1F92">
        <w:t>;</w:t>
      </w:r>
      <w:proofErr w:type="gramEnd"/>
    </w:p>
    <w:p w14:paraId="714B5EDA" w14:textId="33DC5AD4" w:rsidR="00AB0B97" w:rsidRPr="00AD1F92" w:rsidRDefault="005F5ED5" w:rsidP="005F5ED5">
      <w:pPr>
        <w:pStyle w:val="RegSingleTxtG"/>
        <w:numPr>
          <w:ilvl w:val="0"/>
          <w:numId w:val="0"/>
        </w:numPr>
        <w:ind w:left="1134"/>
      </w:pPr>
      <w:r w:rsidRPr="00AD1F92">
        <w:t>10.</w:t>
      </w:r>
      <w:r w:rsidRPr="00AD1F92">
        <w:tab/>
      </w:r>
      <w:r w:rsidR="00AB0B97" w:rsidRPr="00AD1F92">
        <w:rPr>
          <w:i/>
          <w:iCs/>
        </w:rPr>
        <w:t>Request</w:t>
      </w:r>
      <w:r w:rsidR="00AB0B97" w:rsidRPr="00AD1F92">
        <w:t xml:space="preserve"> that the actions of the secretariat called for in this decision be undertaken subject to the availability of financial </w:t>
      </w:r>
      <w:proofErr w:type="gramStart"/>
      <w:r w:rsidR="00AB0B97" w:rsidRPr="00AD1F92">
        <w:t>resources;</w:t>
      </w:r>
      <w:proofErr w:type="gramEnd"/>
    </w:p>
    <w:p w14:paraId="7382C3FC" w14:textId="02C38E90" w:rsidR="00AB0B97" w:rsidRPr="00AD1F92" w:rsidRDefault="005F5ED5" w:rsidP="005F5ED5">
      <w:pPr>
        <w:pStyle w:val="RegHChG"/>
        <w:numPr>
          <w:ilvl w:val="0"/>
          <w:numId w:val="0"/>
        </w:numPr>
        <w:tabs>
          <w:tab w:val="left" w:pos="1135"/>
        </w:tabs>
        <w:ind w:left="1135" w:hanging="454"/>
      </w:pPr>
      <w:bookmarkStart w:id="11" w:name="_Toc184133529"/>
      <w:r w:rsidRPr="00AD1F92">
        <w:t>I.</w:t>
      </w:r>
      <w:r w:rsidRPr="00AD1F92">
        <w:tab/>
      </w:r>
      <w:r w:rsidR="00AB0B97" w:rsidRPr="00AD1F92">
        <w:t>Activity 6</w:t>
      </w:r>
      <w:r w:rsidR="00870129" w:rsidRPr="00AD1F92">
        <w:rPr>
          <w:rStyle w:val="FootnoteReference"/>
          <w:sz w:val="24"/>
          <w:szCs w:val="24"/>
        </w:rPr>
        <w:footnoteReference w:id="22"/>
      </w:r>
      <w:r w:rsidR="00AB0B97" w:rsidRPr="00AD1F92">
        <w:t xml:space="preserve"> of the workplan</w:t>
      </w:r>
      <w:bookmarkEnd w:id="11"/>
    </w:p>
    <w:p w14:paraId="7AA57EDF" w14:textId="756D7237" w:rsidR="00AB0B97" w:rsidRPr="00AD1F92" w:rsidRDefault="005F5ED5" w:rsidP="005F5ED5">
      <w:pPr>
        <w:pStyle w:val="RegSingleTxtG"/>
        <w:numPr>
          <w:ilvl w:val="0"/>
          <w:numId w:val="0"/>
        </w:numPr>
        <w:ind w:left="1134"/>
      </w:pPr>
      <w:r w:rsidRPr="00AD1F92">
        <w:t>11.</w:t>
      </w:r>
      <w:r w:rsidRPr="00AD1F92">
        <w:tab/>
      </w:r>
      <w:r w:rsidR="00AB0B97" w:rsidRPr="00AD1F92">
        <w:rPr>
          <w:i/>
          <w:iCs/>
        </w:rPr>
        <w:t>Recognize</w:t>
      </w:r>
      <w:r w:rsidR="00AB0B97" w:rsidRPr="00AD1F92">
        <w:t xml:space="preserve"> the variety of existing just transition frameworks, guidelines and </w:t>
      </w:r>
      <w:proofErr w:type="gramStart"/>
      <w:r w:rsidR="00AB0B97" w:rsidRPr="00AD1F92">
        <w:t>tools;</w:t>
      </w:r>
      <w:proofErr w:type="gramEnd"/>
    </w:p>
    <w:p w14:paraId="3A01399B" w14:textId="41124853" w:rsidR="00AB0B97" w:rsidRPr="00AD1F92" w:rsidRDefault="005F5ED5" w:rsidP="005F5ED5">
      <w:pPr>
        <w:pStyle w:val="RegSingleTxtG"/>
        <w:numPr>
          <w:ilvl w:val="0"/>
          <w:numId w:val="0"/>
        </w:numPr>
        <w:ind w:left="1134"/>
      </w:pPr>
      <w:r w:rsidRPr="00AD1F92">
        <w:t>12.</w:t>
      </w:r>
      <w:r w:rsidRPr="00AD1F92">
        <w:tab/>
      </w:r>
      <w:r w:rsidR="00AB0B97" w:rsidRPr="00AD1F92">
        <w:rPr>
          <w:i/>
          <w:iCs/>
        </w:rPr>
        <w:t>Also recognize</w:t>
      </w:r>
      <w:r w:rsidR="00AB0B97" w:rsidRPr="00AD1F92">
        <w:t xml:space="preserve"> the importance of data availability, institutional and human capacity, and legal and regulatory frameworks, particularly for developing </w:t>
      </w:r>
      <w:proofErr w:type="gramStart"/>
      <w:r w:rsidR="00AB0B97" w:rsidRPr="00AD1F92">
        <w:t>countries;</w:t>
      </w:r>
      <w:proofErr w:type="gramEnd"/>
    </w:p>
    <w:p w14:paraId="5C0BCE3E" w14:textId="44E9313A" w:rsidR="00AB0B97" w:rsidRPr="00AD1F92" w:rsidRDefault="005F5ED5" w:rsidP="005F5ED5">
      <w:pPr>
        <w:pStyle w:val="RegSingleTxtG"/>
        <w:numPr>
          <w:ilvl w:val="0"/>
          <w:numId w:val="0"/>
        </w:numPr>
        <w:ind w:left="1134"/>
      </w:pPr>
      <w:r w:rsidRPr="00AD1F92">
        <w:t>13.</w:t>
      </w:r>
      <w:r w:rsidRPr="00AD1F92">
        <w:tab/>
      </w:r>
      <w:r w:rsidR="00AB0B97" w:rsidRPr="00AD1F92">
        <w:rPr>
          <w:i/>
          <w:iCs/>
        </w:rPr>
        <w:t>Encourage</w:t>
      </w:r>
      <w:r w:rsidR="00AB0B97" w:rsidRPr="00AD1F92">
        <w:t xml:space="preserve"> Parties to integrate just transition of the workforce and the creation of decent work and quality jobs into the development and implementation of their nationally determined </w:t>
      </w:r>
      <w:proofErr w:type="gramStart"/>
      <w:r w:rsidR="00AB0B97" w:rsidRPr="00AD1F92">
        <w:t>contributions;</w:t>
      </w:r>
      <w:proofErr w:type="gramEnd"/>
    </w:p>
    <w:p w14:paraId="4BF3FFAF" w14:textId="6A591C2D" w:rsidR="00AB0B97" w:rsidRPr="00AD1F92" w:rsidRDefault="005F5ED5" w:rsidP="005F5ED5">
      <w:pPr>
        <w:pStyle w:val="RegHChG"/>
        <w:numPr>
          <w:ilvl w:val="0"/>
          <w:numId w:val="0"/>
        </w:numPr>
        <w:tabs>
          <w:tab w:val="left" w:pos="1135"/>
        </w:tabs>
        <w:ind w:left="1135" w:hanging="454"/>
      </w:pPr>
      <w:bookmarkStart w:id="12" w:name="_Toc184133530"/>
      <w:r w:rsidRPr="00AD1F92">
        <w:t>II.</w:t>
      </w:r>
      <w:r w:rsidRPr="00AD1F92">
        <w:tab/>
      </w:r>
      <w:r w:rsidR="00AB0B97" w:rsidRPr="00AD1F92">
        <w:t>Activity 10</w:t>
      </w:r>
      <w:r w:rsidR="00017412" w:rsidRPr="00AD1F92">
        <w:rPr>
          <w:rStyle w:val="FootnoteReference"/>
          <w:sz w:val="24"/>
          <w:szCs w:val="24"/>
        </w:rPr>
        <w:footnoteReference w:id="23"/>
      </w:r>
      <w:r w:rsidR="00AB0B97" w:rsidRPr="00AD1F92">
        <w:t xml:space="preserve"> of the workplan</w:t>
      </w:r>
      <w:bookmarkEnd w:id="12"/>
    </w:p>
    <w:p w14:paraId="6AA4AA46" w14:textId="64674F46" w:rsidR="00AB0B97" w:rsidRPr="00AD1F92" w:rsidRDefault="005F5ED5" w:rsidP="005F5ED5">
      <w:pPr>
        <w:pStyle w:val="RegSingleTxtG"/>
        <w:numPr>
          <w:ilvl w:val="0"/>
          <w:numId w:val="0"/>
        </w:numPr>
        <w:ind w:left="1134"/>
      </w:pPr>
      <w:r w:rsidRPr="00AD1F92">
        <w:t>14.</w:t>
      </w:r>
      <w:r w:rsidRPr="00AD1F92">
        <w:tab/>
      </w:r>
      <w:r w:rsidR="00AB0B97" w:rsidRPr="00AD1F92">
        <w:rPr>
          <w:i/>
          <w:iCs/>
        </w:rPr>
        <w:t>Encourage</w:t>
      </w:r>
      <w:r w:rsidR="00AB0B97" w:rsidRPr="00AD1F92">
        <w:t xml:space="preserve"> Parties to report on the social and economic consequences of response measures, in line with paragraph 90 of decision </w:t>
      </w:r>
      <w:hyperlink r:id="rId66" w:history="1">
        <w:r w:rsidR="00AB0B97" w:rsidRPr="00AD1F92">
          <w:rPr>
            <w:rStyle w:val="Hyperlink"/>
          </w:rPr>
          <w:t>18/CMA.1</w:t>
        </w:r>
      </w:hyperlink>
      <w:r w:rsidR="00AB0B97" w:rsidRPr="00AD1F92">
        <w:t xml:space="preserve">, in both a qualitative and a quantitative </w:t>
      </w:r>
      <w:proofErr w:type="gramStart"/>
      <w:r w:rsidR="00AB0B97" w:rsidRPr="00AD1F92">
        <w:t>manner;</w:t>
      </w:r>
      <w:proofErr w:type="gramEnd"/>
    </w:p>
    <w:p w14:paraId="4A252721" w14:textId="4B85BB17" w:rsidR="00AB0B97" w:rsidRPr="00AD1F92" w:rsidRDefault="005F5ED5" w:rsidP="005F5ED5">
      <w:pPr>
        <w:pStyle w:val="RegSingleTxtG"/>
        <w:numPr>
          <w:ilvl w:val="0"/>
          <w:numId w:val="0"/>
        </w:numPr>
        <w:ind w:left="1134"/>
      </w:pPr>
      <w:r w:rsidRPr="00AD1F92">
        <w:t>15.</w:t>
      </w:r>
      <w:r w:rsidRPr="00AD1F92">
        <w:tab/>
      </w:r>
      <w:r w:rsidR="00AB0B97" w:rsidRPr="00AD1F92">
        <w:rPr>
          <w:i/>
          <w:iCs/>
        </w:rPr>
        <w:t>Also encourage</w:t>
      </w:r>
      <w:r w:rsidR="00AB0B97" w:rsidRPr="00AD1F92">
        <w:t xml:space="preserve"> Parties that have already reported on the social and economic consequences of response measures to continue and enhance such reporting in both a qualitative and a quantitative </w:t>
      </w:r>
      <w:proofErr w:type="gramStart"/>
      <w:r w:rsidR="00AB0B97" w:rsidRPr="00AD1F92">
        <w:t>manner;</w:t>
      </w:r>
      <w:proofErr w:type="gramEnd"/>
    </w:p>
    <w:p w14:paraId="5E520293" w14:textId="4027A22F" w:rsidR="00444E87" w:rsidRPr="00AD1F92" w:rsidRDefault="005F5ED5" w:rsidP="005F5ED5">
      <w:pPr>
        <w:pStyle w:val="RegSingleTxtG"/>
        <w:numPr>
          <w:ilvl w:val="0"/>
          <w:numId w:val="0"/>
        </w:numPr>
        <w:ind w:left="1134"/>
      </w:pPr>
      <w:r w:rsidRPr="00AD1F92">
        <w:t>16.</w:t>
      </w:r>
      <w:r w:rsidRPr="00AD1F92">
        <w:tab/>
      </w:r>
      <w:r w:rsidR="00444E87" w:rsidRPr="00AD1F92">
        <w:rPr>
          <w:i/>
          <w:iCs/>
        </w:rPr>
        <w:t>Request</w:t>
      </w:r>
      <w:r w:rsidR="00444E87" w:rsidRPr="00AD1F92">
        <w:t xml:space="preserve"> the secretariat to prepare a synthesis report on the information on response measures reported by Parties in the</w:t>
      </w:r>
      <w:r w:rsidR="000974E5" w:rsidRPr="00AD1F92">
        <w:t>ir</w:t>
      </w:r>
      <w:r w:rsidR="00444E87" w:rsidRPr="00AD1F92">
        <w:t xml:space="preserve"> biennial transparency reports and present it to the Katowice Committee on Impacts at its 13</w:t>
      </w:r>
      <w:r w:rsidR="00444E87" w:rsidRPr="00AD1F92">
        <w:rPr>
          <w:vertAlign w:val="superscript"/>
        </w:rPr>
        <w:t>th</w:t>
      </w:r>
      <w:r w:rsidR="00444E87" w:rsidRPr="00AD1F92">
        <w:t xml:space="preserve"> meeting.</w:t>
      </w:r>
    </w:p>
    <w:p w14:paraId="58F10B0C" w14:textId="5A18C4AB" w:rsidR="00F97551" w:rsidRPr="00AD1F92" w:rsidRDefault="0028426A" w:rsidP="00982C49">
      <w:pPr>
        <w:pStyle w:val="RegSingleTxtG"/>
        <w:numPr>
          <w:ilvl w:val="0"/>
          <w:numId w:val="0"/>
        </w:numPr>
        <w:ind w:left="1134"/>
        <w:sectPr w:rsidR="00F97551" w:rsidRPr="00AD1F92" w:rsidSect="00D43A6E">
          <w:headerReference w:type="even" r:id="rId67"/>
          <w:headerReference w:type="default" r:id="rId68"/>
          <w:footerReference w:type="even" r:id="rId69"/>
          <w:footerReference w:type="default" r:id="rId70"/>
          <w:footnotePr>
            <w:numRestart w:val="eachSect"/>
          </w:footnotePr>
          <w:pgSz w:w="11906" w:h="16838" w:code="9"/>
          <w:pgMar w:top="1417" w:right="1134" w:bottom="1134" w:left="1134" w:header="850" w:footer="567" w:gutter="0"/>
          <w:cols w:space="708"/>
          <w:docGrid w:linePitch="360"/>
        </w:sectPr>
      </w:pPr>
      <w:bookmarkStart w:id="13" w:name="_Toc184133531"/>
      <w:r w:rsidRPr="00AD1F92">
        <w:br w:type="page"/>
      </w:r>
    </w:p>
    <w:p w14:paraId="55F495CF" w14:textId="77777777" w:rsidR="0070081F" w:rsidRPr="00AD1F92" w:rsidRDefault="0070081F" w:rsidP="0070081F">
      <w:pPr>
        <w:pStyle w:val="HChG"/>
        <w:spacing w:before="0"/>
      </w:pPr>
      <w:r w:rsidRPr="00AD1F92">
        <w:lastRenderedPageBreak/>
        <w:t xml:space="preserve">Annex </w:t>
      </w:r>
    </w:p>
    <w:p w14:paraId="23241CE3" w14:textId="77777777" w:rsidR="0070081F" w:rsidRPr="00AD1F92" w:rsidRDefault="0070081F" w:rsidP="0001613C">
      <w:pPr>
        <w:pStyle w:val="HChG"/>
        <w:tabs>
          <w:tab w:val="clear" w:pos="851"/>
        </w:tabs>
        <w:ind w:right="395" w:firstLine="0"/>
      </w:pPr>
      <w:r w:rsidRPr="00AD1F92">
        <w:t>Workplan of the forum on the impact of the implementation of response measures and its Katowice Committee of Experts on the Impacts of the Implementation of Response Measures for 2026–2030</w:t>
      </w:r>
    </w:p>
    <w:tbl>
      <w:tblPr>
        <w:tblStyle w:val="TableGrid"/>
        <w:tblW w:w="13892" w:type="dxa"/>
        <w:tblBorders>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20"/>
        <w:gridCol w:w="5591"/>
        <w:gridCol w:w="1620"/>
        <w:gridCol w:w="3670"/>
        <w:gridCol w:w="1991"/>
      </w:tblGrid>
      <w:tr w:rsidR="0070081F" w:rsidRPr="00AD1F92" w14:paraId="71C624AF" w14:textId="77777777">
        <w:trPr>
          <w:tblHeader/>
        </w:trPr>
        <w:tc>
          <w:tcPr>
            <w:tcW w:w="1020" w:type="dxa"/>
            <w:tcBorders>
              <w:top w:val="single" w:sz="4" w:space="0" w:color="auto"/>
              <w:bottom w:val="single" w:sz="12" w:space="0" w:color="auto"/>
            </w:tcBorders>
            <w:shd w:val="clear" w:color="auto" w:fill="auto"/>
            <w:vAlign w:val="bottom"/>
          </w:tcPr>
          <w:p w14:paraId="3B74FF84" w14:textId="77777777" w:rsidR="0070081F" w:rsidRPr="00AD1F92" w:rsidRDefault="0070081F">
            <w:pPr>
              <w:spacing w:before="40" w:after="40" w:line="180" w:lineRule="exact"/>
              <w:rPr>
                <w:rFonts w:asciiTheme="majorBidi" w:hAnsiTheme="majorBidi" w:cstheme="majorBidi"/>
                <w:i/>
                <w:iCs/>
                <w:sz w:val="16"/>
                <w:szCs w:val="16"/>
              </w:rPr>
            </w:pPr>
            <w:r w:rsidRPr="00AD1F92">
              <w:rPr>
                <w:rFonts w:asciiTheme="majorBidi" w:hAnsiTheme="majorBidi" w:cstheme="majorBidi"/>
                <w:i/>
                <w:iCs/>
                <w:sz w:val="16"/>
                <w:szCs w:val="16"/>
              </w:rPr>
              <w:t>Activity number</w:t>
            </w:r>
          </w:p>
        </w:tc>
        <w:tc>
          <w:tcPr>
            <w:tcW w:w="5591" w:type="dxa"/>
            <w:tcBorders>
              <w:top w:val="single" w:sz="4" w:space="0" w:color="auto"/>
              <w:bottom w:val="single" w:sz="12" w:space="0" w:color="auto"/>
            </w:tcBorders>
            <w:shd w:val="clear" w:color="auto" w:fill="auto"/>
            <w:vAlign w:val="bottom"/>
          </w:tcPr>
          <w:p w14:paraId="127B36A2" w14:textId="77777777" w:rsidR="0070081F" w:rsidRPr="00AD1F92" w:rsidRDefault="0070081F">
            <w:pPr>
              <w:spacing w:before="40" w:after="40" w:line="180" w:lineRule="exact"/>
              <w:rPr>
                <w:rFonts w:asciiTheme="majorBidi" w:hAnsiTheme="majorBidi" w:cstheme="majorBidi"/>
                <w:i/>
                <w:iCs/>
                <w:sz w:val="16"/>
                <w:szCs w:val="16"/>
              </w:rPr>
            </w:pPr>
            <w:r w:rsidRPr="00AD1F92">
              <w:rPr>
                <w:rFonts w:asciiTheme="majorBidi" w:hAnsiTheme="majorBidi" w:cstheme="majorBidi"/>
                <w:i/>
                <w:iCs/>
                <w:sz w:val="16"/>
                <w:szCs w:val="16"/>
              </w:rPr>
              <w:t>Activity</w:t>
            </w:r>
          </w:p>
        </w:tc>
        <w:tc>
          <w:tcPr>
            <w:tcW w:w="1620" w:type="dxa"/>
            <w:tcBorders>
              <w:top w:val="single" w:sz="4" w:space="0" w:color="auto"/>
              <w:bottom w:val="single" w:sz="12" w:space="0" w:color="auto"/>
            </w:tcBorders>
            <w:shd w:val="clear" w:color="auto" w:fill="auto"/>
            <w:vAlign w:val="bottom"/>
          </w:tcPr>
          <w:p w14:paraId="1BEBA9DD" w14:textId="77777777" w:rsidR="0070081F" w:rsidRPr="00AD1F92" w:rsidRDefault="0070081F">
            <w:pPr>
              <w:spacing w:before="40" w:after="40" w:line="180" w:lineRule="exact"/>
              <w:rPr>
                <w:rFonts w:asciiTheme="majorBidi" w:hAnsiTheme="majorBidi" w:cstheme="majorBidi"/>
                <w:i/>
                <w:iCs/>
                <w:sz w:val="16"/>
                <w:szCs w:val="16"/>
              </w:rPr>
            </w:pPr>
            <w:r w:rsidRPr="00AD1F92">
              <w:rPr>
                <w:rFonts w:asciiTheme="majorBidi" w:hAnsiTheme="majorBidi" w:cstheme="majorBidi"/>
                <w:i/>
                <w:iCs/>
                <w:sz w:val="16"/>
                <w:szCs w:val="16"/>
              </w:rPr>
              <w:t>Responsible actor</w:t>
            </w:r>
          </w:p>
        </w:tc>
        <w:tc>
          <w:tcPr>
            <w:tcW w:w="3670" w:type="dxa"/>
            <w:tcBorders>
              <w:top w:val="single" w:sz="4" w:space="0" w:color="auto"/>
              <w:bottom w:val="single" w:sz="12" w:space="0" w:color="auto"/>
            </w:tcBorders>
            <w:shd w:val="clear" w:color="auto" w:fill="auto"/>
            <w:vAlign w:val="bottom"/>
          </w:tcPr>
          <w:p w14:paraId="3AE041ED" w14:textId="77777777" w:rsidR="0070081F" w:rsidRPr="00AD1F92" w:rsidRDefault="0070081F">
            <w:pPr>
              <w:spacing w:before="40" w:after="40" w:line="180" w:lineRule="exact"/>
              <w:rPr>
                <w:rFonts w:asciiTheme="majorBidi" w:hAnsiTheme="majorBidi" w:cstheme="majorBidi"/>
                <w:i/>
                <w:iCs/>
                <w:sz w:val="16"/>
                <w:szCs w:val="16"/>
              </w:rPr>
            </w:pPr>
            <w:r w:rsidRPr="00AD1F92">
              <w:rPr>
                <w:rFonts w:asciiTheme="majorBidi" w:hAnsiTheme="majorBidi" w:cstheme="majorBidi"/>
                <w:i/>
                <w:iCs/>
                <w:sz w:val="16"/>
                <w:szCs w:val="16"/>
              </w:rPr>
              <w:t>Timeline and modalities for implementation</w:t>
            </w:r>
            <w:r w:rsidRPr="00AD1F92">
              <w:rPr>
                <w:rStyle w:val="EndnoteReference"/>
                <w:rFonts w:cstheme="majorBidi"/>
                <w:szCs w:val="16"/>
              </w:rPr>
              <w:endnoteReference w:id="5"/>
            </w:r>
          </w:p>
        </w:tc>
        <w:tc>
          <w:tcPr>
            <w:tcW w:w="1991" w:type="dxa"/>
            <w:tcBorders>
              <w:top w:val="single" w:sz="4" w:space="0" w:color="auto"/>
              <w:bottom w:val="single" w:sz="12" w:space="0" w:color="auto"/>
            </w:tcBorders>
            <w:shd w:val="clear" w:color="auto" w:fill="auto"/>
            <w:vAlign w:val="bottom"/>
          </w:tcPr>
          <w:p w14:paraId="484DF53E" w14:textId="77777777" w:rsidR="0070081F" w:rsidRPr="00AD1F92" w:rsidRDefault="0070081F">
            <w:pPr>
              <w:spacing w:before="40" w:after="40" w:line="180" w:lineRule="exact"/>
              <w:rPr>
                <w:rFonts w:asciiTheme="majorBidi" w:hAnsiTheme="majorBidi" w:cstheme="majorBidi"/>
                <w:i/>
                <w:iCs/>
                <w:sz w:val="16"/>
                <w:szCs w:val="16"/>
              </w:rPr>
            </w:pPr>
            <w:r w:rsidRPr="00AD1F92">
              <w:rPr>
                <w:rFonts w:asciiTheme="majorBidi" w:hAnsiTheme="majorBidi" w:cstheme="majorBidi"/>
                <w:i/>
                <w:iCs/>
                <w:sz w:val="16"/>
                <w:szCs w:val="16"/>
              </w:rPr>
              <w:t>Outputs</w:t>
            </w:r>
          </w:p>
        </w:tc>
      </w:tr>
      <w:tr w:rsidR="00C85EF9" w:rsidRPr="00AD1F92" w14:paraId="0D122B23" w14:textId="77777777">
        <w:trPr>
          <w:trHeight w:val="623"/>
        </w:trPr>
        <w:tc>
          <w:tcPr>
            <w:tcW w:w="1020" w:type="dxa"/>
            <w:tcBorders>
              <w:top w:val="single" w:sz="12" w:space="0" w:color="auto"/>
            </w:tcBorders>
          </w:tcPr>
          <w:p w14:paraId="597A539F" w14:textId="77777777" w:rsidR="00C85EF9" w:rsidRPr="00AD1F92" w:rsidRDefault="00C85EF9" w:rsidP="00C85EF9">
            <w:pPr>
              <w:spacing w:before="40" w:after="80" w:line="220" w:lineRule="exact"/>
            </w:pPr>
            <w:r w:rsidRPr="00AD1F92">
              <w:t>1</w:t>
            </w:r>
          </w:p>
        </w:tc>
        <w:tc>
          <w:tcPr>
            <w:tcW w:w="5591" w:type="dxa"/>
            <w:tcBorders>
              <w:top w:val="single" w:sz="12" w:space="0" w:color="auto"/>
            </w:tcBorders>
          </w:tcPr>
          <w:p w14:paraId="44E6D2F4" w14:textId="6A929047" w:rsidR="00C85EF9" w:rsidRPr="00AD1F92" w:rsidRDefault="00C85EF9" w:rsidP="00C85EF9">
            <w:pPr>
              <w:spacing w:before="40" w:after="80" w:line="220" w:lineRule="exact"/>
            </w:pPr>
            <w:r w:rsidRPr="00AD1F92">
              <w:t xml:space="preserve">Consider the KCI annual report (para. 5(j) of annex I to decisions </w:t>
            </w:r>
            <w:hyperlink r:id="rId71" w:history="1">
              <w:r w:rsidRPr="00AD1F92">
                <w:rPr>
                  <w:rStyle w:val="Hyperlink"/>
                </w:rPr>
                <w:t>13/CP.28</w:t>
              </w:r>
            </w:hyperlink>
            <w:r w:rsidRPr="00AD1F92">
              <w:t xml:space="preserve">, </w:t>
            </w:r>
            <w:hyperlink r:id="rId72" w:history="1">
              <w:r w:rsidRPr="00AD1F92">
                <w:rPr>
                  <w:rStyle w:val="Hyperlink"/>
                </w:rPr>
                <w:t>4/CMP.18</w:t>
              </w:r>
            </w:hyperlink>
            <w:r w:rsidRPr="00AD1F92">
              <w:t xml:space="preserve"> and </w:t>
            </w:r>
            <w:hyperlink r:id="rId73" w:history="1">
              <w:r w:rsidRPr="00AD1F92">
                <w:rPr>
                  <w:rStyle w:val="Hyperlink"/>
                </w:rPr>
                <w:t>19/CMA.5</w:t>
              </w:r>
            </w:hyperlink>
            <w:r w:rsidRPr="00AD1F92">
              <w:t>)</w:t>
            </w:r>
          </w:p>
        </w:tc>
        <w:tc>
          <w:tcPr>
            <w:tcW w:w="1620" w:type="dxa"/>
            <w:tcBorders>
              <w:top w:val="single" w:sz="12" w:space="0" w:color="auto"/>
            </w:tcBorders>
          </w:tcPr>
          <w:p w14:paraId="6637AC76" w14:textId="77777777" w:rsidR="00C85EF9" w:rsidRPr="00AD1F92" w:rsidRDefault="00C85EF9" w:rsidP="00C85EF9">
            <w:pPr>
              <w:spacing w:before="40" w:after="80" w:line="220" w:lineRule="exact"/>
            </w:pPr>
            <w:r w:rsidRPr="00AD1F92">
              <w:t>Forum</w:t>
            </w:r>
          </w:p>
          <w:p w14:paraId="00E01233" w14:textId="77777777" w:rsidR="00C85EF9" w:rsidRPr="00AD1F92" w:rsidRDefault="00C85EF9" w:rsidP="00C85EF9">
            <w:pPr>
              <w:spacing w:before="40" w:after="80" w:line="220" w:lineRule="exact"/>
            </w:pPr>
            <w:r w:rsidRPr="00AD1F92">
              <w:t>KCI</w:t>
            </w:r>
          </w:p>
        </w:tc>
        <w:tc>
          <w:tcPr>
            <w:tcW w:w="3670" w:type="dxa"/>
            <w:tcBorders>
              <w:top w:val="single" w:sz="12" w:space="0" w:color="auto"/>
            </w:tcBorders>
          </w:tcPr>
          <w:p w14:paraId="2F26CE26" w14:textId="77777777" w:rsidR="00C85EF9" w:rsidRPr="00AD1F92" w:rsidRDefault="00C85EF9" w:rsidP="00C85EF9">
            <w:pPr>
              <w:spacing w:before="40" w:after="80" w:line="220" w:lineRule="exact"/>
            </w:pPr>
            <w:r w:rsidRPr="00AD1F92">
              <w:t>–</w:t>
            </w:r>
          </w:p>
        </w:tc>
        <w:tc>
          <w:tcPr>
            <w:tcW w:w="1991" w:type="dxa"/>
            <w:tcBorders>
              <w:top w:val="single" w:sz="12" w:space="0" w:color="auto"/>
            </w:tcBorders>
          </w:tcPr>
          <w:p w14:paraId="7EBF544E" w14:textId="77777777" w:rsidR="00C85EF9" w:rsidRPr="00AD1F92" w:rsidRDefault="00C85EF9" w:rsidP="00C85EF9">
            <w:pPr>
              <w:spacing w:before="40" w:after="80" w:line="220" w:lineRule="exact"/>
            </w:pPr>
            <w:r w:rsidRPr="00AD1F92">
              <w:t>–</w:t>
            </w:r>
          </w:p>
        </w:tc>
      </w:tr>
      <w:tr w:rsidR="00C85EF9" w:rsidRPr="00AD1F92" w14:paraId="1B002CF5" w14:textId="77777777">
        <w:tc>
          <w:tcPr>
            <w:tcW w:w="1020" w:type="dxa"/>
          </w:tcPr>
          <w:p w14:paraId="0D0DA413" w14:textId="77777777" w:rsidR="00C85EF9" w:rsidRPr="00AD1F92" w:rsidRDefault="00C85EF9" w:rsidP="00C85EF9">
            <w:pPr>
              <w:spacing w:before="40" w:after="80" w:line="220" w:lineRule="exact"/>
            </w:pPr>
            <w:r w:rsidRPr="00AD1F92">
              <w:t>2</w:t>
            </w:r>
          </w:p>
        </w:tc>
        <w:tc>
          <w:tcPr>
            <w:tcW w:w="5591" w:type="dxa"/>
          </w:tcPr>
          <w:p w14:paraId="5F5C35E2" w14:textId="754F5A2C" w:rsidR="00C85EF9" w:rsidRPr="00AD1F92" w:rsidRDefault="00C85EF9" w:rsidP="00C85EF9">
            <w:pPr>
              <w:spacing w:before="40" w:after="80" w:line="220" w:lineRule="exact"/>
            </w:pPr>
            <w:r w:rsidRPr="00AD1F92">
              <w:t>Prepar</w:t>
            </w:r>
            <w:r w:rsidRPr="00AD1F92" w:rsidDel="007D079B">
              <w:t>e</w:t>
            </w:r>
            <w:r w:rsidRPr="00AD1F92">
              <w:t xml:space="preserve"> information for the technical assessment component of the global stocktake related to the impacts of the implementation of response measures with the process outline</w:t>
            </w:r>
            <w:r w:rsidR="00B1615E" w:rsidRPr="00AD1F92">
              <w:t>d</w:t>
            </w:r>
            <w:r w:rsidRPr="00AD1F92">
              <w:t xml:space="preserve"> in paragraphs 12–13 of decision </w:t>
            </w:r>
            <w:hyperlink r:id="rId74" w:history="1">
              <w:r w:rsidRPr="00AD1F92">
                <w:rPr>
                  <w:rStyle w:val="Hyperlink"/>
                </w:rPr>
                <w:t>23/CMA.3</w:t>
              </w:r>
            </w:hyperlink>
            <w:r w:rsidRPr="00AD1F92">
              <w:t xml:space="preserve"> (paras. 8 and 24 of decision </w:t>
            </w:r>
            <w:hyperlink r:id="rId75" w:history="1">
              <w:r w:rsidRPr="00AD1F92">
                <w:rPr>
                  <w:rStyle w:val="Hyperlink"/>
                </w:rPr>
                <w:t>19/CMA.1</w:t>
              </w:r>
            </w:hyperlink>
            <w:r w:rsidRPr="00AD1F92">
              <w:t>)</w:t>
            </w:r>
          </w:p>
        </w:tc>
        <w:tc>
          <w:tcPr>
            <w:tcW w:w="1620" w:type="dxa"/>
          </w:tcPr>
          <w:p w14:paraId="6F8BF5CB" w14:textId="77777777" w:rsidR="00C85EF9" w:rsidRPr="00AD1F92" w:rsidRDefault="00C85EF9" w:rsidP="00C85EF9">
            <w:pPr>
              <w:spacing w:before="40" w:after="80" w:line="220" w:lineRule="exact"/>
            </w:pPr>
            <w:r w:rsidRPr="00AD1F92">
              <w:t>Forum</w:t>
            </w:r>
          </w:p>
          <w:p w14:paraId="67614CA7" w14:textId="77777777" w:rsidR="00C85EF9" w:rsidRPr="00AD1F92" w:rsidRDefault="00C85EF9" w:rsidP="00C85EF9">
            <w:pPr>
              <w:spacing w:before="40" w:after="80" w:line="220" w:lineRule="exact"/>
            </w:pPr>
            <w:r w:rsidRPr="00AD1F92">
              <w:t>KCI</w:t>
            </w:r>
          </w:p>
        </w:tc>
        <w:tc>
          <w:tcPr>
            <w:tcW w:w="3670" w:type="dxa"/>
          </w:tcPr>
          <w:p w14:paraId="1AC68FB1" w14:textId="77777777" w:rsidR="00C85EF9" w:rsidRPr="00AD1F92" w:rsidRDefault="00C85EF9" w:rsidP="00C85EF9">
            <w:pPr>
              <w:spacing w:before="40" w:after="80" w:line="220" w:lineRule="exact"/>
            </w:pPr>
            <w:r w:rsidRPr="00AD1F92">
              <w:t>–</w:t>
            </w:r>
          </w:p>
        </w:tc>
        <w:tc>
          <w:tcPr>
            <w:tcW w:w="1991" w:type="dxa"/>
          </w:tcPr>
          <w:p w14:paraId="4E8337CA" w14:textId="77777777" w:rsidR="00C85EF9" w:rsidRPr="00AD1F92" w:rsidRDefault="00C85EF9" w:rsidP="00C85EF9">
            <w:pPr>
              <w:spacing w:before="40" w:after="80" w:line="220" w:lineRule="exact"/>
            </w:pPr>
            <w:r w:rsidRPr="00AD1F92">
              <w:t>–</w:t>
            </w:r>
          </w:p>
        </w:tc>
      </w:tr>
      <w:tr w:rsidR="00C85EF9" w:rsidRPr="00AD1F92" w14:paraId="1C0C5B53" w14:textId="77777777">
        <w:tc>
          <w:tcPr>
            <w:tcW w:w="1020" w:type="dxa"/>
          </w:tcPr>
          <w:p w14:paraId="70C96E0B" w14:textId="77777777" w:rsidR="00C85EF9" w:rsidRPr="00AD1F92" w:rsidRDefault="00C85EF9" w:rsidP="00C85EF9">
            <w:pPr>
              <w:spacing w:before="40" w:after="80" w:line="220" w:lineRule="exact"/>
            </w:pPr>
            <w:r w:rsidRPr="00AD1F92">
              <w:t>3</w:t>
            </w:r>
          </w:p>
        </w:tc>
        <w:tc>
          <w:tcPr>
            <w:tcW w:w="5591" w:type="dxa"/>
          </w:tcPr>
          <w:p w14:paraId="7A8FA14A" w14:textId="380CC547" w:rsidR="00C85EF9" w:rsidRPr="00AD1F92" w:rsidRDefault="00C85EF9" w:rsidP="00C85EF9">
            <w:pPr>
              <w:spacing w:before="40" w:after="80" w:line="220" w:lineRule="exact"/>
              <w:ind w:left="23"/>
            </w:pPr>
            <w:r w:rsidRPr="00AD1F92">
              <w:t xml:space="preserve">Conduct review of the functions, work programme and modalities of the forum and its KCI every five years, starting at SB 69 (November 2028) (para. 6 of decisions </w:t>
            </w:r>
            <w:hyperlink r:id="rId76" w:history="1">
              <w:r w:rsidRPr="00AD1F92">
                <w:rPr>
                  <w:rStyle w:val="Hyperlink"/>
                </w:rPr>
                <w:t>13/CP.28</w:t>
              </w:r>
            </w:hyperlink>
            <w:r w:rsidRPr="00AD1F92">
              <w:t xml:space="preserve">, </w:t>
            </w:r>
            <w:hyperlink r:id="rId77" w:history="1">
              <w:r w:rsidRPr="00AD1F92">
                <w:rPr>
                  <w:rStyle w:val="Hyperlink"/>
                </w:rPr>
                <w:t>4/CMP.18</w:t>
              </w:r>
            </w:hyperlink>
            <w:r w:rsidRPr="00AD1F92">
              <w:t xml:space="preserve"> and </w:t>
            </w:r>
            <w:hyperlink r:id="rId78" w:history="1">
              <w:r w:rsidRPr="00AD1F92">
                <w:rPr>
                  <w:rStyle w:val="Hyperlink"/>
                </w:rPr>
                <w:t>19/CMA.5</w:t>
              </w:r>
            </w:hyperlink>
            <w:r w:rsidRPr="00AD1F92">
              <w:t>)</w:t>
            </w:r>
          </w:p>
        </w:tc>
        <w:tc>
          <w:tcPr>
            <w:tcW w:w="1620" w:type="dxa"/>
          </w:tcPr>
          <w:p w14:paraId="732B997A" w14:textId="77777777" w:rsidR="00C85EF9" w:rsidRPr="00AD1F92" w:rsidRDefault="00C85EF9" w:rsidP="00C85EF9">
            <w:pPr>
              <w:spacing w:before="40" w:after="80" w:line="220" w:lineRule="exact"/>
            </w:pPr>
            <w:r w:rsidRPr="00AD1F92">
              <w:t>Forum</w:t>
            </w:r>
          </w:p>
          <w:p w14:paraId="6AABD86D" w14:textId="77777777" w:rsidR="00C85EF9" w:rsidRPr="00AD1F92" w:rsidRDefault="00C85EF9" w:rsidP="00C85EF9">
            <w:pPr>
              <w:spacing w:before="40" w:after="80" w:line="220" w:lineRule="exact"/>
            </w:pPr>
            <w:r w:rsidRPr="00AD1F92">
              <w:t>KCI</w:t>
            </w:r>
          </w:p>
        </w:tc>
        <w:tc>
          <w:tcPr>
            <w:tcW w:w="3670" w:type="dxa"/>
          </w:tcPr>
          <w:p w14:paraId="5D9AB838" w14:textId="77777777" w:rsidR="00C85EF9" w:rsidRPr="00AD1F92" w:rsidRDefault="00C85EF9" w:rsidP="00C85EF9">
            <w:pPr>
              <w:spacing w:before="40" w:after="80" w:line="220" w:lineRule="exact"/>
              <w:ind w:left="23"/>
            </w:pPr>
            <w:r w:rsidRPr="00AD1F92">
              <w:t>–</w:t>
            </w:r>
          </w:p>
        </w:tc>
        <w:tc>
          <w:tcPr>
            <w:tcW w:w="1991" w:type="dxa"/>
          </w:tcPr>
          <w:p w14:paraId="139A2865" w14:textId="77777777" w:rsidR="00C85EF9" w:rsidRPr="00AD1F92" w:rsidRDefault="00C85EF9" w:rsidP="00C85EF9">
            <w:pPr>
              <w:spacing w:before="40" w:after="80" w:line="220" w:lineRule="exact"/>
              <w:ind w:left="23"/>
            </w:pPr>
            <w:r w:rsidRPr="00AD1F92">
              <w:t>–</w:t>
            </w:r>
          </w:p>
        </w:tc>
      </w:tr>
      <w:tr w:rsidR="00C85EF9" w:rsidRPr="00AD1F92" w14:paraId="4C2F80DB" w14:textId="77777777">
        <w:tc>
          <w:tcPr>
            <w:tcW w:w="1020" w:type="dxa"/>
          </w:tcPr>
          <w:p w14:paraId="21182E36" w14:textId="77777777" w:rsidR="00C85EF9" w:rsidRPr="00AD1F92" w:rsidRDefault="00C85EF9" w:rsidP="00C85EF9">
            <w:pPr>
              <w:spacing w:before="40" w:after="80" w:line="220" w:lineRule="exact"/>
            </w:pPr>
            <w:r w:rsidRPr="00AD1F92">
              <w:t>4</w:t>
            </w:r>
          </w:p>
        </w:tc>
        <w:tc>
          <w:tcPr>
            <w:tcW w:w="5591" w:type="dxa"/>
          </w:tcPr>
          <w:p w14:paraId="37B183CB" w14:textId="57B0A5AC" w:rsidR="00C85EF9" w:rsidRPr="00AD1F92" w:rsidRDefault="00C85EF9" w:rsidP="00C85EF9">
            <w:pPr>
              <w:spacing w:before="40" w:after="80" w:line="220" w:lineRule="exact"/>
              <w:ind w:left="23"/>
            </w:pPr>
            <w:r w:rsidRPr="00AD1F92">
              <w:t>Conduct midterm review of this workplan, starting at SB 68 (June 2028) and to be concluded no later than SB 69</w:t>
            </w:r>
          </w:p>
        </w:tc>
        <w:tc>
          <w:tcPr>
            <w:tcW w:w="1620" w:type="dxa"/>
          </w:tcPr>
          <w:p w14:paraId="3019C2BC" w14:textId="77777777" w:rsidR="00C85EF9" w:rsidRPr="00AD1F92" w:rsidRDefault="00C85EF9" w:rsidP="00C85EF9">
            <w:pPr>
              <w:spacing w:before="40" w:after="80" w:line="220" w:lineRule="exact"/>
            </w:pPr>
            <w:r w:rsidRPr="00AD1F92">
              <w:t>Forum</w:t>
            </w:r>
          </w:p>
          <w:p w14:paraId="675084C8" w14:textId="77777777" w:rsidR="00C85EF9" w:rsidRPr="00AD1F92" w:rsidRDefault="00C85EF9" w:rsidP="00C85EF9">
            <w:pPr>
              <w:spacing w:before="40" w:after="80" w:line="220" w:lineRule="exact"/>
            </w:pPr>
            <w:r w:rsidRPr="00AD1F92">
              <w:t>KCI</w:t>
            </w:r>
          </w:p>
        </w:tc>
        <w:tc>
          <w:tcPr>
            <w:tcW w:w="3670" w:type="dxa"/>
          </w:tcPr>
          <w:p w14:paraId="1702C85F" w14:textId="77777777" w:rsidR="00C85EF9" w:rsidRPr="00AD1F92" w:rsidRDefault="00C85EF9" w:rsidP="00C85EF9">
            <w:pPr>
              <w:spacing w:before="40" w:after="80" w:line="220" w:lineRule="exact"/>
              <w:ind w:left="23"/>
            </w:pPr>
            <w:r w:rsidRPr="00AD1F92">
              <w:t>–</w:t>
            </w:r>
          </w:p>
        </w:tc>
        <w:tc>
          <w:tcPr>
            <w:tcW w:w="1991" w:type="dxa"/>
          </w:tcPr>
          <w:p w14:paraId="60CDA493" w14:textId="77777777" w:rsidR="00C85EF9" w:rsidRPr="00AD1F92" w:rsidRDefault="00C85EF9" w:rsidP="00C85EF9">
            <w:pPr>
              <w:spacing w:before="40" w:after="80" w:line="220" w:lineRule="exact"/>
              <w:ind w:left="23"/>
            </w:pPr>
            <w:r w:rsidRPr="00AD1F92">
              <w:t>–</w:t>
            </w:r>
          </w:p>
        </w:tc>
      </w:tr>
      <w:tr w:rsidR="00C85EF9" w:rsidRPr="00AD1F92" w14:paraId="7C339F73" w14:textId="77777777">
        <w:trPr>
          <w:trHeight w:val="130"/>
        </w:trPr>
        <w:tc>
          <w:tcPr>
            <w:tcW w:w="1020" w:type="dxa"/>
          </w:tcPr>
          <w:p w14:paraId="556F2926" w14:textId="77777777" w:rsidR="00C85EF9" w:rsidRPr="00AD1F92" w:rsidRDefault="00C85EF9" w:rsidP="00C85EF9">
            <w:pPr>
              <w:spacing w:before="40" w:after="80" w:line="220" w:lineRule="exact"/>
            </w:pPr>
            <w:r w:rsidRPr="00AD1F92">
              <w:t>5</w:t>
            </w:r>
          </w:p>
        </w:tc>
        <w:tc>
          <w:tcPr>
            <w:tcW w:w="5591" w:type="dxa"/>
          </w:tcPr>
          <w:p w14:paraId="248A7D9C" w14:textId="77777777" w:rsidR="00C85EF9" w:rsidRPr="00AD1F92" w:rsidRDefault="00C85EF9" w:rsidP="00C85EF9">
            <w:pPr>
              <w:spacing w:before="40" w:after="80" w:line="220" w:lineRule="exact"/>
            </w:pPr>
            <w:r w:rsidRPr="00AD1F92">
              <w:t>Assess and analyse the impacts, including socioeconomic impacts, of response measures to be implemented in order to achieve all outcomes of the global stocktake and different net zero scenarios and pathways</w:t>
            </w:r>
          </w:p>
        </w:tc>
        <w:tc>
          <w:tcPr>
            <w:tcW w:w="1620" w:type="dxa"/>
          </w:tcPr>
          <w:p w14:paraId="7001853D" w14:textId="77777777" w:rsidR="00C85EF9" w:rsidRPr="00AD1F92" w:rsidRDefault="00C85EF9" w:rsidP="00C85EF9">
            <w:pPr>
              <w:spacing w:before="40" w:after="80" w:line="220" w:lineRule="exact"/>
            </w:pPr>
            <w:r w:rsidRPr="00AD1F92">
              <w:t>Forum</w:t>
            </w:r>
          </w:p>
          <w:p w14:paraId="05615E83" w14:textId="77777777" w:rsidR="00C85EF9" w:rsidRPr="00AD1F92" w:rsidRDefault="00C85EF9" w:rsidP="00C85EF9">
            <w:pPr>
              <w:spacing w:before="40" w:after="80" w:line="220" w:lineRule="exact"/>
            </w:pPr>
            <w:r w:rsidRPr="00AD1F92">
              <w:t>KCI</w:t>
            </w:r>
          </w:p>
        </w:tc>
        <w:tc>
          <w:tcPr>
            <w:tcW w:w="3670" w:type="dxa"/>
          </w:tcPr>
          <w:p w14:paraId="03738A0E" w14:textId="77777777" w:rsidR="00C85EF9" w:rsidRPr="00AD1F92" w:rsidRDefault="00C85EF9" w:rsidP="00C85EF9">
            <w:pPr>
              <w:spacing w:before="40" w:after="80" w:line="220" w:lineRule="exact"/>
              <w:rPr>
                <w:rFonts w:cstheme="minorHAnsi"/>
              </w:rPr>
            </w:pPr>
            <w:r w:rsidRPr="00AD1F92">
              <w:rPr>
                <w:rFonts w:cstheme="minorHAnsi"/>
              </w:rPr>
              <w:t>(a) Building awareness and enhancing information-sharing through the exchange and sharing of experience and best practices</w:t>
            </w:r>
          </w:p>
          <w:p w14:paraId="0283F2FD" w14:textId="77777777" w:rsidR="00C85EF9" w:rsidRPr="00AD1F92" w:rsidRDefault="00C85EF9" w:rsidP="00C85EF9">
            <w:pPr>
              <w:spacing w:before="40" w:after="80" w:line="220" w:lineRule="exact"/>
              <w:rPr>
                <w:rFonts w:cstheme="minorHAnsi"/>
              </w:rPr>
            </w:pPr>
            <w:r w:rsidRPr="00AD1F92">
              <w:rPr>
                <w:rFonts w:cstheme="minorHAnsi"/>
              </w:rPr>
              <w:t>(b) Preparing technical papers</w:t>
            </w:r>
            <w:r w:rsidRPr="00AD1F92">
              <w:t>;</w:t>
            </w:r>
            <w:r w:rsidRPr="00AD1F92">
              <w:rPr>
                <w:rFonts w:cstheme="minorHAnsi"/>
              </w:rPr>
              <w:t xml:space="preserve"> national, regional and sector-specific case studies</w:t>
            </w:r>
            <w:r w:rsidRPr="00AD1F92">
              <w:t>;</w:t>
            </w:r>
            <w:r w:rsidRPr="00AD1F92">
              <w:rPr>
                <w:rFonts w:cstheme="minorHAnsi"/>
              </w:rPr>
              <w:t xml:space="preserve"> concrete examples</w:t>
            </w:r>
            <w:r w:rsidRPr="00AD1F92">
              <w:t>;</w:t>
            </w:r>
            <w:r w:rsidRPr="00AD1F92">
              <w:rPr>
                <w:rFonts w:cstheme="minorHAnsi"/>
              </w:rPr>
              <w:t xml:space="preserve"> and guidelines</w:t>
            </w:r>
          </w:p>
          <w:p w14:paraId="1B0D745B" w14:textId="77777777" w:rsidR="00C85EF9" w:rsidRPr="00AD1F92" w:rsidRDefault="00C85EF9" w:rsidP="00C85EF9">
            <w:pPr>
              <w:spacing w:before="40" w:after="80" w:line="220" w:lineRule="exact"/>
              <w:rPr>
                <w:rFonts w:cstheme="minorHAnsi"/>
              </w:rPr>
            </w:pPr>
            <w:r w:rsidRPr="00AD1F92">
              <w:t>(c)</w:t>
            </w:r>
            <w:r w:rsidRPr="00AD1F92">
              <w:rPr>
                <w:rFonts w:cstheme="minorHAnsi"/>
              </w:rPr>
              <w:t xml:space="preserve"> Receiving input from and facilitating collaboration with experts, practitioners and relevant organizations</w:t>
            </w:r>
          </w:p>
          <w:p w14:paraId="6E35937C" w14:textId="77777777" w:rsidR="00C85EF9" w:rsidRPr="00AD1F92" w:rsidRDefault="00C85EF9" w:rsidP="00C85EF9">
            <w:pPr>
              <w:spacing w:before="40" w:after="80" w:line="220" w:lineRule="exact"/>
            </w:pPr>
            <w:r w:rsidRPr="00AD1F92">
              <w:rPr>
                <w:rFonts w:cstheme="minorHAnsi"/>
              </w:rPr>
              <w:t>(d) Organizing workshops</w:t>
            </w:r>
          </w:p>
        </w:tc>
        <w:tc>
          <w:tcPr>
            <w:tcW w:w="1991" w:type="dxa"/>
          </w:tcPr>
          <w:p w14:paraId="1867F762" w14:textId="77777777" w:rsidR="00C85EF9" w:rsidRPr="00AD1F92" w:rsidRDefault="00C85EF9" w:rsidP="00C85EF9">
            <w:pPr>
              <w:spacing w:before="40" w:after="80" w:line="220" w:lineRule="exact"/>
            </w:pPr>
            <w:r w:rsidRPr="00AD1F92">
              <w:t xml:space="preserve">One report </w:t>
            </w:r>
          </w:p>
          <w:p w14:paraId="678A1D7A" w14:textId="77777777" w:rsidR="00C85EF9" w:rsidRPr="00AD1F92" w:rsidRDefault="00C85EF9" w:rsidP="00C85EF9">
            <w:pPr>
              <w:spacing w:before="40" w:after="80" w:line="220" w:lineRule="exact"/>
            </w:pPr>
            <w:r w:rsidRPr="00AD1F92">
              <w:t>Regional workshops</w:t>
            </w:r>
          </w:p>
          <w:p w14:paraId="3899B7F9" w14:textId="77777777" w:rsidR="00C85EF9" w:rsidRPr="00AD1F92" w:rsidRDefault="00C85EF9" w:rsidP="00C85EF9">
            <w:pPr>
              <w:spacing w:before="40" w:after="80" w:line="220" w:lineRule="exact"/>
            </w:pPr>
            <w:r w:rsidRPr="00AD1F92">
              <w:t>Recommendations to the governing bodies</w:t>
            </w:r>
          </w:p>
        </w:tc>
      </w:tr>
      <w:tr w:rsidR="0070081F" w:rsidRPr="00AD1F92" w14:paraId="677DBE7A" w14:textId="77777777">
        <w:trPr>
          <w:trHeight w:val="130"/>
        </w:trPr>
        <w:tc>
          <w:tcPr>
            <w:tcW w:w="1020" w:type="dxa"/>
          </w:tcPr>
          <w:p w14:paraId="6378F05E" w14:textId="77777777" w:rsidR="0070081F" w:rsidRPr="00AD1F92" w:rsidRDefault="0070081F">
            <w:pPr>
              <w:spacing w:before="40" w:after="80" w:line="220" w:lineRule="exact"/>
            </w:pPr>
            <w:r w:rsidRPr="00AD1F92">
              <w:t>6</w:t>
            </w:r>
          </w:p>
        </w:tc>
        <w:tc>
          <w:tcPr>
            <w:tcW w:w="5591" w:type="dxa"/>
          </w:tcPr>
          <w:p w14:paraId="31AA2E13" w14:textId="77777777" w:rsidR="0070081F" w:rsidRPr="00AD1F92" w:rsidRDefault="0070081F">
            <w:pPr>
              <w:spacing w:before="40" w:after="80" w:line="220" w:lineRule="exact"/>
              <w:ind w:left="23"/>
            </w:pPr>
            <w:r w:rsidRPr="00AD1F92">
              <w:t>Analyse, assess and report on the impacts of measures taken to combat climate change, including cross-border impacts, recalling Article 3, paragraph 5, of the Convention</w:t>
            </w:r>
          </w:p>
        </w:tc>
        <w:tc>
          <w:tcPr>
            <w:tcW w:w="1620" w:type="dxa"/>
          </w:tcPr>
          <w:p w14:paraId="68B66644" w14:textId="77777777" w:rsidR="0070081F" w:rsidRPr="00AD1F92" w:rsidRDefault="0070081F">
            <w:pPr>
              <w:spacing w:before="40" w:after="80" w:line="220" w:lineRule="exact"/>
            </w:pPr>
            <w:r w:rsidRPr="00AD1F92">
              <w:t>Forum</w:t>
            </w:r>
          </w:p>
          <w:p w14:paraId="387E36F7" w14:textId="77777777" w:rsidR="0070081F" w:rsidRPr="00AD1F92" w:rsidRDefault="0070081F">
            <w:pPr>
              <w:spacing w:before="40" w:after="80" w:line="220" w:lineRule="exact"/>
            </w:pPr>
            <w:r w:rsidRPr="00AD1F92">
              <w:t>KCI</w:t>
            </w:r>
          </w:p>
        </w:tc>
        <w:tc>
          <w:tcPr>
            <w:tcW w:w="3670" w:type="dxa"/>
          </w:tcPr>
          <w:p w14:paraId="5D0F69A9" w14:textId="77777777" w:rsidR="0070081F" w:rsidRPr="00AD1F92" w:rsidRDefault="0070081F">
            <w:pPr>
              <w:spacing w:before="40" w:after="80" w:line="220" w:lineRule="exact"/>
              <w:rPr>
                <w:rFonts w:cstheme="minorHAnsi"/>
              </w:rPr>
            </w:pPr>
            <w:r w:rsidRPr="00AD1F92">
              <w:rPr>
                <w:rFonts w:cstheme="minorHAnsi"/>
              </w:rPr>
              <w:t>(a) Building awareness and enhancing information-sharing through the exchange and sharing of experience and best practices</w:t>
            </w:r>
          </w:p>
          <w:p w14:paraId="3355609F" w14:textId="77777777" w:rsidR="0070081F" w:rsidRPr="00AD1F92" w:rsidRDefault="0070081F">
            <w:pPr>
              <w:spacing w:before="40" w:after="80" w:line="220" w:lineRule="exact"/>
              <w:rPr>
                <w:rFonts w:cstheme="minorHAnsi"/>
              </w:rPr>
            </w:pPr>
            <w:r w:rsidRPr="00AD1F92">
              <w:rPr>
                <w:rFonts w:cstheme="minorHAnsi"/>
              </w:rPr>
              <w:lastRenderedPageBreak/>
              <w:t>(b) Preparing technical papers</w:t>
            </w:r>
            <w:r w:rsidRPr="00AD1F92">
              <w:t>;</w:t>
            </w:r>
            <w:r w:rsidRPr="00AD1F92">
              <w:rPr>
                <w:rFonts w:cstheme="minorHAnsi"/>
              </w:rPr>
              <w:t xml:space="preserve"> national, regional and sector-specific case studies</w:t>
            </w:r>
            <w:r w:rsidRPr="00AD1F92">
              <w:t>;</w:t>
            </w:r>
            <w:r w:rsidRPr="00AD1F92">
              <w:rPr>
                <w:rFonts w:cstheme="minorHAnsi"/>
              </w:rPr>
              <w:t xml:space="preserve"> concrete examples</w:t>
            </w:r>
            <w:r w:rsidRPr="00AD1F92">
              <w:t>;</w:t>
            </w:r>
            <w:r w:rsidRPr="00AD1F92">
              <w:rPr>
                <w:rFonts w:cstheme="minorHAnsi"/>
              </w:rPr>
              <w:t xml:space="preserve"> and guidelines</w:t>
            </w:r>
          </w:p>
          <w:p w14:paraId="6D6880A3" w14:textId="77777777" w:rsidR="0070081F" w:rsidRPr="00AD1F92" w:rsidRDefault="0070081F">
            <w:pPr>
              <w:spacing w:before="40" w:after="80" w:line="220" w:lineRule="exact"/>
              <w:rPr>
                <w:rFonts w:cstheme="minorHAnsi"/>
              </w:rPr>
            </w:pPr>
            <w:r w:rsidRPr="00AD1F92">
              <w:rPr>
                <w:rFonts w:cstheme="minorHAnsi"/>
              </w:rPr>
              <w:t>(c) Receiving input from and facilitating collaboration with experts, practitioners and relevant organizations</w:t>
            </w:r>
          </w:p>
          <w:p w14:paraId="5D1BD4FD" w14:textId="77777777" w:rsidR="0070081F" w:rsidRPr="00AD1F92" w:rsidRDefault="0070081F">
            <w:pPr>
              <w:spacing w:before="40" w:after="80" w:line="220" w:lineRule="exact"/>
              <w:ind w:left="23"/>
            </w:pPr>
            <w:r w:rsidRPr="00AD1F92">
              <w:rPr>
                <w:rFonts w:cstheme="minorHAnsi"/>
              </w:rPr>
              <w:t>(d) Organizing workshops</w:t>
            </w:r>
          </w:p>
        </w:tc>
        <w:tc>
          <w:tcPr>
            <w:tcW w:w="1991" w:type="dxa"/>
          </w:tcPr>
          <w:p w14:paraId="0FC6DDC8" w14:textId="77777777" w:rsidR="0070081F" w:rsidRPr="00AD1F92" w:rsidRDefault="0070081F">
            <w:pPr>
              <w:spacing w:before="40" w:after="80" w:line="220" w:lineRule="exact"/>
            </w:pPr>
            <w:r w:rsidRPr="00AD1F92">
              <w:lastRenderedPageBreak/>
              <w:t>Two reports</w:t>
            </w:r>
          </w:p>
          <w:p w14:paraId="5B36FC66" w14:textId="77777777" w:rsidR="0070081F" w:rsidRPr="00AD1F92" w:rsidRDefault="0070081F">
            <w:pPr>
              <w:spacing w:before="40" w:after="80" w:line="220" w:lineRule="exact"/>
            </w:pPr>
            <w:r w:rsidRPr="00AD1F92">
              <w:t>Recommendations to the governing bodies</w:t>
            </w:r>
          </w:p>
        </w:tc>
      </w:tr>
      <w:tr w:rsidR="0070081F" w:rsidRPr="00AD1F92" w14:paraId="3AF1DB71" w14:textId="77777777">
        <w:trPr>
          <w:trHeight w:val="130"/>
        </w:trPr>
        <w:tc>
          <w:tcPr>
            <w:tcW w:w="1020" w:type="dxa"/>
          </w:tcPr>
          <w:p w14:paraId="5E013DF6" w14:textId="77777777" w:rsidR="0070081F" w:rsidRPr="00AD1F92" w:rsidRDefault="0070081F">
            <w:pPr>
              <w:spacing w:before="40" w:after="80" w:line="220" w:lineRule="exact"/>
            </w:pPr>
            <w:r w:rsidRPr="00AD1F92">
              <w:t>7</w:t>
            </w:r>
          </w:p>
        </w:tc>
        <w:tc>
          <w:tcPr>
            <w:tcW w:w="5591" w:type="dxa"/>
          </w:tcPr>
          <w:p w14:paraId="70B2F8EE" w14:textId="77777777" w:rsidR="0070081F" w:rsidRPr="00AD1F92" w:rsidRDefault="0070081F">
            <w:pPr>
              <w:spacing w:before="40" w:after="80" w:line="220" w:lineRule="exact"/>
              <w:ind w:left="23"/>
            </w:pPr>
            <w:r w:rsidRPr="00AD1F92">
              <w:rPr>
                <w:color w:val="000000" w:themeColor="text1"/>
              </w:rPr>
              <w:t xml:space="preserve">Identify and exchange experience on ways to enhance international cooperation to increase the capacity of the workforce and promote the development of emerging low- and zero-emission industries, including </w:t>
            </w:r>
            <w:r w:rsidRPr="00AD1F92">
              <w:t>through the Technology Mechanism, and through education, retooling the workforce, training and retraining, and skilling and reskilling, with regard to low- and zero-emission development, and financial instruments that enable, mobilize and catalyse support</w:t>
            </w:r>
          </w:p>
        </w:tc>
        <w:tc>
          <w:tcPr>
            <w:tcW w:w="1620" w:type="dxa"/>
          </w:tcPr>
          <w:p w14:paraId="1D04B840" w14:textId="77777777" w:rsidR="0070081F" w:rsidRPr="00AD1F92" w:rsidRDefault="0070081F">
            <w:pPr>
              <w:spacing w:before="40" w:after="80" w:line="220" w:lineRule="exact"/>
            </w:pPr>
            <w:r w:rsidRPr="00AD1F92">
              <w:t>Forum</w:t>
            </w:r>
          </w:p>
          <w:p w14:paraId="591D3768" w14:textId="77777777" w:rsidR="0070081F" w:rsidRPr="00AD1F92" w:rsidRDefault="0070081F">
            <w:pPr>
              <w:spacing w:before="40" w:after="80" w:line="220" w:lineRule="exact"/>
              <w:rPr>
                <w:color w:val="000000" w:themeColor="text1"/>
              </w:rPr>
            </w:pPr>
            <w:r w:rsidRPr="00AD1F92">
              <w:t>KCI</w:t>
            </w:r>
          </w:p>
        </w:tc>
        <w:tc>
          <w:tcPr>
            <w:tcW w:w="3670" w:type="dxa"/>
          </w:tcPr>
          <w:p w14:paraId="50E3678C" w14:textId="77777777" w:rsidR="0070081F" w:rsidRPr="00AD1F92" w:rsidRDefault="0070081F">
            <w:pPr>
              <w:spacing w:before="40" w:after="80" w:line="220" w:lineRule="exact"/>
            </w:pPr>
            <w:r w:rsidRPr="00AD1F92">
              <w:t>(a) Building awareness and enhancing information-sharing through the exchange and sharing of experience and best practices</w:t>
            </w:r>
          </w:p>
          <w:p w14:paraId="3F084CBC" w14:textId="77777777" w:rsidR="0070081F" w:rsidRPr="00AD1F92" w:rsidRDefault="0070081F">
            <w:pPr>
              <w:spacing w:before="40" w:after="80" w:line="220" w:lineRule="exact"/>
            </w:pPr>
            <w:r w:rsidRPr="00AD1F92">
              <w:t>(b) Preparing technical papers; national, regional and sector-specific case studies; concrete examples; and guidelines</w:t>
            </w:r>
          </w:p>
          <w:p w14:paraId="3C74B132" w14:textId="77777777" w:rsidR="0070081F" w:rsidRPr="00AD1F92" w:rsidRDefault="0070081F">
            <w:pPr>
              <w:spacing w:before="40" w:after="80" w:line="220" w:lineRule="exact"/>
            </w:pPr>
            <w:r w:rsidRPr="00AD1F92">
              <w:t>(c) Receiving input from and facilitating collaboration with experts, practitioners and relevant organizations</w:t>
            </w:r>
          </w:p>
          <w:p w14:paraId="63BEB064" w14:textId="77777777" w:rsidR="0070081F" w:rsidRPr="00AD1F92" w:rsidRDefault="0070081F">
            <w:pPr>
              <w:spacing w:before="40" w:after="80" w:line="220" w:lineRule="exact"/>
              <w:ind w:left="23"/>
              <w:rPr>
                <w:color w:val="000000" w:themeColor="text1"/>
              </w:rPr>
            </w:pPr>
            <w:r w:rsidRPr="00AD1F92">
              <w:t>(d) Organizing workshops</w:t>
            </w:r>
          </w:p>
        </w:tc>
        <w:tc>
          <w:tcPr>
            <w:tcW w:w="1991" w:type="dxa"/>
          </w:tcPr>
          <w:p w14:paraId="2581D561" w14:textId="77777777" w:rsidR="0070081F" w:rsidRPr="00AD1F92" w:rsidRDefault="0070081F">
            <w:pPr>
              <w:spacing w:before="40" w:after="80" w:line="220" w:lineRule="exact"/>
            </w:pPr>
            <w:r w:rsidRPr="00AD1F92">
              <w:t>One report</w:t>
            </w:r>
          </w:p>
          <w:p w14:paraId="00E3B70B" w14:textId="77777777" w:rsidR="0070081F" w:rsidRPr="00AD1F92" w:rsidRDefault="0070081F">
            <w:pPr>
              <w:spacing w:before="40" w:after="80" w:line="220" w:lineRule="exact"/>
              <w:rPr>
                <w:color w:val="000000" w:themeColor="text1"/>
              </w:rPr>
            </w:pPr>
            <w:r w:rsidRPr="00AD1F92">
              <w:t>Recommendations to the governing bodies</w:t>
            </w:r>
          </w:p>
        </w:tc>
      </w:tr>
      <w:tr w:rsidR="0070081F" w:rsidRPr="00AD1F92" w14:paraId="686FA191" w14:textId="77777777">
        <w:trPr>
          <w:trHeight w:val="130"/>
        </w:trPr>
        <w:tc>
          <w:tcPr>
            <w:tcW w:w="1020" w:type="dxa"/>
          </w:tcPr>
          <w:p w14:paraId="6B7C4B9A" w14:textId="77777777" w:rsidR="0070081F" w:rsidRPr="00AD1F92" w:rsidRDefault="0070081F">
            <w:pPr>
              <w:spacing w:before="40" w:after="80" w:line="220" w:lineRule="exact"/>
            </w:pPr>
            <w:r w:rsidRPr="00AD1F92">
              <w:t>8</w:t>
            </w:r>
          </w:p>
        </w:tc>
        <w:tc>
          <w:tcPr>
            <w:tcW w:w="5591" w:type="dxa"/>
          </w:tcPr>
          <w:p w14:paraId="1A6D382D" w14:textId="77777777" w:rsidR="0070081F" w:rsidRPr="00AD1F92" w:rsidRDefault="0070081F">
            <w:pPr>
              <w:spacing w:before="40" w:after="80" w:line="220" w:lineRule="exact"/>
              <w:ind w:left="23"/>
            </w:pPr>
            <w:r w:rsidRPr="00AD1F92">
              <w:t>Facilitate the exchange and sharing of experience and best practices among Parties, the secretariat and other international organizations on conducting impact assessments</w:t>
            </w:r>
          </w:p>
        </w:tc>
        <w:tc>
          <w:tcPr>
            <w:tcW w:w="1620" w:type="dxa"/>
          </w:tcPr>
          <w:p w14:paraId="6B10D91B" w14:textId="77777777" w:rsidR="0070081F" w:rsidRPr="00AD1F92" w:rsidRDefault="0070081F">
            <w:pPr>
              <w:spacing w:before="40" w:after="80" w:line="220" w:lineRule="exact"/>
            </w:pPr>
            <w:r w:rsidRPr="00AD1F92">
              <w:t>Forum</w:t>
            </w:r>
          </w:p>
          <w:p w14:paraId="0065DAF2" w14:textId="77777777" w:rsidR="0070081F" w:rsidRPr="00AD1F92" w:rsidRDefault="0070081F">
            <w:pPr>
              <w:spacing w:before="40" w:after="80" w:line="220" w:lineRule="exact"/>
            </w:pPr>
            <w:r w:rsidRPr="00AD1F92">
              <w:t>KCI</w:t>
            </w:r>
          </w:p>
        </w:tc>
        <w:tc>
          <w:tcPr>
            <w:tcW w:w="3670" w:type="dxa"/>
          </w:tcPr>
          <w:p w14:paraId="5E8D2C63" w14:textId="77777777" w:rsidR="0070081F" w:rsidRPr="00AD1F92" w:rsidRDefault="0070081F">
            <w:pPr>
              <w:spacing w:before="40" w:after="80" w:line="220" w:lineRule="exact"/>
            </w:pPr>
            <w:r w:rsidRPr="00AD1F92">
              <w:t>(a) Building awareness and enhancing information-sharing through the exchange and sharing of experience and best practices</w:t>
            </w:r>
          </w:p>
          <w:p w14:paraId="68ECADD4" w14:textId="77777777" w:rsidR="0070081F" w:rsidRPr="00AD1F92" w:rsidRDefault="0070081F">
            <w:pPr>
              <w:spacing w:before="40" w:after="80" w:line="220" w:lineRule="exact"/>
            </w:pPr>
            <w:r w:rsidRPr="00AD1F92">
              <w:t>(b) Preparing technical papers; national, regional and sector-specific case studies; concrete examples; and guidelines</w:t>
            </w:r>
          </w:p>
          <w:p w14:paraId="5AD57A67" w14:textId="77777777" w:rsidR="0070081F" w:rsidRPr="00AD1F92" w:rsidRDefault="0070081F">
            <w:pPr>
              <w:spacing w:before="40" w:after="80" w:line="220" w:lineRule="exact"/>
            </w:pPr>
            <w:r w:rsidRPr="00AD1F92">
              <w:t>(c) Receiving input from and facilitating collaboration with experts, practitioners and relevant organizations</w:t>
            </w:r>
          </w:p>
          <w:p w14:paraId="4AC599D5" w14:textId="77777777" w:rsidR="0070081F" w:rsidRPr="00AD1F92" w:rsidRDefault="0070081F">
            <w:pPr>
              <w:spacing w:before="40" w:after="80" w:line="220" w:lineRule="exact"/>
              <w:ind w:left="23"/>
            </w:pPr>
            <w:r w:rsidRPr="00AD1F92">
              <w:t>(d) Organizing workshops</w:t>
            </w:r>
          </w:p>
        </w:tc>
        <w:tc>
          <w:tcPr>
            <w:tcW w:w="1991" w:type="dxa"/>
          </w:tcPr>
          <w:p w14:paraId="19AB671C" w14:textId="77777777" w:rsidR="0070081F" w:rsidRPr="00AD1F92" w:rsidRDefault="0070081F">
            <w:pPr>
              <w:spacing w:before="40" w:after="80" w:line="220" w:lineRule="exact"/>
            </w:pPr>
            <w:r w:rsidRPr="00AD1F92">
              <w:t>Summary reports</w:t>
            </w:r>
          </w:p>
          <w:p w14:paraId="5F9F51C5" w14:textId="77777777" w:rsidR="0070081F" w:rsidRPr="00AD1F92" w:rsidRDefault="0070081F">
            <w:pPr>
              <w:spacing w:before="40" w:after="80" w:line="220" w:lineRule="exact"/>
            </w:pPr>
            <w:r w:rsidRPr="00AD1F92">
              <w:t>In-session workshops</w:t>
            </w:r>
          </w:p>
          <w:p w14:paraId="7E10E008" w14:textId="77777777" w:rsidR="0070081F" w:rsidRPr="00AD1F92" w:rsidRDefault="0070081F">
            <w:pPr>
              <w:spacing w:before="40" w:after="80" w:line="220" w:lineRule="exact"/>
            </w:pPr>
            <w:r w:rsidRPr="00AD1F92">
              <w:t>Recommendations to the governing bodies</w:t>
            </w:r>
          </w:p>
        </w:tc>
      </w:tr>
      <w:tr w:rsidR="0070081F" w:rsidRPr="00AD1F92" w14:paraId="5AD6F8A1" w14:textId="77777777">
        <w:trPr>
          <w:trHeight w:val="130"/>
        </w:trPr>
        <w:tc>
          <w:tcPr>
            <w:tcW w:w="1020" w:type="dxa"/>
          </w:tcPr>
          <w:p w14:paraId="1D9631E3" w14:textId="77777777" w:rsidR="0070081F" w:rsidRPr="00AD1F92" w:rsidRDefault="0070081F">
            <w:pPr>
              <w:spacing w:before="40" w:after="80" w:line="220" w:lineRule="exact"/>
            </w:pPr>
            <w:r w:rsidRPr="00AD1F92">
              <w:t>9</w:t>
            </w:r>
          </w:p>
        </w:tc>
        <w:tc>
          <w:tcPr>
            <w:tcW w:w="5591" w:type="dxa"/>
          </w:tcPr>
          <w:p w14:paraId="26048EC2" w14:textId="77777777" w:rsidR="0070081F" w:rsidRPr="00AD1F92" w:rsidRDefault="0070081F">
            <w:pPr>
              <w:spacing w:before="40" w:after="80" w:line="220" w:lineRule="exact"/>
              <w:ind w:left="23"/>
            </w:pPr>
            <w:r w:rsidRPr="00AD1F92">
              <w:t xml:space="preserve">Identify ways and means of enhancing public–private partnerships to address the impacts of the implementation of response measures </w:t>
            </w:r>
          </w:p>
        </w:tc>
        <w:tc>
          <w:tcPr>
            <w:tcW w:w="1620" w:type="dxa"/>
          </w:tcPr>
          <w:p w14:paraId="17E57249" w14:textId="77777777" w:rsidR="0070081F" w:rsidRPr="00AD1F92" w:rsidRDefault="0070081F">
            <w:pPr>
              <w:spacing w:before="40" w:after="80" w:line="220" w:lineRule="exact"/>
            </w:pPr>
            <w:r w:rsidRPr="00AD1F92">
              <w:t>Forum</w:t>
            </w:r>
          </w:p>
          <w:p w14:paraId="585E0AC6" w14:textId="77777777" w:rsidR="0070081F" w:rsidRPr="00AD1F92" w:rsidRDefault="0070081F">
            <w:pPr>
              <w:spacing w:before="40" w:after="80" w:line="220" w:lineRule="exact"/>
            </w:pPr>
            <w:r w:rsidRPr="00AD1F92">
              <w:t>KCI</w:t>
            </w:r>
          </w:p>
        </w:tc>
        <w:tc>
          <w:tcPr>
            <w:tcW w:w="3670" w:type="dxa"/>
          </w:tcPr>
          <w:p w14:paraId="2AD026DF" w14:textId="77777777" w:rsidR="0070081F" w:rsidRPr="00AD1F92" w:rsidRDefault="0070081F">
            <w:pPr>
              <w:spacing w:before="40" w:after="80" w:line="220" w:lineRule="exact"/>
            </w:pPr>
            <w:r w:rsidRPr="00AD1F92">
              <w:t>(a) Building awareness and enhancing information-sharing through the exchange and sharing of experience and best practices</w:t>
            </w:r>
          </w:p>
          <w:p w14:paraId="0E7003CB" w14:textId="77777777" w:rsidR="0070081F" w:rsidRPr="00AD1F92" w:rsidRDefault="0070081F">
            <w:pPr>
              <w:spacing w:before="40" w:after="80" w:line="220" w:lineRule="exact"/>
            </w:pPr>
            <w:r w:rsidRPr="00AD1F92">
              <w:t>(b) Preparing technical papers; national, regional and sector-specific case studies; concrete examples; and guidelines</w:t>
            </w:r>
          </w:p>
          <w:p w14:paraId="7A4E40DC" w14:textId="77777777" w:rsidR="0070081F" w:rsidRPr="00AD1F92" w:rsidRDefault="0070081F">
            <w:pPr>
              <w:spacing w:before="40" w:after="80" w:line="220" w:lineRule="exact"/>
            </w:pPr>
            <w:r w:rsidRPr="00AD1F92">
              <w:lastRenderedPageBreak/>
              <w:t>(c) Receiving input from and facilitating collaboration with experts, practitioners and relevant organizations</w:t>
            </w:r>
          </w:p>
          <w:p w14:paraId="271B2804" w14:textId="77777777" w:rsidR="0070081F" w:rsidRPr="00AD1F92" w:rsidRDefault="0070081F">
            <w:pPr>
              <w:spacing w:before="40" w:after="80" w:line="220" w:lineRule="exact"/>
              <w:ind w:left="23"/>
            </w:pPr>
            <w:r w:rsidRPr="00AD1F92">
              <w:t>(d) Organizing workshops</w:t>
            </w:r>
          </w:p>
        </w:tc>
        <w:tc>
          <w:tcPr>
            <w:tcW w:w="1991" w:type="dxa"/>
          </w:tcPr>
          <w:p w14:paraId="57DAF11A" w14:textId="77777777" w:rsidR="0070081F" w:rsidRPr="00AD1F92" w:rsidRDefault="0070081F">
            <w:pPr>
              <w:spacing w:before="40" w:after="80" w:line="220" w:lineRule="exact"/>
            </w:pPr>
            <w:r w:rsidRPr="00AD1F92">
              <w:lastRenderedPageBreak/>
              <w:t>In-session workshop</w:t>
            </w:r>
          </w:p>
          <w:p w14:paraId="05604F83" w14:textId="77777777" w:rsidR="0070081F" w:rsidRPr="00AD1F92" w:rsidRDefault="0070081F">
            <w:pPr>
              <w:spacing w:before="40" w:after="80" w:line="220" w:lineRule="exact"/>
            </w:pPr>
            <w:r w:rsidRPr="00AD1F92">
              <w:t>Recommendations to the governing bodies</w:t>
            </w:r>
          </w:p>
        </w:tc>
      </w:tr>
      <w:tr w:rsidR="0070081F" w:rsidRPr="00AD1F92" w14:paraId="53C6E1DB" w14:textId="77777777">
        <w:trPr>
          <w:trHeight w:val="678"/>
        </w:trPr>
        <w:tc>
          <w:tcPr>
            <w:tcW w:w="1020" w:type="dxa"/>
          </w:tcPr>
          <w:p w14:paraId="040D207E" w14:textId="77777777" w:rsidR="0070081F" w:rsidRPr="00AD1F92" w:rsidRDefault="0070081F">
            <w:pPr>
              <w:spacing w:before="40" w:after="80" w:line="220" w:lineRule="exact"/>
            </w:pPr>
            <w:r w:rsidRPr="00AD1F92">
              <w:t>10</w:t>
            </w:r>
          </w:p>
        </w:tc>
        <w:tc>
          <w:tcPr>
            <w:tcW w:w="5591" w:type="dxa"/>
          </w:tcPr>
          <w:p w14:paraId="06A439C0" w14:textId="77777777" w:rsidR="0070081F" w:rsidRPr="00AD1F92" w:rsidRDefault="0070081F">
            <w:pPr>
              <w:spacing w:before="40" w:after="80" w:line="220" w:lineRule="exact"/>
            </w:pPr>
            <w:r w:rsidRPr="00AD1F92">
              <w:t>Develop a KCI toolbox that can be customized to local circumstances, including methodologies, for Parties to use in identifying, assessing and addressing the impacts of response measures, and build capacity and share experience in relation to using the toolbox</w:t>
            </w:r>
          </w:p>
        </w:tc>
        <w:tc>
          <w:tcPr>
            <w:tcW w:w="1620" w:type="dxa"/>
          </w:tcPr>
          <w:p w14:paraId="65482229" w14:textId="77777777" w:rsidR="0070081F" w:rsidRPr="00AD1F92" w:rsidRDefault="0070081F">
            <w:pPr>
              <w:spacing w:before="40" w:after="80" w:line="220" w:lineRule="exact"/>
            </w:pPr>
            <w:r w:rsidRPr="00AD1F92">
              <w:t>Forum</w:t>
            </w:r>
          </w:p>
          <w:p w14:paraId="1B536D91" w14:textId="77777777" w:rsidR="0070081F" w:rsidRPr="00AD1F92" w:rsidRDefault="0070081F">
            <w:pPr>
              <w:spacing w:before="40" w:after="80" w:line="220" w:lineRule="exact"/>
            </w:pPr>
            <w:r w:rsidRPr="00AD1F92">
              <w:t>KCI</w:t>
            </w:r>
          </w:p>
        </w:tc>
        <w:tc>
          <w:tcPr>
            <w:tcW w:w="3670" w:type="dxa"/>
          </w:tcPr>
          <w:p w14:paraId="6A9F1204" w14:textId="77777777" w:rsidR="0070081F" w:rsidRPr="00AD1F92" w:rsidRDefault="0070081F">
            <w:pPr>
              <w:spacing w:before="40" w:after="80" w:line="220" w:lineRule="exact"/>
            </w:pPr>
            <w:r w:rsidRPr="00AD1F92">
              <w:t>(a) Building awareness and enhancing information-sharing through the exchange and sharing of experience and best practices</w:t>
            </w:r>
          </w:p>
          <w:p w14:paraId="73830216" w14:textId="77777777" w:rsidR="0070081F" w:rsidRPr="00AD1F92" w:rsidRDefault="0070081F">
            <w:pPr>
              <w:spacing w:before="40" w:after="80" w:line="220" w:lineRule="exact"/>
            </w:pPr>
            <w:r w:rsidRPr="00AD1F92">
              <w:t>(b) Preparing technical papers; national, regional and sector-specific case studies; concrete examples; and guidelines</w:t>
            </w:r>
          </w:p>
          <w:p w14:paraId="03F3EFA5" w14:textId="77777777" w:rsidR="0070081F" w:rsidRPr="00AD1F92" w:rsidRDefault="0070081F">
            <w:pPr>
              <w:spacing w:before="40" w:after="80" w:line="220" w:lineRule="exact"/>
            </w:pPr>
            <w:r w:rsidRPr="00AD1F92">
              <w:t>(c) Receiving input from and facilitating collaboration with experts, practitioners and relevant organizations</w:t>
            </w:r>
          </w:p>
          <w:p w14:paraId="403D44EA" w14:textId="77777777" w:rsidR="0070081F" w:rsidRPr="00AD1F92" w:rsidRDefault="0070081F">
            <w:pPr>
              <w:spacing w:before="40" w:after="80" w:line="220" w:lineRule="exact"/>
            </w:pPr>
            <w:r w:rsidRPr="00AD1F92">
              <w:t>(d) Organizing workshops</w:t>
            </w:r>
          </w:p>
        </w:tc>
        <w:tc>
          <w:tcPr>
            <w:tcW w:w="1991" w:type="dxa"/>
          </w:tcPr>
          <w:p w14:paraId="098992C9" w14:textId="77777777" w:rsidR="0070081F" w:rsidRPr="00AD1F92" w:rsidRDefault="0070081F">
            <w:pPr>
              <w:spacing w:before="40" w:after="80" w:line="220" w:lineRule="exact"/>
            </w:pPr>
            <w:r w:rsidRPr="00AD1F92">
              <w:t xml:space="preserve">Two reports </w:t>
            </w:r>
          </w:p>
          <w:p w14:paraId="7DD0F152" w14:textId="77777777" w:rsidR="0070081F" w:rsidRPr="00AD1F92" w:rsidRDefault="0070081F">
            <w:pPr>
              <w:spacing w:before="40" w:after="80" w:line="220" w:lineRule="exact"/>
            </w:pPr>
            <w:r w:rsidRPr="00AD1F92">
              <w:t>Recommendations to the governing bodies</w:t>
            </w:r>
          </w:p>
        </w:tc>
      </w:tr>
      <w:tr w:rsidR="0070081F" w:rsidRPr="00AD1F92" w14:paraId="023E71FA" w14:textId="77777777">
        <w:trPr>
          <w:trHeight w:val="406"/>
        </w:trPr>
        <w:tc>
          <w:tcPr>
            <w:tcW w:w="1020" w:type="dxa"/>
          </w:tcPr>
          <w:p w14:paraId="0FD36D32" w14:textId="77777777" w:rsidR="0070081F" w:rsidRPr="00AD1F92" w:rsidRDefault="0070081F">
            <w:pPr>
              <w:spacing w:before="40" w:after="80" w:line="220" w:lineRule="exact"/>
            </w:pPr>
            <w:r w:rsidRPr="00AD1F92">
              <w:t>11</w:t>
            </w:r>
          </w:p>
        </w:tc>
        <w:tc>
          <w:tcPr>
            <w:tcW w:w="5591" w:type="dxa"/>
          </w:tcPr>
          <w:p w14:paraId="3D10DA73" w14:textId="77777777" w:rsidR="0070081F" w:rsidRPr="00AD1F92" w:rsidRDefault="0070081F">
            <w:pPr>
              <w:spacing w:before="40" w:after="80" w:line="220" w:lineRule="exact"/>
              <w:ind w:left="23"/>
            </w:pPr>
            <w:r w:rsidRPr="00AD1F92">
              <w:t xml:space="preserve">Develop a case study in each of the five United Nations regions on just transition of the workforce and the creation of decent work and quality jobs and on economic diversification and transformation in order to understand the opportunities and challenges faced in planning and implementation, and share the findings among Parties and experts </w:t>
            </w:r>
          </w:p>
        </w:tc>
        <w:tc>
          <w:tcPr>
            <w:tcW w:w="1620" w:type="dxa"/>
          </w:tcPr>
          <w:p w14:paraId="4A994BF6" w14:textId="77777777" w:rsidR="0070081F" w:rsidRPr="00AD1F92" w:rsidRDefault="0070081F">
            <w:pPr>
              <w:spacing w:before="40" w:after="80" w:line="220" w:lineRule="exact"/>
            </w:pPr>
            <w:r w:rsidRPr="00AD1F92">
              <w:t>Forum</w:t>
            </w:r>
          </w:p>
          <w:p w14:paraId="76040291" w14:textId="77777777" w:rsidR="0070081F" w:rsidRPr="00AD1F92" w:rsidRDefault="0070081F">
            <w:pPr>
              <w:spacing w:before="40" w:after="80" w:line="220" w:lineRule="exact"/>
            </w:pPr>
            <w:r w:rsidRPr="00AD1F92">
              <w:t>KCI</w:t>
            </w:r>
          </w:p>
        </w:tc>
        <w:tc>
          <w:tcPr>
            <w:tcW w:w="3670" w:type="dxa"/>
          </w:tcPr>
          <w:p w14:paraId="12E36B97" w14:textId="77777777" w:rsidR="0070081F" w:rsidRPr="00AD1F92" w:rsidRDefault="0070081F">
            <w:pPr>
              <w:spacing w:before="40" w:after="80" w:line="220" w:lineRule="exact"/>
            </w:pPr>
            <w:r w:rsidRPr="00AD1F92">
              <w:t>(a) Building awareness and enhancing information-sharing through the exchange and sharing of experience and best practices</w:t>
            </w:r>
          </w:p>
          <w:p w14:paraId="39A33D86" w14:textId="77777777" w:rsidR="0070081F" w:rsidRPr="00AD1F92" w:rsidRDefault="0070081F">
            <w:pPr>
              <w:spacing w:before="40" w:after="80" w:line="220" w:lineRule="exact"/>
            </w:pPr>
            <w:r w:rsidRPr="00AD1F92">
              <w:t>(b) Preparing technical papers; national, regional and sector-specific case studies; concrete examples; and guidelines</w:t>
            </w:r>
          </w:p>
          <w:p w14:paraId="467C03F6" w14:textId="77777777" w:rsidR="0070081F" w:rsidRPr="00AD1F92" w:rsidRDefault="0070081F">
            <w:pPr>
              <w:spacing w:before="40" w:after="80" w:line="220" w:lineRule="exact"/>
            </w:pPr>
            <w:r w:rsidRPr="00AD1F92">
              <w:t>(c) Receiving input from and facilitating collaboration with experts, practitioners and relevant organizations</w:t>
            </w:r>
          </w:p>
          <w:p w14:paraId="1EB0DCBF" w14:textId="77777777" w:rsidR="0070081F" w:rsidRPr="00AD1F92" w:rsidRDefault="0070081F">
            <w:pPr>
              <w:spacing w:before="40" w:after="80" w:line="220" w:lineRule="exact"/>
              <w:ind w:left="23"/>
            </w:pPr>
            <w:r w:rsidRPr="00AD1F92">
              <w:t>(d) Organizing workshops</w:t>
            </w:r>
          </w:p>
        </w:tc>
        <w:tc>
          <w:tcPr>
            <w:tcW w:w="1991" w:type="dxa"/>
          </w:tcPr>
          <w:p w14:paraId="02113FD7" w14:textId="77777777" w:rsidR="0070081F" w:rsidRPr="00AD1F92" w:rsidRDefault="0070081F">
            <w:pPr>
              <w:spacing w:before="40" w:after="80" w:line="220" w:lineRule="exact"/>
            </w:pPr>
            <w:r w:rsidRPr="00AD1F92">
              <w:t xml:space="preserve">One report per region </w:t>
            </w:r>
          </w:p>
          <w:p w14:paraId="6ACAD446" w14:textId="77777777" w:rsidR="0070081F" w:rsidRPr="00AD1F92" w:rsidRDefault="0070081F">
            <w:pPr>
              <w:spacing w:before="40" w:after="80" w:line="220" w:lineRule="exact"/>
            </w:pPr>
            <w:r w:rsidRPr="00AD1F92">
              <w:t>Recommendations to the governing bodies</w:t>
            </w:r>
          </w:p>
        </w:tc>
      </w:tr>
      <w:tr w:rsidR="0070081F" w:rsidRPr="00AD1F92" w14:paraId="4CF79349" w14:textId="77777777">
        <w:trPr>
          <w:trHeight w:val="130"/>
        </w:trPr>
        <w:tc>
          <w:tcPr>
            <w:tcW w:w="1020" w:type="dxa"/>
          </w:tcPr>
          <w:p w14:paraId="30A747A2" w14:textId="77777777" w:rsidR="0070081F" w:rsidRPr="00AD1F92" w:rsidRDefault="0070081F">
            <w:pPr>
              <w:spacing w:before="40" w:after="80" w:line="220" w:lineRule="exact"/>
            </w:pPr>
            <w:r w:rsidRPr="00AD1F92">
              <w:t>12</w:t>
            </w:r>
          </w:p>
        </w:tc>
        <w:tc>
          <w:tcPr>
            <w:tcW w:w="5591" w:type="dxa"/>
          </w:tcPr>
          <w:p w14:paraId="1C73D418" w14:textId="77777777" w:rsidR="0070081F" w:rsidRPr="00AD1F92" w:rsidRDefault="0070081F">
            <w:pPr>
              <w:spacing w:before="40" w:after="80" w:line="220" w:lineRule="exact"/>
              <w:ind w:left="23"/>
            </w:pPr>
            <w:r w:rsidRPr="00AD1F92">
              <w:t>Develop case studies to identify and analyse the social and economic impacts of economy-wide nationally determined contributions, covering all greenhouse gases, sectors and categories</w:t>
            </w:r>
          </w:p>
        </w:tc>
        <w:tc>
          <w:tcPr>
            <w:tcW w:w="1620" w:type="dxa"/>
          </w:tcPr>
          <w:p w14:paraId="229C56B7" w14:textId="77777777" w:rsidR="0070081F" w:rsidRPr="00AD1F92" w:rsidRDefault="0070081F">
            <w:pPr>
              <w:spacing w:before="40" w:after="80" w:line="220" w:lineRule="exact"/>
              <w:ind w:left="23"/>
            </w:pPr>
            <w:r w:rsidRPr="00AD1F92">
              <w:t>Forum</w:t>
            </w:r>
          </w:p>
          <w:p w14:paraId="62B77495" w14:textId="77777777" w:rsidR="0070081F" w:rsidRPr="00AD1F92" w:rsidRDefault="0070081F">
            <w:pPr>
              <w:spacing w:before="40" w:after="80" w:line="220" w:lineRule="exact"/>
              <w:ind w:left="23"/>
            </w:pPr>
            <w:r w:rsidRPr="00AD1F92">
              <w:t>KCI</w:t>
            </w:r>
          </w:p>
        </w:tc>
        <w:tc>
          <w:tcPr>
            <w:tcW w:w="3670" w:type="dxa"/>
          </w:tcPr>
          <w:p w14:paraId="33006A9F" w14:textId="77777777" w:rsidR="0070081F" w:rsidRPr="00AD1F92" w:rsidRDefault="0070081F">
            <w:pPr>
              <w:spacing w:before="40" w:after="80" w:line="220" w:lineRule="exact"/>
            </w:pPr>
            <w:r w:rsidRPr="00AD1F92">
              <w:t>(a) Building awareness and enhancing information-sharing through the exchange and sharing of experience and best practices</w:t>
            </w:r>
          </w:p>
          <w:p w14:paraId="32071E38" w14:textId="77777777" w:rsidR="0070081F" w:rsidRPr="00AD1F92" w:rsidRDefault="0070081F">
            <w:pPr>
              <w:spacing w:before="40" w:after="80" w:line="220" w:lineRule="exact"/>
            </w:pPr>
            <w:r w:rsidRPr="00AD1F92">
              <w:t>(b) Preparing technical papers; national, regional and sector-specific case studies; concrete examples; and guidelines</w:t>
            </w:r>
          </w:p>
          <w:p w14:paraId="561F169F" w14:textId="77777777" w:rsidR="0070081F" w:rsidRPr="00AD1F92" w:rsidRDefault="0070081F">
            <w:pPr>
              <w:spacing w:before="40" w:after="80" w:line="220" w:lineRule="exact"/>
            </w:pPr>
            <w:r w:rsidRPr="00AD1F92">
              <w:t>(c) Receiving input from and facilitating collaboration with experts, practitioners and relevant organizations</w:t>
            </w:r>
          </w:p>
          <w:p w14:paraId="01B3A828" w14:textId="77777777" w:rsidR="0070081F" w:rsidRPr="00AD1F92" w:rsidRDefault="0070081F">
            <w:pPr>
              <w:spacing w:before="40" w:after="80" w:line="220" w:lineRule="exact"/>
              <w:ind w:left="23"/>
            </w:pPr>
            <w:r w:rsidRPr="00AD1F92">
              <w:lastRenderedPageBreak/>
              <w:t>(d) Organizing workshops</w:t>
            </w:r>
          </w:p>
        </w:tc>
        <w:tc>
          <w:tcPr>
            <w:tcW w:w="1991" w:type="dxa"/>
          </w:tcPr>
          <w:p w14:paraId="6446CA90" w14:textId="77777777" w:rsidR="0070081F" w:rsidRPr="00AD1F92" w:rsidRDefault="0070081F">
            <w:pPr>
              <w:spacing w:before="40" w:after="80" w:line="220" w:lineRule="exact"/>
            </w:pPr>
            <w:r w:rsidRPr="00AD1F92">
              <w:lastRenderedPageBreak/>
              <w:t>One report</w:t>
            </w:r>
          </w:p>
          <w:p w14:paraId="0AD5F3D3" w14:textId="77777777" w:rsidR="0070081F" w:rsidRPr="00AD1F92" w:rsidRDefault="0070081F">
            <w:pPr>
              <w:spacing w:before="40" w:after="80" w:line="220" w:lineRule="exact"/>
            </w:pPr>
            <w:r w:rsidRPr="00AD1F92">
              <w:t>Recommendations to the governing bodies</w:t>
            </w:r>
          </w:p>
        </w:tc>
      </w:tr>
      <w:tr w:rsidR="0070081F" w:rsidRPr="00AD1F92" w14:paraId="3FBCC061" w14:textId="77777777">
        <w:trPr>
          <w:trHeight w:val="130"/>
        </w:trPr>
        <w:tc>
          <w:tcPr>
            <w:tcW w:w="1020" w:type="dxa"/>
          </w:tcPr>
          <w:p w14:paraId="50DA22BF" w14:textId="77777777" w:rsidR="0070081F" w:rsidRPr="00AD1F92" w:rsidRDefault="0070081F">
            <w:pPr>
              <w:spacing w:before="40" w:after="80" w:line="220" w:lineRule="exact"/>
            </w:pPr>
            <w:r w:rsidRPr="00AD1F92">
              <w:t>13</w:t>
            </w:r>
          </w:p>
        </w:tc>
        <w:tc>
          <w:tcPr>
            <w:tcW w:w="5591" w:type="dxa"/>
          </w:tcPr>
          <w:p w14:paraId="5B73E150" w14:textId="54D4E9DF" w:rsidR="0070081F" w:rsidRPr="00AD1F92" w:rsidRDefault="001167D6">
            <w:pPr>
              <w:spacing w:before="40" w:after="80" w:line="220" w:lineRule="exact"/>
              <w:ind w:left="23"/>
            </w:pPr>
            <w:r w:rsidRPr="00AD1F92">
              <w:t>Assess and compile guidelines for reporting, in the context of the enhanced transparency framework under the Paris Agreement</w:t>
            </w:r>
            <w:r w:rsidR="00B1615E" w:rsidRPr="00AD1F92">
              <w:t>,</w:t>
            </w:r>
            <w:r w:rsidRPr="00AD1F92">
              <w:t xml:space="preserve"> </w:t>
            </w:r>
            <w:r w:rsidR="00A964F7" w:rsidRPr="00AD1F92">
              <w:t xml:space="preserve">on </w:t>
            </w:r>
            <w:r w:rsidRPr="00AD1F92">
              <w:t>the assessment and analysis of the impacts of the implementation of response measures on Parties with economies most affected by the impacts of response measures as referred to in Article 4, paragraph 15, of the Paris Agreement</w:t>
            </w:r>
          </w:p>
        </w:tc>
        <w:tc>
          <w:tcPr>
            <w:tcW w:w="1620" w:type="dxa"/>
          </w:tcPr>
          <w:p w14:paraId="0797916F" w14:textId="77777777" w:rsidR="0070081F" w:rsidRPr="00AD1F92" w:rsidRDefault="0070081F">
            <w:pPr>
              <w:spacing w:before="40" w:after="80" w:line="220" w:lineRule="exact"/>
            </w:pPr>
            <w:r w:rsidRPr="00AD1F92">
              <w:t>Forum</w:t>
            </w:r>
          </w:p>
          <w:p w14:paraId="5CB2FADB" w14:textId="77777777" w:rsidR="0070081F" w:rsidRPr="00AD1F92" w:rsidRDefault="0070081F">
            <w:pPr>
              <w:spacing w:before="40" w:after="80" w:line="220" w:lineRule="exact"/>
            </w:pPr>
            <w:r w:rsidRPr="00AD1F92">
              <w:t>KCI</w:t>
            </w:r>
          </w:p>
        </w:tc>
        <w:tc>
          <w:tcPr>
            <w:tcW w:w="3670" w:type="dxa"/>
          </w:tcPr>
          <w:p w14:paraId="594E91DA" w14:textId="77777777" w:rsidR="0070081F" w:rsidRPr="00AD1F92" w:rsidRDefault="0070081F">
            <w:pPr>
              <w:spacing w:before="40" w:after="80" w:line="220" w:lineRule="exact"/>
            </w:pPr>
            <w:r w:rsidRPr="00AD1F92">
              <w:t>(a) Building awareness and enhancing information-sharing through the exchange and sharing of experience and best practices</w:t>
            </w:r>
          </w:p>
          <w:p w14:paraId="363E406C" w14:textId="77777777" w:rsidR="0070081F" w:rsidRPr="00AD1F92" w:rsidRDefault="0070081F">
            <w:pPr>
              <w:spacing w:before="40" w:after="80" w:line="220" w:lineRule="exact"/>
            </w:pPr>
            <w:r w:rsidRPr="00AD1F92">
              <w:t>(b) Preparing technical papers; national, regional and sector-specific case studies; concrete examples; and guidelines</w:t>
            </w:r>
          </w:p>
          <w:p w14:paraId="0D3A3C1D" w14:textId="77777777" w:rsidR="0070081F" w:rsidRPr="00AD1F92" w:rsidRDefault="0070081F">
            <w:pPr>
              <w:spacing w:before="40" w:after="80" w:line="220" w:lineRule="exact"/>
            </w:pPr>
            <w:r w:rsidRPr="00AD1F92">
              <w:t>(c) Receiving input from and facilitating collaboration with experts, practitioners and relevant organizations</w:t>
            </w:r>
          </w:p>
          <w:p w14:paraId="0E20E5F3" w14:textId="77777777" w:rsidR="0070081F" w:rsidRPr="00AD1F92" w:rsidRDefault="0070081F">
            <w:pPr>
              <w:spacing w:before="40" w:after="80" w:line="220" w:lineRule="exact"/>
              <w:ind w:left="23"/>
            </w:pPr>
            <w:r w:rsidRPr="00AD1F92">
              <w:t>(d) Organizing workshops</w:t>
            </w:r>
          </w:p>
        </w:tc>
        <w:tc>
          <w:tcPr>
            <w:tcW w:w="1991" w:type="dxa"/>
          </w:tcPr>
          <w:p w14:paraId="1F2264B6" w14:textId="77777777" w:rsidR="0070081F" w:rsidRPr="00AD1F92" w:rsidRDefault="0070081F">
            <w:pPr>
              <w:spacing w:before="40" w:after="80" w:line="220" w:lineRule="exact"/>
            </w:pPr>
            <w:r w:rsidRPr="00AD1F92">
              <w:t>One report</w:t>
            </w:r>
          </w:p>
          <w:p w14:paraId="597F115F" w14:textId="66397F05" w:rsidR="0070081F" w:rsidRPr="00AD1F92" w:rsidRDefault="0070081F" w:rsidP="00C50B5C">
            <w:pPr>
              <w:spacing w:before="40" w:after="80" w:line="220" w:lineRule="exact"/>
            </w:pPr>
            <w:r w:rsidRPr="00AD1F92">
              <w:t>One regional workshop</w:t>
            </w:r>
          </w:p>
          <w:p w14:paraId="7ACA58C7" w14:textId="77777777" w:rsidR="0070081F" w:rsidRPr="00AD1F92" w:rsidRDefault="0070081F">
            <w:pPr>
              <w:spacing w:before="40" w:after="80" w:line="220" w:lineRule="exact"/>
            </w:pPr>
            <w:r w:rsidRPr="00AD1F92">
              <w:t>Recommendations to the governing bodies</w:t>
            </w:r>
          </w:p>
        </w:tc>
      </w:tr>
      <w:tr w:rsidR="0070081F" w:rsidRPr="00AD1F92" w14:paraId="5654C882" w14:textId="77777777">
        <w:trPr>
          <w:trHeight w:val="130"/>
        </w:trPr>
        <w:tc>
          <w:tcPr>
            <w:tcW w:w="1020" w:type="dxa"/>
          </w:tcPr>
          <w:p w14:paraId="472D2D44" w14:textId="77777777" w:rsidR="0070081F" w:rsidRPr="00AD1F92" w:rsidRDefault="0070081F">
            <w:pPr>
              <w:spacing w:before="40" w:after="80" w:line="220" w:lineRule="exact"/>
            </w:pPr>
            <w:r w:rsidRPr="00AD1F92">
              <w:t>14</w:t>
            </w:r>
          </w:p>
        </w:tc>
        <w:tc>
          <w:tcPr>
            <w:tcW w:w="5591" w:type="dxa"/>
          </w:tcPr>
          <w:p w14:paraId="2B2E765A" w14:textId="77777777" w:rsidR="0070081F" w:rsidRPr="00AD1F92" w:rsidRDefault="0070081F">
            <w:pPr>
              <w:spacing w:before="40" w:after="80" w:line="220" w:lineRule="exact"/>
              <w:ind w:left="23"/>
            </w:pPr>
            <w:r w:rsidRPr="00AD1F92">
              <w:t>Organize an annual ministerial high-level round table on the impacts of the implementation of response measures, to be held in conjunction with sessions of the governing bodies</w:t>
            </w:r>
          </w:p>
        </w:tc>
        <w:tc>
          <w:tcPr>
            <w:tcW w:w="1620" w:type="dxa"/>
          </w:tcPr>
          <w:p w14:paraId="307F1CB5" w14:textId="77777777" w:rsidR="0070081F" w:rsidRPr="00AD1F92" w:rsidRDefault="0070081F">
            <w:pPr>
              <w:spacing w:before="40" w:after="80" w:line="220" w:lineRule="exact"/>
              <w:ind w:left="23"/>
            </w:pPr>
            <w:r w:rsidRPr="00AD1F92">
              <w:t>–</w:t>
            </w:r>
          </w:p>
        </w:tc>
        <w:tc>
          <w:tcPr>
            <w:tcW w:w="3670" w:type="dxa"/>
          </w:tcPr>
          <w:p w14:paraId="177D2692" w14:textId="77777777" w:rsidR="0070081F" w:rsidRPr="00AD1F92" w:rsidRDefault="0070081F">
            <w:pPr>
              <w:spacing w:before="40" w:after="80" w:line="220" w:lineRule="exact"/>
            </w:pPr>
            <w:r w:rsidRPr="00AD1F92">
              <w:t>(a) Building awareness and enhancing information-sharing through the exchange and sharing of experience and best practices</w:t>
            </w:r>
          </w:p>
          <w:p w14:paraId="373D6836" w14:textId="77777777" w:rsidR="0070081F" w:rsidRPr="00AD1F92" w:rsidRDefault="0070081F">
            <w:pPr>
              <w:spacing w:before="40" w:after="80" w:line="220" w:lineRule="exact"/>
            </w:pPr>
            <w:r w:rsidRPr="00AD1F92">
              <w:t>(b) Preparing technical papers; national, regional and sector-specific case studies; concrete examples; and guidelines</w:t>
            </w:r>
          </w:p>
          <w:p w14:paraId="49D3A9CC" w14:textId="77777777" w:rsidR="0070081F" w:rsidRPr="00AD1F92" w:rsidRDefault="0070081F">
            <w:pPr>
              <w:spacing w:before="40" w:after="80" w:line="220" w:lineRule="exact"/>
            </w:pPr>
            <w:r w:rsidRPr="00AD1F92">
              <w:t>(c) Receiving input from and facilitating collaboration with experts, practitioners and relevant organizations</w:t>
            </w:r>
          </w:p>
          <w:p w14:paraId="5825CA34" w14:textId="77777777" w:rsidR="0070081F" w:rsidRPr="00AD1F92" w:rsidRDefault="0070081F">
            <w:pPr>
              <w:spacing w:before="40" w:after="80" w:line="220" w:lineRule="exact"/>
              <w:ind w:left="23"/>
            </w:pPr>
            <w:r w:rsidRPr="00AD1F92">
              <w:t>(d) Organizing workshops</w:t>
            </w:r>
          </w:p>
        </w:tc>
        <w:tc>
          <w:tcPr>
            <w:tcW w:w="1991" w:type="dxa"/>
          </w:tcPr>
          <w:p w14:paraId="3CCB1797" w14:textId="77777777" w:rsidR="0070081F" w:rsidRPr="00AD1F92" w:rsidRDefault="0070081F">
            <w:pPr>
              <w:spacing w:before="40" w:after="80" w:line="220" w:lineRule="exact"/>
            </w:pPr>
            <w:r w:rsidRPr="00AD1F92">
              <w:t>Summary report</w:t>
            </w:r>
          </w:p>
        </w:tc>
      </w:tr>
      <w:tr w:rsidR="0070081F" w:rsidRPr="00AD1F92" w14:paraId="626DFEDF" w14:textId="77777777">
        <w:trPr>
          <w:trHeight w:val="130"/>
        </w:trPr>
        <w:tc>
          <w:tcPr>
            <w:tcW w:w="1020" w:type="dxa"/>
          </w:tcPr>
          <w:p w14:paraId="0D9CF61A" w14:textId="77777777" w:rsidR="0070081F" w:rsidRPr="00AD1F92" w:rsidRDefault="0070081F">
            <w:pPr>
              <w:spacing w:before="40" w:after="80" w:line="220" w:lineRule="exact"/>
            </w:pPr>
            <w:r w:rsidRPr="00AD1F92">
              <w:t>15</w:t>
            </w:r>
          </w:p>
        </w:tc>
        <w:tc>
          <w:tcPr>
            <w:tcW w:w="5591" w:type="dxa"/>
          </w:tcPr>
          <w:p w14:paraId="5999F2E0" w14:textId="77777777" w:rsidR="0070081F" w:rsidRPr="00AD1F92" w:rsidRDefault="0070081F">
            <w:pPr>
              <w:spacing w:before="40" w:after="80" w:line="220" w:lineRule="exact"/>
              <w:rPr>
                <w:rFonts w:eastAsia="DejaVu Sans"/>
              </w:rPr>
            </w:pPr>
            <w:r w:rsidRPr="00AD1F92">
              <w:rPr>
                <w:rFonts w:eastAsia="DejaVu Sans"/>
              </w:rPr>
              <w:t>Enhance the capacity of Parties to carry out their own assessment and analysis of and produce reports on the impacts of the implementation of response measures through training and capacity-building efforts, including existing initiatives</w:t>
            </w:r>
          </w:p>
        </w:tc>
        <w:tc>
          <w:tcPr>
            <w:tcW w:w="1620" w:type="dxa"/>
          </w:tcPr>
          <w:p w14:paraId="02075465" w14:textId="77777777" w:rsidR="0070081F" w:rsidRPr="00AD1F92" w:rsidRDefault="0070081F">
            <w:pPr>
              <w:spacing w:before="40" w:after="80" w:line="220" w:lineRule="exact"/>
            </w:pPr>
            <w:r w:rsidRPr="00AD1F92">
              <w:t>Forum</w:t>
            </w:r>
          </w:p>
          <w:p w14:paraId="6E3D5213" w14:textId="77777777" w:rsidR="0070081F" w:rsidRPr="00AD1F92" w:rsidRDefault="0070081F">
            <w:pPr>
              <w:spacing w:before="40" w:after="80" w:line="220" w:lineRule="exact"/>
              <w:rPr>
                <w:rFonts w:eastAsia="DejaVu Sans"/>
              </w:rPr>
            </w:pPr>
            <w:r w:rsidRPr="00AD1F92">
              <w:t>KCI</w:t>
            </w:r>
          </w:p>
        </w:tc>
        <w:tc>
          <w:tcPr>
            <w:tcW w:w="3670" w:type="dxa"/>
          </w:tcPr>
          <w:p w14:paraId="41828343" w14:textId="77777777" w:rsidR="0070081F" w:rsidRPr="00AD1F92" w:rsidRDefault="0070081F">
            <w:pPr>
              <w:spacing w:before="40" w:after="80" w:line="220" w:lineRule="exact"/>
            </w:pPr>
            <w:r w:rsidRPr="00AD1F92">
              <w:t>(a) Building awareness and enhancing information-sharing through the exchange and sharing of experience and best practices</w:t>
            </w:r>
          </w:p>
          <w:p w14:paraId="46F28286" w14:textId="77777777" w:rsidR="0070081F" w:rsidRPr="00AD1F92" w:rsidRDefault="0070081F">
            <w:pPr>
              <w:spacing w:before="40" w:after="80" w:line="220" w:lineRule="exact"/>
            </w:pPr>
            <w:r w:rsidRPr="00AD1F92">
              <w:t>(b) Preparing technical papers; national, regional and sector-specific case studies; concrete examples; and guidelines</w:t>
            </w:r>
          </w:p>
          <w:p w14:paraId="608618B5" w14:textId="77777777" w:rsidR="0070081F" w:rsidRPr="00AD1F92" w:rsidRDefault="0070081F">
            <w:pPr>
              <w:spacing w:before="40" w:after="80" w:line="220" w:lineRule="exact"/>
            </w:pPr>
            <w:r w:rsidRPr="00AD1F92">
              <w:t>(c) Receiving input from and facilitating collaboration with experts, practitioners and relevant organizations</w:t>
            </w:r>
          </w:p>
          <w:p w14:paraId="136EC347" w14:textId="77777777" w:rsidR="0070081F" w:rsidRPr="00AD1F92" w:rsidRDefault="0070081F">
            <w:pPr>
              <w:spacing w:before="40" w:after="80" w:line="220" w:lineRule="exact"/>
              <w:ind w:left="23"/>
              <w:rPr>
                <w:rFonts w:eastAsia="DejaVu Sans"/>
              </w:rPr>
            </w:pPr>
            <w:r w:rsidRPr="00AD1F92">
              <w:t>(d) Organizing workshops</w:t>
            </w:r>
          </w:p>
        </w:tc>
        <w:tc>
          <w:tcPr>
            <w:tcW w:w="1991" w:type="dxa"/>
          </w:tcPr>
          <w:p w14:paraId="1B46475F" w14:textId="77777777" w:rsidR="0070081F" w:rsidRPr="00AD1F92" w:rsidRDefault="0070081F">
            <w:pPr>
              <w:spacing w:before="40" w:after="80" w:line="220" w:lineRule="exact"/>
            </w:pPr>
            <w:r w:rsidRPr="00AD1F92">
              <w:t>One report</w:t>
            </w:r>
          </w:p>
          <w:p w14:paraId="722CD369" w14:textId="77777777" w:rsidR="0070081F" w:rsidRPr="00AD1F92" w:rsidRDefault="0070081F">
            <w:pPr>
              <w:spacing w:before="40" w:after="80" w:line="220" w:lineRule="exact"/>
            </w:pPr>
            <w:r w:rsidRPr="00AD1F92">
              <w:t>Regional workshops</w:t>
            </w:r>
          </w:p>
          <w:p w14:paraId="3CB7636C" w14:textId="77777777" w:rsidR="0070081F" w:rsidRPr="00AD1F92" w:rsidRDefault="0070081F">
            <w:pPr>
              <w:spacing w:before="40" w:after="80" w:line="220" w:lineRule="exact"/>
              <w:rPr>
                <w:rFonts w:eastAsia="DejaVu Sans"/>
              </w:rPr>
            </w:pPr>
            <w:r w:rsidRPr="00AD1F92">
              <w:t>Recommendations to the governing bodies</w:t>
            </w:r>
          </w:p>
        </w:tc>
      </w:tr>
      <w:tr w:rsidR="0070081F" w:rsidRPr="00AD1F92" w14:paraId="4FD59A0C" w14:textId="77777777">
        <w:trPr>
          <w:trHeight w:val="130"/>
        </w:trPr>
        <w:tc>
          <w:tcPr>
            <w:tcW w:w="1020" w:type="dxa"/>
            <w:tcBorders>
              <w:bottom w:val="nil"/>
            </w:tcBorders>
          </w:tcPr>
          <w:p w14:paraId="30D7ACA5" w14:textId="77777777" w:rsidR="0070081F" w:rsidRPr="00AD1F92" w:rsidRDefault="0070081F">
            <w:pPr>
              <w:spacing w:before="40" w:after="80" w:line="220" w:lineRule="exact"/>
            </w:pPr>
            <w:r w:rsidRPr="00AD1F92">
              <w:lastRenderedPageBreak/>
              <w:t>16</w:t>
            </w:r>
          </w:p>
        </w:tc>
        <w:tc>
          <w:tcPr>
            <w:tcW w:w="5591" w:type="dxa"/>
            <w:tcBorders>
              <w:bottom w:val="nil"/>
            </w:tcBorders>
          </w:tcPr>
          <w:p w14:paraId="5D07048A" w14:textId="77777777" w:rsidR="0070081F" w:rsidRPr="00AD1F92" w:rsidRDefault="0070081F">
            <w:pPr>
              <w:spacing w:before="40" w:after="80" w:line="220" w:lineRule="exact"/>
              <w:rPr>
                <w:rFonts w:eastAsia="DejaVu Sans"/>
              </w:rPr>
            </w:pPr>
            <w:r w:rsidRPr="00AD1F92">
              <w:rPr>
                <w:rFonts w:eastAsia="DejaVu Sans"/>
              </w:rPr>
              <w:t>Identify and exchange experience on technological solutions aimed at reducing climate change impacts and creating decent work</w:t>
            </w:r>
          </w:p>
        </w:tc>
        <w:tc>
          <w:tcPr>
            <w:tcW w:w="1620" w:type="dxa"/>
            <w:tcBorders>
              <w:bottom w:val="nil"/>
            </w:tcBorders>
          </w:tcPr>
          <w:p w14:paraId="714610B9" w14:textId="77777777" w:rsidR="0070081F" w:rsidRPr="00AD1F92" w:rsidRDefault="0070081F">
            <w:pPr>
              <w:spacing w:before="40" w:after="80" w:line="220" w:lineRule="exact"/>
            </w:pPr>
            <w:r w:rsidRPr="00AD1F92">
              <w:t>Forum</w:t>
            </w:r>
          </w:p>
          <w:p w14:paraId="27FC8D4F" w14:textId="77777777" w:rsidR="0070081F" w:rsidRPr="00AD1F92" w:rsidRDefault="0070081F">
            <w:pPr>
              <w:spacing w:before="40" w:after="80" w:line="220" w:lineRule="exact"/>
              <w:rPr>
                <w:rFonts w:eastAsia="DejaVu Sans"/>
              </w:rPr>
            </w:pPr>
            <w:r w:rsidRPr="00AD1F92">
              <w:t>KCI</w:t>
            </w:r>
          </w:p>
        </w:tc>
        <w:tc>
          <w:tcPr>
            <w:tcW w:w="3670" w:type="dxa"/>
            <w:tcBorders>
              <w:bottom w:val="nil"/>
            </w:tcBorders>
          </w:tcPr>
          <w:p w14:paraId="1EC5CC2B" w14:textId="77777777" w:rsidR="0070081F" w:rsidRPr="00AD1F92" w:rsidRDefault="0070081F">
            <w:pPr>
              <w:spacing w:before="40" w:after="80" w:line="220" w:lineRule="exact"/>
            </w:pPr>
            <w:r w:rsidRPr="00AD1F92">
              <w:t>(a) Building awareness and enhancing information-sharing through the exchange and sharing of experience and best practices</w:t>
            </w:r>
          </w:p>
          <w:p w14:paraId="25365781" w14:textId="77777777" w:rsidR="0070081F" w:rsidRPr="00AD1F92" w:rsidRDefault="0070081F">
            <w:pPr>
              <w:spacing w:before="40" w:after="80" w:line="220" w:lineRule="exact"/>
            </w:pPr>
            <w:r w:rsidRPr="00AD1F92">
              <w:t>(b) Preparing technical papers; national, regional and sector-specific case studies; concrete examples; and guidelines</w:t>
            </w:r>
          </w:p>
          <w:p w14:paraId="30C7A716" w14:textId="77777777" w:rsidR="0070081F" w:rsidRPr="00AD1F92" w:rsidRDefault="0070081F">
            <w:pPr>
              <w:spacing w:before="40" w:after="80" w:line="220" w:lineRule="exact"/>
            </w:pPr>
            <w:r w:rsidRPr="00AD1F92">
              <w:t>(c) Receiving input from and facilitating collaboration with experts, practitioners and relevant organizations</w:t>
            </w:r>
          </w:p>
          <w:p w14:paraId="7661CBCF" w14:textId="77777777" w:rsidR="0070081F" w:rsidRPr="00AD1F92" w:rsidRDefault="0070081F">
            <w:pPr>
              <w:spacing w:before="40" w:after="80" w:line="220" w:lineRule="exact"/>
              <w:ind w:left="23"/>
              <w:rPr>
                <w:rFonts w:eastAsia="DejaVu Sans"/>
              </w:rPr>
            </w:pPr>
            <w:r w:rsidRPr="00AD1F92">
              <w:t>(d) Organizing workshops</w:t>
            </w:r>
          </w:p>
        </w:tc>
        <w:tc>
          <w:tcPr>
            <w:tcW w:w="1991" w:type="dxa"/>
            <w:tcBorders>
              <w:bottom w:val="nil"/>
            </w:tcBorders>
          </w:tcPr>
          <w:p w14:paraId="20D4B5B8" w14:textId="77777777" w:rsidR="0070081F" w:rsidRPr="00AD1F92" w:rsidRDefault="0070081F">
            <w:pPr>
              <w:spacing w:before="40" w:after="80" w:line="220" w:lineRule="exact"/>
            </w:pPr>
            <w:r w:rsidRPr="00AD1F92">
              <w:t>Two reports</w:t>
            </w:r>
          </w:p>
          <w:p w14:paraId="1B4C0E84" w14:textId="77777777" w:rsidR="0070081F" w:rsidRPr="00AD1F92" w:rsidRDefault="0070081F">
            <w:pPr>
              <w:spacing w:before="40" w:after="80" w:line="220" w:lineRule="exact"/>
              <w:rPr>
                <w:rFonts w:eastAsia="DejaVu Sans"/>
              </w:rPr>
            </w:pPr>
            <w:r w:rsidRPr="00AD1F92">
              <w:t>Recommendations to the governing bodies</w:t>
            </w:r>
          </w:p>
        </w:tc>
      </w:tr>
      <w:tr w:rsidR="0070081F" w:rsidRPr="00AD1F92" w14:paraId="375DB9F0" w14:textId="77777777">
        <w:trPr>
          <w:trHeight w:val="130"/>
        </w:trPr>
        <w:tc>
          <w:tcPr>
            <w:tcW w:w="1020" w:type="dxa"/>
            <w:tcBorders>
              <w:top w:val="nil"/>
              <w:bottom w:val="single" w:sz="12" w:space="0" w:color="auto"/>
            </w:tcBorders>
          </w:tcPr>
          <w:p w14:paraId="50838BC2" w14:textId="77777777" w:rsidR="0070081F" w:rsidRPr="00AD1F92" w:rsidRDefault="0070081F">
            <w:pPr>
              <w:spacing w:before="40" w:after="80" w:line="220" w:lineRule="exact"/>
            </w:pPr>
            <w:r w:rsidRPr="00AD1F92">
              <w:t>17</w:t>
            </w:r>
          </w:p>
        </w:tc>
        <w:tc>
          <w:tcPr>
            <w:tcW w:w="5591" w:type="dxa"/>
            <w:tcBorders>
              <w:top w:val="nil"/>
              <w:bottom w:val="single" w:sz="12" w:space="0" w:color="auto"/>
            </w:tcBorders>
          </w:tcPr>
          <w:p w14:paraId="619583AA" w14:textId="77777777" w:rsidR="0070081F" w:rsidRPr="00AD1F92" w:rsidRDefault="0070081F">
            <w:pPr>
              <w:spacing w:before="40" w:after="80" w:line="220" w:lineRule="exact"/>
              <w:rPr>
                <w:rFonts w:eastAsia="DejaVu Sans"/>
              </w:rPr>
            </w:pPr>
            <w:r w:rsidRPr="00AD1F92">
              <w:rPr>
                <w:rFonts w:eastAsia="DejaVu Sans"/>
              </w:rPr>
              <w:t>Promote the availability and use of guidelines and policy frameworks to assist Parties in promoting economic diversification and just transition of the workforce and the creation of decent work and quality jobs within and across sectors, including through training, retooling, retraining and reskilling systems and stakeholder engagement strategies</w:t>
            </w:r>
          </w:p>
        </w:tc>
        <w:tc>
          <w:tcPr>
            <w:tcW w:w="1620" w:type="dxa"/>
            <w:tcBorders>
              <w:top w:val="nil"/>
              <w:bottom w:val="single" w:sz="12" w:space="0" w:color="auto"/>
            </w:tcBorders>
          </w:tcPr>
          <w:p w14:paraId="3FE90A11" w14:textId="77777777" w:rsidR="0070081F" w:rsidRPr="00AD1F92" w:rsidRDefault="0070081F">
            <w:pPr>
              <w:spacing w:before="40" w:after="80" w:line="220" w:lineRule="exact"/>
            </w:pPr>
            <w:r w:rsidRPr="00AD1F92">
              <w:t>Forum</w:t>
            </w:r>
          </w:p>
          <w:p w14:paraId="6A340AEF" w14:textId="77777777" w:rsidR="0070081F" w:rsidRPr="00AD1F92" w:rsidRDefault="0070081F">
            <w:pPr>
              <w:spacing w:before="40" w:after="80" w:line="220" w:lineRule="exact"/>
              <w:rPr>
                <w:rFonts w:eastAsia="DejaVu Sans"/>
              </w:rPr>
            </w:pPr>
            <w:r w:rsidRPr="00AD1F92">
              <w:t>KCI</w:t>
            </w:r>
          </w:p>
        </w:tc>
        <w:tc>
          <w:tcPr>
            <w:tcW w:w="3670" w:type="dxa"/>
            <w:tcBorders>
              <w:top w:val="nil"/>
              <w:bottom w:val="single" w:sz="12" w:space="0" w:color="auto"/>
            </w:tcBorders>
          </w:tcPr>
          <w:p w14:paraId="69946E14" w14:textId="77777777" w:rsidR="0070081F" w:rsidRPr="00AD1F92" w:rsidRDefault="0070081F">
            <w:pPr>
              <w:spacing w:before="40" w:after="80" w:line="220" w:lineRule="exact"/>
            </w:pPr>
            <w:r w:rsidRPr="00AD1F92">
              <w:t>(a) Building awareness and enhancing information-sharing through the exchange and sharing of experience and best practices</w:t>
            </w:r>
          </w:p>
          <w:p w14:paraId="7E4FEDBF" w14:textId="77777777" w:rsidR="0070081F" w:rsidRPr="00AD1F92" w:rsidRDefault="0070081F">
            <w:pPr>
              <w:spacing w:before="40" w:after="80" w:line="220" w:lineRule="exact"/>
            </w:pPr>
            <w:r w:rsidRPr="00AD1F92">
              <w:t>(b) Preparing technical papers; national, regional and sector-specific case studies; concrete examples; and guidelines</w:t>
            </w:r>
          </w:p>
          <w:p w14:paraId="5B60BB96" w14:textId="77777777" w:rsidR="0070081F" w:rsidRPr="00AD1F92" w:rsidRDefault="0070081F">
            <w:pPr>
              <w:spacing w:before="40" w:after="80" w:line="220" w:lineRule="exact"/>
            </w:pPr>
            <w:r w:rsidRPr="00AD1F92">
              <w:t>(c) Receiving input from and facilitating collaboration with experts, practitioners and relevant organizations</w:t>
            </w:r>
          </w:p>
          <w:p w14:paraId="2909456E" w14:textId="6313A029" w:rsidR="0070081F" w:rsidRPr="00AD1F92" w:rsidRDefault="0070081F">
            <w:pPr>
              <w:spacing w:before="40" w:after="80" w:line="220" w:lineRule="exact"/>
              <w:ind w:left="23"/>
              <w:rPr>
                <w:rFonts w:eastAsia="DejaVu Sans"/>
              </w:rPr>
            </w:pPr>
            <w:r w:rsidRPr="00AD1F92">
              <w:t>(d) Organizing workshops</w:t>
            </w:r>
          </w:p>
        </w:tc>
        <w:tc>
          <w:tcPr>
            <w:tcW w:w="1991" w:type="dxa"/>
            <w:tcBorders>
              <w:top w:val="nil"/>
              <w:bottom w:val="single" w:sz="12" w:space="0" w:color="auto"/>
            </w:tcBorders>
          </w:tcPr>
          <w:p w14:paraId="63B961EE" w14:textId="77777777" w:rsidR="0070081F" w:rsidRPr="00AD1F92" w:rsidRDefault="0070081F">
            <w:pPr>
              <w:spacing w:before="40" w:after="80" w:line="220" w:lineRule="exact"/>
            </w:pPr>
            <w:r w:rsidRPr="00AD1F92">
              <w:t>One report</w:t>
            </w:r>
          </w:p>
          <w:p w14:paraId="59EEC08D" w14:textId="77777777" w:rsidR="0070081F" w:rsidRPr="00AD1F92" w:rsidRDefault="0070081F">
            <w:pPr>
              <w:spacing w:before="40" w:after="80" w:line="220" w:lineRule="exact"/>
              <w:rPr>
                <w:rFonts w:eastAsia="DejaVu Sans"/>
              </w:rPr>
            </w:pPr>
            <w:r w:rsidRPr="00AD1F92">
              <w:t>Recommendations to the governing bodies</w:t>
            </w:r>
          </w:p>
        </w:tc>
      </w:tr>
    </w:tbl>
    <w:p w14:paraId="21B3086D" w14:textId="77777777" w:rsidR="0070081F" w:rsidRPr="00AD1F92" w:rsidRDefault="0070081F" w:rsidP="00290634">
      <w:pPr>
        <w:pStyle w:val="FootnoteTable"/>
        <w:keepNext/>
        <w:spacing w:before="0" w:line="60" w:lineRule="exact"/>
        <w:ind w:right="1134"/>
        <w:contextualSpacing w:val="0"/>
        <w:rPr>
          <w:i/>
        </w:rPr>
        <w:sectPr w:rsidR="0070081F" w:rsidRPr="00AD1F92" w:rsidSect="008E671B">
          <w:headerReference w:type="even" r:id="rId79"/>
          <w:headerReference w:type="default" r:id="rId80"/>
          <w:footerReference w:type="even" r:id="rId81"/>
          <w:footerReference w:type="default" r:id="rId82"/>
          <w:endnotePr>
            <w:numFmt w:val="lowerLetter"/>
            <w:numRestart w:val="eachSect"/>
          </w:endnotePr>
          <w:pgSz w:w="16838" w:h="11906" w:orient="landscape" w:code="9"/>
          <w:pgMar w:top="1134" w:right="1417" w:bottom="1134" w:left="1134" w:header="567" w:footer="567" w:gutter="0"/>
          <w:cols w:space="708"/>
          <w:docGrid w:linePitch="360"/>
        </w:sectPr>
      </w:pPr>
    </w:p>
    <w:p w14:paraId="732C43B0" w14:textId="5AEE8114" w:rsidR="003075AC" w:rsidRPr="00AD1F92" w:rsidRDefault="009F6CE5" w:rsidP="005F5ED5">
      <w:pPr>
        <w:pStyle w:val="RegHChG"/>
        <w:numPr>
          <w:ilvl w:val="0"/>
          <w:numId w:val="0"/>
        </w:numPr>
        <w:spacing w:before="120"/>
        <w:ind w:left="1134" w:hanging="454"/>
      </w:pPr>
      <w:bookmarkStart w:id="14" w:name="decision4_cmp19"/>
      <w:r w:rsidRPr="00AD1F92">
        <w:lastRenderedPageBreak/>
        <w:t xml:space="preserve">Decision </w:t>
      </w:r>
      <w:r w:rsidR="00ED3FEB" w:rsidRPr="00AD1F92">
        <w:t>4</w:t>
      </w:r>
      <w:r w:rsidRPr="00AD1F92">
        <w:t>/CMP.19</w:t>
      </w:r>
      <w:bookmarkEnd w:id="13"/>
    </w:p>
    <w:bookmarkEnd w:id="14"/>
    <w:p w14:paraId="3D57EBEC" w14:textId="77777777" w:rsidR="00A53E62" w:rsidRPr="00AD1F92" w:rsidRDefault="00A53E62" w:rsidP="00A53E62">
      <w:pPr>
        <w:pStyle w:val="HChG"/>
        <w:ind w:firstLine="0"/>
      </w:pPr>
      <w:r w:rsidRPr="00AD1F92">
        <w:t>Administrative, financial and institutional matters</w:t>
      </w:r>
    </w:p>
    <w:p w14:paraId="7102A0D6" w14:textId="77777777" w:rsidR="00A53E62" w:rsidRPr="00AD1F92" w:rsidRDefault="00A53E62" w:rsidP="00A53E62">
      <w:pPr>
        <w:spacing w:before="120"/>
        <w:ind w:left="1134" w:right="1174" w:firstLine="567"/>
        <w:jc w:val="both"/>
        <w:rPr>
          <w:i/>
        </w:rPr>
      </w:pPr>
      <w:r w:rsidRPr="00AD1F92">
        <w:rPr>
          <w:i/>
        </w:rPr>
        <w:t>The Conference of the Parties serving as the meeting of the Parties to the Kyoto Protocol</w:t>
      </w:r>
      <w:r w:rsidRPr="00AD1F92">
        <w:t>,</w:t>
      </w:r>
    </w:p>
    <w:p w14:paraId="0CE1255C" w14:textId="77777777" w:rsidR="00A53E62" w:rsidRPr="00AD1F92" w:rsidRDefault="00A53E62" w:rsidP="00A53E62">
      <w:pPr>
        <w:spacing w:before="120"/>
        <w:ind w:left="1134" w:right="1174" w:firstLine="567"/>
        <w:jc w:val="both"/>
      </w:pPr>
      <w:r w:rsidRPr="00AD1F92">
        <w:rPr>
          <w:i/>
        </w:rPr>
        <w:t xml:space="preserve">Recalling </w:t>
      </w:r>
      <w:r w:rsidRPr="00AD1F92">
        <w:t>Article 13, paragraph 5, of the Kyoto Protocol,</w:t>
      </w:r>
    </w:p>
    <w:p w14:paraId="3462F863" w14:textId="20C7A451" w:rsidR="00A53E62" w:rsidRPr="00AD1F92" w:rsidRDefault="00A53E62" w:rsidP="00A53E62">
      <w:pPr>
        <w:spacing w:before="120"/>
        <w:ind w:left="1134" w:right="1174" w:firstLine="567"/>
        <w:jc w:val="both"/>
        <w:rPr>
          <w:iCs/>
        </w:rPr>
      </w:pPr>
      <w:r w:rsidRPr="00AD1F92">
        <w:rPr>
          <w:i/>
        </w:rPr>
        <w:t>Also recalling</w:t>
      </w:r>
      <w:r w:rsidRPr="00AD1F92">
        <w:rPr>
          <w:iCs/>
        </w:rPr>
        <w:t xml:space="preserve"> decision </w:t>
      </w:r>
      <w:hyperlink r:id="rId83" w:history="1">
        <w:r w:rsidRPr="00AD1F92">
          <w:rPr>
            <w:rStyle w:val="Hyperlink"/>
            <w:iCs/>
          </w:rPr>
          <w:t>5/CMP.18</w:t>
        </w:r>
      </w:hyperlink>
      <w:r w:rsidRPr="00AD1F92">
        <w:rPr>
          <w:iCs/>
        </w:rPr>
        <w:t>,</w:t>
      </w:r>
    </w:p>
    <w:p w14:paraId="53DFD01F" w14:textId="77777777" w:rsidR="00A53E62" w:rsidRPr="00AD1F92" w:rsidRDefault="00A53E62" w:rsidP="00A53E62">
      <w:pPr>
        <w:spacing w:before="120" w:after="120"/>
        <w:ind w:left="1134" w:right="1174" w:firstLine="567"/>
        <w:jc w:val="both"/>
      </w:pPr>
      <w:r w:rsidRPr="00AD1F92">
        <w:rPr>
          <w:i/>
          <w:iCs/>
        </w:rPr>
        <w:t>Further recalling</w:t>
      </w:r>
      <w:r w:rsidRPr="00AD1F92">
        <w:t xml:space="preserve"> the UNFCCC financial procedures, which also apply to the Kyoto Protocol,</w:t>
      </w:r>
      <w:r w:rsidRPr="00AD1F92">
        <w:rPr>
          <w:rStyle w:val="FootnoteReference"/>
        </w:rPr>
        <w:footnoteReference w:id="24"/>
      </w:r>
    </w:p>
    <w:p w14:paraId="4C400D27" w14:textId="1052D27A" w:rsidR="00A53E62" w:rsidRPr="00AD1F92" w:rsidRDefault="005F5ED5" w:rsidP="005F5ED5">
      <w:pPr>
        <w:pStyle w:val="RegSingleTxtG"/>
        <w:numPr>
          <w:ilvl w:val="0"/>
          <w:numId w:val="0"/>
        </w:numPr>
        <w:ind w:left="1134"/>
      </w:pPr>
      <w:r w:rsidRPr="00AD1F92">
        <w:t>1.</w:t>
      </w:r>
      <w:r w:rsidRPr="00AD1F92">
        <w:tab/>
      </w:r>
      <w:r w:rsidR="00A53E62" w:rsidRPr="00AD1F92">
        <w:rPr>
          <w:i/>
          <w:iCs/>
        </w:rPr>
        <w:t xml:space="preserve">Encourages </w:t>
      </w:r>
      <w:r w:rsidR="00A53E62" w:rsidRPr="00AD1F92">
        <w:t xml:space="preserve">the secretariat to refer to activities as mandated in the respective decisions within the relevant documents on administrative, financial and institutional matters, as </w:t>
      </w:r>
      <w:proofErr w:type="gramStart"/>
      <w:r w:rsidR="00A53E62" w:rsidRPr="00AD1F92">
        <w:t>appropriate;</w:t>
      </w:r>
      <w:proofErr w:type="gramEnd"/>
    </w:p>
    <w:p w14:paraId="50456D7B" w14:textId="7041331D" w:rsidR="00A53E62" w:rsidRPr="00AD1F92" w:rsidRDefault="005F5ED5" w:rsidP="005F5ED5">
      <w:pPr>
        <w:pStyle w:val="RegSingleTxtG"/>
        <w:numPr>
          <w:ilvl w:val="0"/>
          <w:numId w:val="0"/>
        </w:numPr>
        <w:ind w:left="1134"/>
      </w:pPr>
      <w:r w:rsidRPr="00AD1F92">
        <w:t>2.</w:t>
      </w:r>
      <w:r w:rsidRPr="00AD1F92">
        <w:tab/>
      </w:r>
      <w:r w:rsidR="00A53E62" w:rsidRPr="00AD1F92">
        <w:rPr>
          <w:i/>
        </w:rPr>
        <w:t>Expresses appreciation</w:t>
      </w:r>
      <w:r w:rsidR="00A53E62" w:rsidRPr="00AD1F92">
        <w:t xml:space="preserve"> to Parties that made contributions to the core budget in a timely </w:t>
      </w:r>
      <w:proofErr w:type="gramStart"/>
      <w:r w:rsidR="00A53E62" w:rsidRPr="00AD1F92">
        <w:t>manner;</w:t>
      </w:r>
      <w:proofErr w:type="gramEnd"/>
    </w:p>
    <w:p w14:paraId="1285D922" w14:textId="616EBC78" w:rsidR="00A53E62" w:rsidRPr="00AD1F92" w:rsidRDefault="005F5ED5" w:rsidP="005F5ED5">
      <w:pPr>
        <w:pStyle w:val="RegSingleTxtG"/>
        <w:numPr>
          <w:ilvl w:val="0"/>
          <w:numId w:val="0"/>
        </w:numPr>
        <w:ind w:left="1134"/>
      </w:pPr>
      <w:r w:rsidRPr="00AD1F92">
        <w:t>3.</w:t>
      </w:r>
      <w:r w:rsidRPr="00AD1F92">
        <w:tab/>
      </w:r>
      <w:r w:rsidR="00A53E62" w:rsidRPr="00AD1F92">
        <w:rPr>
          <w:i/>
        </w:rPr>
        <w:t>Strongly urges</w:t>
      </w:r>
      <w:r w:rsidR="00A53E62" w:rsidRPr="00AD1F92">
        <w:t xml:space="preserve"> Parties that have not made contributions in full to the core budget for the current and/or previous bienniums to do so without further delay and </w:t>
      </w:r>
      <w:r w:rsidR="00A53E62" w:rsidRPr="00AD1F92">
        <w:rPr>
          <w:i/>
        </w:rPr>
        <w:t>expresses concern</w:t>
      </w:r>
      <w:r w:rsidR="00A53E62" w:rsidRPr="00AD1F92">
        <w:t xml:space="preserve"> regarding the high level of outstanding contributions to the core budget for the current and previous bienniums, which has resulted in difficulties with both cash flow and the effective implementation of </w:t>
      </w:r>
      <w:proofErr w:type="gramStart"/>
      <w:r w:rsidR="00A53E62" w:rsidRPr="00AD1F92">
        <w:t>activities;</w:t>
      </w:r>
      <w:proofErr w:type="gramEnd"/>
    </w:p>
    <w:p w14:paraId="33E7B1D6" w14:textId="7F2FA235" w:rsidR="00A53E62" w:rsidRPr="00AD1F92" w:rsidRDefault="005F5ED5" w:rsidP="005F5ED5">
      <w:pPr>
        <w:pStyle w:val="RegSingleTxtG"/>
        <w:numPr>
          <w:ilvl w:val="0"/>
          <w:numId w:val="0"/>
        </w:numPr>
        <w:ind w:left="1134"/>
      </w:pPr>
      <w:r w:rsidRPr="00AD1F92">
        <w:t>4.</w:t>
      </w:r>
      <w:r w:rsidRPr="00AD1F92">
        <w:tab/>
      </w:r>
      <w:r w:rsidR="004F2FC5" w:rsidRPr="00AD1F92">
        <w:rPr>
          <w:i/>
          <w:iCs/>
        </w:rPr>
        <w:t>Also</w:t>
      </w:r>
      <w:r w:rsidR="00535C47" w:rsidRPr="00AD1F92">
        <w:rPr>
          <w:i/>
          <w:iCs/>
        </w:rPr>
        <w:t xml:space="preserve"> </w:t>
      </w:r>
      <w:r w:rsidR="00B30D29" w:rsidRPr="00AD1F92">
        <w:rPr>
          <w:i/>
          <w:iCs/>
        </w:rPr>
        <w:t>e</w:t>
      </w:r>
      <w:r w:rsidR="00A53E62" w:rsidRPr="00AD1F92">
        <w:rPr>
          <w:i/>
          <w:iCs/>
        </w:rPr>
        <w:t>xpresses</w:t>
      </w:r>
      <w:r w:rsidR="00A53E62" w:rsidRPr="00AD1F92">
        <w:t xml:space="preserve"> </w:t>
      </w:r>
      <w:r w:rsidR="00A53E62" w:rsidRPr="00AD1F92">
        <w:rPr>
          <w:i/>
          <w:iCs/>
        </w:rPr>
        <w:t>concern</w:t>
      </w:r>
      <w:r w:rsidR="00A53E62" w:rsidRPr="00AD1F92">
        <w:t xml:space="preserve"> about activities and events, such as the regional climate weeks, and implementation of tools, such as the virtual conference platform, that facilitate inclusive participation being cancelled</w:t>
      </w:r>
      <w:r w:rsidR="00A53E62" w:rsidRPr="00AD1F92" w:rsidDel="00D90D97">
        <w:t xml:space="preserve"> </w:t>
      </w:r>
      <w:r w:rsidR="00A53E62" w:rsidRPr="00AD1F92">
        <w:t>owing</w:t>
      </w:r>
      <w:r w:rsidR="00A53E62" w:rsidRPr="00AD1F92" w:rsidDel="00D90D97">
        <w:t xml:space="preserve"> to the </w:t>
      </w:r>
      <w:r w:rsidR="00A53E62" w:rsidRPr="00AD1F92">
        <w:t>unpredictability</w:t>
      </w:r>
      <w:r w:rsidR="00A53E62" w:rsidRPr="00AD1F92" w:rsidDel="00D90D97">
        <w:t xml:space="preserve"> in contributions to the trust fund for supplementary activities</w:t>
      </w:r>
      <w:r w:rsidR="00A53E62" w:rsidRPr="00AD1F92">
        <w:t xml:space="preserve">, while some elements of the secretariat work programme were substantially </w:t>
      </w:r>
      <w:proofErr w:type="gramStart"/>
      <w:r w:rsidR="00A53E62" w:rsidRPr="00AD1F92">
        <w:t>increased;</w:t>
      </w:r>
      <w:proofErr w:type="gramEnd"/>
    </w:p>
    <w:p w14:paraId="5A9E3954" w14:textId="44DA20F8" w:rsidR="00A53E62" w:rsidRPr="00AD1F92" w:rsidRDefault="005F5ED5" w:rsidP="005F5ED5">
      <w:pPr>
        <w:pStyle w:val="RegSingleTxtG"/>
        <w:numPr>
          <w:ilvl w:val="0"/>
          <w:numId w:val="0"/>
        </w:numPr>
        <w:ind w:left="1134"/>
      </w:pPr>
      <w:r w:rsidRPr="00AD1F92">
        <w:t>5.</w:t>
      </w:r>
      <w:r w:rsidRPr="00AD1F92">
        <w:tab/>
      </w:r>
      <w:r w:rsidR="00A53E62" w:rsidRPr="00AD1F92">
        <w:rPr>
          <w:i/>
          <w:iCs/>
        </w:rPr>
        <w:t xml:space="preserve">Reiterates </w:t>
      </w:r>
      <w:r w:rsidR="00A53E62" w:rsidRPr="00AD1F92">
        <w:t>that reducing earmarking and establishing longer and more flexible utilization periods would increase flexibility in using contributions to the trust fund for supplementary activities, which would enable the secretariat to allocate funding to the activities most in need of resources,</w:t>
      </w:r>
      <w:r w:rsidR="00226B79" w:rsidRPr="00AD1F92">
        <w:rPr>
          <w:rStyle w:val="FootnoteReference"/>
        </w:rPr>
        <w:footnoteReference w:id="25"/>
      </w:r>
      <w:r w:rsidR="00A53E62" w:rsidRPr="00AD1F92">
        <w:t xml:space="preserve"> and </w:t>
      </w:r>
      <w:r w:rsidR="00A53E62" w:rsidRPr="00AD1F92">
        <w:rPr>
          <w:i/>
          <w:iCs/>
        </w:rPr>
        <w:t>invites</w:t>
      </w:r>
      <w:r w:rsidR="00A53E62" w:rsidRPr="00AD1F92">
        <w:t xml:space="preserve"> those making contributions to the trust fund for supplementary activities to take this into </w:t>
      </w:r>
      <w:proofErr w:type="gramStart"/>
      <w:r w:rsidR="00A53E62" w:rsidRPr="00AD1F92">
        <w:t>account;</w:t>
      </w:r>
      <w:proofErr w:type="gramEnd"/>
    </w:p>
    <w:p w14:paraId="030A3C83" w14:textId="3EF47FDD" w:rsidR="00A53E62" w:rsidRPr="00AD1F92" w:rsidRDefault="005F5ED5" w:rsidP="005F5ED5">
      <w:pPr>
        <w:pStyle w:val="RegSingleTxtG"/>
        <w:numPr>
          <w:ilvl w:val="0"/>
          <w:numId w:val="0"/>
        </w:numPr>
        <w:ind w:left="1134"/>
      </w:pPr>
      <w:r w:rsidRPr="00AD1F92">
        <w:t>6.</w:t>
      </w:r>
      <w:r w:rsidRPr="00AD1F92">
        <w:tab/>
      </w:r>
      <w:r w:rsidR="00A53E62" w:rsidRPr="00AD1F92">
        <w:rPr>
          <w:i/>
        </w:rPr>
        <w:t>Expresses appreciation</w:t>
      </w:r>
      <w:r w:rsidR="00A53E62" w:rsidRPr="00AD1F92">
        <w:t xml:space="preserve"> for the contributions to the trust fund for participation in the UNFCCC process and the trust fund for supplementary activities received from Parties, including the contributions that allow for greater flexibility in </w:t>
      </w:r>
      <w:proofErr w:type="gramStart"/>
      <w:r w:rsidR="00A53E62" w:rsidRPr="00AD1F92">
        <w:t>allocation;</w:t>
      </w:r>
      <w:proofErr w:type="gramEnd"/>
    </w:p>
    <w:p w14:paraId="3AC01DC5" w14:textId="63EE104F" w:rsidR="00A53E62" w:rsidRPr="00AD1F92" w:rsidRDefault="005F5ED5" w:rsidP="005F5ED5">
      <w:pPr>
        <w:pStyle w:val="RegSingleTxtG"/>
        <w:numPr>
          <w:ilvl w:val="0"/>
          <w:numId w:val="0"/>
        </w:numPr>
        <w:ind w:left="1134"/>
      </w:pPr>
      <w:r w:rsidRPr="00AD1F92">
        <w:t>7.</w:t>
      </w:r>
      <w:r w:rsidRPr="00AD1F92">
        <w:tab/>
      </w:r>
      <w:r w:rsidR="00A53E62" w:rsidRPr="00AD1F92">
        <w:rPr>
          <w:i/>
        </w:rPr>
        <w:t>Urges</w:t>
      </w:r>
      <w:r w:rsidR="00A53E62" w:rsidRPr="00AD1F92">
        <w:t xml:space="preserve"> Parties to further contribute to the trust fund for participation in the UNFCCC process in order to ensure the widest possible participation in the process in 2024–2025, and to the trust fund for supplementary activities to ensure a high level of implementation of the secretariat work </w:t>
      </w:r>
      <w:proofErr w:type="gramStart"/>
      <w:r w:rsidR="00A53E62" w:rsidRPr="00AD1F92">
        <w:t>programme;</w:t>
      </w:r>
      <w:proofErr w:type="gramEnd"/>
      <w:r w:rsidR="00A53E62" w:rsidRPr="00AD1F92">
        <w:t xml:space="preserve"> </w:t>
      </w:r>
    </w:p>
    <w:p w14:paraId="7742E08A" w14:textId="2F68D632" w:rsidR="00A53E62" w:rsidRPr="00AD1F92" w:rsidRDefault="005F5ED5" w:rsidP="005F5ED5">
      <w:pPr>
        <w:pStyle w:val="RegSingleTxtG"/>
        <w:numPr>
          <w:ilvl w:val="0"/>
          <w:numId w:val="0"/>
        </w:numPr>
        <w:ind w:left="1134"/>
      </w:pPr>
      <w:r w:rsidRPr="00AD1F92">
        <w:t>8.</w:t>
      </w:r>
      <w:r w:rsidRPr="00AD1F92">
        <w:tab/>
      </w:r>
      <w:r w:rsidR="00A53E62" w:rsidRPr="00AD1F92">
        <w:rPr>
          <w:i/>
        </w:rPr>
        <w:t>Reiterates appreciation</w:t>
      </w:r>
      <w:r w:rsidR="00A53E62" w:rsidRPr="00AD1F92">
        <w:t xml:space="preserve"> to the Government of Germany for its annual voluntary contribution to the core budget of EUR 766,938 and its special contribution of EUR 1,789,522 as Host Government of the </w:t>
      </w:r>
      <w:proofErr w:type="gramStart"/>
      <w:r w:rsidR="00A53E62" w:rsidRPr="00AD1F92">
        <w:t>secretariat;</w:t>
      </w:r>
      <w:proofErr w:type="gramEnd"/>
    </w:p>
    <w:p w14:paraId="5BACF409" w14:textId="3A4620E5" w:rsidR="00A53E62" w:rsidRPr="00AD1F92" w:rsidRDefault="005F5ED5" w:rsidP="005F5ED5">
      <w:pPr>
        <w:pStyle w:val="RegSingleTxtG"/>
        <w:numPr>
          <w:ilvl w:val="0"/>
          <w:numId w:val="0"/>
        </w:numPr>
        <w:ind w:left="1134"/>
      </w:pPr>
      <w:r w:rsidRPr="00AD1F92">
        <w:t>9.</w:t>
      </w:r>
      <w:r w:rsidRPr="00AD1F92">
        <w:tab/>
      </w:r>
      <w:r w:rsidR="00A53E62" w:rsidRPr="00AD1F92">
        <w:rPr>
          <w:i/>
        </w:rPr>
        <w:t>Requests</w:t>
      </w:r>
      <w:r w:rsidR="00A53E62" w:rsidRPr="00AD1F92">
        <w:t xml:space="preserve"> the Executive Secretary to continue taking measures to recover Parties’ outstanding contributions to the core </w:t>
      </w:r>
      <w:proofErr w:type="gramStart"/>
      <w:r w:rsidR="00A53E62" w:rsidRPr="00AD1F92">
        <w:t>budget;</w:t>
      </w:r>
      <w:proofErr w:type="gramEnd"/>
      <w:r w:rsidR="00134ABF" w:rsidRPr="00AD1F92">
        <w:t xml:space="preserve"> </w:t>
      </w:r>
    </w:p>
    <w:p w14:paraId="151AD84F" w14:textId="41BAE73F" w:rsidR="00A53E62" w:rsidRPr="00AD1F92" w:rsidRDefault="005F5ED5" w:rsidP="005F5ED5">
      <w:pPr>
        <w:pStyle w:val="RegSingleTxtG"/>
        <w:numPr>
          <w:ilvl w:val="0"/>
          <w:numId w:val="0"/>
        </w:numPr>
        <w:ind w:left="1134"/>
      </w:pPr>
      <w:r w:rsidRPr="00AD1F92">
        <w:t>10.</w:t>
      </w:r>
      <w:r w:rsidRPr="00AD1F92">
        <w:tab/>
      </w:r>
      <w:r w:rsidR="00A53E62" w:rsidRPr="00AD1F92">
        <w:rPr>
          <w:i/>
          <w:iCs/>
        </w:rPr>
        <w:t>Also requests</w:t>
      </w:r>
      <w:r w:rsidR="00A53E62" w:rsidRPr="00AD1F92">
        <w:t xml:space="preserve"> the secretariat to increase transparency regarding the reappropriation of portions of the core budget and of funding in the trust fund for supplementary </w:t>
      </w:r>
      <w:proofErr w:type="gramStart"/>
      <w:r w:rsidR="00A53E62" w:rsidRPr="00AD1F92">
        <w:t>activities;</w:t>
      </w:r>
      <w:proofErr w:type="gramEnd"/>
      <w:r w:rsidR="00134ABF" w:rsidRPr="00AD1F92">
        <w:t xml:space="preserve"> </w:t>
      </w:r>
    </w:p>
    <w:p w14:paraId="41E91CC6" w14:textId="6CB39DD5" w:rsidR="00A53E62" w:rsidRPr="00AD1F92" w:rsidRDefault="005F5ED5" w:rsidP="005F5ED5">
      <w:pPr>
        <w:pStyle w:val="RegSingleTxtG"/>
        <w:numPr>
          <w:ilvl w:val="0"/>
          <w:numId w:val="0"/>
        </w:numPr>
        <w:ind w:left="1134"/>
      </w:pPr>
      <w:r w:rsidRPr="00AD1F92">
        <w:t>11.</w:t>
      </w:r>
      <w:r w:rsidRPr="00AD1F92">
        <w:tab/>
      </w:r>
      <w:r w:rsidR="00A416C2" w:rsidRPr="00AD1F92">
        <w:rPr>
          <w:i/>
          <w:iCs/>
        </w:rPr>
        <w:t>Further requests</w:t>
      </w:r>
      <w:r w:rsidR="00A416C2" w:rsidRPr="00AD1F92">
        <w:t xml:space="preserve"> the secretariat to significantly improve the transparency of its budget management process, including by preparing quarterly reports on the extent to which the core and supplementary budgets are funded, starting in the first quarter of 2025 at the latest, and updating documents</w:t>
      </w:r>
      <w:r w:rsidR="00475A2D" w:rsidRPr="00AD1F92">
        <w:t xml:space="preserve"> </w:t>
      </w:r>
      <w:hyperlink r:id="rId84" w:history="1">
        <w:r w:rsidR="00A416C2" w:rsidRPr="00AD1F92">
          <w:rPr>
            <w:rStyle w:val="Hyperlink"/>
          </w:rPr>
          <w:t>FCCC/SBI/2019/INF.4</w:t>
        </w:r>
      </w:hyperlink>
      <w:r w:rsidR="00607839" w:rsidRPr="00AD1F92">
        <w:t xml:space="preserve">, </w:t>
      </w:r>
      <w:hyperlink r:id="rId85" w:history="1">
        <w:r w:rsidR="00A416C2" w:rsidRPr="00AD1F92">
          <w:rPr>
            <w:rStyle w:val="Hyperlink"/>
          </w:rPr>
          <w:t>FCCC/SBI/2019/INF.12</w:t>
        </w:r>
      </w:hyperlink>
      <w:r w:rsidR="00A416C2" w:rsidRPr="00AD1F92">
        <w:t xml:space="preserve"> and </w:t>
      </w:r>
      <w:hyperlink r:id="rId86" w:history="1">
        <w:r w:rsidR="00F82199" w:rsidRPr="00AD1F92">
          <w:rPr>
            <w:rStyle w:val="Hyperlink"/>
          </w:rPr>
          <w:t>FCCC/SBI/2020/INF.3</w:t>
        </w:r>
      </w:hyperlink>
      <w:r w:rsidR="00A416C2" w:rsidRPr="00AD1F92">
        <w:t xml:space="preserve"> for consideration by the Subsidiary Body for Implementation at its sixty-second session </w:t>
      </w:r>
      <w:r w:rsidR="00A53E62" w:rsidRPr="00AD1F92">
        <w:t>(June 2025);</w:t>
      </w:r>
      <w:r w:rsidR="00A53E62" w:rsidRPr="00AD1F92">
        <w:rPr>
          <w:vertAlign w:val="superscript"/>
        </w:rPr>
        <w:footnoteReference w:id="26"/>
      </w:r>
    </w:p>
    <w:p w14:paraId="2701BC1C" w14:textId="6E73D4B2" w:rsidR="00A53E62" w:rsidRPr="00AD1F92" w:rsidRDefault="005F5ED5" w:rsidP="005F5ED5">
      <w:pPr>
        <w:pStyle w:val="RegSingleTxtG"/>
        <w:numPr>
          <w:ilvl w:val="0"/>
          <w:numId w:val="0"/>
        </w:numPr>
        <w:ind w:left="1134"/>
      </w:pPr>
      <w:r w:rsidRPr="00AD1F92">
        <w:t>12.</w:t>
      </w:r>
      <w:r w:rsidRPr="00AD1F92">
        <w:tab/>
      </w:r>
      <w:r w:rsidR="00A53E62" w:rsidRPr="00AD1F92">
        <w:rPr>
          <w:i/>
          <w:iCs/>
        </w:rPr>
        <w:t xml:space="preserve">Requests </w:t>
      </w:r>
      <w:r w:rsidR="00A53E62" w:rsidRPr="00AD1F92">
        <w:t xml:space="preserve">the secretariat to prepare an information document after each session of the Conference of the Parties serving as the meeting of the Parties to the Kyoto Protocol that presents additional activities mandated at that session and their respective cost implications for the information of </w:t>
      </w:r>
      <w:proofErr w:type="gramStart"/>
      <w:r w:rsidR="00A53E62" w:rsidRPr="00AD1F92">
        <w:t>Parties;</w:t>
      </w:r>
      <w:proofErr w:type="gramEnd"/>
    </w:p>
    <w:p w14:paraId="089A5265" w14:textId="1CB88931" w:rsidR="00A53E62" w:rsidRPr="00AD1F92" w:rsidRDefault="005F5ED5" w:rsidP="005F5ED5">
      <w:pPr>
        <w:pStyle w:val="RegSingleTxtG"/>
        <w:numPr>
          <w:ilvl w:val="0"/>
          <w:numId w:val="0"/>
        </w:numPr>
        <w:ind w:left="1134"/>
      </w:pPr>
      <w:r w:rsidRPr="00AD1F92">
        <w:t>13.</w:t>
      </w:r>
      <w:r w:rsidRPr="00AD1F92">
        <w:tab/>
      </w:r>
      <w:r w:rsidR="00A53E62" w:rsidRPr="00AD1F92">
        <w:rPr>
          <w:i/>
          <w:iCs/>
        </w:rPr>
        <w:t>Notes with concern</w:t>
      </w:r>
      <w:r w:rsidR="00A53E62" w:rsidRPr="00AD1F92">
        <w:t xml:space="preserve"> that the documents on administrative, financial and institutional matters prepared for the sixtieth session of the Subsidiary Body for Implementation were not made available before the start of the session and </w:t>
      </w:r>
      <w:r w:rsidR="00A53E62" w:rsidRPr="00AD1F92">
        <w:rPr>
          <w:i/>
          <w:iCs/>
        </w:rPr>
        <w:t>requests</w:t>
      </w:r>
      <w:r w:rsidR="00A53E62" w:rsidRPr="00AD1F92">
        <w:t xml:space="preserve"> the secretariat to issue documents in a timely manner, at least four weeks before the opening of each </w:t>
      </w:r>
      <w:proofErr w:type="gramStart"/>
      <w:r w:rsidR="00A53E62" w:rsidRPr="00AD1F92">
        <w:t>session;</w:t>
      </w:r>
      <w:proofErr w:type="gramEnd"/>
    </w:p>
    <w:p w14:paraId="2357A677" w14:textId="5B6DC201" w:rsidR="00A53E62" w:rsidRPr="00AD1F92" w:rsidRDefault="005F5ED5" w:rsidP="005F5ED5">
      <w:pPr>
        <w:pStyle w:val="RegSingleTxtG"/>
        <w:numPr>
          <w:ilvl w:val="0"/>
          <w:numId w:val="0"/>
        </w:numPr>
        <w:ind w:left="1134"/>
      </w:pPr>
      <w:r w:rsidRPr="00AD1F92">
        <w:t>14.</w:t>
      </w:r>
      <w:r w:rsidRPr="00AD1F92">
        <w:tab/>
      </w:r>
      <w:r w:rsidR="00A53E62" w:rsidRPr="00AD1F92">
        <w:rPr>
          <w:i/>
          <w:iCs/>
        </w:rPr>
        <w:t>Expresses concern</w:t>
      </w:r>
      <w:r w:rsidR="00A53E62" w:rsidRPr="00AD1F92">
        <w:t xml:space="preserve"> regarding the high number of recommendations made by the United Nations Board of Auditors that remain unimplemented and </w:t>
      </w:r>
      <w:r w:rsidR="00A53E62" w:rsidRPr="00AD1F92">
        <w:rPr>
          <w:i/>
          <w:iCs/>
        </w:rPr>
        <w:t>urges</w:t>
      </w:r>
      <w:r w:rsidR="00A53E62" w:rsidRPr="00AD1F92">
        <w:t xml:space="preserve"> the Executive Secretary to implement the standing recommendations of the auditors as soon as possible, with at least 50 per cent implemented before the opening of the sixty-first session of the Subsidiary Body for Implementation, and to continue providing information to Parties on the status of implementation of all </w:t>
      </w:r>
      <w:proofErr w:type="gramStart"/>
      <w:r w:rsidR="00A53E62" w:rsidRPr="00AD1F92">
        <w:t>recommendations;</w:t>
      </w:r>
      <w:proofErr w:type="gramEnd"/>
    </w:p>
    <w:p w14:paraId="7499D86D" w14:textId="61B442A6" w:rsidR="00A53E62" w:rsidRPr="00AD1F92" w:rsidRDefault="005F5ED5" w:rsidP="005F5ED5">
      <w:pPr>
        <w:pStyle w:val="RegSingleTxtG"/>
        <w:numPr>
          <w:ilvl w:val="0"/>
          <w:numId w:val="0"/>
        </w:numPr>
        <w:ind w:left="1134"/>
      </w:pPr>
      <w:r w:rsidRPr="00AD1F92">
        <w:t>15.</w:t>
      </w:r>
      <w:r w:rsidRPr="00AD1F92">
        <w:tab/>
      </w:r>
      <w:r w:rsidR="00A53E62" w:rsidRPr="00AD1F92">
        <w:rPr>
          <w:i/>
          <w:iCs/>
        </w:rPr>
        <w:t xml:space="preserve">Encourages </w:t>
      </w:r>
      <w:r w:rsidR="00A53E62" w:rsidRPr="00AD1F92">
        <w:t xml:space="preserve">the secretariat to enhance clarity on the nature of activities, whether mandated or not, in documents on the programme budget for the biennium 2026–2027 and </w:t>
      </w:r>
      <w:r w:rsidR="00A53E62" w:rsidRPr="00AD1F92">
        <w:rPr>
          <w:i/>
          <w:iCs/>
        </w:rPr>
        <w:t>requests</w:t>
      </w:r>
      <w:r w:rsidR="00A53E62" w:rsidRPr="00AD1F92">
        <w:t xml:space="preserve"> the secretariat to consider the challenges it faces in implementing mandated activities in the programme budget for 2024–2025 when preparing the programme budget for 2026–</w:t>
      </w:r>
      <w:proofErr w:type="gramStart"/>
      <w:r w:rsidR="00A53E62" w:rsidRPr="00AD1F92">
        <w:t>2027;</w:t>
      </w:r>
      <w:proofErr w:type="gramEnd"/>
    </w:p>
    <w:p w14:paraId="4D10CC73" w14:textId="40CBB38F" w:rsidR="00A53E62" w:rsidRPr="00AD1F92" w:rsidRDefault="005F5ED5" w:rsidP="005F5ED5">
      <w:pPr>
        <w:pStyle w:val="RegSingleTxtG"/>
        <w:numPr>
          <w:ilvl w:val="0"/>
          <w:numId w:val="0"/>
        </w:numPr>
        <w:ind w:left="1134"/>
      </w:pPr>
      <w:r w:rsidRPr="00AD1F92">
        <w:t>16.</w:t>
      </w:r>
      <w:r w:rsidRPr="00AD1F92">
        <w:tab/>
      </w:r>
      <w:r w:rsidR="00A53E62" w:rsidRPr="00AD1F92">
        <w:rPr>
          <w:i/>
          <w:iCs/>
        </w:rPr>
        <w:t>Urges</w:t>
      </w:r>
      <w:r w:rsidR="00A53E62" w:rsidRPr="00AD1F92">
        <w:t xml:space="preserve"> the secretariat to prioritize the delivery of mandated activities and outputs and to ensure the inclusive participation of delegates from developing country Parties in sessions of the governing and subsidiary bodies as well as in mandated events and meetings of </w:t>
      </w:r>
      <w:r w:rsidR="006C0386" w:rsidRPr="00AD1F92">
        <w:t xml:space="preserve">UNFCCC </w:t>
      </w:r>
      <w:r w:rsidR="00A53E62" w:rsidRPr="00AD1F92">
        <w:t>constituted bodies, and to provide information to Parties on its efforts to do so.</w:t>
      </w:r>
    </w:p>
    <w:p w14:paraId="6E2815BB" w14:textId="6592DA3A" w:rsidR="00615F36" w:rsidRPr="00AD1F92" w:rsidRDefault="000C68AA" w:rsidP="003A7466">
      <w:pPr>
        <w:pStyle w:val="RegSingleTxtG"/>
        <w:numPr>
          <w:ilvl w:val="0"/>
          <w:numId w:val="0"/>
        </w:numPr>
        <w:spacing w:after="0"/>
        <w:ind w:left="1134"/>
        <w:jc w:val="right"/>
        <w:rPr>
          <w:i/>
          <w:iCs/>
        </w:rPr>
      </w:pPr>
      <w:r w:rsidRPr="00AD1F92">
        <w:rPr>
          <w:i/>
          <w:iCs/>
        </w:rPr>
        <w:t>5</w:t>
      </w:r>
      <w:r w:rsidRPr="00AD1F92">
        <w:rPr>
          <w:i/>
          <w:iCs/>
          <w:vertAlign w:val="superscript"/>
        </w:rPr>
        <w:t>th</w:t>
      </w:r>
      <w:r w:rsidRPr="00AD1F92">
        <w:rPr>
          <w:i/>
          <w:iCs/>
        </w:rPr>
        <w:t xml:space="preserve"> </w:t>
      </w:r>
      <w:r w:rsidR="00615F36" w:rsidRPr="00AD1F92">
        <w:rPr>
          <w:i/>
          <w:iCs/>
        </w:rPr>
        <w:t>plenary meeting</w:t>
      </w:r>
    </w:p>
    <w:p w14:paraId="5BDC5C5D" w14:textId="722409F4" w:rsidR="007271D4" w:rsidRPr="00AD1F92" w:rsidRDefault="000C68AA" w:rsidP="003A7466">
      <w:pPr>
        <w:pStyle w:val="RegSingleTxtG"/>
        <w:numPr>
          <w:ilvl w:val="0"/>
          <w:numId w:val="0"/>
        </w:numPr>
        <w:spacing w:after="0"/>
        <w:ind w:left="1134"/>
        <w:jc w:val="right"/>
      </w:pPr>
      <w:r w:rsidRPr="00AD1F92">
        <w:rPr>
          <w:i/>
          <w:iCs/>
        </w:rPr>
        <w:t>18</w:t>
      </w:r>
      <w:r w:rsidR="00615F36" w:rsidRPr="00AD1F92">
        <w:rPr>
          <w:i/>
          <w:iCs/>
        </w:rPr>
        <w:t xml:space="preserve"> November 2024</w:t>
      </w:r>
    </w:p>
    <w:p w14:paraId="05535610" w14:textId="77777777" w:rsidR="0012701C" w:rsidRPr="00AD1F92" w:rsidRDefault="0012701C" w:rsidP="005F5ED5">
      <w:pPr>
        <w:pStyle w:val="RegHChG"/>
        <w:numPr>
          <w:ilvl w:val="0"/>
          <w:numId w:val="0"/>
        </w:numPr>
        <w:ind w:hanging="454"/>
      </w:pPr>
    </w:p>
    <w:p w14:paraId="302E68DA" w14:textId="797962AE" w:rsidR="0012701C" w:rsidRPr="00AD1F92" w:rsidRDefault="005F5ED5" w:rsidP="005F5ED5">
      <w:pPr>
        <w:pStyle w:val="RegHChG"/>
        <w:numPr>
          <w:ilvl w:val="0"/>
          <w:numId w:val="0"/>
        </w:numPr>
        <w:tabs>
          <w:tab w:val="left" w:pos="1135"/>
        </w:tabs>
        <w:ind w:left="1135" w:hanging="454"/>
        <w:sectPr w:rsidR="0012701C" w:rsidRPr="00AD1F92" w:rsidSect="00D43A6E">
          <w:headerReference w:type="even" r:id="rId87"/>
          <w:headerReference w:type="default" r:id="rId88"/>
          <w:footerReference w:type="even" r:id="rId89"/>
          <w:footerReference w:type="default" r:id="rId90"/>
          <w:footnotePr>
            <w:numRestart w:val="eachSect"/>
          </w:footnotePr>
          <w:pgSz w:w="11906" w:h="16838" w:code="9"/>
          <w:pgMar w:top="1417" w:right="1134" w:bottom="1134" w:left="1134" w:header="850" w:footer="567" w:gutter="0"/>
          <w:cols w:space="708"/>
          <w:docGrid w:linePitch="360"/>
        </w:sectPr>
      </w:pPr>
      <w:r w:rsidRPr="00AD1F92">
        <w:t>I.</w:t>
      </w:r>
      <w:r w:rsidRPr="00AD1F92">
        <w:tab/>
      </w:r>
    </w:p>
    <w:p w14:paraId="1EC4F584" w14:textId="177F907E" w:rsidR="0012701C" w:rsidRPr="00AD1F92" w:rsidRDefault="00CB613B" w:rsidP="005F5ED5">
      <w:pPr>
        <w:pStyle w:val="RegHChG"/>
        <w:numPr>
          <w:ilvl w:val="0"/>
          <w:numId w:val="0"/>
        </w:numPr>
        <w:spacing w:before="240"/>
        <w:ind w:left="1134" w:hanging="454"/>
      </w:pPr>
      <w:bookmarkStart w:id="15" w:name="_Toc184133532"/>
      <w:bookmarkStart w:id="16" w:name="decision5_cmp19"/>
      <w:r w:rsidRPr="00AD1F92">
        <w:lastRenderedPageBreak/>
        <w:t>Decision 5/CMP.19</w:t>
      </w:r>
      <w:bookmarkEnd w:id="15"/>
    </w:p>
    <w:bookmarkEnd w:id="16"/>
    <w:p w14:paraId="23F2753C" w14:textId="77777777" w:rsidR="00E83454" w:rsidRPr="00AD1F92" w:rsidRDefault="00E83454" w:rsidP="00E83454">
      <w:pPr>
        <w:keepNext/>
        <w:keepLines/>
        <w:spacing w:before="360" w:after="240" w:line="270" w:lineRule="exact"/>
        <w:ind w:left="1134" w:right="1134"/>
        <w:rPr>
          <w:b/>
          <w:sz w:val="28"/>
          <w:szCs w:val="28"/>
        </w:rPr>
      </w:pPr>
      <w:r w:rsidRPr="00AD1F92">
        <w:rPr>
          <w:b/>
          <w:sz w:val="28"/>
          <w:szCs w:val="28"/>
        </w:rPr>
        <w:t>Administrative, financial and institutional matters</w:t>
      </w:r>
    </w:p>
    <w:p w14:paraId="27884262" w14:textId="77777777" w:rsidR="00E83454" w:rsidRPr="00AD1F92" w:rsidRDefault="00E83454" w:rsidP="00046915">
      <w:pPr>
        <w:spacing w:before="120"/>
        <w:ind w:left="1134" w:right="1174" w:firstLine="567"/>
        <w:jc w:val="both"/>
      </w:pPr>
      <w:r w:rsidRPr="00AD1F92">
        <w:rPr>
          <w:i/>
          <w:iCs/>
        </w:rPr>
        <w:t>The Conference of the Parties serving as the meeting of the Parties to the Kyoto Protocol</w:t>
      </w:r>
      <w:r w:rsidRPr="00AD1F92">
        <w:t xml:space="preserve"> </w:t>
      </w:r>
    </w:p>
    <w:p w14:paraId="31677D4C" w14:textId="76FA4015" w:rsidR="00E83454" w:rsidRPr="00AD1F92" w:rsidRDefault="005F5ED5" w:rsidP="005F5ED5">
      <w:pPr>
        <w:pStyle w:val="RegSingleTxtG"/>
        <w:numPr>
          <w:ilvl w:val="0"/>
          <w:numId w:val="0"/>
        </w:numPr>
        <w:spacing w:before="120"/>
        <w:ind w:left="1134"/>
      </w:pPr>
      <w:r w:rsidRPr="00AD1F92">
        <w:t>1.</w:t>
      </w:r>
      <w:r w:rsidRPr="00AD1F92">
        <w:tab/>
      </w:r>
      <w:r w:rsidR="00E83454" w:rsidRPr="00AD1F92">
        <w:rPr>
          <w:i/>
          <w:iCs/>
        </w:rPr>
        <w:t>T</w:t>
      </w:r>
      <w:r w:rsidR="00E83454" w:rsidRPr="00AD1F92">
        <w:rPr>
          <w:rFonts w:eastAsia="Times New Roman"/>
          <w:i/>
          <w:iCs/>
          <w:lang w:eastAsia="en-US"/>
        </w:rPr>
        <w:t>akes note</w:t>
      </w:r>
      <w:r w:rsidR="00E83454" w:rsidRPr="00AD1F92">
        <w:rPr>
          <w:rFonts w:eastAsia="Times New Roman"/>
          <w:lang w:eastAsia="en-US"/>
        </w:rPr>
        <w:t xml:space="preserve"> of the information in the documents prepared by the secretariat on administrative, </w:t>
      </w:r>
      <w:proofErr w:type="gramStart"/>
      <w:r w:rsidR="00E83454" w:rsidRPr="00AD1F92">
        <w:rPr>
          <w:rFonts w:eastAsia="Times New Roman"/>
          <w:lang w:eastAsia="en-US"/>
        </w:rPr>
        <w:t>financial</w:t>
      </w:r>
      <w:proofErr w:type="gramEnd"/>
      <w:r w:rsidR="00E83454" w:rsidRPr="00AD1F92">
        <w:rPr>
          <w:rFonts w:eastAsia="Times New Roman"/>
          <w:lang w:eastAsia="en-US"/>
        </w:rPr>
        <w:t xml:space="preserve"> and institutional matters;</w:t>
      </w:r>
      <w:r w:rsidR="00E83454" w:rsidRPr="00AD1F92">
        <w:rPr>
          <w:rStyle w:val="FootnoteReference"/>
          <w:rFonts w:eastAsia="Times New Roman"/>
          <w:lang w:eastAsia="en-US"/>
        </w:rPr>
        <w:footnoteReference w:id="27"/>
      </w:r>
    </w:p>
    <w:p w14:paraId="6A3EA253" w14:textId="6BB20FAD" w:rsidR="00E83454" w:rsidRPr="00AD1F92" w:rsidRDefault="005F5ED5" w:rsidP="005F5ED5">
      <w:pPr>
        <w:pStyle w:val="RegSingleTxtG"/>
        <w:numPr>
          <w:ilvl w:val="0"/>
          <w:numId w:val="0"/>
        </w:numPr>
        <w:ind w:left="1134"/>
        <w:rPr>
          <w:lang w:eastAsia="en-US"/>
        </w:rPr>
      </w:pPr>
      <w:r w:rsidRPr="00AD1F92">
        <w:rPr>
          <w:lang w:eastAsia="en-US"/>
        </w:rPr>
        <w:t>2.</w:t>
      </w:r>
      <w:r w:rsidRPr="00AD1F92">
        <w:rPr>
          <w:lang w:eastAsia="en-US"/>
        </w:rPr>
        <w:tab/>
      </w:r>
      <w:r w:rsidR="00E83454" w:rsidRPr="00AD1F92">
        <w:rPr>
          <w:i/>
          <w:lang w:eastAsia="en-US"/>
        </w:rPr>
        <w:t>Expresses appreciation</w:t>
      </w:r>
      <w:r w:rsidR="00E83454" w:rsidRPr="00AD1F92">
        <w:rPr>
          <w:lang w:eastAsia="en-US"/>
        </w:rPr>
        <w:t xml:space="preserve"> to the United Nations for arranging the audit of the accounts of the </w:t>
      </w:r>
      <w:proofErr w:type="gramStart"/>
      <w:r w:rsidR="00E83454" w:rsidRPr="00AD1F92">
        <w:rPr>
          <w:lang w:eastAsia="en-US"/>
        </w:rPr>
        <w:t>Convention;</w:t>
      </w:r>
      <w:proofErr w:type="gramEnd"/>
    </w:p>
    <w:p w14:paraId="13DCDCB2" w14:textId="6F214DC9" w:rsidR="00E83454" w:rsidRPr="00AD1F92" w:rsidRDefault="005F5ED5" w:rsidP="005F5ED5">
      <w:pPr>
        <w:pStyle w:val="RegSingleTxtG"/>
        <w:numPr>
          <w:ilvl w:val="0"/>
          <w:numId w:val="0"/>
        </w:numPr>
        <w:ind w:left="1134"/>
        <w:rPr>
          <w:lang w:eastAsia="en-US"/>
        </w:rPr>
      </w:pPr>
      <w:r w:rsidRPr="00AD1F92">
        <w:rPr>
          <w:lang w:eastAsia="en-US"/>
        </w:rPr>
        <w:t>3.</w:t>
      </w:r>
      <w:r w:rsidRPr="00AD1F92">
        <w:rPr>
          <w:lang w:eastAsia="en-US"/>
        </w:rPr>
        <w:tab/>
      </w:r>
      <w:r w:rsidR="0053792D" w:rsidRPr="00AD1F92">
        <w:rPr>
          <w:i/>
          <w:lang w:eastAsia="en-US"/>
        </w:rPr>
        <w:t>Also expresses appreciation</w:t>
      </w:r>
      <w:r w:rsidR="0053792D" w:rsidRPr="00AD1F92">
        <w:rPr>
          <w:lang w:eastAsia="en-US"/>
        </w:rPr>
        <w:t xml:space="preserve"> to the auditors for their valuable observations and recommendations.</w:t>
      </w:r>
    </w:p>
    <w:p w14:paraId="5C673CB3" w14:textId="74F9ADCF" w:rsidR="003A7466" w:rsidRPr="00AD1F92" w:rsidRDefault="000C68AA" w:rsidP="003A7466">
      <w:pPr>
        <w:pStyle w:val="RegSingleTxtG"/>
        <w:numPr>
          <w:ilvl w:val="0"/>
          <w:numId w:val="0"/>
        </w:numPr>
        <w:spacing w:after="0"/>
        <w:ind w:left="1134"/>
        <w:jc w:val="right"/>
        <w:rPr>
          <w:i/>
          <w:lang w:eastAsia="en-US"/>
        </w:rPr>
      </w:pPr>
      <w:r w:rsidRPr="00AD1F92">
        <w:rPr>
          <w:i/>
          <w:lang w:eastAsia="en-US"/>
        </w:rPr>
        <w:t>5</w:t>
      </w:r>
      <w:r w:rsidRPr="00AD1F92">
        <w:rPr>
          <w:i/>
          <w:vertAlign w:val="superscript"/>
          <w:lang w:eastAsia="en-US"/>
        </w:rPr>
        <w:t>th</w:t>
      </w:r>
      <w:r w:rsidRPr="00AD1F92">
        <w:rPr>
          <w:i/>
          <w:lang w:eastAsia="en-US"/>
        </w:rPr>
        <w:t xml:space="preserve"> </w:t>
      </w:r>
      <w:r w:rsidR="00642E55" w:rsidRPr="00AD1F92">
        <w:rPr>
          <w:i/>
          <w:lang w:eastAsia="en-US"/>
        </w:rPr>
        <w:t>p</w:t>
      </w:r>
      <w:r w:rsidR="003A7466" w:rsidRPr="00AD1F92">
        <w:rPr>
          <w:i/>
          <w:lang w:eastAsia="en-US"/>
        </w:rPr>
        <w:t>lenary meeting</w:t>
      </w:r>
    </w:p>
    <w:p w14:paraId="38F5222E" w14:textId="3BBC515B" w:rsidR="003A7466" w:rsidRPr="00AD1F92" w:rsidRDefault="000C68AA" w:rsidP="003A7466">
      <w:pPr>
        <w:pStyle w:val="RegSingleTxtG"/>
        <w:numPr>
          <w:ilvl w:val="0"/>
          <w:numId w:val="0"/>
        </w:numPr>
        <w:spacing w:after="0"/>
        <w:ind w:left="1134"/>
        <w:jc w:val="right"/>
        <w:rPr>
          <w:lang w:eastAsia="en-US"/>
        </w:rPr>
      </w:pPr>
      <w:r w:rsidRPr="00AD1F92">
        <w:rPr>
          <w:i/>
          <w:lang w:eastAsia="en-US"/>
        </w:rPr>
        <w:t>18</w:t>
      </w:r>
      <w:r w:rsidR="003A7466" w:rsidRPr="00AD1F92">
        <w:rPr>
          <w:i/>
          <w:lang w:eastAsia="en-US"/>
        </w:rPr>
        <w:t xml:space="preserve"> November 2024</w:t>
      </w:r>
    </w:p>
    <w:p w14:paraId="4DBA5B05" w14:textId="77777777" w:rsidR="003A7466" w:rsidRPr="00AD1F92" w:rsidRDefault="003A7466" w:rsidP="005F5ED5">
      <w:pPr>
        <w:pStyle w:val="RegHChG"/>
        <w:numPr>
          <w:ilvl w:val="0"/>
          <w:numId w:val="0"/>
        </w:numPr>
        <w:ind w:hanging="454"/>
      </w:pPr>
    </w:p>
    <w:p w14:paraId="0BF22D5E" w14:textId="7E4318F4" w:rsidR="009A6ABC" w:rsidRPr="00AD1F92" w:rsidRDefault="005F5ED5" w:rsidP="005F5ED5">
      <w:pPr>
        <w:pStyle w:val="RegHChG"/>
        <w:numPr>
          <w:ilvl w:val="0"/>
          <w:numId w:val="0"/>
        </w:numPr>
        <w:tabs>
          <w:tab w:val="left" w:pos="1135"/>
        </w:tabs>
        <w:ind w:left="1135" w:hanging="454"/>
        <w:sectPr w:rsidR="009A6ABC" w:rsidRPr="00AD1F92" w:rsidSect="00D43A6E">
          <w:headerReference w:type="default" r:id="rId91"/>
          <w:footerReference w:type="default" r:id="rId92"/>
          <w:footnotePr>
            <w:numRestart w:val="eachSect"/>
          </w:footnotePr>
          <w:pgSz w:w="11906" w:h="16838" w:code="9"/>
          <w:pgMar w:top="1417" w:right="1134" w:bottom="1134" w:left="1134" w:header="850" w:footer="567" w:gutter="0"/>
          <w:cols w:space="708"/>
          <w:docGrid w:linePitch="360"/>
        </w:sectPr>
      </w:pPr>
      <w:r w:rsidRPr="00AD1F92">
        <w:t>I.</w:t>
      </w:r>
      <w:r w:rsidRPr="00AD1F92">
        <w:tab/>
      </w:r>
    </w:p>
    <w:p w14:paraId="78D62332" w14:textId="35B57EF7" w:rsidR="008F5D6C" w:rsidRPr="00AD1F92" w:rsidRDefault="009A1BB5" w:rsidP="005F5ED5">
      <w:pPr>
        <w:pStyle w:val="RegHChG"/>
        <w:numPr>
          <w:ilvl w:val="0"/>
          <w:numId w:val="0"/>
        </w:numPr>
        <w:ind w:left="1134" w:hanging="454"/>
      </w:pPr>
      <w:bookmarkStart w:id="17" w:name="_Toc184133533"/>
      <w:bookmarkStart w:id="18" w:name="resolution1_cmp19"/>
      <w:r w:rsidRPr="00AD1F92">
        <w:lastRenderedPageBreak/>
        <w:t>Resolution 1/CMP.19</w:t>
      </w:r>
      <w:bookmarkEnd w:id="17"/>
    </w:p>
    <w:p w14:paraId="15145F72" w14:textId="77777777" w:rsidR="00610AFB" w:rsidRPr="00AD1F92" w:rsidRDefault="00610AFB" w:rsidP="005F5ED5">
      <w:pPr>
        <w:pStyle w:val="RegHChG"/>
        <w:numPr>
          <w:ilvl w:val="0"/>
          <w:numId w:val="0"/>
        </w:numPr>
        <w:ind w:left="1135" w:hanging="454"/>
      </w:pPr>
      <w:bookmarkStart w:id="19" w:name="_Toc184133534"/>
      <w:bookmarkEnd w:id="18"/>
      <w:r w:rsidRPr="00AD1F92">
        <w:t>Expression of gratitude to the Government of the Republic of Azerbaijan and the people of the city of Baku</w:t>
      </w:r>
      <w:bookmarkEnd w:id="19"/>
    </w:p>
    <w:p w14:paraId="580EC44B" w14:textId="3C08A531" w:rsidR="00610AFB" w:rsidRPr="00AD1F92" w:rsidRDefault="00610AFB" w:rsidP="005F5ED5">
      <w:pPr>
        <w:pStyle w:val="RegH1G"/>
        <w:numPr>
          <w:ilvl w:val="0"/>
          <w:numId w:val="0"/>
        </w:numPr>
        <w:ind w:left="1135" w:hanging="454"/>
      </w:pPr>
      <w:bookmarkStart w:id="20" w:name="_Toc184133535"/>
      <w:r w:rsidRPr="00AD1F92">
        <w:t>Resolution submitted by the Federative Republic of Brazil</w:t>
      </w:r>
      <w:bookmarkEnd w:id="20"/>
    </w:p>
    <w:p w14:paraId="498D5653" w14:textId="2B0013B2" w:rsidR="00610AFB" w:rsidRPr="00AD1F92" w:rsidRDefault="002158BF" w:rsidP="002158BF">
      <w:pPr>
        <w:pStyle w:val="RegSingleTxtG"/>
        <w:numPr>
          <w:ilvl w:val="0"/>
          <w:numId w:val="0"/>
        </w:numPr>
        <w:ind w:left="1134"/>
      </w:pPr>
      <w:r w:rsidRPr="00AD1F92">
        <w:tab/>
      </w:r>
      <w:r w:rsidR="00610AFB" w:rsidRPr="00AD1F92">
        <w:rPr>
          <w:rFonts w:eastAsia="Times New Roman"/>
          <w:i/>
          <w:iCs/>
        </w:rPr>
        <w:t>The Conference of the Parties, the Conference of the Parties serving as the meeting of the Parties to the Kyoto Protocol and the Conference of the Parties serving as the meeting of the Parties to the Paris Agreement</w:t>
      </w:r>
      <w:r w:rsidR="00610AFB" w:rsidRPr="00AD1F92">
        <w:rPr>
          <w:rFonts w:eastAsia="Times New Roman"/>
        </w:rPr>
        <w:t>,</w:t>
      </w:r>
    </w:p>
    <w:p w14:paraId="56A18FBB" w14:textId="29ABB714" w:rsidR="00DF5799" w:rsidRPr="00AD1F92" w:rsidRDefault="002158BF" w:rsidP="002158BF">
      <w:pPr>
        <w:pStyle w:val="RegSingleTxtG"/>
        <w:numPr>
          <w:ilvl w:val="0"/>
          <w:numId w:val="0"/>
        </w:numPr>
        <w:ind w:left="1134"/>
      </w:pPr>
      <w:r w:rsidRPr="00AD1F92">
        <w:rPr>
          <w:i/>
          <w:iCs/>
        </w:rPr>
        <w:tab/>
      </w:r>
      <w:r w:rsidR="00610AFB" w:rsidRPr="00AD1F92">
        <w:rPr>
          <w:rFonts w:eastAsia="Times New Roman"/>
          <w:i/>
          <w:iCs/>
        </w:rPr>
        <w:t>Having met</w:t>
      </w:r>
      <w:r w:rsidR="00610AFB" w:rsidRPr="00AD1F92">
        <w:rPr>
          <w:rFonts w:eastAsia="Times New Roman"/>
        </w:rPr>
        <w:t xml:space="preserve"> in Baku from 11 to 2</w:t>
      </w:r>
      <w:r w:rsidR="00046F86" w:rsidRPr="00AD1F92">
        <w:rPr>
          <w:rFonts w:eastAsia="Times New Roman"/>
        </w:rPr>
        <w:t>4</w:t>
      </w:r>
      <w:r w:rsidR="00610AFB" w:rsidRPr="00AD1F92">
        <w:rPr>
          <w:rFonts w:eastAsia="Times New Roman"/>
        </w:rPr>
        <w:t xml:space="preserve"> November 2024,</w:t>
      </w:r>
    </w:p>
    <w:p w14:paraId="0271E173" w14:textId="43CE4172" w:rsidR="00610AFB" w:rsidRPr="00AD1F92" w:rsidRDefault="005F5ED5" w:rsidP="005F5ED5">
      <w:pPr>
        <w:pStyle w:val="RegH1G"/>
        <w:numPr>
          <w:ilvl w:val="0"/>
          <w:numId w:val="0"/>
        </w:numPr>
        <w:spacing w:before="0" w:after="120" w:line="240" w:lineRule="atLeast"/>
        <w:ind w:left="1134" w:hanging="454"/>
        <w:jc w:val="both"/>
        <w:rPr>
          <w:rFonts w:eastAsia="Times New Roman"/>
          <w:b w:val="0"/>
          <w:sz w:val="20"/>
        </w:rPr>
      </w:pPr>
      <w:bookmarkStart w:id="21" w:name="_Toc184133536"/>
      <w:r w:rsidRPr="00AD1F92">
        <w:rPr>
          <w:rFonts w:eastAsia="Times New Roman"/>
          <w:b w:val="0"/>
          <w:sz w:val="20"/>
        </w:rPr>
        <w:t>1.</w:t>
      </w:r>
      <w:r w:rsidRPr="00AD1F92">
        <w:rPr>
          <w:rFonts w:eastAsia="Times New Roman"/>
          <w:b w:val="0"/>
          <w:sz w:val="20"/>
        </w:rPr>
        <w:tab/>
      </w:r>
      <w:r w:rsidR="00610AFB" w:rsidRPr="00AD1F92">
        <w:rPr>
          <w:rFonts w:eastAsia="Times New Roman"/>
          <w:b w:val="0"/>
          <w:i/>
          <w:iCs/>
          <w:sz w:val="20"/>
        </w:rPr>
        <w:t>Express profound gratitude</w:t>
      </w:r>
      <w:r w:rsidR="00610AFB" w:rsidRPr="00AD1F92">
        <w:rPr>
          <w:rFonts w:eastAsia="Times New Roman"/>
          <w:b w:val="0"/>
          <w:sz w:val="20"/>
        </w:rPr>
        <w:t xml:space="preserve"> to the Government of the Republic of Azerbaijan for having made it possible for the twenty-ninth session of the Conference of the Parties, the nineteenth session of the Conference of the Parties serving as the meeting of the Parties to the Kyoto Protocol and the sixth session of the Conference of the Parties serving as the meeting of the Parties to the Paris Agreement to be held in </w:t>
      </w:r>
      <w:proofErr w:type="gramStart"/>
      <w:r w:rsidR="00610AFB" w:rsidRPr="00AD1F92">
        <w:rPr>
          <w:rFonts w:eastAsia="Times New Roman"/>
          <w:b w:val="0"/>
          <w:sz w:val="20"/>
        </w:rPr>
        <w:t>Baku;</w:t>
      </w:r>
      <w:bookmarkEnd w:id="21"/>
      <w:proofErr w:type="gramEnd"/>
    </w:p>
    <w:p w14:paraId="43339415" w14:textId="3E97A5D4" w:rsidR="00610AFB" w:rsidRPr="00AD1F92" w:rsidRDefault="005F5ED5" w:rsidP="005F5ED5">
      <w:pPr>
        <w:pStyle w:val="RegH1G"/>
        <w:numPr>
          <w:ilvl w:val="0"/>
          <w:numId w:val="0"/>
        </w:numPr>
        <w:spacing w:before="0" w:after="120" w:line="240" w:lineRule="atLeast"/>
        <w:ind w:left="1134" w:hanging="454"/>
        <w:jc w:val="both"/>
        <w:rPr>
          <w:rFonts w:eastAsia="Times New Roman"/>
          <w:b w:val="0"/>
          <w:sz w:val="20"/>
        </w:rPr>
      </w:pPr>
      <w:bookmarkStart w:id="22" w:name="_Toc184133537"/>
      <w:r w:rsidRPr="00AD1F92">
        <w:rPr>
          <w:rFonts w:eastAsia="Times New Roman"/>
          <w:b w:val="0"/>
          <w:sz w:val="20"/>
        </w:rPr>
        <w:t>2.</w:t>
      </w:r>
      <w:r w:rsidRPr="00AD1F92">
        <w:rPr>
          <w:rFonts w:eastAsia="Times New Roman"/>
          <w:b w:val="0"/>
          <w:sz w:val="20"/>
        </w:rPr>
        <w:tab/>
      </w:r>
      <w:r w:rsidR="00610AFB" w:rsidRPr="00AD1F92">
        <w:rPr>
          <w:rFonts w:eastAsia="Times New Roman"/>
          <w:b w:val="0"/>
          <w:i/>
          <w:iCs/>
          <w:sz w:val="20"/>
        </w:rPr>
        <w:t>Request</w:t>
      </w:r>
      <w:r w:rsidR="00610AFB" w:rsidRPr="00AD1F92">
        <w:rPr>
          <w:rFonts w:eastAsia="Times New Roman"/>
          <w:b w:val="0"/>
          <w:sz w:val="20"/>
        </w:rPr>
        <w:t xml:space="preserve"> the Government of the Republic of Azerbaijan to convey to the city and people of Baku the gratitude of the Conference of the Parties, the Conference of the Parties serving as the meeting of the Parties to the Kyoto Protocol and the Conference of the Parties serving as the meeting of the Parties to the Paris Agreement for the hospitality and warmth extended to the participants.</w:t>
      </w:r>
      <w:bookmarkEnd w:id="22"/>
    </w:p>
    <w:p w14:paraId="2B004362" w14:textId="11FC4A20" w:rsidR="00AD6DE1" w:rsidRPr="00AD1F92" w:rsidRDefault="0022627C" w:rsidP="005F5ED5">
      <w:pPr>
        <w:pStyle w:val="RegH23G"/>
        <w:numPr>
          <w:ilvl w:val="0"/>
          <w:numId w:val="0"/>
        </w:numPr>
        <w:spacing w:before="0" w:after="0" w:line="240" w:lineRule="atLeast"/>
        <w:ind w:hanging="454"/>
        <w:jc w:val="right"/>
        <w:rPr>
          <w:rFonts w:eastAsia="Times New Roman"/>
          <w:b w:val="0"/>
          <w:i/>
          <w:iCs/>
        </w:rPr>
      </w:pPr>
      <w:r w:rsidRPr="00AD1F92">
        <w:rPr>
          <w:rFonts w:eastAsia="Times New Roman"/>
          <w:b w:val="0"/>
          <w:i/>
          <w:iCs/>
        </w:rPr>
        <w:t>11</w:t>
      </w:r>
      <w:r w:rsidRPr="00AD1F92">
        <w:rPr>
          <w:rFonts w:eastAsia="Times New Roman"/>
          <w:b w:val="0"/>
          <w:i/>
          <w:iCs/>
          <w:vertAlign w:val="superscript"/>
        </w:rPr>
        <w:t>th</w:t>
      </w:r>
      <w:r w:rsidRPr="00AD1F92">
        <w:rPr>
          <w:rFonts w:eastAsia="Times New Roman"/>
          <w:b w:val="0"/>
          <w:i/>
          <w:iCs/>
        </w:rPr>
        <w:t xml:space="preserve"> </w:t>
      </w:r>
      <w:r w:rsidR="00AD6DE1" w:rsidRPr="00AD1F92">
        <w:rPr>
          <w:rFonts w:eastAsia="Times New Roman"/>
          <w:b w:val="0"/>
          <w:i/>
          <w:iCs/>
        </w:rPr>
        <w:t>plenary meeting</w:t>
      </w:r>
    </w:p>
    <w:p w14:paraId="2CC4BF59" w14:textId="2E2FD4C1" w:rsidR="00610AFB" w:rsidRPr="00AD1F92" w:rsidRDefault="0022627C" w:rsidP="005F5ED5">
      <w:pPr>
        <w:pStyle w:val="RegH4G"/>
        <w:numPr>
          <w:ilvl w:val="0"/>
          <w:numId w:val="0"/>
        </w:numPr>
        <w:spacing w:before="0" w:after="0" w:line="240" w:lineRule="atLeast"/>
        <w:ind w:left="1135" w:hanging="454"/>
        <w:jc w:val="right"/>
        <w:rPr>
          <w:b w:val="0"/>
          <w:bCs/>
          <w:i/>
          <w:iCs/>
        </w:rPr>
      </w:pPr>
      <w:r w:rsidRPr="00AD1F92">
        <w:rPr>
          <w:b w:val="0"/>
          <w:bCs/>
          <w:i/>
          <w:iCs/>
        </w:rPr>
        <w:t>23</w:t>
      </w:r>
      <w:r w:rsidR="00755625" w:rsidRPr="00AD1F92">
        <w:rPr>
          <w:b w:val="0"/>
          <w:bCs/>
          <w:i/>
          <w:iCs/>
        </w:rPr>
        <w:t xml:space="preserve"> November 2024</w:t>
      </w:r>
    </w:p>
    <w:p w14:paraId="00746777" w14:textId="7DEF5252" w:rsidR="008362C4" w:rsidRPr="00AD1F92" w:rsidRDefault="00F832A1" w:rsidP="00C7277B">
      <w:pPr>
        <w:spacing w:before="240"/>
        <w:ind w:left="1134" w:right="1134"/>
        <w:jc w:val="center"/>
        <w:rPr>
          <w:u w:val="single"/>
        </w:rPr>
      </w:pPr>
      <w:r w:rsidRPr="00AD1F92">
        <w:rPr>
          <w:u w:val="single"/>
        </w:rPr>
        <w:tab/>
      </w:r>
      <w:r w:rsidRPr="00AD1F92">
        <w:rPr>
          <w:u w:val="single"/>
        </w:rPr>
        <w:tab/>
      </w:r>
      <w:r w:rsidRPr="00AD1F92">
        <w:rPr>
          <w:u w:val="single"/>
        </w:rPr>
        <w:tab/>
      </w:r>
      <w:r w:rsidRPr="00AD1F92">
        <w:rPr>
          <w:u w:val="single"/>
        </w:rPr>
        <w:tab/>
      </w:r>
    </w:p>
    <w:sectPr w:rsidR="008362C4" w:rsidRPr="00AD1F92" w:rsidSect="00D43A6E">
      <w:headerReference w:type="even" r:id="rId93"/>
      <w:headerReference w:type="default" r:id="rId94"/>
      <w:footerReference w:type="even" r:id="rId95"/>
      <w:footerReference w:type="default" r:id="rId96"/>
      <w:footnotePr>
        <w:numRestart w:val="eachSect"/>
      </w:footnotePr>
      <w:pgSz w:w="11906" w:h="16838" w:code="9"/>
      <w:pgMar w:top="1417" w:right="1134" w:bottom="1134" w:left="1134" w:header="850"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DA5B14" w14:textId="77777777" w:rsidR="00D73F37" w:rsidRPr="008362C4" w:rsidRDefault="00D73F37" w:rsidP="008362C4">
      <w:pPr>
        <w:spacing w:line="14" w:lineRule="exact"/>
        <w:rPr>
          <w:color w:val="FFFFFF" w:themeColor="background1"/>
        </w:rPr>
      </w:pPr>
      <w:r w:rsidRPr="008362C4">
        <w:rPr>
          <w:color w:val="FFFFFF" w:themeColor="background1"/>
        </w:rPr>
        <w:separator/>
      </w:r>
    </w:p>
    <w:p w14:paraId="12E4ECE7" w14:textId="77777777" w:rsidR="00D73F37" w:rsidRPr="008362C4" w:rsidRDefault="00D73F37" w:rsidP="00C45173">
      <w:pPr>
        <w:spacing w:line="14" w:lineRule="atLeast"/>
        <w:rPr>
          <w:color w:val="FFFFFF" w:themeColor="background1"/>
          <w:sz w:val="2"/>
          <w:szCs w:val="2"/>
        </w:rPr>
      </w:pPr>
    </w:p>
  </w:endnote>
  <w:endnote w:type="continuationSeparator" w:id="0">
    <w:p w14:paraId="6FAA3213" w14:textId="77777777" w:rsidR="00D73F37" w:rsidRDefault="00D73F37">
      <w:r>
        <w:continuationSeparator/>
      </w:r>
    </w:p>
    <w:p w14:paraId="6F4FE92D" w14:textId="77777777" w:rsidR="00D73F37" w:rsidRDefault="00D73F37"/>
  </w:endnote>
  <w:endnote w:type="continuationNotice" w:id="1">
    <w:p w14:paraId="1AEEADDA" w14:textId="77777777" w:rsidR="00D73F37" w:rsidRDefault="00D73F37">
      <w:pPr>
        <w:spacing w:line="240" w:lineRule="auto"/>
      </w:pPr>
    </w:p>
  </w:endnote>
  <w:endnote w:id="2">
    <w:p w14:paraId="30DC2CDC" w14:textId="77777777" w:rsidR="00862151" w:rsidRPr="00700930" w:rsidRDefault="00862151" w:rsidP="00862151">
      <w:pPr>
        <w:pStyle w:val="EndnoteText"/>
        <w:tabs>
          <w:tab w:val="clear" w:pos="1021"/>
        </w:tabs>
        <w:spacing w:line="200" w:lineRule="exact"/>
        <w:ind w:firstLine="142"/>
        <w:rPr>
          <w:lang w:val="en-US"/>
        </w:rPr>
      </w:pPr>
      <w:r w:rsidRPr="00700930">
        <w:rPr>
          <w:rStyle w:val="EndnoteReference"/>
          <w:i/>
        </w:rPr>
        <w:endnoteRef/>
      </w:r>
      <w:r w:rsidRPr="00700930">
        <w:t xml:space="preserve">  </w:t>
      </w:r>
      <w:r w:rsidRPr="001941BB">
        <w:rPr>
          <w:i w:val="0"/>
          <w:iCs/>
        </w:rPr>
        <w:t>Accreditation granted for five years.</w:t>
      </w:r>
    </w:p>
  </w:endnote>
  <w:endnote w:id="3">
    <w:p w14:paraId="09B1D1A9" w14:textId="77777777" w:rsidR="00862151" w:rsidRPr="00700930" w:rsidRDefault="00862151" w:rsidP="000A63A9">
      <w:pPr>
        <w:pStyle w:val="EndnoteText"/>
        <w:tabs>
          <w:tab w:val="clear" w:pos="1021"/>
        </w:tabs>
        <w:spacing w:line="200" w:lineRule="exact"/>
        <w:ind w:firstLine="142"/>
        <w:rPr>
          <w:lang w:val="en-US"/>
        </w:rPr>
      </w:pPr>
      <w:r w:rsidRPr="00700930">
        <w:rPr>
          <w:rStyle w:val="EndnoteReference"/>
          <w:i/>
        </w:rPr>
        <w:endnoteRef/>
      </w:r>
      <w:r w:rsidRPr="00700930">
        <w:t xml:space="preserve">  </w:t>
      </w:r>
      <w:r w:rsidRPr="001941BB">
        <w:rPr>
          <w:i w:val="0"/>
          <w:iCs/>
        </w:rPr>
        <w:t>Extension of sectoral scope. For the entities for which the scope of accreditation was extended, only the new sectoral scopes are indicated.</w:t>
      </w:r>
    </w:p>
  </w:endnote>
  <w:endnote w:id="4">
    <w:p w14:paraId="1217C831" w14:textId="4B2B79EB" w:rsidR="00507749" w:rsidRPr="00DA0410" w:rsidRDefault="00862151" w:rsidP="001941BB">
      <w:pPr>
        <w:pStyle w:val="EndnoteText"/>
        <w:tabs>
          <w:tab w:val="clear" w:pos="1021"/>
        </w:tabs>
        <w:spacing w:after="180" w:line="200" w:lineRule="exact"/>
        <w:ind w:firstLine="142"/>
      </w:pPr>
      <w:r w:rsidRPr="00700930">
        <w:rPr>
          <w:rStyle w:val="EndnoteReference"/>
          <w:i/>
        </w:rPr>
        <w:endnoteRef/>
      </w:r>
      <w:r w:rsidRPr="00700930">
        <w:t xml:space="preserve">  </w:t>
      </w:r>
      <w:r w:rsidRPr="001941BB">
        <w:rPr>
          <w:i w:val="0"/>
          <w:iCs/>
        </w:rPr>
        <w:t>Voluntary withdrawal of accreditation in its entirety.</w:t>
      </w:r>
    </w:p>
    <w:p w14:paraId="25FFFC87" w14:textId="0D7137DE" w:rsidR="00507749" w:rsidRPr="005534A9" w:rsidRDefault="00A46256" w:rsidP="005534A9">
      <w:pPr>
        <w:ind w:right="1133"/>
        <w:jc w:val="right"/>
        <w:rPr>
          <w:i/>
          <w:iCs/>
        </w:rPr>
      </w:pPr>
      <w:r>
        <w:rPr>
          <w:i/>
          <w:iCs/>
        </w:rPr>
        <w:t>11</w:t>
      </w:r>
      <w:r w:rsidRPr="00A46256">
        <w:rPr>
          <w:i/>
          <w:iCs/>
          <w:vertAlign w:val="superscript"/>
        </w:rPr>
        <w:t>th</w:t>
      </w:r>
      <w:r>
        <w:rPr>
          <w:i/>
          <w:iCs/>
        </w:rPr>
        <w:t xml:space="preserve"> </w:t>
      </w:r>
      <w:r w:rsidR="00507749" w:rsidRPr="005534A9">
        <w:rPr>
          <w:i/>
          <w:iCs/>
        </w:rPr>
        <w:t>plenary meeting</w:t>
      </w:r>
    </w:p>
    <w:p w14:paraId="44F9D2B4" w14:textId="3B15535B" w:rsidR="00930668" w:rsidRPr="00930668" w:rsidRDefault="00A46256" w:rsidP="00930668">
      <w:pPr>
        <w:ind w:right="1133"/>
        <w:jc w:val="right"/>
        <w:rPr>
          <w:i/>
          <w:iCs/>
        </w:rPr>
      </w:pPr>
      <w:r>
        <w:rPr>
          <w:i/>
          <w:iCs/>
        </w:rPr>
        <w:t>23</w:t>
      </w:r>
      <w:r w:rsidR="00201DCD">
        <w:rPr>
          <w:i/>
          <w:iCs/>
        </w:rPr>
        <w:t xml:space="preserve"> November</w:t>
      </w:r>
      <w:r w:rsidR="00507749" w:rsidRPr="005534A9">
        <w:rPr>
          <w:i/>
          <w:iCs/>
        </w:rPr>
        <w:t xml:space="preserve"> 202</w:t>
      </w:r>
      <w:r w:rsidR="001C66B3">
        <w:rPr>
          <w:i/>
          <w:iCs/>
        </w:rPr>
        <w:t>4</w:t>
      </w:r>
    </w:p>
  </w:endnote>
  <w:endnote w:id="5">
    <w:p w14:paraId="61DDAFDF" w14:textId="2CD0EAB5" w:rsidR="0070081F" w:rsidRDefault="0070081F" w:rsidP="0070081F">
      <w:pPr>
        <w:pStyle w:val="FootnoteTable"/>
        <w:spacing w:before="0" w:line="200" w:lineRule="exact"/>
        <w:ind w:firstLine="142"/>
        <w:contextualSpacing w:val="0"/>
        <w:jc w:val="left"/>
      </w:pPr>
      <w:r>
        <w:rPr>
          <w:i/>
        </w:rPr>
        <w:t>Abbreviations</w:t>
      </w:r>
      <w:r w:rsidRPr="00C07AA2">
        <w:rPr>
          <w:iCs/>
        </w:rPr>
        <w:t>:</w:t>
      </w:r>
      <w:r>
        <w:rPr>
          <w:iCs/>
        </w:rPr>
        <w:t xml:space="preserve"> </w:t>
      </w:r>
      <w:r w:rsidR="005307AE">
        <w:rPr>
          <w:iCs/>
        </w:rPr>
        <w:t>forum = forum on the impact of the implementation of response measures</w:t>
      </w:r>
      <w:r w:rsidR="005307AE">
        <w:rPr>
          <w:szCs w:val="18"/>
        </w:rPr>
        <w:t xml:space="preserve">, </w:t>
      </w:r>
      <w:r w:rsidRPr="0069359C">
        <w:rPr>
          <w:szCs w:val="18"/>
        </w:rPr>
        <w:t xml:space="preserve">KCI = </w:t>
      </w:r>
      <w:r w:rsidRPr="0069359C">
        <w:rPr>
          <w:bCs/>
          <w:szCs w:val="18"/>
        </w:rPr>
        <w:t>Katowice Committee of Experts on the Impacts of the Implementation of Response Measures, SB = sessions of the subsidiary bodies.</w:t>
      </w:r>
    </w:p>
    <w:p w14:paraId="10B0D84E" w14:textId="4542DCA8" w:rsidR="0070081F" w:rsidRPr="00AF26C2" w:rsidRDefault="0070081F" w:rsidP="00C50B5C">
      <w:pPr>
        <w:pStyle w:val="EndnoteText"/>
        <w:tabs>
          <w:tab w:val="clear" w:pos="1021"/>
        </w:tabs>
        <w:spacing w:after="180" w:line="200" w:lineRule="exact"/>
        <w:ind w:left="0" w:right="395" w:firstLine="142"/>
        <w:rPr>
          <w:i w:val="0"/>
        </w:rPr>
      </w:pPr>
      <w:r w:rsidRPr="0007620E">
        <w:rPr>
          <w:rStyle w:val="EndnoteReference"/>
          <w:i/>
        </w:rPr>
        <w:endnoteRef/>
      </w:r>
      <w:r w:rsidRPr="00C50B5C">
        <w:rPr>
          <w:i w:val="0"/>
        </w:rPr>
        <w:t xml:space="preserve">  Timeline and modalities for implementation </w:t>
      </w:r>
      <w:r w:rsidR="00743ACB">
        <w:rPr>
          <w:i w:val="0"/>
        </w:rPr>
        <w:t>are</w:t>
      </w:r>
      <w:r w:rsidR="00C578F7">
        <w:rPr>
          <w:i w:val="0"/>
        </w:rPr>
        <w:t xml:space="preserve"> to be prepared</w:t>
      </w:r>
      <w:r w:rsidRPr="00044246">
        <w:rPr>
          <w:i w:val="0"/>
        </w:rPr>
        <w:t xml:space="preserve"> as per paras. 6–7 of this decision</w:t>
      </w:r>
      <w:r w:rsidR="00D57BDB">
        <w:rPr>
          <w:i w:val="0"/>
        </w:rPr>
        <w:t>;</w:t>
      </w:r>
      <w:r w:rsidRPr="00C50B5C">
        <w:rPr>
          <w:i w:val="0"/>
        </w:rPr>
        <w:t xml:space="preserve"> </w:t>
      </w:r>
      <w:r w:rsidR="00D57BDB">
        <w:rPr>
          <w:i w:val="0"/>
        </w:rPr>
        <w:t>t</w:t>
      </w:r>
      <w:r w:rsidRPr="00AF26C2">
        <w:rPr>
          <w:i w:val="0"/>
        </w:rPr>
        <w:t>hese are the modalities that may be used by the forum and its KCI to carry out the workplan.</w:t>
      </w:r>
    </w:p>
    <w:p w14:paraId="14FC51A1" w14:textId="66F55AAF" w:rsidR="001B21BA" w:rsidRPr="00ED2FBE" w:rsidRDefault="00901491" w:rsidP="00530913">
      <w:pPr>
        <w:ind w:right="395"/>
        <w:jc w:val="right"/>
        <w:rPr>
          <w:i/>
          <w:iCs/>
          <w:lang w:val="en-US"/>
        </w:rPr>
      </w:pPr>
      <w:r w:rsidRPr="00ED2FBE">
        <w:rPr>
          <w:i/>
          <w:iCs/>
          <w:lang w:val="en-US"/>
        </w:rPr>
        <w:t>Resumed 11</w:t>
      </w:r>
      <w:r w:rsidRPr="00ED2FBE">
        <w:rPr>
          <w:i/>
          <w:iCs/>
          <w:vertAlign w:val="superscript"/>
          <w:lang w:val="en-US"/>
        </w:rPr>
        <w:t>th</w:t>
      </w:r>
      <w:r w:rsidRPr="00ED2FBE">
        <w:rPr>
          <w:i/>
          <w:iCs/>
          <w:lang w:val="en-US"/>
        </w:rPr>
        <w:t xml:space="preserve"> plenary meeting</w:t>
      </w:r>
    </w:p>
    <w:p w14:paraId="6A830823" w14:textId="53C58B18" w:rsidR="00901491" w:rsidRPr="0007620E" w:rsidRDefault="00901491" w:rsidP="00E0050B">
      <w:pPr>
        <w:ind w:right="395"/>
        <w:jc w:val="right"/>
        <w:rPr>
          <w:lang w:val="en-US"/>
        </w:rPr>
      </w:pPr>
      <w:r w:rsidRPr="00ED2FBE">
        <w:rPr>
          <w:i/>
          <w:iCs/>
          <w:lang w:val="en-US"/>
        </w:rPr>
        <w:t>23 November 2024</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DejaVu Sans">
    <w:charset w:val="CC"/>
    <w:family w:val="swiss"/>
    <w:pitch w:val="variable"/>
    <w:sig w:usb0="E7002EFF" w:usb1="D200FDFF" w:usb2="0A24602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E49852" w14:textId="657843E6" w:rsidR="00862151" w:rsidRPr="00D43A6E" w:rsidRDefault="00D43A6E" w:rsidP="00D43A6E">
    <w:pPr>
      <w:pStyle w:val="Footer"/>
      <w:tabs>
        <w:tab w:val="right" w:pos="9638"/>
      </w:tabs>
    </w:pPr>
    <w:r w:rsidRPr="00D43A6E">
      <w:rPr>
        <w:b/>
        <w:sz w:val="18"/>
      </w:rPr>
      <w:fldChar w:fldCharType="begin"/>
    </w:r>
    <w:r w:rsidRPr="00D43A6E">
      <w:rPr>
        <w:b/>
        <w:sz w:val="18"/>
      </w:rPr>
      <w:instrText xml:space="preserve"> PAGE  \* MERGEFORMAT </w:instrText>
    </w:r>
    <w:r w:rsidRPr="00D43A6E">
      <w:rPr>
        <w:b/>
        <w:sz w:val="18"/>
      </w:rPr>
      <w:fldChar w:fldCharType="separate"/>
    </w:r>
    <w:r w:rsidRPr="00D43A6E">
      <w:rPr>
        <w:b/>
        <w:noProof/>
        <w:sz w:val="18"/>
      </w:rPr>
      <w:t>5</w:t>
    </w:r>
    <w:r w:rsidRPr="00D43A6E">
      <w:rPr>
        <w:b/>
        <w:sz w:val="18"/>
      </w:rPr>
      <w:fldChar w:fldCharType="end"/>
    </w:r>
    <w:r>
      <w:rPr>
        <w:sz w:val="18"/>
      </w:rPr>
      <w:tab/>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2EF129" w14:textId="0C098999" w:rsidR="0070081F" w:rsidRPr="008E671B" w:rsidRDefault="008E671B" w:rsidP="008E671B">
    <w:pPr>
      <w:pStyle w:val="Footer"/>
    </w:pPr>
    <w:r>
      <w:rPr>
        <w:noProof/>
      </w:rPr>
      <mc:AlternateContent>
        <mc:Choice Requires="wps">
          <w:drawing>
            <wp:anchor distT="0" distB="0" distL="114300" distR="114300" simplePos="0" relativeHeight="251658241" behindDoc="0" locked="0" layoutInCell="1" allowOverlap="1" wp14:anchorId="64F06262" wp14:editId="73D05E65">
              <wp:simplePos x="0" y="0"/>
              <wp:positionH relativeFrom="margin">
                <wp:posOffset>-431800</wp:posOffset>
              </wp:positionH>
              <wp:positionV relativeFrom="margin">
                <wp:posOffset>0</wp:posOffset>
              </wp:positionV>
              <wp:extent cx="222885" cy="6120130"/>
              <wp:effectExtent l="0" t="0" r="5715" b="1397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2885" cy="6120130"/>
                      </a:xfrm>
                      <a:prstGeom prst="rect">
                        <a:avLst/>
                      </a:prstGeom>
                      <a:noFill/>
                      <a:ln w="9525" cap="flat" cmpd="sng" algn="ctr">
                        <a:noFill/>
                        <a:prstDash val="solid"/>
                        <a:round/>
                        <a:headEnd type="none" w="med" len="med"/>
                        <a:tailEnd type="none" w="med" len="med"/>
                      </a:ln>
                      <a:extLst>
                        <a:ext uri="{91240B29-F687-4F45-9708-019B960494DF}">
                          <a14:hiddenLine xmlns:a14="http://schemas.microsoft.com/office/drawing/2010/main" w="9525" cap="flat" cmpd="sng" algn="ctr">
                            <a:solidFill>
                              <a:prstClr val="black"/>
                            </a:solidFill>
                            <a:prstDash val="solid"/>
                            <a:round/>
                            <a:headEnd type="none" w="med" len="med"/>
                            <a:tailEnd type="none" w="med" len="med"/>
                          </a14:hiddenLine>
                        </a:ext>
                      </a:extLst>
                    </wps:spPr>
                    <wps:txbx>
                      <w:txbxContent>
                        <w:p w14:paraId="450B6824" w14:textId="77777777" w:rsidR="008E671B" w:rsidRPr="008E671B" w:rsidRDefault="008E671B" w:rsidP="008E671B">
                          <w:pPr>
                            <w:pStyle w:val="Footer"/>
                            <w:tabs>
                              <w:tab w:val="right" w:pos="9638"/>
                            </w:tabs>
                            <w:rPr>
                              <w:b/>
                              <w:sz w:val="18"/>
                            </w:rPr>
                          </w:pPr>
                          <w:r>
                            <w:tab/>
                          </w:r>
                          <w:r w:rsidRPr="008E671B">
                            <w:rPr>
                              <w:b/>
                              <w:sz w:val="18"/>
                            </w:rPr>
                            <w:fldChar w:fldCharType="begin"/>
                          </w:r>
                          <w:r w:rsidRPr="008E671B">
                            <w:rPr>
                              <w:b/>
                              <w:sz w:val="18"/>
                            </w:rPr>
                            <w:instrText xml:space="preserve"> PAGE  \* MERGEFORMAT </w:instrText>
                          </w:r>
                          <w:r w:rsidRPr="008E671B">
                            <w:rPr>
                              <w:b/>
                              <w:sz w:val="18"/>
                            </w:rPr>
                            <w:fldChar w:fldCharType="separate"/>
                          </w:r>
                          <w:r>
                            <w:rPr>
                              <w:b/>
                              <w:sz w:val="18"/>
                            </w:rPr>
                            <w:t>9</w:t>
                          </w:r>
                          <w:r w:rsidRPr="008E671B">
                            <w:rPr>
                              <w:b/>
                              <w:sz w:val="18"/>
                            </w:rPr>
                            <w:fldChar w:fldCharType="end"/>
                          </w:r>
                        </w:p>
                        <w:p w14:paraId="66A47D02" w14:textId="77777777" w:rsidR="008E671B" w:rsidRDefault="008E671B"/>
                      </w:txbxContent>
                    </wps:txbx>
                    <wps:bodyPr rot="0" spcFirstLastPara="0" vertOverflow="overflow" horzOverflow="overflow" vert="vert" wrap="square" lIns="0" tIns="0" rIns="0" bIns="0" numCol="1" spcCol="0" rtlCol="0" fromWordArt="0" anchor="t" anchorCtr="0" forceAA="0" compatLnSpc="1">
                      <a:prstTxWarp prst="textNoShape">
                        <a:avLst/>
                      </a:prstTxWarp>
                      <a:noAutofit/>
                    </wps:bodyPr>
                  </wps:wsp>
                </a:graphicData>
              </a:graphic>
            </wp:anchor>
          </w:drawing>
        </mc:Choice>
        <mc:Fallback>
          <w:pict>
            <v:shapetype w14:anchorId="64F06262" id="_x0000_t202" coordsize="21600,21600" o:spt="202" path="m,l,21600r21600,l21600,xe">
              <v:stroke joinstyle="miter"/>
              <v:path gradientshapeok="t" o:connecttype="rect"/>
            </v:shapetype>
            <v:shape id="Text Box 5" o:spid="_x0000_s1029" type="#_x0000_t202" style="position:absolute;margin-left:-34pt;margin-top:0;width:17.55pt;height:481.9pt;z-index:251658241;visibility:visible;mso-wrap-style:square;mso-wrap-distance-left:9pt;mso-wrap-distance-top:0;mso-wrap-distance-right:9pt;mso-wrap-distance-bottom:0;mso-position-horizontal:absolute;mso-position-horizontal-relative:margin;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" filled="f" stroked="f">
              <v:stroke joinstyle="round"/>
              <v:path arrowok="t"/>
              <v:textbox style="layout-flow:vertical" inset="0,0,0,0">
                <w:txbxContent>
                  <w:p w14:paraId="450B6824" w14:textId="77777777" w:rsidR="008E671B" w:rsidRPr="008E671B" w:rsidRDefault="008E671B" w:rsidP="008E671B">
                    <w:pPr>
                      <w:pStyle w:val="Footer"/>
                      <w:tabs>
                        <w:tab w:val="right" w:pos="9638"/>
                      </w:tabs>
                      <w:rPr>
                        <w:b/>
                        <w:sz w:val="18"/>
                      </w:rPr>
                    </w:pPr>
                    <w:r>
                      <w:tab/>
                    </w:r>
                    <w:r w:rsidRPr="008E671B">
                      <w:rPr>
                        <w:b/>
                        <w:sz w:val="18"/>
                      </w:rPr>
                      <w:fldChar w:fldCharType="begin"/>
                    </w:r>
                    <w:r w:rsidRPr="008E671B">
                      <w:rPr>
                        <w:b/>
                        <w:sz w:val="18"/>
                      </w:rPr>
                      <w:instrText xml:space="preserve"> PAGE  \* MERGEFORMAT </w:instrText>
                    </w:r>
                    <w:r w:rsidRPr="008E671B">
                      <w:rPr>
                        <w:b/>
                        <w:sz w:val="18"/>
                      </w:rPr>
                      <w:fldChar w:fldCharType="separate"/>
                    </w:r>
                    <w:r>
                      <w:rPr>
                        <w:b/>
                        <w:sz w:val="18"/>
                      </w:rPr>
                      <w:t>9</w:t>
                    </w:r>
                    <w:r w:rsidRPr="008E671B">
                      <w:rPr>
                        <w:b/>
                        <w:sz w:val="18"/>
                      </w:rPr>
                      <w:fldChar w:fldCharType="end"/>
                    </w:r>
                  </w:p>
                  <w:p w14:paraId="66A47D02" w14:textId="77777777" w:rsidR="008E671B" w:rsidRDefault="008E671B"/>
                </w:txbxContent>
              </v:textbox>
              <w10:wrap anchorx="margin" anchory="margin"/>
            </v:shape>
          </w:pict>
        </mc:Fallback>
      </mc:AlternateConten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128F42" w14:textId="3E077AD1" w:rsidR="00F97551" w:rsidRPr="00D43A6E" w:rsidRDefault="00D43A6E" w:rsidP="00D43A6E">
    <w:pPr>
      <w:pStyle w:val="Footer"/>
      <w:tabs>
        <w:tab w:val="right" w:pos="9638"/>
      </w:tabs>
    </w:pPr>
    <w:r w:rsidRPr="00D43A6E">
      <w:rPr>
        <w:b/>
        <w:sz w:val="18"/>
      </w:rPr>
      <w:fldChar w:fldCharType="begin"/>
    </w:r>
    <w:r w:rsidRPr="00D43A6E">
      <w:rPr>
        <w:b/>
        <w:sz w:val="18"/>
      </w:rPr>
      <w:instrText xml:space="preserve"> PAGE  \* MERGEFORMAT </w:instrText>
    </w:r>
    <w:r w:rsidRPr="00D43A6E">
      <w:rPr>
        <w:b/>
        <w:sz w:val="18"/>
      </w:rPr>
      <w:fldChar w:fldCharType="separate"/>
    </w:r>
    <w:r w:rsidRPr="00D43A6E">
      <w:rPr>
        <w:b/>
        <w:noProof/>
        <w:sz w:val="18"/>
      </w:rPr>
      <w:t>17</w:t>
    </w:r>
    <w:r w:rsidRPr="00D43A6E">
      <w:rPr>
        <w:b/>
        <w:sz w:val="18"/>
      </w:rPr>
      <w:fldChar w:fldCharType="end"/>
    </w:r>
    <w:r>
      <w:rPr>
        <w:sz w:val="18"/>
      </w:rPr>
      <w:tab/>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45155C" w14:textId="6879F438" w:rsidR="00290634" w:rsidRPr="00D43A6E" w:rsidRDefault="00D43A6E" w:rsidP="00D43A6E">
    <w:pPr>
      <w:pStyle w:val="Footer"/>
      <w:tabs>
        <w:tab w:val="right" w:pos="9638"/>
      </w:tabs>
      <w:rPr>
        <w:b/>
        <w:sz w:val="18"/>
      </w:rPr>
    </w:pPr>
    <w:r>
      <w:tab/>
    </w:r>
    <w:r w:rsidRPr="00D43A6E">
      <w:rPr>
        <w:b/>
        <w:sz w:val="18"/>
      </w:rPr>
      <w:fldChar w:fldCharType="begin"/>
    </w:r>
    <w:r w:rsidRPr="00D43A6E">
      <w:rPr>
        <w:b/>
        <w:sz w:val="18"/>
      </w:rPr>
      <w:instrText xml:space="preserve"> PAGE  \* MERGEFORMAT </w:instrText>
    </w:r>
    <w:r w:rsidRPr="00D43A6E">
      <w:rPr>
        <w:b/>
        <w:sz w:val="18"/>
      </w:rPr>
      <w:fldChar w:fldCharType="separate"/>
    </w:r>
    <w:r w:rsidRPr="00D43A6E">
      <w:rPr>
        <w:b/>
        <w:noProof/>
        <w:sz w:val="18"/>
      </w:rPr>
      <w:t>16</w:t>
    </w:r>
    <w:r w:rsidRPr="00D43A6E">
      <w:rPr>
        <w:b/>
        <w:sz w:val="18"/>
      </w:rPr>
      <w:fldChar w:fldCharType="end"/>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B02617" w14:textId="57C6F373" w:rsidR="00461955" w:rsidRPr="00D43A6E" w:rsidRDefault="00D43A6E" w:rsidP="00D43A6E">
    <w:pPr>
      <w:pStyle w:val="Footer"/>
      <w:tabs>
        <w:tab w:val="right" w:pos="9638"/>
      </w:tabs>
      <w:rPr>
        <w:b/>
        <w:sz w:val="18"/>
      </w:rPr>
    </w:pPr>
    <w:r>
      <w:tab/>
    </w:r>
    <w:r w:rsidRPr="00D43A6E">
      <w:rPr>
        <w:b/>
        <w:sz w:val="18"/>
      </w:rPr>
      <w:fldChar w:fldCharType="begin"/>
    </w:r>
    <w:r w:rsidRPr="00D43A6E">
      <w:rPr>
        <w:b/>
        <w:sz w:val="18"/>
      </w:rPr>
      <w:instrText xml:space="preserve"> PAGE  \* MERGEFORMAT </w:instrText>
    </w:r>
    <w:r w:rsidRPr="00D43A6E">
      <w:rPr>
        <w:b/>
        <w:sz w:val="18"/>
      </w:rPr>
      <w:fldChar w:fldCharType="separate"/>
    </w:r>
    <w:r w:rsidRPr="00D43A6E">
      <w:rPr>
        <w:b/>
        <w:noProof/>
        <w:sz w:val="18"/>
      </w:rPr>
      <w:t>18</w:t>
    </w:r>
    <w:r w:rsidRPr="00D43A6E">
      <w:rPr>
        <w:b/>
        <w:sz w:val="18"/>
      </w:rPr>
      <w:fldChar w:fldCharType="end"/>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C8A6FE" w14:textId="6B846C3E" w:rsidR="00461955" w:rsidRPr="00D43A6E" w:rsidRDefault="00D43A6E" w:rsidP="00D43A6E">
    <w:pPr>
      <w:pStyle w:val="Footer"/>
      <w:tabs>
        <w:tab w:val="right" w:pos="9638"/>
      </w:tabs>
    </w:pPr>
    <w:r w:rsidRPr="00D43A6E">
      <w:rPr>
        <w:b/>
        <w:sz w:val="18"/>
      </w:rPr>
      <w:fldChar w:fldCharType="begin"/>
    </w:r>
    <w:r w:rsidRPr="00D43A6E">
      <w:rPr>
        <w:b/>
        <w:sz w:val="18"/>
      </w:rPr>
      <w:instrText xml:space="preserve"> PAGE  \* MERGEFORMAT </w:instrText>
    </w:r>
    <w:r w:rsidRPr="00D43A6E">
      <w:rPr>
        <w:b/>
        <w:sz w:val="18"/>
      </w:rPr>
      <w:fldChar w:fldCharType="separate"/>
    </w:r>
    <w:r w:rsidRPr="00D43A6E">
      <w:rPr>
        <w:b/>
        <w:noProof/>
        <w:sz w:val="18"/>
      </w:rPr>
      <w:t>22</w:t>
    </w:r>
    <w:r w:rsidRPr="00D43A6E">
      <w:rPr>
        <w:b/>
        <w:sz w:val="18"/>
      </w:rPr>
      <w:fldChar w:fldCharType="end"/>
    </w:r>
    <w:r>
      <w:rPr>
        <w:sz w:val="18"/>
      </w:rPr>
      <w:tab/>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DB6D09" w14:textId="6EF5FA8E" w:rsidR="00461955" w:rsidRPr="00D43A6E" w:rsidRDefault="00D43A6E" w:rsidP="00D43A6E">
    <w:pPr>
      <w:pStyle w:val="Footer"/>
      <w:tabs>
        <w:tab w:val="right" w:pos="9638"/>
      </w:tabs>
      <w:rPr>
        <w:b/>
        <w:sz w:val="18"/>
      </w:rPr>
    </w:pPr>
    <w:r>
      <w:tab/>
    </w:r>
    <w:r w:rsidRPr="00D43A6E">
      <w:rPr>
        <w:b/>
        <w:sz w:val="18"/>
      </w:rPr>
      <w:fldChar w:fldCharType="begin"/>
    </w:r>
    <w:r w:rsidRPr="00D43A6E">
      <w:rPr>
        <w:b/>
        <w:sz w:val="18"/>
      </w:rPr>
      <w:instrText xml:space="preserve"> PAGE  \* MERGEFORMAT </w:instrText>
    </w:r>
    <w:r w:rsidRPr="00D43A6E">
      <w:rPr>
        <w:b/>
        <w:sz w:val="18"/>
      </w:rPr>
      <w:fldChar w:fldCharType="separate"/>
    </w:r>
    <w:r w:rsidRPr="00D43A6E">
      <w:rPr>
        <w:b/>
        <w:noProof/>
        <w:sz w:val="18"/>
      </w:rPr>
      <w:t>23</w:t>
    </w:r>
    <w:r w:rsidRPr="00D43A6E">
      <w:rPr>
        <w:b/>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26416C" w14:textId="5FD3BBD6" w:rsidR="00862151" w:rsidRPr="00D43A6E" w:rsidRDefault="00D43A6E" w:rsidP="00D43A6E">
    <w:pPr>
      <w:pStyle w:val="Footer"/>
      <w:tabs>
        <w:tab w:val="right" w:pos="9638"/>
      </w:tabs>
      <w:rPr>
        <w:b/>
        <w:sz w:val="18"/>
      </w:rPr>
    </w:pPr>
    <w:r>
      <w:tab/>
    </w:r>
    <w:r w:rsidRPr="00D43A6E">
      <w:rPr>
        <w:b/>
        <w:sz w:val="18"/>
      </w:rPr>
      <w:fldChar w:fldCharType="begin"/>
    </w:r>
    <w:r w:rsidRPr="00D43A6E">
      <w:rPr>
        <w:b/>
        <w:sz w:val="18"/>
      </w:rPr>
      <w:instrText xml:space="preserve"> PAGE  \* MERGEFORMAT </w:instrText>
    </w:r>
    <w:r w:rsidRPr="00D43A6E">
      <w:rPr>
        <w:b/>
        <w:sz w:val="18"/>
      </w:rPr>
      <w:fldChar w:fldCharType="separate"/>
    </w:r>
    <w:r w:rsidRPr="00D43A6E">
      <w:rPr>
        <w:b/>
        <w:noProof/>
        <w:sz w:val="18"/>
      </w:rPr>
      <w:t>4</w:t>
    </w:r>
    <w:r w:rsidRPr="00D43A6E">
      <w:rPr>
        <w:b/>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023F39" w14:textId="65F1D26F" w:rsidR="009846B3" w:rsidRPr="00461955" w:rsidRDefault="00461955" w:rsidP="00461955">
    <w:pPr>
      <w:pStyle w:val="Footer"/>
      <w:tabs>
        <w:tab w:val="right" w:pos="9638"/>
      </w:tabs>
    </w:pPr>
    <w:r w:rsidRPr="00461955">
      <w:rPr>
        <w:b/>
        <w:sz w:val="18"/>
      </w:rPr>
      <w:fldChar w:fldCharType="begin"/>
    </w:r>
    <w:r w:rsidRPr="00461955">
      <w:rPr>
        <w:b/>
        <w:sz w:val="18"/>
      </w:rPr>
      <w:instrText xml:space="preserve"> PAGE  \* MERGEFORMAT </w:instrText>
    </w:r>
    <w:r w:rsidRPr="00461955">
      <w:rPr>
        <w:b/>
        <w:sz w:val="18"/>
      </w:rPr>
      <w:fldChar w:fldCharType="separate"/>
    </w:r>
    <w:r w:rsidRPr="00461955">
      <w:rPr>
        <w:b/>
        <w:noProof/>
        <w:sz w:val="18"/>
      </w:rPr>
      <w:t>1</w:t>
    </w:r>
    <w:r w:rsidRPr="00461955">
      <w:rPr>
        <w:b/>
        <w:sz w:val="18"/>
      </w:rPr>
      <w:fldChar w:fldCharType="end"/>
    </w:r>
    <w:r>
      <w:rPr>
        <w:sz w:val="18"/>
      </w:rP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5EDF09" w14:textId="5CC1348C" w:rsidR="009846B3" w:rsidRPr="00461955" w:rsidRDefault="00461955" w:rsidP="00461955">
    <w:pPr>
      <w:pStyle w:val="Footer"/>
      <w:tabs>
        <w:tab w:val="right" w:pos="9638"/>
      </w:tabs>
      <w:rPr>
        <w:b/>
        <w:sz w:val="18"/>
      </w:rPr>
    </w:pPr>
    <w:r>
      <w:tab/>
    </w:r>
    <w:r w:rsidRPr="00461955">
      <w:rPr>
        <w:b/>
        <w:sz w:val="18"/>
      </w:rPr>
      <w:fldChar w:fldCharType="begin"/>
    </w:r>
    <w:r w:rsidRPr="00461955">
      <w:rPr>
        <w:b/>
        <w:sz w:val="18"/>
      </w:rPr>
      <w:instrText xml:space="preserve"> PAGE  \* MERGEFORMAT </w:instrText>
    </w:r>
    <w:r w:rsidR="00000000">
      <w:rPr>
        <w:b/>
        <w:sz w:val="18"/>
      </w:rPr>
      <w:fldChar w:fldCharType="separate"/>
    </w:r>
    <w:r w:rsidRPr="00461955">
      <w:rPr>
        <w:b/>
        <w:sz w:val="18"/>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331BFC" w14:textId="2A354505" w:rsidR="00461955" w:rsidRPr="00D43A6E" w:rsidRDefault="00D43A6E" w:rsidP="00D43A6E">
    <w:pPr>
      <w:pStyle w:val="Footer"/>
      <w:tabs>
        <w:tab w:val="right" w:pos="9638"/>
      </w:tabs>
    </w:pPr>
    <w:r w:rsidRPr="00D43A6E">
      <w:rPr>
        <w:b/>
        <w:sz w:val="18"/>
      </w:rPr>
      <w:fldChar w:fldCharType="begin"/>
    </w:r>
    <w:r w:rsidRPr="00D43A6E">
      <w:rPr>
        <w:b/>
        <w:sz w:val="18"/>
      </w:rPr>
      <w:instrText xml:space="preserve"> PAGE  \* MERGEFORMAT </w:instrText>
    </w:r>
    <w:r w:rsidRPr="00D43A6E">
      <w:rPr>
        <w:b/>
        <w:sz w:val="18"/>
      </w:rPr>
      <w:fldChar w:fldCharType="separate"/>
    </w:r>
    <w:r w:rsidRPr="00D43A6E">
      <w:rPr>
        <w:b/>
        <w:noProof/>
        <w:sz w:val="18"/>
      </w:rPr>
      <w:t>7</w:t>
    </w:r>
    <w:r w:rsidRPr="00D43A6E">
      <w:rPr>
        <w:b/>
        <w:sz w:val="18"/>
      </w:rPr>
      <w:fldChar w:fldCharType="end"/>
    </w:r>
    <w:r>
      <w:rPr>
        <w:sz w:val="18"/>
      </w:rPr>
      <w:tab/>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6C650B" w14:textId="7A7A6C98" w:rsidR="00461955" w:rsidRPr="00D43A6E" w:rsidRDefault="00D43A6E" w:rsidP="00D43A6E">
    <w:pPr>
      <w:pStyle w:val="Footer"/>
      <w:tabs>
        <w:tab w:val="right" w:pos="9638"/>
      </w:tabs>
      <w:rPr>
        <w:b/>
        <w:sz w:val="18"/>
      </w:rPr>
    </w:pPr>
    <w:r>
      <w:tab/>
    </w:r>
    <w:r w:rsidRPr="00D43A6E">
      <w:rPr>
        <w:b/>
        <w:sz w:val="18"/>
      </w:rPr>
      <w:fldChar w:fldCharType="begin"/>
    </w:r>
    <w:r w:rsidRPr="00D43A6E">
      <w:rPr>
        <w:b/>
        <w:sz w:val="18"/>
      </w:rPr>
      <w:instrText xml:space="preserve"> PAGE  \* MERGEFORMAT </w:instrText>
    </w:r>
    <w:r w:rsidRPr="00D43A6E">
      <w:rPr>
        <w:b/>
        <w:sz w:val="18"/>
      </w:rPr>
      <w:fldChar w:fldCharType="separate"/>
    </w:r>
    <w:r w:rsidRPr="00D43A6E">
      <w:rPr>
        <w:b/>
        <w:noProof/>
        <w:sz w:val="18"/>
      </w:rPr>
      <w:t>8</w:t>
    </w:r>
    <w:r w:rsidRPr="00D43A6E">
      <w:rPr>
        <w:b/>
        <w:sz w:val="18"/>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C6D7FB" w14:textId="1D5E2A5E" w:rsidR="00B16E10" w:rsidRPr="00D43A6E" w:rsidRDefault="00D43A6E" w:rsidP="00D43A6E">
    <w:pPr>
      <w:pStyle w:val="Footer"/>
      <w:tabs>
        <w:tab w:val="right" w:pos="9638"/>
      </w:tabs>
    </w:pPr>
    <w:r w:rsidRPr="00D43A6E">
      <w:rPr>
        <w:b/>
        <w:sz w:val="18"/>
      </w:rPr>
      <w:fldChar w:fldCharType="begin"/>
    </w:r>
    <w:r w:rsidRPr="00D43A6E">
      <w:rPr>
        <w:b/>
        <w:sz w:val="18"/>
      </w:rPr>
      <w:instrText xml:space="preserve"> PAGE  \* MERGEFORMAT </w:instrText>
    </w:r>
    <w:r w:rsidRPr="00D43A6E">
      <w:rPr>
        <w:b/>
        <w:sz w:val="18"/>
      </w:rPr>
      <w:fldChar w:fldCharType="separate"/>
    </w:r>
    <w:r w:rsidRPr="00D43A6E">
      <w:rPr>
        <w:b/>
        <w:noProof/>
        <w:sz w:val="18"/>
      </w:rPr>
      <w:t>9</w:t>
    </w:r>
    <w:r w:rsidRPr="00D43A6E">
      <w:rPr>
        <w:b/>
        <w:sz w:val="18"/>
      </w:rPr>
      <w:fldChar w:fldCharType="end"/>
    </w:r>
    <w:r>
      <w:rPr>
        <w:sz w:val="18"/>
      </w:rPr>
      <w:tab/>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D1E8C" w14:textId="53939E77" w:rsidR="003641B4" w:rsidRPr="00D43A6E" w:rsidRDefault="00D43A6E" w:rsidP="00D43A6E">
    <w:pPr>
      <w:pStyle w:val="Footer"/>
      <w:tabs>
        <w:tab w:val="right" w:pos="9638"/>
      </w:tabs>
      <w:rPr>
        <w:b/>
        <w:sz w:val="18"/>
      </w:rPr>
    </w:pPr>
    <w:r>
      <w:tab/>
    </w:r>
    <w:r w:rsidRPr="00D43A6E">
      <w:rPr>
        <w:b/>
        <w:sz w:val="18"/>
      </w:rPr>
      <w:fldChar w:fldCharType="begin"/>
    </w:r>
    <w:r w:rsidRPr="00D43A6E">
      <w:rPr>
        <w:b/>
        <w:sz w:val="18"/>
      </w:rPr>
      <w:instrText xml:space="preserve"> PAGE  \* MERGEFORMAT </w:instrText>
    </w:r>
    <w:r w:rsidRPr="00D43A6E">
      <w:rPr>
        <w:b/>
        <w:sz w:val="18"/>
      </w:rPr>
      <w:fldChar w:fldCharType="separate"/>
    </w:r>
    <w:r w:rsidRPr="00D43A6E">
      <w:rPr>
        <w:b/>
        <w:noProof/>
        <w:sz w:val="18"/>
      </w:rPr>
      <w:t>10</w:t>
    </w:r>
    <w:r w:rsidRPr="00D43A6E">
      <w:rPr>
        <w:b/>
        <w:sz w:val="18"/>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88BA3F" w14:textId="3885AA1C" w:rsidR="0070081F" w:rsidRPr="00D43A6E" w:rsidRDefault="008F4D12" w:rsidP="00D43A6E">
    <w:pPr>
      <w:pStyle w:val="Footer"/>
    </w:pPr>
    <w:r>
      <w:rPr>
        <w:noProof/>
      </w:rPr>
      <mc:AlternateContent>
        <mc:Choice Requires="wps">
          <w:drawing>
            <wp:anchor distT="0" distB="0" distL="114300" distR="114300" simplePos="0" relativeHeight="251658243" behindDoc="0" locked="0" layoutInCell="1" allowOverlap="1" wp14:anchorId="63D97E00" wp14:editId="4FC0468C">
              <wp:simplePos x="0" y="0"/>
              <wp:positionH relativeFrom="margin">
                <wp:posOffset>-431800</wp:posOffset>
              </wp:positionH>
              <wp:positionV relativeFrom="margin">
                <wp:posOffset>0</wp:posOffset>
              </wp:positionV>
              <wp:extent cx="222885" cy="6120130"/>
              <wp:effectExtent l="0" t="0" r="5715" b="1397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2885" cy="6120130"/>
                      </a:xfrm>
                      <a:prstGeom prst="rect">
                        <a:avLst/>
                      </a:prstGeom>
                      <a:noFill/>
                      <a:ln w="9525" cap="flat" cmpd="sng" algn="ctr">
                        <a:noFill/>
                        <a:prstDash val="solid"/>
                        <a:round/>
                        <a:headEnd type="none" w="med" len="med"/>
                        <a:tailEnd type="none" w="med" len="med"/>
                      </a:ln>
                      <a:extLst>
                        <a:ext uri="{91240B29-F687-4F45-9708-019B960494DF}">
                          <a14:hiddenLine xmlns:a14="http://schemas.microsoft.com/office/drawing/2010/main" w="9525" cap="flat" cmpd="sng" algn="ctr">
                            <a:solidFill>
                              <a:prstClr val="black"/>
                            </a:solidFill>
                            <a:prstDash val="solid"/>
                            <a:round/>
                            <a:headEnd type="none" w="med" len="med"/>
                            <a:tailEnd type="none" w="med" len="med"/>
                          </a14:hiddenLine>
                        </a:ext>
                      </a:extLst>
                    </wps:spPr>
                    <wps:txbx>
                      <w:txbxContent>
                        <w:p w14:paraId="568B7E41" w14:textId="77777777" w:rsidR="008F4D12" w:rsidRPr="008F4D12" w:rsidRDefault="008F4D12" w:rsidP="008F4D12">
                          <w:pPr>
                            <w:pStyle w:val="Footer"/>
                            <w:tabs>
                              <w:tab w:val="right" w:pos="9638"/>
                            </w:tabs>
                          </w:pPr>
                          <w:r w:rsidRPr="008F4D12">
                            <w:rPr>
                              <w:b/>
                              <w:sz w:val="18"/>
                            </w:rPr>
                            <w:fldChar w:fldCharType="begin"/>
                          </w:r>
                          <w:r w:rsidRPr="008F4D12">
                            <w:rPr>
                              <w:b/>
                              <w:sz w:val="18"/>
                            </w:rPr>
                            <w:instrText xml:space="preserve"> PAGE  \* MERGEFORMAT </w:instrText>
                          </w:r>
                          <w:r w:rsidRPr="008F4D12">
                            <w:rPr>
                              <w:b/>
                              <w:sz w:val="18"/>
                            </w:rPr>
                            <w:fldChar w:fldCharType="separate"/>
                          </w:r>
                          <w:r>
                            <w:rPr>
                              <w:b/>
                              <w:sz w:val="18"/>
                            </w:rPr>
                            <w:t>12</w:t>
                          </w:r>
                          <w:r w:rsidRPr="008F4D12">
                            <w:rPr>
                              <w:b/>
                              <w:sz w:val="18"/>
                            </w:rPr>
                            <w:fldChar w:fldCharType="end"/>
                          </w:r>
                          <w:r>
                            <w:rPr>
                              <w:sz w:val="18"/>
                            </w:rPr>
                            <w:tab/>
                          </w:r>
                        </w:p>
                        <w:p w14:paraId="2CA849F2" w14:textId="77777777" w:rsidR="008F4D12" w:rsidRDefault="008F4D12"/>
                      </w:txbxContent>
                    </wps:txbx>
                    <wps:bodyPr rot="0" spcFirstLastPara="0" vertOverflow="overflow" horzOverflow="overflow" vert="vert" wrap="square" lIns="0" tIns="0" rIns="0" bIns="0" numCol="1" spcCol="0" rtlCol="0" fromWordArt="0" anchor="t" anchorCtr="0" forceAA="0" compatLnSpc="1">
                      <a:prstTxWarp prst="textNoShape">
                        <a:avLst/>
                      </a:prstTxWarp>
                      <a:noAutofit/>
                    </wps:bodyPr>
                  </wps:wsp>
                </a:graphicData>
              </a:graphic>
            </wp:anchor>
          </w:drawing>
        </mc:Choice>
        <mc:Fallback>
          <w:pict>
            <v:shapetype w14:anchorId="63D97E00" id="_x0000_t202" coordsize="21600,21600" o:spt="202" path="m,l,21600r21600,l21600,xe">
              <v:stroke joinstyle="miter"/>
              <v:path gradientshapeok="t" o:connecttype="rect"/>
            </v:shapetype>
            <v:shape id="Text Box 7" o:spid="_x0000_s1028" type="#_x0000_t202" style="position:absolute;margin-left:-34pt;margin-top:0;width:17.55pt;height:481.9pt;z-index:251658243;visibility:visible;mso-wrap-style:square;mso-wrap-distance-left:9pt;mso-wrap-distance-top:0;mso-wrap-distance-right:9pt;mso-wrap-distance-bottom:0;mso-position-horizontal:absolute;mso-position-horizontal-relative:margin;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" filled="f" stroked="f">
              <v:stroke joinstyle="round"/>
              <v:path arrowok="t"/>
              <v:textbox style="layout-flow:vertical" inset="0,0,0,0">
                <w:txbxContent>
                  <w:p w14:paraId="568B7E41" w14:textId="77777777" w:rsidR="008F4D12" w:rsidRPr="008F4D12" w:rsidRDefault="008F4D12" w:rsidP="008F4D12">
                    <w:pPr>
                      <w:pStyle w:val="Footer"/>
                      <w:tabs>
                        <w:tab w:val="right" w:pos="9638"/>
                      </w:tabs>
                    </w:pPr>
                    <w:r w:rsidRPr="008F4D12">
                      <w:rPr>
                        <w:b/>
                        <w:sz w:val="18"/>
                      </w:rPr>
                      <w:fldChar w:fldCharType="begin"/>
                    </w:r>
                    <w:r w:rsidRPr="008F4D12">
                      <w:rPr>
                        <w:b/>
                        <w:sz w:val="18"/>
                      </w:rPr>
                      <w:instrText xml:space="preserve"> PAGE  \* MERGEFORMAT </w:instrText>
                    </w:r>
                    <w:r w:rsidRPr="008F4D12">
                      <w:rPr>
                        <w:b/>
                        <w:sz w:val="18"/>
                      </w:rPr>
                      <w:fldChar w:fldCharType="separate"/>
                    </w:r>
                    <w:r>
                      <w:rPr>
                        <w:b/>
                        <w:sz w:val="18"/>
                      </w:rPr>
                      <w:t>12</w:t>
                    </w:r>
                    <w:r w:rsidRPr="008F4D12">
                      <w:rPr>
                        <w:b/>
                        <w:sz w:val="18"/>
                      </w:rPr>
                      <w:fldChar w:fldCharType="end"/>
                    </w:r>
                    <w:r>
                      <w:rPr>
                        <w:sz w:val="18"/>
                      </w:rPr>
                      <w:tab/>
                    </w:r>
                  </w:p>
                  <w:p w14:paraId="2CA849F2" w14:textId="77777777" w:rsidR="008F4D12" w:rsidRDefault="008F4D12"/>
                </w:txbxContent>
              </v:textbox>
              <w10:wrap anchorx="margin" anchory="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FE21F3" w14:textId="77777777" w:rsidR="00D73F37" w:rsidRDefault="00D73F37">
      <w:r>
        <w:separator/>
      </w:r>
    </w:p>
  </w:footnote>
  <w:footnote w:type="continuationSeparator" w:id="0">
    <w:p w14:paraId="5941330F" w14:textId="77777777" w:rsidR="00D73F37" w:rsidRDefault="00D73F37">
      <w:r>
        <w:continuationSeparator/>
      </w:r>
    </w:p>
    <w:p w14:paraId="35509F17" w14:textId="77777777" w:rsidR="00D73F37" w:rsidRDefault="00D73F37"/>
  </w:footnote>
  <w:footnote w:type="continuationNotice" w:id="1">
    <w:p w14:paraId="5D486AB9" w14:textId="77777777" w:rsidR="00D73F37" w:rsidRDefault="00D73F37">
      <w:pPr>
        <w:spacing w:line="240" w:lineRule="auto"/>
      </w:pPr>
    </w:p>
  </w:footnote>
  <w:footnote w:id="2">
    <w:p w14:paraId="2C152EE5" w14:textId="478F034B" w:rsidR="00007264" w:rsidRPr="002A24C3" w:rsidRDefault="00007264" w:rsidP="00007264">
      <w:pPr>
        <w:pStyle w:val="FootnoteText"/>
        <w:widowControl w:val="0"/>
        <w:tabs>
          <w:tab w:val="clear" w:pos="1021"/>
          <w:tab w:val="right" w:pos="1020"/>
        </w:tabs>
        <w:rPr>
          <w:lang w:val="en-US"/>
        </w:rPr>
      </w:pPr>
      <w:r>
        <w:tab/>
      </w:r>
      <w:r>
        <w:rPr>
          <w:rStyle w:val="FootnoteReference"/>
        </w:rPr>
        <w:footnoteRef/>
      </w:r>
      <w:r>
        <w:tab/>
        <w:t xml:space="preserve">As per decision </w:t>
      </w:r>
      <w:hyperlink r:id="rId1" w:history="1">
        <w:r w:rsidRPr="0040026E">
          <w:rPr>
            <w:rStyle w:val="Hyperlink"/>
          </w:rPr>
          <w:t>3/CMP.1</w:t>
        </w:r>
      </w:hyperlink>
      <w:r>
        <w:t xml:space="preserve">, para. 28. </w:t>
      </w:r>
    </w:p>
  </w:footnote>
  <w:footnote w:id="3">
    <w:p w14:paraId="43B4E4ED" w14:textId="77777777" w:rsidR="00007264" w:rsidRPr="002E1DE1" w:rsidRDefault="00007264" w:rsidP="00007264">
      <w:pPr>
        <w:pStyle w:val="FootnoteText"/>
        <w:rPr>
          <w:lang w:val="en-US"/>
        </w:rPr>
      </w:pPr>
      <w:r>
        <w:tab/>
      </w:r>
      <w:r>
        <w:rPr>
          <w:rStyle w:val="FootnoteReference"/>
        </w:rPr>
        <w:footnoteRef/>
      </w:r>
      <w:r>
        <w:tab/>
      </w:r>
      <w:r w:rsidRPr="002E1DE1">
        <w:t xml:space="preserve">The total number of project activities registered as at </w:t>
      </w:r>
      <w:r>
        <w:t>18</w:t>
      </w:r>
      <w:r w:rsidRPr="002E1DE1">
        <w:t xml:space="preserve"> November 2024 was 7,864, of which 2</w:t>
      </w:r>
      <w:r>
        <w:t>7</w:t>
      </w:r>
      <w:r w:rsidRPr="002E1DE1">
        <w:t xml:space="preserve"> had been deregistered. Additionally, 26 project activities were recorded as provisional with a crediting period starting on or after 1 January 2021.</w:t>
      </w:r>
    </w:p>
  </w:footnote>
  <w:footnote w:id="4">
    <w:p w14:paraId="0DBF3ADB" w14:textId="77777777" w:rsidR="00007264" w:rsidRPr="00255793" w:rsidRDefault="00007264" w:rsidP="00007264">
      <w:pPr>
        <w:pStyle w:val="FootnoteText"/>
        <w:rPr>
          <w:lang w:val="en-US"/>
        </w:rPr>
      </w:pPr>
      <w:r w:rsidRPr="002E1DE1">
        <w:tab/>
      </w:r>
      <w:r w:rsidRPr="002E1DE1">
        <w:rPr>
          <w:rStyle w:val="FootnoteReference"/>
        </w:rPr>
        <w:footnoteRef/>
      </w:r>
      <w:r w:rsidRPr="002E1DE1">
        <w:tab/>
      </w:r>
      <w:r w:rsidRPr="002E1DE1">
        <w:tab/>
        <w:t xml:space="preserve">The total number of programmes of activities registered as </w:t>
      </w:r>
      <w:r>
        <w:t>at 18</w:t>
      </w:r>
      <w:r w:rsidRPr="002E1DE1">
        <w:t xml:space="preserve"> November 2024 was 353; additionally, 10 programmes of activities were recorded as provisional with a programme of activity period starting on or after 1 January 2021.</w:t>
      </w:r>
      <w:r>
        <w:t xml:space="preserve"> </w:t>
      </w:r>
    </w:p>
  </w:footnote>
  <w:footnote w:id="5">
    <w:p w14:paraId="7C41A677" w14:textId="684204E2" w:rsidR="00007264" w:rsidRPr="002F48FA" w:rsidRDefault="00007264" w:rsidP="00007264">
      <w:pPr>
        <w:pStyle w:val="FootnoteText"/>
      </w:pPr>
      <w:r>
        <w:tab/>
      </w:r>
      <w:r>
        <w:rPr>
          <w:rStyle w:val="FootnoteReference"/>
        </w:rPr>
        <w:footnoteRef/>
      </w:r>
      <w:r>
        <w:tab/>
      </w:r>
      <w:hyperlink r:id="rId2" w:history="1">
        <w:r w:rsidRPr="00DA578A">
          <w:rPr>
            <w:rStyle w:val="Hyperlink"/>
          </w:rPr>
          <w:t>FCCC/KP/CMP/2024/3</w:t>
        </w:r>
      </w:hyperlink>
      <w:r w:rsidRPr="003A7C1D">
        <w:t xml:space="preserve"> and </w:t>
      </w:r>
      <w:hyperlink r:id="rId3" w:history="1">
        <w:r w:rsidRPr="003A7C1D">
          <w:rPr>
            <w:rStyle w:val="Hyperlink"/>
          </w:rPr>
          <w:t>Add.1</w:t>
        </w:r>
      </w:hyperlink>
      <w:r w:rsidRPr="003A7C1D">
        <w:t>.</w:t>
      </w:r>
      <w:r>
        <w:t xml:space="preserve"> </w:t>
      </w:r>
    </w:p>
  </w:footnote>
  <w:footnote w:id="6">
    <w:p w14:paraId="234A44C2" w14:textId="77777777" w:rsidR="000973BA" w:rsidRPr="00917DA7" w:rsidRDefault="000973BA" w:rsidP="000973BA">
      <w:pPr>
        <w:pStyle w:val="FootnoteText"/>
        <w:widowControl w:val="0"/>
        <w:tabs>
          <w:tab w:val="clear" w:pos="1021"/>
          <w:tab w:val="right" w:pos="1020"/>
        </w:tabs>
        <w:rPr>
          <w:lang w:val="en-US"/>
        </w:rPr>
      </w:pPr>
      <w:r>
        <w:tab/>
      </w:r>
      <w:r>
        <w:rPr>
          <w:rStyle w:val="FootnoteReference"/>
        </w:rPr>
        <w:footnoteRef/>
      </w:r>
      <w:r>
        <w:tab/>
        <w:t xml:space="preserve">See Executive Board document CDM-EB123, para. 37. </w:t>
      </w:r>
    </w:p>
  </w:footnote>
  <w:footnote w:id="7">
    <w:p w14:paraId="004D12CA" w14:textId="43AA3698" w:rsidR="0085225E" w:rsidRPr="00AA51E5" w:rsidRDefault="0085225E" w:rsidP="0085225E">
      <w:pPr>
        <w:pStyle w:val="FootnoteText"/>
        <w:widowControl w:val="0"/>
        <w:ind w:left="0" w:firstLine="0"/>
        <w:rPr>
          <w:lang w:val="en-US"/>
        </w:rPr>
      </w:pPr>
      <w:r>
        <w:tab/>
      </w:r>
      <w:r>
        <w:rPr>
          <w:rStyle w:val="FootnoteReference"/>
        </w:rPr>
        <w:footnoteRef/>
      </w:r>
      <w:r>
        <w:tab/>
      </w:r>
      <w:hyperlink r:id="rId4" w:history="1">
        <w:r w:rsidRPr="00E54F90">
          <w:rPr>
            <w:rStyle w:val="Hyperlink"/>
          </w:rPr>
          <w:t>FCCC/KP/CMP/2024/4</w:t>
        </w:r>
        <w:r w:rsidR="00E54F90" w:rsidRPr="00E54F90">
          <w:rPr>
            <w:rStyle w:val="Hyperlink"/>
          </w:rPr>
          <w:t>–</w:t>
        </w:r>
        <w:r w:rsidRPr="00E54F90">
          <w:rPr>
            <w:rStyle w:val="Hyperlink"/>
          </w:rPr>
          <w:t>FCCC/PA/CMA/2024/6</w:t>
        </w:r>
      </w:hyperlink>
      <w:r w:rsidRPr="00DD318B">
        <w:rPr>
          <w:rStyle w:val="Hyperlink"/>
          <w:u w:val="none"/>
        </w:rPr>
        <w:t xml:space="preserve"> </w:t>
      </w:r>
      <w:r w:rsidRPr="00DD318B">
        <w:rPr>
          <w:rStyle w:val="Hyperlink"/>
          <w:color w:val="auto"/>
          <w:u w:val="none"/>
        </w:rPr>
        <w:t xml:space="preserve">and </w:t>
      </w:r>
      <w:hyperlink r:id="rId5" w:history="1">
        <w:r w:rsidRPr="00B53C1D">
          <w:rPr>
            <w:rStyle w:val="Hyperlink"/>
          </w:rPr>
          <w:t>Add.1</w:t>
        </w:r>
      </w:hyperlink>
      <w:r>
        <w:t xml:space="preserve">.  </w:t>
      </w:r>
    </w:p>
  </w:footnote>
  <w:footnote w:id="8">
    <w:p w14:paraId="27D67EAA" w14:textId="77777777" w:rsidR="0085225E" w:rsidRPr="00AA51E5" w:rsidRDefault="0085225E" w:rsidP="0085225E">
      <w:pPr>
        <w:pStyle w:val="FootnoteText"/>
        <w:widowControl w:val="0"/>
        <w:tabs>
          <w:tab w:val="clear" w:pos="1021"/>
          <w:tab w:val="right" w:pos="1020"/>
        </w:tabs>
        <w:rPr>
          <w:lang w:val="en-US"/>
        </w:rPr>
      </w:pPr>
      <w:r>
        <w:tab/>
      </w:r>
      <w:r>
        <w:rPr>
          <w:rStyle w:val="FootnoteReference"/>
        </w:rPr>
        <w:footnoteRef/>
      </w:r>
      <w:r>
        <w:tab/>
      </w:r>
      <w:r w:rsidRPr="00313AEC">
        <w:t xml:space="preserve">Available at </w:t>
      </w:r>
      <w:hyperlink r:id="rId6" w:history="1">
        <w:r w:rsidRPr="00423BF6">
          <w:rPr>
            <w:rStyle w:val="Hyperlink"/>
          </w:rPr>
          <w:t>https://www.adaptation-fund.org/document/medium-term-strategy-2023-2027</w:t>
        </w:r>
      </w:hyperlink>
      <w:r w:rsidRPr="00313AEC">
        <w:t>/.</w:t>
      </w:r>
      <w:r>
        <w:t xml:space="preserve"> </w:t>
      </w:r>
    </w:p>
  </w:footnote>
  <w:footnote w:id="9">
    <w:p w14:paraId="6AC60AD6" w14:textId="77777777" w:rsidR="0085225E" w:rsidRPr="004069A1" w:rsidRDefault="0085225E" w:rsidP="0085225E">
      <w:pPr>
        <w:pStyle w:val="FootnoteText"/>
        <w:widowControl w:val="0"/>
        <w:tabs>
          <w:tab w:val="clear" w:pos="1021"/>
          <w:tab w:val="right" w:pos="1020"/>
        </w:tabs>
        <w:rPr>
          <w:lang w:val="en-US"/>
        </w:rPr>
      </w:pPr>
      <w:r>
        <w:tab/>
      </w:r>
      <w:r>
        <w:rPr>
          <w:rStyle w:val="FootnoteReference"/>
        </w:rPr>
        <w:footnoteRef/>
      </w:r>
      <w:r w:rsidRPr="00E73A94">
        <w:rPr>
          <w:lang w:val="en-US"/>
        </w:rPr>
        <w:tab/>
      </w:r>
      <w:r>
        <w:rPr>
          <w:lang w:val="en-US"/>
        </w:rPr>
        <w:t xml:space="preserve">See Adaptation Fund Board document </w:t>
      </w:r>
      <w:r w:rsidRPr="006D6D21">
        <w:rPr>
          <w:lang w:val="en-US"/>
        </w:rPr>
        <w:t xml:space="preserve">AFB/B.40/5/Rev.1. </w:t>
      </w:r>
    </w:p>
  </w:footnote>
  <w:footnote w:id="10">
    <w:p w14:paraId="4A9A9C1E" w14:textId="3EBB7704" w:rsidR="0085225E" w:rsidRPr="00982E94" w:rsidRDefault="0085225E" w:rsidP="0085225E">
      <w:pPr>
        <w:pStyle w:val="FootnoteText"/>
        <w:widowControl w:val="0"/>
        <w:tabs>
          <w:tab w:val="clear" w:pos="1021"/>
          <w:tab w:val="right" w:pos="1020"/>
        </w:tabs>
        <w:rPr>
          <w:lang w:val="en-US"/>
        </w:rPr>
      </w:pPr>
      <w:r w:rsidRPr="006D6D21">
        <w:rPr>
          <w:lang w:val="en-US"/>
        </w:rPr>
        <w:tab/>
      </w:r>
      <w:r>
        <w:rPr>
          <w:rStyle w:val="FootnoteReference"/>
        </w:rPr>
        <w:footnoteRef/>
      </w:r>
      <w:r>
        <w:tab/>
      </w:r>
      <w:r w:rsidRPr="00C813A9">
        <w:rPr>
          <w:lang w:val="en-US"/>
        </w:rPr>
        <w:t xml:space="preserve">In line with decision </w:t>
      </w:r>
      <w:hyperlink r:id="rId7" w:history="1">
        <w:r w:rsidRPr="0040026E">
          <w:rPr>
            <w:rStyle w:val="Hyperlink"/>
            <w:lang w:val="en-US"/>
          </w:rPr>
          <w:t>5/CMP.17</w:t>
        </w:r>
      </w:hyperlink>
      <w:r>
        <w:rPr>
          <w:lang w:val="en-US"/>
        </w:rPr>
        <w:t>,</w:t>
      </w:r>
      <w:r w:rsidRPr="00C813A9">
        <w:rPr>
          <w:lang w:val="en-US"/>
        </w:rPr>
        <w:t xml:space="preserve"> para</w:t>
      </w:r>
      <w:r>
        <w:rPr>
          <w:lang w:val="en-US"/>
        </w:rPr>
        <w:t>.</w:t>
      </w:r>
      <w:r w:rsidRPr="00C813A9">
        <w:rPr>
          <w:lang w:val="en-US"/>
        </w:rPr>
        <w:t xml:space="preserve"> 15.  </w:t>
      </w:r>
    </w:p>
  </w:footnote>
  <w:footnote w:id="11">
    <w:p w14:paraId="151F71AC" w14:textId="14D18DE0" w:rsidR="006505EB" w:rsidRPr="00834F06" w:rsidRDefault="006505EB" w:rsidP="00834F06">
      <w:pPr>
        <w:pStyle w:val="FootnoteText"/>
        <w:widowControl w:val="0"/>
        <w:rPr>
          <w:rFonts w:asciiTheme="majorBidi" w:hAnsiTheme="majorBidi" w:cstheme="majorBidi"/>
          <w:lang w:val="en-US"/>
        </w:rPr>
      </w:pPr>
      <w:r>
        <w:tab/>
      </w:r>
      <w:r w:rsidRPr="00834F06">
        <w:rPr>
          <w:rStyle w:val="FootnoteReference"/>
          <w:rFonts w:asciiTheme="majorBidi" w:hAnsiTheme="majorBidi" w:cstheme="majorBidi"/>
        </w:rPr>
        <w:footnoteRef/>
      </w:r>
      <w:r w:rsidRPr="00834F06">
        <w:rPr>
          <w:rFonts w:asciiTheme="majorBidi" w:hAnsiTheme="majorBidi" w:cstheme="majorBidi"/>
        </w:rPr>
        <w:tab/>
      </w:r>
      <w:r w:rsidR="004E3717">
        <w:rPr>
          <w:rFonts w:asciiTheme="majorBidi" w:hAnsiTheme="majorBidi" w:cstheme="majorBidi"/>
        </w:rPr>
        <w:t xml:space="preserve">Available at </w:t>
      </w:r>
      <w:hyperlink r:id="rId8" w:history="1">
        <w:r w:rsidR="00A964F7" w:rsidRPr="00F05ADD">
          <w:rPr>
            <w:rStyle w:val="Hyperlink"/>
            <w:rFonts w:asciiTheme="majorBidi" w:hAnsiTheme="majorBidi" w:cstheme="majorBidi"/>
            <w:szCs w:val="18"/>
            <w:shd w:val="clear" w:color="auto" w:fill="FFFFFF"/>
          </w:rPr>
          <w:t>https://www.adaptation-fund.org/document/resource-mobilization-strategy-2022-2025/</w:t>
        </w:r>
      </w:hyperlink>
      <w:r w:rsidRPr="00834F06">
        <w:rPr>
          <w:rFonts w:asciiTheme="majorBidi" w:hAnsiTheme="majorBidi" w:cstheme="majorBidi"/>
          <w:color w:val="333333"/>
          <w:szCs w:val="18"/>
          <w:shd w:val="clear" w:color="auto" w:fill="FFFFFF"/>
        </w:rPr>
        <w:t>.</w:t>
      </w:r>
    </w:p>
  </w:footnote>
  <w:footnote w:id="12">
    <w:p w14:paraId="286405CA" w14:textId="11B66B16" w:rsidR="0085225E" w:rsidRPr="00862D43" w:rsidRDefault="0085225E" w:rsidP="0085225E">
      <w:pPr>
        <w:pStyle w:val="FootnoteText"/>
        <w:tabs>
          <w:tab w:val="clear" w:pos="1021"/>
          <w:tab w:val="right" w:pos="1020"/>
        </w:tabs>
        <w:rPr>
          <w:lang w:val="en-US"/>
        </w:rPr>
      </w:pPr>
      <w:r>
        <w:tab/>
      </w:r>
      <w:r>
        <w:rPr>
          <w:rStyle w:val="FootnoteReference"/>
        </w:rPr>
        <w:footnoteRef/>
      </w:r>
      <w:r w:rsidRPr="001C5BDA">
        <w:rPr>
          <w:lang w:val="en-US"/>
        </w:rPr>
        <w:tab/>
      </w:r>
      <w:r w:rsidR="001C5BDA" w:rsidRPr="001C5BDA">
        <w:rPr>
          <w:lang w:val="en-US"/>
        </w:rPr>
        <w:t>Available at</w:t>
      </w:r>
      <w:r w:rsidRPr="001C5BDA">
        <w:rPr>
          <w:lang w:val="en-US"/>
        </w:rPr>
        <w:t xml:space="preserve"> </w:t>
      </w:r>
      <w:hyperlink r:id="rId9" w:history="1">
        <w:r w:rsidRPr="001C5BDA">
          <w:rPr>
            <w:rStyle w:val="Hyperlink"/>
            <w:lang w:val="en-US"/>
          </w:rPr>
          <w:t>https://www.adaptation-fund.org/document/opg-annex4-gender-policy</w:t>
        </w:r>
      </w:hyperlink>
      <w:r w:rsidRPr="001C5BDA">
        <w:rPr>
          <w:lang w:val="en-US"/>
        </w:rPr>
        <w:t>/</w:t>
      </w:r>
      <w:r w:rsidRPr="000464A8">
        <w:t xml:space="preserve"> in English, French and Spanish</w:t>
      </w:r>
      <w:r>
        <w:t>.</w:t>
      </w:r>
    </w:p>
  </w:footnote>
  <w:footnote w:id="13">
    <w:p w14:paraId="203ED686" w14:textId="77777777" w:rsidR="0085225E" w:rsidRPr="00862D43" w:rsidRDefault="0085225E" w:rsidP="0085225E">
      <w:pPr>
        <w:pStyle w:val="FootnoteText"/>
        <w:widowControl w:val="0"/>
        <w:tabs>
          <w:tab w:val="clear" w:pos="1021"/>
          <w:tab w:val="right" w:pos="1020"/>
        </w:tabs>
        <w:rPr>
          <w:lang w:val="en-US"/>
        </w:rPr>
      </w:pPr>
      <w:r>
        <w:tab/>
      </w:r>
      <w:r>
        <w:rPr>
          <w:rStyle w:val="FootnoteReference"/>
        </w:rPr>
        <w:footnoteRef/>
      </w:r>
      <w:r>
        <w:tab/>
      </w:r>
      <w:r w:rsidRPr="00E1618B">
        <w:t xml:space="preserve">Available at </w:t>
      </w:r>
      <w:hyperlink r:id="rId10" w:history="1">
        <w:r w:rsidRPr="00423BF6">
          <w:rPr>
            <w:rStyle w:val="Hyperlink"/>
          </w:rPr>
          <w:t>https://www.adaptation-fund.org/document/gender-mainstreaming-e-course</w:t>
        </w:r>
      </w:hyperlink>
      <w:r w:rsidRPr="00E1618B">
        <w:t>/.</w:t>
      </w:r>
      <w:r>
        <w:t xml:space="preserve"> </w:t>
      </w:r>
    </w:p>
  </w:footnote>
  <w:footnote w:id="14">
    <w:p w14:paraId="25B898BD" w14:textId="1C845BC6" w:rsidR="0085225E" w:rsidRPr="00862D43" w:rsidRDefault="0085225E" w:rsidP="0085225E">
      <w:pPr>
        <w:pStyle w:val="FootnoteText"/>
        <w:widowControl w:val="0"/>
        <w:tabs>
          <w:tab w:val="clear" w:pos="1021"/>
          <w:tab w:val="right" w:pos="1020"/>
        </w:tabs>
        <w:rPr>
          <w:lang w:val="en-US"/>
        </w:rPr>
      </w:pPr>
      <w:r>
        <w:tab/>
      </w:r>
      <w:r>
        <w:rPr>
          <w:rStyle w:val="FootnoteReference"/>
        </w:rPr>
        <w:footnoteRef/>
      </w:r>
      <w:r>
        <w:tab/>
      </w:r>
      <w:hyperlink r:id="rId11" w:history="1">
        <w:r w:rsidRPr="008C255E">
          <w:rPr>
            <w:rStyle w:val="Hyperlink"/>
          </w:rPr>
          <w:t>FCCC/CP/2024/6/Add.5</w:t>
        </w:r>
        <w:r w:rsidR="008C255E" w:rsidRPr="008C255E">
          <w:rPr>
            <w:rStyle w:val="Hyperlink"/>
          </w:rPr>
          <w:t>–</w:t>
        </w:r>
        <w:r w:rsidRPr="008C255E">
          <w:rPr>
            <w:rStyle w:val="Hyperlink"/>
          </w:rPr>
          <w:t>FCCC/PA/CMA/2024/8/Add.5</w:t>
        </w:r>
      </w:hyperlink>
      <w:r>
        <w:t xml:space="preserve">. </w:t>
      </w:r>
    </w:p>
  </w:footnote>
  <w:footnote w:id="15">
    <w:p w14:paraId="35C85E22" w14:textId="7D66D020" w:rsidR="0085225E" w:rsidRPr="007D2F42" w:rsidRDefault="0085225E" w:rsidP="0085225E">
      <w:pPr>
        <w:pStyle w:val="FootnoteText"/>
        <w:tabs>
          <w:tab w:val="clear" w:pos="1021"/>
          <w:tab w:val="right" w:pos="1020"/>
        </w:tabs>
      </w:pPr>
      <w:r>
        <w:tab/>
      </w:r>
      <w:r>
        <w:rPr>
          <w:rStyle w:val="FootnoteReference"/>
        </w:rPr>
        <w:footnoteRef/>
      </w:r>
      <w:r>
        <w:tab/>
      </w:r>
      <w:r w:rsidRPr="00D6678B">
        <w:t xml:space="preserve">In </w:t>
      </w:r>
      <w:r>
        <w:t>response to</w:t>
      </w:r>
      <w:r w:rsidRPr="00D6678B">
        <w:t xml:space="preserve"> decision</w:t>
      </w:r>
      <w:r>
        <w:t>s</w:t>
      </w:r>
      <w:r w:rsidRPr="00D6678B">
        <w:t xml:space="preserve"> </w:t>
      </w:r>
      <w:hyperlink r:id="rId12" w:history="1">
        <w:r w:rsidRPr="0040026E">
          <w:rPr>
            <w:rStyle w:val="Hyperlink"/>
          </w:rPr>
          <w:t>4/CMP.17</w:t>
        </w:r>
      </w:hyperlink>
      <w:r w:rsidRPr="00D6678B">
        <w:t>, para. 13</w:t>
      </w:r>
      <w:r>
        <w:t xml:space="preserve">, and </w:t>
      </w:r>
      <w:hyperlink r:id="rId13" w:history="1">
        <w:r w:rsidRPr="0040026E">
          <w:rPr>
            <w:rStyle w:val="Hyperlink"/>
          </w:rPr>
          <w:t>18/CMA.4</w:t>
        </w:r>
      </w:hyperlink>
      <w:r>
        <w:t>, para. 21</w:t>
      </w:r>
      <w:r w:rsidRPr="00D6678B">
        <w:t>.</w:t>
      </w:r>
      <w:r>
        <w:t xml:space="preserve"> </w:t>
      </w:r>
    </w:p>
  </w:footnote>
  <w:footnote w:id="16">
    <w:p w14:paraId="62CFFF2A" w14:textId="77777777" w:rsidR="0085225E" w:rsidRPr="0003745F" w:rsidRDefault="0085225E" w:rsidP="0085225E">
      <w:pPr>
        <w:pStyle w:val="FootnoteText"/>
        <w:widowControl w:val="0"/>
        <w:tabs>
          <w:tab w:val="clear" w:pos="1021"/>
          <w:tab w:val="right" w:pos="1020"/>
        </w:tabs>
        <w:rPr>
          <w:lang w:val="en-US"/>
        </w:rPr>
      </w:pPr>
      <w:r>
        <w:tab/>
      </w:r>
      <w:r>
        <w:rPr>
          <w:rStyle w:val="FootnoteReference"/>
        </w:rPr>
        <w:footnoteRef/>
      </w:r>
      <w:r>
        <w:tab/>
      </w:r>
      <w:r w:rsidRPr="00E458CF">
        <w:t xml:space="preserve">Including the declaration by the Adaptation Fund, the Climate Investment Funds, the Global Environment Facility and the Green Climate Fund on enhancing access to climate finance and increasing the effectiveness of multilateral climate funds (see </w:t>
      </w:r>
      <w:hyperlink r:id="rId14" w:history="1">
        <w:r w:rsidRPr="00E458CF">
          <w:rPr>
            <w:rStyle w:val="Hyperlink"/>
          </w:rPr>
          <w:t>https://www.adaptation-fund.org/enhancing-access-and-increasing-impact-the-role-of-the-multilateral-climate-funds/</w:t>
        </w:r>
      </w:hyperlink>
      <w:r w:rsidRPr="00E458CF">
        <w:t>).</w:t>
      </w:r>
    </w:p>
  </w:footnote>
  <w:footnote w:id="17">
    <w:p w14:paraId="4847E7D8" w14:textId="1F09A440" w:rsidR="00650B11" w:rsidRPr="00344F61" w:rsidRDefault="00650B11" w:rsidP="00650B11">
      <w:pPr>
        <w:pStyle w:val="FootnoteText"/>
        <w:widowControl w:val="0"/>
        <w:tabs>
          <w:tab w:val="clear" w:pos="1021"/>
          <w:tab w:val="right" w:pos="1020"/>
        </w:tabs>
        <w:rPr>
          <w:lang w:val="en-US"/>
        </w:rPr>
      </w:pPr>
      <w:r>
        <w:tab/>
      </w:r>
      <w:r>
        <w:rPr>
          <w:rStyle w:val="FootnoteReference"/>
        </w:rPr>
        <w:footnoteRef/>
      </w:r>
      <w:r>
        <w:tab/>
      </w:r>
      <w:hyperlink r:id="rId15" w:history="1">
        <w:r w:rsidR="0010453A" w:rsidRPr="00344F61">
          <w:rPr>
            <w:rStyle w:val="Hyperlink"/>
          </w:rPr>
          <w:t>FCCC/SB/2024/10</w:t>
        </w:r>
      </w:hyperlink>
      <w:r w:rsidR="0010453A" w:rsidRPr="00344F61">
        <w:t>.</w:t>
      </w:r>
      <w:r w:rsidRPr="00344F61">
        <w:t xml:space="preserve"> </w:t>
      </w:r>
    </w:p>
  </w:footnote>
  <w:footnote w:id="18">
    <w:p w14:paraId="41D757B6" w14:textId="5B473DA0" w:rsidR="0088285F" w:rsidRPr="0088285F" w:rsidRDefault="0088285F" w:rsidP="0088285F">
      <w:pPr>
        <w:pStyle w:val="FootnoteText"/>
        <w:widowControl w:val="0"/>
        <w:tabs>
          <w:tab w:val="clear" w:pos="1021"/>
          <w:tab w:val="right" w:pos="1020"/>
        </w:tabs>
        <w:rPr>
          <w:lang w:val="en-US"/>
        </w:rPr>
      </w:pPr>
      <w:r w:rsidRPr="00344F61">
        <w:tab/>
      </w:r>
      <w:r w:rsidRPr="00344F61">
        <w:rPr>
          <w:rStyle w:val="FootnoteReference"/>
        </w:rPr>
        <w:footnoteRef/>
      </w:r>
      <w:r w:rsidRPr="00344F61">
        <w:tab/>
      </w:r>
      <w:hyperlink r:id="rId16" w:history="1">
        <w:r w:rsidR="00191C54" w:rsidRPr="00344F61">
          <w:rPr>
            <w:rStyle w:val="Hyperlink"/>
          </w:rPr>
          <w:t>FCCC/SB/2024/8</w:t>
        </w:r>
      </w:hyperlink>
      <w:r w:rsidR="00191C54">
        <w:t>.</w:t>
      </w:r>
      <w:r>
        <w:t xml:space="preserve"> </w:t>
      </w:r>
    </w:p>
  </w:footnote>
  <w:footnote w:id="19">
    <w:p w14:paraId="635B9F93" w14:textId="66381A54" w:rsidR="006F337A" w:rsidRPr="006F337A" w:rsidRDefault="006F337A" w:rsidP="006F337A">
      <w:pPr>
        <w:pStyle w:val="FootnoteText"/>
        <w:widowControl w:val="0"/>
        <w:tabs>
          <w:tab w:val="clear" w:pos="1021"/>
          <w:tab w:val="right" w:pos="1020"/>
        </w:tabs>
        <w:rPr>
          <w:lang w:val="en-US"/>
        </w:rPr>
      </w:pPr>
      <w:r>
        <w:tab/>
      </w:r>
      <w:r>
        <w:rPr>
          <w:rStyle w:val="FootnoteReference"/>
        </w:rPr>
        <w:footnoteRef/>
      </w:r>
      <w:r>
        <w:tab/>
      </w:r>
      <w:r w:rsidR="00EB2049">
        <w:t>P</w:t>
      </w:r>
      <w:r>
        <w:t xml:space="preserve">romoting the availability and use of guidelines and policy frameworks to assist Parties in promoting just transition of the workforce and the creation of decent work and quality jobs within and across </w:t>
      </w:r>
      <w:r w:rsidR="00A2623D">
        <w:t>sectors, including training, retooling, retraining and reskilling systems and stakeholder engagement strategies.</w:t>
      </w:r>
      <w:r>
        <w:t xml:space="preserve"> </w:t>
      </w:r>
    </w:p>
  </w:footnote>
  <w:footnote w:id="20">
    <w:p w14:paraId="38B3324F" w14:textId="1E3ACA56" w:rsidR="00306E84" w:rsidRPr="00306E84" w:rsidRDefault="00306E84" w:rsidP="00306E84">
      <w:pPr>
        <w:pStyle w:val="FootnoteText"/>
        <w:widowControl w:val="0"/>
        <w:tabs>
          <w:tab w:val="clear" w:pos="1021"/>
          <w:tab w:val="right" w:pos="1020"/>
        </w:tabs>
        <w:rPr>
          <w:lang w:val="en-US"/>
        </w:rPr>
      </w:pPr>
      <w:r>
        <w:tab/>
      </w:r>
      <w:r>
        <w:rPr>
          <w:rStyle w:val="FootnoteReference"/>
        </w:rPr>
        <w:footnoteRef/>
      </w:r>
      <w:r>
        <w:tab/>
      </w:r>
      <w:r w:rsidR="00EB2049">
        <w:t>S</w:t>
      </w:r>
      <w:r>
        <w:t xml:space="preserve">haring experience and best practices in reporting and informing on efforts to assess and analyse </w:t>
      </w:r>
      <w:r w:rsidR="00537D9F">
        <w:t>the impacts of the implementation of response measures.</w:t>
      </w:r>
      <w:r>
        <w:t xml:space="preserve"> </w:t>
      </w:r>
    </w:p>
  </w:footnote>
  <w:footnote w:id="21">
    <w:p w14:paraId="620C59A4" w14:textId="6A0E4066" w:rsidR="00F64403" w:rsidRPr="00F64403" w:rsidRDefault="00F64403" w:rsidP="00F64403">
      <w:pPr>
        <w:pStyle w:val="FootnoteText"/>
        <w:widowControl w:val="0"/>
        <w:tabs>
          <w:tab w:val="clear" w:pos="1021"/>
          <w:tab w:val="right" w:pos="1020"/>
        </w:tabs>
        <w:rPr>
          <w:lang w:val="en-US"/>
        </w:rPr>
      </w:pPr>
      <w:r>
        <w:tab/>
      </w:r>
      <w:r>
        <w:rPr>
          <w:rStyle w:val="FootnoteReference"/>
        </w:rPr>
        <w:footnoteRef/>
      </w:r>
      <w:r>
        <w:tab/>
      </w:r>
      <w:r w:rsidR="006A0573">
        <w:t xml:space="preserve">Contained in annex II to decisions </w:t>
      </w:r>
      <w:hyperlink r:id="rId17" w:history="1">
        <w:r w:rsidR="006A0573" w:rsidRPr="0040026E">
          <w:rPr>
            <w:rStyle w:val="Hyperlink"/>
          </w:rPr>
          <w:t>4/CP.25</w:t>
        </w:r>
      </w:hyperlink>
      <w:r w:rsidR="006A0573">
        <w:t xml:space="preserve">, </w:t>
      </w:r>
      <w:hyperlink r:id="rId18" w:history="1">
        <w:r w:rsidR="006A0573" w:rsidRPr="0040026E">
          <w:rPr>
            <w:rStyle w:val="Hyperlink"/>
          </w:rPr>
          <w:t>4/CMP.15</w:t>
        </w:r>
      </w:hyperlink>
      <w:r w:rsidR="006A0573">
        <w:t xml:space="preserve"> and </w:t>
      </w:r>
      <w:hyperlink r:id="rId19" w:history="1">
        <w:r w:rsidR="006A0573" w:rsidRPr="0040026E">
          <w:rPr>
            <w:rStyle w:val="Hyperlink"/>
          </w:rPr>
          <w:t>4/CMA.2</w:t>
        </w:r>
      </w:hyperlink>
      <w:r w:rsidR="006A0573">
        <w:t>.</w:t>
      </w:r>
      <w:r>
        <w:t xml:space="preserve"> </w:t>
      </w:r>
    </w:p>
  </w:footnote>
  <w:footnote w:id="22">
    <w:p w14:paraId="375A5F1B" w14:textId="2A1393CC" w:rsidR="00870129" w:rsidRPr="00870129" w:rsidRDefault="00870129" w:rsidP="00870129">
      <w:pPr>
        <w:pStyle w:val="FootnoteText"/>
        <w:widowControl w:val="0"/>
        <w:tabs>
          <w:tab w:val="clear" w:pos="1021"/>
          <w:tab w:val="right" w:pos="1020"/>
        </w:tabs>
        <w:rPr>
          <w:lang w:val="en-US"/>
        </w:rPr>
      </w:pPr>
      <w:r>
        <w:tab/>
      </w:r>
      <w:r>
        <w:rPr>
          <w:rStyle w:val="FootnoteReference"/>
        </w:rPr>
        <w:footnoteRef/>
      </w:r>
      <w:r>
        <w:tab/>
      </w:r>
      <w:r w:rsidR="00017412">
        <w:t>As footnote 3 above.</w:t>
      </w:r>
      <w:r>
        <w:t xml:space="preserve"> </w:t>
      </w:r>
    </w:p>
  </w:footnote>
  <w:footnote w:id="23">
    <w:p w14:paraId="160C2276" w14:textId="0674AC6F" w:rsidR="00017412" w:rsidRPr="00017412" w:rsidRDefault="00017412" w:rsidP="00017412">
      <w:pPr>
        <w:pStyle w:val="FootnoteText"/>
        <w:widowControl w:val="0"/>
        <w:tabs>
          <w:tab w:val="clear" w:pos="1021"/>
          <w:tab w:val="right" w:pos="1020"/>
        </w:tabs>
        <w:rPr>
          <w:lang w:val="en-US"/>
        </w:rPr>
      </w:pPr>
      <w:r>
        <w:tab/>
      </w:r>
      <w:r>
        <w:rPr>
          <w:rStyle w:val="FootnoteReference"/>
        </w:rPr>
        <w:footnoteRef/>
      </w:r>
      <w:r>
        <w:tab/>
        <w:t xml:space="preserve">As footnote 4 above. </w:t>
      </w:r>
    </w:p>
  </w:footnote>
  <w:footnote w:id="24">
    <w:p w14:paraId="1880458D" w14:textId="43B9A7DF" w:rsidR="00A53E62" w:rsidRPr="006041E2" w:rsidRDefault="00A53E62" w:rsidP="00A53E62">
      <w:pPr>
        <w:pStyle w:val="FootnoteText"/>
        <w:widowControl w:val="0"/>
        <w:rPr>
          <w:lang w:val="it-CH"/>
        </w:rPr>
      </w:pPr>
      <w:r w:rsidRPr="006041E2">
        <w:rPr>
          <w:lang w:val="it-CH"/>
        </w:rPr>
        <w:tab/>
      </w:r>
      <w:r>
        <w:rPr>
          <w:rStyle w:val="FootnoteReference"/>
        </w:rPr>
        <w:footnoteRef/>
      </w:r>
      <w:r w:rsidRPr="006041E2">
        <w:rPr>
          <w:lang w:val="it-CH"/>
        </w:rPr>
        <w:tab/>
        <w:t xml:space="preserve">Decision </w:t>
      </w:r>
      <w:hyperlink r:id="rId20" w:history="1">
        <w:r w:rsidRPr="0040026E">
          <w:rPr>
            <w:rStyle w:val="Hyperlink"/>
            <w:lang w:val="it-CH"/>
          </w:rPr>
          <w:t>15/CP.1</w:t>
        </w:r>
      </w:hyperlink>
      <w:r w:rsidRPr="006041E2">
        <w:rPr>
          <w:lang w:val="it-CH"/>
        </w:rPr>
        <w:t xml:space="preserve">, annex I. </w:t>
      </w:r>
    </w:p>
  </w:footnote>
  <w:footnote w:id="25">
    <w:p w14:paraId="3D1AA675" w14:textId="77777777" w:rsidR="00226B79" w:rsidRPr="00E1597B" w:rsidRDefault="00226B79" w:rsidP="00226B79">
      <w:pPr>
        <w:pStyle w:val="FootnoteText"/>
        <w:widowControl w:val="0"/>
        <w:tabs>
          <w:tab w:val="clear" w:pos="1021"/>
          <w:tab w:val="right" w:pos="1020"/>
        </w:tabs>
        <w:rPr>
          <w:lang w:val="en-US"/>
        </w:rPr>
      </w:pPr>
      <w:r>
        <w:tab/>
      </w:r>
      <w:r>
        <w:rPr>
          <w:rStyle w:val="FootnoteReference"/>
        </w:rPr>
        <w:footnoteRef/>
      </w:r>
      <w:r>
        <w:tab/>
        <w:t xml:space="preserve">Decision </w:t>
      </w:r>
      <w:hyperlink r:id="rId21" w:history="1">
        <w:r w:rsidRPr="0040026E">
          <w:rPr>
            <w:rStyle w:val="Hyperlink"/>
          </w:rPr>
          <w:t>23/CP.26</w:t>
        </w:r>
      </w:hyperlink>
      <w:r>
        <w:t xml:space="preserve">, para. 24. </w:t>
      </w:r>
    </w:p>
  </w:footnote>
  <w:footnote w:id="26">
    <w:p w14:paraId="67292ED8" w14:textId="511A0815" w:rsidR="00A53E62" w:rsidRPr="000B1F05" w:rsidRDefault="00A53E62" w:rsidP="00A53E62">
      <w:pPr>
        <w:pStyle w:val="FootnoteText"/>
        <w:widowControl w:val="0"/>
        <w:tabs>
          <w:tab w:val="clear" w:pos="1021"/>
          <w:tab w:val="right" w:pos="1020"/>
        </w:tabs>
        <w:rPr>
          <w:lang w:val="en-US"/>
        </w:rPr>
      </w:pPr>
      <w:r>
        <w:tab/>
      </w:r>
      <w:r>
        <w:rPr>
          <w:rStyle w:val="FootnoteReference"/>
        </w:rPr>
        <w:footnoteRef/>
      </w:r>
      <w:r>
        <w:tab/>
        <w:t>P</w:t>
      </w:r>
      <w:r w:rsidRPr="00611C5E">
        <w:rPr>
          <w:rFonts w:eastAsia="Times New Roman"/>
          <w:lang w:eastAsia="en-US"/>
        </w:rPr>
        <w:t xml:space="preserve">ursuant </w:t>
      </w:r>
      <w:r>
        <w:rPr>
          <w:rFonts w:eastAsia="Times New Roman"/>
          <w:lang w:eastAsia="en-US"/>
        </w:rPr>
        <w:t>to</w:t>
      </w:r>
      <w:r w:rsidRPr="00611C5E">
        <w:rPr>
          <w:rFonts w:eastAsia="Times New Roman"/>
          <w:lang w:eastAsia="en-US"/>
        </w:rPr>
        <w:t xml:space="preserve"> para</w:t>
      </w:r>
      <w:r>
        <w:rPr>
          <w:rFonts w:eastAsia="Times New Roman"/>
          <w:lang w:eastAsia="en-US"/>
        </w:rPr>
        <w:t>.</w:t>
      </w:r>
      <w:r w:rsidRPr="00611C5E">
        <w:rPr>
          <w:rFonts w:eastAsia="Times New Roman"/>
          <w:lang w:eastAsia="en-US"/>
        </w:rPr>
        <w:t xml:space="preserve"> 15 of decision </w:t>
      </w:r>
      <w:hyperlink r:id="rId22" w:history="1">
        <w:r w:rsidRPr="0040026E">
          <w:rPr>
            <w:rStyle w:val="Hyperlink"/>
            <w:rFonts w:eastAsia="Times New Roman"/>
            <w:lang w:eastAsia="en-US"/>
          </w:rPr>
          <w:t>18/CP.24</w:t>
        </w:r>
      </w:hyperlink>
      <w:r>
        <w:rPr>
          <w:rFonts w:eastAsia="Times New Roman"/>
          <w:lang w:eastAsia="en-US"/>
        </w:rPr>
        <w:t xml:space="preserve"> and </w:t>
      </w:r>
      <w:r w:rsidRPr="00611C5E">
        <w:rPr>
          <w:rFonts w:eastAsia="Times New Roman"/>
          <w:lang w:eastAsia="en-US"/>
        </w:rPr>
        <w:t>para</w:t>
      </w:r>
      <w:r>
        <w:rPr>
          <w:rFonts w:eastAsia="Times New Roman"/>
          <w:lang w:eastAsia="en-US"/>
        </w:rPr>
        <w:t>.</w:t>
      </w:r>
      <w:r w:rsidRPr="00611C5E">
        <w:rPr>
          <w:rFonts w:eastAsia="Times New Roman"/>
          <w:lang w:eastAsia="en-US"/>
        </w:rPr>
        <w:t xml:space="preserve"> 17 of decision </w:t>
      </w:r>
      <w:hyperlink r:id="rId23" w:history="1">
        <w:r w:rsidRPr="0040026E">
          <w:rPr>
            <w:rStyle w:val="Hyperlink"/>
            <w:rFonts w:eastAsia="Times New Roman"/>
            <w:lang w:eastAsia="en-US"/>
          </w:rPr>
          <w:t>23/CP.26</w:t>
        </w:r>
      </w:hyperlink>
      <w:r>
        <w:rPr>
          <w:rFonts w:eastAsia="Times New Roman"/>
          <w:lang w:eastAsia="en-US"/>
        </w:rPr>
        <w:t>.</w:t>
      </w:r>
    </w:p>
  </w:footnote>
  <w:footnote w:id="27">
    <w:p w14:paraId="3F94642E" w14:textId="56127398" w:rsidR="00E83454" w:rsidRPr="00C7282D" w:rsidRDefault="00E83454" w:rsidP="00E83454">
      <w:pPr>
        <w:pStyle w:val="FootnoteText"/>
        <w:widowControl w:val="0"/>
        <w:tabs>
          <w:tab w:val="clear" w:pos="1021"/>
          <w:tab w:val="right" w:pos="1020"/>
        </w:tabs>
        <w:rPr>
          <w:lang w:val="en-US"/>
        </w:rPr>
      </w:pPr>
      <w:r>
        <w:tab/>
      </w:r>
      <w:r>
        <w:rPr>
          <w:rStyle w:val="FootnoteReference"/>
        </w:rPr>
        <w:footnoteRef/>
      </w:r>
      <w:r>
        <w:tab/>
      </w:r>
      <w:hyperlink r:id="rId24" w:history="1">
        <w:r w:rsidRPr="0040026E">
          <w:rPr>
            <w:rStyle w:val="Hyperlink"/>
          </w:rPr>
          <w:t>FCCC/CP/2024/INF.1</w:t>
        </w:r>
      </w:hyperlink>
      <w:r>
        <w:t xml:space="preserve">, </w:t>
      </w:r>
      <w:hyperlink r:id="rId25" w:history="1">
        <w:r w:rsidRPr="0040026E">
          <w:rPr>
            <w:rStyle w:val="Hyperlink"/>
          </w:rPr>
          <w:t>FCCC/SBI/2024/INF.7</w:t>
        </w:r>
      </w:hyperlink>
      <w:r>
        <w:t xml:space="preserve"> </w:t>
      </w:r>
      <w:r w:rsidRPr="00792765">
        <w:t xml:space="preserve">and </w:t>
      </w:r>
      <w:hyperlink r:id="rId26" w:history="1">
        <w:r w:rsidRPr="001F72EC">
          <w:rPr>
            <w:rStyle w:val="Hyperlink"/>
          </w:rPr>
          <w:t>Add.1</w:t>
        </w:r>
      </w:hyperlink>
      <w:r>
        <w:t xml:space="preserve">, </w:t>
      </w:r>
      <w:hyperlink r:id="rId27" w:history="1">
        <w:r w:rsidRPr="00531A1B">
          <w:rPr>
            <w:rStyle w:val="Hyperlink"/>
          </w:rPr>
          <w:t>FCCC/SBI/2024/INF.9</w:t>
        </w:r>
      </w:hyperlink>
      <w:r>
        <w:t xml:space="preserve"> and </w:t>
      </w:r>
      <w:hyperlink r:id="rId28" w:history="1">
        <w:r w:rsidRPr="00793395">
          <w:rPr>
            <w:rStyle w:val="Hyperlink"/>
          </w:rPr>
          <w:t>FCCC/SBI/2024/INF.11</w:t>
        </w:r>
      </w:hyperlink>
      <w:r w:rsidRPr="00A824F9">
        <w:t>.</w:t>
      </w:r>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06B02D" w14:textId="31D7FA0D" w:rsidR="00461955" w:rsidRPr="00D43A6E" w:rsidRDefault="00D43A6E" w:rsidP="00D43A6E">
    <w:pPr>
      <w:pStyle w:val="Header"/>
    </w:pPr>
    <w:r>
      <w:t>FCCC/KP/CMP/2024/7/Add.1</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439537" w14:textId="69090A0B" w:rsidR="0070081F" w:rsidRPr="00D43A6E" w:rsidRDefault="009C1EAB" w:rsidP="00D43A6E">
    <w:r>
      <w:rPr>
        <w:noProof/>
      </w:rPr>
      <mc:AlternateContent>
        <mc:Choice Requires="wps">
          <w:drawing>
            <wp:anchor distT="0" distB="0" distL="114300" distR="114300" simplePos="0" relativeHeight="251658242" behindDoc="0" locked="0" layoutInCell="1" allowOverlap="1" wp14:anchorId="1AD33503" wp14:editId="7158DFED">
              <wp:simplePos x="0" y="0"/>
              <wp:positionH relativeFrom="page">
                <wp:posOffset>9935845</wp:posOffset>
              </wp:positionH>
              <wp:positionV relativeFrom="margin">
                <wp:posOffset>0</wp:posOffset>
              </wp:positionV>
              <wp:extent cx="215900" cy="6120130"/>
              <wp:effectExtent l="0" t="0" r="12700" b="1397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5900" cy="6120130"/>
                      </a:xfrm>
                      <a:prstGeom prst="rect">
                        <a:avLst/>
                      </a:prstGeom>
                      <a:noFill/>
                      <a:ln w="9525" cap="flat" cmpd="sng" algn="ctr">
                        <a:noFill/>
                        <a:prstDash val="solid"/>
                        <a:round/>
                        <a:headEnd type="none" w="med" len="med"/>
                        <a:tailEnd type="none" w="med" len="med"/>
                      </a:ln>
                      <a:extLst>
                        <a:ext uri="{91240B29-F687-4F45-9708-019B960494DF}">
                          <a14:hiddenLine xmlns:a14="http://schemas.microsoft.com/office/drawing/2010/main" w="9525" cap="flat" cmpd="sng" algn="ctr">
                            <a:solidFill>
                              <a:prstClr val="black"/>
                            </a:solidFill>
                            <a:prstDash val="solid"/>
                            <a:round/>
                            <a:headEnd type="none" w="med" len="med"/>
                            <a:tailEnd type="none" w="med" len="med"/>
                          </a14:hiddenLine>
                        </a:ext>
                      </a:extLst>
                    </wps:spPr>
                    <wps:txbx>
                      <w:txbxContent>
                        <w:p w14:paraId="0CAA56F5" w14:textId="0DDBEC59" w:rsidR="009C1EAB" w:rsidRDefault="009C1EAB" w:rsidP="009C1EAB">
                          <w:pPr>
                            <w:pStyle w:val="Header"/>
                          </w:pPr>
                          <w:r>
                            <w:t>FCCC/KP/CMP/2024/7/Add.1</w:t>
                          </w:r>
                        </w:p>
                      </w:txbxContent>
                    </wps:txbx>
                    <wps:bodyPr rot="0" spcFirstLastPara="0" vertOverflow="overflow" horzOverflow="overflow" vert="vert" wrap="square" lIns="0" tIns="0" rIns="0" bIns="0" numCol="1" spcCol="0" rtlCol="0" fromWordArt="0" anchor="t" anchorCtr="0" forceAA="0" compatLnSpc="1">
                      <a:prstTxWarp prst="textNoShape">
                        <a:avLst/>
                      </a:prstTxWarp>
                      <a:noAutofit/>
                    </wps:bodyPr>
                  </wps:wsp>
                </a:graphicData>
              </a:graphic>
            </wp:anchor>
          </w:drawing>
        </mc:Choice>
        <mc:Fallback>
          <w:pict>
            <v:shapetype w14:anchorId="1AD33503" id="_x0000_t202" coordsize="21600,21600" o:spt="202" path="m,l,21600r21600,l21600,xe">
              <v:stroke joinstyle="miter"/>
              <v:path gradientshapeok="t" o:connecttype="rect"/>
            </v:shapetype>
            <v:shape id="Text Box 6" o:spid="_x0000_s1026" type="#_x0000_t202" style="position:absolute;margin-left:782.35pt;margin-top:0;width:17pt;height:481.9pt;z-index:251658242;visibility:visible;mso-wrap-style:square;mso-wrap-distance-left:9pt;mso-wrap-distance-top:0;mso-wrap-distance-right:9pt;mso-wrap-distance-bottom:0;mso-position-horizontal:absolute;mso-position-horizontal-relative:page;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" filled="f" stroked="f">
              <v:stroke joinstyle="round"/>
              <v:path arrowok="t"/>
              <v:textbox style="layout-flow:vertical" inset="0,0,0,0">
                <w:txbxContent>
                  <w:p w14:paraId="0CAA56F5" w14:textId="0DDBEC59" w:rsidR="009C1EAB" w:rsidRDefault="009C1EAB" w:rsidP="009C1EAB">
                    <w:pPr>
                      <w:pStyle w:val="Header"/>
                    </w:pPr>
                    <w:r>
                      <w:t>FCCC/KP/CMP/2024/7/Add.1</w:t>
                    </w:r>
                  </w:p>
                </w:txbxContent>
              </v:textbox>
              <w10:wrap anchorx="page" anchory="margin"/>
            </v:shape>
          </w:pict>
        </mc:Fallback>
      </mc:AlternateConten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06935E" w14:textId="7A02AD0D" w:rsidR="0070081F" w:rsidRPr="008E671B" w:rsidRDefault="008E671B" w:rsidP="008E671B">
    <w:r>
      <w:rPr>
        <w:noProof/>
      </w:rPr>
      <mc:AlternateContent>
        <mc:Choice Requires="wps">
          <w:drawing>
            <wp:anchor distT="0" distB="0" distL="114300" distR="114300" simplePos="0" relativeHeight="251658240" behindDoc="0" locked="0" layoutInCell="1" allowOverlap="1" wp14:anchorId="53B5BC6A" wp14:editId="4B56909E">
              <wp:simplePos x="0" y="0"/>
              <wp:positionH relativeFrom="page">
                <wp:posOffset>9935845</wp:posOffset>
              </wp:positionH>
              <wp:positionV relativeFrom="margin">
                <wp:posOffset>0</wp:posOffset>
              </wp:positionV>
              <wp:extent cx="215900" cy="6120130"/>
              <wp:effectExtent l="0" t="0" r="12700" b="1397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5900" cy="6120130"/>
                      </a:xfrm>
                      <a:prstGeom prst="rect">
                        <a:avLst/>
                      </a:prstGeom>
                      <a:noFill/>
                      <a:ln w="9525" cap="flat" cmpd="sng" algn="ctr">
                        <a:noFill/>
                        <a:prstDash val="solid"/>
                        <a:round/>
                        <a:headEnd type="none" w="med" len="med"/>
                        <a:tailEnd type="none" w="med" len="med"/>
                      </a:ln>
                      <a:extLst>
                        <a:ext uri="{91240B29-F687-4F45-9708-019B960494DF}">
                          <a14:hiddenLine xmlns:a14="http://schemas.microsoft.com/office/drawing/2010/main" w="9525" cap="flat" cmpd="sng" algn="ctr">
                            <a:solidFill>
                              <a:prstClr val="black"/>
                            </a:solidFill>
                            <a:prstDash val="solid"/>
                            <a:round/>
                            <a:headEnd type="none" w="med" len="med"/>
                            <a:tailEnd type="none" w="med" len="med"/>
                          </a14:hiddenLine>
                        </a:ext>
                      </a:extLst>
                    </wps:spPr>
                    <wps:txbx>
                      <w:txbxContent>
                        <w:p w14:paraId="63030396" w14:textId="5D36C2E6" w:rsidR="008E671B" w:rsidRDefault="008E671B" w:rsidP="008E671B">
                          <w:pPr>
                            <w:pStyle w:val="Header"/>
                            <w:jc w:val="right"/>
                          </w:pPr>
                          <w:r>
                            <w:t>FCCC/KP/CMP/2024/7/Add.1</w:t>
                          </w:r>
                        </w:p>
                      </w:txbxContent>
                    </wps:txbx>
                    <wps:bodyPr rot="0" spcFirstLastPara="0" vertOverflow="overflow" horzOverflow="overflow" vert="vert" wrap="square" lIns="0" tIns="0" rIns="0" bIns="0" numCol="1" spcCol="0" rtlCol="0" fromWordArt="0" anchor="t" anchorCtr="0" forceAA="0" compatLnSpc="1">
                      <a:prstTxWarp prst="textNoShape">
                        <a:avLst/>
                      </a:prstTxWarp>
                      <a:noAutofit/>
                    </wps:bodyPr>
                  </wps:wsp>
                </a:graphicData>
              </a:graphic>
            </wp:anchor>
          </w:drawing>
        </mc:Choice>
        <mc:Fallback>
          <w:pict>
            <v:shapetype w14:anchorId="53B5BC6A" id="_x0000_t202" coordsize="21600,21600" o:spt="202" path="m,l,21600r21600,l21600,xe">
              <v:stroke joinstyle="miter"/>
              <v:path gradientshapeok="t" o:connecttype="rect"/>
            </v:shapetype>
            <v:shape id="Text Box 4" o:spid="_x0000_s1027" type="#_x0000_t202" style="position:absolute;margin-left:782.35pt;margin-top:0;width:17pt;height:481.9pt;z-index:251658240;visibility:visible;mso-wrap-style:square;mso-wrap-distance-left:9pt;mso-wrap-distance-top:0;mso-wrap-distance-right:9pt;mso-wrap-distance-bottom:0;mso-position-horizontal:absolute;mso-position-horizontal-relative:page;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" filled="f" stroked="f">
              <v:stroke joinstyle="round"/>
              <v:path arrowok="t"/>
              <v:textbox style="layout-flow:vertical" inset="0,0,0,0">
                <w:txbxContent>
                  <w:p w14:paraId="63030396" w14:textId="5D36C2E6" w:rsidR="008E671B" w:rsidRDefault="008E671B" w:rsidP="008E671B">
                    <w:pPr>
                      <w:pStyle w:val="Header"/>
                      <w:jc w:val="right"/>
                    </w:pPr>
                    <w:r>
                      <w:t>FCCC/KP/CMP/2024/7/Add.1</w:t>
                    </w:r>
                  </w:p>
                </w:txbxContent>
              </v:textbox>
              <w10:wrap anchorx="page" anchory="margin"/>
            </v:shape>
          </w:pict>
        </mc:Fallback>
      </mc:AlternateConten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804691" w14:textId="3B6A371E" w:rsidR="00F97551" w:rsidRPr="00D43A6E" w:rsidRDefault="00D43A6E" w:rsidP="00D43A6E">
    <w:pPr>
      <w:pStyle w:val="Header"/>
    </w:pPr>
    <w:r>
      <w:t>FCCC/KP/CMP/2024/7/Add.1</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64A092" w14:textId="2B25A493" w:rsidR="00290634" w:rsidRPr="00D43A6E" w:rsidRDefault="00D43A6E" w:rsidP="00D43A6E">
    <w:pPr>
      <w:pStyle w:val="Header"/>
      <w:jc w:val="right"/>
    </w:pPr>
    <w:r>
      <w:t>FCCC/KP/CMP/2024/7/Add.1</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FC004" w14:textId="4965C468" w:rsidR="00116DED" w:rsidRPr="00D43A6E" w:rsidRDefault="00D43A6E" w:rsidP="00D43A6E">
    <w:pPr>
      <w:pStyle w:val="Header"/>
      <w:jc w:val="right"/>
    </w:pPr>
    <w:r>
      <w:t>FCCC/KP/CMP/2024/7/Add.1</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9919AD" w14:textId="5AEBB83F" w:rsidR="00461955" w:rsidRPr="00D43A6E" w:rsidRDefault="00D43A6E" w:rsidP="00D43A6E">
    <w:pPr>
      <w:pStyle w:val="Header"/>
    </w:pPr>
    <w:r>
      <w:t>FCCC/KP/CMP/2024/7/Add.1</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842A7C" w14:textId="408D5EB4" w:rsidR="00461955" w:rsidRPr="00D43A6E" w:rsidRDefault="00D43A6E" w:rsidP="00D43A6E">
    <w:pPr>
      <w:pStyle w:val="Header"/>
      <w:jc w:val="right"/>
    </w:pPr>
    <w:r>
      <w:t>FCCC/KP/CMP/2024/7/Add.1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D27F16" w14:textId="671DD9D1" w:rsidR="00862151" w:rsidRPr="00D43A6E" w:rsidRDefault="00D43A6E" w:rsidP="00D43A6E">
    <w:pPr>
      <w:pStyle w:val="Header"/>
      <w:jc w:val="right"/>
    </w:pPr>
    <w:r>
      <w:t>FCCC/KP/CMP/2024/7/Add.1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07BD62" w14:textId="77777777" w:rsidR="00AF445E" w:rsidRDefault="00AF445E" w:rsidP="007F45EC">
    <w:pPr>
      <w:pStyle w:val="Header"/>
      <w:pBdr>
        <w:bottom w:val="none" w:sz="0" w:space="0"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823E85" w14:textId="1B50C536" w:rsidR="009846B3" w:rsidRPr="00D24D88" w:rsidRDefault="00D24D88" w:rsidP="00D24D88">
    <w:pPr>
      <w:pStyle w:val="Header"/>
    </w:pPr>
    <w:r>
      <w:t>FCCC/KP/CMP/2024/X/Add.1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C5F1DE" w14:textId="6BA7282D" w:rsidR="009846B3" w:rsidRPr="00DD5BC5" w:rsidRDefault="009846B3"/>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1A900A" w14:textId="5044257D" w:rsidR="00461955" w:rsidRPr="00D43A6E" w:rsidRDefault="00D43A6E" w:rsidP="00D43A6E">
    <w:pPr>
      <w:pStyle w:val="Header"/>
    </w:pPr>
    <w:r>
      <w:t>FCCC/KP/CMP/2024/7/Add.1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9CCBEB" w14:textId="0A327C28" w:rsidR="00461955" w:rsidRPr="00D43A6E" w:rsidRDefault="00D43A6E" w:rsidP="00D43A6E">
    <w:pPr>
      <w:pStyle w:val="Header"/>
      <w:jc w:val="right"/>
    </w:pPr>
    <w:r>
      <w:t>FCCC/KP/CMP/2024/7/Add.1</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EA1F86" w14:textId="3BCD99DE" w:rsidR="00B16E10" w:rsidRPr="00D43A6E" w:rsidRDefault="00D43A6E" w:rsidP="00D43A6E">
    <w:pPr>
      <w:pStyle w:val="Header"/>
    </w:pPr>
    <w:r>
      <w:t>FCCC/KP/CMP/2024/7/Add.1</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77E816" w14:textId="5A167787" w:rsidR="003641B4" w:rsidRPr="00D43A6E" w:rsidRDefault="00D43A6E" w:rsidP="00D43A6E">
    <w:pPr>
      <w:pStyle w:val="Header"/>
      <w:jc w:val="right"/>
    </w:pPr>
    <w:r>
      <w:t>FCCC/KP/CMP/2024/7/Add.1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A1AA02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A9A7DF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5F8B21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CBC5FC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5E8A30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8E42B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6D89EB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412147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0D40BB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FA86BD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F2036B"/>
    <w:multiLevelType w:val="hybridMultilevel"/>
    <w:tmpl w:val="B21093D2"/>
    <w:lvl w:ilvl="0" w:tplc="9008FA9E">
      <w:start w:val="1"/>
      <w:numFmt w:val="bullet"/>
      <w:pStyle w:val="Bullet1G"/>
      <w:lvlText w:val="•"/>
      <w:lvlJc w:val="left"/>
      <w:pPr>
        <w:tabs>
          <w:tab w:val="num" w:pos="1701"/>
        </w:tabs>
        <w:ind w:left="1701" w:hanging="170"/>
      </w:pPr>
      <w:rPr>
        <w:rFonts w:ascii="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44454B7"/>
    <w:multiLevelType w:val="multilevel"/>
    <w:tmpl w:val="D570AB8A"/>
    <w:styleLink w:val="FigureFootnote"/>
    <w:lvl w:ilvl="0">
      <w:start w:val="1"/>
      <w:numFmt w:val="lowerLetter"/>
      <w:lvlRestart w:val="0"/>
      <w:suff w:val="space"/>
      <w:lvlText w:val="%1  "/>
      <w:lvlJc w:val="left"/>
      <w:pPr>
        <w:ind w:left="1134" w:firstLine="170"/>
      </w:pPr>
      <w:rPr>
        <w:i/>
        <w:sz w:val="18"/>
        <w:vertAlign w:val="superscrip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071E275F"/>
    <w:multiLevelType w:val="hybridMultilevel"/>
    <w:tmpl w:val="3D36B276"/>
    <w:name w:val="FCCCTextbox footnote"/>
    <w:lvl w:ilvl="0" w:tplc="4CEEA2B8">
      <w:start w:val="1"/>
      <w:numFmt w:val="lowerLetter"/>
      <w:lvlRestart w:val="0"/>
      <w:lvlText w:val="%1  "/>
      <w:lvlJc w:val="left"/>
      <w:pPr>
        <w:ind w:left="720" w:hanging="363"/>
      </w:pPr>
      <w:rPr>
        <w:rFonts w:hint="default"/>
        <w:i/>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023354E"/>
    <w:multiLevelType w:val="multilevel"/>
    <w:tmpl w:val="7382C6AE"/>
    <w:lvl w:ilvl="0">
      <w:start w:val="1"/>
      <w:numFmt w:val="upperRoman"/>
      <w:lvlRestart w:val="0"/>
      <w:pStyle w:val="RegHChG"/>
      <w:lvlText w:val="%1."/>
      <w:lvlJc w:val="right"/>
      <w:pPr>
        <w:tabs>
          <w:tab w:val="num" w:pos="1135"/>
        </w:tabs>
        <w:ind w:left="1135" w:hanging="284"/>
      </w:pPr>
      <w:rPr>
        <w:rFonts w:ascii="Times New Roman" w:hAnsi="Times New Roman" w:cs="Times New Roman" w:hint="default"/>
        <w:b/>
        <w:i w:val="0"/>
        <w:sz w:val="28"/>
      </w:rPr>
    </w:lvl>
    <w:lvl w:ilvl="1">
      <w:start w:val="1"/>
      <w:numFmt w:val="upperLetter"/>
      <w:pStyle w:val="RegH1G"/>
      <w:lvlText w:val="%2."/>
      <w:lvlJc w:val="right"/>
      <w:pPr>
        <w:tabs>
          <w:tab w:val="num" w:pos="1135"/>
        </w:tabs>
        <w:ind w:left="1135" w:hanging="284"/>
      </w:pPr>
      <w:rPr>
        <w:rFonts w:ascii="Times New Roman" w:hAnsi="Times New Roman" w:cs="Times New Roman" w:hint="default"/>
        <w:b/>
        <w:i w:val="0"/>
        <w:sz w:val="24"/>
      </w:rPr>
    </w:lvl>
    <w:lvl w:ilvl="2">
      <w:start w:val="1"/>
      <w:numFmt w:val="decimal"/>
      <w:pStyle w:val="RegH23G"/>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lowerLetter"/>
      <w:pStyle w:val="RegH4G"/>
      <w:lvlText w:val="(%4)"/>
      <w:lvlJc w:val="right"/>
      <w:pPr>
        <w:tabs>
          <w:tab w:val="num" w:pos="1134"/>
        </w:tabs>
        <w:ind w:left="1135" w:hanging="284"/>
      </w:pPr>
      <w:rPr>
        <w:rFonts w:ascii="Times New Roman" w:hAnsi="Times New Roman" w:cs="Times New Roman" w:hint="default"/>
        <w:b/>
        <w:i w:val="0"/>
        <w:sz w:val="20"/>
      </w:rPr>
    </w:lvl>
    <w:lvl w:ilvl="4">
      <w:start w:val="1"/>
      <w:numFmt w:val="lowerRoman"/>
      <w:pStyle w:val="RegH5G"/>
      <w:lvlText w:val="(%5)"/>
      <w:lvlJc w:val="right"/>
      <w:pPr>
        <w:tabs>
          <w:tab w:val="num" w:pos="1134"/>
        </w:tabs>
        <w:ind w:left="1135" w:hanging="284"/>
      </w:pPr>
      <w:rPr>
        <w:rFonts w:ascii="Times New Roman" w:hAnsi="Times New Roman" w:hint="default"/>
        <w:b w:val="0"/>
        <w:i/>
      </w:rPr>
    </w:lvl>
    <w:lvl w:ilvl="5">
      <w:start w:val="1"/>
      <w:numFmt w:val="decimal"/>
      <w:lvlRestart w:val="0"/>
      <w:pStyle w:val="RegSingleTxtG"/>
      <w:lvlText w:val="%6."/>
      <w:lvlJc w:val="left"/>
      <w:pPr>
        <w:ind w:left="1134" w:firstLine="0"/>
      </w:pPr>
      <w:rPr>
        <w:rFonts w:hint="default"/>
        <w:sz w:val="20"/>
      </w:rPr>
    </w:lvl>
    <w:lvl w:ilvl="6">
      <w:start w:val="1"/>
      <w:numFmt w:val="lowerLetter"/>
      <w:pStyle w:val="RegSingleTxtG2"/>
      <w:lvlText w:val="(%7)"/>
      <w:lvlJc w:val="left"/>
      <w:pPr>
        <w:tabs>
          <w:tab w:val="num" w:pos="1702"/>
        </w:tabs>
        <w:ind w:left="1134" w:firstLine="567"/>
      </w:pPr>
      <w:rPr>
        <w:rFonts w:hint="default"/>
        <w:b w:val="0"/>
        <w:i w:val="0"/>
        <w:color w:val="auto"/>
        <w:sz w:val="20"/>
        <w:szCs w:val="28"/>
      </w:rPr>
    </w:lvl>
    <w:lvl w:ilvl="7">
      <w:start w:val="1"/>
      <w:numFmt w:val="lowerRoman"/>
      <w:pStyle w:val="RegSingleTxtG3"/>
      <w:lvlText w:val="(%8)"/>
      <w:lvlJc w:val="left"/>
      <w:pPr>
        <w:ind w:left="1701" w:firstLine="0"/>
      </w:pPr>
      <w:rPr>
        <w:rFonts w:hint="default"/>
        <w:sz w:val="20"/>
      </w:rPr>
    </w:lvl>
    <w:lvl w:ilvl="8">
      <w:start w:val="1"/>
      <w:numFmt w:val="lowerLetter"/>
      <w:lvlText w:val="%9."/>
      <w:lvlJc w:val="left"/>
      <w:pPr>
        <w:tabs>
          <w:tab w:val="num" w:pos="2268"/>
        </w:tabs>
        <w:ind w:left="2268" w:firstLine="0"/>
      </w:pPr>
      <w:rPr>
        <w:rFonts w:hint="default"/>
      </w:rPr>
    </w:lvl>
  </w:abstractNum>
  <w:abstractNum w:abstractNumId="14" w15:restartNumberingAfterBreak="0">
    <w:nsid w:val="1F217904"/>
    <w:multiLevelType w:val="multilevel"/>
    <w:tmpl w:val="4C2A71EA"/>
    <w:name w:val="TextBox Footnote"/>
    <w:lvl w:ilvl="0">
      <w:start w:val="1"/>
      <w:numFmt w:val="lowerLetter"/>
      <w:lvlRestart w:val="0"/>
      <w:suff w:val="space"/>
      <w:lvlText w:val="%1  "/>
      <w:lvlJc w:val="left"/>
      <w:pPr>
        <w:ind w:left="1134" w:firstLine="170"/>
      </w:pPr>
      <w:rPr>
        <w:rFonts w:hint="default"/>
        <w:i/>
        <w:sz w:val="18"/>
        <w:vertAlign w:val="superscrip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15:restartNumberingAfterBreak="0">
    <w:nsid w:val="203B2E8D"/>
    <w:multiLevelType w:val="multilevel"/>
    <w:tmpl w:val="D570AB8A"/>
    <w:styleLink w:val="FCCCBoxfootnote"/>
    <w:lvl w:ilvl="0">
      <w:start w:val="1"/>
      <w:numFmt w:val="lowerLetter"/>
      <w:lvlRestart w:val="0"/>
      <w:suff w:val="space"/>
      <w:lvlText w:val="%1  "/>
      <w:lvlJc w:val="left"/>
      <w:pPr>
        <w:ind w:left="1134" w:firstLine="170"/>
      </w:pPr>
      <w:rPr>
        <w:i/>
        <w:sz w:val="18"/>
        <w:vertAlign w:val="superscrip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22C51BCD"/>
    <w:multiLevelType w:val="hybridMultilevel"/>
    <w:tmpl w:val="7A801CA4"/>
    <w:name w:val="FCCCTextbox footnote232"/>
    <w:lvl w:ilvl="0" w:tplc="4CEEA2B8">
      <w:start w:val="1"/>
      <w:numFmt w:val="lowerLetter"/>
      <w:lvlRestart w:val="0"/>
      <w:lvlText w:val="%1  "/>
      <w:lvlJc w:val="left"/>
      <w:pPr>
        <w:ind w:left="720" w:hanging="363"/>
      </w:pPr>
      <w:rPr>
        <w:rFonts w:hint="default"/>
        <w:i/>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2C64F00"/>
    <w:multiLevelType w:val="multilevel"/>
    <w:tmpl w:val="EF36802C"/>
    <w:lvl w:ilvl="0">
      <w:start w:val="1"/>
      <w:numFmt w:val="upperRoman"/>
      <w:lvlRestart w:val="0"/>
      <w:pStyle w:val="AnnoHCHG"/>
      <w:lvlText w:val="%1."/>
      <w:lvlJc w:val="right"/>
      <w:pPr>
        <w:tabs>
          <w:tab w:val="num" w:pos="1135"/>
        </w:tabs>
        <w:ind w:left="1135" w:hanging="284"/>
      </w:pPr>
      <w:rPr>
        <w:rFonts w:ascii="Times New Roman" w:hAnsi="Times New Roman" w:cs="Times New Roman" w:hint="default"/>
        <w:b/>
        <w:i w:val="0"/>
        <w:sz w:val="28"/>
      </w:rPr>
    </w:lvl>
    <w:lvl w:ilvl="1">
      <w:start w:val="1"/>
      <w:numFmt w:val="decimal"/>
      <w:pStyle w:val="AnnoH1G"/>
      <w:lvlText w:val="%2."/>
      <w:lvlJc w:val="right"/>
      <w:pPr>
        <w:tabs>
          <w:tab w:val="num" w:pos="1135"/>
        </w:tabs>
        <w:ind w:left="1135" w:hanging="284"/>
      </w:pPr>
      <w:rPr>
        <w:rFonts w:ascii="Times New Roman" w:hAnsi="Times New Roman" w:cs="Times New Roman" w:hint="default"/>
        <w:b/>
        <w:i w:val="0"/>
        <w:sz w:val="24"/>
      </w:rPr>
    </w:lvl>
    <w:lvl w:ilvl="2">
      <w:start w:val="1"/>
      <w:numFmt w:val="lowerLetter"/>
      <w:pStyle w:val="AnnoH23G"/>
      <w:lvlText w:val="(%3)"/>
      <w:lvlJc w:val="right"/>
      <w:pPr>
        <w:tabs>
          <w:tab w:val="num" w:pos="1135"/>
        </w:tabs>
        <w:ind w:left="1135" w:hanging="284"/>
      </w:pPr>
      <w:rPr>
        <w:rFonts w:ascii="Times New Roman" w:hAnsi="Times New Roman" w:cs="Times New Roman" w:hint="default"/>
        <w:b w:val="0"/>
        <w:i w:val="0"/>
        <w:sz w:val="20"/>
      </w:rPr>
    </w:lvl>
    <w:lvl w:ilvl="3">
      <w:start w:val="1"/>
      <w:numFmt w:val="decimal"/>
      <w:lvlRestart w:val="0"/>
      <w:pStyle w:val="AnnoSingleTxtG"/>
      <w:lvlText w:val="%4."/>
      <w:lvlJc w:val="left"/>
      <w:pPr>
        <w:tabs>
          <w:tab w:val="num" w:pos="1702"/>
        </w:tabs>
        <w:ind w:left="1702" w:hanging="567"/>
      </w:pPr>
      <w:rPr>
        <w:rFonts w:hint="default"/>
      </w:rPr>
    </w:lvl>
    <w:lvl w:ilvl="4">
      <w:start w:val="1"/>
      <w:numFmt w:val="lowerLetter"/>
      <w:lvlText w:val="(%5)"/>
      <w:lvlJc w:val="left"/>
      <w:pPr>
        <w:tabs>
          <w:tab w:val="num" w:pos="2269"/>
        </w:tabs>
        <w:ind w:left="1702" w:firstLine="0"/>
      </w:pPr>
      <w:rPr>
        <w:rFonts w:hint="default"/>
      </w:rPr>
    </w:lvl>
    <w:lvl w:ilvl="5">
      <w:start w:val="1"/>
      <w:numFmt w:val="decimal"/>
      <w:lvlText w:val="%6."/>
      <w:lvlJc w:val="left"/>
      <w:pPr>
        <w:tabs>
          <w:tab w:val="num" w:pos="2161"/>
        </w:tabs>
        <w:ind w:left="2836" w:hanging="567"/>
      </w:pPr>
      <w:rPr>
        <w:rFonts w:hint="default"/>
      </w:rPr>
    </w:lvl>
    <w:lvl w:ilvl="6">
      <w:start w:val="1"/>
      <w:numFmt w:val="lowerLetter"/>
      <w:lvlText w:val="(%7)"/>
      <w:lvlJc w:val="left"/>
      <w:pPr>
        <w:tabs>
          <w:tab w:val="num" w:pos="3403"/>
        </w:tabs>
        <w:ind w:left="3403" w:hanging="567"/>
      </w:pPr>
      <w:rPr>
        <w:rFonts w:hint="default"/>
      </w:rPr>
    </w:lvl>
    <w:lvl w:ilvl="7">
      <w:start w:val="1"/>
      <w:numFmt w:val="none"/>
      <w:lvlText w:val="[%4."/>
      <w:lvlJc w:val="left"/>
      <w:pPr>
        <w:tabs>
          <w:tab w:val="num" w:pos="1702"/>
        </w:tabs>
        <w:ind w:left="1702" w:hanging="567"/>
      </w:pPr>
      <w:rPr>
        <w:rFonts w:hint="default"/>
        <w:color w:val="auto"/>
        <w:szCs w:val="28"/>
      </w:rPr>
    </w:lvl>
    <w:lvl w:ilvl="8">
      <w:start w:val="1"/>
      <w:numFmt w:val="lowerRoman"/>
      <w:lvlText w:val="%9."/>
      <w:lvlJc w:val="left"/>
      <w:pPr>
        <w:tabs>
          <w:tab w:val="num" w:pos="3238"/>
        </w:tabs>
        <w:ind w:left="3238" w:hanging="357"/>
      </w:pPr>
      <w:rPr>
        <w:rFonts w:hint="default"/>
      </w:rPr>
    </w:lvl>
  </w:abstractNum>
  <w:abstractNum w:abstractNumId="18" w15:restartNumberingAfterBreak="0">
    <w:nsid w:val="2816E9E6"/>
    <w:multiLevelType w:val="hybridMultilevel"/>
    <w:tmpl w:val="5BCAE254"/>
    <w:lvl w:ilvl="0" w:tplc="6D2E001A">
      <w:numFmt w:val="none"/>
      <w:lvlText w:val=""/>
      <w:lvlJc w:val="left"/>
      <w:pPr>
        <w:tabs>
          <w:tab w:val="num" w:pos="360"/>
        </w:tabs>
      </w:pPr>
    </w:lvl>
    <w:lvl w:ilvl="1" w:tplc="404AAEE4">
      <w:start w:val="1"/>
      <w:numFmt w:val="lowerLetter"/>
      <w:lvlText w:val="%2."/>
      <w:lvlJc w:val="left"/>
      <w:pPr>
        <w:ind w:left="2214" w:hanging="360"/>
      </w:pPr>
    </w:lvl>
    <w:lvl w:ilvl="2" w:tplc="ECC61DCA">
      <w:start w:val="1"/>
      <w:numFmt w:val="lowerRoman"/>
      <w:lvlText w:val="%3."/>
      <w:lvlJc w:val="right"/>
      <w:pPr>
        <w:ind w:left="2934" w:hanging="180"/>
      </w:pPr>
    </w:lvl>
    <w:lvl w:ilvl="3" w:tplc="0E402B9E">
      <w:start w:val="1"/>
      <w:numFmt w:val="decimal"/>
      <w:lvlText w:val="%4."/>
      <w:lvlJc w:val="left"/>
      <w:pPr>
        <w:ind w:left="3654" w:hanging="360"/>
      </w:pPr>
    </w:lvl>
    <w:lvl w:ilvl="4" w:tplc="BB808D0C">
      <w:start w:val="1"/>
      <w:numFmt w:val="lowerLetter"/>
      <w:lvlText w:val="%5."/>
      <w:lvlJc w:val="left"/>
      <w:pPr>
        <w:ind w:left="4374" w:hanging="360"/>
      </w:pPr>
    </w:lvl>
    <w:lvl w:ilvl="5" w:tplc="AB5C8FD4">
      <w:start w:val="1"/>
      <w:numFmt w:val="lowerRoman"/>
      <w:lvlText w:val="%6."/>
      <w:lvlJc w:val="right"/>
      <w:pPr>
        <w:ind w:left="5094" w:hanging="180"/>
      </w:pPr>
    </w:lvl>
    <w:lvl w:ilvl="6" w:tplc="5838B81A">
      <w:start w:val="1"/>
      <w:numFmt w:val="decimal"/>
      <w:lvlText w:val="%7."/>
      <w:lvlJc w:val="left"/>
      <w:pPr>
        <w:ind w:left="5814" w:hanging="360"/>
      </w:pPr>
    </w:lvl>
    <w:lvl w:ilvl="7" w:tplc="6868D224">
      <w:start w:val="1"/>
      <w:numFmt w:val="lowerLetter"/>
      <w:lvlText w:val="%8."/>
      <w:lvlJc w:val="left"/>
      <w:pPr>
        <w:ind w:left="6534" w:hanging="360"/>
      </w:pPr>
    </w:lvl>
    <w:lvl w:ilvl="8" w:tplc="33C43082">
      <w:start w:val="1"/>
      <w:numFmt w:val="lowerRoman"/>
      <w:lvlText w:val="%9."/>
      <w:lvlJc w:val="right"/>
      <w:pPr>
        <w:ind w:left="7254" w:hanging="180"/>
      </w:pPr>
    </w:lvl>
  </w:abstractNum>
  <w:abstractNum w:abstractNumId="19" w15:restartNumberingAfterBreak="0">
    <w:nsid w:val="2E215943"/>
    <w:multiLevelType w:val="multilevel"/>
    <w:tmpl w:val="72D26EF8"/>
    <w:styleLink w:val="FCCCTextboxfootnote"/>
    <w:lvl w:ilvl="0">
      <w:start w:val="1"/>
      <w:numFmt w:val="lowerLetter"/>
      <w:lvlRestart w:val="0"/>
      <w:lvlText w:val="%1  "/>
      <w:lvlJc w:val="left"/>
      <w:pPr>
        <w:ind w:left="720" w:hanging="363"/>
      </w:pPr>
      <w:rPr>
        <w:rFonts w:hint="default"/>
        <w:i/>
        <w:sz w:val="18"/>
        <w:vertAlign w:val="superscrip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2F1F7003"/>
    <w:multiLevelType w:val="hybridMultilevel"/>
    <w:tmpl w:val="F8F22560"/>
    <w:name w:val="FCCCTextbox footnote2"/>
    <w:lvl w:ilvl="0" w:tplc="4CEEA2B8">
      <w:start w:val="1"/>
      <w:numFmt w:val="lowerLetter"/>
      <w:lvlRestart w:val="0"/>
      <w:lvlText w:val="%1  "/>
      <w:lvlJc w:val="left"/>
      <w:pPr>
        <w:ind w:left="720" w:hanging="363"/>
      </w:pPr>
      <w:rPr>
        <w:rFonts w:hint="default"/>
        <w:i/>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19C738E"/>
    <w:multiLevelType w:val="hybridMultilevel"/>
    <w:tmpl w:val="CF9042B4"/>
    <w:name w:val="FCCCTextbox footnote22"/>
    <w:lvl w:ilvl="0" w:tplc="4CEEA2B8">
      <w:start w:val="1"/>
      <w:numFmt w:val="lowerLetter"/>
      <w:lvlRestart w:val="0"/>
      <w:lvlText w:val="%1  "/>
      <w:lvlJc w:val="left"/>
      <w:pPr>
        <w:ind w:left="720" w:hanging="363"/>
      </w:pPr>
      <w:rPr>
        <w:rFonts w:hint="default"/>
        <w:i/>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BD52CAB"/>
    <w:multiLevelType w:val="hybridMultilevel"/>
    <w:tmpl w:val="4CCC8288"/>
    <w:lvl w:ilvl="0" w:tplc="0C209650">
      <w:numFmt w:val="none"/>
      <w:lvlText w:val=""/>
      <w:lvlJc w:val="left"/>
      <w:pPr>
        <w:tabs>
          <w:tab w:val="num" w:pos="360"/>
        </w:tabs>
      </w:pPr>
    </w:lvl>
    <w:lvl w:ilvl="1" w:tplc="202C9C9E">
      <w:start w:val="1"/>
      <w:numFmt w:val="lowerLetter"/>
      <w:lvlText w:val="%2."/>
      <w:lvlJc w:val="left"/>
      <w:pPr>
        <w:ind w:left="1440" w:hanging="360"/>
      </w:pPr>
    </w:lvl>
    <w:lvl w:ilvl="2" w:tplc="D46E3556">
      <w:start w:val="1"/>
      <w:numFmt w:val="lowerRoman"/>
      <w:lvlText w:val="%3."/>
      <w:lvlJc w:val="right"/>
      <w:pPr>
        <w:ind w:left="2160" w:hanging="180"/>
      </w:pPr>
    </w:lvl>
    <w:lvl w:ilvl="3" w:tplc="AA5C0E18">
      <w:start w:val="1"/>
      <w:numFmt w:val="decimal"/>
      <w:lvlText w:val="%4."/>
      <w:lvlJc w:val="left"/>
      <w:pPr>
        <w:ind w:left="2880" w:hanging="360"/>
      </w:pPr>
    </w:lvl>
    <w:lvl w:ilvl="4" w:tplc="1E12190A">
      <w:start w:val="1"/>
      <w:numFmt w:val="lowerLetter"/>
      <w:lvlText w:val="%5."/>
      <w:lvlJc w:val="left"/>
      <w:pPr>
        <w:ind w:left="3600" w:hanging="360"/>
      </w:pPr>
    </w:lvl>
    <w:lvl w:ilvl="5" w:tplc="1EC61072">
      <w:start w:val="1"/>
      <w:numFmt w:val="lowerRoman"/>
      <w:lvlText w:val="%6."/>
      <w:lvlJc w:val="right"/>
      <w:pPr>
        <w:ind w:left="4320" w:hanging="180"/>
      </w:pPr>
    </w:lvl>
    <w:lvl w:ilvl="6" w:tplc="3E34E392">
      <w:start w:val="1"/>
      <w:numFmt w:val="decimal"/>
      <w:lvlText w:val="%7."/>
      <w:lvlJc w:val="left"/>
      <w:pPr>
        <w:ind w:left="5040" w:hanging="360"/>
      </w:pPr>
    </w:lvl>
    <w:lvl w:ilvl="7" w:tplc="1CE85E84">
      <w:start w:val="1"/>
      <w:numFmt w:val="lowerLetter"/>
      <w:lvlText w:val="%8."/>
      <w:lvlJc w:val="left"/>
      <w:pPr>
        <w:ind w:left="5760" w:hanging="360"/>
      </w:pPr>
    </w:lvl>
    <w:lvl w:ilvl="8" w:tplc="71B0D04E">
      <w:start w:val="1"/>
      <w:numFmt w:val="lowerRoman"/>
      <w:lvlText w:val="%9."/>
      <w:lvlJc w:val="right"/>
      <w:pPr>
        <w:ind w:left="6480" w:hanging="180"/>
      </w:pPr>
    </w:lvl>
  </w:abstractNum>
  <w:abstractNum w:abstractNumId="23" w15:restartNumberingAfterBreak="0">
    <w:nsid w:val="4547667B"/>
    <w:multiLevelType w:val="hybridMultilevel"/>
    <w:tmpl w:val="9B720724"/>
    <w:name w:val="FCCCTextbox footnote23"/>
    <w:lvl w:ilvl="0" w:tplc="4CEEA2B8">
      <w:start w:val="1"/>
      <w:numFmt w:val="lowerLetter"/>
      <w:lvlRestart w:val="0"/>
      <w:lvlText w:val="%1  "/>
      <w:lvlJc w:val="left"/>
      <w:pPr>
        <w:ind w:left="720" w:hanging="363"/>
      </w:pPr>
      <w:rPr>
        <w:rFonts w:hint="default"/>
        <w:i/>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9A189BB"/>
    <w:multiLevelType w:val="hybridMultilevel"/>
    <w:tmpl w:val="6210854E"/>
    <w:lvl w:ilvl="0" w:tplc="92AC4968">
      <w:numFmt w:val="none"/>
      <w:lvlText w:val=""/>
      <w:lvlJc w:val="left"/>
      <w:pPr>
        <w:tabs>
          <w:tab w:val="num" w:pos="360"/>
        </w:tabs>
      </w:pPr>
    </w:lvl>
    <w:lvl w:ilvl="1" w:tplc="98B60F0E">
      <w:start w:val="1"/>
      <w:numFmt w:val="lowerLetter"/>
      <w:lvlText w:val="%2."/>
      <w:lvlJc w:val="left"/>
      <w:pPr>
        <w:ind w:left="1440" w:hanging="360"/>
      </w:pPr>
    </w:lvl>
    <w:lvl w:ilvl="2" w:tplc="E9F60102">
      <w:start w:val="1"/>
      <w:numFmt w:val="lowerRoman"/>
      <w:lvlText w:val="%3."/>
      <w:lvlJc w:val="right"/>
      <w:pPr>
        <w:ind w:left="2160" w:hanging="180"/>
      </w:pPr>
    </w:lvl>
    <w:lvl w:ilvl="3" w:tplc="0180CA60">
      <w:start w:val="1"/>
      <w:numFmt w:val="decimal"/>
      <w:lvlText w:val="%4."/>
      <w:lvlJc w:val="left"/>
      <w:pPr>
        <w:ind w:left="2880" w:hanging="360"/>
      </w:pPr>
    </w:lvl>
    <w:lvl w:ilvl="4" w:tplc="64823496">
      <w:start w:val="1"/>
      <w:numFmt w:val="lowerLetter"/>
      <w:lvlText w:val="%5."/>
      <w:lvlJc w:val="left"/>
      <w:pPr>
        <w:ind w:left="3600" w:hanging="360"/>
      </w:pPr>
    </w:lvl>
    <w:lvl w:ilvl="5" w:tplc="D042F4DE">
      <w:start w:val="1"/>
      <w:numFmt w:val="lowerRoman"/>
      <w:lvlText w:val="%6."/>
      <w:lvlJc w:val="right"/>
      <w:pPr>
        <w:ind w:left="4320" w:hanging="180"/>
      </w:pPr>
    </w:lvl>
    <w:lvl w:ilvl="6" w:tplc="888CFB20">
      <w:start w:val="1"/>
      <w:numFmt w:val="decimal"/>
      <w:lvlText w:val="%7."/>
      <w:lvlJc w:val="left"/>
      <w:pPr>
        <w:ind w:left="5040" w:hanging="360"/>
      </w:pPr>
    </w:lvl>
    <w:lvl w:ilvl="7" w:tplc="AB962D06">
      <w:start w:val="1"/>
      <w:numFmt w:val="lowerLetter"/>
      <w:lvlText w:val="%8."/>
      <w:lvlJc w:val="left"/>
      <w:pPr>
        <w:ind w:left="5760" w:hanging="360"/>
      </w:pPr>
    </w:lvl>
    <w:lvl w:ilvl="8" w:tplc="A5F0851A">
      <w:start w:val="1"/>
      <w:numFmt w:val="lowerRoman"/>
      <w:lvlText w:val="%9."/>
      <w:lvlJc w:val="right"/>
      <w:pPr>
        <w:ind w:left="6480" w:hanging="180"/>
      </w:pPr>
    </w:lvl>
  </w:abstractNum>
  <w:abstractNum w:abstractNumId="25" w15:restartNumberingAfterBreak="0">
    <w:nsid w:val="4F71C867"/>
    <w:multiLevelType w:val="hybridMultilevel"/>
    <w:tmpl w:val="96967220"/>
    <w:lvl w:ilvl="0" w:tplc="8E4EEC2A">
      <w:numFmt w:val="none"/>
      <w:lvlText w:val=""/>
      <w:lvlJc w:val="left"/>
      <w:pPr>
        <w:tabs>
          <w:tab w:val="num" w:pos="360"/>
        </w:tabs>
      </w:pPr>
    </w:lvl>
    <w:lvl w:ilvl="1" w:tplc="914C9E34">
      <w:start w:val="1"/>
      <w:numFmt w:val="lowerLetter"/>
      <w:lvlText w:val="%2."/>
      <w:lvlJc w:val="left"/>
      <w:pPr>
        <w:ind w:left="1506" w:hanging="360"/>
      </w:pPr>
    </w:lvl>
    <w:lvl w:ilvl="2" w:tplc="DDFEDD2E">
      <w:start w:val="1"/>
      <w:numFmt w:val="lowerRoman"/>
      <w:lvlText w:val="%3."/>
      <w:lvlJc w:val="right"/>
      <w:pPr>
        <w:ind w:left="2226" w:hanging="180"/>
      </w:pPr>
    </w:lvl>
    <w:lvl w:ilvl="3" w:tplc="E09C861A">
      <w:start w:val="1"/>
      <w:numFmt w:val="decimal"/>
      <w:lvlText w:val="%4."/>
      <w:lvlJc w:val="left"/>
      <w:pPr>
        <w:ind w:left="2946" w:hanging="360"/>
      </w:pPr>
    </w:lvl>
    <w:lvl w:ilvl="4" w:tplc="1D24671E">
      <w:start w:val="1"/>
      <w:numFmt w:val="lowerLetter"/>
      <w:lvlText w:val="%5."/>
      <w:lvlJc w:val="left"/>
      <w:pPr>
        <w:ind w:left="3666" w:hanging="360"/>
      </w:pPr>
    </w:lvl>
    <w:lvl w:ilvl="5" w:tplc="56402D12">
      <w:start w:val="1"/>
      <w:numFmt w:val="lowerRoman"/>
      <w:lvlText w:val="%6."/>
      <w:lvlJc w:val="right"/>
      <w:pPr>
        <w:ind w:left="4386" w:hanging="180"/>
      </w:pPr>
    </w:lvl>
    <w:lvl w:ilvl="6" w:tplc="91A2A04A">
      <w:start w:val="1"/>
      <w:numFmt w:val="decimal"/>
      <w:lvlText w:val="%7."/>
      <w:lvlJc w:val="left"/>
      <w:pPr>
        <w:ind w:left="5106" w:hanging="360"/>
      </w:pPr>
    </w:lvl>
    <w:lvl w:ilvl="7" w:tplc="A558CF6C">
      <w:start w:val="1"/>
      <w:numFmt w:val="lowerLetter"/>
      <w:lvlText w:val="%8."/>
      <w:lvlJc w:val="left"/>
      <w:pPr>
        <w:ind w:left="5826" w:hanging="360"/>
      </w:pPr>
    </w:lvl>
    <w:lvl w:ilvl="8" w:tplc="112E72E4">
      <w:start w:val="1"/>
      <w:numFmt w:val="lowerRoman"/>
      <w:lvlText w:val="%9."/>
      <w:lvlJc w:val="right"/>
      <w:pPr>
        <w:ind w:left="6546" w:hanging="180"/>
      </w:pPr>
    </w:lvl>
  </w:abstractNum>
  <w:abstractNum w:abstractNumId="26" w15:restartNumberingAfterBreak="0">
    <w:nsid w:val="60CA7829"/>
    <w:multiLevelType w:val="hybridMultilevel"/>
    <w:tmpl w:val="3C9A5AF4"/>
    <w:name w:val="TextBox Footnote2"/>
    <w:lvl w:ilvl="0" w:tplc="C79E93DA">
      <w:start w:val="1"/>
      <w:numFmt w:val="lowerLetter"/>
      <w:lvlText w:val="%1  "/>
      <w:lvlJc w:val="left"/>
      <w:pPr>
        <w:ind w:left="720" w:hanging="360"/>
      </w:pPr>
      <w:rPr>
        <w:rFonts w:hint="default"/>
        <w:i/>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52D4EB7"/>
    <w:multiLevelType w:val="hybridMultilevel"/>
    <w:tmpl w:val="26B8DAC0"/>
    <w:lvl w:ilvl="0" w:tplc="0409000F">
      <w:start w:val="1"/>
      <w:numFmt w:val="decimal"/>
      <w:lvlText w:val="%1."/>
      <w:lvlJc w:val="left"/>
      <w:pPr>
        <w:ind w:left="1855" w:hanging="360"/>
      </w:pPr>
    </w:lvl>
    <w:lvl w:ilvl="1" w:tplc="04090019" w:tentative="1">
      <w:start w:val="1"/>
      <w:numFmt w:val="lowerLetter"/>
      <w:lvlText w:val="%2."/>
      <w:lvlJc w:val="left"/>
      <w:pPr>
        <w:ind w:left="2575" w:hanging="360"/>
      </w:pPr>
    </w:lvl>
    <w:lvl w:ilvl="2" w:tplc="0409001B" w:tentative="1">
      <w:start w:val="1"/>
      <w:numFmt w:val="lowerRoman"/>
      <w:lvlText w:val="%3."/>
      <w:lvlJc w:val="right"/>
      <w:pPr>
        <w:ind w:left="3295" w:hanging="180"/>
      </w:pPr>
    </w:lvl>
    <w:lvl w:ilvl="3" w:tplc="0409000F" w:tentative="1">
      <w:start w:val="1"/>
      <w:numFmt w:val="decimal"/>
      <w:lvlText w:val="%4."/>
      <w:lvlJc w:val="left"/>
      <w:pPr>
        <w:ind w:left="4015" w:hanging="360"/>
      </w:pPr>
    </w:lvl>
    <w:lvl w:ilvl="4" w:tplc="04090019" w:tentative="1">
      <w:start w:val="1"/>
      <w:numFmt w:val="lowerLetter"/>
      <w:lvlText w:val="%5."/>
      <w:lvlJc w:val="left"/>
      <w:pPr>
        <w:ind w:left="4735" w:hanging="360"/>
      </w:pPr>
    </w:lvl>
    <w:lvl w:ilvl="5" w:tplc="0409001B" w:tentative="1">
      <w:start w:val="1"/>
      <w:numFmt w:val="lowerRoman"/>
      <w:lvlText w:val="%6."/>
      <w:lvlJc w:val="right"/>
      <w:pPr>
        <w:ind w:left="5455" w:hanging="180"/>
      </w:pPr>
    </w:lvl>
    <w:lvl w:ilvl="6" w:tplc="0409000F" w:tentative="1">
      <w:start w:val="1"/>
      <w:numFmt w:val="decimal"/>
      <w:lvlText w:val="%7."/>
      <w:lvlJc w:val="left"/>
      <w:pPr>
        <w:ind w:left="6175" w:hanging="360"/>
      </w:pPr>
    </w:lvl>
    <w:lvl w:ilvl="7" w:tplc="04090019" w:tentative="1">
      <w:start w:val="1"/>
      <w:numFmt w:val="lowerLetter"/>
      <w:lvlText w:val="%8."/>
      <w:lvlJc w:val="left"/>
      <w:pPr>
        <w:ind w:left="6895" w:hanging="360"/>
      </w:pPr>
    </w:lvl>
    <w:lvl w:ilvl="8" w:tplc="0409001B" w:tentative="1">
      <w:start w:val="1"/>
      <w:numFmt w:val="lowerRoman"/>
      <w:lvlText w:val="%9."/>
      <w:lvlJc w:val="right"/>
      <w:pPr>
        <w:ind w:left="7615" w:hanging="180"/>
      </w:pPr>
    </w:lvl>
  </w:abstractNum>
  <w:abstractNum w:abstractNumId="28" w15:restartNumberingAfterBreak="0">
    <w:nsid w:val="68862366"/>
    <w:multiLevelType w:val="hybridMultilevel"/>
    <w:tmpl w:val="A84009F8"/>
    <w:lvl w:ilvl="0" w:tplc="E24C15DA">
      <w:start w:val="1"/>
      <w:numFmt w:val="bullet"/>
      <w:pStyle w:val="Bullet2G"/>
      <w:lvlText w:val="•"/>
      <w:lvlJc w:val="left"/>
      <w:pPr>
        <w:tabs>
          <w:tab w:val="num" w:pos="2268"/>
        </w:tabs>
        <w:ind w:left="2268" w:hanging="170"/>
      </w:pPr>
      <w:rPr>
        <w:rFonts w:ascii="Times New Roman" w:hAnsi="Times New Roman" w:cs="Times New Roman" w:hint="default"/>
        <w:b w:val="0"/>
        <w:i w:val="0"/>
        <w:sz w:val="2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9D44222"/>
    <w:multiLevelType w:val="hybridMultilevel"/>
    <w:tmpl w:val="B9DEFBA8"/>
    <w:lvl w:ilvl="0" w:tplc="0CD46418">
      <w:start w:val="1"/>
      <w:numFmt w:val="lowerLetter"/>
      <w:lvlRestart w:val="0"/>
      <w:suff w:val="space"/>
      <w:lvlText w:val="%1  "/>
      <w:lvlJc w:val="left"/>
      <w:pPr>
        <w:ind w:left="1134" w:firstLine="170"/>
      </w:pPr>
      <w:rPr>
        <w:i/>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83289885">
    <w:abstractNumId w:val="13"/>
  </w:num>
  <w:num w:numId="2" w16cid:durableId="177428672">
    <w:abstractNumId w:val="10"/>
  </w:num>
  <w:num w:numId="3" w16cid:durableId="744455451">
    <w:abstractNumId w:val="28"/>
  </w:num>
  <w:num w:numId="4" w16cid:durableId="380713491">
    <w:abstractNumId w:val="17"/>
  </w:num>
  <w:num w:numId="5" w16cid:durableId="8259867">
    <w:abstractNumId w:val="15"/>
  </w:num>
  <w:num w:numId="6" w16cid:durableId="1678733448">
    <w:abstractNumId w:val="19"/>
  </w:num>
  <w:num w:numId="7" w16cid:durableId="78605626">
    <w:abstractNumId w:val="11"/>
  </w:num>
  <w:num w:numId="8" w16cid:durableId="2091079493">
    <w:abstractNumId w:val="10"/>
  </w:num>
  <w:num w:numId="9" w16cid:durableId="1511025763">
    <w:abstractNumId w:val="28"/>
  </w:num>
  <w:num w:numId="10" w16cid:durableId="39087971">
    <w:abstractNumId w:val="17"/>
  </w:num>
  <w:num w:numId="11" w16cid:durableId="964506036">
    <w:abstractNumId w:val="17"/>
  </w:num>
  <w:num w:numId="12" w16cid:durableId="923146848">
    <w:abstractNumId w:val="17"/>
  </w:num>
  <w:num w:numId="13" w16cid:durableId="1293829587">
    <w:abstractNumId w:val="17"/>
  </w:num>
  <w:num w:numId="14" w16cid:durableId="424769695">
    <w:abstractNumId w:val="13"/>
  </w:num>
  <w:num w:numId="15" w16cid:durableId="860094893">
    <w:abstractNumId w:val="13"/>
  </w:num>
  <w:num w:numId="16" w16cid:durableId="1220167644">
    <w:abstractNumId w:val="13"/>
  </w:num>
  <w:num w:numId="17" w16cid:durableId="2147357040">
    <w:abstractNumId w:val="13"/>
  </w:num>
  <w:num w:numId="18" w16cid:durableId="257447451">
    <w:abstractNumId w:val="13"/>
  </w:num>
  <w:num w:numId="19" w16cid:durableId="1463184619">
    <w:abstractNumId w:val="13"/>
  </w:num>
  <w:num w:numId="20" w16cid:durableId="1381858410">
    <w:abstractNumId w:val="13"/>
  </w:num>
  <w:num w:numId="21" w16cid:durableId="1305235678">
    <w:abstractNumId w:val="13"/>
  </w:num>
  <w:num w:numId="22" w16cid:durableId="189035159">
    <w:abstractNumId w:val="12"/>
  </w:num>
  <w:num w:numId="23" w16cid:durableId="1725904893">
    <w:abstractNumId w:val="29"/>
  </w:num>
  <w:num w:numId="24" w16cid:durableId="1167133530">
    <w:abstractNumId w:val="9"/>
  </w:num>
  <w:num w:numId="25" w16cid:durableId="1644773663">
    <w:abstractNumId w:val="7"/>
  </w:num>
  <w:num w:numId="26" w16cid:durableId="1333141577">
    <w:abstractNumId w:val="6"/>
  </w:num>
  <w:num w:numId="27" w16cid:durableId="1154371494">
    <w:abstractNumId w:val="5"/>
  </w:num>
  <w:num w:numId="28" w16cid:durableId="2112430649">
    <w:abstractNumId w:val="4"/>
  </w:num>
  <w:num w:numId="29" w16cid:durableId="1638219827">
    <w:abstractNumId w:val="8"/>
  </w:num>
  <w:num w:numId="30" w16cid:durableId="342173125">
    <w:abstractNumId w:val="3"/>
  </w:num>
  <w:num w:numId="31" w16cid:durableId="1598177463">
    <w:abstractNumId w:val="2"/>
  </w:num>
  <w:num w:numId="32" w16cid:durableId="580143356">
    <w:abstractNumId w:val="1"/>
  </w:num>
  <w:num w:numId="33" w16cid:durableId="1232081950">
    <w:abstractNumId w:val="0"/>
  </w:num>
  <w:num w:numId="34" w16cid:durableId="159639837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31926176">
    <w:abstractNumId w:val="13"/>
  </w:num>
  <w:num w:numId="36" w16cid:durableId="89308492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27397263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5"/>
    </w:lvlOverride>
    <w:lvlOverride w:ilvl="6">
      <w:startOverride w:val="1"/>
    </w:lvlOverride>
    <w:lvlOverride w:ilvl="7">
      <w:startOverride w:val="1"/>
    </w:lvlOverride>
    <w:lvlOverride w:ilvl="8">
      <w:startOverride w:val="1"/>
    </w:lvlOverride>
  </w:num>
  <w:num w:numId="38" w16cid:durableId="103129987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97583484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57783447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88967887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713844986">
    <w:abstractNumId w:val="24"/>
  </w:num>
  <w:num w:numId="43" w16cid:durableId="1283145261">
    <w:abstractNumId w:val="18"/>
  </w:num>
  <w:num w:numId="44" w16cid:durableId="2054882716">
    <w:abstractNumId w:val="25"/>
  </w:num>
  <w:num w:numId="45" w16cid:durableId="1466241246">
    <w:abstractNumId w:val="22"/>
  </w:num>
  <w:num w:numId="46" w16cid:durableId="908661143">
    <w:abstractNumId w:val="27"/>
  </w:num>
  <w:num w:numId="47" w16cid:durableId="563108674">
    <w:abstractNumId w:val="1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attachedTemplate r:id="rId1"/>
  <w:stylePaneFormatFilter w:val="B724" w:allStyles="0" w:customStyles="0" w:latentStyles="1" w:stylesInUse="0" w:headingStyles="1" w:numberingStyles="0" w:tableStyles="0" w:directFormattingOnRuns="1" w:directFormattingOnParagraphs="1" w:directFormattingOnNumbering="1" w:directFormattingOnTables="0" w:clearFormatting="1" w:top3HeadingStyles="1" w:visibleStyles="0" w:alternateStyleNames="1"/>
  <w:defaultTabStop w:val="567"/>
  <w:evenAndOddHeaders/>
  <w:drawingGridHorizontalSpacing w:val="100"/>
  <w:displayHorizontalDrawingGridEvery w:val="2"/>
  <w:displayVerticalDrawingGridEvery w:val="2"/>
  <w:noPunctuationKerning/>
  <w:characterSpacingControl w:val="doNotCompress"/>
  <w:hdrShapeDefaults>
    <o:shapedefaults v:ext="edit" spidmax="2050"/>
  </w:hdrShapeDefaults>
  <w:footnotePr>
    <w:footnote w:id="-1"/>
    <w:footnote w:id="0"/>
    <w:footnote w:id="1"/>
  </w:footnotePr>
  <w:endnotePr>
    <w:pos w:val="sectEnd"/>
    <w:numFmt w:val="lowerLetter"/>
    <w:numRestart w:val="eachSect"/>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A01"/>
    <w:rsid w:val="0000080E"/>
    <w:rsid w:val="00002558"/>
    <w:rsid w:val="00002CD7"/>
    <w:rsid w:val="00004A30"/>
    <w:rsid w:val="00007089"/>
    <w:rsid w:val="00007264"/>
    <w:rsid w:val="00011E0A"/>
    <w:rsid w:val="00013CD3"/>
    <w:rsid w:val="000150D1"/>
    <w:rsid w:val="000160E7"/>
    <w:rsid w:val="0001613C"/>
    <w:rsid w:val="00017359"/>
    <w:rsid w:val="00017412"/>
    <w:rsid w:val="00021BB6"/>
    <w:rsid w:val="0002382B"/>
    <w:rsid w:val="00023CA0"/>
    <w:rsid w:val="00024A32"/>
    <w:rsid w:val="00025C67"/>
    <w:rsid w:val="00027F7F"/>
    <w:rsid w:val="000304AD"/>
    <w:rsid w:val="00031559"/>
    <w:rsid w:val="00031D07"/>
    <w:rsid w:val="00032554"/>
    <w:rsid w:val="00032DDE"/>
    <w:rsid w:val="000347F2"/>
    <w:rsid w:val="000365F5"/>
    <w:rsid w:val="000369ED"/>
    <w:rsid w:val="00037650"/>
    <w:rsid w:val="000376C0"/>
    <w:rsid w:val="0003776D"/>
    <w:rsid w:val="00037A64"/>
    <w:rsid w:val="000423A6"/>
    <w:rsid w:val="000433D1"/>
    <w:rsid w:val="00043A8D"/>
    <w:rsid w:val="00044246"/>
    <w:rsid w:val="000468BB"/>
    <w:rsid w:val="00046915"/>
    <w:rsid w:val="00046F86"/>
    <w:rsid w:val="00050A37"/>
    <w:rsid w:val="00052463"/>
    <w:rsid w:val="00054CCE"/>
    <w:rsid w:val="0005502F"/>
    <w:rsid w:val="000555B3"/>
    <w:rsid w:val="000561BD"/>
    <w:rsid w:val="00056B81"/>
    <w:rsid w:val="00057F57"/>
    <w:rsid w:val="000610B7"/>
    <w:rsid w:val="000617DC"/>
    <w:rsid w:val="00062505"/>
    <w:rsid w:val="00064CA0"/>
    <w:rsid w:val="000665D5"/>
    <w:rsid w:val="0006693C"/>
    <w:rsid w:val="0007399D"/>
    <w:rsid w:val="00073E0B"/>
    <w:rsid w:val="00074855"/>
    <w:rsid w:val="00074EC5"/>
    <w:rsid w:val="00074FC8"/>
    <w:rsid w:val="00076113"/>
    <w:rsid w:val="00076D9F"/>
    <w:rsid w:val="000773C8"/>
    <w:rsid w:val="00081C44"/>
    <w:rsid w:val="00083647"/>
    <w:rsid w:val="00085207"/>
    <w:rsid w:val="00085DE6"/>
    <w:rsid w:val="0008756E"/>
    <w:rsid w:val="00087BE9"/>
    <w:rsid w:val="00090016"/>
    <w:rsid w:val="000909AE"/>
    <w:rsid w:val="00090A78"/>
    <w:rsid w:val="000913D3"/>
    <w:rsid w:val="000913E6"/>
    <w:rsid w:val="00092DD8"/>
    <w:rsid w:val="00092E29"/>
    <w:rsid w:val="00093044"/>
    <w:rsid w:val="000973BA"/>
    <w:rsid w:val="000974E5"/>
    <w:rsid w:val="000A399F"/>
    <w:rsid w:val="000A43AD"/>
    <w:rsid w:val="000A4C99"/>
    <w:rsid w:val="000A566F"/>
    <w:rsid w:val="000A63A9"/>
    <w:rsid w:val="000A63B3"/>
    <w:rsid w:val="000A7C2B"/>
    <w:rsid w:val="000B00B6"/>
    <w:rsid w:val="000B06DA"/>
    <w:rsid w:val="000B1FD0"/>
    <w:rsid w:val="000B4619"/>
    <w:rsid w:val="000B4FDB"/>
    <w:rsid w:val="000B51BC"/>
    <w:rsid w:val="000C0149"/>
    <w:rsid w:val="000C019A"/>
    <w:rsid w:val="000C0E05"/>
    <w:rsid w:val="000C24E3"/>
    <w:rsid w:val="000C2E59"/>
    <w:rsid w:val="000C413C"/>
    <w:rsid w:val="000C5173"/>
    <w:rsid w:val="000C5F30"/>
    <w:rsid w:val="000C68AA"/>
    <w:rsid w:val="000C724B"/>
    <w:rsid w:val="000C7FAF"/>
    <w:rsid w:val="000D2D11"/>
    <w:rsid w:val="000D310D"/>
    <w:rsid w:val="000D5DED"/>
    <w:rsid w:val="000D6922"/>
    <w:rsid w:val="000D6D4A"/>
    <w:rsid w:val="000D6DC3"/>
    <w:rsid w:val="000E033A"/>
    <w:rsid w:val="000E343D"/>
    <w:rsid w:val="000E3BD5"/>
    <w:rsid w:val="000E5A58"/>
    <w:rsid w:val="000E6E68"/>
    <w:rsid w:val="000E73A0"/>
    <w:rsid w:val="000F13AC"/>
    <w:rsid w:val="000F2969"/>
    <w:rsid w:val="000F379C"/>
    <w:rsid w:val="000F4528"/>
    <w:rsid w:val="000F5020"/>
    <w:rsid w:val="000F60BD"/>
    <w:rsid w:val="000F6F12"/>
    <w:rsid w:val="001007C9"/>
    <w:rsid w:val="00103310"/>
    <w:rsid w:val="001042FF"/>
    <w:rsid w:val="0010453A"/>
    <w:rsid w:val="00106384"/>
    <w:rsid w:val="00107536"/>
    <w:rsid w:val="00107B0E"/>
    <w:rsid w:val="00110AF1"/>
    <w:rsid w:val="0011157B"/>
    <w:rsid w:val="001161E5"/>
    <w:rsid w:val="001167D6"/>
    <w:rsid w:val="00116DED"/>
    <w:rsid w:val="0011781E"/>
    <w:rsid w:val="00120826"/>
    <w:rsid w:val="00120901"/>
    <w:rsid w:val="001209A8"/>
    <w:rsid w:val="00120E84"/>
    <w:rsid w:val="00121967"/>
    <w:rsid w:val="00122D2A"/>
    <w:rsid w:val="00123C52"/>
    <w:rsid w:val="00124496"/>
    <w:rsid w:val="00125EFD"/>
    <w:rsid w:val="0012701C"/>
    <w:rsid w:val="00127311"/>
    <w:rsid w:val="00131949"/>
    <w:rsid w:val="00132526"/>
    <w:rsid w:val="001328F9"/>
    <w:rsid w:val="00133DB0"/>
    <w:rsid w:val="001343C1"/>
    <w:rsid w:val="001349EC"/>
    <w:rsid w:val="00134ABF"/>
    <w:rsid w:val="00134F15"/>
    <w:rsid w:val="001361CC"/>
    <w:rsid w:val="001368D9"/>
    <w:rsid w:val="00136D61"/>
    <w:rsid w:val="00140439"/>
    <w:rsid w:val="001404D7"/>
    <w:rsid w:val="00141710"/>
    <w:rsid w:val="00141BCA"/>
    <w:rsid w:val="00142A35"/>
    <w:rsid w:val="00144248"/>
    <w:rsid w:val="001458C9"/>
    <w:rsid w:val="00146C2D"/>
    <w:rsid w:val="00150EDA"/>
    <w:rsid w:val="00152A6E"/>
    <w:rsid w:val="00152FAF"/>
    <w:rsid w:val="001560D2"/>
    <w:rsid w:val="00156E12"/>
    <w:rsid w:val="001600D9"/>
    <w:rsid w:val="00160780"/>
    <w:rsid w:val="00162B4D"/>
    <w:rsid w:val="001664E2"/>
    <w:rsid w:val="00172CF0"/>
    <w:rsid w:val="001738F1"/>
    <w:rsid w:val="00174A05"/>
    <w:rsid w:val="00174DA8"/>
    <w:rsid w:val="0017527C"/>
    <w:rsid w:val="00175444"/>
    <w:rsid w:val="0017614E"/>
    <w:rsid w:val="00176D28"/>
    <w:rsid w:val="00177074"/>
    <w:rsid w:val="00180DE6"/>
    <w:rsid w:val="001824A4"/>
    <w:rsid w:val="00183B39"/>
    <w:rsid w:val="00184C03"/>
    <w:rsid w:val="00184E67"/>
    <w:rsid w:val="00186A4F"/>
    <w:rsid w:val="0018796E"/>
    <w:rsid w:val="001906D0"/>
    <w:rsid w:val="001915EF"/>
    <w:rsid w:val="00191C54"/>
    <w:rsid w:val="00191CF1"/>
    <w:rsid w:val="00192C8F"/>
    <w:rsid w:val="001941BB"/>
    <w:rsid w:val="0019430F"/>
    <w:rsid w:val="001945C7"/>
    <w:rsid w:val="00194BFA"/>
    <w:rsid w:val="00194E11"/>
    <w:rsid w:val="00194F18"/>
    <w:rsid w:val="00194F40"/>
    <w:rsid w:val="00195018"/>
    <w:rsid w:val="00195FF4"/>
    <w:rsid w:val="00196E77"/>
    <w:rsid w:val="001A0A3A"/>
    <w:rsid w:val="001A1FC1"/>
    <w:rsid w:val="001A281B"/>
    <w:rsid w:val="001A371C"/>
    <w:rsid w:val="001A374E"/>
    <w:rsid w:val="001A3E9A"/>
    <w:rsid w:val="001A594B"/>
    <w:rsid w:val="001A5FE8"/>
    <w:rsid w:val="001A6305"/>
    <w:rsid w:val="001A70E2"/>
    <w:rsid w:val="001A73A1"/>
    <w:rsid w:val="001A7F02"/>
    <w:rsid w:val="001B085A"/>
    <w:rsid w:val="001B0F78"/>
    <w:rsid w:val="001B1483"/>
    <w:rsid w:val="001B2097"/>
    <w:rsid w:val="001B21BA"/>
    <w:rsid w:val="001B2E34"/>
    <w:rsid w:val="001B349C"/>
    <w:rsid w:val="001B5009"/>
    <w:rsid w:val="001C3DE7"/>
    <w:rsid w:val="001C3F2F"/>
    <w:rsid w:val="001C40F0"/>
    <w:rsid w:val="001C4688"/>
    <w:rsid w:val="001C5098"/>
    <w:rsid w:val="001C5BDA"/>
    <w:rsid w:val="001C5CB1"/>
    <w:rsid w:val="001C66B3"/>
    <w:rsid w:val="001C7B87"/>
    <w:rsid w:val="001D0041"/>
    <w:rsid w:val="001D012A"/>
    <w:rsid w:val="001D0F0F"/>
    <w:rsid w:val="001D2466"/>
    <w:rsid w:val="001D2FD8"/>
    <w:rsid w:val="001D3E2C"/>
    <w:rsid w:val="001D6886"/>
    <w:rsid w:val="001E1EFC"/>
    <w:rsid w:val="001E235A"/>
    <w:rsid w:val="001E38E4"/>
    <w:rsid w:val="001E3BA8"/>
    <w:rsid w:val="001E5CEB"/>
    <w:rsid w:val="001E7D13"/>
    <w:rsid w:val="001F086A"/>
    <w:rsid w:val="001F0C87"/>
    <w:rsid w:val="001F16A8"/>
    <w:rsid w:val="001F175D"/>
    <w:rsid w:val="001F2BBF"/>
    <w:rsid w:val="001F6233"/>
    <w:rsid w:val="001F72EC"/>
    <w:rsid w:val="001F7C34"/>
    <w:rsid w:val="002008AA"/>
    <w:rsid w:val="00201B92"/>
    <w:rsid w:val="00201DCD"/>
    <w:rsid w:val="00202034"/>
    <w:rsid w:val="002025E1"/>
    <w:rsid w:val="00202C1D"/>
    <w:rsid w:val="00204351"/>
    <w:rsid w:val="002049D1"/>
    <w:rsid w:val="002051C6"/>
    <w:rsid w:val="00205A5E"/>
    <w:rsid w:val="00206C17"/>
    <w:rsid w:val="00207452"/>
    <w:rsid w:val="002109A1"/>
    <w:rsid w:val="00211AC4"/>
    <w:rsid w:val="0021446A"/>
    <w:rsid w:val="002158BF"/>
    <w:rsid w:val="00216589"/>
    <w:rsid w:val="0022009A"/>
    <w:rsid w:val="00220511"/>
    <w:rsid w:val="00221497"/>
    <w:rsid w:val="00221CA6"/>
    <w:rsid w:val="00223453"/>
    <w:rsid w:val="00224111"/>
    <w:rsid w:val="0022627C"/>
    <w:rsid w:val="00226B79"/>
    <w:rsid w:val="00230892"/>
    <w:rsid w:val="00230D0F"/>
    <w:rsid w:val="00231FB5"/>
    <w:rsid w:val="00232479"/>
    <w:rsid w:val="00232EAA"/>
    <w:rsid w:val="002348F4"/>
    <w:rsid w:val="002350B1"/>
    <w:rsid w:val="00235D5E"/>
    <w:rsid w:val="0023717D"/>
    <w:rsid w:val="002376DE"/>
    <w:rsid w:val="00237C24"/>
    <w:rsid w:val="00242957"/>
    <w:rsid w:val="00242A9B"/>
    <w:rsid w:val="002434EA"/>
    <w:rsid w:val="0024447B"/>
    <w:rsid w:val="00244D85"/>
    <w:rsid w:val="00245CC4"/>
    <w:rsid w:val="00246888"/>
    <w:rsid w:val="00247BF6"/>
    <w:rsid w:val="00250037"/>
    <w:rsid w:val="00250819"/>
    <w:rsid w:val="00251EDE"/>
    <w:rsid w:val="00251FF9"/>
    <w:rsid w:val="00253D17"/>
    <w:rsid w:val="002566BA"/>
    <w:rsid w:val="00256CFB"/>
    <w:rsid w:val="00257AA3"/>
    <w:rsid w:val="00260BFA"/>
    <w:rsid w:val="00263E0E"/>
    <w:rsid w:val="00264F17"/>
    <w:rsid w:val="00266031"/>
    <w:rsid w:val="00266D68"/>
    <w:rsid w:val="00267B98"/>
    <w:rsid w:val="0027078B"/>
    <w:rsid w:val="00272737"/>
    <w:rsid w:val="00272BDB"/>
    <w:rsid w:val="00273E8E"/>
    <w:rsid w:val="0027419E"/>
    <w:rsid w:val="00274933"/>
    <w:rsid w:val="00275CD2"/>
    <w:rsid w:val="00276A17"/>
    <w:rsid w:val="002776B4"/>
    <w:rsid w:val="002779EB"/>
    <w:rsid w:val="00277CB7"/>
    <w:rsid w:val="00280332"/>
    <w:rsid w:val="00280394"/>
    <w:rsid w:val="002823A1"/>
    <w:rsid w:val="0028255E"/>
    <w:rsid w:val="00283275"/>
    <w:rsid w:val="002833EB"/>
    <w:rsid w:val="0028426A"/>
    <w:rsid w:val="002859C9"/>
    <w:rsid w:val="0028672C"/>
    <w:rsid w:val="0029007C"/>
    <w:rsid w:val="00290409"/>
    <w:rsid w:val="00290634"/>
    <w:rsid w:val="0029193E"/>
    <w:rsid w:val="00292DC3"/>
    <w:rsid w:val="002933A4"/>
    <w:rsid w:val="00294D1E"/>
    <w:rsid w:val="002954CD"/>
    <w:rsid w:val="00295866"/>
    <w:rsid w:val="00295F66"/>
    <w:rsid w:val="0029733B"/>
    <w:rsid w:val="00297C1E"/>
    <w:rsid w:val="002A0D94"/>
    <w:rsid w:val="002A4F71"/>
    <w:rsid w:val="002A7470"/>
    <w:rsid w:val="002A7B52"/>
    <w:rsid w:val="002A7E3A"/>
    <w:rsid w:val="002B00DA"/>
    <w:rsid w:val="002B0283"/>
    <w:rsid w:val="002B1CBB"/>
    <w:rsid w:val="002B1F11"/>
    <w:rsid w:val="002B3984"/>
    <w:rsid w:val="002B446B"/>
    <w:rsid w:val="002B51DC"/>
    <w:rsid w:val="002B52E5"/>
    <w:rsid w:val="002B685D"/>
    <w:rsid w:val="002B71EA"/>
    <w:rsid w:val="002B72CE"/>
    <w:rsid w:val="002B7532"/>
    <w:rsid w:val="002C051E"/>
    <w:rsid w:val="002C0881"/>
    <w:rsid w:val="002C0B63"/>
    <w:rsid w:val="002C11F7"/>
    <w:rsid w:val="002C159B"/>
    <w:rsid w:val="002C3336"/>
    <w:rsid w:val="002C3AC9"/>
    <w:rsid w:val="002C52A6"/>
    <w:rsid w:val="002C5632"/>
    <w:rsid w:val="002C6125"/>
    <w:rsid w:val="002D1009"/>
    <w:rsid w:val="002D154A"/>
    <w:rsid w:val="002D1E3E"/>
    <w:rsid w:val="002D1F6E"/>
    <w:rsid w:val="002D33FE"/>
    <w:rsid w:val="002D44A5"/>
    <w:rsid w:val="002D540A"/>
    <w:rsid w:val="002D66A2"/>
    <w:rsid w:val="002D737B"/>
    <w:rsid w:val="002E0521"/>
    <w:rsid w:val="002E0A03"/>
    <w:rsid w:val="002E25DA"/>
    <w:rsid w:val="002E2DE7"/>
    <w:rsid w:val="002E3ED8"/>
    <w:rsid w:val="002E73F9"/>
    <w:rsid w:val="002E7D2C"/>
    <w:rsid w:val="002F1070"/>
    <w:rsid w:val="002F1858"/>
    <w:rsid w:val="002F1FAE"/>
    <w:rsid w:val="002F304A"/>
    <w:rsid w:val="002F436B"/>
    <w:rsid w:val="002F60E8"/>
    <w:rsid w:val="002F7B01"/>
    <w:rsid w:val="002F7E8E"/>
    <w:rsid w:val="003012AF"/>
    <w:rsid w:val="0030175D"/>
    <w:rsid w:val="0030279E"/>
    <w:rsid w:val="00302E3B"/>
    <w:rsid w:val="00304BA1"/>
    <w:rsid w:val="00304F7F"/>
    <w:rsid w:val="00306423"/>
    <w:rsid w:val="00306E84"/>
    <w:rsid w:val="00307591"/>
    <w:rsid w:val="003075AC"/>
    <w:rsid w:val="00310F6C"/>
    <w:rsid w:val="0031149B"/>
    <w:rsid w:val="003132EC"/>
    <w:rsid w:val="003140D1"/>
    <w:rsid w:val="003146C9"/>
    <w:rsid w:val="003147E4"/>
    <w:rsid w:val="00316F7E"/>
    <w:rsid w:val="003170B3"/>
    <w:rsid w:val="00317B8C"/>
    <w:rsid w:val="00317FCB"/>
    <w:rsid w:val="00320E41"/>
    <w:rsid w:val="00321A14"/>
    <w:rsid w:val="003234D7"/>
    <w:rsid w:val="003244FC"/>
    <w:rsid w:val="00324FFA"/>
    <w:rsid w:val="003250E7"/>
    <w:rsid w:val="00327575"/>
    <w:rsid w:val="00327B89"/>
    <w:rsid w:val="00332592"/>
    <w:rsid w:val="003354A0"/>
    <w:rsid w:val="00336011"/>
    <w:rsid w:val="00336DC3"/>
    <w:rsid w:val="0034005C"/>
    <w:rsid w:val="00340554"/>
    <w:rsid w:val="00341289"/>
    <w:rsid w:val="003415A2"/>
    <w:rsid w:val="00341902"/>
    <w:rsid w:val="00343352"/>
    <w:rsid w:val="003444DA"/>
    <w:rsid w:val="00344AD3"/>
    <w:rsid w:val="00344F61"/>
    <w:rsid w:val="0034631F"/>
    <w:rsid w:val="003501D1"/>
    <w:rsid w:val="00350710"/>
    <w:rsid w:val="00355B23"/>
    <w:rsid w:val="00357684"/>
    <w:rsid w:val="00361821"/>
    <w:rsid w:val="00361A9D"/>
    <w:rsid w:val="00362B7B"/>
    <w:rsid w:val="00363899"/>
    <w:rsid w:val="003638E8"/>
    <w:rsid w:val="00363C37"/>
    <w:rsid w:val="003641B4"/>
    <w:rsid w:val="003643C9"/>
    <w:rsid w:val="00364768"/>
    <w:rsid w:val="00364838"/>
    <w:rsid w:val="00364B85"/>
    <w:rsid w:val="00364F65"/>
    <w:rsid w:val="00367230"/>
    <w:rsid w:val="00373A34"/>
    <w:rsid w:val="003757BA"/>
    <w:rsid w:val="00375F53"/>
    <w:rsid w:val="003762C2"/>
    <w:rsid w:val="0037643F"/>
    <w:rsid w:val="00376D09"/>
    <w:rsid w:val="00380335"/>
    <w:rsid w:val="00381632"/>
    <w:rsid w:val="0038280A"/>
    <w:rsid w:val="0038341D"/>
    <w:rsid w:val="00383494"/>
    <w:rsid w:val="00383921"/>
    <w:rsid w:val="003847B9"/>
    <w:rsid w:val="00385E56"/>
    <w:rsid w:val="00390C91"/>
    <w:rsid w:val="00393961"/>
    <w:rsid w:val="003954F7"/>
    <w:rsid w:val="003A04B4"/>
    <w:rsid w:val="003A3281"/>
    <w:rsid w:val="003A4936"/>
    <w:rsid w:val="003A4BCA"/>
    <w:rsid w:val="003A5828"/>
    <w:rsid w:val="003A72FF"/>
    <w:rsid w:val="003A7466"/>
    <w:rsid w:val="003A7C1D"/>
    <w:rsid w:val="003B1229"/>
    <w:rsid w:val="003B2C11"/>
    <w:rsid w:val="003B3C25"/>
    <w:rsid w:val="003B4C6A"/>
    <w:rsid w:val="003B4D23"/>
    <w:rsid w:val="003B707A"/>
    <w:rsid w:val="003B714F"/>
    <w:rsid w:val="003B7938"/>
    <w:rsid w:val="003B7D0F"/>
    <w:rsid w:val="003B7F17"/>
    <w:rsid w:val="003C0325"/>
    <w:rsid w:val="003C2BB6"/>
    <w:rsid w:val="003C2D86"/>
    <w:rsid w:val="003C3854"/>
    <w:rsid w:val="003C41B7"/>
    <w:rsid w:val="003C6884"/>
    <w:rsid w:val="003C75B9"/>
    <w:rsid w:val="003D08B7"/>
    <w:rsid w:val="003D1A53"/>
    <w:rsid w:val="003D3271"/>
    <w:rsid w:val="003D36AD"/>
    <w:rsid w:val="003D3B00"/>
    <w:rsid w:val="003D3F76"/>
    <w:rsid w:val="003D4491"/>
    <w:rsid w:val="003D5031"/>
    <w:rsid w:val="003D5FAA"/>
    <w:rsid w:val="003D6B47"/>
    <w:rsid w:val="003E05CD"/>
    <w:rsid w:val="003E3A52"/>
    <w:rsid w:val="003E3AC1"/>
    <w:rsid w:val="003E4BD2"/>
    <w:rsid w:val="003E6032"/>
    <w:rsid w:val="003E681F"/>
    <w:rsid w:val="003E6C8D"/>
    <w:rsid w:val="003E7CA8"/>
    <w:rsid w:val="003F06AD"/>
    <w:rsid w:val="003F0B15"/>
    <w:rsid w:val="003F0BC6"/>
    <w:rsid w:val="003F1E27"/>
    <w:rsid w:val="003F20C4"/>
    <w:rsid w:val="003F3102"/>
    <w:rsid w:val="003F3389"/>
    <w:rsid w:val="003F5FEE"/>
    <w:rsid w:val="003F6A01"/>
    <w:rsid w:val="003F7301"/>
    <w:rsid w:val="0040026E"/>
    <w:rsid w:val="00400B35"/>
    <w:rsid w:val="00401A16"/>
    <w:rsid w:val="00403E2E"/>
    <w:rsid w:val="00403F00"/>
    <w:rsid w:val="00405060"/>
    <w:rsid w:val="004061BF"/>
    <w:rsid w:val="00406777"/>
    <w:rsid w:val="00406DCB"/>
    <w:rsid w:val="00410508"/>
    <w:rsid w:val="00410681"/>
    <w:rsid w:val="00411F65"/>
    <w:rsid w:val="004127DD"/>
    <w:rsid w:val="00413D06"/>
    <w:rsid w:val="00415EFB"/>
    <w:rsid w:val="00417292"/>
    <w:rsid w:val="00420D06"/>
    <w:rsid w:val="004215DD"/>
    <w:rsid w:val="00422A48"/>
    <w:rsid w:val="00422A55"/>
    <w:rsid w:val="004269E8"/>
    <w:rsid w:val="00427DA2"/>
    <w:rsid w:val="004318BD"/>
    <w:rsid w:val="0043729E"/>
    <w:rsid w:val="00437435"/>
    <w:rsid w:val="00440E1D"/>
    <w:rsid w:val="00442AFD"/>
    <w:rsid w:val="00444573"/>
    <w:rsid w:val="00444E87"/>
    <w:rsid w:val="00444FB6"/>
    <w:rsid w:val="00445627"/>
    <w:rsid w:val="00446D89"/>
    <w:rsid w:val="004513DF"/>
    <w:rsid w:val="004518B8"/>
    <w:rsid w:val="00451C4D"/>
    <w:rsid w:val="00453361"/>
    <w:rsid w:val="00455217"/>
    <w:rsid w:val="00455747"/>
    <w:rsid w:val="00456080"/>
    <w:rsid w:val="004578AD"/>
    <w:rsid w:val="0046024B"/>
    <w:rsid w:val="00461955"/>
    <w:rsid w:val="00464BE9"/>
    <w:rsid w:val="00465586"/>
    <w:rsid w:val="0046797C"/>
    <w:rsid w:val="00471E7F"/>
    <w:rsid w:val="004732FC"/>
    <w:rsid w:val="00475A2D"/>
    <w:rsid w:val="00477328"/>
    <w:rsid w:val="004812E6"/>
    <w:rsid w:val="0048196D"/>
    <w:rsid w:val="00484704"/>
    <w:rsid w:val="00484B74"/>
    <w:rsid w:val="00484FBD"/>
    <w:rsid w:val="0048523B"/>
    <w:rsid w:val="00485971"/>
    <w:rsid w:val="00487DED"/>
    <w:rsid w:val="00490369"/>
    <w:rsid w:val="004903C5"/>
    <w:rsid w:val="00490900"/>
    <w:rsid w:val="00491383"/>
    <w:rsid w:val="004919FC"/>
    <w:rsid w:val="004946F1"/>
    <w:rsid w:val="00495F31"/>
    <w:rsid w:val="0049658F"/>
    <w:rsid w:val="004977C3"/>
    <w:rsid w:val="00497B63"/>
    <w:rsid w:val="00497BE1"/>
    <w:rsid w:val="004A0BA6"/>
    <w:rsid w:val="004A111E"/>
    <w:rsid w:val="004A1142"/>
    <w:rsid w:val="004A21E7"/>
    <w:rsid w:val="004A2C33"/>
    <w:rsid w:val="004A36EC"/>
    <w:rsid w:val="004A67DD"/>
    <w:rsid w:val="004A6912"/>
    <w:rsid w:val="004A6F2F"/>
    <w:rsid w:val="004A7F14"/>
    <w:rsid w:val="004B02E4"/>
    <w:rsid w:val="004B2317"/>
    <w:rsid w:val="004B2869"/>
    <w:rsid w:val="004B307E"/>
    <w:rsid w:val="004B501A"/>
    <w:rsid w:val="004B6DE3"/>
    <w:rsid w:val="004B7600"/>
    <w:rsid w:val="004C022A"/>
    <w:rsid w:val="004C1052"/>
    <w:rsid w:val="004C239A"/>
    <w:rsid w:val="004C5D4C"/>
    <w:rsid w:val="004C6882"/>
    <w:rsid w:val="004D18D8"/>
    <w:rsid w:val="004D1BD9"/>
    <w:rsid w:val="004D21FC"/>
    <w:rsid w:val="004D25EC"/>
    <w:rsid w:val="004D26DD"/>
    <w:rsid w:val="004D333F"/>
    <w:rsid w:val="004D3C99"/>
    <w:rsid w:val="004D4FBF"/>
    <w:rsid w:val="004D72AF"/>
    <w:rsid w:val="004D7925"/>
    <w:rsid w:val="004E1E4E"/>
    <w:rsid w:val="004E2287"/>
    <w:rsid w:val="004E3717"/>
    <w:rsid w:val="004E3961"/>
    <w:rsid w:val="004E49DB"/>
    <w:rsid w:val="004E4B8F"/>
    <w:rsid w:val="004E5A04"/>
    <w:rsid w:val="004E7437"/>
    <w:rsid w:val="004F0D45"/>
    <w:rsid w:val="004F2968"/>
    <w:rsid w:val="004F2FC5"/>
    <w:rsid w:val="004F6089"/>
    <w:rsid w:val="004F615A"/>
    <w:rsid w:val="00501625"/>
    <w:rsid w:val="00502179"/>
    <w:rsid w:val="005030B1"/>
    <w:rsid w:val="00503373"/>
    <w:rsid w:val="005054E6"/>
    <w:rsid w:val="00507749"/>
    <w:rsid w:val="005079CE"/>
    <w:rsid w:val="00510504"/>
    <w:rsid w:val="005120CF"/>
    <w:rsid w:val="00514102"/>
    <w:rsid w:val="0051452E"/>
    <w:rsid w:val="0052185D"/>
    <w:rsid w:val="00521929"/>
    <w:rsid w:val="005255F0"/>
    <w:rsid w:val="00527573"/>
    <w:rsid w:val="005279BE"/>
    <w:rsid w:val="005307AE"/>
    <w:rsid w:val="00530913"/>
    <w:rsid w:val="005319EC"/>
    <w:rsid w:val="00531A1B"/>
    <w:rsid w:val="005324FA"/>
    <w:rsid w:val="00533AB8"/>
    <w:rsid w:val="00535C47"/>
    <w:rsid w:val="0053792D"/>
    <w:rsid w:val="00537D9F"/>
    <w:rsid w:val="005416D2"/>
    <w:rsid w:val="005431C4"/>
    <w:rsid w:val="00545616"/>
    <w:rsid w:val="005464AA"/>
    <w:rsid w:val="00546735"/>
    <w:rsid w:val="005474C8"/>
    <w:rsid w:val="00550C8B"/>
    <w:rsid w:val="00552FD0"/>
    <w:rsid w:val="005534A9"/>
    <w:rsid w:val="005549B8"/>
    <w:rsid w:val="00555721"/>
    <w:rsid w:val="00556333"/>
    <w:rsid w:val="0055700C"/>
    <w:rsid w:val="0055703B"/>
    <w:rsid w:val="00557C80"/>
    <w:rsid w:val="00561951"/>
    <w:rsid w:val="00561C8A"/>
    <w:rsid w:val="0056212D"/>
    <w:rsid w:val="0056250B"/>
    <w:rsid w:val="005627AB"/>
    <w:rsid w:val="00562B67"/>
    <w:rsid w:val="005653A9"/>
    <w:rsid w:val="00565AF2"/>
    <w:rsid w:val="005669F8"/>
    <w:rsid w:val="00567290"/>
    <w:rsid w:val="0056758F"/>
    <w:rsid w:val="005677B8"/>
    <w:rsid w:val="00567C8C"/>
    <w:rsid w:val="0057038E"/>
    <w:rsid w:val="00570F55"/>
    <w:rsid w:val="00573130"/>
    <w:rsid w:val="005740FB"/>
    <w:rsid w:val="00574649"/>
    <w:rsid w:val="00575968"/>
    <w:rsid w:val="00575CE9"/>
    <w:rsid w:val="00576132"/>
    <w:rsid w:val="00576F19"/>
    <w:rsid w:val="00577949"/>
    <w:rsid w:val="00577C38"/>
    <w:rsid w:val="0058341F"/>
    <w:rsid w:val="00583EF4"/>
    <w:rsid w:val="005849A2"/>
    <w:rsid w:val="005857A1"/>
    <w:rsid w:val="005903C0"/>
    <w:rsid w:val="0059193B"/>
    <w:rsid w:val="00592405"/>
    <w:rsid w:val="005A0171"/>
    <w:rsid w:val="005A1844"/>
    <w:rsid w:val="005A1860"/>
    <w:rsid w:val="005A30EA"/>
    <w:rsid w:val="005A3292"/>
    <w:rsid w:val="005A76D5"/>
    <w:rsid w:val="005A77EB"/>
    <w:rsid w:val="005B0867"/>
    <w:rsid w:val="005B1D36"/>
    <w:rsid w:val="005B47F8"/>
    <w:rsid w:val="005B5175"/>
    <w:rsid w:val="005B621F"/>
    <w:rsid w:val="005B7715"/>
    <w:rsid w:val="005B7914"/>
    <w:rsid w:val="005C08EC"/>
    <w:rsid w:val="005C37C7"/>
    <w:rsid w:val="005C683F"/>
    <w:rsid w:val="005C6895"/>
    <w:rsid w:val="005D0DC8"/>
    <w:rsid w:val="005D1B33"/>
    <w:rsid w:val="005D223B"/>
    <w:rsid w:val="005D364B"/>
    <w:rsid w:val="005D46D4"/>
    <w:rsid w:val="005D53F5"/>
    <w:rsid w:val="005D6C7A"/>
    <w:rsid w:val="005D6D89"/>
    <w:rsid w:val="005D7ADA"/>
    <w:rsid w:val="005E364B"/>
    <w:rsid w:val="005E432D"/>
    <w:rsid w:val="005E4B43"/>
    <w:rsid w:val="005E671F"/>
    <w:rsid w:val="005F0349"/>
    <w:rsid w:val="005F16C2"/>
    <w:rsid w:val="005F264B"/>
    <w:rsid w:val="005F3E78"/>
    <w:rsid w:val="005F4A03"/>
    <w:rsid w:val="005F5294"/>
    <w:rsid w:val="005F5ED5"/>
    <w:rsid w:val="005F6393"/>
    <w:rsid w:val="005F6AB4"/>
    <w:rsid w:val="005F7584"/>
    <w:rsid w:val="005F7CCA"/>
    <w:rsid w:val="006002E5"/>
    <w:rsid w:val="00601526"/>
    <w:rsid w:val="00603D73"/>
    <w:rsid w:val="0060436D"/>
    <w:rsid w:val="00605313"/>
    <w:rsid w:val="0060553E"/>
    <w:rsid w:val="00607839"/>
    <w:rsid w:val="00607857"/>
    <w:rsid w:val="0061066C"/>
    <w:rsid w:val="00610AFB"/>
    <w:rsid w:val="0061173F"/>
    <w:rsid w:val="00611E89"/>
    <w:rsid w:val="006123ED"/>
    <w:rsid w:val="00614406"/>
    <w:rsid w:val="00614973"/>
    <w:rsid w:val="00614D95"/>
    <w:rsid w:val="00615F36"/>
    <w:rsid w:val="0061676F"/>
    <w:rsid w:val="00616DCC"/>
    <w:rsid w:val="00617B57"/>
    <w:rsid w:val="00620394"/>
    <w:rsid w:val="00622643"/>
    <w:rsid w:val="00622B9F"/>
    <w:rsid w:val="00622E85"/>
    <w:rsid w:val="00624D03"/>
    <w:rsid w:val="00626913"/>
    <w:rsid w:val="006318F1"/>
    <w:rsid w:val="00631EC9"/>
    <w:rsid w:val="00631EE2"/>
    <w:rsid w:val="00633804"/>
    <w:rsid w:val="00633BF3"/>
    <w:rsid w:val="0063480E"/>
    <w:rsid w:val="00634DBB"/>
    <w:rsid w:val="00635B34"/>
    <w:rsid w:val="00635DD4"/>
    <w:rsid w:val="0063652F"/>
    <w:rsid w:val="0063667C"/>
    <w:rsid w:val="006379C7"/>
    <w:rsid w:val="00637BC3"/>
    <w:rsid w:val="006404A0"/>
    <w:rsid w:val="00641F29"/>
    <w:rsid w:val="0064217C"/>
    <w:rsid w:val="00642E55"/>
    <w:rsid w:val="00643041"/>
    <w:rsid w:val="00643B7B"/>
    <w:rsid w:val="0064579B"/>
    <w:rsid w:val="00650303"/>
    <w:rsid w:val="0065037E"/>
    <w:rsid w:val="006505EB"/>
    <w:rsid w:val="00650B11"/>
    <w:rsid w:val="00650CDE"/>
    <w:rsid w:val="00651BDB"/>
    <w:rsid w:val="00655262"/>
    <w:rsid w:val="00655F79"/>
    <w:rsid w:val="00656011"/>
    <w:rsid w:val="00656A9C"/>
    <w:rsid w:val="006607D1"/>
    <w:rsid w:val="0066159F"/>
    <w:rsid w:val="00662DA3"/>
    <w:rsid w:val="00664105"/>
    <w:rsid w:val="00664ABD"/>
    <w:rsid w:val="00664E65"/>
    <w:rsid w:val="00666BD3"/>
    <w:rsid w:val="0066779B"/>
    <w:rsid w:val="0067197F"/>
    <w:rsid w:val="00671981"/>
    <w:rsid w:val="00672EAD"/>
    <w:rsid w:val="006771A4"/>
    <w:rsid w:val="006810D8"/>
    <w:rsid w:val="00683E84"/>
    <w:rsid w:val="006843E4"/>
    <w:rsid w:val="0068552D"/>
    <w:rsid w:val="0068584B"/>
    <w:rsid w:val="00686BD2"/>
    <w:rsid w:val="00687740"/>
    <w:rsid w:val="00687B72"/>
    <w:rsid w:val="00690F9A"/>
    <w:rsid w:val="00691C0B"/>
    <w:rsid w:val="00693901"/>
    <w:rsid w:val="00695AF9"/>
    <w:rsid w:val="00695E03"/>
    <w:rsid w:val="006973FA"/>
    <w:rsid w:val="006A0573"/>
    <w:rsid w:val="006A097E"/>
    <w:rsid w:val="006A1491"/>
    <w:rsid w:val="006A2037"/>
    <w:rsid w:val="006A3385"/>
    <w:rsid w:val="006A537E"/>
    <w:rsid w:val="006A56FD"/>
    <w:rsid w:val="006A5D64"/>
    <w:rsid w:val="006A5D9C"/>
    <w:rsid w:val="006A63F7"/>
    <w:rsid w:val="006A72AA"/>
    <w:rsid w:val="006A7CFD"/>
    <w:rsid w:val="006B06DB"/>
    <w:rsid w:val="006B13CC"/>
    <w:rsid w:val="006B1504"/>
    <w:rsid w:val="006B2C1F"/>
    <w:rsid w:val="006B2FFC"/>
    <w:rsid w:val="006B488B"/>
    <w:rsid w:val="006B62F2"/>
    <w:rsid w:val="006B6D3A"/>
    <w:rsid w:val="006C0386"/>
    <w:rsid w:val="006C05F5"/>
    <w:rsid w:val="006C1DCF"/>
    <w:rsid w:val="006C23DF"/>
    <w:rsid w:val="006C590B"/>
    <w:rsid w:val="006C5F6E"/>
    <w:rsid w:val="006C6896"/>
    <w:rsid w:val="006D0BDC"/>
    <w:rsid w:val="006D1894"/>
    <w:rsid w:val="006D22E4"/>
    <w:rsid w:val="006D2DC4"/>
    <w:rsid w:val="006D4298"/>
    <w:rsid w:val="006D59B8"/>
    <w:rsid w:val="006D63F3"/>
    <w:rsid w:val="006D7CDD"/>
    <w:rsid w:val="006E2336"/>
    <w:rsid w:val="006E3326"/>
    <w:rsid w:val="006E4C3E"/>
    <w:rsid w:val="006E62D7"/>
    <w:rsid w:val="006E6852"/>
    <w:rsid w:val="006F01B5"/>
    <w:rsid w:val="006F1BFA"/>
    <w:rsid w:val="006F2373"/>
    <w:rsid w:val="006F337A"/>
    <w:rsid w:val="006F4A87"/>
    <w:rsid w:val="006F53A0"/>
    <w:rsid w:val="006F5C59"/>
    <w:rsid w:val="006F76D3"/>
    <w:rsid w:val="0070081F"/>
    <w:rsid w:val="00700EEF"/>
    <w:rsid w:val="007013C7"/>
    <w:rsid w:val="00706ACC"/>
    <w:rsid w:val="00710E60"/>
    <w:rsid w:val="007112BE"/>
    <w:rsid w:val="00712788"/>
    <w:rsid w:val="00712B23"/>
    <w:rsid w:val="00713E5F"/>
    <w:rsid w:val="0071428F"/>
    <w:rsid w:val="00714327"/>
    <w:rsid w:val="00716048"/>
    <w:rsid w:val="00717BC5"/>
    <w:rsid w:val="00720E3C"/>
    <w:rsid w:val="00721FF8"/>
    <w:rsid w:val="00722823"/>
    <w:rsid w:val="0072319A"/>
    <w:rsid w:val="0072511D"/>
    <w:rsid w:val="00726562"/>
    <w:rsid w:val="007271D4"/>
    <w:rsid w:val="00731509"/>
    <w:rsid w:val="00732388"/>
    <w:rsid w:val="007334B2"/>
    <w:rsid w:val="007334C8"/>
    <w:rsid w:val="00733560"/>
    <w:rsid w:val="0073470C"/>
    <w:rsid w:val="00734B6B"/>
    <w:rsid w:val="00734C05"/>
    <w:rsid w:val="007367AC"/>
    <w:rsid w:val="00740567"/>
    <w:rsid w:val="00740984"/>
    <w:rsid w:val="00741FEC"/>
    <w:rsid w:val="00742F78"/>
    <w:rsid w:val="00743ACB"/>
    <w:rsid w:val="00744CFD"/>
    <w:rsid w:val="00744D22"/>
    <w:rsid w:val="00745CEC"/>
    <w:rsid w:val="00746018"/>
    <w:rsid w:val="007475EB"/>
    <w:rsid w:val="00750AE3"/>
    <w:rsid w:val="00750CCE"/>
    <w:rsid w:val="00751FF4"/>
    <w:rsid w:val="00752275"/>
    <w:rsid w:val="00752FEF"/>
    <w:rsid w:val="00754145"/>
    <w:rsid w:val="00755625"/>
    <w:rsid w:val="00756BC7"/>
    <w:rsid w:val="00756CAC"/>
    <w:rsid w:val="00757151"/>
    <w:rsid w:val="00757C71"/>
    <w:rsid w:val="007626E6"/>
    <w:rsid w:val="00764510"/>
    <w:rsid w:val="007658FD"/>
    <w:rsid w:val="007662FB"/>
    <w:rsid w:val="007667E1"/>
    <w:rsid w:val="007712B0"/>
    <w:rsid w:val="007719B7"/>
    <w:rsid w:val="00771DD6"/>
    <w:rsid w:val="0077382B"/>
    <w:rsid w:val="00774D1B"/>
    <w:rsid w:val="007758B4"/>
    <w:rsid w:val="007760E2"/>
    <w:rsid w:val="00777922"/>
    <w:rsid w:val="00780649"/>
    <w:rsid w:val="00780AEB"/>
    <w:rsid w:val="00782DC9"/>
    <w:rsid w:val="00783616"/>
    <w:rsid w:val="00784AA2"/>
    <w:rsid w:val="0078549A"/>
    <w:rsid w:val="00785F64"/>
    <w:rsid w:val="00790B31"/>
    <w:rsid w:val="00790B34"/>
    <w:rsid w:val="007923BD"/>
    <w:rsid w:val="00793395"/>
    <w:rsid w:val="007934FF"/>
    <w:rsid w:val="0079541D"/>
    <w:rsid w:val="007954B0"/>
    <w:rsid w:val="00795834"/>
    <w:rsid w:val="00795F83"/>
    <w:rsid w:val="007965C4"/>
    <w:rsid w:val="00796F03"/>
    <w:rsid w:val="00797AB5"/>
    <w:rsid w:val="007A0E79"/>
    <w:rsid w:val="007A1CC5"/>
    <w:rsid w:val="007A2610"/>
    <w:rsid w:val="007A33D6"/>
    <w:rsid w:val="007A3C67"/>
    <w:rsid w:val="007A4DD0"/>
    <w:rsid w:val="007A6B3E"/>
    <w:rsid w:val="007A7153"/>
    <w:rsid w:val="007B0226"/>
    <w:rsid w:val="007B07E9"/>
    <w:rsid w:val="007B0DFC"/>
    <w:rsid w:val="007B282F"/>
    <w:rsid w:val="007B2CE5"/>
    <w:rsid w:val="007B3CCB"/>
    <w:rsid w:val="007B5AF8"/>
    <w:rsid w:val="007C0769"/>
    <w:rsid w:val="007C169C"/>
    <w:rsid w:val="007C186F"/>
    <w:rsid w:val="007C23B8"/>
    <w:rsid w:val="007C4046"/>
    <w:rsid w:val="007C40B8"/>
    <w:rsid w:val="007C4282"/>
    <w:rsid w:val="007C43B0"/>
    <w:rsid w:val="007C60C6"/>
    <w:rsid w:val="007C6C98"/>
    <w:rsid w:val="007D0DEF"/>
    <w:rsid w:val="007D195E"/>
    <w:rsid w:val="007D1EDE"/>
    <w:rsid w:val="007D3A77"/>
    <w:rsid w:val="007D3B21"/>
    <w:rsid w:val="007D3C75"/>
    <w:rsid w:val="007D46D9"/>
    <w:rsid w:val="007D5C75"/>
    <w:rsid w:val="007E2A04"/>
    <w:rsid w:val="007E375A"/>
    <w:rsid w:val="007E4210"/>
    <w:rsid w:val="007E5851"/>
    <w:rsid w:val="007E5A0D"/>
    <w:rsid w:val="007E5C76"/>
    <w:rsid w:val="007E78CD"/>
    <w:rsid w:val="007E7F70"/>
    <w:rsid w:val="007F0A59"/>
    <w:rsid w:val="007F0C6B"/>
    <w:rsid w:val="007F11A7"/>
    <w:rsid w:val="007F289E"/>
    <w:rsid w:val="007F3E71"/>
    <w:rsid w:val="007F45EC"/>
    <w:rsid w:val="007F542B"/>
    <w:rsid w:val="007F5855"/>
    <w:rsid w:val="007F6C8A"/>
    <w:rsid w:val="008005AE"/>
    <w:rsid w:val="00802646"/>
    <w:rsid w:val="0080279A"/>
    <w:rsid w:val="00802E2E"/>
    <w:rsid w:val="00804931"/>
    <w:rsid w:val="00805529"/>
    <w:rsid w:val="00805B5C"/>
    <w:rsid w:val="00806701"/>
    <w:rsid w:val="00806F97"/>
    <w:rsid w:val="00807046"/>
    <w:rsid w:val="008071D5"/>
    <w:rsid w:val="008072CE"/>
    <w:rsid w:val="0081050C"/>
    <w:rsid w:val="00810726"/>
    <w:rsid w:val="008116CF"/>
    <w:rsid w:val="0081728B"/>
    <w:rsid w:val="0081743A"/>
    <w:rsid w:val="00820954"/>
    <w:rsid w:val="00820E18"/>
    <w:rsid w:val="00821927"/>
    <w:rsid w:val="00822406"/>
    <w:rsid w:val="00824785"/>
    <w:rsid w:val="00824D92"/>
    <w:rsid w:val="008263F2"/>
    <w:rsid w:val="00826893"/>
    <w:rsid w:val="00827816"/>
    <w:rsid w:val="0083172F"/>
    <w:rsid w:val="00833CF0"/>
    <w:rsid w:val="00834E6B"/>
    <w:rsid w:val="00834F06"/>
    <w:rsid w:val="008350A3"/>
    <w:rsid w:val="008355D2"/>
    <w:rsid w:val="008362C4"/>
    <w:rsid w:val="00836501"/>
    <w:rsid w:val="00836EE1"/>
    <w:rsid w:val="008370E0"/>
    <w:rsid w:val="0084026C"/>
    <w:rsid w:val="00840611"/>
    <w:rsid w:val="00840B77"/>
    <w:rsid w:val="00840EDA"/>
    <w:rsid w:val="008418AF"/>
    <w:rsid w:val="008419FD"/>
    <w:rsid w:val="00841D74"/>
    <w:rsid w:val="00841F6A"/>
    <w:rsid w:val="008421F3"/>
    <w:rsid w:val="00842245"/>
    <w:rsid w:val="0084258B"/>
    <w:rsid w:val="0084341D"/>
    <w:rsid w:val="0084399F"/>
    <w:rsid w:val="00844F81"/>
    <w:rsid w:val="00845317"/>
    <w:rsid w:val="00847A56"/>
    <w:rsid w:val="00850BA0"/>
    <w:rsid w:val="008519FD"/>
    <w:rsid w:val="00851FCA"/>
    <w:rsid w:val="0085225E"/>
    <w:rsid w:val="00854822"/>
    <w:rsid w:val="00854F81"/>
    <w:rsid w:val="00855058"/>
    <w:rsid w:val="0085562A"/>
    <w:rsid w:val="00857A55"/>
    <w:rsid w:val="0086015C"/>
    <w:rsid w:val="00862151"/>
    <w:rsid w:val="008634A5"/>
    <w:rsid w:val="008636D6"/>
    <w:rsid w:val="00863B98"/>
    <w:rsid w:val="00866DDD"/>
    <w:rsid w:val="00870129"/>
    <w:rsid w:val="00871E36"/>
    <w:rsid w:val="00873446"/>
    <w:rsid w:val="00873E3F"/>
    <w:rsid w:val="00873FF2"/>
    <w:rsid w:val="00875C8F"/>
    <w:rsid w:val="00876FDD"/>
    <w:rsid w:val="00877791"/>
    <w:rsid w:val="0088285F"/>
    <w:rsid w:val="008833D6"/>
    <w:rsid w:val="0088373E"/>
    <w:rsid w:val="00885EE0"/>
    <w:rsid w:val="00886C88"/>
    <w:rsid w:val="00892684"/>
    <w:rsid w:val="008947F8"/>
    <w:rsid w:val="008967A3"/>
    <w:rsid w:val="008A0B9E"/>
    <w:rsid w:val="008A4A07"/>
    <w:rsid w:val="008A65D5"/>
    <w:rsid w:val="008A712E"/>
    <w:rsid w:val="008A7864"/>
    <w:rsid w:val="008B0BDE"/>
    <w:rsid w:val="008B17FB"/>
    <w:rsid w:val="008B2230"/>
    <w:rsid w:val="008B4372"/>
    <w:rsid w:val="008B6748"/>
    <w:rsid w:val="008B6AA9"/>
    <w:rsid w:val="008B7641"/>
    <w:rsid w:val="008C05BD"/>
    <w:rsid w:val="008C255E"/>
    <w:rsid w:val="008C3312"/>
    <w:rsid w:val="008C42B4"/>
    <w:rsid w:val="008C485C"/>
    <w:rsid w:val="008C7664"/>
    <w:rsid w:val="008D03C9"/>
    <w:rsid w:val="008D1D78"/>
    <w:rsid w:val="008D2969"/>
    <w:rsid w:val="008D3577"/>
    <w:rsid w:val="008D3EE8"/>
    <w:rsid w:val="008D4009"/>
    <w:rsid w:val="008D48E5"/>
    <w:rsid w:val="008D49EA"/>
    <w:rsid w:val="008D6C7F"/>
    <w:rsid w:val="008D6F41"/>
    <w:rsid w:val="008D7CC1"/>
    <w:rsid w:val="008E078E"/>
    <w:rsid w:val="008E2B17"/>
    <w:rsid w:val="008E4889"/>
    <w:rsid w:val="008E4AAA"/>
    <w:rsid w:val="008E64F0"/>
    <w:rsid w:val="008E671B"/>
    <w:rsid w:val="008F0DA9"/>
    <w:rsid w:val="008F2081"/>
    <w:rsid w:val="008F4C57"/>
    <w:rsid w:val="008F4D12"/>
    <w:rsid w:val="008F5BF4"/>
    <w:rsid w:val="008F5D6C"/>
    <w:rsid w:val="008F6651"/>
    <w:rsid w:val="008F6FC9"/>
    <w:rsid w:val="008F7B36"/>
    <w:rsid w:val="008F7EDC"/>
    <w:rsid w:val="009005D9"/>
    <w:rsid w:val="00901491"/>
    <w:rsid w:val="00901CCB"/>
    <w:rsid w:val="00902BBE"/>
    <w:rsid w:val="00902C7D"/>
    <w:rsid w:val="00902F91"/>
    <w:rsid w:val="009034BB"/>
    <w:rsid w:val="00903BAD"/>
    <w:rsid w:val="00904187"/>
    <w:rsid w:val="00906948"/>
    <w:rsid w:val="00906EFF"/>
    <w:rsid w:val="009106B7"/>
    <w:rsid w:val="0091113E"/>
    <w:rsid w:val="0091119B"/>
    <w:rsid w:val="009112B1"/>
    <w:rsid w:val="0091169C"/>
    <w:rsid w:val="009137D2"/>
    <w:rsid w:val="0091500D"/>
    <w:rsid w:val="00917177"/>
    <w:rsid w:val="00917213"/>
    <w:rsid w:val="009176A4"/>
    <w:rsid w:val="009179D6"/>
    <w:rsid w:val="00921DB5"/>
    <w:rsid w:val="0092263E"/>
    <w:rsid w:val="009230A8"/>
    <w:rsid w:val="00923AEA"/>
    <w:rsid w:val="009240C4"/>
    <w:rsid w:val="00925084"/>
    <w:rsid w:val="009252FD"/>
    <w:rsid w:val="00926BC4"/>
    <w:rsid w:val="00927CB1"/>
    <w:rsid w:val="00930668"/>
    <w:rsid w:val="00930A18"/>
    <w:rsid w:val="00933228"/>
    <w:rsid w:val="00933BDA"/>
    <w:rsid w:val="00933F02"/>
    <w:rsid w:val="00934320"/>
    <w:rsid w:val="0093695A"/>
    <w:rsid w:val="009374F3"/>
    <w:rsid w:val="00940953"/>
    <w:rsid w:val="009415E2"/>
    <w:rsid w:val="0094162C"/>
    <w:rsid w:val="0094191C"/>
    <w:rsid w:val="0094334C"/>
    <w:rsid w:val="0094429B"/>
    <w:rsid w:val="009448D3"/>
    <w:rsid w:val="00945054"/>
    <w:rsid w:val="009453A7"/>
    <w:rsid w:val="0094674B"/>
    <w:rsid w:val="009476D3"/>
    <w:rsid w:val="00952DAE"/>
    <w:rsid w:val="009561AF"/>
    <w:rsid w:val="00957A10"/>
    <w:rsid w:val="00960298"/>
    <w:rsid w:val="0096175D"/>
    <w:rsid w:val="009617EB"/>
    <w:rsid w:val="0096262A"/>
    <w:rsid w:val="00963690"/>
    <w:rsid w:val="009647CF"/>
    <w:rsid w:val="00964E52"/>
    <w:rsid w:val="00965737"/>
    <w:rsid w:val="00965AB0"/>
    <w:rsid w:val="00966882"/>
    <w:rsid w:val="00966DF0"/>
    <w:rsid w:val="00966EA3"/>
    <w:rsid w:val="00967036"/>
    <w:rsid w:val="009700F7"/>
    <w:rsid w:val="009702CD"/>
    <w:rsid w:val="00970F53"/>
    <w:rsid w:val="00971B44"/>
    <w:rsid w:val="00972502"/>
    <w:rsid w:val="00976F34"/>
    <w:rsid w:val="00980E44"/>
    <w:rsid w:val="009829D6"/>
    <w:rsid w:val="00982C49"/>
    <w:rsid w:val="00983750"/>
    <w:rsid w:val="009846B3"/>
    <w:rsid w:val="00985B12"/>
    <w:rsid w:val="009875BF"/>
    <w:rsid w:val="00987CFD"/>
    <w:rsid w:val="009901E5"/>
    <w:rsid w:val="0099100E"/>
    <w:rsid w:val="0099216E"/>
    <w:rsid w:val="009929D4"/>
    <w:rsid w:val="00996312"/>
    <w:rsid w:val="009979A7"/>
    <w:rsid w:val="00997E94"/>
    <w:rsid w:val="009A180C"/>
    <w:rsid w:val="009A1BB5"/>
    <w:rsid w:val="009A1EFD"/>
    <w:rsid w:val="009A2813"/>
    <w:rsid w:val="009A3467"/>
    <w:rsid w:val="009A38FD"/>
    <w:rsid w:val="009A684C"/>
    <w:rsid w:val="009A6ABC"/>
    <w:rsid w:val="009A71AA"/>
    <w:rsid w:val="009A7B89"/>
    <w:rsid w:val="009B064C"/>
    <w:rsid w:val="009B1CB9"/>
    <w:rsid w:val="009B20C2"/>
    <w:rsid w:val="009B22A9"/>
    <w:rsid w:val="009B6667"/>
    <w:rsid w:val="009C15C9"/>
    <w:rsid w:val="009C1EAB"/>
    <w:rsid w:val="009C2BDB"/>
    <w:rsid w:val="009C72A5"/>
    <w:rsid w:val="009D186B"/>
    <w:rsid w:val="009D2667"/>
    <w:rsid w:val="009D7644"/>
    <w:rsid w:val="009D7985"/>
    <w:rsid w:val="009E1003"/>
    <w:rsid w:val="009E3731"/>
    <w:rsid w:val="009E3A04"/>
    <w:rsid w:val="009E3F82"/>
    <w:rsid w:val="009E6E35"/>
    <w:rsid w:val="009F1E63"/>
    <w:rsid w:val="009F29D4"/>
    <w:rsid w:val="009F3364"/>
    <w:rsid w:val="009F3514"/>
    <w:rsid w:val="009F3A00"/>
    <w:rsid w:val="009F40E7"/>
    <w:rsid w:val="009F4969"/>
    <w:rsid w:val="009F652E"/>
    <w:rsid w:val="009F65C0"/>
    <w:rsid w:val="009F6CE5"/>
    <w:rsid w:val="009F6DEF"/>
    <w:rsid w:val="009F7619"/>
    <w:rsid w:val="009F7990"/>
    <w:rsid w:val="009F7A41"/>
    <w:rsid w:val="009F7F15"/>
    <w:rsid w:val="00A000C4"/>
    <w:rsid w:val="00A029EC"/>
    <w:rsid w:val="00A02E12"/>
    <w:rsid w:val="00A0300E"/>
    <w:rsid w:val="00A04983"/>
    <w:rsid w:val="00A05C5E"/>
    <w:rsid w:val="00A060B4"/>
    <w:rsid w:val="00A0687D"/>
    <w:rsid w:val="00A0753F"/>
    <w:rsid w:val="00A078E1"/>
    <w:rsid w:val="00A106A6"/>
    <w:rsid w:val="00A10FFD"/>
    <w:rsid w:val="00A11347"/>
    <w:rsid w:val="00A11818"/>
    <w:rsid w:val="00A11AD2"/>
    <w:rsid w:val="00A11C3F"/>
    <w:rsid w:val="00A1306F"/>
    <w:rsid w:val="00A169D1"/>
    <w:rsid w:val="00A20D58"/>
    <w:rsid w:val="00A21A7A"/>
    <w:rsid w:val="00A21EDD"/>
    <w:rsid w:val="00A223D5"/>
    <w:rsid w:val="00A22640"/>
    <w:rsid w:val="00A2340B"/>
    <w:rsid w:val="00A23B84"/>
    <w:rsid w:val="00A24926"/>
    <w:rsid w:val="00A24A98"/>
    <w:rsid w:val="00A25D34"/>
    <w:rsid w:val="00A2623D"/>
    <w:rsid w:val="00A26799"/>
    <w:rsid w:val="00A26E93"/>
    <w:rsid w:val="00A30DE3"/>
    <w:rsid w:val="00A31DAA"/>
    <w:rsid w:val="00A32408"/>
    <w:rsid w:val="00A35DA3"/>
    <w:rsid w:val="00A36552"/>
    <w:rsid w:val="00A36915"/>
    <w:rsid w:val="00A36BBA"/>
    <w:rsid w:val="00A37B8A"/>
    <w:rsid w:val="00A37E0F"/>
    <w:rsid w:val="00A40404"/>
    <w:rsid w:val="00A416C2"/>
    <w:rsid w:val="00A41BEB"/>
    <w:rsid w:val="00A41DEF"/>
    <w:rsid w:val="00A42310"/>
    <w:rsid w:val="00A424C2"/>
    <w:rsid w:val="00A43345"/>
    <w:rsid w:val="00A44A39"/>
    <w:rsid w:val="00A45650"/>
    <w:rsid w:val="00A46256"/>
    <w:rsid w:val="00A46476"/>
    <w:rsid w:val="00A47AB3"/>
    <w:rsid w:val="00A47DA0"/>
    <w:rsid w:val="00A51559"/>
    <w:rsid w:val="00A53E62"/>
    <w:rsid w:val="00A55AAA"/>
    <w:rsid w:val="00A55B96"/>
    <w:rsid w:val="00A57F4E"/>
    <w:rsid w:val="00A60427"/>
    <w:rsid w:val="00A60574"/>
    <w:rsid w:val="00A63C00"/>
    <w:rsid w:val="00A6472E"/>
    <w:rsid w:val="00A6486B"/>
    <w:rsid w:val="00A64947"/>
    <w:rsid w:val="00A65266"/>
    <w:rsid w:val="00A65602"/>
    <w:rsid w:val="00A66451"/>
    <w:rsid w:val="00A67193"/>
    <w:rsid w:val="00A71AF4"/>
    <w:rsid w:val="00A72AC2"/>
    <w:rsid w:val="00A72AC5"/>
    <w:rsid w:val="00A72B5C"/>
    <w:rsid w:val="00A730BB"/>
    <w:rsid w:val="00A73BA9"/>
    <w:rsid w:val="00A7513D"/>
    <w:rsid w:val="00A76791"/>
    <w:rsid w:val="00A77684"/>
    <w:rsid w:val="00A7768C"/>
    <w:rsid w:val="00A77BFF"/>
    <w:rsid w:val="00A77F30"/>
    <w:rsid w:val="00A81C50"/>
    <w:rsid w:val="00A85038"/>
    <w:rsid w:val="00A855AB"/>
    <w:rsid w:val="00A866D7"/>
    <w:rsid w:val="00A86746"/>
    <w:rsid w:val="00A86B87"/>
    <w:rsid w:val="00A86EF7"/>
    <w:rsid w:val="00A87A98"/>
    <w:rsid w:val="00A9001C"/>
    <w:rsid w:val="00A90280"/>
    <w:rsid w:val="00A9075A"/>
    <w:rsid w:val="00A91D88"/>
    <w:rsid w:val="00A92261"/>
    <w:rsid w:val="00A92CD3"/>
    <w:rsid w:val="00A9402E"/>
    <w:rsid w:val="00A964F7"/>
    <w:rsid w:val="00AA0BFB"/>
    <w:rsid w:val="00AA3636"/>
    <w:rsid w:val="00AA3CAD"/>
    <w:rsid w:val="00AA41A8"/>
    <w:rsid w:val="00AA5806"/>
    <w:rsid w:val="00AA62F9"/>
    <w:rsid w:val="00AA685E"/>
    <w:rsid w:val="00AA79D8"/>
    <w:rsid w:val="00AB075E"/>
    <w:rsid w:val="00AB09D0"/>
    <w:rsid w:val="00AB0B0D"/>
    <w:rsid w:val="00AB0B97"/>
    <w:rsid w:val="00AB114C"/>
    <w:rsid w:val="00AB1658"/>
    <w:rsid w:val="00AB2E3D"/>
    <w:rsid w:val="00AB49C9"/>
    <w:rsid w:val="00AB614A"/>
    <w:rsid w:val="00AC07BF"/>
    <w:rsid w:val="00AC1030"/>
    <w:rsid w:val="00AC1F08"/>
    <w:rsid w:val="00AC4605"/>
    <w:rsid w:val="00AC6106"/>
    <w:rsid w:val="00AC7E4A"/>
    <w:rsid w:val="00AD1D49"/>
    <w:rsid w:val="00AD1F92"/>
    <w:rsid w:val="00AD40C4"/>
    <w:rsid w:val="00AD4D69"/>
    <w:rsid w:val="00AD5952"/>
    <w:rsid w:val="00AD6DE1"/>
    <w:rsid w:val="00AE03E0"/>
    <w:rsid w:val="00AE2044"/>
    <w:rsid w:val="00AE3B92"/>
    <w:rsid w:val="00AE3BE6"/>
    <w:rsid w:val="00AE3C04"/>
    <w:rsid w:val="00AE3F4D"/>
    <w:rsid w:val="00AE550C"/>
    <w:rsid w:val="00AE73B8"/>
    <w:rsid w:val="00AF1BB3"/>
    <w:rsid w:val="00AF26C2"/>
    <w:rsid w:val="00AF2A5B"/>
    <w:rsid w:val="00AF445E"/>
    <w:rsid w:val="00AF45B0"/>
    <w:rsid w:val="00B00CC2"/>
    <w:rsid w:val="00B03244"/>
    <w:rsid w:val="00B053B1"/>
    <w:rsid w:val="00B0749C"/>
    <w:rsid w:val="00B07A3E"/>
    <w:rsid w:val="00B11761"/>
    <w:rsid w:val="00B13218"/>
    <w:rsid w:val="00B15FF5"/>
    <w:rsid w:val="00B1615E"/>
    <w:rsid w:val="00B16E10"/>
    <w:rsid w:val="00B17273"/>
    <w:rsid w:val="00B175B0"/>
    <w:rsid w:val="00B210F0"/>
    <w:rsid w:val="00B217B4"/>
    <w:rsid w:val="00B24666"/>
    <w:rsid w:val="00B2560F"/>
    <w:rsid w:val="00B273A0"/>
    <w:rsid w:val="00B27F33"/>
    <w:rsid w:val="00B30815"/>
    <w:rsid w:val="00B30A85"/>
    <w:rsid w:val="00B30D29"/>
    <w:rsid w:val="00B314CC"/>
    <w:rsid w:val="00B337A9"/>
    <w:rsid w:val="00B33E91"/>
    <w:rsid w:val="00B3411F"/>
    <w:rsid w:val="00B3413A"/>
    <w:rsid w:val="00B34BE4"/>
    <w:rsid w:val="00B3510E"/>
    <w:rsid w:val="00B35C6E"/>
    <w:rsid w:val="00B37196"/>
    <w:rsid w:val="00B37C98"/>
    <w:rsid w:val="00B40093"/>
    <w:rsid w:val="00B40E51"/>
    <w:rsid w:val="00B41204"/>
    <w:rsid w:val="00B42A94"/>
    <w:rsid w:val="00B42D2D"/>
    <w:rsid w:val="00B43CCA"/>
    <w:rsid w:val="00B44597"/>
    <w:rsid w:val="00B45CF6"/>
    <w:rsid w:val="00B465AB"/>
    <w:rsid w:val="00B5222F"/>
    <w:rsid w:val="00B52E86"/>
    <w:rsid w:val="00B53C1D"/>
    <w:rsid w:val="00B53CEA"/>
    <w:rsid w:val="00B55DCC"/>
    <w:rsid w:val="00B56B08"/>
    <w:rsid w:val="00B62A21"/>
    <w:rsid w:val="00B63A26"/>
    <w:rsid w:val="00B64660"/>
    <w:rsid w:val="00B64FBF"/>
    <w:rsid w:val="00B66AC9"/>
    <w:rsid w:val="00B67031"/>
    <w:rsid w:val="00B67F9A"/>
    <w:rsid w:val="00B7185B"/>
    <w:rsid w:val="00B71A0C"/>
    <w:rsid w:val="00B73ACE"/>
    <w:rsid w:val="00B76B27"/>
    <w:rsid w:val="00B771ED"/>
    <w:rsid w:val="00B81B7D"/>
    <w:rsid w:val="00B82BB6"/>
    <w:rsid w:val="00B82F22"/>
    <w:rsid w:val="00B8385F"/>
    <w:rsid w:val="00B864B4"/>
    <w:rsid w:val="00B87FA5"/>
    <w:rsid w:val="00B90BC9"/>
    <w:rsid w:val="00B918D6"/>
    <w:rsid w:val="00B91CC2"/>
    <w:rsid w:val="00B944FB"/>
    <w:rsid w:val="00B946F3"/>
    <w:rsid w:val="00B955EC"/>
    <w:rsid w:val="00B961E8"/>
    <w:rsid w:val="00B97E41"/>
    <w:rsid w:val="00BA0582"/>
    <w:rsid w:val="00BA07AF"/>
    <w:rsid w:val="00BA0BF9"/>
    <w:rsid w:val="00BA151F"/>
    <w:rsid w:val="00BA4D0A"/>
    <w:rsid w:val="00BA5F8A"/>
    <w:rsid w:val="00BA707B"/>
    <w:rsid w:val="00BA735D"/>
    <w:rsid w:val="00BA7377"/>
    <w:rsid w:val="00BB0377"/>
    <w:rsid w:val="00BB0700"/>
    <w:rsid w:val="00BB1605"/>
    <w:rsid w:val="00BB4988"/>
    <w:rsid w:val="00BB7CEE"/>
    <w:rsid w:val="00BC0748"/>
    <w:rsid w:val="00BC0D0E"/>
    <w:rsid w:val="00BC1129"/>
    <w:rsid w:val="00BC1A5B"/>
    <w:rsid w:val="00BC1BC2"/>
    <w:rsid w:val="00BC36B3"/>
    <w:rsid w:val="00BC43C0"/>
    <w:rsid w:val="00BC46E4"/>
    <w:rsid w:val="00BC5A44"/>
    <w:rsid w:val="00BD09C3"/>
    <w:rsid w:val="00BD34DB"/>
    <w:rsid w:val="00BD4436"/>
    <w:rsid w:val="00BD4D9F"/>
    <w:rsid w:val="00BD5128"/>
    <w:rsid w:val="00BD7715"/>
    <w:rsid w:val="00BE0EAC"/>
    <w:rsid w:val="00BE1305"/>
    <w:rsid w:val="00BE2DE5"/>
    <w:rsid w:val="00BE4D45"/>
    <w:rsid w:val="00BE6757"/>
    <w:rsid w:val="00BF0EE6"/>
    <w:rsid w:val="00BF1DBA"/>
    <w:rsid w:val="00BF2E76"/>
    <w:rsid w:val="00BF362E"/>
    <w:rsid w:val="00BF4F51"/>
    <w:rsid w:val="00BF5F87"/>
    <w:rsid w:val="00BF602C"/>
    <w:rsid w:val="00BF6264"/>
    <w:rsid w:val="00BF6A81"/>
    <w:rsid w:val="00C0105B"/>
    <w:rsid w:val="00C01B1E"/>
    <w:rsid w:val="00C073F7"/>
    <w:rsid w:val="00C1056A"/>
    <w:rsid w:val="00C120C7"/>
    <w:rsid w:val="00C12D57"/>
    <w:rsid w:val="00C15432"/>
    <w:rsid w:val="00C16295"/>
    <w:rsid w:val="00C16F57"/>
    <w:rsid w:val="00C200A6"/>
    <w:rsid w:val="00C20DA0"/>
    <w:rsid w:val="00C238D6"/>
    <w:rsid w:val="00C24427"/>
    <w:rsid w:val="00C248D8"/>
    <w:rsid w:val="00C251F3"/>
    <w:rsid w:val="00C25301"/>
    <w:rsid w:val="00C255D7"/>
    <w:rsid w:val="00C27B1F"/>
    <w:rsid w:val="00C3075C"/>
    <w:rsid w:val="00C30A4B"/>
    <w:rsid w:val="00C31111"/>
    <w:rsid w:val="00C325B6"/>
    <w:rsid w:val="00C33E96"/>
    <w:rsid w:val="00C34623"/>
    <w:rsid w:val="00C34758"/>
    <w:rsid w:val="00C347EB"/>
    <w:rsid w:val="00C34D9C"/>
    <w:rsid w:val="00C35320"/>
    <w:rsid w:val="00C3697F"/>
    <w:rsid w:val="00C37358"/>
    <w:rsid w:val="00C4077C"/>
    <w:rsid w:val="00C45173"/>
    <w:rsid w:val="00C45E50"/>
    <w:rsid w:val="00C50B5C"/>
    <w:rsid w:val="00C511CF"/>
    <w:rsid w:val="00C536D0"/>
    <w:rsid w:val="00C53A08"/>
    <w:rsid w:val="00C54200"/>
    <w:rsid w:val="00C56496"/>
    <w:rsid w:val="00C56A7B"/>
    <w:rsid w:val="00C56CD8"/>
    <w:rsid w:val="00C56D71"/>
    <w:rsid w:val="00C575C1"/>
    <w:rsid w:val="00C578F7"/>
    <w:rsid w:val="00C621A9"/>
    <w:rsid w:val="00C6238D"/>
    <w:rsid w:val="00C631AC"/>
    <w:rsid w:val="00C6567C"/>
    <w:rsid w:val="00C67050"/>
    <w:rsid w:val="00C7277B"/>
    <w:rsid w:val="00C72C22"/>
    <w:rsid w:val="00C72FF4"/>
    <w:rsid w:val="00C737CA"/>
    <w:rsid w:val="00C7686F"/>
    <w:rsid w:val="00C77A2E"/>
    <w:rsid w:val="00C808E6"/>
    <w:rsid w:val="00C80E9D"/>
    <w:rsid w:val="00C83DFC"/>
    <w:rsid w:val="00C858FF"/>
    <w:rsid w:val="00C85EF9"/>
    <w:rsid w:val="00C87683"/>
    <w:rsid w:val="00C90CDC"/>
    <w:rsid w:val="00C90F92"/>
    <w:rsid w:val="00C92592"/>
    <w:rsid w:val="00C93EDF"/>
    <w:rsid w:val="00C943D7"/>
    <w:rsid w:val="00C94C57"/>
    <w:rsid w:val="00C95C8D"/>
    <w:rsid w:val="00C970D7"/>
    <w:rsid w:val="00CA0485"/>
    <w:rsid w:val="00CA22E2"/>
    <w:rsid w:val="00CA64BF"/>
    <w:rsid w:val="00CA712A"/>
    <w:rsid w:val="00CA76E3"/>
    <w:rsid w:val="00CA7918"/>
    <w:rsid w:val="00CA7E68"/>
    <w:rsid w:val="00CA7E96"/>
    <w:rsid w:val="00CB0941"/>
    <w:rsid w:val="00CB0B8B"/>
    <w:rsid w:val="00CB0F75"/>
    <w:rsid w:val="00CB1ABD"/>
    <w:rsid w:val="00CB24DE"/>
    <w:rsid w:val="00CB3502"/>
    <w:rsid w:val="00CB386C"/>
    <w:rsid w:val="00CB3FFE"/>
    <w:rsid w:val="00CB42E1"/>
    <w:rsid w:val="00CB50A8"/>
    <w:rsid w:val="00CB5ECE"/>
    <w:rsid w:val="00CB5FC8"/>
    <w:rsid w:val="00CB613B"/>
    <w:rsid w:val="00CB6A6E"/>
    <w:rsid w:val="00CB707F"/>
    <w:rsid w:val="00CB7ED6"/>
    <w:rsid w:val="00CC0BBD"/>
    <w:rsid w:val="00CC1CAC"/>
    <w:rsid w:val="00CC2E24"/>
    <w:rsid w:val="00CC37CD"/>
    <w:rsid w:val="00CC65D0"/>
    <w:rsid w:val="00CC7923"/>
    <w:rsid w:val="00CD0255"/>
    <w:rsid w:val="00CD2376"/>
    <w:rsid w:val="00CD2BC9"/>
    <w:rsid w:val="00CD310E"/>
    <w:rsid w:val="00CD41F3"/>
    <w:rsid w:val="00CD4E7E"/>
    <w:rsid w:val="00CD5538"/>
    <w:rsid w:val="00CD7578"/>
    <w:rsid w:val="00CD7CFF"/>
    <w:rsid w:val="00CD7D12"/>
    <w:rsid w:val="00CE2327"/>
    <w:rsid w:val="00CE3594"/>
    <w:rsid w:val="00CE3E5B"/>
    <w:rsid w:val="00CE41C9"/>
    <w:rsid w:val="00CE535A"/>
    <w:rsid w:val="00CF07DD"/>
    <w:rsid w:val="00CF0A1D"/>
    <w:rsid w:val="00CF170E"/>
    <w:rsid w:val="00CF31BB"/>
    <w:rsid w:val="00CF3297"/>
    <w:rsid w:val="00CF3733"/>
    <w:rsid w:val="00CF4074"/>
    <w:rsid w:val="00CF4110"/>
    <w:rsid w:val="00CF5E23"/>
    <w:rsid w:val="00CF61FC"/>
    <w:rsid w:val="00D01EC6"/>
    <w:rsid w:val="00D02E98"/>
    <w:rsid w:val="00D0360E"/>
    <w:rsid w:val="00D03ABB"/>
    <w:rsid w:val="00D0654D"/>
    <w:rsid w:val="00D07269"/>
    <w:rsid w:val="00D07E3E"/>
    <w:rsid w:val="00D10167"/>
    <w:rsid w:val="00D10569"/>
    <w:rsid w:val="00D11D6B"/>
    <w:rsid w:val="00D11FDC"/>
    <w:rsid w:val="00D136DA"/>
    <w:rsid w:val="00D1446B"/>
    <w:rsid w:val="00D14C72"/>
    <w:rsid w:val="00D1639B"/>
    <w:rsid w:val="00D1761E"/>
    <w:rsid w:val="00D20122"/>
    <w:rsid w:val="00D20E85"/>
    <w:rsid w:val="00D21910"/>
    <w:rsid w:val="00D220C6"/>
    <w:rsid w:val="00D24D88"/>
    <w:rsid w:val="00D24FB7"/>
    <w:rsid w:val="00D2527A"/>
    <w:rsid w:val="00D258D8"/>
    <w:rsid w:val="00D315F4"/>
    <w:rsid w:val="00D32AE6"/>
    <w:rsid w:val="00D33395"/>
    <w:rsid w:val="00D3426A"/>
    <w:rsid w:val="00D351E8"/>
    <w:rsid w:val="00D35384"/>
    <w:rsid w:val="00D3593A"/>
    <w:rsid w:val="00D41273"/>
    <w:rsid w:val="00D41489"/>
    <w:rsid w:val="00D42132"/>
    <w:rsid w:val="00D4393B"/>
    <w:rsid w:val="00D43A6E"/>
    <w:rsid w:val="00D44894"/>
    <w:rsid w:val="00D44A37"/>
    <w:rsid w:val="00D44F51"/>
    <w:rsid w:val="00D454F4"/>
    <w:rsid w:val="00D463CF"/>
    <w:rsid w:val="00D46F91"/>
    <w:rsid w:val="00D4729A"/>
    <w:rsid w:val="00D50E2F"/>
    <w:rsid w:val="00D54D60"/>
    <w:rsid w:val="00D5559E"/>
    <w:rsid w:val="00D56153"/>
    <w:rsid w:val="00D574F2"/>
    <w:rsid w:val="00D57BDB"/>
    <w:rsid w:val="00D60371"/>
    <w:rsid w:val="00D61765"/>
    <w:rsid w:val="00D6185C"/>
    <w:rsid w:val="00D62E60"/>
    <w:rsid w:val="00D6462F"/>
    <w:rsid w:val="00D64B72"/>
    <w:rsid w:val="00D66282"/>
    <w:rsid w:val="00D676F5"/>
    <w:rsid w:val="00D73F37"/>
    <w:rsid w:val="00D74206"/>
    <w:rsid w:val="00D756F9"/>
    <w:rsid w:val="00D7598E"/>
    <w:rsid w:val="00D76521"/>
    <w:rsid w:val="00D76929"/>
    <w:rsid w:val="00D832A3"/>
    <w:rsid w:val="00D840A5"/>
    <w:rsid w:val="00D85161"/>
    <w:rsid w:val="00D8530D"/>
    <w:rsid w:val="00D85EA8"/>
    <w:rsid w:val="00D86120"/>
    <w:rsid w:val="00D877B1"/>
    <w:rsid w:val="00D87844"/>
    <w:rsid w:val="00D87C8B"/>
    <w:rsid w:val="00D90458"/>
    <w:rsid w:val="00D932A7"/>
    <w:rsid w:val="00D93518"/>
    <w:rsid w:val="00D93DF9"/>
    <w:rsid w:val="00D941DD"/>
    <w:rsid w:val="00D94CD8"/>
    <w:rsid w:val="00D94FDF"/>
    <w:rsid w:val="00D96472"/>
    <w:rsid w:val="00D96F06"/>
    <w:rsid w:val="00D97990"/>
    <w:rsid w:val="00D97FBC"/>
    <w:rsid w:val="00DA0410"/>
    <w:rsid w:val="00DA0633"/>
    <w:rsid w:val="00DA1C47"/>
    <w:rsid w:val="00DA1F4E"/>
    <w:rsid w:val="00DA271B"/>
    <w:rsid w:val="00DA31E9"/>
    <w:rsid w:val="00DA4555"/>
    <w:rsid w:val="00DA5286"/>
    <w:rsid w:val="00DA578A"/>
    <w:rsid w:val="00DA5A75"/>
    <w:rsid w:val="00DA6A25"/>
    <w:rsid w:val="00DA72E3"/>
    <w:rsid w:val="00DB0DB6"/>
    <w:rsid w:val="00DB2054"/>
    <w:rsid w:val="00DB3143"/>
    <w:rsid w:val="00DB31FB"/>
    <w:rsid w:val="00DB3B8A"/>
    <w:rsid w:val="00DB41D1"/>
    <w:rsid w:val="00DB53A4"/>
    <w:rsid w:val="00DB6CE7"/>
    <w:rsid w:val="00DB7EA6"/>
    <w:rsid w:val="00DC0644"/>
    <w:rsid w:val="00DC20D2"/>
    <w:rsid w:val="00DC3C23"/>
    <w:rsid w:val="00DC3EEB"/>
    <w:rsid w:val="00DC482C"/>
    <w:rsid w:val="00DD3182"/>
    <w:rsid w:val="00DD318B"/>
    <w:rsid w:val="00DD5AA3"/>
    <w:rsid w:val="00DD5E93"/>
    <w:rsid w:val="00DD75FC"/>
    <w:rsid w:val="00DD7A0C"/>
    <w:rsid w:val="00DD7D1A"/>
    <w:rsid w:val="00DE0F91"/>
    <w:rsid w:val="00DE1189"/>
    <w:rsid w:val="00DE2BF4"/>
    <w:rsid w:val="00DE3F5B"/>
    <w:rsid w:val="00DE5777"/>
    <w:rsid w:val="00DE7C95"/>
    <w:rsid w:val="00DF3A4D"/>
    <w:rsid w:val="00DF5799"/>
    <w:rsid w:val="00DF5FE8"/>
    <w:rsid w:val="00DF7C65"/>
    <w:rsid w:val="00E0050B"/>
    <w:rsid w:val="00E0176F"/>
    <w:rsid w:val="00E03424"/>
    <w:rsid w:val="00E03594"/>
    <w:rsid w:val="00E03608"/>
    <w:rsid w:val="00E03ED0"/>
    <w:rsid w:val="00E040C6"/>
    <w:rsid w:val="00E046BB"/>
    <w:rsid w:val="00E04E3C"/>
    <w:rsid w:val="00E070EC"/>
    <w:rsid w:val="00E1045E"/>
    <w:rsid w:val="00E10A1A"/>
    <w:rsid w:val="00E11062"/>
    <w:rsid w:val="00E11DD0"/>
    <w:rsid w:val="00E12FC7"/>
    <w:rsid w:val="00E151A5"/>
    <w:rsid w:val="00E17BB7"/>
    <w:rsid w:val="00E2000B"/>
    <w:rsid w:val="00E204C2"/>
    <w:rsid w:val="00E21A8F"/>
    <w:rsid w:val="00E21DBF"/>
    <w:rsid w:val="00E24538"/>
    <w:rsid w:val="00E24FA7"/>
    <w:rsid w:val="00E253CF"/>
    <w:rsid w:val="00E26BE6"/>
    <w:rsid w:val="00E27880"/>
    <w:rsid w:val="00E3181D"/>
    <w:rsid w:val="00E32B6E"/>
    <w:rsid w:val="00E32E43"/>
    <w:rsid w:val="00E33BDC"/>
    <w:rsid w:val="00E34BAC"/>
    <w:rsid w:val="00E34E69"/>
    <w:rsid w:val="00E34EE4"/>
    <w:rsid w:val="00E3706F"/>
    <w:rsid w:val="00E371AB"/>
    <w:rsid w:val="00E37203"/>
    <w:rsid w:val="00E37CB8"/>
    <w:rsid w:val="00E4082B"/>
    <w:rsid w:val="00E40A7E"/>
    <w:rsid w:val="00E40E04"/>
    <w:rsid w:val="00E42000"/>
    <w:rsid w:val="00E42168"/>
    <w:rsid w:val="00E42EA9"/>
    <w:rsid w:val="00E43076"/>
    <w:rsid w:val="00E43E1B"/>
    <w:rsid w:val="00E466BB"/>
    <w:rsid w:val="00E50AEE"/>
    <w:rsid w:val="00E51358"/>
    <w:rsid w:val="00E52D25"/>
    <w:rsid w:val="00E54F90"/>
    <w:rsid w:val="00E569BC"/>
    <w:rsid w:val="00E57B62"/>
    <w:rsid w:val="00E6095A"/>
    <w:rsid w:val="00E61057"/>
    <w:rsid w:val="00E61683"/>
    <w:rsid w:val="00E6392A"/>
    <w:rsid w:val="00E64D06"/>
    <w:rsid w:val="00E64E04"/>
    <w:rsid w:val="00E64F19"/>
    <w:rsid w:val="00E6745D"/>
    <w:rsid w:val="00E7000B"/>
    <w:rsid w:val="00E702C1"/>
    <w:rsid w:val="00E731A7"/>
    <w:rsid w:val="00E7441E"/>
    <w:rsid w:val="00E74535"/>
    <w:rsid w:val="00E75D67"/>
    <w:rsid w:val="00E7625F"/>
    <w:rsid w:val="00E76DBA"/>
    <w:rsid w:val="00E77C44"/>
    <w:rsid w:val="00E806FF"/>
    <w:rsid w:val="00E829AC"/>
    <w:rsid w:val="00E83454"/>
    <w:rsid w:val="00E83BD5"/>
    <w:rsid w:val="00E8410C"/>
    <w:rsid w:val="00E847EA"/>
    <w:rsid w:val="00E84D0F"/>
    <w:rsid w:val="00E851B3"/>
    <w:rsid w:val="00E85D4E"/>
    <w:rsid w:val="00E86C47"/>
    <w:rsid w:val="00E875ED"/>
    <w:rsid w:val="00E87FC3"/>
    <w:rsid w:val="00E91D48"/>
    <w:rsid w:val="00E955A8"/>
    <w:rsid w:val="00E967CB"/>
    <w:rsid w:val="00E967EB"/>
    <w:rsid w:val="00EA1029"/>
    <w:rsid w:val="00EA2634"/>
    <w:rsid w:val="00EA3D09"/>
    <w:rsid w:val="00EA5F63"/>
    <w:rsid w:val="00EB0442"/>
    <w:rsid w:val="00EB1254"/>
    <w:rsid w:val="00EB15A0"/>
    <w:rsid w:val="00EB1AE2"/>
    <w:rsid w:val="00EB2049"/>
    <w:rsid w:val="00EB234C"/>
    <w:rsid w:val="00EB5BB3"/>
    <w:rsid w:val="00EB6EC7"/>
    <w:rsid w:val="00EC0C6E"/>
    <w:rsid w:val="00EC1E2B"/>
    <w:rsid w:val="00EC2375"/>
    <w:rsid w:val="00EC3153"/>
    <w:rsid w:val="00EC3A3D"/>
    <w:rsid w:val="00EC3BBD"/>
    <w:rsid w:val="00EC5649"/>
    <w:rsid w:val="00EC569F"/>
    <w:rsid w:val="00EC6C3C"/>
    <w:rsid w:val="00ED0338"/>
    <w:rsid w:val="00ED23A2"/>
    <w:rsid w:val="00ED2F8E"/>
    <w:rsid w:val="00ED2FBE"/>
    <w:rsid w:val="00ED3BDC"/>
    <w:rsid w:val="00ED3FEB"/>
    <w:rsid w:val="00EE25C4"/>
    <w:rsid w:val="00EE2DC5"/>
    <w:rsid w:val="00EE379D"/>
    <w:rsid w:val="00EE37E1"/>
    <w:rsid w:val="00EE3DDD"/>
    <w:rsid w:val="00EE4C98"/>
    <w:rsid w:val="00EE50ED"/>
    <w:rsid w:val="00EE53A1"/>
    <w:rsid w:val="00EE5B73"/>
    <w:rsid w:val="00EE5F1B"/>
    <w:rsid w:val="00EE646C"/>
    <w:rsid w:val="00EE6E68"/>
    <w:rsid w:val="00EE6F22"/>
    <w:rsid w:val="00EE727C"/>
    <w:rsid w:val="00EE7958"/>
    <w:rsid w:val="00EF1FAC"/>
    <w:rsid w:val="00EF28C1"/>
    <w:rsid w:val="00EF3D5F"/>
    <w:rsid w:val="00EF4682"/>
    <w:rsid w:val="00EF6F93"/>
    <w:rsid w:val="00EF7152"/>
    <w:rsid w:val="00F00131"/>
    <w:rsid w:val="00F01C3B"/>
    <w:rsid w:val="00F03595"/>
    <w:rsid w:val="00F042D8"/>
    <w:rsid w:val="00F054FC"/>
    <w:rsid w:val="00F10A2A"/>
    <w:rsid w:val="00F12D8F"/>
    <w:rsid w:val="00F1380E"/>
    <w:rsid w:val="00F1390B"/>
    <w:rsid w:val="00F204B3"/>
    <w:rsid w:val="00F2281B"/>
    <w:rsid w:val="00F24327"/>
    <w:rsid w:val="00F24636"/>
    <w:rsid w:val="00F2555A"/>
    <w:rsid w:val="00F30405"/>
    <w:rsid w:val="00F3124B"/>
    <w:rsid w:val="00F321E0"/>
    <w:rsid w:val="00F33314"/>
    <w:rsid w:val="00F338E9"/>
    <w:rsid w:val="00F3393A"/>
    <w:rsid w:val="00F3431A"/>
    <w:rsid w:val="00F355C2"/>
    <w:rsid w:val="00F367EC"/>
    <w:rsid w:val="00F36846"/>
    <w:rsid w:val="00F37175"/>
    <w:rsid w:val="00F372FF"/>
    <w:rsid w:val="00F4161A"/>
    <w:rsid w:val="00F421A0"/>
    <w:rsid w:val="00F431E8"/>
    <w:rsid w:val="00F43434"/>
    <w:rsid w:val="00F43864"/>
    <w:rsid w:val="00F44C6A"/>
    <w:rsid w:val="00F46765"/>
    <w:rsid w:val="00F50316"/>
    <w:rsid w:val="00F516A8"/>
    <w:rsid w:val="00F5197C"/>
    <w:rsid w:val="00F51990"/>
    <w:rsid w:val="00F530B7"/>
    <w:rsid w:val="00F547E5"/>
    <w:rsid w:val="00F54973"/>
    <w:rsid w:val="00F5595C"/>
    <w:rsid w:val="00F55BA0"/>
    <w:rsid w:val="00F55C60"/>
    <w:rsid w:val="00F576A9"/>
    <w:rsid w:val="00F578EF"/>
    <w:rsid w:val="00F62419"/>
    <w:rsid w:val="00F64403"/>
    <w:rsid w:val="00F650DD"/>
    <w:rsid w:val="00F6546F"/>
    <w:rsid w:val="00F71266"/>
    <w:rsid w:val="00F71D7E"/>
    <w:rsid w:val="00F71FB8"/>
    <w:rsid w:val="00F72E5B"/>
    <w:rsid w:val="00F73194"/>
    <w:rsid w:val="00F73B1E"/>
    <w:rsid w:val="00F74E04"/>
    <w:rsid w:val="00F80295"/>
    <w:rsid w:val="00F805CB"/>
    <w:rsid w:val="00F818F3"/>
    <w:rsid w:val="00F819FA"/>
    <w:rsid w:val="00F82199"/>
    <w:rsid w:val="00F82445"/>
    <w:rsid w:val="00F832A1"/>
    <w:rsid w:val="00F8626C"/>
    <w:rsid w:val="00F86EA7"/>
    <w:rsid w:val="00F87228"/>
    <w:rsid w:val="00F87840"/>
    <w:rsid w:val="00F87B24"/>
    <w:rsid w:val="00F87B82"/>
    <w:rsid w:val="00F9094E"/>
    <w:rsid w:val="00F917D5"/>
    <w:rsid w:val="00F93E30"/>
    <w:rsid w:val="00F954FE"/>
    <w:rsid w:val="00F9629C"/>
    <w:rsid w:val="00F97551"/>
    <w:rsid w:val="00F979FA"/>
    <w:rsid w:val="00F97D59"/>
    <w:rsid w:val="00FA0B93"/>
    <w:rsid w:val="00FA19EB"/>
    <w:rsid w:val="00FA1A46"/>
    <w:rsid w:val="00FA3CE0"/>
    <w:rsid w:val="00FA4306"/>
    <w:rsid w:val="00FB0B77"/>
    <w:rsid w:val="00FB0D67"/>
    <w:rsid w:val="00FB1BF6"/>
    <w:rsid w:val="00FB214F"/>
    <w:rsid w:val="00FB3781"/>
    <w:rsid w:val="00FB3B73"/>
    <w:rsid w:val="00FB3FA3"/>
    <w:rsid w:val="00FB6F7B"/>
    <w:rsid w:val="00FB7D06"/>
    <w:rsid w:val="00FC024D"/>
    <w:rsid w:val="00FC1618"/>
    <w:rsid w:val="00FC2486"/>
    <w:rsid w:val="00FC386E"/>
    <w:rsid w:val="00FC3A65"/>
    <w:rsid w:val="00FC3E05"/>
    <w:rsid w:val="00FC522F"/>
    <w:rsid w:val="00FC5DA9"/>
    <w:rsid w:val="00FC7132"/>
    <w:rsid w:val="00FC7B0B"/>
    <w:rsid w:val="00FD1D7B"/>
    <w:rsid w:val="00FD3B5A"/>
    <w:rsid w:val="00FD4BA4"/>
    <w:rsid w:val="00FD6A30"/>
    <w:rsid w:val="00FE0CC1"/>
    <w:rsid w:val="00FE11D1"/>
    <w:rsid w:val="00FE2D5D"/>
    <w:rsid w:val="00FE3C59"/>
    <w:rsid w:val="00FE447E"/>
    <w:rsid w:val="00FE59A0"/>
    <w:rsid w:val="00FE622D"/>
    <w:rsid w:val="00FE7456"/>
    <w:rsid w:val="00FE746E"/>
    <w:rsid w:val="00FF194A"/>
    <w:rsid w:val="00FF21B8"/>
    <w:rsid w:val="00FF2D2B"/>
    <w:rsid w:val="00FF3F22"/>
    <w:rsid w:val="00FF5705"/>
    <w:rsid w:val="00FF5CF1"/>
    <w:rsid w:val="00FF5D33"/>
    <w:rsid w:val="00FF6A22"/>
    <w:rsid w:val="00FF74E6"/>
    <w:rsid w:val="65DDC2E3"/>
    <w:rsid w:val="6FE08064"/>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D03766"/>
  <w15:docId w15:val="{F752009F-563C-4268-B59E-06672E16A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07749"/>
    <w:pPr>
      <w:suppressAutoHyphens/>
      <w:spacing w:line="240" w:lineRule="atLeast"/>
    </w:pPr>
    <w:rPr>
      <w:rFonts w:eastAsia="SimSun"/>
      <w:lang w:val="en-GB" w:eastAsia="zh-CN"/>
    </w:rPr>
  </w:style>
  <w:style w:type="paragraph" w:styleId="Heading1">
    <w:name w:val="heading 1"/>
    <w:aliases w:val="Table_G"/>
    <w:basedOn w:val="Normal"/>
    <w:next w:val="AnnoH23G"/>
    <w:qFormat/>
    <w:rsid w:val="00FA1A46"/>
    <w:pPr>
      <w:ind w:left="1134"/>
      <w:outlineLvl w:val="0"/>
    </w:pPr>
  </w:style>
  <w:style w:type="paragraph" w:styleId="Heading2">
    <w:name w:val="heading 2"/>
    <w:basedOn w:val="Normal"/>
    <w:next w:val="Normal"/>
    <w:link w:val="Heading2Char"/>
    <w:qFormat/>
    <w:rsid w:val="00FA1A46"/>
    <w:pPr>
      <w:keepNext/>
      <w:keepLines/>
      <w:spacing w:before="200"/>
      <w:outlineLvl w:val="1"/>
    </w:pPr>
    <w:rPr>
      <w:rFonts w:ascii="Cambria" w:eastAsia="Times New Roman" w:hAnsi="Cambria"/>
      <w:b/>
      <w:bCs/>
      <w:color w:val="4F81BD"/>
      <w:sz w:val="26"/>
      <w:szCs w:val="26"/>
    </w:rPr>
  </w:style>
  <w:style w:type="paragraph" w:styleId="Heading4">
    <w:name w:val="heading 4"/>
    <w:basedOn w:val="Normal"/>
    <w:next w:val="Normal"/>
    <w:link w:val="Heading4Char"/>
    <w:qFormat/>
    <w:rsid w:val="00FA1A46"/>
    <w:pPr>
      <w:keepNext/>
      <w:keepLines/>
      <w:spacing w:before="200"/>
      <w:outlineLvl w:val="3"/>
    </w:pPr>
    <w:rPr>
      <w:rFonts w:ascii="Cambria" w:eastAsia="Times New Roman" w:hAnsi="Cambria"/>
      <w:b/>
      <w:bCs/>
      <w:i/>
      <w:iCs/>
      <w:color w:val="4F81BD"/>
    </w:rPr>
  </w:style>
  <w:style w:type="paragraph" w:styleId="Heading5">
    <w:name w:val="heading 5"/>
    <w:basedOn w:val="Normal"/>
    <w:next w:val="Normal"/>
    <w:link w:val="Heading5Char"/>
    <w:qFormat/>
    <w:rsid w:val="00FA1A46"/>
    <w:pPr>
      <w:keepNext/>
      <w:keepLines/>
      <w:spacing w:before="200"/>
      <w:outlineLvl w:val="4"/>
    </w:pPr>
    <w:rPr>
      <w:rFonts w:ascii="Cambria" w:eastAsia="Times New Roman" w:hAnsi="Cambria"/>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MG">
    <w:name w:val="_ H __M_G"/>
    <w:basedOn w:val="Normal"/>
    <w:next w:val="Normal"/>
    <w:rsid w:val="00FA1A46"/>
    <w:pPr>
      <w:keepNext/>
      <w:keepLines/>
      <w:tabs>
        <w:tab w:val="right" w:pos="851"/>
      </w:tabs>
      <w:spacing w:before="240" w:after="240" w:line="360" w:lineRule="exact"/>
      <w:ind w:left="1134" w:right="1134" w:hanging="1134"/>
    </w:pPr>
    <w:rPr>
      <w:b/>
      <w:sz w:val="34"/>
    </w:rPr>
  </w:style>
  <w:style w:type="paragraph" w:customStyle="1" w:styleId="HChG">
    <w:name w:val="_ H _Ch_G"/>
    <w:basedOn w:val="Normal"/>
    <w:next w:val="Normal"/>
    <w:link w:val="HChGChar"/>
    <w:rsid w:val="00FA1A46"/>
    <w:pPr>
      <w:keepNext/>
      <w:keepLines/>
      <w:tabs>
        <w:tab w:val="right" w:pos="851"/>
      </w:tabs>
      <w:spacing w:before="360" w:after="240" w:line="300" w:lineRule="exact"/>
      <w:ind w:left="1134" w:right="1134" w:hanging="1134"/>
    </w:pPr>
    <w:rPr>
      <w:b/>
      <w:sz w:val="28"/>
    </w:rPr>
  </w:style>
  <w:style w:type="paragraph" w:customStyle="1" w:styleId="H1G">
    <w:name w:val="_ H_1_G"/>
    <w:basedOn w:val="Normal"/>
    <w:next w:val="Normal"/>
    <w:rsid w:val="00FA1A46"/>
    <w:pPr>
      <w:keepNext/>
      <w:keepLines/>
      <w:spacing w:before="360" w:after="240" w:line="270" w:lineRule="exact"/>
      <w:ind w:left="1134" w:right="1134" w:hanging="1134"/>
    </w:pPr>
    <w:rPr>
      <w:b/>
      <w:sz w:val="24"/>
    </w:rPr>
  </w:style>
  <w:style w:type="paragraph" w:customStyle="1" w:styleId="H23G">
    <w:name w:val="_ H_2/3_G"/>
    <w:basedOn w:val="Normal"/>
    <w:next w:val="Normal"/>
    <w:rsid w:val="00FA1A46"/>
    <w:pPr>
      <w:keepNext/>
      <w:keepLines/>
      <w:tabs>
        <w:tab w:val="right" w:pos="851"/>
      </w:tabs>
      <w:spacing w:before="240" w:after="120" w:line="240" w:lineRule="exact"/>
      <w:ind w:left="1134" w:right="1134" w:hanging="1134"/>
    </w:pPr>
    <w:rPr>
      <w:b/>
    </w:rPr>
  </w:style>
  <w:style w:type="paragraph" w:customStyle="1" w:styleId="H4G">
    <w:name w:val="_ H_4_G"/>
    <w:basedOn w:val="Normal"/>
    <w:next w:val="Normal"/>
    <w:rsid w:val="00FA1A46"/>
    <w:pPr>
      <w:keepNext/>
      <w:keepLines/>
      <w:tabs>
        <w:tab w:val="right" w:pos="851"/>
      </w:tabs>
      <w:spacing w:before="240" w:after="120" w:line="240" w:lineRule="exact"/>
      <w:ind w:left="1134" w:right="1134" w:hanging="1134"/>
    </w:pPr>
    <w:rPr>
      <w:i/>
    </w:rPr>
  </w:style>
  <w:style w:type="paragraph" w:customStyle="1" w:styleId="H56G">
    <w:name w:val="_ H_5/6_G"/>
    <w:basedOn w:val="Normal"/>
    <w:next w:val="Normal"/>
    <w:rsid w:val="00FA1A46"/>
    <w:pPr>
      <w:keepNext/>
      <w:keepLines/>
      <w:tabs>
        <w:tab w:val="right" w:pos="851"/>
      </w:tabs>
      <w:spacing w:before="240" w:after="120" w:line="240" w:lineRule="exact"/>
      <w:ind w:left="1134" w:right="1134" w:hanging="1134"/>
    </w:pPr>
  </w:style>
  <w:style w:type="paragraph" w:customStyle="1" w:styleId="SingleTxtG">
    <w:name w:val="_ Single Txt_G"/>
    <w:basedOn w:val="Normal"/>
    <w:rsid w:val="00FA1A46"/>
    <w:pPr>
      <w:spacing w:after="120"/>
      <w:ind w:left="1134" w:right="1134"/>
      <w:jc w:val="both"/>
    </w:pPr>
    <w:rPr>
      <w:rFonts w:eastAsia="Times New Roman"/>
      <w:lang w:eastAsia="en-US"/>
    </w:rPr>
  </w:style>
  <w:style w:type="paragraph" w:customStyle="1" w:styleId="SLG">
    <w:name w:val="__S_L_G"/>
    <w:basedOn w:val="Normal"/>
    <w:next w:val="Normal"/>
    <w:rsid w:val="00FA1A46"/>
    <w:pPr>
      <w:keepNext/>
      <w:keepLines/>
      <w:spacing w:before="240" w:after="240" w:line="580" w:lineRule="exact"/>
      <w:ind w:left="1134" w:right="1134"/>
    </w:pPr>
    <w:rPr>
      <w:b/>
      <w:sz w:val="56"/>
    </w:rPr>
  </w:style>
  <w:style w:type="paragraph" w:customStyle="1" w:styleId="SMG">
    <w:name w:val="__S_M_G"/>
    <w:basedOn w:val="Normal"/>
    <w:next w:val="Normal"/>
    <w:rsid w:val="00FA1A46"/>
    <w:pPr>
      <w:keepNext/>
      <w:keepLines/>
      <w:spacing w:before="240" w:after="240" w:line="420" w:lineRule="exact"/>
      <w:ind w:left="1134" w:right="1134"/>
    </w:pPr>
    <w:rPr>
      <w:b/>
      <w:sz w:val="40"/>
    </w:rPr>
  </w:style>
  <w:style w:type="paragraph" w:customStyle="1" w:styleId="SSG">
    <w:name w:val="__S_S_G"/>
    <w:basedOn w:val="Normal"/>
    <w:next w:val="Normal"/>
    <w:rsid w:val="00FA1A46"/>
    <w:pPr>
      <w:keepNext/>
      <w:keepLines/>
      <w:spacing w:before="240" w:after="240" w:line="300" w:lineRule="exact"/>
      <w:ind w:left="1134" w:right="1134"/>
    </w:pPr>
    <w:rPr>
      <w:b/>
      <w:sz w:val="28"/>
    </w:rPr>
  </w:style>
  <w:style w:type="paragraph" w:customStyle="1" w:styleId="XLargeG">
    <w:name w:val="__XLarge_G"/>
    <w:basedOn w:val="Normal"/>
    <w:next w:val="Normal"/>
    <w:rsid w:val="00FA1A46"/>
    <w:pPr>
      <w:keepNext/>
      <w:keepLines/>
      <w:spacing w:before="240" w:after="240" w:line="420" w:lineRule="exact"/>
      <w:ind w:left="1134" w:right="1134"/>
    </w:pPr>
    <w:rPr>
      <w:b/>
      <w:sz w:val="40"/>
    </w:rPr>
  </w:style>
  <w:style w:type="paragraph" w:customStyle="1" w:styleId="Bullet1G">
    <w:name w:val="_Bullet 1_G"/>
    <w:basedOn w:val="Normal"/>
    <w:rsid w:val="00FA1A46"/>
    <w:pPr>
      <w:numPr>
        <w:numId w:val="8"/>
      </w:numPr>
      <w:spacing w:after="120"/>
      <w:ind w:right="1134"/>
      <w:jc w:val="both"/>
    </w:pPr>
  </w:style>
  <w:style w:type="paragraph" w:customStyle="1" w:styleId="Bullet2G">
    <w:name w:val="_Bullet 2_G"/>
    <w:basedOn w:val="Normal"/>
    <w:rsid w:val="00FA1A46"/>
    <w:pPr>
      <w:numPr>
        <w:numId w:val="9"/>
      </w:numPr>
      <w:spacing w:after="120"/>
      <w:ind w:right="1134"/>
      <w:jc w:val="both"/>
    </w:pPr>
  </w:style>
  <w:style w:type="paragraph" w:customStyle="1" w:styleId="AnnoHCHG">
    <w:name w:val="Anno _ H_CH_G"/>
    <w:basedOn w:val="Normal"/>
    <w:next w:val="AnnoH1G"/>
    <w:rsid w:val="00FA1A46"/>
    <w:pPr>
      <w:keepNext/>
      <w:keepLines/>
      <w:numPr>
        <w:numId w:val="13"/>
      </w:numPr>
      <w:spacing w:before="360" w:after="240" w:line="300" w:lineRule="exact"/>
      <w:ind w:right="1134"/>
    </w:pPr>
    <w:rPr>
      <w:b/>
      <w:sz w:val="28"/>
    </w:rPr>
  </w:style>
  <w:style w:type="paragraph" w:customStyle="1" w:styleId="AnnoH1G">
    <w:name w:val="Anno_ H_1_G"/>
    <w:basedOn w:val="Normal"/>
    <w:next w:val="AnnoH23G"/>
    <w:autoRedefine/>
    <w:rsid w:val="00FA1A46"/>
    <w:pPr>
      <w:keepNext/>
      <w:keepLines/>
      <w:numPr>
        <w:ilvl w:val="1"/>
        <w:numId w:val="13"/>
      </w:numPr>
      <w:spacing w:before="360" w:after="240" w:line="270" w:lineRule="exact"/>
      <w:ind w:right="1134"/>
    </w:pPr>
    <w:rPr>
      <w:b/>
      <w:sz w:val="24"/>
    </w:rPr>
  </w:style>
  <w:style w:type="paragraph" w:customStyle="1" w:styleId="AnnoH23G">
    <w:name w:val="Anno_ H_2/3_G"/>
    <w:basedOn w:val="Normal"/>
    <w:next w:val="AnnoSingleTxtG"/>
    <w:autoRedefine/>
    <w:rsid w:val="00FA1A46"/>
    <w:pPr>
      <w:keepNext/>
      <w:keepLines/>
      <w:numPr>
        <w:ilvl w:val="2"/>
        <w:numId w:val="13"/>
      </w:numPr>
      <w:spacing w:before="240" w:after="120" w:line="240" w:lineRule="exact"/>
      <w:ind w:right="1134"/>
    </w:pPr>
    <w:rPr>
      <w:u w:val="single"/>
    </w:rPr>
  </w:style>
  <w:style w:type="paragraph" w:customStyle="1" w:styleId="AnnoSingleTxtG">
    <w:name w:val="Anno_ Single Txt_G"/>
    <w:basedOn w:val="Normal"/>
    <w:rsid w:val="00FA1A46"/>
    <w:pPr>
      <w:numPr>
        <w:ilvl w:val="3"/>
        <w:numId w:val="13"/>
      </w:numPr>
      <w:spacing w:after="120"/>
      <w:ind w:right="1134"/>
      <w:jc w:val="both"/>
    </w:pPr>
  </w:style>
  <w:style w:type="character" w:styleId="FootnoteReference">
    <w:name w:val="footnote reference"/>
    <w:aliases w:val="4_G,16 Point,Superscript 6 Point,Ref,de nota al pie,Appel note de bas de page,BVI fnr,number,Footnote text,Footnote reference number,Footnote symbol,note TESI,-E Fußnotenzeichen,SUPERS,stylish,ftref,Superscript 6 Point + 11 pt,E FNZ"/>
    <w:link w:val="BVIfnrChar"/>
    <w:qFormat/>
    <w:rsid w:val="00FA1A46"/>
    <w:rPr>
      <w:rFonts w:ascii="Times New Roman" w:hAnsi="Times New Roman"/>
      <w:sz w:val="18"/>
      <w:vertAlign w:val="superscript"/>
    </w:rPr>
  </w:style>
  <w:style w:type="character" w:styleId="EndnoteReference">
    <w:name w:val="endnote reference"/>
    <w:aliases w:val="1_G"/>
    <w:rsid w:val="001A6305"/>
    <w:rPr>
      <w:rFonts w:ascii="Times New Roman" w:hAnsi="Times New Roman"/>
      <w:i/>
      <w:sz w:val="18"/>
      <w:vertAlign w:val="superscript"/>
    </w:rPr>
  </w:style>
  <w:style w:type="paragraph" w:styleId="EndnoteText">
    <w:name w:val="endnote text"/>
    <w:aliases w:val="2_G"/>
    <w:basedOn w:val="FootnoteText"/>
    <w:link w:val="EndnoteTextChar"/>
    <w:rsid w:val="00A6472E"/>
    <w:rPr>
      <w:i/>
    </w:rPr>
  </w:style>
  <w:style w:type="paragraph" w:styleId="FootnoteText">
    <w:name w:val="footnote text"/>
    <w:aliases w:val="5_G,Geneva 9,Font: Geneva 9,Boston 10,f,fn,Footnotes,Footnote ak,Char,footnote text,Char Char Char Char,Default Paragraph Font Char Char,Default Paragraph Font Para Char Char Char Char,Default Paragraph Font Char Char11,Footno,single space"/>
    <w:basedOn w:val="Normal"/>
    <w:link w:val="FootnoteTextChar"/>
    <w:rsid w:val="00FA1A46"/>
    <w:pPr>
      <w:tabs>
        <w:tab w:val="right" w:pos="1021"/>
      </w:tabs>
      <w:spacing w:line="220" w:lineRule="exact"/>
      <w:ind w:left="1134" w:right="1134" w:hanging="1134"/>
    </w:pPr>
    <w:rPr>
      <w:sz w:val="18"/>
    </w:rPr>
  </w:style>
  <w:style w:type="paragraph" w:styleId="Footer">
    <w:name w:val="footer"/>
    <w:aliases w:val="3_G"/>
    <w:basedOn w:val="Normal"/>
    <w:link w:val="FooterChar"/>
    <w:rsid w:val="00FA1A46"/>
    <w:rPr>
      <w:sz w:val="16"/>
    </w:rPr>
  </w:style>
  <w:style w:type="paragraph" w:customStyle="1" w:styleId="FootnoteTable">
    <w:name w:val="Footnote Table"/>
    <w:basedOn w:val="Normal"/>
    <w:rsid w:val="004B02E4"/>
    <w:pPr>
      <w:spacing w:before="60" w:line="220" w:lineRule="atLeast"/>
      <w:contextualSpacing/>
      <w:jc w:val="both"/>
    </w:pPr>
    <w:rPr>
      <w:sz w:val="18"/>
    </w:rPr>
  </w:style>
  <w:style w:type="paragraph" w:styleId="Header">
    <w:name w:val="header"/>
    <w:aliases w:val="6_G"/>
    <w:basedOn w:val="Normal"/>
    <w:link w:val="HeaderChar"/>
    <w:rsid w:val="00FA1A46"/>
    <w:pPr>
      <w:pBdr>
        <w:bottom w:val="single" w:sz="4" w:space="4" w:color="auto"/>
      </w:pBdr>
    </w:pPr>
    <w:rPr>
      <w:b/>
      <w:sz w:val="18"/>
    </w:rPr>
  </w:style>
  <w:style w:type="character" w:styleId="PageNumber">
    <w:name w:val="page number"/>
    <w:aliases w:val="7_G"/>
    <w:rsid w:val="00FA1A46"/>
    <w:rPr>
      <w:rFonts w:ascii="Times New Roman" w:hAnsi="Times New Roman"/>
      <w:b/>
      <w:sz w:val="18"/>
    </w:rPr>
  </w:style>
  <w:style w:type="paragraph" w:customStyle="1" w:styleId="RegHChG">
    <w:name w:val="Reg_H__Ch_G"/>
    <w:basedOn w:val="Normal"/>
    <w:next w:val="RegH1G"/>
    <w:qFormat/>
    <w:rsid w:val="00FA1A46"/>
    <w:pPr>
      <w:keepNext/>
      <w:keepLines/>
      <w:numPr>
        <w:numId w:val="1"/>
      </w:numPr>
      <w:spacing w:before="360" w:after="240" w:line="300" w:lineRule="exact"/>
      <w:ind w:right="1134"/>
    </w:pPr>
    <w:rPr>
      <w:b/>
      <w:sz w:val="28"/>
    </w:rPr>
  </w:style>
  <w:style w:type="paragraph" w:customStyle="1" w:styleId="RegH1G">
    <w:name w:val="Reg_H_1_G"/>
    <w:basedOn w:val="Normal"/>
    <w:next w:val="RegH23G"/>
    <w:rsid w:val="00FA1A46"/>
    <w:pPr>
      <w:keepNext/>
      <w:keepLines/>
      <w:numPr>
        <w:ilvl w:val="1"/>
        <w:numId w:val="21"/>
      </w:numPr>
      <w:spacing w:before="360" w:after="240" w:line="270" w:lineRule="exact"/>
      <w:ind w:right="1134"/>
    </w:pPr>
    <w:rPr>
      <w:b/>
      <w:sz w:val="24"/>
    </w:rPr>
  </w:style>
  <w:style w:type="paragraph" w:customStyle="1" w:styleId="RegH23G">
    <w:name w:val="Reg_H_2/3_G"/>
    <w:basedOn w:val="Normal"/>
    <w:next w:val="RegH4G"/>
    <w:rsid w:val="00FA1A46"/>
    <w:pPr>
      <w:keepNext/>
      <w:keepLines/>
      <w:numPr>
        <w:ilvl w:val="2"/>
        <w:numId w:val="21"/>
      </w:numPr>
      <w:spacing w:before="240" w:after="120" w:line="240" w:lineRule="exact"/>
      <w:ind w:right="1134"/>
    </w:pPr>
    <w:rPr>
      <w:b/>
    </w:rPr>
  </w:style>
  <w:style w:type="paragraph" w:customStyle="1" w:styleId="RegSingleTxtG">
    <w:name w:val="Reg_Single Txt_G"/>
    <w:basedOn w:val="Normal"/>
    <w:link w:val="RegSingleTxtGChar"/>
    <w:rsid w:val="00FA1A46"/>
    <w:pPr>
      <w:numPr>
        <w:ilvl w:val="5"/>
        <w:numId w:val="21"/>
      </w:numPr>
      <w:tabs>
        <w:tab w:val="left" w:pos="1701"/>
      </w:tabs>
      <w:spacing w:after="120"/>
      <w:ind w:right="1134"/>
      <w:jc w:val="both"/>
    </w:pPr>
  </w:style>
  <w:style w:type="paragraph" w:styleId="TOC1">
    <w:name w:val="toc 1"/>
    <w:basedOn w:val="Normal"/>
    <w:next w:val="Normal"/>
    <w:autoRedefine/>
    <w:rsid w:val="00AD1F92"/>
    <w:pPr>
      <w:tabs>
        <w:tab w:val="right" w:pos="851"/>
        <w:tab w:val="left" w:pos="1134"/>
        <w:tab w:val="left" w:pos="1559"/>
        <w:tab w:val="left" w:pos="2268"/>
        <w:tab w:val="right" w:leader="dot" w:pos="8930"/>
        <w:tab w:val="right" w:pos="9356"/>
      </w:tabs>
      <w:spacing w:after="120"/>
      <w:ind w:left="2268" w:right="707" w:hanging="2268"/>
    </w:pPr>
    <w:rPr>
      <w:noProof/>
    </w:rPr>
  </w:style>
  <w:style w:type="paragraph" w:styleId="TOC2">
    <w:name w:val="toc 2"/>
    <w:basedOn w:val="Normal"/>
    <w:next w:val="Normal"/>
    <w:autoRedefine/>
    <w:uiPriority w:val="39"/>
    <w:rsid w:val="00F36846"/>
    <w:pPr>
      <w:tabs>
        <w:tab w:val="right" w:pos="851"/>
        <w:tab w:val="left" w:pos="1134"/>
        <w:tab w:val="left" w:pos="1559"/>
        <w:tab w:val="left" w:pos="1985"/>
        <w:tab w:val="center" w:leader="dot" w:pos="8930"/>
        <w:tab w:val="right" w:pos="9639"/>
      </w:tabs>
      <w:spacing w:after="120"/>
    </w:pPr>
  </w:style>
  <w:style w:type="paragraph" w:styleId="TOC3">
    <w:name w:val="toc 3"/>
    <w:basedOn w:val="Normal"/>
    <w:next w:val="Normal"/>
    <w:autoRedefine/>
    <w:semiHidden/>
    <w:rsid w:val="00FA1A46"/>
    <w:pPr>
      <w:tabs>
        <w:tab w:val="right" w:pos="851"/>
        <w:tab w:val="left" w:pos="1134"/>
        <w:tab w:val="left" w:pos="1559"/>
        <w:tab w:val="left" w:pos="1985"/>
        <w:tab w:val="left" w:leader="dot" w:pos="7655"/>
        <w:tab w:val="right" w:pos="8930"/>
        <w:tab w:val="right" w:pos="9639"/>
      </w:tabs>
      <w:spacing w:after="120"/>
    </w:pPr>
  </w:style>
  <w:style w:type="paragraph" w:styleId="BalloonText">
    <w:name w:val="Balloon Text"/>
    <w:basedOn w:val="Normal"/>
    <w:link w:val="BalloonTextChar"/>
    <w:rsid w:val="00FA1A46"/>
    <w:pPr>
      <w:spacing w:line="240" w:lineRule="auto"/>
    </w:pPr>
    <w:rPr>
      <w:rFonts w:ascii="Tahoma" w:hAnsi="Tahoma" w:cs="Tahoma"/>
      <w:sz w:val="16"/>
      <w:szCs w:val="16"/>
    </w:rPr>
  </w:style>
  <w:style w:type="character" w:customStyle="1" w:styleId="BalloonTextChar">
    <w:name w:val="Balloon Text Char"/>
    <w:link w:val="BalloonText"/>
    <w:rsid w:val="00FA1A46"/>
    <w:rPr>
      <w:rFonts w:ascii="Tahoma" w:eastAsia="SimSun" w:hAnsi="Tahoma" w:cs="Tahoma"/>
      <w:sz w:val="16"/>
      <w:szCs w:val="16"/>
      <w:lang w:val="en-GB" w:eastAsia="zh-CN"/>
    </w:rPr>
  </w:style>
  <w:style w:type="paragraph" w:styleId="ListParagraph">
    <w:name w:val="List Paragraph"/>
    <w:basedOn w:val="Normal"/>
    <w:uiPriority w:val="34"/>
    <w:qFormat/>
    <w:rsid w:val="00FA1A46"/>
    <w:pPr>
      <w:ind w:left="720"/>
      <w:contextualSpacing/>
    </w:pPr>
  </w:style>
  <w:style w:type="character" w:customStyle="1" w:styleId="Heading2Char">
    <w:name w:val="Heading 2 Char"/>
    <w:link w:val="Heading2"/>
    <w:rsid w:val="00FA1A46"/>
    <w:rPr>
      <w:rFonts w:ascii="Cambria" w:hAnsi="Cambria"/>
      <w:b/>
      <w:bCs/>
      <w:color w:val="4F81BD"/>
      <w:sz w:val="26"/>
      <w:szCs w:val="26"/>
      <w:lang w:val="en-GB" w:eastAsia="zh-CN"/>
    </w:rPr>
  </w:style>
  <w:style w:type="character" w:customStyle="1" w:styleId="Heading4Char">
    <w:name w:val="Heading 4 Char"/>
    <w:link w:val="Heading4"/>
    <w:rsid w:val="00FA1A46"/>
    <w:rPr>
      <w:rFonts w:ascii="Cambria" w:hAnsi="Cambria"/>
      <w:b/>
      <w:bCs/>
      <w:i/>
      <w:iCs/>
      <w:color w:val="4F81BD"/>
      <w:lang w:val="en-GB" w:eastAsia="zh-CN"/>
    </w:rPr>
  </w:style>
  <w:style w:type="character" w:customStyle="1" w:styleId="Heading5Char">
    <w:name w:val="Heading 5 Char"/>
    <w:link w:val="Heading5"/>
    <w:rsid w:val="00FA1A46"/>
    <w:rPr>
      <w:rFonts w:ascii="Cambria" w:hAnsi="Cambria"/>
      <w:color w:val="243F60"/>
      <w:lang w:val="en-GB" w:eastAsia="zh-CN"/>
    </w:rPr>
  </w:style>
  <w:style w:type="paragraph" w:customStyle="1" w:styleId="ListParagraphforAnnexes">
    <w:name w:val="List Paragraph for Annexes"/>
    <w:basedOn w:val="ListParagraph"/>
    <w:qFormat/>
    <w:rsid w:val="00FA1A46"/>
    <w:pPr>
      <w:spacing w:before="120" w:after="120" w:line="240" w:lineRule="exact"/>
      <w:contextualSpacing w:val="0"/>
    </w:pPr>
  </w:style>
  <w:style w:type="paragraph" w:customStyle="1" w:styleId="RegH4G">
    <w:name w:val="Reg_H_4_G"/>
    <w:basedOn w:val="RegH23G"/>
    <w:next w:val="RegH5G"/>
    <w:qFormat/>
    <w:rsid w:val="00FA1A46"/>
    <w:pPr>
      <w:numPr>
        <w:ilvl w:val="3"/>
      </w:numPr>
    </w:pPr>
  </w:style>
  <w:style w:type="paragraph" w:customStyle="1" w:styleId="RegH5G">
    <w:name w:val="Reg_H_5_G"/>
    <w:basedOn w:val="RegH4G"/>
    <w:qFormat/>
    <w:rsid w:val="00FA1A46"/>
    <w:pPr>
      <w:numPr>
        <w:ilvl w:val="4"/>
      </w:numPr>
    </w:pPr>
    <w:rPr>
      <w:b w:val="0"/>
      <w:i/>
    </w:rPr>
  </w:style>
  <w:style w:type="paragraph" w:customStyle="1" w:styleId="TableFootnote">
    <w:name w:val="TableFootnote"/>
    <w:basedOn w:val="FootnoteTable"/>
    <w:qFormat/>
    <w:rsid w:val="00FA1A46"/>
    <w:pPr>
      <w:ind w:left="1134" w:right="1134" w:firstLine="170"/>
      <w:jc w:val="left"/>
    </w:pPr>
  </w:style>
  <w:style w:type="paragraph" w:customStyle="1" w:styleId="RegSingleTxtG2">
    <w:name w:val="Reg_Single Txt_G2"/>
    <w:basedOn w:val="RegSingleTxtG"/>
    <w:qFormat/>
    <w:rsid w:val="00FA1A46"/>
    <w:pPr>
      <w:numPr>
        <w:ilvl w:val="6"/>
      </w:numPr>
      <w:tabs>
        <w:tab w:val="clear" w:pos="1702"/>
      </w:tabs>
    </w:pPr>
  </w:style>
  <w:style w:type="paragraph" w:customStyle="1" w:styleId="RegSingleTxtG3">
    <w:name w:val="Reg_Single Txt_G3"/>
    <w:basedOn w:val="RegSingleTxtG"/>
    <w:qFormat/>
    <w:rsid w:val="00FA1A46"/>
    <w:pPr>
      <w:numPr>
        <w:ilvl w:val="7"/>
      </w:numPr>
    </w:pPr>
  </w:style>
  <w:style w:type="paragraph" w:customStyle="1" w:styleId="AtxtHdgs">
    <w:name w:val="Atxt_Hdgs"/>
    <w:basedOn w:val="Normal"/>
    <w:rsid w:val="00FA1A46"/>
    <w:pPr>
      <w:suppressAutoHyphens w:val="0"/>
      <w:spacing w:line="240" w:lineRule="auto"/>
      <w:jc w:val="center"/>
    </w:pPr>
    <w:rPr>
      <w:rFonts w:eastAsia="Times New Roman"/>
      <w:sz w:val="24"/>
      <w:lang w:eastAsia="en-US"/>
    </w:rPr>
  </w:style>
  <w:style w:type="paragraph" w:styleId="Caption">
    <w:name w:val="caption"/>
    <w:basedOn w:val="Normal"/>
    <w:next w:val="Normal"/>
    <w:unhideWhenUsed/>
    <w:qFormat/>
    <w:rsid w:val="00FA1A46"/>
    <w:rPr>
      <w:b/>
      <w:bCs/>
    </w:rPr>
  </w:style>
  <w:style w:type="paragraph" w:styleId="TOC4">
    <w:name w:val="toc 4"/>
    <w:basedOn w:val="Normal"/>
    <w:next w:val="Normal"/>
    <w:autoRedefine/>
    <w:semiHidden/>
    <w:unhideWhenUsed/>
    <w:rsid w:val="00FA1A46"/>
    <w:pPr>
      <w:ind w:left="600"/>
    </w:pPr>
  </w:style>
  <w:style w:type="paragraph" w:styleId="TOC5">
    <w:name w:val="toc 5"/>
    <w:basedOn w:val="Normal"/>
    <w:next w:val="Normal"/>
    <w:autoRedefine/>
    <w:semiHidden/>
    <w:unhideWhenUsed/>
    <w:rsid w:val="00FA1A46"/>
    <w:pPr>
      <w:ind w:left="800"/>
    </w:pPr>
  </w:style>
  <w:style w:type="paragraph" w:styleId="TOC6">
    <w:name w:val="toc 6"/>
    <w:basedOn w:val="Normal"/>
    <w:next w:val="Normal"/>
    <w:autoRedefine/>
    <w:semiHidden/>
    <w:unhideWhenUsed/>
    <w:rsid w:val="00FA1A46"/>
    <w:pPr>
      <w:ind w:left="1000"/>
    </w:pPr>
  </w:style>
  <w:style w:type="paragraph" w:styleId="TOC7">
    <w:name w:val="toc 7"/>
    <w:basedOn w:val="Normal"/>
    <w:next w:val="Normal"/>
    <w:autoRedefine/>
    <w:semiHidden/>
    <w:unhideWhenUsed/>
    <w:rsid w:val="00FA1A46"/>
    <w:pPr>
      <w:ind w:left="1200"/>
    </w:pPr>
  </w:style>
  <w:style w:type="paragraph" w:styleId="TOC8">
    <w:name w:val="toc 8"/>
    <w:basedOn w:val="Normal"/>
    <w:next w:val="Normal"/>
    <w:autoRedefine/>
    <w:semiHidden/>
    <w:unhideWhenUsed/>
    <w:rsid w:val="00FA1A46"/>
    <w:pPr>
      <w:ind w:left="1400"/>
    </w:pPr>
  </w:style>
  <w:style w:type="paragraph" w:styleId="TOC9">
    <w:name w:val="toc 9"/>
    <w:basedOn w:val="Normal"/>
    <w:next w:val="Normal"/>
    <w:autoRedefine/>
    <w:semiHidden/>
    <w:unhideWhenUsed/>
    <w:rsid w:val="00FA1A46"/>
    <w:pPr>
      <w:ind w:left="1600"/>
    </w:pPr>
  </w:style>
  <w:style w:type="paragraph" w:customStyle="1" w:styleId="FC1">
    <w:name w:val="FC1"/>
    <w:basedOn w:val="RegSingleTxtG"/>
    <w:qFormat/>
    <w:rsid w:val="00FA1A46"/>
    <w:pPr>
      <w:numPr>
        <w:ilvl w:val="0"/>
        <w:numId w:val="0"/>
      </w:numPr>
      <w:ind w:left="1134"/>
      <w:jc w:val="left"/>
    </w:pPr>
  </w:style>
  <w:style w:type="paragraph" w:customStyle="1" w:styleId="SourcesFootnote">
    <w:name w:val="SourcesFootnote"/>
    <w:basedOn w:val="TableFootnote"/>
    <w:qFormat/>
    <w:rsid w:val="00FA1A46"/>
    <w:rPr>
      <w:i/>
    </w:rPr>
  </w:style>
  <w:style w:type="paragraph" w:customStyle="1" w:styleId="FC2">
    <w:name w:val="FC2"/>
    <w:basedOn w:val="FC1"/>
    <w:qFormat/>
    <w:rsid w:val="00FA1A46"/>
    <w:pPr>
      <w:keepNext/>
    </w:pPr>
  </w:style>
  <w:style w:type="numbering" w:customStyle="1" w:styleId="FCCCBoxfootnote">
    <w:name w:val="FCCC_Box_footnote"/>
    <w:uiPriority w:val="99"/>
    <w:rsid w:val="00E50AEE"/>
    <w:pPr>
      <w:numPr>
        <w:numId w:val="5"/>
      </w:numPr>
    </w:pPr>
  </w:style>
  <w:style w:type="numbering" w:customStyle="1" w:styleId="FCCCTextboxfootnote">
    <w:name w:val="FCCC Textbox footnote"/>
    <w:uiPriority w:val="99"/>
    <w:rsid w:val="00FC386E"/>
    <w:pPr>
      <w:numPr>
        <w:numId w:val="6"/>
      </w:numPr>
    </w:pPr>
  </w:style>
  <w:style w:type="numbering" w:customStyle="1" w:styleId="FigureFootnote">
    <w:name w:val="Figure Footnote"/>
    <w:uiPriority w:val="99"/>
    <w:rsid w:val="00FE622D"/>
    <w:pPr>
      <w:numPr>
        <w:numId w:val="7"/>
      </w:numPr>
    </w:pPr>
  </w:style>
  <w:style w:type="table" w:styleId="TableGrid">
    <w:name w:val="Table Grid"/>
    <w:basedOn w:val="TableNormal"/>
    <w:uiPriority w:val="39"/>
    <w:rsid w:val="003847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EndnoteReference1GNotItalic">
    <w:name w:val="Style Endnote Reference1_G + Not Italic"/>
    <w:basedOn w:val="EndnoteReference"/>
    <w:rsid w:val="001C3F2F"/>
    <w:rPr>
      <w:rFonts w:ascii="Times New Roman" w:hAnsi="Times New Roman"/>
      <w:i/>
      <w:sz w:val="18"/>
      <w:vertAlign w:val="superscript"/>
    </w:rPr>
  </w:style>
  <w:style w:type="paragraph" w:customStyle="1" w:styleId="AgendaItemHeading">
    <w:name w:val="AgendaItemHeading"/>
    <w:basedOn w:val="Normal"/>
    <w:qFormat/>
    <w:rsid w:val="00656011"/>
    <w:pPr>
      <w:ind w:left="-105"/>
    </w:pPr>
    <w:rPr>
      <w:bCs/>
    </w:rPr>
  </w:style>
  <w:style w:type="paragraph" w:customStyle="1" w:styleId="BodyHeading">
    <w:name w:val="BodyHeading"/>
    <w:basedOn w:val="Normal"/>
    <w:qFormat/>
    <w:rsid w:val="00656011"/>
    <w:pPr>
      <w:spacing w:before="120"/>
      <w:ind w:left="-105"/>
    </w:pPr>
    <w:rPr>
      <w:b/>
      <w:sz w:val="24"/>
      <w:szCs w:val="24"/>
    </w:rPr>
  </w:style>
  <w:style w:type="paragraph" w:customStyle="1" w:styleId="MainTitle">
    <w:name w:val="MainTitle"/>
    <w:basedOn w:val="HChG"/>
    <w:qFormat/>
    <w:rsid w:val="00DB53A4"/>
  </w:style>
  <w:style w:type="paragraph" w:customStyle="1" w:styleId="MainSubTitle">
    <w:name w:val="MainSubTitle"/>
    <w:basedOn w:val="H1G"/>
    <w:qFormat/>
    <w:rsid w:val="00DB53A4"/>
  </w:style>
  <w:style w:type="paragraph" w:customStyle="1" w:styleId="AddendumSubTitle">
    <w:name w:val="AddendumSubTitle"/>
    <w:basedOn w:val="H1G"/>
    <w:qFormat/>
    <w:rsid w:val="00731509"/>
  </w:style>
  <w:style w:type="paragraph" w:customStyle="1" w:styleId="AddendumTitle">
    <w:name w:val="AddendumTitle"/>
    <w:basedOn w:val="H1G"/>
    <w:qFormat/>
    <w:rsid w:val="00DB53A4"/>
  </w:style>
  <w:style w:type="character" w:styleId="CommentReference">
    <w:name w:val="annotation reference"/>
    <w:basedOn w:val="DefaultParagraphFont"/>
    <w:semiHidden/>
    <w:unhideWhenUsed/>
    <w:rsid w:val="003F6A01"/>
    <w:rPr>
      <w:sz w:val="16"/>
      <w:szCs w:val="16"/>
    </w:rPr>
  </w:style>
  <w:style w:type="paragraph" w:styleId="CommentText">
    <w:name w:val="annotation text"/>
    <w:basedOn w:val="Normal"/>
    <w:link w:val="CommentTextChar"/>
    <w:unhideWhenUsed/>
    <w:rsid w:val="003F6A01"/>
    <w:pPr>
      <w:spacing w:line="240" w:lineRule="auto"/>
    </w:pPr>
  </w:style>
  <w:style w:type="character" w:customStyle="1" w:styleId="CommentTextChar">
    <w:name w:val="Comment Text Char"/>
    <w:basedOn w:val="DefaultParagraphFont"/>
    <w:link w:val="CommentText"/>
    <w:rsid w:val="003F6A01"/>
    <w:rPr>
      <w:rFonts w:eastAsia="SimSun"/>
      <w:lang w:val="en-GB" w:eastAsia="zh-CN"/>
    </w:rPr>
  </w:style>
  <w:style w:type="character" w:customStyle="1" w:styleId="FootnoteTextChar">
    <w:name w:val="Footnote Text Char"/>
    <w:aliases w:val="5_G Char,Geneva 9 Char,Font: Geneva 9 Char,Boston 10 Char,f Char,fn Char,Footnotes Char,Footnote ak Char,Char Char,footnote text Char,Char Char Char Char Char,Default Paragraph Font Char Char Char,Footno Char,single space Char"/>
    <w:link w:val="FootnoteText"/>
    <w:locked/>
    <w:rsid w:val="00007264"/>
    <w:rPr>
      <w:rFonts w:eastAsia="SimSun"/>
      <w:sz w:val="18"/>
      <w:lang w:val="en-GB" w:eastAsia="zh-CN"/>
    </w:rPr>
  </w:style>
  <w:style w:type="character" w:customStyle="1" w:styleId="HChGChar">
    <w:name w:val="_ H _Ch_G Char"/>
    <w:link w:val="HChG"/>
    <w:rsid w:val="00007264"/>
    <w:rPr>
      <w:rFonts w:eastAsia="SimSun"/>
      <w:b/>
      <w:sz w:val="28"/>
      <w:lang w:val="en-GB" w:eastAsia="zh-CN"/>
    </w:rPr>
  </w:style>
  <w:style w:type="character" w:customStyle="1" w:styleId="RegSingleTxtGChar">
    <w:name w:val="Reg_Single Txt_G Char"/>
    <w:basedOn w:val="DefaultParagraphFont"/>
    <w:link w:val="RegSingleTxtG"/>
    <w:rsid w:val="00007264"/>
    <w:rPr>
      <w:rFonts w:eastAsia="SimSun"/>
      <w:lang w:val="en-GB" w:eastAsia="zh-CN"/>
    </w:rPr>
  </w:style>
  <w:style w:type="paragraph" w:customStyle="1" w:styleId="BVIfnrChar">
    <w:name w:val="BVI fnr Char"/>
    <w:aliases w:val=" BVI fnr Car Car Char,BVI fnr Car Char, BVI fnr Car Car Car Car Char Char,BVI fnr Car Car Char,BVI fnr Car Car Car Car Char, BVI fnr Car Char, BVI fnr Car Car Car Char, BVI fnr Car Car Car Car Car Char,BVI fnr Car Car Car Char"/>
    <w:basedOn w:val="Normal"/>
    <w:link w:val="FootnoteReference"/>
    <w:rsid w:val="00007264"/>
    <w:pPr>
      <w:suppressAutoHyphens w:val="0"/>
      <w:spacing w:after="160" w:line="240" w:lineRule="exact"/>
    </w:pPr>
    <w:rPr>
      <w:rFonts w:eastAsia="Times New Roman"/>
      <w:sz w:val="18"/>
      <w:vertAlign w:val="superscript"/>
      <w:lang w:val="en-US" w:eastAsia="en-US"/>
    </w:rPr>
  </w:style>
  <w:style w:type="character" w:customStyle="1" w:styleId="HeaderChar">
    <w:name w:val="Header Char"/>
    <w:aliases w:val="6_G Char"/>
    <w:link w:val="Header"/>
    <w:rsid w:val="00862151"/>
    <w:rPr>
      <w:rFonts w:eastAsia="SimSun"/>
      <w:b/>
      <w:sz w:val="18"/>
      <w:lang w:val="en-GB" w:eastAsia="zh-CN"/>
    </w:rPr>
  </w:style>
  <w:style w:type="character" w:customStyle="1" w:styleId="FooterChar">
    <w:name w:val="Footer Char"/>
    <w:aliases w:val="3_G Char"/>
    <w:link w:val="Footer"/>
    <w:rsid w:val="00862151"/>
    <w:rPr>
      <w:rFonts w:eastAsia="SimSun"/>
      <w:sz w:val="16"/>
      <w:lang w:val="en-GB" w:eastAsia="zh-CN"/>
    </w:rPr>
  </w:style>
  <w:style w:type="character" w:customStyle="1" w:styleId="EndnoteTextChar">
    <w:name w:val="Endnote Text Char"/>
    <w:aliases w:val="2_G Char"/>
    <w:basedOn w:val="DefaultParagraphFont"/>
    <w:link w:val="EndnoteText"/>
    <w:rsid w:val="00862151"/>
    <w:rPr>
      <w:rFonts w:eastAsia="SimSun"/>
      <w:i/>
      <w:sz w:val="18"/>
      <w:lang w:val="en-GB" w:eastAsia="zh-CN"/>
    </w:rPr>
  </w:style>
  <w:style w:type="character" w:styleId="Hyperlink">
    <w:name w:val="Hyperlink"/>
    <w:basedOn w:val="DefaultParagraphFont"/>
    <w:unhideWhenUsed/>
    <w:rsid w:val="0085225E"/>
    <w:rPr>
      <w:color w:val="0000FF"/>
      <w:u w:val="single"/>
    </w:rPr>
  </w:style>
  <w:style w:type="character" w:styleId="LineNumber">
    <w:name w:val="line number"/>
    <w:basedOn w:val="DefaultParagraphFont"/>
    <w:semiHidden/>
    <w:unhideWhenUsed/>
    <w:rsid w:val="00712B23"/>
  </w:style>
  <w:style w:type="character" w:styleId="UnresolvedMention">
    <w:name w:val="Unresolved Mention"/>
    <w:basedOn w:val="DefaultParagraphFont"/>
    <w:uiPriority w:val="99"/>
    <w:unhideWhenUsed/>
    <w:rsid w:val="0040026E"/>
    <w:rPr>
      <w:color w:val="605E5C"/>
      <w:shd w:val="clear" w:color="auto" w:fill="E1DFDD"/>
    </w:rPr>
  </w:style>
  <w:style w:type="paragraph" w:styleId="Revision">
    <w:name w:val="Revision"/>
    <w:hidden/>
    <w:uiPriority w:val="99"/>
    <w:semiHidden/>
    <w:rsid w:val="001458C9"/>
    <w:rPr>
      <w:rFonts w:eastAsia="SimSun"/>
      <w:lang w:val="en-GB" w:eastAsia="zh-CN"/>
    </w:rPr>
  </w:style>
  <w:style w:type="paragraph" w:styleId="CommentSubject">
    <w:name w:val="annotation subject"/>
    <w:basedOn w:val="CommentText"/>
    <w:next w:val="CommentText"/>
    <w:link w:val="CommentSubjectChar"/>
    <w:semiHidden/>
    <w:unhideWhenUsed/>
    <w:rsid w:val="00E829AC"/>
    <w:rPr>
      <w:b/>
      <w:bCs/>
    </w:rPr>
  </w:style>
  <w:style w:type="character" w:customStyle="1" w:styleId="CommentSubjectChar">
    <w:name w:val="Comment Subject Char"/>
    <w:basedOn w:val="CommentTextChar"/>
    <w:link w:val="CommentSubject"/>
    <w:semiHidden/>
    <w:rsid w:val="00E829AC"/>
    <w:rPr>
      <w:rFonts w:eastAsia="SimSun"/>
      <w:b/>
      <w:bCs/>
      <w:lang w:val="en-GB" w:eastAsia="zh-CN"/>
    </w:rPr>
  </w:style>
  <w:style w:type="character" w:styleId="FollowedHyperlink">
    <w:name w:val="FollowedHyperlink"/>
    <w:basedOn w:val="DefaultParagraphFont"/>
    <w:semiHidden/>
    <w:unhideWhenUsed/>
    <w:rsid w:val="00695AF9"/>
    <w:rPr>
      <w:color w:val="800080" w:themeColor="followedHyperlink"/>
      <w:u w:val="single"/>
    </w:rPr>
  </w:style>
  <w:style w:type="character" w:styleId="Mention">
    <w:name w:val="Mention"/>
    <w:basedOn w:val="DefaultParagraphFont"/>
    <w:uiPriority w:val="99"/>
    <w:unhideWhenUsed/>
    <w:rsid w:val="00635DD4"/>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footer" Target="footer3.xml"/><Relationship Id="rId21" Type="http://schemas.openxmlformats.org/officeDocument/2006/relationships/footer" Target="footer1.xml"/><Relationship Id="rId42" Type="http://schemas.openxmlformats.org/officeDocument/2006/relationships/hyperlink" Target="https://unfccc.int/documents/193364" TargetMode="External"/><Relationship Id="rId47" Type="http://schemas.openxmlformats.org/officeDocument/2006/relationships/footer" Target="footer6.xml"/><Relationship Id="rId63" Type="http://schemas.openxmlformats.org/officeDocument/2006/relationships/hyperlink" Target="https://unfccc.int/documents/637076" TargetMode="External"/><Relationship Id="rId68" Type="http://schemas.openxmlformats.org/officeDocument/2006/relationships/header" Target="header9.xml"/><Relationship Id="rId84" Type="http://schemas.openxmlformats.org/officeDocument/2006/relationships/hyperlink" Target="https://unfccc.int/documents/196115" TargetMode="External"/><Relationship Id="rId89" Type="http://schemas.openxmlformats.org/officeDocument/2006/relationships/footer" Target="footer11.xml"/><Relationship Id="rId16" Type="http://schemas.openxmlformats.org/officeDocument/2006/relationships/hyperlink" Target="https://unfccc.int/documents/626566" TargetMode="External"/><Relationship Id="rId11" Type="http://schemas.openxmlformats.org/officeDocument/2006/relationships/footnotes" Target="footnotes.xml"/><Relationship Id="rId32" Type="http://schemas.openxmlformats.org/officeDocument/2006/relationships/hyperlink" Target="https://unfccc.int/documents/9676" TargetMode="External"/><Relationship Id="rId37" Type="http://schemas.openxmlformats.org/officeDocument/2006/relationships/hyperlink" Target="https://unfccc.int/documents/626566" TargetMode="External"/><Relationship Id="rId53" Type="http://schemas.openxmlformats.org/officeDocument/2006/relationships/hyperlink" Target="https://unfccc.int/documents/637071" TargetMode="External"/><Relationship Id="rId58" Type="http://schemas.openxmlformats.org/officeDocument/2006/relationships/hyperlink" Target="https://unfccc.int/documents/637064" TargetMode="External"/><Relationship Id="rId74" Type="http://schemas.openxmlformats.org/officeDocument/2006/relationships/hyperlink" Target="https://unfccc.int/documents/460952" TargetMode="External"/><Relationship Id="rId79" Type="http://schemas.openxmlformats.org/officeDocument/2006/relationships/header" Target="header10.xml"/><Relationship Id="rId5" Type="http://schemas.openxmlformats.org/officeDocument/2006/relationships/customXml" Target="../customXml/item5.xml"/><Relationship Id="rId90" Type="http://schemas.openxmlformats.org/officeDocument/2006/relationships/footer" Target="footer12.xml"/><Relationship Id="rId95" Type="http://schemas.openxmlformats.org/officeDocument/2006/relationships/footer" Target="footer14.xml"/><Relationship Id="rId22" Type="http://schemas.openxmlformats.org/officeDocument/2006/relationships/footer" Target="footer2.xml"/><Relationship Id="rId27" Type="http://schemas.openxmlformats.org/officeDocument/2006/relationships/footer" Target="footer4.xml"/><Relationship Id="rId43" Type="http://schemas.openxmlformats.org/officeDocument/2006/relationships/hyperlink" Target="https://unfccc.int/documents/193408" TargetMode="External"/><Relationship Id="rId48" Type="http://schemas.openxmlformats.org/officeDocument/2006/relationships/hyperlink" Target="https://unfccc.int/documents/9097" TargetMode="External"/><Relationship Id="rId64" Type="http://schemas.openxmlformats.org/officeDocument/2006/relationships/hyperlink" Target="https://unfccc.int/documents/637073" TargetMode="External"/><Relationship Id="rId69" Type="http://schemas.openxmlformats.org/officeDocument/2006/relationships/footer" Target="footer7.xml"/><Relationship Id="rId80" Type="http://schemas.openxmlformats.org/officeDocument/2006/relationships/header" Target="header11.xml"/><Relationship Id="rId85" Type="http://schemas.openxmlformats.org/officeDocument/2006/relationships/hyperlink" Target="https://unfccc.int/documents/201864" TargetMode="External"/><Relationship Id="rId3" Type="http://schemas.openxmlformats.org/officeDocument/2006/relationships/customXml" Target="../customXml/item3.xml"/><Relationship Id="rId12" Type="http://schemas.openxmlformats.org/officeDocument/2006/relationships/endnotes" Target="endnotes.xml"/><Relationship Id="rId17" Type="http://schemas.openxmlformats.org/officeDocument/2006/relationships/hyperlink" Target="https://unfccc.int/documents/637064" TargetMode="External"/><Relationship Id="rId25" Type="http://schemas.openxmlformats.org/officeDocument/2006/relationships/header" Target="header5.xml"/><Relationship Id="rId33" Type="http://schemas.openxmlformats.org/officeDocument/2006/relationships/hyperlink" Target="https://unfccc.int/documents/65129" TargetMode="External"/><Relationship Id="rId38" Type="http://schemas.openxmlformats.org/officeDocument/2006/relationships/hyperlink" Target="https://unfccc.int/documents/637064" TargetMode="External"/><Relationship Id="rId46" Type="http://schemas.openxmlformats.org/officeDocument/2006/relationships/footer" Target="footer5.xml"/><Relationship Id="rId59" Type="http://schemas.openxmlformats.org/officeDocument/2006/relationships/hyperlink" Target="https://unfccc.int/documents/193407" TargetMode="External"/><Relationship Id="rId67" Type="http://schemas.openxmlformats.org/officeDocument/2006/relationships/header" Target="header8.xml"/><Relationship Id="rId20" Type="http://schemas.openxmlformats.org/officeDocument/2006/relationships/header" Target="header2.xml"/><Relationship Id="rId41" Type="http://schemas.openxmlformats.org/officeDocument/2006/relationships/hyperlink" Target="https://unfccc.int/documents/460950" TargetMode="External"/><Relationship Id="rId54" Type="http://schemas.openxmlformats.org/officeDocument/2006/relationships/hyperlink" Target="https://unfccc.int/documents/193364" TargetMode="External"/><Relationship Id="rId62" Type="http://schemas.openxmlformats.org/officeDocument/2006/relationships/hyperlink" Target="https://unfccc.int/documents/626571" TargetMode="External"/><Relationship Id="rId70" Type="http://schemas.openxmlformats.org/officeDocument/2006/relationships/footer" Target="footer8.xml"/><Relationship Id="rId75" Type="http://schemas.openxmlformats.org/officeDocument/2006/relationships/hyperlink" Target="https://unfccc.int/documents/193408" TargetMode="External"/><Relationship Id="rId83" Type="http://schemas.openxmlformats.org/officeDocument/2006/relationships/hyperlink" Target="https://unfccc.int/documents/637064" TargetMode="External"/><Relationship Id="rId88" Type="http://schemas.openxmlformats.org/officeDocument/2006/relationships/header" Target="header13.xml"/><Relationship Id="rId91" Type="http://schemas.openxmlformats.org/officeDocument/2006/relationships/header" Target="header14.xml"/><Relationship Id="rId96" Type="http://schemas.openxmlformats.org/officeDocument/2006/relationships/footer" Target="footer15.xml"/><Relationship Id="rId1" Type="http://schemas.openxmlformats.org/officeDocument/2006/relationships/customXml" Target="../customXml/item1.xml"/><Relationship Id="rId6" Type="http://schemas.openxmlformats.org/officeDocument/2006/relationships/customXml" Target="../customXml/item6.xml"/><Relationship Id="rId15" Type="http://schemas.openxmlformats.org/officeDocument/2006/relationships/hyperlink" Target="https://unfccc.int/documents/4252" TargetMode="External"/><Relationship Id="rId23" Type="http://schemas.openxmlformats.org/officeDocument/2006/relationships/header" Target="header3.xml"/><Relationship Id="rId28" Type="http://schemas.openxmlformats.org/officeDocument/2006/relationships/hyperlink" Target="https://unfccc.int/documents/5082" TargetMode="External"/><Relationship Id="rId36" Type="http://schemas.openxmlformats.org/officeDocument/2006/relationships/hyperlink" Target="https://unfccc.int/documents/460957" TargetMode="External"/><Relationship Id="rId49" Type="http://schemas.openxmlformats.org/officeDocument/2006/relationships/hyperlink" Target="https://unfccc.int/documents/193360" TargetMode="External"/><Relationship Id="rId57" Type="http://schemas.openxmlformats.org/officeDocument/2006/relationships/hyperlink" Target="https://unfccc.int/documents/626566" TargetMode="External"/><Relationship Id="rId10" Type="http://schemas.openxmlformats.org/officeDocument/2006/relationships/webSettings" Target="webSettings.xml"/><Relationship Id="rId31" Type="http://schemas.openxmlformats.org/officeDocument/2006/relationships/hyperlink" Target="https://unfccc.int/documents/9101" TargetMode="External"/><Relationship Id="rId44" Type="http://schemas.openxmlformats.org/officeDocument/2006/relationships/header" Target="header6.xml"/><Relationship Id="rId52" Type="http://schemas.openxmlformats.org/officeDocument/2006/relationships/hyperlink" Target="https://unfccc.int/documents/626563" TargetMode="External"/><Relationship Id="rId60" Type="http://schemas.openxmlformats.org/officeDocument/2006/relationships/hyperlink" Target="https://unfccc.int/documents/210477" TargetMode="External"/><Relationship Id="rId65" Type="http://schemas.openxmlformats.org/officeDocument/2006/relationships/hyperlink" Target="https://unfccc.int/documents/637076" TargetMode="External"/><Relationship Id="rId73" Type="http://schemas.openxmlformats.org/officeDocument/2006/relationships/hyperlink" Target="https://unfccc.int/documents/637076" TargetMode="External"/><Relationship Id="rId78" Type="http://schemas.openxmlformats.org/officeDocument/2006/relationships/hyperlink" Target="https://unfccc.int/documents/637076" TargetMode="External"/><Relationship Id="rId81" Type="http://schemas.openxmlformats.org/officeDocument/2006/relationships/footer" Target="footer9.xml"/><Relationship Id="rId86" Type="http://schemas.openxmlformats.org/officeDocument/2006/relationships/hyperlink" Target="https://unfccc.int/documents/230948" TargetMode="External"/><Relationship Id="rId94" Type="http://schemas.openxmlformats.org/officeDocument/2006/relationships/header" Target="header16.xml"/><Relationship Id="rId4" Type="http://schemas.openxmlformats.org/officeDocument/2006/relationships/customXml" Target="../customXml/item4.xml"/><Relationship Id="rId9" Type="http://schemas.openxmlformats.org/officeDocument/2006/relationships/settings" Target="settings.xml"/><Relationship Id="rId13" Type="http://schemas.openxmlformats.org/officeDocument/2006/relationships/image" Target="media/image1.wmf"/><Relationship Id="rId18" Type="http://schemas.openxmlformats.org/officeDocument/2006/relationships/hyperlink" Target="https://unfccc.int/documents/626566" TargetMode="External"/><Relationship Id="rId39" Type="http://schemas.openxmlformats.org/officeDocument/2006/relationships/hyperlink" Target="https://unfccc.int/documents/193408" TargetMode="External"/><Relationship Id="rId34" Type="http://schemas.openxmlformats.org/officeDocument/2006/relationships/hyperlink" Target="https://unfccc.int/documents/193364" TargetMode="External"/><Relationship Id="rId50" Type="http://schemas.openxmlformats.org/officeDocument/2006/relationships/hyperlink" Target="https://unfccc.int/documents/210471" TargetMode="External"/><Relationship Id="rId55" Type="http://schemas.openxmlformats.org/officeDocument/2006/relationships/hyperlink" Target="https://unfccc.int/documents/210478" TargetMode="External"/><Relationship Id="rId76" Type="http://schemas.openxmlformats.org/officeDocument/2006/relationships/hyperlink" Target="https://unfccc.int/documents/637071" TargetMode="External"/><Relationship Id="rId97" Type="http://schemas.openxmlformats.org/officeDocument/2006/relationships/fontTable" Target="fontTable.xml"/><Relationship Id="rId7" Type="http://schemas.openxmlformats.org/officeDocument/2006/relationships/numbering" Target="numbering.xml"/><Relationship Id="rId71" Type="http://schemas.openxmlformats.org/officeDocument/2006/relationships/hyperlink" Target="https://unfccc.int/documents/637071" TargetMode="External"/><Relationship Id="rId92" Type="http://schemas.openxmlformats.org/officeDocument/2006/relationships/footer" Target="footer13.xml"/><Relationship Id="rId29" Type="http://schemas.openxmlformats.org/officeDocument/2006/relationships/hyperlink" Target="https://unfccc.int/documents/5564" TargetMode="External"/><Relationship Id="rId24" Type="http://schemas.openxmlformats.org/officeDocument/2006/relationships/header" Target="header4.xml"/><Relationship Id="rId40" Type="http://schemas.openxmlformats.org/officeDocument/2006/relationships/hyperlink" Target="https://unfccc.int/documents/626566" TargetMode="External"/><Relationship Id="rId45" Type="http://schemas.openxmlformats.org/officeDocument/2006/relationships/header" Target="header7.xml"/><Relationship Id="rId66" Type="http://schemas.openxmlformats.org/officeDocument/2006/relationships/hyperlink" Target="https://unfccc.int/documents/193408" TargetMode="External"/><Relationship Id="rId87" Type="http://schemas.openxmlformats.org/officeDocument/2006/relationships/header" Target="header12.xml"/><Relationship Id="rId61" Type="http://schemas.openxmlformats.org/officeDocument/2006/relationships/hyperlink" Target="https://unfccc.int/documents/460952" TargetMode="External"/><Relationship Id="rId82" Type="http://schemas.openxmlformats.org/officeDocument/2006/relationships/footer" Target="footer10.xml"/><Relationship Id="rId19" Type="http://schemas.openxmlformats.org/officeDocument/2006/relationships/header" Target="header1.xml"/><Relationship Id="rId14" Type="http://schemas.openxmlformats.org/officeDocument/2006/relationships/image" Target="media/image2.png"/><Relationship Id="rId30" Type="http://schemas.openxmlformats.org/officeDocument/2006/relationships/hyperlink" Target="https://unfccc.int/documents/8615" TargetMode="External"/><Relationship Id="rId35" Type="http://schemas.openxmlformats.org/officeDocument/2006/relationships/hyperlink" Target="https://unfccc.int/documents/210478" TargetMode="External"/><Relationship Id="rId56" Type="http://schemas.openxmlformats.org/officeDocument/2006/relationships/hyperlink" Target="https://unfccc.int/documents/460957" TargetMode="External"/><Relationship Id="rId77" Type="http://schemas.openxmlformats.org/officeDocument/2006/relationships/hyperlink" Target="https://unfccc.int/documents/637064" TargetMode="External"/><Relationship Id="rId8" Type="http://schemas.openxmlformats.org/officeDocument/2006/relationships/styles" Target="styles.xml"/><Relationship Id="rId51" Type="http://schemas.openxmlformats.org/officeDocument/2006/relationships/hyperlink" Target="https://unfccc.int/documents/460955" TargetMode="External"/><Relationship Id="rId72" Type="http://schemas.openxmlformats.org/officeDocument/2006/relationships/hyperlink" Target="https://unfccc.int/documents/637064" TargetMode="External"/><Relationship Id="rId93" Type="http://schemas.openxmlformats.org/officeDocument/2006/relationships/header" Target="header15.xml"/><Relationship Id="rId98" Type="http://schemas.openxmlformats.org/officeDocument/2006/relationships/theme" Target="theme/theme1.xml"/></Relationships>
</file>

<file path=word/_rels/footnotes.xml.rels><?xml version="1.0" encoding="UTF-8" standalone="yes"?>
<Relationships xmlns="http://schemas.openxmlformats.org/package/2006/relationships"><Relationship Id="rId8" Type="http://schemas.openxmlformats.org/officeDocument/2006/relationships/hyperlink" Target="https://www.adaptation-fund.org/document/resource-mobilization-strategy-2022-2025/" TargetMode="External"/><Relationship Id="rId13" Type="http://schemas.openxmlformats.org/officeDocument/2006/relationships/hyperlink" Target="https://unfccc.int/documents/626571" TargetMode="External"/><Relationship Id="rId18" Type="http://schemas.openxmlformats.org/officeDocument/2006/relationships/hyperlink" Target="https://unfccc.int/documents/210478" TargetMode="External"/><Relationship Id="rId26" Type="http://schemas.openxmlformats.org/officeDocument/2006/relationships/hyperlink" Target="https://unfccc.int/documents/641396" TargetMode="External"/><Relationship Id="rId3" Type="http://schemas.openxmlformats.org/officeDocument/2006/relationships/hyperlink" Target="https://unfccc.int/documents/641833" TargetMode="External"/><Relationship Id="rId21" Type="http://schemas.openxmlformats.org/officeDocument/2006/relationships/hyperlink" Target="https://unfccc.int/documents/460955" TargetMode="External"/><Relationship Id="rId7" Type="http://schemas.openxmlformats.org/officeDocument/2006/relationships/hyperlink" Target="https://unfccc.int/documents/626566" TargetMode="External"/><Relationship Id="rId12" Type="http://schemas.openxmlformats.org/officeDocument/2006/relationships/hyperlink" Target="https://unfccc.int/documents/626566" TargetMode="External"/><Relationship Id="rId17" Type="http://schemas.openxmlformats.org/officeDocument/2006/relationships/hyperlink" Target="https://unfccc.int/documents/210471" TargetMode="External"/><Relationship Id="rId25" Type="http://schemas.openxmlformats.org/officeDocument/2006/relationships/hyperlink" Target="https://unfccc.int/documents/641152" TargetMode="External"/><Relationship Id="rId2" Type="http://schemas.openxmlformats.org/officeDocument/2006/relationships/hyperlink" Target="https://unfccc.int/documents/641117" TargetMode="External"/><Relationship Id="rId16" Type="http://schemas.openxmlformats.org/officeDocument/2006/relationships/hyperlink" Target="https://unfccc.int/documents/641851" TargetMode="External"/><Relationship Id="rId20" Type="http://schemas.openxmlformats.org/officeDocument/2006/relationships/hyperlink" Target="https://unfccc.int/documents/1168" TargetMode="External"/><Relationship Id="rId1" Type="http://schemas.openxmlformats.org/officeDocument/2006/relationships/hyperlink" Target="https://unfccc.int/documents/4252" TargetMode="External"/><Relationship Id="rId6" Type="http://schemas.openxmlformats.org/officeDocument/2006/relationships/hyperlink" Target="https://www.adaptation-fund.org/document/medium-term-strategy-2023-2027" TargetMode="External"/><Relationship Id="rId11" Type="http://schemas.openxmlformats.org/officeDocument/2006/relationships/hyperlink" Target="https://unfccc.int/documents/641149" TargetMode="External"/><Relationship Id="rId24" Type="http://schemas.openxmlformats.org/officeDocument/2006/relationships/hyperlink" Target="https://unfccc.int/documents/640626" TargetMode="External"/><Relationship Id="rId5" Type="http://schemas.openxmlformats.org/officeDocument/2006/relationships/hyperlink" Target="https://unfccc.int/documents/641872" TargetMode="External"/><Relationship Id="rId15" Type="http://schemas.openxmlformats.org/officeDocument/2006/relationships/hyperlink" Target="https://unfccc.int/documents/642754" TargetMode="External"/><Relationship Id="rId23" Type="http://schemas.openxmlformats.org/officeDocument/2006/relationships/hyperlink" Target="https://unfccc.int/documents/460955" TargetMode="External"/><Relationship Id="rId28" Type="http://schemas.openxmlformats.org/officeDocument/2006/relationships/hyperlink" Target="https://unfccc.int/documents/641869" TargetMode="External"/><Relationship Id="rId10" Type="http://schemas.openxmlformats.org/officeDocument/2006/relationships/hyperlink" Target="https://www.adaptation-fund.org/document/gender-mainstreaming-e-course" TargetMode="External"/><Relationship Id="rId19" Type="http://schemas.openxmlformats.org/officeDocument/2006/relationships/hyperlink" Target="https://unfccc.int/documents/210477" TargetMode="External"/><Relationship Id="rId4" Type="http://schemas.openxmlformats.org/officeDocument/2006/relationships/hyperlink" Target="https://unfccc.int/documents/641842" TargetMode="External"/><Relationship Id="rId9" Type="http://schemas.openxmlformats.org/officeDocument/2006/relationships/hyperlink" Target="https://www.adaptation-fund.org/document/opg-annex4-gender-policy" TargetMode="External"/><Relationship Id="rId14" Type="http://schemas.openxmlformats.org/officeDocument/2006/relationships/hyperlink" Target="https://www.adaptation-fund.org/enhancing-access-and-increasing-impact-the-role-of-the-multilateral-climate-funds/" TargetMode="External"/><Relationship Id="rId22" Type="http://schemas.openxmlformats.org/officeDocument/2006/relationships/hyperlink" Target="https://unfccc.int/documents/193361" TargetMode="External"/><Relationship Id="rId27" Type="http://schemas.openxmlformats.org/officeDocument/2006/relationships/hyperlink" Target="https://unfccc.int/documents/641774"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rnu\Downloads\FCCC.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ct:contentTypeSchema xmlns:ct="http://schemas.microsoft.com/office/2006/metadata/contentType" xmlns:ma="http://schemas.microsoft.com/office/2006/metadata/properties/metaAttributes" ct:_="" ma:_="" ma:contentTypeName="Document" ma:contentTypeID="0x01010093B27815B4C26448A2AC74C6D94E050B" ma:contentTypeVersion="8" ma:contentTypeDescription="Create a new document." ma:contentTypeScope="" ma:versionID="6ffa0712ecd82cce7b1239dd2070572f">
  <xsd:schema xmlns:xsd="http://www.w3.org/2001/XMLSchema" xmlns:xs="http://www.w3.org/2001/XMLSchema" xmlns:p="http://schemas.microsoft.com/office/2006/metadata/properties" xmlns:ns2="4dd5ddbf-e371-4d30-9213-f0ad543fb2ce" xmlns:ns3="21fd8bfc-cd85-4899-a616-986da4216f81" targetNamespace="http://schemas.microsoft.com/office/2006/metadata/properties" ma:root="true" ma:fieldsID="c076c663aa839f0e018f231316d189b8" ns2:_="" ns3:_="">
    <xsd:import namespace="4dd5ddbf-e371-4d30-9213-f0ad543fb2ce"/>
    <xsd:import namespace="21fd8bfc-cd85-4899-a616-986da4216f81"/>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d5ddbf-e371-4d30-9213-f0ad543fb2c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1fd8bfc-cd85-4899-a616-986da4216f8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mso-contentType ?>
<SharedContentType xmlns="Microsoft.SharePoint.Taxonomy.ContentTypeSync" SourceId="9d8c265a-5436-43a7-80c1-713d2827ffde" ContentTypeId="0x0101" PreviousValue="false"/>
</file>

<file path=customXml/itemProps1.xml><?xml version="1.0" encoding="utf-8"?>
<ds:datastoreItem xmlns:ds="http://schemas.openxmlformats.org/officeDocument/2006/customXml" ds:itemID="{01F4A362-3653-4DBE-96E1-887109DE0959}">
  <ds:schemaRefs>
    <ds:schemaRef ds:uri="http://schemas.microsoft.com/office/2006/metadata/properties"/>
    <ds:schemaRef ds:uri="http://schemas.microsoft.com/office/infopath/2007/PartnerControls"/>
    <ds:schemaRef ds:uri="0d8f00d2-86fc-4eff-afef-8f73dd50878e"/>
    <ds:schemaRef ds:uri="eb4559c4-8463-4985-927f-f0d558bff8f0"/>
  </ds:schemaRefs>
</ds:datastoreItem>
</file>

<file path=customXml/itemProps2.xml><?xml version="1.0" encoding="utf-8"?>
<ds:datastoreItem xmlns:ds="http://schemas.openxmlformats.org/officeDocument/2006/customXml" ds:itemID="{3F19428E-B974-4912-B140-C545DD512D3F}">
  <ds:schemaRefs>
    <ds:schemaRef ds:uri="http://schemas.microsoft.com/sharepoint/events"/>
  </ds:schemaRefs>
</ds:datastoreItem>
</file>

<file path=customXml/itemProps3.xml><?xml version="1.0" encoding="utf-8"?>
<ds:datastoreItem xmlns:ds="http://schemas.openxmlformats.org/officeDocument/2006/customXml" ds:itemID="{51F7E6FD-5C2A-45D5-9E00-4AD0C9B4D82E}">
  <ds:schemaRefs>
    <ds:schemaRef ds:uri="http://schemas.microsoft.com/sharepoint/v3/contenttype/forms"/>
  </ds:schemaRefs>
</ds:datastoreItem>
</file>

<file path=customXml/itemProps4.xml><?xml version="1.0" encoding="utf-8"?>
<ds:datastoreItem xmlns:ds="http://schemas.openxmlformats.org/officeDocument/2006/customXml" ds:itemID="{578656E9-91E6-42F3-B922-D2291B8907C6}">
  <ds:schemaRefs>
    <ds:schemaRef ds:uri="http://schemas.openxmlformats.org/officeDocument/2006/bibliography"/>
  </ds:schemaRefs>
</ds:datastoreItem>
</file>

<file path=customXml/itemProps5.xml><?xml version="1.0" encoding="utf-8"?>
<ds:datastoreItem xmlns:ds="http://schemas.openxmlformats.org/officeDocument/2006/customXml" ds:itemID="{6945BB7C-7765-46E6-B1EA-A30E34C16C99}"/>
</file>

<file path=customXml/itemProps6.xml><?xml version="1.0" encoding="utf-8"?>
<ds:datastoreItem xmlns:ds="http://schemas.openxmlformats.org/officeDocument/2006/customXml" ds:itemID="{FFE022C6-CB10-4F04-8921-9610B8E882C1}"/>
</file>

<file path=docProps/app.xml><?xml version="1.0" encoding="utf-8"?>
<Properties xmlns="http://schemas.openxmlformats.org/officeDocument/2006/extended-properties" xmlns:vt="http://schemas.openxmlformats.org/officeDocument/2006/docPropsVTypes">
  <Template>FCCC.dotm</Template>
  <TotalTime>2644</TotalTime>
  <Pages>17</Pages>
  <Words>5538</Words>
  <Characters>31567</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Report of the Conference of the Parties serving as the meeting of the Parties to the Kyoto Protocol on its nineteenth session. Addendum</vt:lpstr>
    </vt:vector>
  </TitlesOfParts>
  <Company>UNFCCC</Company>
  <LinksUpToDate>false</LinksUpToDate>
  <CharactersWithSpaces>37031</CharactersWithSpaces>
  <SharedDoc>false</SharedDoc>
  <HLinks>
    <vt:vector size="510" baseType="variant">
      <vt:variant>
        <vt:i4>2293873</vt:i4>
      </vt:variant>
      <vt:variant>
        <vt:i4>168</vt:i4>
      </vt:variant>
      <vt:variant>
        <vt:i4>0</vt:i4>
      </vt:variant>
      <vt:variant>
        <vt:i4>5</vt:i4>
      </vt:variant>
      <vt:variant>
        <vt:lpwstr>https://unfccc.int/documents/230948</vt:lpwstr>
      </vt:variant>
      <vt:variant>
        <vt:lpwstr/>
      </vt:variant>
      <vt:variant>
        <vt:i4>2097267</vt:i4>
      </vt:variant>
      <vt:variant>
        <vt:i4>165</vt:i4>
      </vt:variant>
      <vt:variant>
        <vt:i4>0</vt:i4>
      </vt:variant>
      <vt:variant>
        <vt:i4>5</vt:i4>
      </vt:variant>
      <vt:variant>
        <vt:lpwstr>https://unfccc.int/documents/201864</vt:lpwstr>
      </vt:variant>
      <vt:variant>
        <vt:lpwstr/>
      </vt:variant>
      <vt:variant>
        <vt:i4>2293875</vt:i4>
      </vt:variant>
      <vt:variant>
        <vt:i4>162</vt:i4>
      </vt:variant>
      <vt:variant>
        <vt:i4>0</vt:i4>
      </vt:variant>
      <vt:variant>
        <vt:i4>5</vt:i4>
      </vt:variant>
      <vt:variant>
        <vt:lpwstr>https://unfccc.int/documents/196115</vt:lpwstr>
      </vt:variant>
      <vt:variant>
        <vt:lpwstr/>
      </vt:variant>
      <vt:variant>
        <vt:i4>2228344</vt:i4>
      </vt:variant>
      <vt:variant>
        <vt:i4>159</vt:i4>
      </vt:variant>
      <vt:variant>
        <vt:i4>0</vt:i4>
      </vt:variant>
      <vt:variant>
        <vt:i4>5</vt:i4>
      </vt:variant>
      <vt:variant>
        <vt:lpwstr>https://unfccc.int/documents/637064</vt:lpwstr>
      </vt:variant>
      <vt:variant>
        <vt:lpwstr/>
      </vt:variant>
      <vt:variant>
        <vt:i4>2293880</vt:i4>
      </vt:variant>
      <vt:variant>
        <vt:i4>156</vt:i4>
      </vt:variant>
      <vt:variant>
        <vt:i4>0</vt:i4>
      </vt:variant>
      <vt:variant>
        <vt:i4>5</vt:i4>
      </vt:variant>
      <vt:variant>
        <vt:lpwstr>https://unfccc.int/documents/637076</vt:lpwstr>
      </vt:variant>
      <vt:variant>
        <vt:lpwstr/>
      </vt:variant>
      <vt:variant>
        <vt:i4>2228344</vt:i4>
      </vt:variant>
      <vt:variant>
        <vt:i4>153</vt:i4>
      </vt:variant>
      <vt:variant>
        <vt:i4>0</vt:i4>
      </vt:variant>
      <vt:variant>
        <vt:i4>5</vt:i4>
      </vt:variant>
      <vt:variant>
        <vt:lpwstr>https://unfccc.int/documents/637064</vt:lpwstr>
      </vt:variant>
      <vt:variant>
        <vt:lpwstr/>
      </vt:variant>
      <vt:variant>
        <vt:i4>2293880</vt:i4>
      </vt:variant>
      <vt:variant>
        <vt:i4>150</vt:i4>
      </vt:variant>
      <vt:variant>
        <vt:i4>0</vt:i4>
      </vt:variant>
      <vt:variant>
        <vt:i4>5</vt:i4>
      </vt:variant>
      <vt:variant>
        <vt:lpwstr>https://unfccc.int/documents/637071</vt:lpwstr>
      </vt:variant>
      <vt:variant>
        <vt:lpwstr/>
      </vt:variant>
      <vt:variant>
        <vt:i4>2556022</vt:i4>
      </vt:variant>
      <vt:variant>
        <vt:i4>147</vt:i4>
      </vt:variant>
      <vt:variant>
        <vt:i4>0</vt:i4>
      </vt:variant>
      <vt:variant>
        <vt:i4>5</vt:i4>
      </vt:variant>
      <vt:variant>
        <vt:lpwstr>https://unfccc.int/documents/193408</vt:lpwstr>
      </vt:variant>
      <vt:variant>
        <vt:lpwstr/>
      </vt:variant>
      <vt:variant>
        <vt:i4>2359412</vt:i4>
      </vt:variant>
      <vt:variant>
        <vt:i4>144</vt:i4>
      </vt:variant>
      <vt:variant>
        <vt:i4>0</vt:i4>
      </vt:variant>
      <vt:variant>
        <vt:i4>5</vt:i4>
      </vt:variant>
      <vt:variant>
        <vt:lpwstr>https://unfccc.int/documents/460952</vt:lpwstr>
      </vt:variant>
      <vt:variant>
        <vt:lpwstr/>
      </vt:variant>
      <vt:variant>
        <vt:i4>2293880</vt:i4>
      </vt:variant>
      <vt:variant>
        <vt:i4>141</vt:i4>
      </vt:variant>
      <vt:variant>
        <vt:i4>0</vt:i4>
      </vt:variant>
      <vt:variant>
        <vt:i4>5</vt:i4>
      </vt:variant>
      <vt:variant>
        <vt:lpwstr>https://unfccc.int/documents/637076</vt:lpwstr>
      </vt:variant>
      <vt:variant>
        <vt:lpwstr/>
      </vt:variant>
      <vt:variant>
        <vt:i4>2228344</vt:i4>
      </vt:variant>
      <vt:variant>
        <vt:i4>138</vt:i4>
      </vt:variant>
      <vt:variant>
        <vt:i4>0</vt:i4>
      </vt:variant>
      <vt:variant>
        <vt:i4>5</vt:i4>
      </vt:variant>
      <vt:variant>
        <vt:lpwstr>https://unfccc.int/documents/637064</vt:lpwstr>
      </vt:variant>
      <vt:variant>
        <vt:lpwstr/>
      </vt:variant>
      <vt:variant>
        <vt:i4>2293880</vt:i4>
      </vt:variant>
      <vt:variant>
        <vt:i4>135</vt:i4>
      </vt:variant>
      <vt:variant>
        <vt:i4>0</vt:i4>
      </vt:variant>
      <vt:variant>
        <vt:i4>5</vt:i4>
      </vt:variant>
      <vt:variant>
        <vt:lpwstr>https://unfccc.int/documents/637071</vt:lpwstr>
      </vt:variant>
      <vt:variant>
        <vt:lpwstr/>
      </vt:variant>
      <vt:variant>
        <vt:i4>2556022</vt:i4>
      </vt:variant>
      <vt:variant>
        <vt:i4>132</vt:i4>
      </vt:variant>
      <vt:variant>
        <vt:i4>0</vt:i4>
      </vt:variant>
      <vt:variant>
        <vt:i4>5</vt:i4>
      </vt:variant>
      <vt:variant>
        <vt:lpwstr>https://unfccc.int/documents/193408</vt:lpwstr>
      </vt:variant>
      <vt:variant>
        <vt:lpwstr/>
      </vt:variant>
      <vt:variant>
        <vt:i4>2293880</vt:i4>
      </vt:variant>
      <vt:variant>
        <vt:i4>129</vt:i4>
      </vt:variant>
      <vt:variant>
        <vt:i4>0</vt:i4>
      </vt:variant>
      <vt:variant>
        <vt:i4>5</vt:i4>
      </vt:variant>
      <vt:variant>
        <vt:lpwstr>https://unfccc.int/documents/637076</vt:lpwstr>
      </vt:variant>
      <vt:variant>
        <vt:lpwstr/>
      </vt:variant>
      <vt:variant>
        <vt:i4>2293880</vt:i4>
      </vt:variant>
      <vt:variant>
        <vt:i4>126</vt:i4>
      </vt:variant>
      <vt:variant>
        <vt:i4>0</vt:i4>
      </vt:variant>
      <vt:variant>
        <vt:i4>5</vt:i4>
      </vt:variant>
      <vt:variant>
        <vt:lpwstr>https://unfccc.int/documents/637073</vt:lpwstr>
      </vt:variant>
      <vt:variant>
        <vt:lpwstr/>
      </vt:variant>
      <vt:variant>
        <vt:i4>2293880</vt:i4>
      </vt:variant>
      <vt:variant>
        <vt:i4>123</vt:i4>
      </vt:variant>
      <vt:variant>
        <vt:i4>0</vt:i4>
      </vt:variant>
      <vt:variant>
        <vt:i4>5</vt:i4>
      </vt:variant>
      <vt:variant>
        <vt:lpwstr>https://unfccc.int/documents/637076</vt:lpwstr>
      </vt:variant>
      <vt:variant>
        <vt:lpwstr/>
      </vt:variant>
      <vt:variant>
        <vt:i4>2228348</vt:i4>
      </vt:variant>
      <vt:variant>
        <vt:i4>120</vt:i4>
      </vt:variant>
      <vt:variant>
        <vt:i4>0</vt:i4>
      </vt:variant>
      <vt:variant>
        <vt:i4>5</vt:i4>
      </vt:variant>
      <vt:variant>
        <vt:lpwstr>https://unfccc.int/documents/626571</vt:lpwstr>
      </vt:variant>
      <vt:variant>
        <vt:lpwstr/>
      </vt:variant>
      <vt:variant>
        <vt:i4>2359412</vt:i4>
      </vt:variant>
      <vt:variant>
        <vt:i4>117</vt:i4>
      </vt:variant>
      <vt:variant>
        <vt:i4>0</vt:i4>
      </vt:variant>
      <vt:variant>
        <vt:i4>5</vt:i4>
      </vt:variant>
      <vt:variant>
        <vt:lpwstr>https://unfccc.int/documents/460952</vt:lpwstr>
      </vt:variant>
      <vt:variant>
        <vt:lpwstr/>
      </vt:variant>
      <vt:variant>
        <vt:i4>2097278</vt:i4>
      </vt:variant>
      <vt:variant>
        <vt:i4>114</vt:i4>
      </vt:variant>
      <vt:variant>
        <vt:i4>0</vt:i4>
      </vt:variant>
      <vt:variant>
        <vt:i4>5</vt:i4>
      </vt:variant>
      <vt:variant>
        <vt:lpwstr>https://unfccc.int/documents/210477</vt:lpwstr>
      </vt:variant>
      <vt:variant>
        <vt:lpwstr/>
      </vt:variant>
      <vt:variant>
        <vt:i4>2556022</vt:i4>
      </vt:variant>
      <vt:variant>
        <vt:i4>111</vt:i4>
      </vt:variant>
      <vt:variant>
        <vt:i4>0</vt:i4>
      </vt:variant>
      <vt:variant>
        <vt:i4>5</vt:i4>
      </vt:variant>
      <vt:variant>
        <vt:lpwstr>https://unfccc.int/documents/193407</vt:lpwstr>
      </vt:variant>
      <vt:variant>
        <vt:lpwstr/>
      </vt:variant>
      <vt:variant>
        <vt:i4>2228344</vt:i4>
      </vt:variant>
      <vt:variant>
        <vt:i4>108</vt:i4>
      </vt:variant>
      <vt:variant>
        <vt:i4>0</vt:i4>
      </vt:variant>
      <vt:variant>
        <vt:i4>5</vt:i4>
      </vt:variant>
      <vt:variant>
        <vt:lpwstr>https://unfccc.int/documents/637064</vt:lpwstr>
      </vt:variant>
      <vt:variant>
        <vt:lpwstr/>
      </vt:variant>
      <vt:variant>
        <vt:i4>2293884</vt:i4>
      </vt:variant>
      <vt:variant>
        <vt:i4>105</vt:i4>
      </vt:variant>
      <vt:variant>
        <vt:i4>0</vt:i4>
      </vt:variant>
      <vt:variant>
        <vt:i4>5</vt:i4>
      </vt:variant>
      <vt:variant>
        <vt:lpwstr>https://unfccc.int/documents/626566</vt:lpwstr>
      </vt:variant>
      <vt:variant>
        <vt:lpwstr/>
      </vt:variant>
      <vt:variant>
        <vt:i4>2359412</vt:i4>
      </vt:variant>
      <vt:variant>
        <vt:i4>102</vt:i4>
      </vt:variant>
      <vt:variant>
        <vt:i4>0</vt:i4>
      </vt:variant>
      <vt:variant>
        <vt:i4>5</vt:i4>
      </vt:variant>
      <vt:variant>
        <vt:lpwstr>https://unfccc.int/documents/460957</vt:lpwstr>
      </vt:variant>
      <vt:variant>
        <vt:lpwstr/>
      </vt:variant>
      <vt:variant>
        <vt:i4>2097278</vt:i4>
      </vt:variant>
      <vt:variant>
        <vt:i4>99</vt:i4>
      </vt:variant>
      <vt:variant>
        <vt:i4>0</vt:i4>
      </vt:variant>
      <vt:variant>
        <vt:i4>5</vt:i4>
      </vt:variant>
      <vt:variant>
        <vt:lpwstr>https://unfccc.int/documents/210478</vt:lpwstr>
      </vt:variant>
      <vt:variant>
        <vt:lpwstr/>
      </vt:variant>
      <vt:variant>
        <vt:i4>2162801</vt:i4>
      </vt:variant>
      <vt:variant>
        <vt:i4>96</vt:i4>
      </vt:variant>
      <vt:variant>
        <vt:i4>0</vt:i4>
      </vt:variant>
      <vt:variant>
        <vt:i4>5</vt:i4>
      </vt:variant>
      <vt:variant>
        <vt:lpwstr>https://unfccc.int/documents/193364</vt:lpwstr>
      </vt:variant>
      <vt:variant>
        <vt:lpwstr/>
      </vt:variant>
      <vt:variant>
        <vt:i4>2293880</vt:i4>
      </vt:variant>
      <vt:variant>
        <vt:i4>93</vt:i4>
      </vt:variant>
      <vt:variant>
        <vt:i4>0</vt:i4>
      </vt:variant>
      <vt:variant>
        <vt:i4>5</vt:i4>
      </vt:variant>
      <vt:variant>
        <vt:lpwstr>https://unfccc.int/documents/637071</vt:lpwstr>
      </vt:variant>
      <vt:variant>
        <vt:lpwstr/>
      </vt:variant>
      <vt:variant>
        <vt:i4>2293884</vt:i4>
      </vt:variant>
      <vt:variant>
        <vt:i4>90</vt:i4>
      </vt:variant>
      <vt:variant>
        <vt:i4>0</vt:i4>
      </vt:variant>
      <vt:variant>
        <vt:i4>5</vt:i4>
      </vt:variant>
      <vt:variant>
        <vt:lpwstr>https://unfccc.int/documents/626563</vt:lpwstr>
      </vt:variant>
      <vt:variant>
        <vt:lpwstr/>
      </vt:variant>
      <vt:variant>
        <vt:i4>2359412</vt:i4>
      </vt:variant>
      <vt:variant>
        <vt:i4>87</vt:i4>
      </vt:variant>
      <vt:variant>
        <vt:i4>0</vt:i4>
      </vt:variant>
      <vt:variant>
        <vt:i4>5</vt:i4>
      </vt:variant>
      <vt:variant>
        <vt:lpwstr>https://unfccc.int/documents/460955</vt:lpwstr>
      </vt:variant>
      <vt:variant>
        <vt:lpwstr/>
      </vt:variant>
      <vt:variant>
        <vt:i4>2097278</vt:i4>
      </vt:variant>
      <vt:variant>
        <vt:i4>84</vt:i4>
      </vt:variant>
      <vt:variant>
        <vt:i4>0</vt:i4>
      </vt:variant>
      <vt:variant>
        <vt:i4>5</vt:i4>
      </vt:variant>
      <vt:variant>
        <vt:lpwstr>https://unfccc.int/documents/210471</vt:lpwstr>
      </vt:variant>
      <vt:variant>
        <vt:lpwstr/>
      </vt:variant>
      <vt:variant>
        <vt:i4>2162801</vt:i4>
      </vt:variant>
      <vt:variant>
        <vt:i4>81</vt:i4>
      </vt:variant>
      <vt:variant>
        <vt:i4>0</vt:i4>
      </vt:variant>
      <vt:variant>
        <vt:i4>5</vt:i4>
      </vt:variant>
      <vt:variant>
        <vt:lpwstr>https://unfccc.int/documents/193360</vt:lpwstr>
      </vt:variant>
      <vt:variant>
        <vt:lpwstr/>
      </vt:variant>
      <vt:variant>
        <vt:i4>1376331</vt:i4>
      </vt:variant>
      <vt:variant>
        <vt:i4>78</vt:i4>
      </vt:variant>
      <vt:variant>
        <vt:i4>0</vt:i4>
      </vt:variant>
      <vt:variant>
        <vt:i4>5</vt:i4>
      </vt:variant>
      <vt:variant>
        <vt:lpwstr>https://unfccc.int/documents/9097</vt:lpwstr>
      </vt:variant>
      <vt:variant>
        <vt:lpwstr/>
      </vt:variant>
      <vt:variant>
        <vt:i4>2556022</vt:i4>
      </vt:variant>
      <vt:variant>
        <vt:i4>75</vt:i4>
      </vt:variant>
      <vt:variant>
        <vt:i4>0</vt:i4>
      </vt:variant>
      <vt:variant>
        <vt:i4>5</vt:i4>
      </vt:variant>
      <vt:variant>
        <vt:lpwstr>https://unfccc.int/documents/193408</vt:lpwstr>
      </vt:variant>
      <vt:variant>
        <vt:lpwstr/>
      </vt:variant>
      <vt:variant>
        <vt:i4>2162801</vt:i4>
      </vt:variant>
      <vt:variant>
        <vt:i4>72</vt:i4>
      </vt:variant>
      <vt:variant>
        <vt:i4>0</vt:i4>
      </vt:variant>
      <vt:variant>
        <vt:i4>5</vt:i4>
      </vt:variant>
      <vt:variant>
        <vt:lpwstr>https://unfccc.int/documents/193364</vt:lpwstr>
      </vt:variant>
      <vt:variant>
        <vt:lpwstr/>
      </vt:variant>
      <vt:variant>
        <vt:i4>2359412</vt:i4>
      </vt:variant>
      <vt:variant>
        <vt:i4>69</vt:i4>
      </vt:variant>
      <vt:variant>
        <vt:i4>0</vt:i4>
      </vt:variant>
      <vt:variant>
        <vt:i4>5</vt:i4>
      </vt:variant>
      <vt:variant>
        <vt:lpwstr>https://unfccc.int/documents/460950</vt:lpwstr>
      </vt:variant>
      <vt:variant>
        <vt:lpwstr/>
      </vt:variant>
      <vt:variant>
        <vt:i4>2293884</vt:i4>
      </vt:variant>
      <vt:variant>
        <vt:i4>66</vt:i4>
      </vt:variant>
      <vt:variant>
        <vt:i4>0</vt:i4>
      </vt:variant>
      <vt:variant>
        <vt:i4>5</vt:i4>
      </vt:variant>
      <vt:variant>
        <vt:lpwstr>https://unfccc.int/documents/626566</vt:lpwstr>
      </vt:variant>
      <vt:variant>
        <vt:lpwstr/>
      </vt:variant>
      <vt:variant>
        <vt:i4>2556022</vt:i4>
      </vt:variant>
      <vt:variant>
        <vt:i4>63</vt:i4>
      </vt:variant>
      <vt:variant>
        <vt:i4>0</vt:i4>
      </vt:variant>
      <vt:variant>
        <vt:i4>5</vt:i4>
      </vt:variant>
      <vt:variant>
        <vt:lpwstr>https://unfccc.int/documents/193408</vt:lpwstr>
      </vt:variant>
      <vt:variant>
        <vt:lpwstr/>
      </vt:variant>
      <vt:variant>
        <vt:i4>2228344</vt:i4>
      </vt:variant>
      <vt:variant>
        <vt:i4>60</vt:i4>
      </vt:variant>
      <vt:variant>
        <vt:i4>0</vt:i4>
      </vt:variant>
      <vt:variant>
        <vt:i4>5</vt:i4>
      </vt:variant>
      <vt:variant>
        <vt:lpwstr>https://unfccc.int/documents/637064</vt:lpwstr>
      </vt:variant>
      <vt:variant>
        <vt:lpwstr/>
      </vt:variant>
      <vt:variant>
        <vt:i4>2293884</vt:i4>
      </vt:variant>
      <vt:variant>
        <vt:i4>57</vt:i4>
      </vt:variant>
      <vt:variant>
        <vt:i4>0</vt:i4>
      </vt:variant>
      <vt:variant>
        <vt:i4>5</vt:i4>
      </vt:variant>
      <vt:variant>
        <vt:lpwstr>https://unfccc.int/documents/626566</vt:lpwstr>
      </vt:variant>
      <vt:variant>
        <vt:lpwstr/>
      </vt:variant>
      <vt:variant>
        <vt:i4>2359412</vt:i4>
      </vt:variant>
      <vt:variant>
        <vt:i4>54</vt:i4>
      </vt:variant>
      <vt:variant>
        <vt:i4>0</vt:i4>
      </vt:variant>
      <vt:variant>
        <vt:i4>5</vt:i4>
      </vt:variant>
      <vt:variant>
        <vt:lpwstr>https://unfccc.int/documents/460957</vt:lpwstr>
      </vt:variant>
      <vt:variant>
        <vt:lpwstr/>
      </vt:variant>
      <vt:variant>
        <vt:i4>2097278</vt:i4>
      </vt:variant>
      <vt:variant>
        <vt:i4>51</vt:i4>
      </vt:variant>
      <vt:variant>
        <vt:i4>0</vt:i4>
      </vt:variant>
      <vt:variant>
        <vt:i4>5</vt:i4>
      </vt:variant>
      <vt:variant>
        <vt:lpwstr>https://unfccc.int/documents/210478</vt:lpwstr>
      </vt:variant>
      <vt:variant>
        <vt:lpwstr/>
      </vt:variant>
      <vt:variant>
        <vt:i4>2162801</vt:i4>
      </vt:variant>
      <vt:variant>
        <vt:i4>48</vt:i4>
      </vt:variant>
      <vt:variant>
        <vt:i4>0</vt:i4>
      </vt:variant>
      <vt:variant>
        <vt:i4>5</vt:i4>
      </vt:variant>
      <vt:variant>
        <vt:lpwstr>https://unfccc.int/documents/193364</vt:lpwstr>
      </vt:variant>
      <vt:variant>
        <vt:lpwstr/>
      </vt:variant>
      <vt:variant>
        <vt:i4>2818172</vt:i4>
      </vt:variant>
      <vt:variant>
        <vt:i4>45</vt:i4>
      </vt:variant>
      <vt:variant>
        <vt:i4>0</vt:i4>
      </vt:variant>
      <vt:variant>
        <vt:i4>5</vt:i4>
      </vt:variant>
      <vt:variant>
        <vt:lpwstr>https://unfccc.int/documents/65129</vt:lpwstr>
      </vt:variant>
      <vt:variant>
        <vt:lpwstr/>
      </vt:variant>
      <vt:variant>
        <vt:i4>1769549</vt:i4>
      </vt:variant>
      <vt:variant>
        <vt:i4>42</vt:i4>
      </vt:variant>
      <vt:variant>
        <vt:i4>0</vt:i4>
      </vt:variant>
      <vt:variant>
        <vt:i4>5</vt:i4>
      </vt:variant>
      <vt:variant>
        <vt:lpwstr>https://unfccc.int/documents/9676</vt:lpwstr>
      </vt:variant>
      <vt:variant>
        <vt:lpwstr/>
      </vt:variant>
      <vt:variant>
        <vt:i4>1835082</vt:i4>
      </vt:variant>
      <vt:variant>
        <vt:i4>39</vt:i4>
      </vt:variant>
      <vt:variant>
        <vt:i4>0</vt:i4>
      </vt:variant>
      <vt:variant>
        <vt:i4>5</vt:i4>
      </vt:variant>
      <vt:variant>
        <vt:lpwstr>https://unfccc.int/documents/9101</vt:lpwstr>
      </vt:variant>
      <vt:variant>
        <vt:lpwstr/>
      </vt:variant>
      <vt:variant>
        <vt:i4>1835085</vt:i4>
      </vt:variant>
      <vt:variant>
        <vt:i4>36</vt:i4>
      </vt:variant>
      <vt:variant>
        <vt:i4>0</vt:i4>
      </vt:variant>
      <vt:variant>
        <vt:i4>5</vt:i4>
      </vt:variant>
      <vt:variant>
        <vt:lpwstr>https://unfccc.int/documents/8615</vt:lpwstr>
      </vt:variant>
      <vt:variant>
        <vt:lpwstr/>
      </vt:variant>
      <vt:variant>
        <vt:i4>1441870</vt:i4>
      </vt:variant>
      <vt:variant>
        <vt:i4>33</vt:i4>
      </vt:variant>
      <vt:variant>
        <vt:i4>0</vt:i4>
      </vt:variant>
      <vt:variant>
        <vt:i4>5</vt:i4>
      </vt:variant>
      <vt:variant>
        <vt:lpwstr>https://unfccc.int/documents/5564</vt:lpwstr>
      </vt:variant>
      <vt:variant>
        <vt:lpwstr/>
      </vt:variant>
      <vt:variant>
        <vt:i4>1572939</vt:i4>
      </vt:variant>
      <vt:variant>
        <vt:i4>30</vt:i4>
      </vt:variant>
      <vt:variant>
        <vt:i4>0</vt:i4>
      </vt:variant>
      <vt:variant>
        <vt:i4>5</vt:i4>
      </vt:variant>
      <vt:variant>
        <vt:lpwstr>https://unfccc.int/documents/5082</vt:lpwstr>
      </vt:variant>
      <vt:variant>
        <vt:lpwstr/>
      </vt:variant>
      <vt:variant>
        <vt:i4>2293884</vt:i4>
      </vt:variant>
      <vt:variant>
        <vt:i4>27</vt:i4>
      </vt:variant>
      <vt:variant>
        <vt:i4>0</vt:i4>
      </vt:variant>
      <vt:variant>
        <vt:i4>5</vt:i4>
      </vt:variant>
      <vt:variant>
        <vt:lpwstr>https://unfccc.int/documents/626566</vt:lpwstr>
      </vt:variant>
      <vt:variant>
        <vt:lpwstr/>
      </vt:variant>
      <vt:variant>
        <vt:i4>2228344</vt:i4>
      </vt:variant>
      <vt:variant>
        <vt:i4>24</vt:i4>
      </vt:variant>
      <vt:variant>
        <vt:i4>0</vt:i4>
      </vt:variant>
      <vt:variant>
        <vt:i4>5</vt:i4>
      </vt:variant>
      <vt:variant>
        <vt:lpwstr>https://unfccc.int/documents/637064</vt:lpwstr>
      </vt:variant>
      <vt:variant>
        <vt:lpwstr/>
      </vt:variant>
      <vt:variant>
        <vt:i4>2293884</vt:i4>
      </vt:variant>
      <vt:variant>
        <vt:i4>21</vt:i4>
      </vt:variant>
      <vt:variant>
        <vt:i4>0</vt:i4>
      </vt:variant>
      <vt:variant>
        <vt:i4>5</vt:i4>
      </vt:variant>
      <vt:variant>
        <vt:lpwstr>https://unfccc.int/documents/626566</vt:lpwstr>
      </vt:variant>
      <vt:variant>
        <vt:lpwstr/>
      </vt:variant>
      <vt:variant>
        <vt:i4>1310793</vt:i4>
      </vt:variant>
      <vt:variant>
        <vt:i4>18</vt:i4>
      </vt:variant>
      <vt:variant>
        <vt:i4>0</vt:i4>
      </vt:variant>
      <vt:variant>
        <vt:i4>5</vt:i4>
      </vt:variant>
      <vt:variant>
        <vt:lpwstr>https://unfccc.int/documents/4252</vt:lpwstr>
      </vt:variant>
      <vt:variant>
        <vt:lpwstr/>
      </vt:variant>
      <vt:variant>
        <vt:i4>8061012</vt:i4>
      </vt:variant>
      <vt:variant>
        <vt:i4>15</vt:i4>
      </vt:variant>
      <vt:variant>
        <vt:i4>0</vt:i4>
      </vt:variant>
      <vt:variant>
        <vt:i4>5</vt:i4>
      </vt:variant>
      <vt:variant>
        <vt:lpwstr/>
      </vt:variant>
      <vt:variant>
        <vt:lpwstr>resolution1_cmp19</vt:lpwstr>
      </vt:variant>
      <vt:variant>
        <vt:i4>524349</vt:i4>
      </vt:variant>
      <vt:variant>
        <vt:i4>12</vt:i4>
      </vt:variant>
      <vt:variant>
        <vt:i4>0</vt:i4>
      </vt:variant>
      <vt:variant>
        <vt:i4>5</vt:i4>
      </vt:variant>
      <vt:variant>
        <vt:lpwstr/>
      </vt:variant>
      <vt:variant>
        <vt:lpwstr>decision5_cmp19</vt:lpwstr>
      </vt:variant>
      <vt:variant>
        <vt:i4>524348</vt:i4>
      </vt:variant>
      <vt:variant>
        <vt:i4>9</vt:i4>
      </vt:variant>
      <vt:variant>
        <vt:i4>0</vt:i4>
      </vt:variant>
      <vt:variant>
        <vt:i4>5</vt:i4>
      </vt:variant>
      <vt:variant>
        <vt:lpwstr/>
      </vt:variant>
      <vt:variant>
        <vt:lpwstr>decision4_cmp19</vt:lpwstr>
      </vt:variant>
      <vt:variant>
        <vt:i4>524347</vt:i4>
      </vt:variant>
      <vt:variant>
        <vt:i4>6</vt:i4>
      </vt:variant>
      <vt:variant>
        <vt:i4>0</vt:i4>
      </vt:variant>
      <vt:variant>
        <vt:i4>5</vt:i4>
      </vt:variant>
      <vt:variant>
        <vt:lpwstr/>
      </vt:variant>
      <vt:variant>
        <vt:lpwstr>decision3_cmp19</vt:lpwstr>
      </vt:variant>
      <vt:variant>
        <vt:i4>524346</vt:i4>
      </vt:variant>
      <vt:variant>
        <vt:i4>3</vt:i4>
      </vt:variant>
      <vt:variant>
        <vt:i4>0</vt:i4>
      </vt:variant>
      <vt:variant>
        <vt:i4>5</vt:i4>
      </vt:variant>
      <vt:variant>
        <vt:lpwstr/>
      </vt:variant>
      <vt:variant>
        <vt:lpwstr>decision2_cmp19</vt:lpwstr>
      </vt:variant>
      <vt:variant>
        <vt:i4>524345</vt:i4>
      </vt:variant>
      <vt:variant>
        <vt:i4>0</vt:i4>
      </vt:variant>
      <vt:variant>
        <vt:i4>0</vt:i4>
      </vt:variant>
      <vt:variant>
        <vt:i4>5</vt:i4>
      </vt:variant>
      <vt:variant>
        <vt:lpwstr/>
      </vt:variant>
      <vt:variant>
        <vt:lpwstr>decision1_cmp19</vt:lpwstr>
      </vt:variant>
      <vt:variant>
        <vt:i4>2359415</vt:i4>
      </vt:variant>
      <vt:variant>
        <vt:i4>81</vt:i4>
      </vt:variant>
      <vt:variant>
        <vt:i4>0</vt:i4>
      </vt:variant>
      <vt:variant>
        <vt:i4>5</vt:i4>
      </vt:variant>
      <vt:variant>
        <vt:lpwstr>https://unfccc.int/documents/641869</vt:lpwstr>
      </vt:variant>
      <vt:variant>
        <vt:lpwstr/>
      </vt:variant>
      <vt:variant>
        <vt:i4>2424952</vt:i4>
      </vt:variant>
      <vt:variant>
        <vt:i4>78</vt:i4>
      </vt:variant>
      <vt:variant>
        <vt:i4>0</vt:i4>
      </vt:variant>
      <vt:variant>
        <vt:i4>5</vt:i4>
      </vt:variant>
      <vt:variant>
        <vt:lpwstr>https://unfccc.int/documents/641774</vt:lpwstr>
      </vt:variant>
      <vt:variant>
        <vt:lpwstr/>
      </vt:variant>
      <vt:variant>
        <vt:i4>2818172</vt:i4>
      </vt:variant>
      <vt:variant>
        <vt:i4>75</vt:i4>
      </vt:variant>
      <vt:variant>
        <vt:i4>0</vt:i4>
      </vt:variant>
      <vt:variant>
        <vt:i4>5</vt:i4>
      </vt:variant>
      <vt:variant>
        <vt:lpwstr>https://unfccc.int/documents/641396</vt:lpwstr>
      </vt:variant>
      <vt:variant>
        <vt:lpwstr/>
      </vt:variant>
      <vt:variant>
        <vt:i4>2556030</vt:i4>
      </vt:variant>
      <vt:variant>
        <vt:i4>72</vt:i4>
      </vt:variant>
      <vt:variant>
        <vt:i4>0</vt:i4>
      </vt:variant>
      <vt:variant>
        <vt:i4>5</vt:i4>
      </vt:variant>
      <vt:variant>
        <vt:lpwstr>https://unfccc.int/documents/641152</vt:lpwstr>
      </vt:variant>
      <vt:variant>
        <vt:lpwstr/>
      </vt:variant>
      <vt:variant>
        <vt:i4>2162809</vt:i4>
      </vt:variant>
      <vt:variant>
        <vt:i4>69</vt:i4>
      </vt:variant>
      <vt:variant>
        <vt:i4>0</vt:i4>
      </vt:variant>
      <vt:variant>
        <vt:i4>5</vt:i4>
      </vt:variant>
      <vt:variant>
        <vt:lpwstr>https://unfccc.int/documents/640626</vt:lpwstr>
      </vt:variant>
      <vt:variant>
        <vt:lpwstr/>
      </vt:variant>
      <vt:variant>
        <vt:i4>2359412</vt:i4>
      </vt:variant>
      <vt:variant>
        <vt:i4>66</vt:i4>
      </vt:variant>
      <vt:variant>
        <vt:i4>0</vt:i4>
      </vt:variant>
      <vt:variant>
        <vt:i4>5</vt:i4>
      </vt:variant>
      <vt:variant>
        <vt:lpwstr>https://unfccc.int/documents/460955</vt:lpwstr>
      </vt:variant>
      <vt:variant>
        <vt:lpwstr/>
      </vt:variant>
      <vt:variant>
        <vt:i4>2162801</vt:i4>
      </vt:variant>
      <vt:variant>
        <vt:i4>63</vt:i4>
      </vt:variant>
      <vt:variant>
        <vt:i4>0</vt:i4>
      </vt:variant>
      <vt:variant>
        <vt:i4>5</vt:i4>
      </vt:variant>
      <vt:variant>
        <vt:lpwstr>https://unfccc.int/documents/193361</vt:lpwstr>
      </vt:variant>
      <vt:variant>
        <vt:lpwstr/>
      </vt:variant>
      <vt:variant>
        <vt:i4>2359412</vt:i4>
      </vt:variant>
      <vt:variant>
        <vt:i4>60</vt:i4>
      </vt:variant>
      <vt:variant>
        <vt:i4>0</vt:i4>
      </vt:variant>
      <vt:variant>
        <vt:i4>5</vt:i4>
      </vt:variant>
      <vt:variant>
        <vt:lpwstr>https://unfccc.int/documents/460955</vt:lpwstr>
      </vt:variant>
      <vt:variant>
        <vt:lpwstr/>
      </vt:variant>
      <vt:variant>
        <vt:i4>1179722</vt:i4>
      </vt:variant>
      <vt:variant>
        <vt:i4>57</vt:i4>
      </vt:variant>
      <vt:variant>
        <vt:i4>0</vt:i4>
      </vt:variant>
      <vt:variant>
        <vt:i4>5</vt:i4>
      </vt:variant>
      <vt:variant>
        <vt:lpwstr>https://unfccc.int/documents/1168</vt:lpwstr>
      </vt:variant>
      <vt:variant>
        <vt:lpwstr/>
      </vt:variant>
      <vt:variant>
        <vt:i4>2097278</vt:i4>
      </vt:variant>
      <vt:variant>
        <vt:i4>54</vt:i4>
      </vt:variant>
      <vt:variant>
        <vt:i4>0</vt:i4>
      </vt:variant>
      <vt:variant>
        <vt:i4>5</vt:i4>
      </vt:variant>
      <vt:variant>
        <vt:lpwstr>https://unfccc.int/documents/210477</vt:lpwstr>
      </vt:variant>
      <vt:variant>
        <vt:lpwstr/>
      </vt:variant>
      <vt:variant>
        <vt:i4>2097278</vt:i4>
      </vt:variant>
      <vt:variant>
        <vt:i4>51</vt:i4>
      </vt:variant>
      <vt:variant>
        <vt:i4>0</vt:i4>
      </vt:variant>
      <vt:variant>
        <vt:i4>5</vt:i4>
      </vt:variant>
      <vt:variant>
        <vt:lpwstr>https://unfccc.int/documents/210478</vt:lpwstr>
      </vt:variant>
      <vt:variant>
        <vt:lpwstr/>
      </vt:variant>
      <vt:variant>
        <vt:i4>2097278</vt:i4>
      </vt:variant>
      <vt:variant>
        <vt:i4>48</vt:i4>
      </vt:variant>
      <vt:variant>
        <vt:i4>0</vt:i4>
      </vt:variant>
      <vt:variant>
        <vt:i4>5</vt:i4>
      </vt:variant>
      <vt:variant>
        <vt:lpwstr>https://unfccc.int/documents/210471</vt:lpwstr>
      </vt:variant>
      <vt:variant>
        <vt:lpwstr/>
      </vt:variant>
      <vt:variant>
        <vt:i4>2556023</vt:i4>
      </vt:variant>
      <vt:variant>
        <vt:i4>45</vt:i4>
      </vt:variant>
      <vt:variant>
        <vt:i4>0</vt:i4>
      </vt:variant>
      <vt:variant>
        <vt:i4>5</vt:i4>
      </vt:variant>
      <vt:variant>
        <vt:lpwstr>https://unfccc.int/documents/641851</vt:lpwstr>
      </vt:variant>
      <vt:variant>
        <vt:lpwstr/>
      </vt:variant>
      <vt:variant>
        <vt:i4>2359416</vt:i4>
      </vt:variant>
      <vt:variant>
        <vt:i4>42</vt:i4>
      </vt:variant>
      <vt:variant>
        <vt:i4>0</vt:i4>
      </vt:variant>
      <vt:variant>
        <vt:i4>5</vt:i4>
      </vt:variant>
      <vt:variant>
        <vt:lpwstr>https://unfccc.int/documents/642754</vt:lpwstr>
      </vt:variant>
      <vt:variant>
        <vt:lpwstr/>
      </vt:variant>
      <vt:variant>
        <vt:i4>2752631</vt:i4>
      </vt:variant>
      <vt:variant>
        <vt:i4>39</vt:i4>
      </vt:variant>
      <vt:variant>
        <vt:i4>0</vt:i4>
      </vt:variant>
      <vt:variant>
        <vt:i4>5</vt:i4>
      </vt:variant>
      <vt:variant>
        <vt:lpwstr>https://www.adaptation-fund.org/enhancing-access-and-increasing-impact-the-role-of-the-multilateral-climate-funds/</vt:lpwstr>
      </vt:variant>
      <vt:variant>
        <vt:lpwstr/>
      </vt:variant>
      <vt:variant>
        <vt:i4>2228348</vt:i4>
      </vt:variant>
      <vt:variant>
        <vt:i4>36</vt:i4>
      </vt:variant>
      <vt:variant>
        <vt:i4>0</vt:i4>
      </vt:variant>
      <vt:variant>
        <vt:i4>5</vt:i4>
      </vt:variant>
      <vt:variant>
        <vt:lpwstr>https://unfccc.int/documents/626571</vt:lpwstr>
      </vt:variant>
      <vt:variant>
        <vt:lpwstr/>
      </vt:variant>
      <vt:variant>
        <vt:i4>2293884</vt:i4>
      </vt:variant>
      <vt:variant>
        <vt:i4>33</vt:i4>
      </vt:variant>
      <vt:variant>
        <vt:i4>0</vt:i4>
      </vt:variant>
      <vt:variant>
        <vt:i4>5</vt:i4>
      </vt:variant>
      <vt:variant>
        <vt:lpwstr>https://unfccc.int/documents/626566</vt:lpwstr>
      </vt:variant>
      <vt:variant>
        <vt:lpwstr/>
      </vt:variant>
      <vt:variant>
        <vt:i4>2490494</vt:i4>
      </vt:variant>
      <vt:variant>
        <vt:i4>30</vt:i4>
      </vt:variant>
      <vt:variant>
        <vt:i4>0</vt:i4>
      </vt:variant>
      <vt:variant>
        <vt:i4>5</vt:i4>
      </vt:variant>
      <vt:variant>
        <vt:lpwstr>https://unfccc.int/documents/641149</vt:lpwstr>
      </vt:variant>
      <vt:variant>
        <vt:lpwstr/>
      </vt:variant>
      <vt:variant>
        <vt:i4>7209001</vt:i4>
      </vt:variant>
      <vt:variant>
        <vt:i4>27</vt:i4>
      </vt:variant>
      <vt:variant>
        <vt:i4>0</vt:i4>
      </vt:variant>
      <vt:variant>
        <vt:i4>5</vt:i4>
      </vt:variant>
      <vt:variant>
        <vt:lpwstr>https://www.adaptation-fund.org/document/gender-mainstreaming-e-course</vt:lpwstr>
      </vt:variant>
      <vt:variant>
        <vt:lpwstr/>
      </vt:variant>
      <vt:variant>
        <vt:i4>1310741</vt:i4>
      </vt:variant>
      <vt:variant>
        <vt:i4>24</vt:i4>
      </vt:variant>
      <vt:variant>
        <vt:i4>0</vt:i4>
      </vt:variant>
      <vt:variant>
        <vt:i4>5</vt:i4>
      </vt:variant>
      <vt:variant>
        <vt:lpwstr>https://www.adaptation-fund.org/document/opg-annex4-gender-policy</vt:lpwstr>
      </vt:variant>
      <vt:variant>
        <vt:lpwstr/>
      </vt:variant>
      <vt:variant>
        <vt:i4>7012387</vt:i4>
      </vt:variant>
      <vt:variant>
        <vt:i4>21</vt:i4>
      </vt:variant>
      <vt:variant>
        <vt:i4>0</vt:i4>
      </vt:variant>
      <vt:variant>
        <vt:i4>5</vt:i4>
      </vt:variant>
      <vt:variant>
        <vt:lpwstr>https://www.adaptation-fund.org/document/resource-mobilization-strategy-2022-2025/</vt:lpwstr>
      </vt:variant>
      <vt:variant>
        <vt:lpwstr/>
      </vt:variant>
      <vt:variant>
        <vt:i4>2293884</vt:i4>
      </vt:variant>
      <vt:variant>
        <vt:i4>18</vt:i4>
      </vt:variant>
      <vt:variant>
        <vt:i4>0</vt:i4>
      </vt:variant>
      <vt:variant>
        <vt:i4>5</vt:i4>
      </vt:variant>
      <vt:variant>
        <vt:lpwstr>https://unfccc.int/documents/626566</vt:lpwstr>
      </vt:variant>
      <vt:variant>
        <vt:lpwstr/>
      </vt:variant>
      <vt:variant>
        <vt:i4>3080302</vt:i4>
      </vt:variant>
      <vt:variant>
        <vt:i4>15</vt:i4>
      </vt:variant>
      <vt:variant>
        <vt:i4>0</vt:i4>
      </vt:variant>
      <vt:variant>
        <vt:i4>5</vt:i4>
      </vt:variant>
      <vt:variant>
        <vt:lpwstr>https://www.adaptation-fund.org/document/medium-term-strategy-2023-2027</vt:lpwstr>
      </vt:variant>
      <vt:variant>
        <vt:lpwstr/>
      </vt:variant>
      <vt:variant>
        <vt:i4>2424951</vt:i4>
      </vt:variant>
      <vt:variant>
        <vt:i4>12</vt:i4>
      </vt:variant>
      <vt:variant>
        <vt:i4>0</vt:i4>
      </vt:variant>
      <vt:variant>
        <vt:i4>5</vt:i4>
      </vt:variant>
      <vt:variant>
        <vt:lpwstr>https://unfccc.int/documents/641872</vt:lpwstr>
      </vt:variant>
      <vt:variant>
        <vt:lpwstr/>
      </vt:variant>
      <vt:variant>
        <vt:i4>2490487</vt:i4>
      </vt:variant>
      <vt:variant>
        <vt:i4>9</vt:i4>
      </vt:variant>
      <vt:variant>
        <vt:i4>0</vt:i4>
      </vt:variant>
      <vt:variant>
        <vt:i4>5</vt:i4>
      </vt:variant>
      <vt:variant>
        <vt:lpwstr>https://unfccc.int/documents/641842</vt:lpwstr>
      </vt:variant>
      <vt:variant>
        <vt:lpwstr/>
      </vt:variant>
      <vt:variant>
        <vt:i4>2162807</vt:i4>
      </vt:variant>
      <vt:variant>
        <vt:i4>6</vt:i4>
      </vt:variant>
      <vt:variant>
        <vt:i4>0</vt:i4>
      </vt:variant>
      <vt:variant>
        <vt:i4>5</vt:i4>
      </vt:variant>
      <vt:variant>
        <vt:lpwstr>https://unfccc.int/documents/641833</vt:lpwstr>
      </vt:variant>
      <vt:variant>
        <vt:lpwstr/>
      </vt:variant>
      <vt:variant>
        <vt:i4>2293886</vt:i4>
      </vt:variant>
      <vt:variant>
        <vt:i4>3</vt:i4>
      </vt:variant>
      <vt:variant>
        <vt:i4>0</vt:i4>
      </vt:variant>
      <vt:variant>
        <vt:i4>5</vt:i4>
      </vt:variant>
      <vt:variant>
        <vt:lpwstr>https://unfccc.int/documents/641117</vt:lpwstr>
      </vt:variant>
      <vt:variant>
        <vt:lpwstr/>
      </vt:variant>
      <vt:variant>
        <vt:i4>1310793</vt:i4>
      </vt:variant>
      <vt:variant>
        <vt:i4>0</vt:i4>
      </vt:variant>
      <vt:variant>
        <vt:i4>0</vt:i4>
      </vt:variant>
      <vt:variant>
        <vt:i4>5</vt:i4>
      </vt:variant>
      <vt:variant>
        <vt:lpwstr>https://unfccc.int/documents/4252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of the Conference of the Parties serving as the meeting of the Parties to the Kyoto Protocol on its nineteenth session. Addendum</dc:title>
  <dc:subject/>
  <dc:creator>Aisulu Aldasheva</dc:creator>
  <cp:keywords/>
  <dc:description>Updated for COP28</dc:description>
  <cp:lastModifiedBy>Corinne Cornu</cp:lastModifiedBy>
  <cp:revision>677</cp:revision>
  <cp:lastPrinted>2022-09-19T18:19:00Z</cp:lastPrinted>
  <dcterms:created xsi:type="dcterms:W3CDTF">2024-04-04T22:48:00Z</dcterms:created>
  <dcterms:modified xsi:type="dcterms:W3CDTF">2025-04-01T10:06:00Z</dcterms:modified>
  <cp:category>UNFCCC Template 2023</cp:category>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Version">
    <vt:lpwstr>v.September2022</vt:lpwstr>
  </property>
  <property fmtid="{D5CDD505-2E9C-101B-9397-08002B2CF9AE}" pid="3" name="originalCreationDate">
    <vt:lpwstr>4/4/2024 15:24:08</vt:lpwstr>
  </property>
  <property fmtid="{D5CDD505-2E9C-101B-9397-08002B2CF9AE}" pid="4" name="ContentTypeId">
    <vt:lpwstr>0x01010093B27815B4C26448A2AC74C6D94E050B</vt:lpwstr>
  </property>
  <property fmtid="{D5CDD505-2E9C-101B-9397-08002B2CF9AE}" pid="5" name="_dlc_DocIdItemGuid">
    <vt:lpwstr>843e0421-a1fd-46cb-b79f-ad5251d55ae4</vt:lpwstr>
  </property>
  <property fmtid="{D5CDD505-2E9C-101B-9397-08002B2CF9AE}" pid="6" name="fccc_body">
    <vt:lpwstr>85;#Conference of the Parties serving as the meeting of the Parties to the Kyoto Protocol (CMP)|38118d30-6ed6-42bf-9f20-9c3046d01012</vt:lpwstr>
  </property>
  <property fmtid="{D5CDD505-2E9C-101B-9397-08002B2CF9AE}" pid="7" name="MediaServiceImageTags">
    <vt:lpwstr/>
  </property>
  <property fmtid="{D5CDD505-2E9C-101B-9397-08002B2CF9AE}" pid="8" name="kb2e315405fe407aa7f85ff4a1d5bcda">
    <vt:lpwstr/>
  </property>
  <property fmtid="{D5CDD505-2E9C-101B-9397-08002B2CF9AE}" pid="9" name="fccc_substantive_topic">
    <vt:lpwstr>46;#Sessional proceedings|ff7bdb8c-f4ee-4fbb-ab88-7747669b7746</vt:lpwstr>
  </property>
  <property fmtid="{D5CDD505-2E9C-101B-9397-08002B2CF9AE}" pid="10" name="fccc_Keywords">
    <vt:lpwstr>47;#Sessional proceedings|ff7bdb8c-f4ee-4fbb-ab88-7747669b7746</vt:lpwstr>
  </property>
  <property fmtid="{D5CDD505-2E9C-101B-9397-08002B2CF9AE}" pid="11" name="fccc_session">
    <vt:lpwstr>829;#CMP 19|1b2347c2-dfb2-4c25-8257-3c983bc6812b</vt:lpwstr>
  </property>
  <property fmtid="{D5CDD505-2E9C-101B-9397-08002B2CF9AE}" pid="12" name="LinkedUNFCCCDocumentTracker">
    <vt:lpwstr>6948</vt:lpwstr>
  </property>
  <property fmtid="{D5CDD505-2E9C-101B-9397-08002B2CF9AE}" pid="13" name="Web_x0020_doc_x0020_type">
    <vt:lpwstr/>
  </property>
  <property fmtid="{D5CDD505-2E9C-101B-9397-08002B2CF9AE}" pid="14" name="Document_x0020_Group">
    <vt:lpwstr/>
  </property>
  <property fmtid="{D5CDD505-2E9C-101B-9397-08002B2CF9AE}" pid="15" name="Conference">
    <vt:lpwstr/>
  </property>
  <property fmtid="{D5CDD505-2E9C-101B-9397-08002B2CF9AE}" pid="16" name="mc8c0c91454a4efc97cb5a2e90a99718">
    <vt:lpwstr/>
  </property>
  <property fmtid="{D5CDD505-2E9C-101B-9397-08002B2CF9AE}" pid="17" name="Corporate author">
    <vt:lpwstr/>
  </property>
  <property fmtid="{D5CDD505-2E9C-101B-9397-08002B2CF9AE}" pid="18" name="Agenda Item">
    <vt:lpwstr/>
  </property>
  <property fmtid="{D5CDD505-2E9C-101B-9397-08002B2CF9AE}" pid="19" name="Web doc type">
    <vt:lpwstr/>
  </property>
  <property fmtid="{D5CDD505-2E9C-101B-9397-08002B2CF9AE}" pid="20" name="Document Group">
    <vt:lpwstr/>
  </property>
  <property fmtid="{D5CDD505-2E9C-101B-9397-08002B2CF9AE}" pid="21" name="Embargo">
    <vt:lpwstr>No</vt:lpwstr>
  </property>
  <property fmtid="{D5CDD505-2E9C-101B-9397-08002B2CF9AE}" pid="22" name="lcf76f155ced4ddcb4097134ff3c332f">
    <vt:lpwstr/>
  </property>
  <property fmtid="{D5CDD505-2E9C-101B-9397-08002B2CF9AE}" pid="23" name="Corporate_x0020_author">
    <vt:lpwstr/>
  </property>
  <property fmtid="{D5CDD505-2E9C-101B-9397-08002B2CF9AE}" pid="24" name="docSymbol1">
    <vt:lpwstr>FCCC/KP/CMP/2024/7/Add.1</vt:lpwstr>
  </property>
  <property fmtid="{D5CDD505-2E9C-101B-9397-08002B2CF9AE}" pid="25" name="docSymbol2">
    <vt:lpwstr/>
  </property>
</Properties>
</file>