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14:paraId="4BC868EE" w14:textId="77777777" w:rsidTr="00641F29">
        <w:trPr>
          <w:cantSplit/>
          <w:trHeight w:hRule="exact" w:val="1134"/>
        </w:trPr>
        <w:tc>
          <w:tcPr>
            <w:tcW w:w="1242" w:type="dxa"/>
            <w:vAlign w:val="bottom"/>
          </w:tcPr>
          <w:p w14:paraId="4BC868EB" w14:textId="77777777" w:rsidR="008370E0" w:rsidRDefault="008E62D1" w:rsidP="00641F29">
            <w:bookmarkStart w:id="0" w:name="_GoBack" w:colFirst="0" w:colLast="0"/>
            <w:r>
              <w:rPr>
                <w:noProof/>
                <w:lang w:val="en-US" w:eastAsia="en-US"/>
              </w:rPr>
              <w:drawing>
                <wp:inline distT="0" distB="0" distL="0" distR="0" wp14:anchorId="4BC87012" wp14:editId="4BC87013">
                  <wp:extent cx="716280" cy="594995"/>
                  <wp:effectExtent l="0" t="0" r="762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6280" cy="594995"/>
                          </a:xfrm>
                          <a:prstGeom prst="rect">
                            <a:avLst/>
                          </a:prstGeom>
                          <a:noFill/>
                          <a:ln>
                            <a:noFill/>
                          </a:ln>
                        </pic:spPr>
                      </pic:pic>
                    </a:graphicData>
                  </a:graphic>
                </wp:inline>
              </w:drawing>
            </w:r>
          </w:p>
        </w:tc>
        <w:tc>
          <w:tcPr>
            <w:tcW w:w="2552" w:type="dxa"/>
            <w:vAlign w:val="bottom"/>
          </w:tcPr>
          <w:p w14:paraId="4BC868EC" w14:textId="77777777" w:rsidR="008370E0" w:rsidRPr="00B97172" w:rsidRDefault="008370E0" w:rsidP="00641F29">
            <w:pPr>
              <w:spacing w:after="80" w:line="300" w:lineRule="exact"/>
              <w:ind w:left="323"/>
              <w:rPr>
                <w:b/>
                <w:sz w:val="24"/>
                <w:szCs w:val="24"/>
              </w:rPr>
            </w:pPr>
            <w:r>
              <w:rPr>
                <w:sz w:val="28"/>
                <w:szCs w:val="28"/>
              </w:rPr>
              <w:t>United Nations</w:t>
            </w:r>
          </w:p>
        </w:tc>
        <w:tc>
          <w:tcPr>
            <w:tcW w:w="5845" w:type="dxa"/>
            <w:gridSpan w:val="3"/>
            <w:vAlign w:val="bottom"/>
          </w:tcPr>
          <w:p w14:paraId="4BC868ED" w14:textId="5C855300" w:rsidR="008370E0" w:rsidRPr="009C178C" w:rsidRDefault="00FF3388" w:rsidP="00FF3388">
            <w:pPr>
              <w:jc w:val="right"/>
            </w:pPr>
            <w:r w:rsidRPr="00FF3388">
              <w:rPr>
                <w:sz w:val="40"/>
              </w:rPr>
              <w:t>FCCC</w:t>
            </w:r>
            <w:r>
              <w:t>/CP/2015/10/Add.3</w:t>
            </w:r>
          </w:p>
        </w:tc>
      </w:tr>
      <w:bookmarkEnd w:id="0"/>
      <w:tr w:rsidR="008370E0" w14:paraId="4BC868F6" w14:textId="77777777" w:rsidTr="00641F29">
        <w:trPr>
          <w:cantSplit/>
          <w:trHeight w:hRule="exact" w:val="2552"/>
        </w:trPr>
        <w:tc>
          <w:tcPr>
            <w:tcW w:w="4511" w:type="dxa"/>
            <w:gridSpan w:val="3"/>
          </w:tcPr>
          <w:p w14:paraId="4BC868EF" w14:textId="77777777" w:rsidR="008370E0" w:rsidRDefault="008E62D1" w:rsidP="00D87C8B">
            <w:r>
              <w:rPr>
                <w:noProof/>
                <w:lang w:val="en-US" w:eastAsia="en-US"/>
              </w:rPr>
              <w:drawing>
                <wp:anchor distT="0" distB="0" distL="114300" distR="114300" simplePos="0" relativeHeight="251658240" behindDoc="1" locked="0" layoutInCell="1" allowOverlap="1" wp14:anchorId="4A77B4F9" wp14:editId="12A468D4">
                  <wp:simplePos x="0" y="0"/>
                  <wp:positionH relativeFrom="column">
                    <wp:posOffset>4305</wp:posOffset>
                  </wp:positionH>
                  <wp:positionV relativeFrom="paragraph">
                    <wp:posOffset>-5830</wp:posOffset>
                  </wp:positionV>
                  <wp:extent cx="2398395" cy="56070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8395" cy="560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C868F0" w14:textId="54D7F6AD" w:rsidR="00A9402E" w:rsidRPr="00DE0F91" w:rsidRDefault="00A9402E" w:rsidP="00D87C8B"/>
        </w:tc>
        <w:tc>
          <w:tcPr>
            <w:tcW w:w="2293" w:type="dxa"/>
          </w:tcPr>
          <w:p w14:paraId="4BC868F1" w14:textId="77777777" w:rsidR="008370E0" w:rsidRPr="00AB2E3D"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6F4678A4" w14:textId="77777777" w:rsidR="00FF3388" w:rsidRDefault="00FF3388" w:rsidP="00FF3388">
            <w:pPr>
              <w:spacing w:before="240" w:line="240" w:lineRule="exact"/>
            </w:pPr>
            <w:r>
              <w:t>Distr.: General</w:t>
            </w:r>
          </w:p>
          <w:p w14:paraId="2D965E63" w14:textId="13CEDD51" w:rsidR="00FF3388" w:rsidRDefault="001B25D3" w:rsidP="00FF3388">
            <w:pPr>
              <w:spacing w:line="240" w:lineRule="exact"/>
            </w:pPr>
            <w:r>
              <w:t>29</w:t>
            </w:r>
            <w:r w:rsidR="000B7A28" w:rsidRPr="00994788">
              <w:t xml:space="preserve"> January 2016</w:t>
            </w:r>
          </w:p>
          <w:p w14:paraId="00AFD141" w14:textId="77777777" w:rsidR="00FF3388" w:rsidRDefault="00FF3388" w:rsidP="00FF3388">
            <w:pPr>
              <w:spacing w:line="240" w:lineRule="exact"/>
            </w:pPr>
          </w:p>
          <w:p w14:paraId="4BC868F5" w14:textId="73FB5565" w:rsidR="009C178C" w:rsidRPr="00E0470D" w:rsidRDefault="00FF3388" w:rsidP="00FF3388">
            <w:pPr>
              <w:spacing w:line="240" w:lineRule="exact"/>
            </w:pPr>
            <w:r>
              <w:t>Original: English</w:t>
            </w:r>
          </w:p>
        </w:tc>
      </w:tr>
    </w:tbl>
    <w:p w14:paraId="4BC868F7" w14:textId="77777777" w:rsidR="009C178C" w:rsidRPr="003458DC" w:rsidRDefault="009C178C" w:rsidP="009C178C">
      <w:pPr>
        <w:spacing w:before="120"/>
        <w:rPr>
          <w:b/>
          <w:bCs/>
          <w:sz w:val="24"/>
          <w:szCs w:val="24"/>
        </w:rPr>
      </w:pPr>
      <w:r w:rsidRPr="00593237">
        <w:rPr>
          <w:b/>
          <w:bCs/>
          <w:sz w:val="24"/>
          <w:szCs w:val="24"/>
        </w:rPr>
        <w:t>Conference of the Parties</w:t>
      </w:r>
    </w:p>
    <w:p w14:paraId="4BC868F8" w14:textId="2FD289D5" w:rsidR="009C178C" w:rsidRPr="003458DC" w:rsidRDefault="009C178C" w:rsidP="003458DC">
      <w:pPr>
        <w:spacing w:before="240" w:after="120"/>
        <w:ind w:left="1134" w:right="1134" w:firstLine="6"/>
        <w:rPr>
          <w:b/>
          <w:bCs/>
          <w:sz w:val="28"/>
          <w:szCs w:val="24"/>
        </w:rPr>
      </w:pPr>
      <w:r w:rsidRPr="003458DC">
        <w:rPr>
          <w:b/>
          <w:bCs/>
          <w:sz w:val="28"/>
          <w:szCs w:val="24"/>
        </w:rPr>
        <w:t xml:space="preserve">Report of the Conference of the Parties on its twenty-first session, held in Paris from 30 November to </w:t>
      </w:r>
      <w:r w:rsidR="000D600D" w:rsidRPr="003458DC">
        <w:rPr>
          <w:b/>
          <w:bCs/>
          <w:sz w:val="28"/>
          <w:szCs w:val="24"/>
        </w:rPr>
        <w:t xml:space="preserve">13 </w:t>
      </w:r>
      <w:r w:rsidRPr="003458DC">
        <w:rPr>
          <w:b/>
          <w:bCs/>
          <w:sz w:val="28"/>
          <w:szCs w:val="24"/>
        </w:rPr>
        <w:t>December 2015</w:t>
      </w:r>
    </w:p>
    <w:p w14:paraId="4BC868F9" w14:textId="67B75E20" w:rsidR="009C178C" w:rsidRPr="003458DC" w:rsidRDefault="009C178C" w:rsidP="003458DC">
      <w:pPr>
        <w:spacing w:before="240" w:after="120"/>
        <w:rPr>
          <w:b/>
          <w:bCs/>
          <w:sz w:val="24"/>
          <w:szCs w:val="24"/>
        </w:rPr>
      </w:pPr>
      <w:r w:rsidRPr="003458DC">
        <w:rPr>
          <w:b/>
          <w:bCs/>
          <w:sz w:val="24"/>
          <w:szCs w:val="24"/>
        </w:rPr>
        <w:tab/>
      </w:r>
      <w:r w:rsidR="003458DC">
        <w:rPr>
          <w:b/>
          <w:bCs/>
          <w:sz w:val="24"/>
          <w:szCs w:val="24"/>
        </w:rPr>
        <w:tab/>
      </w:r>
      <w:r w:rsidRPr="003458DC">
        <w:rPr>
          <w:b/>
          <w:bCs/>
          <w:sz w:val="24"/>
          <w:szCs w:val="24"/>
        </w:rPr>
        <w:t>Addendum</w:t>
      </w:r>
    </w:p>
    <w:p w14:paraId="4BC868FA" w14:textId="4A3EDE8A" w:rsidR="009C178C" w:rsidRPr="003458DC" w:rsidRDefault="009C178C" w:rsidP="003458DC">
      <w:pPr>
        <w:spacing w:before="240" w:after="240"/>
        <w:ind w:left="1134" w:right="851"/>
        <w:rPr>
          <w:b/>
          <w:bCs/>
          <w:sz w:val="28"/>
          <w:szCs w:val="24"/>
        </w:rPr>
      </w:pPr>
      <w:r w:rsidRPr="003458DC">
        <w:rPr>
          <w:b/>
          <w:bCs/>
          <w:sz w:val="28"/>
          <w:szCs w:val="24"/>
        </w:rPr>
        <w:t>Part two: Action taken by the Conference of the Parties at its twenty-first session</w:t>
      </w:r>
    </w:p>
    <w:p w14:paraId="4BC868FB" w14:textId="77777777" w:rsidR="009C178C" w:rsidRPr="003458DC" w:rsidRDefault="009C178C" w:rsidP="003458DC">
      <w:pPr>
        <w:spacing w:before="120"/>
        <w:rPr>
          <w:bCs/>
          <w:sz w:val="28"/>
          <w:szCs w:val="24"/>
        </w:rPr>
      </w:pPr>
      <w:r w:rsidRPr="003458DC">
        <w:rPr>
          <w:bCs/>
          <w:sz w:val="28"/>
          <w:szCs w:val="24"/>
        </w:rPr>
        <w:t>Contents</w:t>
      </w:r>
    </w:p>
    <w:p w14:paraId="4BC868FC" w14:textId="77777777" w:rsidR="009C178C" w:rsidRPr="003458DC" w:rsidRDefault="009C178C" w:rsidP="003458DC">
      <w:pPr>
        <w:spacing w:before="240" w:after="240"/>
        <w:rPr>
          <w:b/>
          <w:bCs/>
          <w:sz w:val="28"/>
          <w:szCs w:val="24"/>
        </w:rPr>
      </w:pPr>
      <w:r w:rsidRPr="003458DC">
        <w:rPr>
          <w:b/>
          <w:bCs/>
          <w:sz w:val="28"/>
          <w:szCs w:val="24"/>
        </w:rPr>
        <w:tab/>
      </w:r>
      <w:r w:rsidRPr="003458DC">
        <w:rPr>
          <w:b/>
          <w:bCs/>
          <w:sz w:val="28"/>
          <w:szCs w:val="24"/>
        </w:rPr>
        <w:tab/>
        <w:t>Decisions adopted by the Conference of the Parties</w:t>
      </w:r>
    </w:p>
    <w:p w14:paraId="4BC868FD" w14:textId="77777777" w:rsidR="009C178C" w:rsidRDefault="009C178C" w:rsidP="009C178C">
      <w:pPr>
        <w:tabs>
          <w:tab w:val="right" w:pos="8929"/>
          <w:tab w:val="right" w:pos="9638"/>
        </w:tabs>
        <w:spacing w:after="120"/>
        <w:ind w:left="1134"/>
      </w:pPr>
      <w:r>
        <w:rPr>
          <w:i/>
          <w:sz w:val="18"/>
        </w:rPr>
        <w:t>Decision</w:t>
      </w:r>
      <w:r>
        <w:rPr>
          <w:i/>
          <w:sz w:val="18"/>
        </w:rPr>
        <w:tab/>
      </w:r>
      <w:r>
        <w:rPr>
          <w:i/>
          <w:sz w:val="18"/>
        </w:rPr>
        <w:tab/>
        <w:t>Page</w:t>
      </w:r>
    </w:p>
    <w:p w14:paraId="4BC868FE" w14:textId="2E10DD0F" w:rsidR="002E0E55" w:rsidRDefault="009C178C" w:rsidP="002E0E55">
      <w:pPr>
        <w:tabs>
          <w:tab w:val="right" w:pos="850"/>
          <w:tab w:val="left" w:pos="1134"/>
          <w:tab w:val="left" w:pos="1559"/>
          <w:tab w:val="left" w:pos="2268"/>
          <w:tab w:val="right" w:leader="dot" w:pos="8929"/>
          <w:tab w:val="right" w:pos="9638"/>
        </w:tabs>
        <w:spacing w:after="120"/>
        <w:ind w:left="2265" w:hanging="2265"/>
      </w:pPr>
      <w:r>
        <w:tab/>
      </w:r>
      <w:r>
        <w:tab/>
      </w:r>
      <w:r w:rsidR="002E0E55">
        <w:t>14/CP.21</w:t>
      </w:r>
      <w:r w:rsidR="002E0E55">
        <w:tab/>
        <w:t>Capacity-building under the Convention</w:t>
      </w:r>
      <w:r w:rsidR="002E0E55">
        <w:tab/>
      </w:r>
      <w:r w:rsidR="002E0E55">
        <w:tab/>
      </w:r>
      <w:r w:rsidR="00EC6DB3">
        <w:t>2</w:t>
      </w:r>
    </w:p>
    <w:p w14:paraId="4BC868FF" w14:textId="3EB67CE1" w:rsidR="009C178C" w:rsidRDefault="002E0E55" w:rsidP="009C178C">
      <w:pPr>
        <w:tabs>
          <w:tab w:val="right" w:pos="850"/>
          <w:tab w:val="left" w:pos="1134"/>
          <w:tab w:val="left" w:pos="1559"/>
          <w:tab w:val="left" w:pos="2268"/>
          <w:tab w:val="right" w:leader="dot" w:pos="8929"/>
          <w:tab w:val="right" w:pos="9638"/>
        </w:tabs>
        <w:spacing w:after="120"/>
        <w:ind w:left="2265" w:hanging="2265"/>
      </w:pPr>
      <w:r>
        <w:tab/>
      </w:r>
      <w:r>
        <w:tab/>
      </w:r>
      <w:r w:rsidR="009C178C">
        <w:t>1</w:t>
      </w:r>
      <w:r>
        <w:t>5</w:t>
      </w:r>
      <w:r w:rsidR="009C178C">
        <w:t>/CP.21</w:t>
      </w:r>
      <w:r w:rsidR="009C178C">
        <w:tab/>
      </w:r>
      <w:r w:rsidR="009C178C">
        <w:rPr>
          <w:szCs w:val="28"/>
        </w:rPr>
        <w:t xml:space="preserve">Terms of reference for the intermediate review of </w:t>
      </w:r>
      <w:r w:rsidR="00EC6DB3">
        <w:rPr>
          <w:szCs w:val="28"/>
        </w:rPr>
        <w:t xml:space="preserve">the </w:t>
      </w:r>
      <w:r w:rsidR="009C178C">
        <w:rPr>
          <w:szCs w:val="28"/>
        </w:rPr>
        <w:t>Doha work programme on</w:t>
      </w:r>
      <w:r w:rsidR="009C178C">
        <w:rPr>
          <w:szCs w:val="28"/>
        </w:rPr>
        <w:br/>
        <w:t>Article 6 of the Convention</w:t>
      </w:r>
      <w:r w:rsidR="009C178C">
        <w:tab/>
      </w:r>
      <w:r w:rsidR="009C178C">
        <w:tab/>
      </w:r>
      <w:r w:rsidR="00EC6DB3">
        <w:t>7</w:t>
      </w:r>
    </w:p>
    <w:p w14:paraId="4BC86900" w14:textId="2D63A580" w:rsidR="009C178C" w:rsidRDefault="009C178C" w:rsidP="009C178C">
      <w:pPr>
        <w:tabs>
          <w:tab w:val="right" w:pos="850"/>
          <w:tab w:val="left" w:pos="1134"/>
          <w:tab w:val="left" w:pos="1559"/>
          <w:tab w:val="left" w:pos="2268"/>
          <w:tab w:val="right" w:leader="dot" w:pos="8929"/>
          <w:tab w:val="right" w:pos="9638"/>
        </w:tabs>
        <w:spacing w:after="120"/>
        <w:ind w:left="2265" w:hanging="2265"/>
      </w:pPr>
      <w:r>
        <w:tab/>
      </w:r>
      <w:r>
        <w:tab/>
        <w:t>16/CP.21</w:t>
      </w:r>
      <w:r>
        <w:tab/>
        <w:t>Alternative policy approaches, such as joint mitigation and adaptation approaches</w:t>
      </w:r>
      <w:r>
        <w:br/>
        <w:t>for the integral and sustainable management of forests</w:t>
      </w:r>
      <w:r>
        <w:tab/>
      </w:r>
      <w:r>
        <w:tab/>
      </w:r>
      <w:r w:rsidR="00EC6DB3">
        <w:t>11</w:t>
      </w:r>
    </w:p>
    <w:p w14:paraId="4BC86901" w14:textId="74EEE00C" w:rsidR="009C178C" w:rsidRDefault="009C178C" w:rsidP="009C178C">
      <w:pPr>
        <w:tabs>
          <w:tab w:val="right" w:pos="850"/>
          <w:tab w:val="left" w:pos="1134"/>
          <w:tab w:val="left" w:pos="1559"/>
          <w:tab w:val="left" w:pos="2268"/>
          <w:tab w:val="right" w:leader="dot" w:pos="8929"/>
          <w:tab w:val="right" w:pos="9638"/>
        </w:tabs>
        <w:spacing w:after="120"/>
        <w:ind w:left="2265" w:hanging="2265"/>
      </w:pPr>
      <w:r>
        <w:tab/>
      </w:r>
      <w:r>
        <w:tab/>
        <w:t>17/CP.21</w:t>
      </w:r>
      <w:r>
        <w:tab/>
        <w:t>Further guidance on ensuring transparency, consistency, comprehensiveness and</w:t>
      </w:r>
      <w:r>
        <w:br/>
        <w:t>effectiveness when informing on how all the safeguards referred to in decision</w:t>
      </w:r>
      <w:r>
        <w:br/>
        <w:t xml:space="preserve">1/CP.16, </w:t>
      </w:r>
      <w:r w:rsidR="00A708FB">
        <w:t>a</w:t>
      </w:r>
      <w:r>
        <w:t>ppendix I, are being addressed and respected</w:t>
      </w:r>
      <w:r>
        <w:tab/>
      </w:r>
      <w:r>
        <w:tab/>
      </w:r>
      <w:r w:rsidR="00EC6DB3">
        <w:t>13</w:t>
      </w:r>
    </w:p>
    <w:p w14:paraId="4BC86902" w14:textId="174A195B" w:rsidR="009C178C" w:rsidRDefault="009C178C" w:rsidP="009C178C">
      <w:pPr>
        <w:tabs>
          <w:tab w:val="right" w:pos="850"/>
          <w:tab w:val="left" w:pos="1134"/>
          <w:tab w:val="left" w:pos="1559"/>
          <w:tab w:val="left" w:pos="2268"/>
          <w:tab w:val="right" w:leader="dot" w:pos="8929"/>
          <w:tab w:val="right" w:pos="9638"/>
        </w:tabs>
        <w:spacing w:after="120"/>
        <w:ind w:left="2265" w:hanging="2265"/>
      </w:pPr>
      <w:r>
        <w:tab/>
      </w:r>
      <w:r>
        <w:tab/>
        <w:t>18/CP.21</w:t>
      </w:r>
      <w:r>
        <w:tab/>
        <w:t xml:space="preserve">Methodological issues related to non-carbon benefits resulting from the </w:t>
      </w:r>
      <w:r>
        <w:br/>
        <w:t>implementation of the activities referred to in decision 1/CP.16, paragraph 70</w:t>
      </w:r>
      <w:r>
        <w:tab/>
      </w:r>
      <w:r>
        <w:tab/>
      </w:r>
      <w:r w:rsidR="00EC6DB3">
        <w:t>15</w:t>
      </w:r>
    </w:p>
    <w:p w14:paraId="4BC86903" w14:textId="18488B87" w:rsidR="009C178C" w:rsidRDefault="009C178C" w:rsidP="009C178C">
      <w:pPr>
        <w:tabs>
          <w:tab w:val="right" w:pos="850"/>
          <w:tab w:val="left" w:pos="1134"/>
          <w:tab w:val="left" w:pos="1559"/>
          <w:tab w:val="left" w:pos="2268"/>
          <w:tab w:val="right" w:leader="dot" w:pos="8929"/>
          <w:tab w:val="right" w:pos="9638"/>
        </w:tabs>
        <w:spacing w:after="120"/>
        <w:ind w:left="2265" w:hanging="2265"/>
      </w:pPr>
      <w:r>
        <w:tab/>
      </w:r>
      <w:r>
        <w:tab/>
        <w:t>19/CP.21</w:t>
      </w:r>
      <w:r>
        <w:tab/>
        <w:t>Extension of the mandate of the Least Developed Countries Expert Group</w:t>
      </w:r>
      <w:r>
        <w:tab/>
      </w:r>
      <w:r>
        <w:tab/>
      </w:r>
      <w:r w:rsidR="00EC6DB3">
        <w:t>16</w:t>
      </w:r>
    </w:p>
    <w:p w14:paraId="4BC86904" w14:textId="4C17F63D" w:rsidR="009C178C" w:rsidRDefault="009C178C" w:rsidP="009C178C">
      <w:pPr>
        <w:tabs>
          <w:tab w:val="right" w:pos="850"/>
          <w:tab w:val="left" w:pos="1134"/>
          <w:tab w:val="left" w:pos="1559"/>
          <w:tab w:val="left" w:pos="2268"/>
          <w:tab w:val="right" w:leader="dot" w:pos="8929"/>
          <w:tab w:val="right" w:pos="9638"/>
        </w:tabs>
        <w:spacing w:after="120"/>
        <w:ind w:left="2265" w:hanging="2265"/>
      </w:pPr>
      <w:r>
        <w:tab/>
      </w:r>
      <w:r>
        <w:tab/>
        <w:t>2</w:t>
      </w:r>
      <w:r w:rsidR="002E0E55">
        <w:t>0</w:t>
      </w:r>
      <w:r>
        <w:t>/CP.21</w:t>
      </w:r>
      <w:r>
        <w:tab/>
        <w:t xml:space="preserve">Technical review in 2016 of greenhouse gas inventories from Parties included in </w:t>
      </w:r>
      <w:r>
        <w:br/>
        <w:t>Annex I to the Convention</w:t>
      </w:r>
      <w:r>
        <w:tab/>
      </w:r>
      <w:r>
        <w:tab/>
      </w:r>
      <w:r w:rsidR="00EC6DB3">
        <w:t>19</w:t>
      </w:r>
    </w:p>
    <w:p w14:paraId="4BC86905" w14:textId="7A2B1ECF" w:rsidR="009C178C" w:rsidRDefault="009C178C" w:rsidP="009C178C">
      <w:pPr>
        <w:tabs>
          <w:tab w:val="right" w:pos="850"/>
          <w:tab w:val="left" w:pos="1134"/>
          <w:tab w:val="left" w:pos="1559"/>
          <w:tab w:val="left" w:pos="2268"/>
          <w:tab w:val="right" w:leader="dot" w:pos="8929"/>
          <w:tab w:val="right" w:pos="9638"/>
        </w:tabs>
        <w:spacing w:after="120"/>
        <w:ind w:left="2265" w:hanging="2265"/>
      </w:pPr>
      <w:r>
        <w:tab/>
      </w:r>
      <w:r>
        <w:tab/>
        <w:t>2</w:t>
      </w:r>
      <w:r w:rsidR="002E0E55">
        <w:t>1</w:t>
      </w:r>
      <w:r>
        <w:t>/CP.21</w:t>
      </w:r>
      <w:r>
        <w:tab/>
        <w:t>Administrative, financial and institutional matters</w:t>
      </w:r>
      <w:r>
        <w:tab/>
      </w:r>
      <w:r>
        <w:tab/>
      </w:r>
      <w:r w:rsidR="00EC6DB3">
        <w:t>20</w:t>
      </w:r>
    </w:p>
    <w:p w14:paraId="4BC86906" w14:textId="529AD3E4" w:rsidR="009C178C" w:rsidRDefault="009C178C" w:rsidP="009C178C">
      <w:pPr>
        <w:tabs>
          <w:tab w:val="right" w:pos="850"/>
          <w:tab w:val="left" w:pos="1134"/>
          <w:tab w:val="left" w:pos="1559"/>
          <w:tab w:val="left" w:pos="2268"/>
          <w:tab w:val="right" w:leader="dot" w:pos="8929"/>
          <w:tab w:val="right" w:pos="9638"/>
        </w:tabs>
        <w:spacing w:after="120"/>
        <w:ind w:left="2265" w:hanging="2265"/>
      </w:pPr>
      <w:r>
        <w:tab/>
      </w:r>
      <w:r>
        <w:tab/>
        <w:t>2</w:t>
      </w:r>
      <w:r w:rsidR="002E0E55">
        <w:t>2</w:t>
      </w:r>
      <w:r>
        <w:t>/CP.21</w:t>
      </w:r>
      <w:r>
        <w:tab/>
        <w:t>Programme budget for the biennium 2016–2017</w:t>
      </w:r>
      <w:r>
        <w:tab/>
      </w:r>
      <w:r>
        <w:tab/>
      </w:r>
      <w:r w:rsidR="00EC6DB3">
        <w:t>22</w:t>
      </w:r>
    </w:p>
    <w:p w14:paraId="4BC86907" w14:textId="202F68C9" w:rsidR="009C178C" w:rsidRDefault="009C178C" w:rsidP="009C178C">
      <w:pPr>
        <w:tabs>
          <w:tab w:val="right" w:pos="850"/>
          <w:tab w:val="left" w:pos="1134"/>
          <w:tab w:val="left" w:pos="1559"/>
          <w:tab w:val="left" w:pos="2268"/>
          <w:tab w:val="right" w:leader="dot" w:pos="8929"/>
          <w:tab w:val="right" w:pos="9638"/>
        </w:tabs>
        <w:spacing w:after="120"/>
        <w:ind w:left="2265" w:hanging="2265"/>
      </w:pPr>
      <w:r>
        <w:tab/>
      </w:r>
      <w:r>
        <w:tab/>
        <w:t>2</w:t>
      </w:r>
      <w:r w:rsidR="002E0E55">
        <w:t>3</w:t>
      </w:r>
      <w:r>
        <w:t>/CP.21</w:t>
      </w:r>
      <w:r>
        <w:tab/>
        <w:t xml:space="preserve">Dates and venues </w:t>
      </w:r>
      <w:r w:rsidR="00EC6DB3">
        <w:t>of</w:t>
      </w:r>
      <w:r>
        <w:t xml:space="preserve"> future sessions</w:t>
      </w:r>
      <w:r>
        <w:tab/>
      </w:r>
      <w:r>
        <w:tab/>
      </w:r>
      <w:r w:rsidR="00EC6DB3">
        <w:t>33</w:t>
      </w:r>
    </w:p>
    <w:p w14:paraId="4BC86908" w14:textId="77777777" w:rsidR="009C178C" w:rsidRPr="0025657E" w:rsidRDefault="009C178C" w:rsidP="009C178C">
      <w:pPr>
        <w:tabs>
          <w:tab w:val="right" w:pos="850"/>
          <w:tab w:val="left" w:pos="1134"/>
          <w:tab w:val="left" w:pos="1559"/>
          <w:tab w:val="left" w:pos="2268"/>
          <w:tab w:val="right" w:leader="dot" w:pos="8929"/>
          <w:tab w:val="right" w:pos="9638"/>
        </w:tabs>
        <w:spacing w:after="120"/>
        <w:rPr>
          <w:i/>
        </w:rPr>
      </w:pPr>
      <w:r>
        <w:rPr>
          <w:i/>
        </w:rPr>
        <w:tab/>
      </w:r>
      <w:r>
        <w:rPr>
          <w:i/>
        </w:rPr>
        <w:tab/>
      </w:r>
      <w:r w:rsidRPr="0025657E">
        <w:rPr>
          <w:i/>
        </w:rPr>
        <w:t>Resolution</w:t>
      </w:r>
    </w:p>
    <w:p w14:paraId="4BC86909" w14:textId="0A8F258A" w:rsidR="009C178C" w:rsidRDefault="009C178C" w:rsidP="009C178C">
      <w:pPr>
        <w:tabs>
          <w:tab w:val="right" w:pos="850"/>
          <w:tab w:val="left" w:pos="1134"/>
          <w:tab w:val="left" w:pos="1559"/>
          <w:tab w:val="left" w:pos="2268"/>
          <w:tab w:val="right" w:leader="dot" w:pos="8929"/>
          <w:tab w:val="right" w:pos="9638"/>
        </w:tabs>
        <w:spacing w:after="120"/>
        <w:ind w:left="2265" w:hanging="2265"/>
      </w:pPr>
      <w:r w:rsidRPr="0025657E">
        <w:tab/>
      </w:r>
      <w:r w:rsidRPr="0025657E">
        <w:tab/>
        <w:t>1/CP.2</w:t>
      </w:r>
      <w:r>
        <w:t>1</w:t>
      </w:r>
      <w:r w:rsidRPr="0025657E">
        <w:tab/>
        <w:t>Expression</w:t>
      </w:r>
      <w:r>
        <w:t xml:space="preserve"> of gratitude to the Government of the </w:t>
      </w:r>
      <w:r w:rsidR="00EC6DB3">
        <w:t xml:space="preserve">French </w:t>
      </w:r>
      <w:r>
        <w:t xml:space="preserve">Republic and the </w:t>
      </w:r>
      <w:r>
        <w:br/>
        <w:t>people of the city of Paris</w:t>
      </w:r>
      <w:r>
        <w:tab/>
      </w:r>
      <w:r>
        <w:tab/>
      </w:r>
      <w:r w:rsidR="00EC6DB3">
        <w:t>35</w:t>
      </w:r>
    </w:p>
    <w:p w14:paraId="4BC8690A" w14:textId="77777777" w:rsidR="009C178C" w:rsidRDefault="009C178C" w:rsidP="00C24427">
      <w:pPr>
        <w:sectPr w:rsidR="009C178C" w:rsidSect="00877754">
          <w:headerReference w:type="even" r:id="rId13"/>
          <w:headerReference w:type="default" r:id="rId14"/>
          <w:footerReference w:type="even" r:id="rId15"/>
          <w:footerReference w:type="default" r:id="rId16"/>
          <w:headerReference w:type="first" r:id="rId17"/>
          <w:footnotePr>
            <w:numRestart w:val="eachSect"/>
          </w:footnotePr>
          <w:pgSz w:w="11906" w:h="16838" w:code="9"/>
          <w:pgMar w:top="1701" w:right="1134" w:bottom="2268" w:left="1134" w:header="1134" w:footer="1701" w:gutter="0"/>
          <w:cols w:space="708"/>
          <w:titlePg/>
          <w:docGrid w:linePitch="360"/>
        </w:sectPr>
      </w:pPr>
    </w:p>
    <w:p w14:paraId="4BC8690B" w14:textId="77777777" w:rsidR="002E0E55" w:rsidRDefault="002E0E55" w:rsidP="002E0E55">
      <w:pPr>
        <w:pStyle w:val="HChG"/>
        <w:ind w:firstLine="0"/>
        <w:rPr>
          <w:bCs/>
        </w:rPr>
      </w:pPr>
      <w:r>
        <w:rPr>
          <w:bCs/>
        </w:rPr>
        <w:lastRenderedPageBreak/>
        <w:t>Decision 14/CP.21</w:t>
      </w:r>
    </w:p>
    <w:p w14:paraId="4BC8690C" w14:textId="77777777" w:rsidR="002E0E55" w:rsidRDefault="002E0E55" w:rsidP="002E0E55">
      <w:pPr>
        <w:pStyle w:val="HChG"/>
      </w:pPr>
      <w:r>
        <w:tab/>
      </w:r>
      <w:r>
        <w:tab/>
        <w:t>Capacity-building under the Convention</w:t>
      </w:r>
    </w:p>
    <w:p w14:paraId="4BC8690D" w14:textId="77777777" w:rsidR="002E0E55" w:rsidRPr="006561E1" w:rsidRDefault="002E0E55" w:rsidP="002E0E55">
      <w:pPr>
        <w:spacing w:after="120"/>
        <w:ind w:left="1134" w:right="1134" w:firstLine="567"/>
        <w:jc w:val="both"/>
        <w:rPr>
          <w:rFonts w:eastAsia="Times New Roman"/>
          <w:i/>
          <w:lang w:val="en-US" w:eastAsia="en-US"/>
        </w:rPr>
      </w:pPr>
      <w:r w:rsidRPr="006561E1">
        <w:rPr>
          <w:rFonts w:eastAsia="Times New Roman"/>
          <w:i/>
          <w:lang w:val="en-US" w:eastAsia="en-US"/>
        </w:rPr>
        <w:t>The Conference of the Parties</w:t>
      </w:r>
      <w:r w:rsidRPr="006561E1">
        <w:rPr>
          <w:rFonts w:eastAsia="Times New Roman"/>
          <w:lang w:val="en-US" w:eastAsia="en-US"/>
        </w:rPr>
        <w:t>,</w:t>
      </w:r>
    </w:p>
    <w:p w14:paraId="4BC8690E" w14:textId="77777777" w:rsidR="002E0E55" w:rsidRPr="006561E1" w:rsidRDefault="002E0E55" w:rsidP="002E0E55">
      <w:pPr>
        <w:tabs>
          <w:tab w:val="left" w:pos="1701"/>
        </w:tabs>
        <w:spacing w:after="120"/>
        <w:ind w:left="1135" w:right="1134"/>
        <w:jc w:val="both"/>
        <w:rPr>
          <w:szCs w:val="22"/>
          <w:lang w:val="en-AU"/>
        </w:rPr>
      </w:pPr>
      <w:r w:rsidRPr="006561E1">
        <w:rPr>
          <w:lang w:val="en-US"/>
        </w:rPr>
        <w:tab/>
      </w:r>
      <w:r w:rsidRPr="006561E1">
        <w:rPr>
          <w:i/>
        </w:rPr>
        <w:t>Recalling</w:t>
      </w:r>
      <w:r w:rsidRPr="006561E1">
        <w:t xml:space="preserve"> decisions </w:t>
      </w:r>
      <w:r w:rsidRPr="00A064E2">
        <w:t>2/CP.7</w:t>
      </w:r>
      <w:r>
        <w:t xml:space="preserve">, </w:t>
      </w:r>
      <w:r w:rsidRPr="006561E1">
        <w:t>4/CP.12, 1/CP.16</w:t>
      </w:r>
      <w:r>
        <w:t>,</w:t>
      </w:r>
      <w:r w:rsidRPr="006561E1">
        <w:t xml:space="preserve"> 2/CP.17 and 1/CP.18</w:t>
      </w:r>
      <w:r>
        <w:rPr>
          <w:szCs w:val="22"/>
          <w:lang w:val="en-AU"/>
        </w:rPr>
        <w:t>,</w:t>
      </w:r>
    </w:p>
    <w:p w14:paraId="4BC8690F" w14:textId="7A9DF3CF" w:rsidR="002E0E55" w:rsidRPr="003C3C75" w:rsidRDefault="00C421F9" w:rsidP="00C421F9">
      <w:pPr>
        <w:tabs>
          <w:tab w:val="left" w:pos="568"/>
          <w:tab w:val="left" w:pos="1701"/>
        </w:tabs>
        <w:spacing w:after="120"/>
        <w:ind w:left="1135" w:right="1134"/>
        <w:jc w:val="both"/>
        <w:rPr>
          <w:szCs w:val="22"/>
          <w:lang w:val="en-AU"/>
        </w:rPr>
      </w:pPr>
      <w:r w:rsidRPr="003C3C75">
        <w:rPr>
          <w:szCs w:val="22"/>
          <w:lang w:val="en-AU"/>
        </w:rPr>
        <w:t>1.</w:t>
      </w:r>
      <w:r w:rsidRPr="003C3C75">
        <w:rPr>
          <w:szCs w:val="22"/>
          <w:lang w:val="en-AU"/>
        </w:rPr>
        <w:tab/>
      </w:r>
      <w:r w:rsidR="002E0E55" w:rsidRPr="006561E1">
        <w:rPr>
          <w:i/>
        </w:rPr>
        <w:t xml:space="preserve">Adopts </w:t>
      </w:r>
      <w:r w:rsidR="002E0E55" w:rsidRPr="006561E1">
        <w:t xml:space="preserve">the terms of reference for the third comprehensive review of the </w:t>
      </w:r>
      <w:r w:rsidR="002E0E55" w:rsidRPr="003C3C75">
        <w:t xml:space="preserve">implementation of the framework for capacity-building in developing countries established under </w:t>
      </w:r>
      <w:r w:rsidR="002E0E55" w:rsidRPr="00656405">
        <w:t>decision 2/CP.7</w:t>
      </w:r>
      <w:r w:rsidR="002E0E55" w:rsidRPr="003C3C75">
        <w:t xml:space="preserve"> (hereinafter referred to as the capacity-building framework) as contained in the annex;</w:t>
      </w:r>
    </w:p>
    <w:p w14:paraId="4BC86910" w14:textId="6B4CC13B" w:rsidR="002E0E55" w:rsidRPr="006561E1" w:rsidRDefault="00C421F9" w:rsidP="00C421F9">
      <w:pPr>
        <w:tabs>
          <w:tab w:val="left" w:pos="568"/>
          <w:tab w:val="left" w:pos="1701"/>
        </w:tabs>
        <w:spacing w:after="120"/>
        <w:ind w:left="1135" w:right="1134"/>
        <w:jc w:val="both"/>
        <w:rPr>
          <w:szCs w:val="22"/>
          <w:lang w:val="en-AU"/>
        </w:rPr>
      </w:pPr>
      <w:r w:rsidRPr="006561E1">
        <w:rPr>
          <w:szCs w:val="22"/>
          <w:lang w:val="en-AU"/>
        </w:rPr>
        <w:t>2.</w:t>
      </w:r>
      <w:r w:rsidRPr="006561E1">
        <w:rPr>
          <w:szCs w:val="22"/>
          <w:lang w:val="en-AU"/>
        </w:rPr>
        <w:tab/>
      </w:r>
      <w:r w:rsidR="002E0E55" w:rsidRPr="006561E1">
        <w:rPr>
          <w:i/>
          <w:szCs w:val="22"/>
          <w:lang w:val="en-AU"/>
        </w:rPr>
        <w:t xml:space="preserve">Requests </w:t>
      </w:r>
      <w:r w:rsidR="002E0E55" w:rsidRPr="006561E1">
        <w:t>the</w:t>
      </w:r>
      <w:r w:rsidR="002E0E55" w:rsidRPr="006561E1">
        <w:rPr>
          <w:szCs w:val="22"/>
          <w:lang w:val="en-AU"/>
        </w:rPr>
        <w:t xml:space="preserve"> </w:t>
      </w:r>
      <w:r w:rsidR="002E0E55" w:rsidRPr="006561E1">
        <w:t>Subsidiary</w:t>
      </w:r>
      <w:r w:rsidR="002E0E55" w:rsidRPr="006561E1">
        <w:rPr>
          <w:szCs w:val="22"/>
          <w:lang w:val="en-AU"/>
        </w:rPr>
        <w:t xml:space="preserve"> Body for Implementation to conduct the comprehensive review </w:t>
      </w:r>
      <w:r w:rsidR="000E7C0D">
        <w:rPr>
          <w:szCs w:val="22"/>
          <w:lang w:val="en-AU"/>
        </w:rPr>
        <w:t xml:space="preserve">of the implementation of the capacity-building framework </w:t>
      </w:r>
      <w:r w:rsidR="002E0E55" w:rsidRPr="006561E1">
        <w:rPr>
          <w:szCs w:val="22"/>
          <w:lang w:val="en-AU"/>
        </w:rPr>
        <w:t>at its forty-</w:t>
      </w:r>
      <w:r w:rsidR="002E0E55" w:rsidRPr="006561E1">
        <w:rPr>
          <w:rFonts w:eastAsia="Malgun Gothic" w:hint="eastAsia"/>
          <w:szCs w:val="22"/>
          <w:lang w:val="en-AU" w:eastAsia="ko-KR"/>
        </w:rPr>
        <w:t>fourth</w:t>
      </w:r>
      <w:r w:rsidR="002E0E55" w:rsidRPr="006561E1">
        <w:rPr>
          <w:szCs w:val="22"/>
          <w:lang w:val="en-AU"/>
        </w:rPr>
        <w:t xml:space="preserve"> session</w:t>
      </w:r>
      <w:r w:rsidR="002E0E55">
        <w:rPr>
          <w:szCs w:val="22"/>
          <w:lang w:val="en-AU"/>
        </w:rPr>
        <w:t xml:space="preserve"> (May 2016)</w:t>
      </w:r>
      <w:r w:rsidR="002E0E55" w:rsidRPr="006561E1">
        <w:rPr>
          <w:szCs w:val="22"/>
          <w:lang w:val="en-AU"/>
        </w:rPr>
        <w:t xml:space="preserve"> </w:t>
      </w:r>
      <w:r w:rsidR="002E0E55">
        <w:rPr>
          <w:szCs w:val="22"/>
          <w:lang w:val="en-AU"/>
        </w:rPr>
        <w:t>on the basis of</w:t>
      </w:r>
      <w:r w:rsidR="002E0E55" w:rsidRPr="006561E1">
        <w:rPr>
          <w:szCs w:val="22"/>
          <w:lang w:val="en-AU"/>
        </w:rPr>
        <w:t xml:space="preserve"> the terms of reference referred to in paragraph </w:t>
      </w:r>
      <w:r w:rsidR="002E0E55" w:rsidRPr="006561E1">
        <w:rPr>
          <w:rFonts w:eastAsia="Malgun Gothic"/>
          <w:szCs w:val="22"/>
          <w:lang w:val="en-AU" w:eastAsia="ko-KR"/>
        </w:rPr>
        <w:t>1</w:t>
      </w:r>
      <w:r w:rsidR="002E0E55" w:rsidRPr="006561E1">
        <w:rPr>
          <w:szCs w:val="22"/>
          <w:lang w:val="en-AU"/>
        </w:rPr>
        <w:t xml:space="preserve"> above</w:t>
      </w:r>
      <w:r w:rsidR="002E0E55">
        <w:rPr>
          <w:szCs w:val="22"/>
          <w:lang w:val="en-AU"/>
        </w:rPr>
        <w:t>,</w:t>
      </w:r>
      <w:r w:rsidR="002E0E55" w:rsidRPr="006561E1">
        <w:rPr>
          <w:szCs w:val="22"/>
          <w:lang w:val="en-AU"/>
        </w:rPr>
        <w:t xml:space="preserve"> with a view to recommending a draft decision on this matter for consideration and adoption by the Conference of Partie</w:t>
      </w:r>
      <w:r w:rsidR="002E0E55">
        <w:rPr>
          <w:szCs w:val="22"/>
          <w:lang w:val="en-AU"/>
        </w:rPr>
        <w:t>s at its twenty-second session (November 2016);</w:t>
      </w:r>
    </w:p>
    <w:p w14:paraId="4BC86911" w14:textId="0CBDE026" w:rsidR="002E0E55" w:rsidRPr="006561E1" w:rsidRDefault="00C421F9" w:rsidP="00C421F9">
      <w:pPr>
        <w:tabs>
          <w:tab w:val="left" w:pos="568"/>
          <w:tab w:val="left" w:pos="1701"/>
        </w:tabs>
        <w:spacing w:after="120"/>
        <w:ind w:left="1135" w:right="1134"/>
        <w:jc w:val="both"/>
        <w:rPr>
          <w:szCs w:val="22"/>
          <w:lang w:val="en-AU"/>
        </w:rPr>
      </w:pPr>
      <w:r w:rsidRPr="006561E1">
        <w:rPr>
          <w:szCs w:val="22"/>
          <w:lang w:val="en-AU"/>
        </w:rPr>
        <w:t>3.</w:t>
      </w:r>
      <w:r w:rsidRPr="006561E1">
        <w:rPr>
          <w:szCs w:val="22"/>
          <w:lang w:val="en-AU"/>
        </w:rPr>
        <w:tab/>
      </w:r>
      <w:r w:rsidR="002E0E55">
        <w:rPr>
          <w:i/>
          <w:szCs w:val="22"/>
          <w:lang w:val="en-AU"/>
        </w:rPr>
        <w:t>Also</w:t>
      </w:r>
      <w:r w:rsidR="002E0E55" w:rsidRPr="006561E1">
        <w:rPr>
          <w:i/>
          <w:szCs w:val="22"/>
          <w:lang w:val="en-AU"/>
        </w:rPr>
        <w:t xml:space="preserve"> requests </w:t>
      </w:r>
      <w:r w:rsidR="002E0E55" w:rsidRPr="006561E1">
        <w:rPr>
          <w:szCs w:val="22"/>
          <w:lang w:val="en-AU"/>
        </w:rPr>
        <w:t xml:space="preserve">the </w:t>
      </w:r>
      <w:r w:rsidR="002E0E55" w:rsidRPr="006561E1">
        <w:t>secretariat</w:t>
      </w:r>
      <w:r w:rsidR="002E0E55" w:rsidRPr="006561E1">
        <w:rPr>
          <w:szCs w:val="22"/>
          <w:lang w:val="en-AU"/>
        </w:rPr>
        <w:t xml:space="preserve"> </w:t>
      </w:r>
      <w:r w:rsidR="002E0E55" w:rsidRPr="006561E1">
        <w:t>to</w:t>
      </w:r>
      <w:r w:rsidR="002E0E55" w:rsidRPr="006561E1">
        <w:rPr>
          <w:szCs w:val="22"/>
          <w:lang w:val="en-AU"/>
        </w:rPr>
        <w:t xml:space="preserve"> prepare a technical paper based on the terms of reference </w:t>
      </w:r>
      <w:r w:rsidR="002E0E55">
        <w:rPr>
          <w:szCs w:val="22"/>
          <w:lang w:val="en-AU"/>
        </w:rPr>
        <w:t xml:space="preserve">referred to in paragraph 1 above </w:t>
      </w:r>
      <w:r w:rsidR="002E0E55" w:rsidRPr="006561E1">
        <w:rPr>
          <w:szCs w:val="22"/>
          <w:lang w:val="en-AU"/>
        </w:rPr>
        <w:t>as input to the comprehensive review;</w:t>
      </w:r>
    </w:p>
    <w:p w14:paraId="4BC86912" w14:textId="036D21FF" w:rsidR="002E0E55" w:rsidRPr="006561E1" w:rsidRDefault="00C421F9" w:rsidP="00C421F9">
      <w:pPr>
        <w:tabs>
          <w:tab w:val="left" w:pos="568"/>
          <w:tab w:val="left" w:pos="1701"/>
        </w:tabs>
        <w:spacing w:after="120"/>
        <w:ind w:left="1135" w:right="1134"/>
        <w:jc w:val="both"/>
        <w:rPr>
          <w:lang w:val="en-AU"/>
        </w:rPr>
      </w:pPr>
      <w:r w:rsidRPr="006561E1">
        <w:rPr>
          <w:lang w:val="en-AU"/>
        </w:rPr>
        <w:t>4.</w:t>
      </w:r>
      <w:r w:rsidRPr="006561E1">
        <w:rPr>
          <w:lang w:val="en-AU"/>
        </w:rPr>
        <w:tab/>
      </w:r>
      <w:r w:rsidR="002E0E55" w:rsidRPr="006561E1">
        <w:rPr>
          <w:i/>
          <w:lang w:val="en-AU"/>
        </w:rPr>
        <w:t xml:space="preserve">Invites </w:t>
      </w:r>
      <w:r w:rsidR="002E0E55" w:rsidRPr="006561E1">
        <w:rPr>
          <w:lang w:val="en-AU"/>
        </w:rPr>
        <w:t xml:space="preserve">Parties and </w:t>
      </w:r>
      <w:r w:rsidR="002E0E55" w:rsidRPr="006561E1">
        <w:t>observer</w:t>
      </w:r>
      <w:r w:rsidR="002E0E55" w:rsidRPr="006561E1">
        <w:rPr>
          <w:lang w:val="en-AU"/>
        </w:rPr>
        <w:t xml:space="preserve"> organizations to submit their views on the comprehensive review by 9 March 2016</w:t>
      </w:r>
      <w:r w:rsidR="002E0E55" w:rsidRPr="00AC696C">
        <w:rPr>
          <w:sz w:val="18"/>
          <w:vertAlign w:val="superscript"/>
          <w:lang w:val="en-AU"/>
        </w:rPr>
        <w:footnoteReference w:id="2"/>
      </w:r>
      <w:r w:rsidR="002E0E55" w:rsidRPr="00AC696C">
        <w:rPr>
          <w:sz w:val="18"/>
          <w:lang w:val="en-AU"/>
        </w:rPr>
        <w:t xml:space="preserve"> </w:t>
      </w:r>
      <w:r w:rsidR="002E0E55" w:rsidRPr="006561E1">
        <w:rPr>
          <w:lang w:val="en-AU"/>
        </w:rPr>
        <w:t xml:space="preserve">for </w:t>
      </w:r>
      <w:r w:rsidR="002E0E55">
        <w:rPr>
          <w:lang w:val="en-AU"/>
        </w:rPr>
        <w:t xml:space="preserve">compilation by the secretariat </w:t>
      </w:r>
      <w:r w:rsidR="002E0E55" w:rsidRPr="006561E1">
        <w:rPr>
          <w:lang w:val="en-AU"/>
        </w:rPr>
        <w:t>in</w:t>
      </w:r>
      <w:r w:rsidR="002E0E55">
        <w:rPr>
          <w:lang w:val="en-AU"/>
        </w:rPr>
        <w:t>to</w:t>
      </w:r>
      <w:r w:rsidR="002E0E55" w:rsidRPr="006561E1">
        <w:rPr>
          <w:lang w:val="en-AU"/>
        </w:rPr>
        <w:t xml:space="preserve"> a miscellaneous document;</w:t>
      </w:r>
    </w:p>
    <w:p w14:paraId="4BC86913" w14:textId="4454C743" w:rsidR="002E0E55" w:rsidRPr="006561E1" w:rsidRDefault="00C421F9" w:rsidP="00C421F9">
      <w:pPr>
        <w:tabs>
          <w:tab w:val="left" w:pos="568"/>
          <w:tab w:val="left" w:pos="1701"/>
        </w:tabs>
        <w:spacing w:after="120"/>
        <w:ind w:left="1135" w:right="1134"/>
        <w:jc w:val="both"/>
        <w:rPr>
          <w:lang w:val="en-AU"/>
        </w:rPr>
      </w:pPr>
      <w:r w:rsidRPr="006561E1">
        <w:rPr>
          <w:lang w:val="en-AU"/>
        </w:rPr>
        <w:t>5.</w:t>
      </w:r>
      <w:r w:rsidRPr="006561E1">
        <w:rPr>
          <w:lang w:val="en-AU"/>
        </w:rPr>
        <w:tab/>
      </w:r>
      <w:r w:rsidR="002E0E55" w:rsidRPr="006561E1">
        <w:rPr>
          <w:i/>
          <w:lang w:val="en-AU"/>
        </w:rPr>
        <w:t>Encourages</w:t>
      </w:r>
      <w:r w:rsidR="002E0E55" w:rsidRPr="006561E1">
        <w:rPr>
          <w:lang w:val="en-AU"/>
        </w:rPr>
        <w:t xml:space="preserve"> Parties to </w:t>
      </w:r>
      <w:r w:rsidR="002E0E55" w:rsidRPr="006561E1">
        <w:t>continue</w:t>
      </w:r>
      <w:r w:rsidR="002E0E55" w:rsidRPr="006561E1">
        <w:rPr>
          <w:lang w:val="en-AU"/>
        </w:rPr>
        <w:t xml:space="preserve"> to provide information through the appropriate channels, including annual submissions on the implementation of the capacity-building framework, national communications, biennial reports and biennial update reports, on the progress made in enhancing capacity to address climate change;</w:t>
      </w:r>
    </w:p>
    <w:p w14:paraId="4BC86914" w14:textId="15BE65D1" w:rsidR="002E0E55" w:rsidRPr="006561E1" w:rsidRDefault="00C421F9" w:rsidP="00C421F9">
      <w:pPr>
        <w:tabs>
          <w:tab w:val="left" w:pos="568"/>
          <w:tab w:val="left" w:pos="1701"/>
        </w:tabs>
        <w:spacing w:after="120"/>
        <w:ind w:left="1135" w:right="1134"/>
        <w:jc w:val="both"/>
        <w:rPr>
          <w:lang w:val="en-AU"/>
        </w:rPr>
      </w:pPr>
      <w:r w:rsidRPr="006561E1">
        <w:rPr>
          <w:lang w:val="en-AU"/>
        </w:rPr>
        <w:t>6.</w:t>
      </w:r>
      <w:r w:rsidRPr="006561E1">
        <w:rPr>
          <w:lang w:val="en-AU"/>
        </w:rPr>
        <w:tab/>
      </w:r>
      <w:r w:rsidR="002E0E55" w:rsidRPr="006561E1">
        <w:rPr>
          <w:i/>
          <w:lang w:val="en-AU"/>
        </w:rPr>
        <w:t>Urges</w:t>
      </w:r>
      <w:r w:rsidR="002E0E55" w:rsidRPr="006561E1">
        <w:rPr>
          <w:lang w:val="en-AU"/>
        </w:rPr>
        <w:t xml:space="preserve"> relevant bodies </w:t>
      </w:r>
      <w:r w:rsidR="002E0E55" w:rsidRPr="006561E1">
        <w:t>established</w:t>
      </w:r>
      <w:r w:rsidR="002E0E55" w:rsidRPr="006561E1">
        <w:rPr>
          <w:lang w:val="en-AU"/>
        </w:rPr>
        <w:t xml:space="preserve"> under the Convention to continue to </w:t>
      </w:r>
      <w:r w:rsidR="002E0E55">
        <w:rPr>
          <w:lang w:val="en-AU"/>
        </w:rPr>
        <w:t>undertake</w:t>
      </w:r>
      <w:r w:rsidR="002E0E55" w:rsidRPr="006561E1">
        <w:rPr>
          <w:lang w:val="en-AU"/>
        </w:rPr>
        <w:t xml:space="preserve"> capacity-building activities in their work, as appropriate;</w:t>
      </w:r>
    </w:p>
    <w:p w14:paraId="4BC86915" w14:textId="53524218" w:rsidR="002E0E55" w:rsidRPr="006561E1" w:rsidRDefault="00C421F9" w:rsidP="00C421F9">
      <w:pPr>
        <w:tabs>
          <w:tab w:val="left" w:pos="568"/>
          <w:tab w:val="left" w:pos="1701"/>
        </w:tabs>
        <w:spacing w:after="120"/>
        <w:ind w:left="1135" w:right="1134"/>
        <w:jc w:val="both"/>
        <w:rPr>
          <w:lang w:val="en-AU"/>
        </w:rPr>
      </w:pPr>
      <w:r w:rsidRPr="006561E1">
        <w:rPr>
          <w:lang w:val="en-AU"/>
        </w:rPr>
        <w:t>7.</w:t>
      </w:r>
      <w:r w:rsidRPr="006561E1">
        <w:rPr>
          <w:lang w:val="en-AU"/>
        </w:rPr>
        <w:tab/>
      </w:r>
      <w:r w:rsidR="002E0E55" w:rsidRPr="006561E1">
        <w:rPr>
          <w:i/>
          <w:lang w:val="en-AU"/>
        </w:rPr>
        <w:t>Stresses</w:t>
      </w:r>
      <w:r w:rsidR="002E0E55" w:rsidRPr="006561E1">
        <w:rPr>
          <w:lang w:val="en-AU"/>
        </w:rPr>
        <w:t xml:space="preserve"> that the Durban </w:t>
      </w:r>
      <w:r w:rsidR="002E0E55" w:rsidRPr="006561E1">
        <w:t>Forum</w:t>
      </w:r>
      <w:r w:rsidR="002E0E55" w:rsidRPr="006561E1">
        <w:rPr>
          <w:lang w:val="en-AU"/>
        </w:rPr>
        <w:t xml:space="preserve"> </w:t>
      </w:r>
      <w:r w:rsidR="00F01E34" w:rsidRPr="00C268E0">
        <w:rPr>
          <w:lang w:val="en-AU"/>
        </w:rPr>
        <w:t>for in-depth discussion on capacity-building</w:t>
      </w:r>
      <w:r w:rsidR="00F01E34">
        <w:rPr>
          <w:lang w:val="en-AU"/>
        </w:rPr>
        <w:t xml:space="preserve"> (hereinafter referred to as the Durban Forum) </w:t>
      </w:r>
      <w:r w:rsidR="002E0E55" w:rsidRPr="006561E1">
        <w:rPr>
          <w:lang w:val="en-AU"/>
        </w:rPr>
        <w:t>is a platform to share experiences and exchange ideas, best practices and lessons learned regarding the implementation of capacity-building activities with the participation of Parties, representatives of the relevant bodies established under the Convention</w:t>
      </w:r>
      <w:r w:rsidR="002E0E55">
        <w:rPr>
          <w:lang w:val="en-AU"/>
        </w:rPr>
        <w:t>,</w:t>
      </w:r>
      <w:r w:rsidR="002E0E55" w:rsidRPr="006561E1">
        <w:rPr>
          <w:lang w:val="en-AU"/>
        </w:rPr>
        <w:t xml:space="preserve"> and relevant experts and practitioners;</w:t>
      </w:r>
    </w:p>
    <w:p w14:paraId="4BC86916" w14:textId="15AAC4F2" w:rsidR="002E0E55" w:rsidRPr="006561E1" w:rsidRDefault="00C421F9" w:rsidP="00C421F9">
      <w:pPr>
        <w:tabs>
          <w:tab w:val="left" w:pos="568"/>
          <w:tab w:val="left" w:pos="1701"/>
        </w:tabs>
        <w:spacing w:after="120"/>
        <w:ind w:left="1135" w:right="1134"/>
        <w:jc w:val="both"/>
        <w:rPr>
          <w:lang w:val="en-AU"/>
        </w:rPr>
      </w:pPr>
      <w:r w:rsidRPr="006561E1">
        <w:rPr>
          <w:lang w:val="en-AU"/>
        </w:rPr>
        <w:t>8.</w:t>
      </w:r>
      <w:r w:rsidRPr="006561E1">
        <w:rPr>
          <w:lang w:val="en-AU"/>
        </w:rPr>
        <w:tab/>
      </w:r>
      <w:r w:rsidR="002E0E55" w:rsidRPr="006561E1">
        <w:rPr>
          <w:i/>
          <w:lang w:val="en-AU"/>
        </w:rPr>
        <w:t>Invites</w:t>
      </w:r>
      <w:r w:rsidR="002E0E55" w:rsidRPr="006561E1">
        <w:rPr>
          <w:lang w:val="en-AU"/>
        </w:rPr>
        <w:t xml:space="preserve"> representatives of the </w:t>
      </w:r>
      <w:r w:rsidR="00E02F00">
        <w:rPr>
          <w:lang w:val="en-AU"/>
        </w:rPr>
        <w:t xml:space="preserve">relevant </w:t>
      </w:r>
      <w:r w:rsidR="002E0E55" w:rsidRPr="006561E1">
        <w:rPr>
          <w:lang w:val="en-AU"/>
        </w:rPr>
        <w:t xml:space="preserve">bodies established under the Convention, operating entities of the Financial Mechanism of the Convention, intergovernmental and non-governmental organizations, and relevant experts and practitioners to integrate into their work </w:t>
      </w:r>
      <w:r w:rsidR="002E0E55" w:rsidRPr="006561E1">
        <w:t>programmes</w:t>
      </w:r>
      <w:r w:rsidR="002E0E55" w:rsidRPr="006561E1">
        <w:rPr>
          <w:lang w:val="en-AU"/>
        </w:rPr>
        <w:t xml:space="preserve"> and activities the lessons learned at, and the main outcomes of, the meetings of the Durban Forum;</w:t>
      </w:r>
    </w:p>
    <w:p w14:paraId="4BC86917" w14:textId="5471327D" w:rsidR="002E0E55" w:rsidRDefault="00C421F9" w:rsidP="00C421F9">
      <w:pPr>
        <w:tabs>
          <w:tab w:val="left" w:pos="568"/>
          <w:tab w:val="left" w:pos="1701"/>
        </w:tabs>
        <w:spacing w:after="120"/>
        <w:ind w:left="1135" w:right="1134"/>
        <w:jc w:val="both"/>
        <w:rPr>
          <w:lang w:val="en-AU"/>
        </w:rPr>
      </w:pPr>
      <w:r>
        <w:rPr>
          <w:lang w:val="en-AU"/>
        </w:rPr>
        <w:t>9.</w:t>
      </w:r>
      <w:r>
        <w:rPr>
          <w:lang w:val="en-AU"/>
        </w:rPr>
        <w:tab/>
      </w:r>
      <w:r w:rsidR="002E0E55" w:rsidRPr="006561E1">
        <w:rPr>
          <w:i/>
          <w:lang w:val="en-AU"/>
        </w:rPr>
        <w:t>Decides</w:t>
      </w:r>
      <w:r w:rsidR="002E0E55" w:rsidRPr="006561E1">
        <w:rPr>
          <w:lang w:val="en-AU"/>
        </w:rPr>
        <w:t xml:space="preserve"> that the </w:t>
      </w:r>
      <w:r w:rsidR="002E0E55">
        <w:rPr>
          <w:lang w:val="en-AU"/>
        </w:rPr>
        <w:t>5</w:t>
      </w:r>
      <w:r w:rsidR="002E0E55" w:rsidRPr="00A04FC0">
        <w:rPr>
          <w:vertAlign w:val="superscript"/>
          <w:lang w:val="en-AU"/>
        </w:rPr>
        <w:t>th</w:t>
      </w:r>
      <w:r w:rsidR="002E0E55">
        <w:rPr>
          <w:lang w:val="en-AU"/>
        </w:rPr>
        <w:t xml:space="preserve"> </w:t>
      </w:r>
      <w:r w:rsidR="002E0E55" w:rsidRPr="006561E1">
        <w:t>meeting</w:t>
      </w:r>
      <w:r w:rsidR="002E0E55" w:rsidRPr="006561E1">
        <w:rPr>
          <w:lang w:val="en-AU"/>
        </w:rPr>
        <w:t xml:space="preserve"> of the Durban Forum, to be held during </w:t>
      </w:r>
      <w:r w:rsidR="002E0E55" w:rsidRPr="00E04ACA">
        <w:rPr>
          <w:lang w:val="en-AU"/>
        </w:rPr>
        <w:t>the forty-fourth session of the Subsidiary Body for Implementation, will explore potentia</w:t>
      </w:r>
      <w:r w:rsidR="002E0E55" w:rsidRPr="006561E1">
        <w:rPr>
          <w:lang w:val="en-AU"/>
        </w:rPr>
        <w:t>l ways for enhancing capacity-building by sharing information and varied experiences;</w:t>
      </w:r>
    </w:p>
    <w:p w14:paraId="0F55289F" w14:textId="10E1E06C" w:rsidR="008C5FF4" w:rsidRDefault="008C5FF4" w:rsidP="008C5FF4">
      <w:pPr>
        <w:tabs>
          <w:tab w:val="left" w:pos="1701"/>
        </w:tabs>
        <w:spacing w:after="120"/>
        <w:ind w:left="1135" w:right="1134"/>
        <w:jc w:val="both"/>
        <w:rPr>
          <w:lang w:val="en-AU"/>
        </w:rPr>
      </w:pPr>
      <w:r>
        <w:rPr>
          <w:lang w:val="en-AU"/>
        </w:rPr>
        <w:br w:type="page"/>
      </w:r>
    </w:p>
    <w:p w14:paraId="4BC86918" w14:textId="32C54191" w:rsidR="002E0E55" w:rsidRPr="006561E1" w:rsidRDefault="00C421F9" w:rsidP="00C421F9">
      <w:pPr>
        <w:tabs>
          <w:tab w:val="left" w:pos="568"/>
          <w:tab w:val="left" w:pos="1701"/>
        </w:tabs>
        <w:spacing w:after="120"/>
        <w:ind w:left="1135" w:right="1134"/>
        <w:jc w:val="both"/>
        <w:rPr>
          <w:lang w:val="en-AU"/>
        </w:rPr>
      </w:pPr>
      <w:r w:rsidRPr="006561E1">
        <w:rPr>
          <w:lang w:val="en-AU"/>
        </w:rPr>
        <w:lastRenderedPageBreak/>
        <w:t>10.</w:t>
      </w:r>
      <w:r w:rsidRPr="006561E1">
        <w:rPr>
          <w:lang w:val="en-AU"/>
        </w:rPr>
        <w:tab/>
      </w:r>
      <w:r w:rsidR="002E0E55" w:rsidRPr="006561E1">
        <w:rPr>
          <w:i/>
          <w:lang w:val="en-AU"/>
        </w:rPr>
        <w:t>Invites</w:t>
      </w:r>
      <w:r w:rsidR="002E0E55" w:rsidRPr="006561E1">
        <w:rPr>
          <w:lang w:val="en-AU"/>
        </w:rPr>
        <w:t xml:space="preserve"> United Nations agencies </w:t>
      </w:r>
      <w:r w:rsidR="002E0E55" w:rsidRPr="006561E1">
        <w:t>and</w:t>
      </w:r>
      <w:r w:rsidR="002E0E55" w:rsidRPr="006561E1">
        <w:rPr>
          <w:lang w:val="en-AU"/>
        </w:rPr>
        <w:t xml:space="preserve"> multilateral organizations to provide information to the secretariat for the capacity-building portal</w:t>
      </w:r>
      <w:r w:rsidR="004F4741">
        <w:rPr>
          <w:lang w:val="en-AU"/>
        </w:rPr>
        <w:t>;</w:t>
      </w:r>
      <w:r w:rsidR="00F01E34">
        <w:rPr>
          <w:rStyle w:val="FootnoteReference"/>
          <w:lang w:val="en-AU"/>
        </w:rPr>
        <w:footnoteReference w:id="3"/>
      </w:r>
    </w:p>
    <w:p w14:paraId="4BC86919" w14:textId="1F7DA8E6" w:rsidR="002E0E55" w:rsidRPr="00E271AE" w:rsidRDefault="00C421F9" w:rsidP="00C421F9">
      <w:pPr>
        <w:tabs>
          <w:tab w:val="left" w:pos="568"/>
          <w:tab w:val="left" w:pos="1701"/>
        </w:tabs>
        <w:spacing w:after="120"/>
        <w:ind w:left="1135" w:right="1134"/>
        <w:jc w:val="both"/>
        <w:rPr>
          <w:lang w:val="en-AU"/>
        </w:rPr>
      </w:pPr>
      <w:r w:rsidRPr="00E271AE">
        <w:rPr>
          <w:lang w:val="en-AU"/>
        </w:rPr>
        <w:t>11.</w:t>
      </w:r>
      <w:r w:rsidRPr="00E271AE">
        <w:rPr>
          <w:lang w:val="en-AU"/>
        </w:rPr>
        <w:tab/>
      </w:r>
      <w:r w:rsidR="002E0E55" w:rsidRPr="00E271AE">
        <w:rPr>
          <w:i/>
          <w:lang w:val="en-AU"/>
        </w:rPr>
        <w:t>Also</w:t>
      </w:r>
      <w:r w:rsidR="002E0E55" w:rsidRPr="00E271AE">
        <w:rPr>
          <w:lang w:val="en-AU"/>
        </w:rPr>
        <w:t xml:space="preserve"> </w:t>
      </w:r>
      <w:r w:rsidR="002E0E55" w:rsidRPr="00E271AE">
        <w:rPr>
          <w:i/>
          <w:lang w:val="en-AU"/>
        </w:rPr>
        <w:t>invites</w:t>
      </w:r>
      <w:r w:rsidR="002E0E55" w:rsidRPr="00E271AE">
        <w:rPr>
          <w:lang w:val="en-AU"/>
        </w:rPr>
        <w:t xml:space="preserve"> Parties to submit </w:t>
      </w:r>
      <w:r w:rsidR="00E02F00">
        <w:rPr>
          <w:lang w:val="en-AU"/>
        </w:rPr>
        <w:t>via the submissions portal</w:t>
      </w:r>
      <w:r w:rsidR="00656405" w:rsidRPr="006561E1">
        <w:rPr>
          <w:sz w:val="18"/>
          <w:vertAlign w:val="superscript"/>
          <w:lang w:val="en-AU"/>
        </w:rPr>
        <w:footnoteReference w:id="4"/>
      </w:r>
      <w:r w:rsidR="00E02F00">
        <w:rPr>
          <w:lang w:val="en-AU"/>
        </w:rPr>
        <w:t xml:space="preserve"> </w:t>
      </w:r>
      <w:r w:rsidR="002E0E55" w:rsidRPr="00E271AE">
        <w:rPr>
          <w:lang w:val="en-AU"/>
        </w:rPr>
        <w:t xml:space="preserve">by 9 March 2016, as part of their annual submissions pursuant to </w:t>
      </w:r>
      <w:r w:rsidR="002E0E55" w:rsidRPr="00656405">
        <w:rPr>
          <w:lang w:val="en-AU"/>
        </w:rPr>
        <w:t>decision 4/CP.12</w:t>
      </w:r>
      <w:r w:rsidR="002E0E55" w:rsidRPr="00E271AE">
        <w:rPr>
          <w:lang w:val="en-AU"/>
        </w:rPr>
        <w:t xml:space="preserve">, suggestions on </w:t>
      </w:r>
      <w:r w:rsidR="002E0E55" w:rsidRPr="006561E1">
        <w:t>additional</w:t>
      </w:r>
      <w:r w:rsidR="002E0E55" w:rsidRPr="00E271AE">
        <w:rPr>
          <w:lang w:val="en-AU"/>
        </w:rPr>
        <w:t xml:space="preserve"> potential topics for the 5</w:t>
      </w:r>
      <w:r w:rsidR="002E0E55" w:rsidRPr="00E271AE">
        <w:rPr>
          <w:vertAlign w:val="superscript"/>
          <w:lang w:val="en-AU"/>
        </w:rPr>
        <w:t>th</w:t>
      </w:r>
      <w:r w:rsidR="002E0E55" w:rsidRPr="00E271AE">
        <w:rPr>
          <w:lang w:val="en-AU"/>
        </w:rPr>
        <w:t xml:space="preserve"> meeting of the Durban Forum and their views on possible ways to enhance the information included in the capacity-building portal.</w:t>
      </w:r>
    </w:p>
    <w:p w14:paraId="4BC8691A" w14:textId="77777777" w:rsidR="002E0E55" w:rsidRDefault="002E0E55" w:rsidP="002E0E55">
      <w:pPr>
        <w:sectPr w:rsidR="002E0E55" w:rsidSect="00877754">
          <w:headerReference w:type="even" r:id="rId18"/>
          <w:headerReference w:type="default" r:id="rId19"/>
          <w:footerReference w:type="even" r:id="rId20"/>
          <w:footerReference w:type="default" r:id="rId21"/>
          <w:footnotePr>
            <w:numRestart w:val="eachSect"/>
          </w:footnotePr>
          <w:pgSz w:w="11906" w:h="16838" w:code="9"/>
          <w:pgMar w:top="1701" w:right="1134" w:bottom="2268" w:left="1134" w:header="1134" w:footer="1701" w:gutter="0"/>
          <w:cols w:space="708"/>
          <w:docGrid w:linePitch="360"/>
        </w:sectPr>
      </w:pPr>
    </w:p>
    <w:p w14:paraId="4BC8691B" w14:textId="77777777" w:rsidR="002E0E55" w:rsidRPr="007D557C" w:rsidRDefault="002E0E55" w:rsidP="002E0E55">
      <w:pPr>
        <w:pStyle w:val="HChG"/>
      </w:pPr>
      <w:r w:rsidRPr="007D557C">
        <w:lastRenderedPageBreak/>
        <w:t>Annex</w:t>
      </w:r>
    </w:p>
    <w:p w14:paraId="4BC8691D" w14:textId="77777777" w:rsidR="002E0E55" w:rsidRDefault="002E0E55" w:rsidP="002E0E55">
      <w:pPr>
        <w:pStyle w:val="H1G"/>
      </w:pPr>
      <w:r w:rsidRPr="007D557C">
        <w:tab/>
        <w:t>Terms of reference for the third comprehensive review of the implementation of the framework for capacity-building in developing countries</w:t>
      </w:r>
    </w:p>
    <w:p w14:paraId="3C7157C0" w14:textId="1F6C5E76" w:rsidR="003A107D" w:rsidRPr="003A107D" w:rsidRDefault="003A107D" w:rsidP="003A107D">
      <w:pPr>
        <w:jc w:val="right"/>
      </w:pPr>
      <w:r w:rsidRPr="007D557C">
        <w:t>[English only]</w:t>
      </w:r>
    </w:p>
    <w:p w14:paraId="4BC8691E" w14:textId="46A76940" w:rsidR="002E0E55" w:rsidRPr="007D557C" w:rsidRDefault="00C421F9" w:rsidP="00C421F9">
      <w:pPr>
        <w:pStyle w:val="RegHChG"/>
        <w:numPr>
          <w:ilvl w:val="0"/>
          <w:numId w:val="0"/>
        </w:numPr>
        <w:tabs>
          <w:tab w:val="left" w:pos="1135"/>
        </w:tabs>
        <w:ind w:left="1135" w:hanging="454"/>
      </w:pPr>
      <w:r w:rsidRPr="007D557C">
        <w:t>I.</w:t>
      </w:r>
      <w:r w:rsidRPr="007D557C">
        <w:tab/>
      </w:r>
      <w:r w:rsidR="002E0E55" w:rsidRPr="007D557C">
        <w:t>Mandate</w:t>
      </w:r>
    </w:p>
    <w:p w14:paraId="4BC8691F" w14:textId="31FCB48E" w:rsidR="002E0E55" w:rsidRPr="007D557C" w:rsidRDefault="00C421F9" w:rsidP="00C421F9">
      <w:pPr>
        <w:pStyle w:val="RegSingleTxtG"/>
        <w:numPr>
          <w:ilvl w:val="0"/>
          <w:numId w:val="0"/>
        </w:numPr>
        <w:tabs>
          <w:tab w:val="left" w:pos="568"/>
        </w:tabs>
        <w:ind w:left="1135"/>
      </w:pPr>
      <w:r w:rsidRPr="007D557C">
        <w:t>1.</w:t>
      </w:r>
      <w:r w:rsidRPr="007D557C">
        <w:tab/>
      </w:r>
      <w:r w:rsidR="002E0E55" w:rsidRPr="007D557C">
        <w:t>The Conference of the Parties (COP) decided to initiate the third comprehensive review of the implementation of the framework for capacity-building in developing countries established under decision 2/CP.7 (hereinafter referred to as the capacity-building framework) at the forty-second session of the Subsidiary Body for Implementation (SBI) with a view to completing the review at COP 22.</w:t>
      </w:r>
      <w:r w:rsidR="002E0E55" w:rsidRPr="007D557C">
        <w:rPr>
          <w:sz w:val="18"/>
          <w:vertAlign w:val="superscript"/>
        </w:rPr>
        <w:footnoteReference w:id="5"/>
      </w:r>
    </w:p>
    <w:p w14:paraId="4BC86920" w14:textId="667502E3" w:rsidR="002E0E55" w:rsidRPr="007D557C" w:rsidRDefault="00C421F9" w:rsidP="00C421F9">
      <w:pPr>
        <w:tabs>
          <w:tab w:val="left" w:pos="568"/>
          <w:tab w:val="left" w:pos="1701"/>
        </w:tabs>
        <w:spacing w:after="120"/>
        <w:ind w:left="1135" w:right="1134"/>
        <w:jc w:val="both"/>
      </w:pPr>
      <w:r w:rsidRPr="007D557C">
        <w:t>2.</w:t>
      </w:r>
      <w:r w:rsidRPr="007D557C">
        <w:tab/>
      </w:r>
      <w:r w:rsidR="002E0E55" w:rsidRPr="007D557C">
        <w:t>The Conference of the Parties serving as the meeting of the Parties to the Kyoto Protocol (CMP) decided to initiate the third comprehensive review of the implementation of the capacity-building framework at SBI 42 with a view to completing the review at CMP 12.</w:t>
      </w:r>
      <w:r w:rsidR="002E0E55" w:rsidRPr="007D557C">
        <w:rPr>
          <w:sz w:val="18"/>
          <w:vertAlign w:val="superscript"/>
        </w:rPr>
        <w:footnoteReference w:id="6"/>
      </w:r>
    </w:p>
    <w:p w14:paraId="4BC86921" w14:textId="4F4A0A2B" w:rsidR="002E0E55" w:rsidRPr="00130746" w:rsidRDefault="00C421F9" w:rsidP="00C421F9">
      <w:pPr>
        <w:pStyle w:val="RegHChG"/>
        <w:numPr>
          <w:ilvl w:val="0"/>
          <w:numId w:val="0"/>
        </w:numPr>
        <w:tabs>
          <w:tab w:val="left" w:pos="1135"/>
        </w:tabs>
        <w:ind w:left="1135" w:hanging="454"/>
      </w:pPr>
      <w:r w:rsidRPr="00130746">
        <w:t>II.</w:t>
      </w:r>
      <w:r w:rsidRPr="00130746">
        <w:tab/>
      </w:r>
      <w:r w:rsidR="002E0E55" w:rsidRPr="007D557C">
        <w:t>Objectives</w:t>
      </w:r>
    </w:p>
    <w:p w14:paraId="4BC86922" w14:textId="1D86968B" w:rsidR="002E0E55" w:rsidRPr="007D557C" w:rsidRDefault="00C421F9" w:rsidP="00C421F9">
      <w:pPr>
        <w:tabs>
          <w:tab w:val="left" w:pos="568"/>
          <w:tab w:val="left" w:pos="1701"/>
        </w:tabs>
        <w:spacing w:after="120"/>
        <w:ind w:left="1135" w:right="1134"/>
        <w:jc w:val="both"/>
      </w:pPr>
      <w:r w:rsidRPr="007D557C">
        <w:t>3.</w:t>
      </w:r>
      <w:r w:rsidRPr="007D557C">
        <w:tab/>
      </w:r>
      <w:r w:rsidR="002E0E55" w:rsidRPr="007D557C">
        <w:t>The third comprehensive review of the implementation of the capacity-building framework has the following objectives:</w:t>
      </w:r>
    </w:p>
    <w:p w14:paraId="4BC86923" w14:textId="02C36857" w:rsidR="002E0E55" w:rsidRPr="007D557C" w:rsidRDefault="00C421F9" w:rsidP="00C421F9">
      <w:pPr>
        <w:tabs>
          <w:tab w:val="left" w:pos="1701"/>
          <w:tab w:val="left" w:pos="2269"/>
        </w:tabs>
        <w:spacing w:after="120"/>
        <w:ind w:left="1135" w:right="1134" w:firstLine="567"/>
        <w:jc w:val="both"/>
      </w:pPr>
      <w:r w:rsidRPr="007D557C">
        <w:t>(a)</w:t>
      </w:r>
      <w:r w:rsidRPr="007D557C">
        <w:tab/>
      </w:r>
      <w:r w:rsidR="002E0E55" w:rsidRPr="007D557C">
        <w:t>To explore ways to enhance the implementation of capacity-building activities by reviewing the current institutional arrangements related to capacity-building, including the thematic bodies under the Convention, with a view to making recommendations for the enhancement of these arrangements, as appropriate;</w:t>
      </w:r>
    </w:p>
    <w:p w14:paraId="4BC86924" w14:textId="3F60E1CE" w:rsidR="002E0E55" w:rsidRPr="007D557C" w:rsidRDefault="00C421F9" w:rsidP="00C421F9">
      <w:pPr>
        <w:tabs>
          <w:tab w:val="left" w:pos="1701"/>
          <w:tab w:val="left" w:pos="2269"/>
        </w:tabs>
        <w:spacing w:after="120"/>
        <w:ind w:left="1135" w:right="1134" w:firstLine="567"/>
        <w:jc w:val="both"/>
      </w:pPr>
      <w:r w:rsidRPr="007D557C">
        <w:t>(b)</w:t>
      </w:r>
      <w:r w:rsidRPr="007D557C">
        <w:tab/>
      </w:r>
      <w:r w:rsidR="002E0E55" w:rsidRPr="007D557C">
        <w:t>To take stock of progress in and assess the effectiveness of the implementation of the capacity-building framework;</w:t>
      </w:r>
    </w:p>
    <w:p w14:paraId="4BC86925" w14:textId="6A14E9F9" w:rsidR="002E0E55" w:rsidRPr="007D557C" w:rsidRDefault="00C421F9" w:rsidP="00C421F9">
      <w:pPr>
        <w:tabs>
          <w:tab w:val="left" w:pos="1701"/>
          <w:tab w:val="left" w:pos="2269"/>
        </w:tabs>
        <w:spacing w:after="120"/>
        <w:ind w:left="1135" w:right="1134" w:firstLine="567"/>
        <w:jc w:val="both"/>
      </w:pPr>
      <w:r w:rsidRPr="007D557C">
        <w:t>(c)</w:t>
      </w:r>
      <w:r w:rsidRPr="007D557C">
        <w:tab/>
      </w:r>
      <w:r w:rsidR="002E0E55" w:rsidRPr="007D557C">
        <w:t>To examine possible gaps between the provisions of decisions of the COP and the CMP and the implementation of capacity-building activities;</w:t>
      </w:r>
    </w:p>
    <w:p w14:paraId="4BC86926" w14:textId="32D9D6DF" w:rsidR="002E0E55" w:rsidRPr="007D557C" w:rsidRDefault="00C421F9" w:rsidP="00C421F9">
      <w:pPr>
        <w:tabs>
          <w:tab w:val="left" w:pos="1701"/>
          <w:tab w:val="left" w:pos="2269"/>
        </w:tabs>
        <w:spacing w:after="120"/>
        <w:ind w:left="1135" w:right="1134" w:firstLine="567"/>
        <w:jc w:val="both"/>
      </w:pPr>
      <w:r w:rsidRPr="007D557C">
        <w:t>(d)</w:t>
      </w:r>
      <w:r w:rsidRPr="007D557C">
        <w:tab/>
      </w:r>
      <w:r w:rsidR="002E0E55" w:rsidRPr="007D557C">
        <w:t>To identify lessons learned and best practices with a view to developing options for the enhanced implementation of the capacity-building framework, taking into account additional needs and priorities for capacity-building;</w:t>
      </w:r>
    </w:p>
    <w:p w14:paraId="4BC86927" w14:textId="74F33F8C" w:rsidR="002E0E55" w:rsidRPr="007D557C" w:rsidRDefault="00C421F9" w:rsidP="00C421F9">
      <w:pPr>
        <w:tabs>
          <w:tab w:val="left" w:pos="1701"/>
          <w:tab w:val="left" w:pos="2269"/>
        </w:tabs>
        <w:spacing w:after="120"/>
        <w:ind w:left="1135" w:right="1134" w:firstLine="567"/>
        <w:jc w:val="both"/>
      </w:pPr>
      <w:r w:rsidRPr="007D557C">
        <w:t>(e)</w:t>
      </w:r>
      <w:r w:rsidRPr="007D557C">
        <w:tab/>
      </w:r>
      <w:r w:rsidR="002E0E55" w:rsidRPr="007D557C">
        <w:t>To effectively review gaps and challenges in addressing the implementation of priority areas as contained in the capacity-building framework and in meeting capacity-building needs to enhance action on mitigation, adaptation and technology transfer;</w:t>
      </w:r>
    </w:p>
    <w:p w14:paraId="4BC86928" w14:textId="1F64B151" w:rsidR="002E0E55" w:rsidRPr="007D557C" w:rsidRDefault="00C421F9" w:rsidP="00C421F9">
      <w:pPr>
        <w:tabs>
          <w:tab w:val="left" w:pos="1701"/>
          <w:tab w:val="left" w:pos="2269"/>
        </w:tabs>
        <w:spacing w:after="120"/>
        <w:ind w:left="1135" w:right="1134" w:firstLine="567"/>
        <w:jc w:val="both"/>
      </w:pPr>
      <w:r w:rsidRPr="007D557C">
        <w:t>(f)</w:t>
      </w:r>
      <w:r w:rsidRPr="007D557C">
        <w:tab/>
      </w:r>
      <w:r w:rsidR="002E0E55" w:rsidRPr="007D557C">
        <w:t xml:space="preserve">To effectively review capacity gaps and challenges in accessing climate finance; </w:t>
      </w:r>
    </w:p>
    <w:p w14:paraId="4BC86929" w14:textId="41BD8A05" w:rsidR="002E0E55" w:rsidRPr="007D557C" w:rsidRDefault="00C421F9" w:rsidP="00C421F9">
      <w:pPr>
        <w:tabs>
          <w:tab w:val="left" w:pos="1701"/>
          <w:tab w:val="left" w:pos="2269"/>
          <w:tab w:val="left" w:pos="6521"/>
        </w:tabs>
        <w:spacing w:after="120"/>
        <w:ind w:left="1135" w:right="1134" w:firstLine="567"/>
        <w:jc w:val="both"/>
      </w:pPr>
      <w:r w:rsidRPr="007D557C">
        <w:lastRenderedPageBreak/>
        <w:t>(g)</w:t>
      </w:r>
      <w:r w:rsidRPr="007D557C">
        <w:tab/>
      </w:r>
      <w:r w:rsidR="002E0E55" w:rsidRPr="007D557C">
        <w:t>To provide recommendations to the SBI on ways to effectively address the capacity-building gaps at the individual, institutional and systemic levels, including those identified by the first</w:t>
      </w:r>
      <w:r w:rsidR="002E0E55" w:rsidRPr="007D557C">
        <w:rPr>
          <w:sz w:val="18"/>
          <w:vertAlign w:val="superscript"/>
        </w:rPr>
        <w:footnoteReference w:id="7"/>
      </w:r>
      <w:r w:rsidR="002E0E55" w:rsidRPr="007D557C">
        <w:rPr>
          <w:sz w:val="18"/>
          <w:vertAlign w:val="superscript"/>
        </w:rPr>
        <w:t xml:space="preserve"> </w:t>
      </w:r>
      <w:r w:rsidR="002E0E55" w:rsidRPr="007D557C">
        <w:t>and second</w:t>
      </w:r>
      <w:r w:rsidR="002E0E55" w:rsidRPr="007D557C">
        <w:rPr>
          <w:sz w:val="18"/>
          <w:vertAlign w:val="superscript"/>
        </w:rPr>
        <w:footnoteReference w:id="8"/>
      </w:r>
      <w:r w:rsidR="002E0E55" w:rsidRPr="007D557C">
        <w:t xml:space="preserve"> comprehensive reviews of the implementation of the capacity-building framework;</w:t>
      </w:r>
    </w:p>
    <w:p w14:paraId="4BC8692A" w14:textId="55DE06F3" w:rsidR="002E0E55" w:rsidRPr="007D557C" w:rsidRDefault="00C421F9" w:rsidP="00C421F9">
      <w:pPr>
        <w:tabs>
          <w:tab w:val="left" w:pos="1701"/>
          <w:tab w:val="left" w:pos="2269"/>
        </w:tabs>
        <w:spacing w:after="120"/>
        <w:ind w:left="1135" w:right="1134" w:firstLine="567"/>
        <w:jc w:val="both"/>
      </w:pPr>
      <w:r w:rsidRPr="007D557C">
        <w:t>(h)</w:t>
      </w:r>
      <w:r w:rsidRPr="007D557C">
        <w:tab/>
      </w:r>
      <w:r w:rsidR="002E0E55" w:rsidRPr="007D557C">
        <w:t>To explore potential ways to further enhance the implementation of capacity-building activities at the national level;</w:t>
      </w:r>
    </w:p>
    <w:p w14:paraId="4BC8692B" w14:textId="61DC2756" w:rsidR="002E0E55" w:rsidRPr="007D557C" w:rsidRDefault="00C421F9" w:rsidP="00C421F9">
      <w:pPr>
        <w:tabs>
          <w:tab w:val="left" w:pos="1701"/>
          <w:tab w:val="left" w:pos="2269"/>
        </w:tabs>
        <w:spacing w:after="120"/>
        <w:ind w:left="1135" w:right="1134" w:firstLine="567"/>
        <w:jc w:val="both"/>
      </w:pPr>
      <w:r w:rsidRPr="007D557C">
        <w:t>(i)</w:t>
      </w:r>
      <w:r w:rsidRPr="007D557C">
        <w:tab/>
      </w:r>
      <w:r w:rsidR="002E0E55" w:rsidRPr="007D557C">
        <w:t>To identify major actors supporting the implementation of the capacity-building framework within and outside the arrangements established under the Convention and its Kyoto Protocol;</w:t>
      </w:r>
    </w:p>
    <w:p w14:paraId="4BC8692C" w14:textId="144623E8" w:rsidR="002E0E55" w:rsidRPr="007D557C" w:rsidRDefault="00C421F9" w:rsidP="00C421F9">
      <w:pPr>
        <w:tabs>
          <w:tab w:val="left" w:pos="1701"/>
          <w:tab w:val="left" w:pos="2269"/>
        </w:tabs>
        <w:spacing w:after="120"/>
        <w:ind w:left="1135" w:right="1134" w:firstLine="567"/>
        <w:jc w:val="both"/>
      </w:pPr>
      <w:r w:rsidRPr="007D557C">
        <w:t>(j)</w:t>
      </w:r>
      <w:r w:rsidRPr="007D557C">
        <w:tab/>
      </w:r>
      <w:r w:rsidR="002E0E55" w:rsidRPr="007D557C">
        <w:t xml:space="preserve">To review the operation of the Durban Forum </w:t>
      </w:r>
      <w:r w:rsidR="00F01E34" w:rsidRPr="00C268E0">
        <w:rPr>
          <w:lang w:val="en-AU"/>
        </w:rPr>
        <w:t>for in-depth discussion on capacity-building</w:t>
      </w:r>
      <w:r w:rsidR="00F01E34">
        <w:rPr>
          <w:lang w:val="en-AU"/>
        </w:rPr>
        <w:t xml:space="preserve"> (hereinafter referred to as the Durban Forum)</w:t>
      </w:r>
      <w:r w:rsidR="00F01E34" w:rsidRPr="007D557C">
        <w:t xml:space="preserve"> </w:t>
      </w:r>
      <w:r w:rsidR="002E0E55" w:rsidRPr="007D557C">
        <w:t>and identify potential ways to enhance it.</w:t>
      </w:r>
    </w:p>
    <w:p w14:paraId="4BC8692D" w14:textId="20771AA6" w:rsidR="002E0E55" w:rsidRPr="00130746" w:rsidRDefault="00C421F9" w:rsidP="00C421F9">
      <w:pPr>
        <w:pStyle w:val="RegHChG"/>
        <w:numPr>
          <w:ilvl w:val="0"/>
          <w:numId w:val="0"/>
        </w:numPr>
        <w:tabs>
          <w:tab w:val="left" w:pos="1135"/>
        </w:tabs>
        <w:ind w:left="1135" w:hanging="454"/>
      </w:pPr>
      <w:r w:rsidRPr="00130746">
        <w:t>III.</w:t>
      </w:r>
      <w:r w:rsidRPr="00130746">
        <w:tab/>
      </w:r>
      <w:r w:rsidR="002E0E55" w:rsidRPr="00130746">
        <w:t xml:space="preserve">General </w:t>
      </w:r>
      <w:r w:rsidR="002E0E55" w:rsidRPr="007D557C">
        <w:t>principles</w:t>
      </w:r>
      <w:r w:rsidR="002E0E55" w:rsidRPr="00130746">
        <w:t xml:space="preserve"> of the comprehensive review process</w:t>
      </w:r>
    </w:p>
    <w:p w14:paraId="4BC8692E" w14:textId="5867C82C" w:rsidR="002E0E55" w:rsidRPr="007D557C" w:rsidRDefault="00C421F9" w:rsidP="00C421F9">
      <w:pPr>
        <w:tabs>
          <w:tab w:val="left" w:pos="568"/>
          <w:tab w:val="left" w:pos="1701"/>
        </w:tabs>
        <w:spacing w:after="120"/>
        <w:ind w:left="1135" w:right="1134"/>
        <w:jc w:val="both"/>
      </w:pPr>
      <w:r w:rsidRPr="007D557C">
        <w:t>4.</w:t>
      </w:r>
      <w:r w:rsidRPr="007D557C">
        <w:tab/>
      </w:r>
      <w:r w:rsidR="002E0E55" w:rsidRPr="007D557C">
        <w:t xml:space="preserve">The third comprehensive review of the implementation of the capacity-building framework should be conducted on the basis of the guiding principles and approaches outlined in </w:t>
      </w:r>
      <w:r w:rsidR="002E0E55" w:rsidRPr="00471564">
        <w:t>decision 2/CP.7, annex, chapter B</w:t>
      </w:r>
      <w:r w:rsidR="002E0E55" w:rsidRPr="007D557C">
        <w:t>, and should take into account relevant provisions in related COP</w:t>
      </w:r>
      <w:r w:rsidR="002E0E55" w:rsidRPr="007D557C">
        <w:rPr>
          <w:sz w:val="18"/>
          <w:vertAlign w:val="superscript"/>
        </w:rPr>
        <w:footnoteReference w:id="9"/>
      </w:r>
      <w:r w:rsidR="002E0E55" w:rsidRPr="007D557C">
        <w:t xml:space="preserve"> and CMP</w:t>
      </w:r>
      <w:r w:rsidR="002E0E55" w:rsidRPr="007D557C">
        <w:rPr>
          <w:sz w:val="18"/>
          <w:vertAlign w:val="superscript"/>
        </w:rPr>
        <w:footnoteReference w:id="10"/>
      </w:r>
      <w:r w:rsidR="002E0E55" w:rsidRPr="007D557C">
        <w:t xml:space="preserve"> decisions on capacity-building.</w:t>
      </w:r>
    </w:p>
    <w:p w14:paraId="4BC8692F" w14:textId="3B23685F" w:rsidR="002E0E55" w:rsidRPr="00130746" w:rsidRDefault="00C421F9" w:rsidP="00C421F9">
      <w:pPr>
        <w:pStyle w:val="RegHChG"/>
        <w:numPr>
          <w:ilvl w:val="0"/>
          <w:numId w:val="0"/>
        </w:numPr>
        <w:tabs>
          <w:tab w:val="left" w:pos="1135"/>
        </w:tabs>
        <w:ind w:left="1135" w:hanging="454"/>
      </w:pPr>
      <w:r w:rsidRPr="00130746">
        <w:t>IV.</w:t>
      </w:r>
      <w:r w:rsidRPr="00130746">
        <w:tab/>
      </w:r>
      <w:r w:rsidR="002E0E55" w:rsidRPr="007D557C">
        <w:t>Information</w:t>
      </w:r>
      <w:r w:rsidR="002E0E55" w:rsidRPr="00130746">
        <w:t xml:space="preserve"> sources</w:t>
      </w:r>
    </w:p>
    <w:p w14:paraId="4BC86930" w14:textId="5C86D197" w:rsidR="002E0E55" w:rsidRPr="007D557C" w:rsidRDefault="00C421F9" w:rsidP="00C421F9">
      <w:pPr>
        <w:tabs>
          <w:tab w:val="left" w:pos="568"/>
          <w:tab w:val="left" w:pos="1701"/>
        </w:tabs>
        <w:spacing w:after="120"/>
        <w:ind w:left="1135" w:right="1134"/>
        <w:jc w:val="both"/>
      </w:pPr>
      <w:r w:rsidRPr="007D557C">
        <w:t>5.</w:t>
      </w:r>
      <w:r w:rsidRPr="007D557C">
        <w:tab/>
      </w:r>
      <w:r w:rsidR="002E0E55" w:rsidRPr="007D557C">
        <w:t>Information to be used in the third comprehensive review of the implementation of the capacity-building framework should be drawn from, inter alia:</w:t>
      </w:r>
    </w:p>
    <w:p w14:paraId="4BC86931" w14:textId="29AFE8E8" w:rsidR="002E0E55" w:rsidRPr="007D557C" w:rsidRDefault="00C421F9" w:rsidP="00C421F9">
      <w:pPr>
        <w:tabs>
          <w:tab w:val="left" w:pos="1701"/>
          <w:tab w:val="left" w:pos="2269"/>
        </w:tabs>
        <w:spacing w:after="120"/>
        <w:ind w:left="1135" w:right="1134" w:firstLine="567"/>
        <w:jc w:val="both"/>
      </w:pPr>
      <w:r w:rsidRPr="007D557C">
        <w:t>(a)</w:t>
      </w:r>
      <w:r w:rsidRPr="007D557C">
        <w:tab/>
      </w:r>
      <w:r w:rsidR="002E0E55" w:rsidRPr="007D557C">
        <w:t>Submissions from Parties;</w:t>
      </w:r>
    </w:p>
    <w:p w14:paraId="4BC86932" w14:textId="5CF7CE3D" w:rsidR="002E0E55" w:rsidRPr="007D557C" w:rsidRDefault="00C421F9" w:rsidP="00C421F9">
      <w:pPr>
        <w:tabs>
          <w:tab w:val="left" w:pos="1701"/>
          <w:tab w:val="left" w:pos="2269"/>
        </w:tabs>
        <w:spacing w:after="120"/>
        <w:ind w:left="1135" w:right="1134" w:firstLine="567"/>
        <w:jc w:val="both"/>
      </w:pPr>
      <w:r w:rsidRPr="007D557C">
        <w:t>(b)</w:t>
      </w:r>
      <w:r w:rsidRPr="007D557C">
        <w:tab/>
      </w:r>
      <w:r w:rsidR="002E0E55" w:rsidRPr="007D557C">
        <w:t>Findings of the firs</w:t>
      </w:r>
      <w:r w:rsidR="002E0E55" w:rsidRPr="007D557C">
        <w:rPr>
          <w:spacing w:val="-20"/>
        </w:rPr>
        <w:t>t</w:t>
      </w:r>
      <w:r w:rsidR="002E0E55" w:rsidRPr="007D557C">
        <w:rPr>
          <w:spacing w:val="-20"/>
          <w:sz w:val="18"/>
          <w:vertAlign w:val="superscript"/>
        </w:rPr>
        <w:footnoteReference w:id="11"/>
      </w:r>
      <w:r w:rsidR="002E0E55" w:rsidRPr="007D557C">
        <w:t xml:space="preserve"> and secon</w:t>
      </w:r>
      <w:r w:rsidR="002E0E55" w:rsidRPr="007D557C">
        <w:rPr>
          <w:spacing w:val="-20"/>
        </w:rPr>
        <w:t>d</w:t>
      </w:r>
      <w:r w:rsidR="002E0E55" w:rsidRPr="007D557C">
        <w:rPr>
          <w:spacing w:val="-20"/>
          <w:sz w:val="18"/>
          <w:vertAlign w:val="superscript"/>
        </w:rPr>
        <w:footnoteReference w:id="12"/>
      </w:r>
      <w:r w:rsidR="002E0E55" w:rsidRPr="007D557C">
        <w:t xml:space="preserve"> comprehensive reviews of the implementation of the capacity-building framework;</w:t>
      </w:r>
    </w:p>
    <w:p w14:paraId="4BC86933" w14:textId="160F1DD2" w:rsidR="002E0E55" w:rsidRPr="007D557C" w:rsidRDefault="00C421F9" w:rsidP="00C421F9">
      <w:pPr>
        <w:tabs>
          <w:tab w:val="left" w:pos="1701"/>
          <w:tab w:val="left" w:pos="2269"/>
        </w:tabs>
        <w:spacing w:after="120"/>
        <w:ind w:left="1135" w:right="1134" w:firstLine="567"/>
        <w:jc w:val="both"/>
      </w:pPr>
      <w:r w:rsidRPr="007D557C">
        <w:t>(c)</w:t>
      </w:r>
      <w:r w:rsidRPr="007D557C">
        <w:tab/>
      </w:r>
      <w:r w:rsidR="002E0E55" w:rsidRPr="007D557C">
        <w:t xml:space="preserve">Annual synthesis reports on the implementation of the capacity-building framework prepared in accordance with the steps for the regular monitoring and evaluation of capacity-building work as contained in decisions </w:t>
      </w:r>
      <w:r w:rsidR="002E0E55" w:rsidRPr="00471564">
        <w:t>4/CP.12 and 6/CMP.2</w:t>
      </w:r>
      <w:r w:rsidR="002E0E55" w:rsidRPr="007D557C">
        <w:t>;</w:t>
      </w:r>
    </w:p>
    <w:p w14:paraId="4BC86934" w14:textId="27237368" w:rsidR="002E0E55" w:rsidRPr="007D557C" w:rsidRDefault="00C421F9" w:rsidP="00C421F9">
      <w:pPr>
        <w:tabs>
          <w:tab w:val="left" w:pos="1701"/>
          <w:tab w:val="left" w:pos="2269"/>
        </w:tabs>
        <w:spacing w:after="120"/>
        <w:ind w:left="1135" w:right="1134" w:firstLine="567"/>
        <w:jc w:val="both"/>
      </w:pPr>
      <w:r w:rsidRPr="007D557C">
        <w:t>(d)</w:t>
      </w:r>
      <w:r w:rsidRPr="007D557C">
        <w:tab/>
      </w:r>
      <w:r w:rsidR="002E0E55" w:rsidRPr="007D557C">
        <w:t>Relevant national reports (such as national communications, biennial reports, biennial update reports, national adaptation programmes of action and their updates, outcomes of the national adaptation plan process, and national capacity self-assessments);</w:t>
      </w:r>
    </w:p>
    <w:p w14:paraId="4BC86935" w14:textId="11453589" w:rsidR="002E0E55" w:rsidRPr="007D557C" w:rsidRDefault="00C421F9" w:rsidP="00C421F9">
      <w:pPr>
        <w:tabs>
          <w:tab w:val="left" w:pos="1701"/>
          <w:tab w:val="left" w:pos="2269"/>
        </w:tabs>
        <w:spacing w:after="120"/>
        <w:ind w:left="1135" w:right="1134" w:firstLine="567"/>
        <w:jc w:val="both"/>
      </w:pPr>
      <w:r w:rsidRPr="007D557C">
        <w:t>(e)</w:t>
      </w:r>
      <w:r w:rsidRPr="007D557C">
        <w:tab/>
      </w:r>
      <w:r w:rsidR="002E0E55" w:rsidRPr="007D557C">
        <w:t>Reports and submissions from the Global Environment Facility and its implementing agencies, United Nations entities and other relevant organizations;</w:t>
      </w:r>
    </w:p>
    <w:p w14:paraId="4BC86936" w14:textId="082F14FF" w:rsidR="002E0E55" w:rsidRPr="007D557C" w:rsidRDefault="00C421F9" w:rsidP="00C421F9">
      <w:pPr>
        <w:tabs>
          <w:tab w:val="left" w:pos="1701"/>
          <w:tab w:val="left" w:pos="2269"/>
        </w:tabs>
        <w:spacing w:after="120"/>
        <w:ind w:left="1135" w:right="1134" w:firstLine="567"/>
        <w:jc w:val="both"/>
      </w:pPr>
      <w:r w:rsidRPr="007D557C">
        <w:t>(f)</w:t>
      </w:r>
      <w:r w:rsidRPr="007D557C">
        <w:tab/>
      </w:r>
      <w:r w:rsidR="002E0E55" w:rsidRPr="007D557C">
        <w:t>Information contained in the capacity-building portal;</w:t>
      </w:r>
      <w:r w:rsidR="00F01E34">
        <w:rPr>
          <w:rStyle w:val="FootnoteReference"/>
        </w:rPr>
        <w:footnoteReference w:id="13"/>
      </w:r>
      <w:r w:rsidR="002E0E55" w:rsidRPr="007D557C">
        <w:rPr>
          <w:sz w:val="18"/>
          <w:vertAlign w:val="superscript"/>
        </w:rPr>
        <w:t xml:space="preserve"> </w:t>
      </w:r>
    </w:p>
    <w:p w14:paraId="4BC86937" w14:textId="332E097F" w:rsidR="002E0E55" w:rsidRPr="007D557C" w:rsidRDefault="00C421F9" w:rsidP="00C421F9">
      <w:pPr>
        <w:tabs>
          <w:tab w:val="left" w:pos="1701"/>
          <w:tab w:val="left" w:pos="2269"/>
        </w:tabs>
        <w:spacing w:after="120"/>
        <w:ind w:left="1135" w:right="1134" w:firstLine="567"/>
        <w:jc w:val="both"/>
      </w:pPr>
      <w:r w:rsidRPr="007D557C">
        <w:t>(g)</w:t>
      </w:r>
      <w:r w:rsidRPr="007D557C">
        <w:tab/>
      </w:r>
      <w:r w:rsidR="002E0E55" w:rsidRPr="007D557C">
        <w:t>Summary reports on the meetings of the Durban Forum;</w:t>
      </w:r>
    </w:p>
    <w:p w14:paraId="4BC86938" w14:textId="76EE688E" w:rsidR="002E0E55" w:rsidRPr="007D557C" w:rsidRDefault="00C421F9" w:rsidP="00C421F9">
      <w:pPr>
        <w:tabs>
          <w:tab w:val="left" w:pos="1701"/>
          <w:tab w:val="left" w:pos="2269"/>
        </w:tabs>
        <w:spacing w:after="120"/>
        <w:ind w:left="1135" w:right="1134" w:firstLine="567"/>
        <w:jc w:val="both"/>
      </w:pPr>
      <w:r w:rsidRPr="007D557C">
        <w:lastRenderedPageBreak/>
        <w:t>(h)</w:t>
      </w:r>
      <w:r w:rsidRPr="007D557C">
        <w:tab/>
      </w:r>
      <w:r w:rsidR="002E0E55" w:rsidRPr="007D557C">
        <w:t>Reports of relevant bodies established under the Convention and its Kyoto Protocol;</w:t>
      </w:r>
    </w:p>
    <w:p w14:paraId="4BC86939" w14:textId="2DE2F56F" w:rsidR="002E0E55" w:rsidRPr="007D557C" w:rsidRDefault="00C421F9" w:rsidP="00C421F9">
      <w:pPr>
        <w:tabs>
          <w:tab w:val="left" w:pos="1701"/>
          <w:tab w:val="left" w:pos="2269"/>
        </w:tabs>
        <w:spacing w:after="120"/>
        <w:ind w:left="1135" w:right="1134" w:firstLine="567"/>
        <w:jc w:val="both"/>
      </w:pPr>
      <w:r w:rsidRPr="007D557C">
        <w:t>(i)</w:t>
      </w:r>
      <w:r w:rsidRPr="007D557C">
        <w:tab/>
      </w:r>
      <w:r w:rsidR="002E0E55" w:rsidRPr="007D557C">
        <w:t>Interviews, surveys and focused discussions with national focal points for Article 6 of the Convention and other relevant national focal points;</w:t>
      </w:r>
    </w:p>
    <w:p w14:paraId="4BC8693A" w14:textId="18206582" w:rsidR="002E0E55" w:rsidRPr="007D557C" w:rsidRDefault="00C421F9" w:rsidP="00C421F9">
      <w:pPr>
        <w:tabs>
          <w:tab w:val="left" w:pos="1701"/>
          <w:tab w:val="left" w:pos="2269"/>
        </w:tabs>
        <w:spacing w:after="120"/>
        <w:ind w:left="1135" w:right="1134" w:firstLine="567"/>
        <w:jc w:val="both"/>
      </w:pPr>
      <w:r w:rsidRPr="007D557C">
        <w:t>(j)</w:t>
      </w:r>
      <w:r w:rsidRPr="007D557C">
        <w:tab/>
      </w:r>
      <w:r w:rsidR="002E0E55" w:rsidRPr="007D557C">
        <w:t>Other relevant existing documents prepared by the secretariat.</w:t>
      </w:r>
    </w:p>
    <w:p w14:paraId="4BC8693B" w14:textId="400EF02B" w:rsidR="002E0E55" w:rsidRPr="00130746" w:rsidRDefault="00C421F9" w:rsidP="00C421F9">
      <w:pPr>
        <w:pStyle w:val="RegHChG"/>
        <w:numPr>
          <w:ilvl w:val="0"/>
          <w:numId w:val="0"/>
        </w:numPr>
        <w:tabs>
          <w:tab w:val="left" w:pos="1135"/>
        </w:tabs>
        <w:ind w:left="1135" w:hanging="454"/>
      </w:pPr>
      <w:r w:rsidRPr="00130746">
        <w:t>V.</w:t>
      </w:r>
      <w:r w:rsidRPr="00130746">
        <w:tab/>
      </w:r>
      <w:r w:rsidR="002E0E55" w:rsidRPr="007D557C">
        <w:t>Modalities</w:t>
      </w:r>
      <w:r w:rsidR="002E0E55" w:rsidRPr="00130746">
        <w:t xml:space="preserve"> of work </w:t>
      </w:r>
    </w:p>
    <w:p w14:paraId="4BC8693C" w14:textId="4DF4B6A0" w:rsidR="002E0E55" w:rsidRPr="007D557C" w:rsidRDefault="00C421F9" w:rsidP="00C421F9">
      <w:pPr>
        <w:tabs>
          <w:tab w:val="left" w:pos="568"/>
          <w:tab w:val="left" w:pos="1701"/>
        </w:tabs>
        <w:spacing w:after="120"/>
        <w:ind w:left="1135" w:right="1134"/>
        <w:jc w:val="both"/>
      </w:pPr>
      <w:r w:rsidRPr="007D557C">
        <w:t>6.</w:t>
      </w:r>
      <w:r w:rsidRPr="007D557C">
        <w:tab/>
      </w:r>
      <w:r w:rsidR="002E0E55" w:rsidRPr="007D557C">
        <w:t xml:space="preserve">Drawing upon the information sources listed in chapter </w:t>
      </w:r>
      <w:r w:rsidR="002E0E55" w:rsidRPr="007D557C">
        <w:rPr>
          <w:rFonts w:eastAsia="Malgun Gothic" w:hint="eastAsia"/>
          <w:lang w:eastAsia="ko-KR"/>
        </w:rPr>
        <w:t>I</w:t>
      </w:r>
      <w:r w:rsidR="002E0E55" w:rsidRPr="007D557C">
        <w:t>V above and taking into account the objectives listed in chapter II above, the secretariat will prepare, for consideration at SBI 44, a report on the implementation of the capacity-building framework, including:</w:t>
      </w:r>
    </w:p>
    <w:p w14:paraId="4BC8693D" w14:textId="4615D0B6" w:rsidR="002E0E55" w:rsidRPr="007D557C" w:rsidRDefault="00C421F9" w:rsidP="00C421F9">
      <w:pPr>
        <w:tabs>
          <w:tab w:val="left" w:pos="1701"/>
          <w:tab w:val="left" w:pos="2269"/>
        </w:tabs>
        <w:spacing w:after="120"/>
        <w:ind w:left="1135" w:right="1134" w:firstLine="567"/>
        <w:jc w:val="both"/>
      </w:pPr>
      <w:r w:rsidRPr="007D557C">
        <w:t>(a)</w:t>
      </w:r>
      <w:r w:rsidRPr="007D557C">
        <w:tab/>
      </w:r>
      <w:r w:rsidR="002E0E55" w:rsidRPr="007D557C">
        <w:t>Descriptions of capacity-building programmes and activities;</w:t>
      </w:r>
    </w:p>
    <w:p w14:paraId="4BC8693E" w14:textId="66221F40" w:rsidR="002E0E55" w:rsidRPr="007D557C" w:rsidRDefault="00C421F9" w:rsidP="00C421F9">
      <w:pPr>
        <w:tabs>
          <w:tab w:val="left" w:pos="1701"/>
          <w:tab w:val="left" w:pos="2269"/>
        </w:tabs>
        <w:spacing w:after="120"/>
        <w:ind w:left="1135" w:right="1134" w:firstLine="567"/>
        <w:jc w:val="both"/>
      </w:pPr>
      <w:r w:rsidRPr="007D557C">
        <w:t>(b)</w:t>
      </w:r>
      <w:r w:rsidRPr="007D557C">
        <w:tab/>
      </w:r>
      <w:r w:rsidR="002E0E55" w:rsidRPr="007D557C">
        <w:t>Identification of needs and gaps and an assessment of factors that influence the effectiveness of capacity-building activities in developing countries;</w:t>
      </w:r>
    </w:p>
    <w:p w14:paraId="4BC8693F" w14:textId="36012CD8" w:rsidR="002E0E55" w:rsidRPr="007D557C" w:rsidRDefault="00C421F9" w:rsidP="00C421F9">
      <w:pPr>
        <w:tabs>
          <w:tab w:val="left" w:pos="1701"/>
          <w:tab w:val="left" w:pos="2269"/>
        </w:tabs>
        <w:spacing w:after="120"/>
        <w:ind w:left="1135" w:right="1134" w:firstLine="567"/>
        <w:jc w:val="both"/>
      </w:pPr>
      <w:r w:rsidRPr="007D557C">
        <w:t>(c)</w:t>
      </w:r>
      <w:r w:rsidRPr="007D557C">
        <w:tab/>
      </w:r>
      <w:r w:rsidR="002E0E55" w:rsidRPr="007D557C">
        <w:t>Key results and impacts;</w:t>
      </w:r>
    </w:p>
    <w:p w14:paraId="4BC86940" w14:textId="5E2E6C64" w:rsidR="002E0E55" w:rsidRPr="007D557C" w:rsidRDefault="00C421F9" w:rsidP="00C421F9">
      <w:pPr>
        <w:tabs>
          <w:tab w:val="left" w:pos="1701"/>
          <w:tab w:val="left" w:pos="2269"/>
        </w:tabs>
        <w:spacing w:after="120"/>
        <w:ind w:left="1135" w:right="1134" w:firstLine="567"/>
        <w:jc w:val="both"/>
      </w:pPr>
      <w:r w:rsidRPr="007D557C">
        <w:t>(d)</w:t>
      </w:r>
      <w:r w:rsidRPr="007D557C">
        <w:tab/>
      </w:r>
      <w:r w:rsidR="002E0E55" w:rsidRPr="007D557C">
        <w:t>Information on the extent and variety of stakeholders within developing countries (governmental and non-governmental organizations, the private sector, community organizations, etc.) involved in, and benefiting from, capacity-building activities;</w:t>
      </w:r>
    </w:p>
    <w:p w14:paraId="4BC86941" w14:textId="1EC09C07" w:rsidR="002E0E55" w:rsidRPr="007D557C" w:rsidRDefault="00C421F9" w:rsidP="00C421F9">
      <w:pPr>
        <w:tabs>
          <w:tab w:val="left" w:pos="1701"/>
          <w:tab w:val="left" w:pos="2269"/>
        </w:tabs>
        <w:spacing w:after="120"/>
        <w:ind w:left="1135" w:right="1134" w:firstLine="567"/>
        <w:jc w:val="both"/>
      </w:pPr>
      <w:r w:rsidRPr="007D557C">
        <w:t>(e)</w:t>
      </w:r>
      <w:r w:rsidRPr="007D557C">
        <w:tab/>
      </w:r>
      <w:r w:rsidR="002E0E55" w:rsidRPr="007D557C">
        <w:t>The availability of and access to resources and the effectiveness of their deployment;</w:t>
      </w:r>
    </w:p>
    <w:p w14:paraId="4BC86942" w14:textId="4AA7B466" w:rsidR="002E0E55" w:rsidRPr="007D557C" w:rsidRDefault="00C421F9" w:rsidP="00C421F9">
      <w:pPr>
        <w:tabs>
          <w:tab w:val="left" w:pos="1701"/>
          <w:tab w:val="left" w:pos="2269"/>
        </w:tabs>
        <w:spacing w:after="120"/>
        <w:ind w:left="1135" w:right="1134" w:firstLine="567"/>
        <w:jc w:val="both"/>
      </w:pPr>
      <w:r w:rsidRPr="007D557C">
        <w:t>(f)</w:t>
      </w:r>
      <w:r w:rsidRPr="007D557C">
        <w:tab/>
      </w:r>
      <w:r w:rsidR="002E0E55" w:rsidRPr="007D557C">
        <w:t>Recommendations for the further implementation of the capacity-building framework;</w:t>
      </w:r>
    </w:p>
    <w:p w14:paraId="4BC86943" w14:textId="679E9ADB" w:rsidR="002E0E55" w:rsidRPr="007D557C" w:rsidRDefault="00C421F9" w:rsidP="00C421F9">
      <w:pPr>
        <w:tabs>
          <w:tab w:val="left" w:pos="1701"/>
          <w:tab w:val="left" w:pos="2269"/>
        </w:tabs>
        <w:spacing w:after="120"/>
        <w:ind w:left="1135" w:right="1134" w:firstLine="567"/>
        <w:jc w:val="both"/>
      </w:pPr>
      <w:r w:rsidRPr="007D557C">
        <w:t>(g)</w:t>
      </w:r>
      <w:r w:rsidRPr="007D557C">
        <w:tab/>
      </w:r>
      <w:r w:rsidR="002E0E55" w:rsidRPr="007D557C">
        <w:t>Assessment of the different baselines and performance indicators for capacity-building.</w:t>
      </w:r>
    </w:p>
    <w:p w14:paraId="4BC86944" w14:textId="77777777" w:rsidR="002E0E55" w:rsidRDefault="002E0E55" w:rsidP="002E0E55">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Pr>
          <w:i/>
          <w:vertAlign w:val="superscript"/>
          <w:lang w:val="en-US" w:eastAsia="en-US"/>
        </w:rPr>
        <w:t>th</w:t>
      </w:r>
      <w:r>
        <w:rPr>
          <w:i/>
          <w:lang w:val="en-US" w:eastAsia="en-US"/>
        </w:rPr>
        <w:t xml:space="preserve"> plenary meeting</w:t>
      </w:r>
    </w:p>
    <w:p w14:paraId="4BC86945" w14:textId="77777777" w:rsidR="002E0E55" w:rsidRDefault="002E0E55" w:rsidP="002E0E55">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 December 2015</w:t>
      </w:r>
    </w:p>
    <w:p w14:paraId="4BC86946" w14:textId="77777777" w:rsidR="002E0E55" w:rsidRDefault="002E0E55" w:rsidP="002E0E55">
      <w:pPr>
        <w:sectPr w:rsidR="002E0E55" w:rsidSect="00877754">
          <w:headerReference w:type="even" r:id="rId22"/>
          <w:headerReference w:type="default" r:id="rId23"/>
          <w:footerReference w:type="even" r:id="rId24"/>
          <w:footerReference w:type="default" r:id="rId25"/>
          <w:footnotePr>
            <w:numRestart w:val="eachSect"/>
          </w:footnotePr>
          <w:pgSz w:w="11906" w:h="16838" w:code="9"/>
          <w:pgMar w:top="1701" w:right="1134" w:bottom="2268" w:left="1134" w:header="1134" w:footer="1701" w:gutter="0"/>
          <w:cols w:space="708"/>
          <w:docGrid w:linePitch="360"/>
        </w:sectPr>
      </w:pPr>
    </w:p>
    <w:p w14:paraId="5783EEB9" w14:textId="77777777" w:rsidR="001419F6" w:rsidRDefault="001419F6" w:rsidP="008C5FF4">
      <w:pPr>
        <w:pStyle w:val="HChG"/>
        <w:ind w:firstLine="0"/>
      </w:pPr>
      <w:r w:rsidRPr="002B371E">
        <w:rPr>
          <w:bCs/>
        </w:rPr>
        <w:lastRenderedPageBreak/>
        <w:t>Decision</w:t>
      </w:r>
      <w:r>
        <w:t xml:space="preserve"> 15/CP.21</w:t>
      </w:r>
    </w:p>
    <w:p w14:paraId="7B6A02E6" w14:textId="77777777" w:rsidR="001419F6" w:rsidRPr="006561E1" w:rsidRDefault="001419F6" w:rsidP="001419F6">
      <w:pPr>
        <w:keepNext/>
        <w:keepLines/>
        <w:tabs>
          <w:tab w:val="right" w:pos="851"/>
        </w:tabs>
        <w:spacing w:before="360" w:after="240" w:line="300" w:lineRule="exact"/>
        <w:ind w:left="1134" w:right="1134" w:hanging="1134"/>
        <w:rPr>
          <w:b/>
          <w:sz w:val="28"/>
        </w:rPr>
      </w:pPr>
      <w:r w:rsidRPr="006561E1">
        <w:rPr>
          <w:b/>
          <w:sz w:val="28"/>
        </w:rPr>
        <w:tab/>
      </w:r>
      <w:r w:rsidRPr="006561E1">
        <w:rPr>
          <w:b/>
          <w:sz w:val="28"/>
        </w:rPr>
        <w:tab/>
      </w:r>
      <w:r w:rsidRPr="00DD2D6C">
        <w:rPr>
          <w:b/>
          <w:sz w:val="28"/>
        </w:rPr>
        <w:t>Terms of reference for the intermediate review of the Doha work programme on Article 6 of the Convention</w:t>
      </w:r>
    </w:p>
    <w:p w14:paraId="2CFE391A" w14:textId="77777777" w:rsidR="001419F6" w:rsidRPr="006561E1" w:rsidRDefault="001419F6" w:rsidP="001419F6">
      <w:pPr>
        <w:spacing w:after="120"/>
        <w:ind w:left="1134" w:right="1134" w:firstLine="567"/>
        <w:jc w:val="both"/>
        <w:rPr>
          <w:rFonts w:eastAsia="Times New Roman"/>
          <w:i/>
          <w:lang w:val="en-US" w:eastAsia="en-US"/>
        </w:rPr>
      </w:pPr>
      <w:r w:rsidRPr="006561E1">
        <w:rPr>
          <w:rFonts w:eastAsia="Times New Roman"/>
          <w:i/>
          <w:lang w:val="en-US" w:eastAsia="en-US"/>
        </w:rPr>
        <w:t>The Conference of the Parties</w:t>
      </w:r>
      <w:r w:rsidRPr="006561E1">
        <w:rPr>
          <w:rFonts w:eastAsia="Times New Roman"/>
          <w:lang w:val="en-US" w:eastAsia="en-US"/>
        </w:rPr>
        <w:t>,</w:t>
      </w:r>
    </w:p>
    <w:p w14:paraId="2FE1648D" w14:textId="77777777" w:rsidR="001419F6" w:rsidRDefault="001419F6" w:rsidP="001419F6">
      <w:pPr>
        <w:tabs>
          <w:tab w:val="left" w:pos="1701"/>
        </w:tabs>
        <w:spacing w:after="120"/>
        <w:ind w:left="1135" w:right="1134"/>
        <w:jc w:val="both"/>
        <w:rPr>
          <w:szCs w:val="22"/>
          <w:lang w:val="en-AU"/>
        </w:rPr>
      </w:pPr>
      <w:r w:rsidRPr="006561E1">
        <w:rPr>
          <w:lang w:val="en-US"/>
        </w:rPr>
        <w:tab/>
      </w:r>
      <w:r w:rsidRPr="006561E1">
        <w:rPr>
          <w:i/>
        </w:rPr>
        <w:t>Recalling</w:t>
      </w:r>
      <w:r w:rsidRPr="006561E1">
        <w:t xml:space="preserve"> </w:t>
      </w:r>
      <w:r w:rsidRPr="004B46ED">
        <w:t>decision 15/CP.18</w:t>
      </w:r>
      <w:r>
        <w:rPr>
          <w:szCs w:val="22"/>
          <w:lang w:val="en-AU"/>
        </w:rPr>
        <w:t>,</w:t>
      </w:r>
    </w:p>
    <w:p w14:paraId="74DB4159" w14:textId="19BC41E0" w:rsidR="001419F6" w:rsidRDefault="001419F6" w:rsidP="001419F6">
      <w:pPr>
        <w:tabs>
          <w:tab w:val="left" w:pos="1701"/>
        </w:tabs>
        <w:spacing w:after="120"/>
        <w:ind w:left="1135" w:right="1134"/>
        <w:jc w:val="both"/>
        <w:rPr>
          <w:lang w:val="en-US"/>
        </w:rPr>
      </w:pPr>
      <w:r>
        <w:rPr>
          <w:i/>
          <w:lang w:val="en-US"/>
        </w:rPr>
        <w:tab/>
      </w:r>
      <w:r w:rsidRPr="00DD2D6C">
        <w:rPr>
          <w:i/>
          <w:lang w:val="en-US"/>
        </w:rPr>
        <w:t xml:space="preserve">Recognizing </w:t>
      </w:r>
      <w:r w:rsidRPr="00DD2D6C">
        <w:rPr>
          <w:lang w:val="en-US"/>
        </w:rPr>
        <w:t>the progress made by Parties, international organizations and civil society in planning, coordinating and implementing activities relating to all the elements</w:t>
      </w:r>
      <w:r>
        <w:rPr>
          <w:lang w:val="en-US"/>
        </w:rPr>
        <w:t xml:space="preserve"> of Article 6 of the Convention</w:t>
      </w:r>
      <w:r w:rsidRPr="00DD2D6C">
        <w:rPr>
          <w:lang w:val="en-US"/>
        </w:rPr>
        <w:t xml:space="preserve"> </w:t>
      </w:r>
      <w:r w:rsidR="00D3548D">
        <w:rPr>
          <w:lang w:val="en-US"/>
        </w:rPr>
        <w:t>–</w:t>
      </w:r>
      <w:r w:rsidRPr="00DD2D6C">
        <w:rPr>
          <w:lang w:val="en-US"/>
        </w:rPr>
        <w:t xml:space="preserve"> education, training, public awareness, public participation, public access to information, and international cooperation on these matters</w:t>
      </w:r>
      <w:r>
        <w:rPr>
          <w:lang w:val="en-US"/>
        </w:rPr>
        <w:t>,</w:t>
      </w:r>
    </w:p>
    <w:p w14:paraId="1A66E227" w14:textId="77777777" w:rsidR="001419F6" w:rsidRDefault="001419F6" w:rsidP="001419F6">
      <w:pPr>
        <w:tabs>
          <w:tab w:val="left" w:pos="1701"/>
        </w:tabs>
        <w:spacing w:after="120"/>
        <w:ind w:left="1135" w:right="1134"/>
        <w:jc w:val="both"/>
        <w:rPr>
          <w:lang w:val="en-US"/>
        </w:rPr>
      </w:pPr>
      <w:r>
        <w:rPr>
          <w:lang w:val="en-US"/>
        </w:rPr>
        <w:tab/>
      </w:r>
      <w:r w:rsidRPr="008266F5">
        <w:rPr>
          <w:i/>
          <w:lang w:val="en-US"/>
        </w:rPr>
        <w:t xml:space="preserve">Also recognizing </w:t>
      </w:r>
      <w:r w:rsidRPr="00DD2D6C">
        <w:rPr>
          <w:lang w:val="en-US"/>
        </w:rPr>
        <w:t>that ensuring the availability of sufficient financial and technical resources continues to be a challenge for the implementation of Article 6 of the Convention for Parties, in particular African countries, the least developed countries and small island developing States</w:t>
      </w:r>
      <w:r>
        <w:rPr>
          <w:lang w:val="en-US"/>
        </w:rPr>
        <w:t>,</w:t>
      </w:r>
    </w:p>
    <w:p w14:paraId="77FEBE84" w14:textId="77777777" w:rsidR="001419F6" w:rsidRDefault="001419F6" w:rsidP="001419F6">
      <w:pPr>
        <w:tabs>
          <w:tab w:val="left" w:pos="1701"/>
        </w:tabs>
        <w:spacing w:after="120"/>
        <w:ind w:left="1135" w:right="1134"/>
        <w:jc w:val="both"/>
        <w:rPr>
          <w:lang w:val="en-US"/>
        </w:rPr>
      </w:pPr>
      <w:r>
        <w:rPr>
          <w:szCs w:val="22"/>
          <w:lang w:val="en-AU"/>
        </w:rPr>
        <w:tab/>
      </w:r>
      <w:r>
        <w:rPr>
          <w:i/>
          <w:lang w:val="en-US"/>
        </w:rPr>
        <w:t xml:space="preserve">Reaffirming </w:t>
      </w:r>
      <w:r w:rsidRPr="00DD2D6C">
        <w:rPr>
          <w:lang w:val="en-US"/>
        </w:rPr>
        <w:t>the importance of taking into account gender aspects and the need to promote the effective engagement of children, youth, the elderly, women, persons with disabilities, indigenous peoples, local communities and non-governmental organizations in activities related to Article 6 of the Convention</w:t>
      </w:r>
      <w:r>
        <w:rPr>
          <w:lang w:val="en-US"/>
        </w:rPr>
        <w:t>,</w:t>
      </w:r>
    </w:p>
    <w:p w14:paraId="02DFD1AE" w14:textId="77777777" w:rsidR="001419F6" w:rsidRDefault="001419F6" w:rsidP="001419F6">
      <w:pPr>
        <w:tabs>
          <w:tab w:val="left" w:pos="1701"/>
        </w:tabs>
        <w:spacing w:after="120"/>
        <w:ind w:left="1135" w:right="1134"/>
        <w:jc w:val="both"/>
        <w:rPr>
          <w:lang w:val="en-US"/>
        </w:rPr>
      </w:pPr>
      <w:r>
        <w:rPr>
          <w:lang w:val="en-US"/>
        </w:rPr>
        <w:tab/>
      </w:r>
      <w:r w:rsidRPr="008266F5">
        <w:rPr>
          <w:i/>
          <w:lang w:val="en-US"/>
        </w:rPr>
        <w:t>Re</w:t>
      </w:r>
      <w:r>
        <w:rPr>
          <w:i/>
          <w:lang w:val="en-US"/>
        </w:rPr>
        <w:t xml:space="preserve">-emphasizing </w:t>
      </w:r>
      <w:r w:rsidRPr="00DD2D6C">
        <w:rPr>
          <w:lang w:val="en-US"/>
        </w:rPr>
        <w:t>the importance of building and strengthening the skills and capacities of national focal points for Article 6 of the Convention, including by continuing to facilitate a regular exchange of views, good practices and lessons learned through the organization of workshops, videoconferences and activities at the international, regional and national levels</w:t>
      </w:r>
      <w:r>
        <w:rPr>
          <w:lang w:val="en-US"/>
        </w:rPr>
        <w:t>,</w:t>
      </w:r>
    </w:p>
    <w:p w14:paraId="5F7BC020" w14:textId="77777777" w:rsidR="001419F6" w:rsidRDefault="001419F6" w:rsidP="001419F6">
      <w:pPr>
        <w:tabs>
          <w:tab w:val="left" w:pos="1701"/>
        </w:tabs>
        <w:spacing w:after="120"/>
        <w:ind w:left="1135" w:right="1134"/>
        <w:jc w:val="both"/>
        <w:rPr>
          <w:lang w:val="en-US"/>
        </w:rPr>
      </w:pPr>
      <w:r>
        <w:rPr>
          <w:lang w:val="en-US"/>
        </w:rPr>
        <w:tab/>
      </w:r>
      <w:r w:rsidRPr="008266F5">
        <w:rPr>
          <w:i/>
          <w:lang w:val="en-US"/>
        </w:rPr>
        <w:t>Recalling</w:t>
      </w:r>
      <w:r>
        <w:rPr>
          <w:lang w:val="en-US"/>
        </w:rPr>
        <w:t xml:space="preserve"> </w:t>
      </w:r>
      <w:r w:rsidRPr="00DD2D6C">
        <w:rPr>
          <w:lang w:val="en-US"/>
        </w:rPr>
        <w:t>the invitation to multilateral and bilateral institutions and organizations, including operating entities of the Financial Mechanism of the Convention, as appropriate, to provide financial support for the activities relating to the implementation of Article 6 of the Convention</w:t>
      </w:r>
      <w:r>
        <w:rPr>
          <w:lang w:val="en-US"/>
        </w:rPr>
        <w:t>,</w:t>
      </w:r>
    </w:p>
    <w:p w14:paraId="29866325" w14:textId="77777777" w:rsidR="001419F6" w:rsidRPr="004B46ED" w:rsidRDefault="001419F6" w:rsidP="001419F6">
      <w:pPr>
        <w:tabs>
          <w:tab w:val="left" w:pos="1701"/>
        </w:tabs>
        <w:spacing w:after="120"/>
        <w:ind w:left="1135" w:right="1134"/>
        <w:jc w:val="both"/>
      </w:pPr>
      <w:r>
        <w:rPr>
          <w:lang w:val="en-US"/>
        </w:rPr>
        <w:tab/>
      </w:r>
      <w:r>
        <w:rPr>
          <w:i/>
          <w:lang w:val="en-US"/>
        </w:rPr>
        <w:t xml:space="preserve">Also recalling </w:t>
      </w:r>
      <w:r w:rsidRPr="00DD2D6C">
        <w:rPr>
          <w:lang w:val="en-US"/>
        </w:rPr>
        <w:t>the Lima Ministerial Declaration on Education and Awareness-raising</w:t>
      </w:r>
      <w:r w:rsidRPr="00DD2D6C">
        <w:t>,</w:t>
      </w:r>
      <w:r w:rsidRPr="00DD2D6C">
        <w:rPr>
          <w:sz w:val="18"/>
          <w:vertAlign w:val="superscript"/>
        </w:rPr>
        <w:footnoteReference w:id="14"/>
      </w:r>
      <w:r w:rsidRPr="00DD2D6C">
        <w:t xml:space="preserve"> which stresses that education, training, public awareness, public participation, public access to information, knowledge and international cooperation play a fundamental role in meeting the ultimate objective of the Convention and in promoting climate-resilient sustainable development</w:t>
      </w:r>
      <w:r>
        <w:t>,</w:t>
      </w:r>
    </w:p>
    <w:p w14:paraId="239652EB" w14:textId="2FC9B12B" w:rsidR="001419F6" w:rsidRPr="006561E1" w:rsidRDefault="00C421F9" w:rsidP="00C421F9">
      <w:pPr>
        <w:tabs>
          <w:tab w:val="left" w:pos="568"/>
          <w:tab w:val="left" w:pos="1701"/>
        </w:tabs>
        <w:spacing w:after="120"/>
        <w:ind w:left="1135" w:right="1134"/>
        <w:jc w:val="both"/>
        <w:rPr>
          <w:szCs w:val="22"/>
          <w:lang w:val="en-AU"/>
        </w:rPr>
      </w:pPr>
      <w:r w:rsidRPr="006561E1">
        <w:rPr>
          <w:szCs w:val="22"/>
          <w:lang w:val="en-AU"/>
        </w:rPr>
        <w:t>1.</w:t>
      </w:r>
      <w:r w:rsidRPr="006561E1">
        <w:rPr>
          <w:szCs w:val="22"/>
          <w:lang w:val="en-AU"/>
        </w:rPr>
        <w:tab/>
      </w:r>
      <w:r w:rsidR="001419F6" w:rsidRPr="000C6CE5">
        <w:rPr>
          <w:i/>
        </w:rPr>
        <w:t>Requests</w:t>
      </w:r>
      <w:r w:rsidR="001419F6">
        <w:rPr>
          <w:i/>
        </w:rPr>
        <w:t xml:space="preserve"> </w:t>
      </w:r>
      <w:r w:rsidR="001419F6" w:rsidRPr="00DD2D6C">
        <w:t>the Subsidiary Body for Implementation to launch the intermediate review of the implementation of the Doha work programme on Article 6 of the Convention at its forty-fourth session (May 2016) on the basis of the terms of reference contained in the annex, with a view to the review being completed by November 2016</w:t>
      </w:r>
      <w:r w:rsidR="001419F6">
        <w:rPr>
          <w:szCs w:val="22"/>
          <w:lang w:val="en-AU"/>
        </w:rPr>
        <w:t>;</w:t>
      </w:r>
    </w:p>
    <w:p w14:paraId="58F7B7FE" w14:textId="398B4B04" w:rsidR="001419F6" w:rsidRPr="006561E1" w:rsidRDefault="00C421F9" w:rsidP="00C421F9">
      <w:pPr>
        <w:tabs>
          <w:tab w:val="left" w:pos="568"/>
          <w:tab w:val="left" w:pos="1701"/>
        </w:tabs>
        <w:spacing w:after="120"/>
        <w:ind w:left="1135" w:right="1134"/>
        <w:jc w:val="both"/>
        <w:rPr>
          <w:szCs w:val="22"/>
          <w:lang w:val="en-AU"/>
        </w:rPr>
      </w:pPr>
      <w:r w:rsidRPr="006561E1">
        <w:rPr>
          <w:szCs w:val="22"/>
          <w:lang w:val="en-AU"/>
        </w:rPr>
        <w:t>2.</w:t>
      </w:r>
      <w:r w:rsidRPr="006561E1">
        <w:rPr>
          <w:szCs w:val="22"/>
          <w:lang w:val="en-AU"/>
        </w:rPr>
        <w:tab/>
      </w:r>
      <w:r w:rsidR="001419F6">
        <w:rPr>
          <w:i/>
        </w:rPr>
        <w:t>Encourages</w:t>
      </w:r>
      <w:r w:rsidR="001419F6">
        <w:t xml:space="preserve"> </w:t>
      </w:r>
      <w:r w:rsidR="001419F6" w:rsidRPr="00DD2D6C">
        <w:t>United Nations organizations, in particular the members of the United Nations Alliance on Climate Change Education, Training and Public Awareness, to submit information on the results of their activities, including reports from relevant regional and subregional workshops, as appropriate, in order to support the implementation of the Doha work programme</w:t>
      </w:r>
      <w:r w:rsidR="001419F6" w:rsidRPr="006561E1">
        <w:rPr>
          <w:szCs w:val="22"/>
          <w:lang w:val="en-AU"/>
        </w:rPr>
        <w:t>;</w:t>
      </w:r>
    </w:p>
    <w:p w14:paraId="325A7513" w14:textId="4FA9A0D1" w:rsidR="001419F6" w:rsidRPr="006561E1" w:rsidRDefault="00C421F9" w:rsidP="00C421F9">
      <w:pPr>
        <w:tabs>
          <w:tab w:val="left" w:pos="568"/>
          <w:tab w:val="left" w:pos="1701"/>
        </w:tabs>
        <w:spacing w:after="120"/>
        <w:ind w:left="1135" w:right="1134"/>
        <w:jc w:val="both"/>
        <w:rPr>
          <w:lang w:val="en-AU"/>
        </w:rPr>
      </w:pPr>
      <w:r w:rsidRPr="006561E1">
        <w:rPr>
          <w:lang w:val="en-AU"/>
        </w:rPr>
        <w:lastRenderedPageBreak/>
        <w:t>3.</w:t>
      </w:r>
      <w:r w:rsidRPr="006561E1">
        <w:rPr>
          <w:lang w:val="en-AU"/>
        </w:rPr>
        <w:tab/>
      </w:r>
      <w:r w:rsidR="001419F6">
        <w:rPr>
          <w:i/>
        </w:rPr>
        <w:t>Requests</w:t>
      </w:r>
      <w:r w:rsidR="001419F6">
        <w:t xml:space="preserve"> </w:t>
      </w:r>
      <w:r w:rsidR="001419F6" w:rsidRPr="00DD2D6C">
        <w:t>the Global Environment Facility to report on the progress made in providing financial support and implementing activities to contribute to the implementation of the Doha work programme</w:t>
      </w:r>
      <w:r w:rsidR="001419F6" w:rsidRPr="006561E1">
        <w:rPr>
          <w:lang w:val="en-AU"/>
        </w:rPr>
        <w:t>;</w:t>
      </w:r>
    </w:p>
    <w:p w14:paraId="534A1FA9" w14:textId="3AC26BAD" w:rsidR="001419F6" w:rsidRPr="006561E1" w:rsidRDefault="00C421F9" w:rsidP="00C421F9">
      <w:pPr>
        <w:tabs>
          <w:tab w:val="left" w:pos="568"/>
          <w:tab w:val="left" w:pos="1701"/>
        </w:tabs>
        <w:spacing w:after="120"/>
        <w:ind w:left="1135" w:right="1134"/>
        <w:jc w:val="both"/>
        <w:rPr>
          <w:lang w:val="en-AU"/>
        </w:rPr>
      </w:pPr>
      <w:r w:rsidRPr="006561E1">
        <w:rPr>
          <w:lang w:val="en-AU"/>
        </w:rPr>
        <w:t>4.</w:t>
      </w:r>
      <w:r w:rsidRPr="006561E1">
        <w:rPr>
          <w:lang w:val="en-AU"/>
        </w:rPr>
        <w:tab/>
      </w:r>
      <w:r w:rsidR="001419F6">
        <w:rPr>
          <w:i/>
        </w:rPr>
        <w:t xml:space="preserve">Invites </w:t>
      </w:r>
      <w:r w:rsidR="001419F6" w:rsidRPr="00DD2D6C">
        <w:t>multilateral and bilateral institutions and organizations, the private sector and donors to report on financial resources provided to support the activities relating to the implementation of Article 6 of the Convention</w:t>
      </w:r>
      <w:r w:rsidR="001419F6" w:rsidRPr="006561E1">
        <w:rPr>
          <w:lang w:val="en-AU"/>
        </w:rPr>
        <w:t>;</w:t>
      </w:r>
    </w:p>
    <w:p w14:paraId="5DAD745A" w14:textId="31F5B8E1" w:rsidR="001419F6" w:rsidRDefault="00C421F9" w:rsidP="00C421F9">
      <w:pPr>
        <w:tabs>
          <w:tab w:val="left" w:pos="568"/>
          <w:tab w:val="left" w:pos="1701"/>
        </w:tabs>
        <w:spacing w:after="120"/>
        <w:ind w:left="1135" w:right="1134"/>
        <w:jc w:val="both"/>
        <w:rPr>
          <w:lang w:val="en-AU"/>
        </w:rPr>
      </w:pPr>
      <w:r>
        <w:rPr>
          <w:lang w:val="en-AU"/>
        </w:rPr>
        <w:t>5.</w:t>
      </w:r>
      <w:r>
        <w:rPr>
          <w:lang w:val="en-AU"/>
        </w:rPr>
        <w:tab/>
      </w:r>
      <w:r w:rsidR="001419F6">
        <w:rPr>
          <w:i/>
        </w:rPr>
        <w:t xml:space="preserve">Requests </w:t>
      </w:r>
      <w:r w:rsidR="001419F6" w:rsidRPr="00641E55">
        <w:t>the secretariat</w:t>
      </w:r>
      <w:r w:rsidR="001419F6">
        <w:rPr>
          <w:lang w:val="en-AU"/>
        </w:rPr>
        <w:t>:</w:t>
      </w:r>
    </w:p>
    <w:p w14:paraId="6255985B" w14:textId="0CA50677" w:rsidR="001419F6" w:rsidRDefault="00C421F9" w:rsidP="00C421F9">
      <w:pPr>
        <w:tabs>
          <w:tab w:val="left" w:pos="1701"/>
          <w:tab w:val="left" w:pos="2269"/>
        </w:tabs>
        <w:spacing w:after="120"/>
        <w:ind w:left="1135" w:right="1134" w:firstLine="567"/>
        <w:jc w:val="both"/>
      </w:pPr>
      <w:r>
        <w:t>(a)</w:t>
      </w:r>
      <w:r>
        <w:tab/>
      </w:r>
      <w:r w:rsidR="001419F6" w:rsidRPr="008266F5">
        <w:t xml:space="preserve">To </w:t>
      </w:r>
      <w:r w:rsidR="001419F6" w:rsidRPr="00DD2D6C">
        <w:t>prepare a report on the progress made, as well as emerging g</w:t>
      </w:r>
      <w:r w:rsidR="001419F6">
        <w:t xml:space="preserve">aps, needs and recommendations </w:t>
      </w:r>
      <w:r w:rsidR="001419F6" w:rsidRPr="00DD2D6C">
        <w:t>by Parties, admitted observer organizations and other stakeholders in implementing the Doha work programme as input to the intermediate review, as specifi</w:t>
      </w:r>
      <w:r w:rsidR="001419F6">
        <w:t xml:space="preserve">ed </w:t>
      </w:r>
      <w:r w:rsidR="001419F6" w:rsidRPr="00DD2D6C">
        <w:t>in paragraph 5 of the terms of reference contained in the annex, for consideration by the Subsidiary Body for Implementation at its forty-fourth session</w:t>
      </w:r>
      <w:r w:rsidR="001419F6">
        <w:t>;</w:t>
      </w:r>
    </w:p>
    <w:p w14:paraId="08C2B7F9" w14:textId="4E82D7FE" w:rsidR="001419F6" w:rsidRDefault="00C421F9" w:rsidP="00C421F9">
      <w:pPr>
        <w:tabs>
          <w:tab w:val="left" w:pos="1701"/>
          <w:tab w:val="left" w:pos="2269"/>
        </w:tabs>
        <w:spacing w:after="120"/>
        <w:ind w:left="1135" w:right="1134" w:firstLine="567"/>
        <w:jc w:val="both"/>
      </w:pPr>
      <w:r>
        <w:t>(b)</w:t>
      </w:r>
      <w:r>
        <w:tab/>
      </w:r>
      <w:r w:rsidR="001419F6">
        <w:t xml:space="preserve">To </w:t>
      </w:r>
      <w:r w:rsidR="001419F6" w:rsidRPr="00DD2D6C">
        <w:t>continue facilitating a regular exchange of views, good practices and lessons learned among national focal points for Article 6 of the Convention</w:t>
      </w:r>
      <w:r w:rsidR="001419F6">
        <w:t>;</w:t>
      </w:r>
    </w:p>
    <w:p w14:paraId="311887ED" w14:textId="703F7BF2" w:rsidR="001419F6" w:rsidRPr="004B46ED" w:rsidRDefault="00C421F9" w:rsidP="00C421F9">
      <w:pPr>
        <w:tabs>
          <w:tab w:val="left" w:pos="1701"/>
          <w:tab w:val="left" w:pos="2269"/>
        </w:tabs>
        <w:spacing w:after="120"/>
        <w:ind w:left="1135" w:right="1134" w:firstLine="567"/>
        <w:jc w:val="both"/>
      </w:pPr>
      <w:r w:rsidRPr="004B46ED">
        <w:t>(c)</w:t>
      </w:r>
      <w:r w:rsidRPr="004B46ED">
        <w:tab/>
      </w:r>
      <w:r w:rsidR="001419F6">
        <w:t xml:space="preserve">To </w:t>
      </w:r>
      <w:r w:rsidR="001419F6" w:rsidRPr="00DD2D6C">
        <w:t>continue collaborating with admitted observer organizations and other stakeholders and the members of the United Nations Alliance on Climate Change Education, Training and Public Awareness so as to catalyse action on Article 6 of the Convention</w:t>
      </w:r>
      <w:r w:rsidR="001419F6">
        <w:t>;</w:t>
      </w:r>
    </w:p>
    <w:p w14:paraId="152358FB" w14:textId="0D90349F" w:rsidR="001419F6" w:rsidRDefault="00C421F9" w:rsidP="00C421F9">
      <w:pPr>
        <w:tabs>
          <w:tab w:val="left" w:pos="568"/>
          <w:tab w:val="left" w:pos="1701"/>
        </w:tabs>
        <w:spacing w:after="120"/>
        <w:ind w:left="1135" w:right="1134"/>
        <w:jc w:val="both"/>
        <w:rPr>
          <w:lang w:val="en-AU"/>
        </w:rPr>
      </w:pPr>
      <w:r>
        <w:rPr>
          <w:lang w:val="en-AU"/>
        </w:rPr>
        <w:t>6.</w:t>
      </w:r>
      <w:r>
        <w:rPr>
          <w:lang w:val="en-AU"/>
        </w:rPr>
        <w:tab/>
      </w:r>
      <w:r w:rsidR="001419F6">
        <w:rPr>
          <w:i/>
        </w:rPr>
        <w:t xml:space="preserve">Also requests </w:t>
      </w:r>
      <w:r w:rsidR="001419F6" w:rsidRPr="00DD2D6C">
        <w:t>that the actions of the secretariat called for in this decision be undertaken subject to the availability of financial resources</w:t>
      </w:r>
      <w:r w:rsidR="001419F6" w:rsidRPr="004B46ED">
        <w:rPr>
          <w:lang w:val="en-AU"/>
        </w:rPr>
        <w:t>.</w:t>
      </w:r>
    </w:p>
    <w:p w14:paraId="159AB5F5" w14:textId="77777777" w:rsidR="008C5FF4" w:rsidRDefault="008C5FF4" w:rsidP="001419F6">
      <w:pPr>
        <w:suppressAutoHyphens w:val="0"/>
        <w:spacing w:line="240" w:lineRule="auto"/>
        <w:rPr>
          <w:lang w:val="en-AU"/>
        </w:rPr>
        <w:sectPr w:rsidR="008C5FF4" w:rsidSect="00877754">
          <w:headerReference w:type="even" r:id="rId26"/>
          <w:headerReference w:type="default" r:id="rId27"/>
          <w:footerReference w:type="even" r:id="rId28"/>
          <w:footerReference w:type="default" r:id="rId29"/>
          <w:footnotePr>
            <w:numRestart w:val="eachSect"/>
          </w:footnotePr>
          <w:pgSz w:w="11906" w:h="16838" w:code="9"/>
          <w:pgMar w:top="1701" w:right="1134" w:bottom="2268" w:left="1134" w:header="1134" w:footer="1701" w:gutter="0"/>
          <w:cols w:space="708"/>
          <w:docGrid w:linePitch="360"/>
        </w:sectPr>
      </w:pPr>
    </w:p>
    <w:p w14:paraId="33A2590A" w14:textId="77777777" w:rsidR="001419F6" w:rsidRPr="007D557C" w:rsidRDefault="001419F6" w:rsidP="001419F6">
      <w:pPr>
        <w:keepNext/>
        <w:keepLines/>
        <w:tabs>
          <w:tab w:val="right" w:pos="851"/>
        </w:tabs>
        <w:spacing w:after="240" w:line="300" w:lineRule="exact"/>
        <w:ind w:left="1134" w:right="1134" w:hanging="1134"/>
        <w:rPr>
          <w:b/>
          <w:sz w:val="28"/>
        </w:rPr>
      </w:pPr>
      <w:r w:rsidRPr="007D557C">
        <w:rPr>
          <w:b/>
          <w:sz w:val="28"/>
        </w:rPr>
        <w:lastRenderedPageBreak/>
        <w:t>Annex</w:t>
      </w:r>
    </w:p>
    <w:p w14:paraId="763EB01E" w14:textId="0A68FDDC" w:rsidR="001419F6" w:rsidRPr="007D557C" w:rsidRDefault="001419F6" w:rsidP="001419F6">
      <w:pPr>
        <w:keepNext/>
        <w:keepLines/>
        <w:tabs>
          <w:tab w:val="right" w:pos="851"/>
        </w:tabs>
        <w:spacing w:before="360" w:after="240" w:line="300" w:lineRule="exact"/>
        <w:ind w:left="1134" w:right="1134" w:hanging="1134"/>
        <w:rPr>
          <w:b/>
          <w:sz w:val="28"/>
        </w:rPr>
      </w:pPr>
      <w:r w:rsidRPr="007D557C">
        <w:rPr>
          <w:b/>
          <w:sz w:val="28"/>
        </w:rPr>
        <w:tab/>
      </w:r>
      <w:r w:rsidRPr="007D557C">
        <w:rPr>
          <w:b/>
          <w:sz w:val="28"/>
        </w:rPr>
        <w:tab/>
      </w:r>
      <w:r w:rsidRPr="007917A9">
        <w:rPr>
          <w:b/>
          <w:sz w:val="24"/>
        </w:rPr>
        <w:t>Terms of reference for the intermediate review of the Doha work programme on Article 6 of the Convention</w:t>
      </w:r>
    </w:p>
    <w:p w14:paraId="5DF766C8" w14:textId="614E228C" w:rsidR="001419F6" w:rsidRPr="007D557C" w:rsidRDefault="00C421F9" w:rsidP="00C421F9">
      <w:pPr>
        <w:keepNext/>
        <w:keepLines/>
        <w:tabs>
          <w:tab w:val="left" w:pos="1135"/>
        </w:tabs>
        <w:spacing w:before="360" w:after="240" w:line="300" w:lineRule="exact"/>
        <w:ind w:left="1135" w:right="1134" w:hanging="284"/>
        <w:rPr>
          <w:b/>
          <w:sz w:val="28"/>
        </w:rPr>
      </w:pPr>
      <w:r w:rsidRPr="007D557C">
        <w:rPr>
          <w:b/>
          <w:sz w:val="28"/>
        </w:rPr>
        <w:t>I.</w:t>
      </w:r>
      <w:r w:rsidRPr="007D557C">
        <w:rPr>
          <w:b/>
          <w:sz w:val="28"/>
        </w:rPr>
        <w:tab/>
      </w:r>
      <w:r w:rsidR="001419F6" w:rsidRPr="007D557C">
        <w:rPr>
          <w:b/>
          <w:sz w:val="28"/>
        </w:rPr>
        <w:t>Mandate</w:t>
      </w:r>
    </w:p>
    <w:p w14:paraId="772EF878" w14:textId="0120C5BA" w:rsidR="001419F6" w:rsidRPr="007D557C" w:rsidRDefault="00C421F9" w:rsidP="00C421F9">
      <w:pPr>
        <w:pStyle w:val="RegSingleTxtG"/>
        <w:numPr>
          <w:ilvl w:val="0"/>
          <w:numId w:val="0"/>
        </w:numPr>
        <w:tabs>
          <w:tab w:val="left" w:pos="568"/>
        </w:tabs>
        <w:ind w:left="1135"/>
      </w:pPr>
      <w:r w:rsidRPr="007D557C">
        <w:t>1.</w:t>
      </w:r>
      <w:r w:rsidRPr="007D557C">
        <w:tab/>
      </w:r>
      <w:r w:rsidR="001419F6">
        <w:t xml:space="preserve">At its eighteenth session, the Conference of the Parties (COP) adopted the eight-year Doha work programme on Article 6 of the Convention and decided that it would be reviewed in 2020, with an intermediate review of progress in 2016, to evaluate its effectiveness, identify any emerging gaps and needs, and inform any decisions on improving the effectiveness of the work programme, </w:t>
      </w:r>
      <w:r w:rsidR="001419F6" w:rsidRPr="004721EF">
        <w:t>as appropriate</w:t>
      </w:r>
      <w:r w:rsidR="001419F6" w:rsidRPr="007D557C">
        <w:t>.</w:t>
      </w:r>
      <w:r w:rsidR="001419F6" w:rsidRPr="00FB0274">
        <w:rPr>
          <w:sz w:val="18"/>
          <w:vertAlign w:val="superscript"/>
        </w:rPr>
        <w:footnoteReference w:id="15"/>
      </w:r>
    </w:p>
    <w:p w14:paraId="5FFF106C" w14:textId="6E95BA80" w:rsidR="001419F6" w:rsidRPr="007D557C" w:rsidRDefault="00C421F9" w:rsidP="00C421F9">
      <w:pPr>
        <w:tabs>
          <w:tab w:val="left" w:pos="568"/>
          <w:tab w:val="left" w:pos="1701"/>
        </w:tabs>
        <w:spacing w:after="120"/>
        <w:ind w:left="1135" w:right="1134"/>
        <w:jc w:val="both"/>
      </w:pPr>
      <w:r w:rsidRPr="007D557C">
        <w:t>2.</w:t>
      </w:r>
      <w:r w:rsidRPr="007D557C">
        <w:tab/>
      </w:r>
      <w:r w:rsidR="001419F6">
        <w:t xml:space="preserve">By </w:t>
      </w:r>
      <w:r w:rsidR="001419F6" w:rsidRPr="005F7E94">
        <w:t>the same decision, the COP requested the secretariat to prepare reports on the progress made by Parties in implementing Article 6 of the Convention based on information contained in national communications, reports on the annual in-session Dialogue on Article 6 and other sources of information, including a report on good practices of stakeholder participation in implementing Article 6 activities.</w:t>
      </w:r>
      <w:r w:rsidR="001419F6" w:rsidRPr="005F7E94">
        <w:rPr>
          <w:sz w:val="18"/>
          <w:vertAlign w:val="superscript"/>
        </w:rPr>
        <w:footnoteReference w:id="16"/>
      </w:r>
      <w:r w:rsidR="001419F6" w:rsidRPr="005F7E94">
        <w:t xml:space="preserve"> These reports will be issued regularly and in particular for the intermediate progress review in 2016 and the review in 2020</w:t>
      </w:r>
      <w:r w:rsidR="001419F6">
        <w:t>.</w:t>
      </w:r>
    </w:p>
    <w:p w14:paraId="5725F09A" w14:textId="5C3168FE" w:rsidR="001419F6" w:rsidRPr="007D557C" w:rsidRDefault="00C421F9" w:rsidP="00C421F9">
      <w:pPr>
        <w:keepNext/>
        <w:keepLines/>
        <w:tabs>
          <w:tab w:val="left" w:pos="1135"/>
        </w:tabs>
        <w:spacing w:before="360" w:after="240" w:line="300" w:lineRule="exact"/>
        <w:ind w:left="1135" w:right="1134" w:hanging="284"/>
        <w:rPr>
          <w:sz w:val="28"/>
          <w:szCs w:val="28"/>
        </w:rPr>
      </w:pPr>
      <w:r w:rsidRPr="007D557C">
        <w:rPr>
          <w:b/>
          <w:sz w:val="28"/>
          <w:szCs w:val="28"/>
        </w:rPr>
        <w:t>II.</w:t>
      </w:r>
      <w:r w:rsidRPr="007D557C">
        <w:rPr>
          <w:b/>
          <w:sz w:val="28"/>
          <w:szCs w:val="28"/>
        </w:rPr>
        <w:tab/>
      </w:r>
      <w:r w:rsidR="001419F6" w:rsidRPr="007D557C">
        <w:rPr>
          <w:b/>
          <w:sz w:val="28"/>
        </w:rPr>
        <w:t>Objectives</w:t>
      </w:r>
    </w:p>
    <w:p w14:paraId="658C16F7" w14:textId="72B9C7C3" w:rsidR="001419F6" w:rsidRPr="007D557C" w:rsidRDefault="00C421F9" w:rsidP="00C421F9">
      <w:pPr>
        <w:pStyle w:val="RegSingleTxtG"/>
        <w:numPr>
          <w:ilvl w:val="0"/>
          <w:numId w:val="0"/>
        </w:numPr>
        <w:tabs>
          <w:tab w:val="left" w:pos="568"/>
        </w:tabs>
        <w:ind w:left="1135"/>
      </w:pPr>
      <w:r w:rsidRPr="007D557C">
        <w:t>3.</w:t>
      </w:r>
      <w:r w:rsidRPr="007D557C">
        <w:tab/>
      </w:r>
      <w:r w:rsidR="001419F6" w:rsidRPr="00FB0274">
        <w:t>With a view to encouraging improvement based on experience, the objectives of the intermediate review of the progress made in the implementation of the Doha work programme are</w:t>
      </w:r>
      <w:r w:rsidR="001419F6" w:rsidRPr="007D557C">
        <w:t>:</w:t>
      </w:r>
    </w:p>
    <w:p w14:paraId="4A59E576" w14:textId="08E92193" w:rsidR="001419F6" w:rsidRPr="007D557C" w:rsidRDefault="00C421F9" w:rsidP="00C421F9">
      <w:pPr>
        <w:tabs>
          <w:tab w:val="left" w:pos="1701"/>
          <w:tab w:val="left" w:pos="2269"/>
        </w:tabs>
        <w:spacing w:after="120"/>
        <w:ind w:left="1135" w:right="1134" w:firstLine="567"/>
        <w:jc w:val="both"/>
      </w:pPr>
      <w:r w:rsidRPr="007D557C">
        <w:t>(a)</w:t>
      </w:r>
      <w:r w:rsidRPr="007D557C">
        <w:tab/>
      </w:r>
      <w:r w:rsidR="001419F6" w:rsidRPr="007D557C">
        <w:t xml:space="preserve">To </w:t>
      </w:r>
      <w:r w:rsidR="001419F6" w:rsidRPr="00FB0274">
        <w:t>take stock of the progress made in the implementation of the Doha work programme to date, noting that this work is still ongoing</w:t>
      </w:r>
      <w:r w:rsidR="001419F6" w:rsidRPr="007D557C">
        <w:t>;</w:t>
      </w:r>
    </w:p>
    <w:p w14:paraId="75C4B0A3" w14:textId="6E853FAF" w:rsidR="001419F6" w:rsidRPr="007D557C" w:rsidRDefault="00C421F9" w:rsidP="00C421F9">
      <w:pPr>
        <w:tabs>
          <w:tab w:val="left" w:pos="1701"/>
          <w:tab w:val="left" w:pos="2269"/>
        </w:tabs>
        <w:spacing w:after="120"/>
        <w:ind w:left="1135" w:right="1134" w:firstLine="567"/>
        <w:jc w:val="both"/>
      </w:pPr>
      <w:r w:rsidRPr="007D557C">
        <w:t>(b)</w:t>
      </w:r>
      <w:r w:rsidRPr="007D557C">
        <w:tab/>
      </w:r>
      <w:r w:rsidR="001419F6" w:rsidRPr="007D557C">
        <w:t xml:space="preserve">To </w:t>
      </w:r>
      <w:r w:rsidR="001419F6" w:rsidRPr="00FB0274">
        <w:t>take stock of progress in the integration of Article 6 activities into existing climate change adaptation and mitigation programmes, strategies and activities</w:t>
      </w:r>
      <w:r w:rsidR="001419F6" w:rsidRPr="007D557C">
        <w:t>;</w:t>
      </w:r>
    </w:p>
    <w:p w14:paraId="15B95614" w14:textId="74369F2C" w:rsidR="001419F6" w:rsidRPr="007D557C" w:rsidRDefault="00C421F9" w:rsidP="00C421F9">
      <w:pPr>
        <w:tabs>
          <w:tab w:val="left" w:pos="1701"/>
          <w:tab w:val="left" w:pos="2269"/>
        </w:tabs>
        <w:spacing w:after="120"/>
        <w:ind w:left="1135" w:right="1134" w:firstLine="567"/>
        <w:jc w:val="both"/>
      </w:pPr>
      <w:r w:rsidRPr="007D557C">
        <w:t>(c)</w:t>
      </w:r>
      <w:r w:rsidRPr="007D557C">
        <w:tab/>
      </w:r>
      <w:r w:rsidR="001419F6" w:rsidRPr="007D557C">
        <w:t xml:space="preserve">To </w:t>
      </w:r>
      <w:r w:rsidR="001419F6" w:rsidRPr="00FB0274">
        <w:t>identify essential needs for, potential gaps in and barriers to the implementation of the Doha work programme</w:t>
      </w:r>
      <w:r w:rsidR="001419F6" w:rsidRPr="007D557C">
        <w:t>;</w:t>
      </w:r>
    </w:p>
    <w:p w14:paraId="0227F04C" w14:textId="46A64876" w:rsidR="001419F6" w:rsidRPr="007D557C" w:rsidRDefault="00C421F9" w:rsidP="00C421F9">
      <w:pPr>
        <w:tabs>
          <w:tab w:val="left" w:pos="1701"/>
          <w:tab w:val="left" w:pos="2269"/>
        </w:tabs>
        <w:spacing w:after="120"/>
        <w:ind w:left="1135" w:right="1134" w:firstLine="567"/>
        <w:jc w:val="both"/>
      </w:pPr>
      <w:r w:rsidRPr="007D557C">
        <w:t>(d)</w:t>
      </w:r>
      <w:r w:rsidRPr="007D557C">
        <w:tab/>
      </w:r>
      <w:r w:rsidR="001419F6" w:rsidRPr="007D557C">
        <w:t xml:space="preserve">To </w:t>
      </w:r>
      <w:r w:rsidR="001419F6" w:rsidRPr="00FB0274">
        <w:t>identify good practices and lessons learned with a view to their dissemination, promotion and replication, as appropriate</w:t>
      </w:r>
      <w:r w:rsidR="001419F6" w:rsidRPr="007D557C">
        <w:t>;</w:t>
      </w:r>
    </w:p>
    <w:p w14:paraId="513A3B78" w14:textId="499A7C7B" w:rsidR="001419F6" w:rsidRPr="007D557C" w:rsidRDefault="00C421F9" w:rsidP="00C421F9">
      <w:pPr>
        <w:tabs>
          <w:tab w:val="left" w:pos="1701"/>
          <w:tab w:val="left" w:pos="2269"/>
        </w:tabs>
        <w:spacing w:after="120"/>
        <w:ind w:left="1135" w:right="1134" w:firstLine="567"/>
        <w:jc w:val="both"/>
      </w:pPr>
      <w:r w:rsidRPr="007D557C">
        <w:t>(e)</w:t>
      </w:r>
      <w:r w:rsidRPr="007D557C">
        <w:tab/>
      </w:r>
      <w:r w:rsidR="001419F6" w:rsidRPr="007D557C">
        <w:t xml:space="preserve">To </w:t>
      </w:r>
      <w:r w:rsidR="001419F6" w:rsidRPr="00FB0274">
        <w:t>identify recommendations on further steps for improving the effective implementation of the Doha work programme</w:t>
      </w:r>
      <w:r w:rsidR="001419F6">
        <w:t>.</w:t>
      </w:r>
    </w:p>
    <w:p w14:paraId="42085CB6" w14:textId="4C934A69" w:rsidR="001419F6" w:rsidRPr="00FB0274" w:rsidRDefault="00C421F9" w:rsidP="00C421F9">
      <w:pPr>
        <w:pStyle w:val="RegHChG"/>
        <w:numPr>
          <w:ilvl w:val="0"/>
          <w:numId w:val="0"/>
        </w:numPr>
        <w:tabs>
          <w:tab w:val="left" w:pos="1135"/>
        </w:tabs>
        <w:ind w:left="1135" w:hanging="454"/>
        <w:rPr>
          <w:szCs w:val="28"/>
        </w:rPr>
      </w:pPr>
      <w:r w:rsidRPr="00FB0274">
        <w:rPr>
          <w:szCs w:val="28"/>
        </w:rPr>
        <w:t>III.</w:t>
      </w:r>
      <w:r w:rsidRPr="00FB0274">
        <w:rPr>
          <w:szCs w:val="28"/>
        </w:rPr>
        <w:tab/>
      </w:r>
      <w:r w:rsidR="001419F6" w:rsidRPr="00FB0274">
        <w:rPr>
          <w:szCs w:val="28"/>
        </w:rPr>
        <w:t>Information sources</w:t>
      </w:r>
    </w:p>
    <w:p w14:paraId="55D99519" w14:textId="71D9D37D" w:rsidR="001419F6" w:rsidRDefault="00C421F9" w:rsidP="00C421F9">
      <w:pPr>
        <w:pStyle w:val="RegSingleTxtG"/>
        <w:numPr>
          <w:ilvl w:val="0"/>
          <w:numId w:val="0"/>
        </w:numPr>
        <w:tabs>
          <w:tab w:val="left" w:pos="568"/>
        </w:tabs>
        <w:ind w:left="1135"/>
      </w:pPr>
      <w:r>
        <w:t>4.</w:t>
      </w:r>
      <w:r>
        <w:tab/>
      </w:r>
      <w:r w:rsidR="001419F6" w:rsidRPr="00FB0274">
        <w:t>Information for the intermediate review of the implementation of the Doha work programme should be drawn from, inter alia</w:t>
      </w:r>
      <w:r w:rsidR="001419F6">
        <w:t>:</w:t>
      </w:r>
    </w:p>
    <w:p w14:paraId="1739B7E7" w14:textId="3167B00E" w:rsidR="001419F6" w:rsidRDefault="00C421F9" w:rsidP="00C421F9">
      <w:pPr>
        <w:pStyle w:val="RegSingleTxtG"/>
        <w:numPr>
          <w:ilvl w:val="0"/>
          <w:numId w:val="0"/>
        </w:numPr>
        <w:tabs>
          <w:tab w:val="left" w:pos="2269"/>
        </w:tabs>
        <w:ind w:left="1135" w:firstLine="567"/>
      </w:pPr>
      <w:r>
        <w:t>(a)</w:t>
      </w:r>
      <w:r>
        <w:tab/>
      </w:r>
      <w:r w:rsidR="001419F6">
        <w:t xml:space="preserve">Reports </w:t>
      </w:r>
      <w:r w:rsidR="001419F6" w:rsidRPr="00FB0274">
        <w:t>on the annual in-session Dialogue on Article 6 of the Convention</w:t>
      </w:r>
      <w:r w:rsidR="001419F6">
        <w:t>;</w:t>
      </w:r>
    </w:p>
    <w:p w14:paraId="1C50C7E7" w14:textId="184F3317" w:rsidR="001419F6" w:rsidRDefault="00C421F9" w:rsidP="00C421F9">
      <w:pPr>
        <w:pStyle w:val="RegSingleTxtG"/>
        <w:numPr>
          <w:ilvl w:val="0"/>
          <w:numId w:val="0"/>
        </w:numPr>
        <w:tabs>
          <w:tab w:val="left" w:pos="2269"/>
        </w:tabs>
        <w:ind w:left="1135" w:firstLine="567"/>
      </w:pPr>
      <w:r>
        <w:lastRenderedPageBreak/>
        <w:t>(b)</w:t>
      </w:r>
      <w:r>
        <w:tab/>
      </w:r>
      <w:r w:rsidR="001419F6" w:rsidRPr="005F7E94">
        <w:t>A report on good practices of stakeholder participation in implementing Article 6 of the Convention;</w:t>
      </w:r>
      <w:r w:rsidR="001419F6" w:rsidRPr="00FC7C1D">
        <w:rPr>
          <w:sz w:val="18"/>
          <w:vertAlign w:val="superscript"/>
        </w:rPr>
        <w:footnoteReference w:id="17"/>
      </w:r>
    </w:p>
    <w:p w14:paraId="6211981F" w14:textId="65D0DA2F" w:rsidR="001419F6" w:rsidRDefault="00C421F9" w:rsidP="00C421F9">
      <w:pPr>
        <w:pStyle w:val="RegSingleTxtG"/>
        <w:numPr>
          <w:ilvl w:val="0"/>
          <w:numId w:val="0"/>
        </w:numPr>
        <w:tabs>
          <w:tab w:val="left" w:pos="2269"/>
        </w:tabs>
        <w:ind w:left="1135" w:firstLine="567"/>
      </w:pPr>
      <w:r>
        <w:t>(c)</w:t>
      </w:r>
      <w:r>
        <w:tab/>
      </w:r>
      <w:r w:rsidR="001419F6">
        <w:t xml:space="preserve">Submissions from </w:t>
      </w:r>
      <w:r w:rsidR="001419F6" w:rsidRPr="0094650E">
        <w:t>Parties, admitted observer organizations and other stakeholders</w:t>
      </w:r>
      <w:r w:rsidR="001419F6">
        <w:t xml:space="preserve"> made in response to an invitation by </w:t>
      </w:r>
      <w:r w:rsidR="001419F6" w:rsidRPr="00A329BF">
        <w:t>the Subsidiary Body for Implementation (SBI) at its forty-second session, containing information on steps taken to implement the Doha work programme,</w:t>
      </w:r>
      <w:r w:rsidR="001419F6" w:rsidRPr="0094650E">
        <w:t xml:space="preserve"> </w:t>
      </w:r>
      <w:r w:rsidR="001419F6" w:rsidRPr="00A329BF">
        <w:t xml:space="preserve">such as efforts to consider the linkages between Article 6 activities, implementation of policies and measures to mitigate and adapt to climate change, </w:t>
      </w:r>
      <w:r w:rsidR="001419F6">
        <w:t xml:space="preserve">and on </w:t>
      </w:r>
      <w:r w:rsidR="001419F6" w:rsidRPr="0094650E">
        <w:t>emerging gaps</w:t>
      </w:r>
      <w:r w:rsidR="001419F6">
        <w:t xml:space="preserve"> and</w:t>
      </w:r>
      <w:r w:rsidR="001419F6" w:rsidRPr="0094650E">
        <w:t xml:space="preserve"> needs</w:t>
      </w:r>
      <w:r w:rsidR="001419F6">
        <w:t xml:space="preserve">, as well as </w:t>
      </w:r>
      <w:r w:rsidR="001419F6" w:rsidRPr="0094650E">
        <w:t>recommendations on further steps for improv</w:t>
      </w:r>
      <w:r w:rsidR="001419F6">
        <w:t xml:space="preserve">ing the effective implementation of the Doha work </w:t>
      </w:r>
      <w:r w:rsidR="001419F6" w:rsidRPr="0094650E">
        <w:t>programme</w:t>
      </w:r>
      <w:r w:rsidR="001419F6">
        <w:t>;</w:t>
      </w:r>
    </w:p>
    <w:p w14:paraId="5805C7BC" w14:textId="6F59DF1A" w:rsidR="001419F6" w:rsidRDefault="00C421F9" w:rsidP="00C421F9">
      <w:pPr>
        <w:pStyle w:val="RegSingleTxtG"/>
        <w:numPr>
          <w:ilvl w:val="0"/>
          <w:numId w:val="0"/>
        </w:numPr>
        <w:tabs>
          <w:tab w:val="left" w:pos="2269"/>
        </w:tabs>
        <w:ind w:left="1135" w:firstLine="567"/>
      </w:pPr>
      <w:r>
        <w:t>(d)</w:t>
      </w:r>
      <w:r>
        <w:tab/>
      </w:r>
      <w:r w:rsidR="001419F6" w:rsidRPr="005F7E94">
        <w:t>Relevant conclusions adopted at SBI 40,</w:t>
      </w:r>
      <w:r w:rsidR="001419F6" w:rsidRPr="005F7E94">
        <w:rPr>
          <w:sz w:val="18"/>
          <w:vertAlign w:val="superscript"/>
        </w:rPr>
        <w:footnoteReference w:id="18"/>
      </w:r>
      <w:r w:rsidR="001419F6" w:rsidRPr="005F7E94">
        <w:t xml:space="preserve"> including the annex to document FCCC/SBI/2014/L.20</w:t>
      </w:r>
      <w:r w:rsidR="001419F6">
        <w:t>;</w:t>
      </w:r>
    </w:p>
    <w:p w14:paraId="70CC5567" w14:textId="4E42AFAA" w:rsidR="001419F6" w:rsidRDefault="00C421F9" w:rsidP="00C421F9">
      <w:pPr>
        <w:pStyle w:val="RegSingleTxtG"/>
        <w:numPr>
          <w:ilvl w:val="0"/>
          <w:numId w:val="0"/>
        </w:numPr>
        <w:tabs>
          <w:tab w:val="left" w:pos="2269"/>
        </w:tabs>
        <w:ind w:left="1135" w:firstLine="567"/>
      </w:pPr>
      <w:r>
        <w:t>(e)</w:t>
      </w:r>
      <w:r>
        <w:tab/>
      </w:r>
      <w:r w:rsidR="001419F6">
        <w:t xml:space="preserve">National </w:t>
      </w:r>
      <w:r w:rsidR="001419F6" w:rsidRPr="0094650E">
        <w:t>communications and other relevant national reports</w:t>
      </w:r>
      <w:r w:rsidR="001419F6">
        <w:t>;</w:t>
      </w:r>
    </w:p>
    <w:p w14:paraId="69F55603" w14:textId="10094257" w:rsidR="001419F6" w:rsidRDefault="00C421F9" w:rsidP="00C421F9">
      <w:pPr>
        <w:pStyle w:val="RegSingleTxtG"/>
        <w:numPr>
          <w:ilvl w:val="0"/>
          <w:numId w:val="0"/>
        </w:numPr>
        <w:tabs>
          <w:tab w:val="left" w:pos="2269"/>
        </w:tabs>
        <w:ind w:left="1135" w:firstLine="567"/>
      </w:pPr>
      <w:r>
        <w:t>(f)</w:t>
      </w:r>
      <w:r>
        <w:tab/>
      </w:r>
      <w:r w:rsidR="001419F6">
        <w:t xml:space="preserve">Relevant information </w:t>
      </w:r>
      <w:r w:rsidR="001419F6" w:rsidRPr="0094650E">
        <w:t>and resource materials from United Nations organizations, in particular the members of the United Nations Alliance on Climate Change Education, Training and Public Awareness</w:t>
      </w:r>
      <w:r w:rsidR="001419F6">
        <w:t>;</w:t>
      </w:r>
    </w:p>
    <w:p w14:paraId="03F1AC33" w14:textId="40080DE1" w:rsidR="001419F6" w:rsidRDefault="00C421F9" w:rsidP="00C421F9">
      <w:pPr>
        <w:pStyle w:val="RegSingleTxtG"/>
        <w:numPr>
          <w:ilvl w:val="0"/>
          <w:numId w:val="0"/>
        </w:numPr>
        <w:tabs>
          <w:tab w:val="left" w:pos="2269"/>
        </w:tabs>
        <w:ind w:left="1135" w:firstLine="567"/>
      </w:pPr>
      <w:r>
        <w:t>(g)</w:t>
      </w:r>
      <w:r>
        <w:tab/>
      </w:r>
      <w:r w:rsidR="001419F6">
        <w:t xml:space="preserve">Reports </w:t>
      </w:r>
      <w:r w:rsidR="001419F6" w:rsidRPr="0094650E">
        <w:t xml:space="preserve">and submissions from the </w:t>
      </w:r>
      <w:r w:rsidR="001419F6" w:rsidRPr="00A329BF">
        <w:t>operating entities of the Financial Mechanism of the Convention and its implementing agencies on financial support provided and activities implemented to contribute to the implementation of the Doha work programme</w:t>
      </w:r>
      <w:r w:rsidR="001419F6">
        <w:t>;</w:t>
      </w:r>
    </w:p>
    <w:p w14:paraId="6967E4B6" w14:textId="74CB8DB3" w:rsidR="001419F6" w:rsidRPr="007D557C" w:rsidRDefault="00C421F9" w:rsidP="00C421F9">
      <w:pPr>
        <w:pStyle w:val="RegSingleTxtG"/>
        <w:numPr>
          <w:ilvl w:val="0"/>
          <w:numId w:val="0"/>
        </w:numPr>
        <w:tabs>
          <w:tab w:val="left" w:pos="2269"/>
        </w:tabs>
        <w:ind w:left="1135" w:firstLine="567"/>
      </w:pPr>
      <w:r w:rsidRPr="007D557C">
        <w:t>(h)</w:t>
      </w:r>
      <w:r w:rsidRPr="007D557C">
        <w:tab/>
      </w:r>
      <w:r w:rsidR="001419F6" w:rsidRPr="00A329BF">
        <w:t>Reports and submissions from multilateral and bilateral institutions and organizations, the private sector and donors on financial resources provided to support the implementation of Article 6 of the Convention</w:t>
      </w:r>
      <w:r w:rsidR="001419F6">
        <w:t>.</w:t>
      </w:r>
    </w:p>
    <w:p w14:paraId="51BDFF32" w14:textId="3F7B35CB" w:rsidR="001419F6" w:rsidRPr="00FB0274" w:rsidRDefault="00C421F9" w:rsidP="00C421F9">
      <w:pPr>
        <w:pStyle w:val="RegHChG"/>
        <w:numPr>
          <w:ilvl w:val="0"/>
          <w:numId w:val="0"/>
        </w:numPr>
        <w:tabs>
          <w:tab w:val="left" w:pos="1135"/>
        </w:tabs>
        <w:ind w:left="1135" w:hanging="454"/>
        <w:rPr>
          <w:szCs w:val="28"/>
        </w:rPr>
      </w:pPr>
      <w:r w:rsidRPr="00FB0274">
        <w:rPr>
          <w:szCs w:val="28"/>
        </w:rPr>
        <w:t>IV.</w:t>
      </w:r>
      <w:r w:rsidRPr="00FB0274">
        <w:rPr>
          <w:szCs w:val="28"/>
        </w:rPr>
        <w:tab/>
      </w:r>
      <w:r w:rsidR="001419F6" w:rsidRPr="00FB0274">
        <w:t>Modalities of review and expected outcomes</w:t>
      </w:r>
    </w:p>
    <w:p w14:paraId="00F3FC48" w14:textId="15DFA2F4" w:rsidR="001419F6" w:rsidRPr="007D557C" w:rsidRDefault="00C421F9" w:rsidP="00C421F9">
      <w:pPr>
        <w:tabs>
          <w:tab w:val="left" w:pos="568"/>
          <w:tab w:val="left" w:pos="1701"/>
        </w:tabs>
        <w:spacing w:after="120"/>
        <w:ind w:left="1135" w:right="1134"/>
        <w:jc w:val="both"/>
      </w:pPr>
      <w:r w:rsidRPr="007D557C">
        <w:t>5.</w:t>
      </w:r>
      <w:r w:rsidRPr="007D557C">
        <w:tab/>
      </w:r>
      <w:r w:rsidR="001419F6">
        <w:t xml:space="preserve">Drawing </w:t>
      </w:r>
      <w:r w:rsidR="001419F6" w:rsidRPr="00AF7016">
        <w:t xml:space="preserve">upon the information sources listed in </w:t>
      </w:r>
      <w:r w:rsidR="001419F6">
        <w:t>paragraph 4 above</w:t>
      </w:r>
      <w:r w:rsidR="001419F6" w:rsidRPr="00AF7016">
        <w:t xml:space="preserve">, the secretariat will prepare for consideration </w:t>
      </w:r>
      <w:r w:rsidR="0017411B">
        <w:t>at SBI 44 (May 2016)</w:t>
      </w:r>
      <w:r w:rsidR="001419F6" w:rsidRPr="007D557C">
        <w:t>:</w:t>
      </w:r>
    </w:p>
    <w:p w14:paraId="2B2204D7" w14:textId="3994A08A" w:rsidR="001419F6" w:rsidRPr="007D557C" w:rsidRDefault="00C421F9" w:rsidP="00C421F9">
      <w:pPr>
        <w:tabs>
          <w:tab w:val="left" w:pos="1701"/>
          <w:tab w:val="left" w:pos="2269"/>
        </w:tabs>
        <w:spacing w:after="120"/>
        <w:ind w:left="1135" w:right="1134" w:firstLine="567"/>
        <w:jc w:val="both"/>
      </w:pPr>
      <w:r w:rsidRPr="007D557C">
        <w:t>(a)</w:t>
      </w:r>
      <w:r w:rsidRPr="007D557C">
        <w:tab/>
      </w:r>
      <w:r w:rsidR="001419F6">
        <w:t xml:space="preserve">A synthesis </w:t>
      </w:r>
      <w:r w:rsidR="001419F6" w:rsidRPr="00AF7016">
        <w:t xml:space="preserve">report on </w:t>
      </w:r>
      <w:r w:rsidR="001419F6">
        <w:t xml:space="preserve">the </w:t>
      </w:r>
      <w:r w:rsidR="001419F6" w:rsidRPr="00AF7016">
        <w:t xml:space="preserve">progress </w:t>
      </w:r>
      <w:r w:rsidR="001419F6">
        <w:t xml:space="preserve">made </w:t>
      </w:r>
      <w:r w:rsidR="001419F6" w:rsidRPr="00AF7016">
        <w:t>by Parties, admitted observer organizations and other stakeholders in implementing the Doha work programme</w:t>
      </w:r>
      <w:r w:rsidR="001419F6" w:rsidRPr="007D557C">
        <w:t>;</w:t>
      </w:r>
    </w:p>
    <w:p w14:paraId="532065CD" w14:textId="5FAE3784" w:rsidR="001419F6" w:rsidRPr="007D557C" w:rsidRDefault="00C421F9" w:rsidP="00C421F9">
      <w:pPr>
        <w:tabs>
          <w:tab w:val="left" w:pos="1701"/>
          <w:tab w:val="left" w:pos="2269"/>
        </w:tabs>
        <w:spacing w:after="120"/>
        <w:ind w:left="1135" w:right="1134" w:firstLine="567"/>
        <w:jc w:val="both"/>
      </w:pPr>
      <w:r w:rsidRPr="007D557C">
        <w:t>(b)</w:t>
      </w:r>
      <w:r w:rsidRPr="007D557C">
        <w:tab/>
      </w:r>
      <w:r w:rsidR="001419F6" w:rsidRPr="00FB0274">
        <w:t>A report on the functionality and accessibility of the information network clearing house CC:iNet</w:t>
      </w:r>
      <w:r w:rsidR="001419F6">
        <w:t>.</w:t>
      </w:r>
    </w:p>
    <w:p w14:paraId="11BE70FB" w14:textId="3F66A3FF" w:rsidR="00E848B3" w:rsidRPr="007D557C" w:rsidRDefault="00C421F9" w:rsidP="00C421F9">
      <w:pPr>
        <w:pStyle w:val="RegSingleTxtG"/>
        <w:numPr>
          <w:ilvl w:val="0"/>
          <w:numId w:val="0"/>
        </w:numPr>
        <w:tabs>
          <w:tab w:val="left" w:pos="568"/>
        </w:tabs>
        <w:ind w:left="1135"/>
      </w:pPr>
      <w:r w:rsidRPr="007D557C">
        <w:t>6.</w:t>
      </w:r>
      <w:r w:rsidRPr="007D557C">
        <w:tab/>
      </w:r>
      <w:r w:rsidR="001419F6" w:rsidRPr="004B46ED">
        <w:t xml:space="preserve">SBI </w:t>
      </w:r>
      <w:r w:rsidR="0017411B">
        <w:t>44</w:t>
      </w:r>
      <w:r w:rsidR="001419F6" w:rsidRPr="004B46ED">
        <w:t xml:space="preserve"> will consider the documents referred to in paragraph 5 above and any other information relevant to the completion of the intermediate review, including the information referred to in paragraph 4 above, with a view to recommending a draft decision on this matter for consideration and adoption </w:t>
      </w:r>
      <w:r w:rsidR="0017411B">
        <w:t>at COP 22 (November 2016)</w:t>
      </w:r>
      <w:r w:rsidR="001419F6" w:rsidRPr="007D557C">
        <w:t>.</w:t>
      </w:r>
    </w:p>
    <w:p w14:paraId="4BC86973" w14:textId="77777777" w:rsidR="00964DCB" w:rsidRDefault="00B94CB1" w:rsidP="00964DCB">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964DCB">
        <w:rPr>
          <w:i/>
          <w:vertAlign w:val="superscript"/>
          <w:lang w:val="en-US" w:eastAsia="en-US"/>
        </w:rPr>
        <w:t>th</w:t>
      </w:r>
      <w:r w:rsidR="00964DCB">
        <w:rPr>
          <w:i/>
          <w:lang w:val="en-US" w:eastAsia="en-US"/>
        </w:rPr>
        <w:t xml:space="preserve"> plenary meeting</w:t>
      </w:r>
    </w:p>
    <w:p w14:paraId="4BC86974" w14:textId="77777777" w:rsidR="00964DCB" w:rsidRDefault="00B94CB1" w:rsidP="00964DCB">
      <w:pPr>
        <w:pStyle w:val="RegSingleTxtG"/>
        <w:numPr>
          <w:ilvl w:val="0"/>
          <w:numId w:val="0"/>
        </w:numPr>
        <w:suppressAutoHyphens w:val="0"/>
        <w:autoSpaceDE w:val="0"/>
        <w:autoSpaceDN w:val="0"/>
        <w:adjustRightInd w:val="0"/>
        <w:spacing w:after="0" w:line="240" w:lineRule="auto"/>
        <w:ind w:left="1134" w:right="-1"/>
        <w:jc w:val="right"/>
        <w:rPr>
          <w:i/>
          <w:lang w:val="en-US" w:eastAsia="en-US"/>
        </w:rPr>
        <w:sectPr w:rsidR="00964DCB" w:rsidSect="00877754">
          <w:footnotePr>
            <w:numRestart w:val="eachSect"/>
          </w:footnotePr>
          <w:pgSz w:w="11906" w:h="16838" w:code="9"/>
          <w:pgMar w:top="1701" w:right="1134" w:bottom="2268" w:left="1134" w:header="1134" w:footer="1701" w:gutter="0"/>
          <w:cols w:space="708"/>
          <w:docGrid w:linePitch="360"/>
        </w:sectPr>
      </w:pPr>
      <w:r>
        <w:rPr>
          <w:i/>
          <w:lang w:val="en-US" w:eastAsia="en-US"/>
        </w:rPr>
        <w:t>10</w:t>
      </w:r>
      <w:r w:rsidR="00964DCB">
        <w:rPr>
          <w:i/>
          <w:lang w:val="en-US" w:eastAsia="en-US"/>
        </w:rPr>
        <w:t xml:space="preserve"> December 2015</w:t>
      </w:r>
    </w:p>
    <w:p w14:paraId="4BC86975" w14:textId="77777777" w:rsidR="00964DCB" w:rsidRDefault="00964DCB" w:rsidP="00964DCB">
      <w:pPr>
        <w:pStyle w:val="HChG"/>
        <w:ind w:firstLine="0"/>
        <w:rPr>
          <w:bCs/>
        </w:rPr>
      </w:pPr>
      <w:r w:rsidRPr="00163AF8">
        <w:rPr>
          <w:bCs/>
        </w:rPr>
        <w:lastRenderedPageBreak/>
        <w:t>Decision 16/CP.21</w:t>
      </w:r>
    </w:p>
    <w:p w14:paraId="4BC86976" w14:textId="180E10F7" w:rsidR="00964DCB" w:rsidRDefault="00964DCB" w:rsidP="00964DCB">
      <w:pPr>
        <w:pStyle w:val="HChG"/>
      </w:pPr>
      <w:r>
        <w:tab/>
      </w:r>
      <w:r>
        <w:tab/>
        <w:t>Alternative policy approaches, such as joint mitigation and adaptation approaches for the integral and sustainable management of forests</w:t>
      </w:r>
    </w:p>
    <w:p w14:paraId="4BC86977" w14:textId="77777777" w:rsidR="00E146AF" w:rsidRPr="004202D8" w:rsidRDefault="00E146AF" w:rsidP="00E146AF">
      <w:pPr>
        <w:tabs>
          <w:tab w:val="left" w:pos="1701"/>
        </w:tabs>
        <w:spacing w:after="120"/>
        <w:ind w:left="1135" w:right="1134"/>
        <w:jc w:val="both"/>
      </w:pPr>
      <w:r w:rsidRPr="004202D8">
        <w:rPr>
          <w:i/>
          <w:lang w:val="en-US"/>
        </w:rPr>
        <w:tab/>
      </w:r>
      <w:r w:rsidRPr="004202D8">
        <w:rPr>
          <w:i/>
        </w:rPr>
        <w:t>The Conference of the Parties</w:t>
      </w:r>
      <w:r w:rsidRPr="004202D8">
        <w:t>,</w:t>
      </w:r>
    </w:p>
    <w:p w14:paraId="4BC86978" w14:textId="77777777" w:rsidR="00E146AF" w:rsidRPr="004202D8" w:rsidRDefault="00E146AF" w:rsidP="00E146AF">
      <w:pPr>
        <w:tabs>
          <w:tab w:val="left" w:pos="1701"/>
        </w:tabs>
        <w:spacing w:after="120"/>
        <w:ind w:left="1135" w:right="1134"/>
        <w:jc w:val="both"/>
      </w:pPr>
      <w:r w:rsidRPr="004202D8">
        <w:rPr>
          <w:i/>
          <w:lang w:val="en-US"/>
        </w:rPr>
        <w:tab/>
      </w:r>
      <w:r w:rsidRPr="004202D8">
        <w:rPr>
          <w:i/>
        </w:rPr>
        <w:t>Recalling</w:t>
      </w:r>
      <w:r w:rsidRPr="004202D8">
        <w:t xml:space="preserve"> decisions 2/CP.17, paragraph 67, and 1/CP.18, paragraph 39,</w:t>
      </w:r>
    </w:p>
    <w:p w14:paraId="4BC86979" w14:textId="77777777" w:rsidR="00E146AF" w:rsidRPr="004202D8" w:rsidRDefault="00E146AF" w:rsidP="00E146AF">
      <w:pPr>
        <w:spacing w:after="120"/>
        <w:ind w:left="1134" w:right="1134"/>
        <w:jc w:val="both"/>
        <w:rPr>
          <w:rFonts w:eastAsia="Times New Roman"/>
          <w:lang w:eastAsia="en-US"/>
        </w:rPr>
      </w:pPr>
      <w:r w:rsidRPr="004202D8">
        <w:rPr>
          <w:rFonts w:eastAsia="Times New Roman"/>
          <w:lang w:eastAsia="en-US"/>
        </w:rPr>
        <w:t>1.</w:t>
      </w:r>
      <w:r w:rsidRPr="004202D8">
        <w:rPr>
          <w:rFonts w:eastAsia="Times New Roman"/>
          <w:lang w:eastAsia="en-US"/>
        </w:rPr>
        <w:tab/>
      </w:r>
      <w:r w:rsidRPr="004202D8">
        <w:rPr>
          <w:rFonts w:eastAsia="Times New Roman"/>
          <w:i/>
          <w:lang w:eastAsia="en-US"/>
        </w:rPr>
        <w:t>Notes</w:t>
      </w:r>
      <w:r w:rsidRPr="004202D8">
        <w:rPr>
          <w:rFonts w:eastAsia="Times New Roman"/>
          <w:lang w:eastAsia="en-US"/>
        </w:rPr>
        <w:t xml:space="preserve"> that methodological aspects related to non-market-based approaches as referred to in </w:t>
      </w:r>
      <w:r w:rsidRPr="00183F19">
        <w:rPr>
          <w:rFonts w:eastAsia="Times New Roman"/>
          <w:lang w:eastAsia="en-US"/>
        </w:rPr>
        <w:t>decision 1/CP.18, paragraph 39</w:t>
      </w:r>
      <w:r w:rsidRPr="004202D8">
        <w:rPr>
          <w:rFonts w:eastAsia="Times New Roman"/>
          <w:lang w:eastAsia="en-US"/>
        </w:rPr>
        <w:t xml:space="preserve">, have been addressed by </w:t>
      </w:r>
      <w:r w:rsidRPr="00183F19">
        <w:rPr>
          <w:rFonts w:eastAsia="Times New Roman"/>
          <w:lang w:eastAsia="en-US"/>
        </w:rPr>
        <w:t>decisions 9/CP.19 to 15/CP.19</w:t>
      </w:r>
      <w:r w:rsidRPr="004202D8">
        <w:rPr>
          <w:rFonts w:eastAsia="Times New Roman"/>
          <w:lang w:eastAsia="en-US"/>
        </w:rPr>
        <w:t>;</w:t>
      </w:r>
    </w:p>
    <w:p w14:paraId="4BC8697A" w14:textId="77777777" w:rsidR="00E146AF" w:rsidRPr="004202D8" w:rsidRDefault="00E146AF" w:rsidP="00E146AF">
      <w:pPr>
        <w:spacing w:after="120"/>
        <w:ind w:left="1134" w:right="1134"/>
        <w:jc w:val="both"/>
        <w:rPr>
          <w:rFonts w:eastAsia="Times New Roman"/>
          <w:lang w:eastAsia="en-US"/>
        </w:rPr>
      </w:pPr>
      <w:r w:rsidRPr="004202D8">
        <w:rPr>
          <w:rFonts w:eastAsia="Times New Roman"/>
          <w:lang w:eastAsia="en-US"/>
        </w:rPr>
        <w:t>2.</w:t>
      </w:r>
      <w:r w:rsidRPr="004202D8">
        <w:rPr>
          <w:rFonts w:eastAsia="Times New Roman"/>
          <w:lang w:eastAsia="en-US"/>
        </w:rPr>
        <w:tab/>
      </w:r>
      <w:r w:rsidRPr="004202D8">
        <w:rPr>
          <w:rFonts w:eastAsia="Times New Roman"/>
          <w:i/>
          <w:lang w:eastAsia="en-US"/>
        </w:rPr>
        <w:t>Also notes</w:t>
      </w:r>
      <w:r w:rsidRPr="004202D8">
        <w:rPr>
          <w:rFonts w:eastAsia="Times New Roman"/>
          <w:lang w:eastAsia="en-US"/>
        </w:rPr>
        <w:t xml:space="preserve"> the references to alternative policy approaches, such as joint mitigation and adaptation approaches for the integral and sustainable management of forests, as referred to in </w:t>
      </w:r>
      <w:r w:rsidRPr="00183F19">
        <w:rPr>
          <w:rFonts w:eastAsia="Times New Roman"/>
          <w:lang w:eastAsia="en-US"/>
        </w:rPr>
        <w:t>decision 9/CP.19</w:t>
      </w:r>
      <w:r w:rsidRPr="004202D8">
        <w:rPr>
          <w:rFonts w:eastAsia="Times New Roman"/>
          <w:lang w:eastAsia="en-US"/>
        </w:rPr>
        <w:t>, and the need to provide clarity on such approaches as per this decision;</w:t>
      </w:r>
    </w:p>
    <w:p w14:paraId="4BC8697B" w14:textId="77777777" w:rsidR="00E146AF" w:rsidRPr="004202D8" w:rsidRDefault="00E146AF" w:rsidP="00E146AF">
      <w:pPr>
        <w:spacing w:after="120"/>
        <w:ind w:left="1134" w:right="1134"/>
        <w:jc w:val="both"/>
        <w:rPr>
          <w:rFonts w:eastAsia="Times New Roman"/>
          <w:lang w:eastAsia="en-US"/>
        </w:rPr>
      </w:pPr>
      <w:r w:rsidRPr="004202D8">
        <w:rPr>
          <w:rFonts w:eastAsia="Times New Roman"/>
          <w:lang w:eastAsia="en-US"/>
        </w:rPr>
        <w:t>3.</w:t>
      </w:r>
      <w:r w:rsidRPr="004202D8">
        <w:rPr>
          <w:rFonts w:eastAsia="Times New Roman"/>
          <w:lang w:eastAsia="en-US"/>
        </w:rPr>
        <w:tab/>
      </w:r>
      <w:r w:rsidRPr="004202D8">
        <w:rPr>
          <w:rFonts w:eastAsia="Times New Roman"/>
          <w:i/>
          <w:lang w:eastAsia="en-US"/>
        </w:rPr>
        <w:t>Acknowledges</w:t>
      </w:r>
      <w:r w:rsidRPr="004202D8">
        <w:rPr>
          <w:rFonts w:eastAsia="Times New Roman"/>
          <w:lang w:eastAsia="en-US"/>
        </w:rPr>
        <w:t xml:space="preserve"> that alternative policy approaches, such as joint mitigation and adaptation approaches for the integral and sustainable management of forests, are subject to the methodological guidance contained in </w:t>
      </w:r>
      <w:r w:rsidRPr="00183F19">
        <w:rPr>
          <w:rFonts w:eastAsia="Times New Roman"/>
          <w:lang w:eastAsia="en-US"/>
        </w:rPr>
        <w:t>decision 4/CP.15, paragraph 1</w:t>
      </w:r>
      <w:r w:rsidRPr="004202D8">
        <w:rPr>
          <w:rFonts w:eastAsia="Times New Roman"/>
          <w:lang w:eastAsia="en-US"/>
        </w:rPr>
        <w:t>, as well as the guidance on safeguards and on systems for providing information on how the safeguards are being addressed and respected when addressing issues related to the reduction of emissions from deforestation and forest degradation and the role of conservation, sustainable management of forests and enhancement of forest carbon stocks;</w:t>
      </w:r>
    </w:p>
    <w:p w14:paraId="4BC8697C" w14:textId="77777777" w:rsidR="00E146AF" w:rsidRPr="004202D8" w:rsidRDefault="00E146AF" w:rsidP="00E146AF">
      <w:pPr>
        <w:spacing w:after="120"/>
        <w:ind w:left="1134" w:right="1134"/>
        <w:jc w:val="both"/>
        <w:rPr>
          <w:rFonts w:eastAsia="Times New Roman"/>
          <w:lang w:eastAsia="en-US"/>
        </w:rPr>
      </w:pPr>
      <w:r w:rsidRPr="004202D8">
        <w:rPr>
          <w:rFonts w:eastAsia="Times New Roman"/>
          <w:lang w:eastAsia="en-US"/>
        </w:rPr>
        <w:t>4.</w:t>
      </w:r>
      <w:r w:rsidRPr="004202D8">
        <w:rPr>
          <w:rFonts w:eastAsia="Times New Roman"/>
          <w:lang w:eastAsia="en-US"/>
        </w:rPr>
        <w:tab/>
      </w:r>
      <w:r w:rsidRPr="004202D8">
        <w:rPr>
          <w:rFonts w:eastAsia="Times New Roman"/>
          <w:i/>
          <w:lang w:eastAsia="en-US"/>
        </w:rPr>
        <w:t xml:space="preserve">Recognizes </w:t>
      </w:r>
      <w:r w:rsidRPr="004202D8">
        <w:rPr>
          <w:rFonts w:eastAsia="Times New Roman"/>
          <w:lang w:eastAsia="en-US"/>
        </w:rPr>
        <w:t xml:space="preserve">that alternative policy approaches, such as joint mitigation and adaptation approaches for the integral and sustainable management of forests, are one of the alternatives to results-based payments, as referred to in </w:t>
      </w:r>
      <w:r w:rsidRPr="00183F19">
        <w:rPr>
          <w:rFonts w:eastAsia="Times New Roman"/>
          <w:lang w:eastAsia="en-US"/>
        </w:rPr>
        <w:t>decision 9/CP.19</w:t>
      </w:r>
      <w:r w:rsidRPr="004202D8">
        <w:rPr>
          <w:rFonts w:eastAsia="Times New Roman"/>
          <w:lang w:eastAsia="en-US"/>
        </w:rPr>
        <w:t>, that may contribute to the long-term sustainability of the implementation of the activities referred to in decision 1/CP.16, paragraph 70;</w:t>
      </w:r>
    </w:p>
    <w:p w14:paraId="4BC8697D" w14:textId="77777777" w:rsidR="00E146AF" w:rsidRPr="004202D8" w:rsidRDefault="00E146AF" w:rsidP="00E146AF">
      <w:pPr>
        <w:spacing w:after="120"/>
        <w:ind w:left="1134" w:right="1134"/>
        <w:jc w:val="both"/>
        <w:rPr>
          <w:rFonts w:eastAsia="Times New Roman"/>
          <w:lang w:eastAsia="en-US"/>
        </w:rPr>
      </w:pPr>
      <w:r w:rsidRPr="004202D8">
        <w:rPr>
          <w:rFonts w:eastAsia="Times New Roman"/>
          <w:lang w:eastAsia="en-US"/>
        </w:rPr>
        <w:t>5.</w:t>
      </w:r>
      <w:r w:rsidRPr="004202D8">
        <w:rPr>
          <w:rFonts w:eastAsia="Times New Roman"/>
          <w:lang w:eastAsia="en-US"/>
        </w:rPr>
        <w:tab/>
      </w:r>
      <w:r w:rsidRPr="004202D8">
        <w:rPr>
          <w:rFonts w:eastAsia="Times New Roman"/>
          <w:i/>
          <w:lang w:eastAsia="en-US"/>
        </w:rPr>
        <w:t>Decides</w:t>
      </w:r>
      <w:r w:rsidRPr="004202D8">
        <w:rPr>
          <w:rFonts w:eastAsia="Times New Roman"/>
          <w:lang w:eastAsia="en-US"/>
        </w:rPr>
        <w:t xml:space="preserve"> that developing country Parties seeking to receive support for the design and implementation of alternative policy approaches, such as joint mitigation and adaptation approaches for the integral and sustainable management of forests, may consider the following elements: </w:t>
      </w:r>
    </w:p>
    <w:p w14:paraId="4BC8697E" w14:textId="77777777" w:rsidR="00E146AF" w:rsidRPr="004202D8" w:rsidRDefault="00E146AF" w:rsidP="00E146AF">
      <w:pPr>
        <w:spacing w:after="120"/>
        <w:ind w:left="1134" w:right="1134" w:firstLine="567"/>
        <w:jc w:val="both"/>
        <w:rPr>
          <w:lang w:val="en-US"/>
        </w:rPr>
      </w:pPr>
      <w:r w:rsidRPr="004202D8">
        <w:rPr>
          <w:lang w:val="en-US"/>
        </w:rPr>
        <w:t>(a)</w:t>
      </w:r>
      <w:r w:rsidRPr="004202D8">
        <w:rPr>
          <w:lang w:val="en-US"/>
        </w:rPr>
        <w:tab/>
        <w:t xml:space="preserve">Development of national </w:t>
      </w:r>
      <w:r w:rsidRPr="004202D8">
        <w:t xml:space="preserve">strategies or action plans for the implementation of the activities referred to in decision 1/CP.16, paragraph 70, </w:t>
      </w:r>
      <w:r w:rsidRPr="004202D8">
        <w:rPr>
          <w:lang w:val="en-US"/>
        </w:rPr>
        <w:t>in order to support the integral and sustainable management of forests;</w:t>
      </w:r>
    </w:p>
    <w:p w14:paraId="4BC8697F" w14:textId="77777777" w:rsidR="00E146AF" w:rsidRPr="004202D8" w:rsidRDefault="00E146AF" w:rsidP="00E146AF">
      <w:pPr>
        <w:spacing w:after="120"/>
        <w:ind w:left="1134" w:right="1134" w:firstLine="567"/>
        <w:jc w:val="both"/>
        <w:rPr>
          <w:lang w:val="en-US"/>
        </w:rPr>
      </w:pPr>
      <w:r w:rsidRPr="004202D8">
        <w:t>(b)</w:t>
      </w:r>
      <w:r w:rsidRPr="004202D8">
        <w:tab/>
        <w:t>Identification of support needs, including financial resources and technical and technological support;</w:t>
      </w:r>
    </w:p>
    <w:p w14:paraId="4BC86980" w14:textId="77777777" w:rsidR="00E146AF" w:rsidRPr="004202D8" w:rsidRDefault="00E146AF" w:rsidP="00E146AF">
      <w:pPr>
        <w:spacing w:after="120"/>
        <w:ind w:left="1134" w:right="1134" w:firstLine="567"/>
        <w:jc w:val="both"/>
        <w:rPr>
          <w:lang w:val="en-US"/>
        </w:rPr>
      </w:pPr>
      <w:r w:rsidRPr="004202D8">
        <w:t>(c)</w:t>
      </w:r>
      <w:r w:rsidRPr="004202D8">
        <w:tab/>
        <w:t>Development of proposals demonstrating how alternative policy approaches, such as joint mitigation and adaptation approaches for the integral and sustainable management of forests, are contributing to the activities referred to in decision 1/CP.16, paragraph 70;</w:t>
      </w:r>
    </w:p>
    <w:p w14:paraId="4BC86981" w14:textId="77777777" w:rsidR="00E146AF" w:rsidRPr="004202D8" w:rsidRDefault="00E146AF" w:rsidP="00E146AF">
      <w:pPr>
        <w:spacing w:after="120"/>
        <w:ind w:left="1134" w:right="1134" w:firstLine="567"/>
        <w:jc w:val="both"/>
        <w:rPr>
          <w:lang w:val="en-US"/>
        </w:rPr>
      </w:pPr>
      <w:r w:rsidRPr="004202D8">
        <w:rPr>
          <w:lang w:val="en-US"/>
        </w:rPr>
        <w:t>(d)</w:t>
      </w:r>
      <w:r w:rsidRPr="004202D8">
        <w:rPr>
          <w:lang w:val="en-US"/>
        </w:rPr>
        <w:tab/>
        <w:t>Consideration of outcomes and areas of improvement in accordance with national circumstances by using adaptive management and learning, as appropriate;</w:t>
      </w:r>
    </w:p>
    <w:p w14:paraId="4BC86982" w14:textId="77777777" w:rsidR="00E146AF" w:rsidRPr="004202D8" w:rsidRDefault="00E146AF" w:rsidP="00E146AF">
      <w:pPr>
        <w:spacing w:after="120"/>
        <w:ind w:left="1134" w:right="1134"/>
        <w:jc w:val="both"/>
        <w:rPr>
          <w:rFonts w:eastAsia="Times New Roman"/>
          <w:lang w:eastAsia="en-US"/>
        </w:rPr>
      </w:pPr>
      <w:r w:rsidRPr="004202D8">
        <w:rPr>
          <w:rFonts w:eastAsia="Times New Roman"/>
          <w:lang w:eastAsia="en-US"/>
        </w:rPr>
        <w:t>6.</w:t>
      </w:r>
      <w:r w:rsidRPr="004202D8">
        <w:rPr>
          <w:rFonts w:eastAsia="Times New Roman"/>
          <w:lang w:eastAsia="en-US"/>
        </w:rPr>
        <w:tab/>
      </w:r>
      <w:r w:rsidRPr="004202D8">
        <w:rPr>
          <w:rFonts w:eastAsia="Times New Roman"/>
          <w:i/>
          <w:lang w:eastAsia="en-US"/>
        </w:rPr>
        <w:t>Notes</w:t>
      </w:r>
      <w:r w:rsidRPr="004202D8">
        <w:rPr>
          <w:rFonts w:eastAsia="Times New Roman"/>
          <w:lang w:eastAsia="en-US"/>
        </w:rPr>
        <w:t xml:space="preserve"> that the financing entities referred to in </w:t>
      </w:r>
      <w:r w:rsidRPr="00183F19">
        <w:rPr>
          <w:rFonts w:eastAsia="Times New Roman"/>
          <w:lang w:eastAsia="en-US"/>
        </w:rPr>
        <w:t>decision 9/CP.19, paragraph 5</w:t>
      </w:r>
      <w:r w:rsidRPr="004202D8">
        <w:rPr>
          <w:rFonts w:eastAsia="Times New Roman"/>
          <w:lang w:eastAsia="en-US"/>
        </w:rPr>
        <w:t xml:space="preserve">, are encouraged to continue to provide financial resources, including through the wide variety of sources referred to in </w:t>
      </w:r>
      <w:r w:rsidRPr="00183F19">
        <w:rPr>
          <w:rFonts w:eastAsia="Times New Roman"/>
          <w:lang w:eastAsia="en-US"/>
        </w:rPr>
        <w:t>decision 2/CP.17, paragraph 65,</w:t>
      </w:r>
      <w:r w:rsidRPr="004202D8">
        <w:rPr>
          <w:rFonts w:eastAsia="Times New Roman"/>
          <w:lang w:eastAsia="en-US"/>
        </w:rPr>
        <w:t xml:space="preserve"> for alternative policy approaches, </w:t>
      </w:r>
      <w:r w:rsidRPr="004202D8">
        <w:rPr>
          <w:rFonts w:eastAsia="Times New Roman"/>
          <w:lang w:eastAsia="en-US"/>
        </w:rPr>
        <w:lastRenderedPageBreak/>
        <w:t>such as joint mitigation and adaptation approaches for the integral and sustainable management of forests;</w:t>
      </w:r>
    </w:p>
    <w:p w14:paraId="4BC86983" w14:textId="77777777" w:rsidR="00E146AF" w:rsidRPr="004202D8" w:rsidRDefault="00E146AF" w:rsidP="00E146AF">
      <w:pPr>
        <w:spacing w:after="120"/>
        <w:ind w:left="1134" w:right="1134"/>
        <w:jc w:val="both"/>
        <w:rPr>
          <w:rFonts w:eastAsia="Times New Roman"/>
          <w:lang w:eastAsia="en-US"/>
        </w:rPr>
      </w:pPr>
      <w:r w:rsidRPr="004202D8">
        <w:rPr>
          <w:rFonts w:eastAsia="Times New Roman"/>
          <w:lang w:eastAsia="en-US"/>
        </w:rPr>
        <w:t>7.</w:t>
      </w:r>
      <w:r w:rsidRPr="004202D8">
        <w:rPr>
          <w:rFonts w:eastAsia="Times New Roman"/>
          <w:lang w:eastAsia="en-US"/>
        </w:rPr>
        <w:tab/>
      </w:r>
      <w:r w:rsidRPr="004202D8">
        <w:rPr>
          <w:rFonts w:eastAsia="Times New Roman"/>
          <w:i/>
          <w:lang w:eastAsia="en-US"/>
        </w:rPr>
        <w:t>Invites</w:t>
      </w:r>
      <w:r w:rsidRPr="004202D8">
        <w:rPr>
          <w:rFonts w:eastAsia="Times New Roman"/>
          <w:lang w:eastAsia="en-US"/>
        </w:rPr>
        <w:t xml:space="preserve"> Parties that want to implement alternative policy approaches, such as joint mitigation and adaptation approaches for the integral and sustainable management of forests, to support the implementation of the activities referred to in decision 1/CP.16, paragraph 70, to share information via the web platform on the UNFCCC website;</w:t>
      </w:r>
      <w:r w:rsidRPr="004202D8">
        <w:rPr>
          <w:rFonts w:eastAsia="Times New Roman"/>
          <w:sz w:val="18"/>
          <w:vertAlign w:val="superscript"/>
          <w:lang w:eastAsia="en-US"/>
        </w:rPr>
        <w:footnoteReference w:id="19"/>
      </w:r>
    </w:p>
    <w:p w14:paraId="4BC86984" w14:textId="77777777" w:rsidR="00E146AF" w:rsidRDefault="00E146AF" w:rsidP="00E146AF">
      <w:pPr>
        <w:spacing w:after="120"/>
        <w:ind w:left="1134" w:right="1134"/>
        <w:jc w:val="both"/>
        <w:rPr>
          <w:rFonts w:eastAsia="Times New Roman"/>
          <w:lang w:eastAsia="en-US"/>
        </w:rPr>
      </w:pPr>
      <w:r w:rsidRPr="004202D8">
        <w:rPr>
          <w:rFonts w:eastAsia="Times New Roman"/>
          <w:lang w:val="pt-BR" w:eastAsia="en-US"/>
        </w:rPr>
        <w:t>8.</w:t>
      </w:r>
      <w:r w:rsidRPr="004202D8">
        <w:rPr>
          <w:rFonts w:eastAsia="Times New Roman"/>
          <w:lang w:val="pt-BR" w:eastAsia="en-US"/>
        </w:rPr>
        <w:tab/>
      </w:r>
      <w:r w:rsidRPr="004202D8">
        <w:rPr>
          <w:rFonts w:eastAsia="Times New Roman"/>
          <w:i/>
          <w:lang w:val="pt-BR" w:eastAsia="en-US"/>
        </w:rPr>
        <w:t>Decides</w:t>
      </w:r>
      <w:r w:rsidRPr="004202D8">
        <w:rPr>
          <w:rFonts w:eastAsia="Times New Roman"/>
          <w:lang w:val="pt-BR" w:eastAsia="en-US"/>
        </w:rPr>
        <w:t xml:space="preserve"> to </w:t>
      </w:r>
      <w:r w:rsidRPr="004202D8">
        <w:rPr>
          <w:rFonts w:eastAsia="Times New Roman"/>
          <w:lang w:eastAsia="en-US"/>
        </w:rPr>
        <w:t xml:space="preserve">conclude its consideration of alternative policy approaches, such as joint mitigation and adaptation approaches for the integral and sustainable management of forests, in the context of </w:t>
      </w:r>
      <w:r w:rsidRPr="00183F19">
        <w:rPr>
          <w:rFonts w:eastAsia="Times New Roman"/>
          <w:lang w:eastAsia="en-US"/>
        </w:rPr>
        <w:t>decision 1/CP.18, paragraph 39</w:t>
      </w:r>
      <w:r w:rsidRPr="004202D8">
        <w:rPr>
          <w:rFonts w:eastAsia="Times New Roman"/>
          <w:lang w:eastAsia="en-US"/>
        </w:rPr>
        <w:t>.</w:t>
      </w:r>
    </w:p>
    <w:p w14:paraId="4BC86987" w14:textId="77777777" w:rsidR="00964DCB" w:rsidRDefault="00B94CB1" w:rsidP="00964DCB">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964DCB">
        <w:rPr>
          <w:i/>
          <w:vertAlign w:val="superscript"/>
          <w:lang w:val="en-US" w:eastAsia="en-US"/>
        </w:rPr>
        <w:t>th</w:t>
      </w:r>
      <w:r w:rsidR="00964DCB">
        <w:rPr>
          <w:i/>
          <w:lang w:val="en-US" w:eastAsia="en-US"/>
        </w:rPr>
        <w:t xml:space="preserve"> plenary meeting</w:t>
      </w:r>
    </w:p>
    <w:p w14:paraId="4BC86988" w14:textId="77777777" w:rsidR="00964DCB" w:rsidRDefault="00B94CB1" w:rsidP="00964DCB">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964DCB">
        <w:rPr>
          <w:i/>
          <w:lang w:val="en-US" w:eastAsia="en-US"/>
        </w:rPr>
        <w:t xml:space="preserve"> December 2015</w:t>
      </w:r>
    </w:p>
    <w:p w14:paraId="4BC86989" w14:textId="77777777" w:rsidR="00964DCB" w:rsidRDefault="00964DCB" w:rsidP="00964DCB">
      <w:pPr>
        <w:sectPr w:rsidR="00964DCB" w:rsidSect="00877754">
          <w:headerReference w:type="even" r:id="rId30"/>
          <w:headerReference w:type="default" r:id="rId31"/>
          <w:footerReference w:type="even" r:id="rId32"/>
          <w:footerReference w:type="default" r:id="rId33"/>
          <w:footnotePr>
            <w:numRestart w:val="eachSect"/>
          </w:footnotePr>
          <w:pgSz w:w="11906" w:h="16838" w:code="9"/>
          <w:pgMar w:top="1701" w:right="1134" w:bottom="2268" w:left="1134" w:header="1134" w:footer="1701" w:gutter="0"/>
          <w:cols w:space="708"/>
          <w:docGrid w:linePitch="360"/>
        </w:sectPr>
      </w:pPr>
    </w:p>
    <w:p w14:paraId="4BC8698A" w14:textId="77777777" w:rsidR="00964DCB" w:rsidRDefault="00964DCB" w:rsidP="00964DCB">
      <w:pPr>
        <w:pStyle w:val="HChG"/>
        <w:ind w:firstLine="0"/>
        <w:rPr>
          <w:bCs/>
        </w:rPr>
      </w:pPr>
      <w:r>
        <w:rPr>
          <w:bCs/>
        </w:rPr>
        <w:lastRenderedPageBreak/>
        <w:t>Decision 17/CP.21</w:t>
      </w:r>
    </w:p>
    <w:p w14:paraId="4BC8698B" w14:textId="77777777" w:rsidR="00964DCB" w:rsidRDefault="00964DCB" w:rsidP="00964DCB">
      <w:pPr>
        <w:pStyle w:val="HChG"/>
      </w:pPr>
      <w:r>
        <w:tab/>
      </w:r>
      <w:r>
        <w:tab/>
        <w:t xml:space="preserve">Further guidance on ensuring transparency, consistency, comprehensiveness and effectiveness when informing on how all the safeguards referred to in decision 1/CP.16, </w:t>
      </w:r>
      <w:r w:rsidR="00A708FB">
        <w:t>a</w:t>
      </w:r>
      <w:r>
        <w:t>ppendix I, are being addressed and respected</w:t>
      </w:r>
    </w:p>
    <w:p w14:paraId="4BC8698C" w14:textId="77777777" w:rsidR="00A708FB" w:rsidRPr="00E22448" w:rsidRDefault="00A708FB" w:rsidP="00A708FB">
      <w:pPr>
        <w:tabs>
          <w:tab w:val="left" w:pos="1701"/>
        </w:tabs>
        <w:spacing w:after="120"/>
        <w:ind w:left="1135" w:right="1134"/>
        <w:jc w:val="both"/>
      </w:pPr>
      <w:r w:rsidRPr="00E22448">
        <w:rPr>
          <w:i/>
          <w:lang w:val="en-US"/>
        </w:rPr>
        <w:tab/>
      </w:r>
      <w:r w:rsidRPr="00E22448">
        <w:rPr>
          <w:i/>
        </w:rPr>
        <w:t>The Conference of the Parties</w:t>
      </w:r>
      <w:r w:rsidRPr="00E22448">
        <w:t>,</w:t>
      </w:r>
    </w:p>
    <w:p w14:paraId="4BC8698D" w14:textId="77777777" w:rsidR="00A708FB" w:rsidRPr="00E22448" w:rsidRDefault="00A708FB" w:rsidP="00A708FB">
      <w:pPr>
        <w:tabs>
          <w:tab w:val="left" w:pos="1701"/>
        </w:tabs>
        <w:spacing w:after="120"/>
        <w:ind w:left="1135" w:right="1134"/>
        <w:jc w:val="both"/>
      </w:pPr>
      <w:r w:rsidRPr="00E22448">
        <w:rPr>
          <w:i/>
          <w:lang w:val="en-US"/>
        </w:rPr>
        <w:tab/>
      </w:r>
      <w:r w:rsidRPr="00E22448">
        <w:rPr>
          <w:i/>
        </w:rPr>
        <w:t>Recalling</w:t>
      </w:r>
      <w:r w:rsidRPr="00E22448">
        <w:t xml:space="preserve"> decisions 1/CP.16, 12/CP.17, 9/CP.19, 11/CP.19 and 12/CP.19,</w:t>
      </w:r>
    </w:p>
    <w:p w14:paraId="4BC8698E" w14:textId="77777777" w:rsidR="00A708FB" w:rsidRPr="00E22448" w:rsidRDefault="00A708FB" w:rsidP="00A708FB">
      <w:pPr>
        <w:tabs>
          <w:tab w:val="left" w:pos="1701"/>
        </w:tabs>
        <w:spacing w:after="120"/>
        <w:ind w:left="1135" w:right="1134"/>
        <w:jc w:val="both"/>
      </w:pPr>
      <w:r w:rsidRPr="00E22448">
        <w:rPr>
          <w:i/>
          <w:lang w:val="en-US"/>
        </w:rPr>
        <w:tab/>
      </w:r>
      <w:r w:rsidRPr="00E22448">
        <w:rPr>
          <w:i/>
        </w:rPr>
        <w:t>Noting</w:t>
      </w:r>
      <w:r w:rsidRPr="00E22448">
        <w:t xml:space="preserve"> that the implementation of the safeguards referred to in decision 1/CP.16, appendix I, and the information provided on how these safeguards are being addressed and respected should take into account national circumstances and respective capabilities and recognize national sovereignty and legislation and relevant international obligations and agreements,</w:t>
      </w:r>
    </w:p>
    <w:p w14:paraId="4BC8698F" w14:textId="77777777" w:rsidR="00A708FB" w:rsidRPr="00E22448" w:rsidRDefault="00A708FB" w:rsidP="00A708FB">
      <w:pPr>
        <w:tabs>
          <w:tab w:val="left" w:pos="1701"/>
        </w:tabs>
        <w:spacing w:after="120"/>
        <w:ind w:left="1135" w:right="1134"/>
        <w:jc w:val="both"/>
      </w:pPr>
      <w:r w:rsidRPr="00E22448">
        <w:rPr>
          <w:i/>
          <w:lang w:val="en-US"/>
        </w:rPr>
        <w:tab/>
      </w:r>
      <w:r w:rsidRPr="00E22448">
        <w:rPr>
          <w:i/>
        </w:rPr>
        <w:t>Recalling</w:t>
      </w:r>
      <w:r w:rsidRPr="00E22448">
        <w:t xml:space="preserve"> the importance and necessity of adequate and predictable financial and technical support for developing all of the elements referred to in decision 1/CP.16, paragraph 71,</w:t>
      </w:r>
    </w:p>
    <w:p w14:paraId="4BC86990" w14:textId="7239613E" w:rsidR="00A708FB" w:rsidRPr="00E22448" w:rsidRDefault="00A708FB" w:rsidP="00A708FB">
      <w:pPr>
        <w:tabs>
          <w:tab w:val="left" w:pos="1701"/>
        </w:tabs>
        <w:spacing w:after="120"/>
        <w:ind w:left="1135" w:right="1134"/>
        <w:jc w:val="both"/>
      </w:pPr>
      <w:r w:rsidRPr="00E22448">
        <w:rPr>
          <w:i/>
          <w:lang w:val="en-US"/>
        </w:rPr>
        <w:tab/>
      </w:r>
      <w:r w:rsidR="000A1AF0">
        <w:rPr>
          <w:i/>
          <w:lang w:val="en-US"/>
        </w:rPr>
        <w:t>Also r</w:t>
      </w:r>
      <w:r w:rsidRPr="00E22448">
        <w:rPr>
          <w:i/>
        </w:rPr>
        <w:t>ecalling</w:t>
      </w:r>
      <w:r w:rsidRPr="00E22448">
        <w:t xml:space="preserve"> that the monitoring and reporting of emissions displacement at the national level is agreed separately in decision 1/CP.16, paragraph 71(c),</w:t>
      </w:r>
    </w:p>
    <w:p w14:paraId="4BC86991" w14:textId="1E547B24" w:rsidR="00A708FB" w:rsidRPr="00E22448" w:rsidRDefault="00A708FB" w:rsidP="00A708FB">
      <w:pPr>
        <w:spacing w:after="120"/>
        <w:ind w:left="1134" w:right="1134"/>
        <w:jc w:val="both"/>
        <w:rPr>
          <w:rFonts w:eastAsia="Times New Roman"/>
          <w:lang w:eastAsia="en-US"/>
        </w:rPr>
      </w:pPr>
      <w:r w:rsidRPr="00E22448">
        <w:rPr>
          <w:rFonts w:eastAsia="Times New Roman"/>
          <w:lang w:eastAsia="en-US"/>
        </w:rPr>
        <w:t>1.</w:t>
      </w:r>
      <w:r w:rsidRPr="00E22448">
        <w:rPr>
          <w:rFonts w:eastAsia="Times New Roman"/>
          <w:lang w:eastAsia="en-US"/>
        </w:rPr>
        <w:tab/>
      </w:r>
      <w:r w:rsidRPr="00E22448">
        <w:rPr>
          <w:rFonts w:eastAsia="Times New Roman"/>
          <w:i/>
          <w:lang w:eastAsia="en-US"/>
        </w:rPr>
        <w:t>Reiterates</w:t>
      </w:r>
      <w:r w:rsidRPr="00E22448">
        <w:rPr>
          <w:rFonts w:eastAsia="Times New Roman"/>
          <w:lang w:eastAsia="en-US"/>
        </w:rPr>
        <w:t xml:space="preserve"> that, in accordance with </w:t>
      </w:r>
      <w:r w:rsidRPr="00886B02">
        <w:rPr>
          <w:rFonts w:eastAsia="Times New Roman"/>
          <w:lang w:eastAsia="en-US"/>
        </w:rPr>
        <w:t>decision 12/CP.17, paragraphs 1 and 3</w:t>
      </w:r>
      <w:r w:rsidRPr="00E22448">
        <w:rPr>
          <w:rFonts w:eastAsia="Times New Roman"/>
          <w:lang w:eastAsia="en-US"/>
        </w:rPr>
        <w:t>, developing country Parties undertaking the activities referred to in decision 1/CP.16, paragraph 70, should provide a summary of information on how all the safeguards referred to in decision 1/CP.16, appendix I, are being addressed and respected throughout the implementation of those activities;</w:t>
      </w:r>
    </w:p>
    <w:p w14:paraId="4BC86992" w14:textId="77777777" w:rsidR="00A708FB" w:rsidRPr="00E22448" w:rsidRDefault="00A708FB" w:rsidP="00A708FB">
      <w:pPr>
        <w:spacing w:after="120"/>
        <w:ind w:left="1134" w:right="1134"/>
        <w:jc w:val="both"/>
        <w:rPr>
          <w:rFonts w:eastAsia="Times New Roman"/>
          <w:lang w:eastAsia="en-US"/>
        </w:rPr>
      </w:pPr>
      <w:r w:rsidRPr="00E22448">
        <w:rPr>
          <w:rFonts w:eastAsia="Times New Roman"/>
          <w:lang w:eastAsia="en-US"/>
        </w:rPr>
        <w:t>2.</w:t>
      </w:r>
      <w:r w:rsidRPr="00E22448">
        <w:rPr>
          <w:rFonts w:eastAsia="Times New Roman"/>
          <w:lang w:eastAsia="en-US"/>
        </w:rPr>
        <w:tab/>
      </w:r>
      <w:r w:rsidRPr="00E22448">
        <w:rPr>
          <w:rFonts w:eastAsia="Times New Roman"/>
          <w:i/>
          <w:lang w:eastAsia="en-US"/>
        </w:rPr>
        <w:t>Also reiterates</w:t>
      </w:r>
      <w:r w:rsidRPr="00E22448">
        <w:rPr>
          <w:rFonts w:eastAsia="Times New Roman"/>
          <w:lang w:eastAsia="en-US"/>
        </w:rPr>
        <w:t xml:space="preserve"> that the summary of information referred to in paragraph 1 above should be provided periodically, in accordance with </w:t>
      </w:r>
      <w:r w:rsidRPr="00886B02">
        <w:rPr>
          <w:rFonts w:eastAsia="Times New Roman"/>
          <w:lang w:eastAsia="en-US"/>
        </w:rPr>
        <w:t>decisions 12/CP.17 and 12/CP.19</w:t>
      </w:r>
      <w:r w:rsidRPr="00E22448">
        <w:rPr>
          <w:rFonts w:eastAsia="Times New Roman"/>
          <w:lang w:eastAsia="en-US"/>
        </w:rPr>
        <w:t>;</w:t>
      </w:r>
    </w:p>
    <w:p w14:paraId="4BC86993" w14:textId="77777777" w:rsidR="00A708FB" w:rsidRPr="00E22448" w:rsidRDefault="00A708FB" w:rsidP="00A708FB">
      <w:pPr>
        <w:spacing w:after="120"/>
        <w:ind w:left="1134" w:right="1134"/>
        <w:jc w:val="both"/>
        <w:rPr>
          <w:rFonts w:eastAsia="Times New Roman"/>
          <w:lang w:eastAsia="en-US"/>
        </w:rPr>
      </w:pPr>
      <w:r w:rsidRPr="00E22448">
        <w:rPr>
          <w:rFonts w:eastAsia="Times New Roman"/>
          <w:lang w:eastAsia="en-US"/>
        </w:rPr>
        <w:t>3.</w:t>
      </w:r>
      <w:r w:rsidRPr="00E22448">
        <w:rPr>
          <w:rFonts w:eastAsia="Times New Roman"/>
          <w:lang w:eastAsia="en-US"/>
        </w:rPr>
        <w:tab/>
      </w:r>
      <w:r w:rsidRPr="00E22448">
        <w:rPr>
          <w:rFonts w:eastAsia="Times New Roman"/>
          <w:i/>
          <w:lang w:eastAsia="en-US"/>
        </w:rPr>
        <w:t>Notes</w:t>
      </w:r>
      <w:r w:rsidRPr="00E22448">
        <w:rPr>
          <w:rFonts w:eastAsia="Times New Roman"/>
          <w:lang w:eastAsia="en-US"/>
        </w:rPr>
        <w:t xml:space="preserve"> that information on how all the safeguards are being addressed and respected should be provided in a way that ensures transparency, consistency, comprehensiveness and effectiveness;</w:t>
      </w:r>
    </w:p>
    <w:p w14:paraId="4BC86994" w14:textId="77777777" w:rsidR="00A708FB" w:rsidRPr="00E22448" w:rsidRDefault="00A708FB" w:rsidP="00A708FB">
      <w:pPr>
        <w:spacing w:after="120"/>
        <w:ind w:left="1134" w:right="1134"/>
        <w:jc w:val="both"/>
        <w:rPr>
          <w:rFonts w:eastAsia="Times New Roman"/>
          <w:lang w:eastAsia="en-US"/>
        </w:rPr>
      </w:pPr>
      <w:r w:rsidRPr="00E22448">
        <w:rPr>
          <w:rFonts w:eastAsia="Times New Roman"/>
          <w:lang w:eastAsia="en-US"/>
        </w:rPr>
        <w:t>4.</w:t>
      </w:r>
      <w:r w:rsidRPr="00E22448">
        <w:rPr>
          <w:rFonts w:eastAsia="Times New Roman"/>
          <w:lang w:eastAsia="en-US"/>
        </w:rPr>
        <w:tab/>
      </w:r>
      <w:r w:rsidRPr="00E22448">
        <w:rPr>
          <w:rFonts w:eastAsia="Times New Roman"/>
          <w:i/>
          <w:lang w:eastAsia="en-US"/>
        </w:rPr>
        <w:t>Decides</w:t>
      </w:r>
      <w:r w:rsidRPr="00E22448">
        <w:rPr>
          <w:rFonts w:eastAsia="Times New Roman"/>
          <w:lang w:eastAsia="en-US"/>
        </w:rPr>
        <w:t xml:space="preserve"> that developing country Parties should provide information on which activity or activities referred to in decision 1/CP.16, paragraph 70, are included in the summary of information referred to in paragraph 1 above, taking into account </w:t>
      </w:r>
      <w:r w:rsidRPr="00886B02">
        <w:rPr>
          <w:rFonts w:eastAsia="Times New Roman"/>
          <w:lang w:eastAsia="en-US"/>
        </w:rPr>
        <w:t>decision 12/CP.17, paragraphs 1 and 3</w:t>
      </w:r>
      <w:r w:rsidRPr="00E22448">
        <w:rPr>
          <w:rFonts w:eastAsia="Times New Roman"/>
          <w:lang w:eastAsia="en-US"/>
        </w:rPr>
        <w:t xml:space="preserve">, and </w:t>
      </w:r>
      <w:r w:rsidRPr="00886B02">
        <w:rPr>
          <w:rFonts w:eastAsia="Times New Roman"/>
          <w:lang w:eastAsia="en-US"/>
        </w:rPr>
        <w:t>decision 9/CP.19, paragraph 4</w:t>
      </w:r>
      <w:r w:rsidRPr="00E22448">
        <w:rPr>
          <w:rFonts w:eastAsia="Times New Roman"/>
          <w:lang w:eastAsia="en-US"/>
        </w:rPr>
        <w:t>;</w:t>
      </w:r>
    </w:p>
    <w:p w14:paraId="4BC86995" w14:textId="77777777" w:rsidR="00A708FB" w:rsidRPr="00E22448" w:rsidRDefault="00A708FB" w:rsidP="00A708FB">
      <w:pPr>
        <w:spacing w:after="120"/>
        <w:ind w:left="1134" w:right="1134"/>
        <w:jc w:val="both"/>
        <w:rPr>
          <w:rFonts w:eastAsia="Times New Roman"/>
          <w:lang w:eastAsia="en-US"/>
        </w:rPr>
      </w:pPr>
      <w:r w:rsidRPr="00E22448">
        <w:rPr>
          <w:rFonts w:eastAsia="Times New Roman"/>
          <w:lang w:eastAsia="en-US"/>
        </w:rPr>
        <w:t>5.</w:t>
      </w:r>
      <w:r w:rsidRPr="00E22448">
        <w:rPr>
          <w:rFonts w:eastAsia="Times New Roman"/>
          <w:lang w:eastAsia="en-US"/>
        </w:rPr>
        <w:tab/>
      </w:r>
      <w:r w:rsidRPr="00E22448">
        <w:rPr>
          <w:rFonts w:eastAsia="Times New Roman"/>
          <w:i/>
          <w:lang w:eastAsia="en-US"/>
        </w:rPr>
        <w:t>Strongly encourages</w:t>
      </w:r>
      <w:r w:rsidRPr="00E22448">
        <w:rPr>
          <w:rFonts w:eastAsia="Times New Roman"/>
          <w:lang w:eastAsia="en-US"/>
        </w:rPr>
        <w:t xml:space="preserve"> developing country Parties, when providing the summary of information referred to in paragraph 1 above, to include the following elements, where appropriate:</w:t>
      </w:r>
    </w:p>
    <w:p w14:paraId="4BC86996" w14:textId="77777777" w:rsidR="00A708FB" w:rsidRPr="00E22448" w:rsidRDefault="00A708FB" w:rsidP="00A708FB">
      <w:pPr>
        <w:spacing w:after="120"/>
        <w:ind w:left="1134" w:right="1134" w:firstLine="567"/>
        <w:jc w:val="both"/>
      </w:pPr>
      <w:r w:rsidRPr="00E22448">
        <w:t>(a)</w:t>
      </w:r>
      <w:r w:rsidRPr="00E22448">
        <w:tab/>
        <w:t>Information on national circumstances relevant to addressing and respecting the safeguards;</w:t>
      </w:r>
    </w:p>
    <w:p w14:paraId="4BC86997" w14:textId="77777777" w:rsidR="00A708FB" w:rsidRPr="00E22448" w:rsidRDefault="00A708FB" w:rsidP="00A708FB">
      <w:pPr>
        <w:tabs>
          <w:tab w:val="left" w:pos="1701"/>
        </w:tabs>
        <w:spacing w:after="120"/>
        <w:ind w:left="1702" w:right="1134"/>
        <w:jc w:val="both"/>
      </w:pPr>
      <w:r w:rsidRPr="00E22448">
        <w:t>(b)</w:t>
      </w:r>
      <w:r w:rsidRPr="00E22448">
        <w:tab/>
        <w:t>A description of each safeguard in accordance with national circumstances;</w:t>
      </w:r>
    </w:p>
    <w:p w14:paraId="4BC86998" w14:textId="7D2B4D5C" w:rsidR="00A708FB" w:rsidRPr="00E22448" w:rsidRDefault="00A708FB" w:rsidP="00A708FB">
      <w:pPr>
        <w:spacing w:after="120"/>
        <w:ind w:left="1134" w:right="1134" w:firstLine="567"/>
        <w:jc w:val="both"/>
      </w:pPr>
      <w:r w:rsidRPr="00E22448">
        <w:t>(c)</w:t>
      </w:r>
      <w:r w:rsidRPr="00E22448">
        <w:tab/>
        <w:t xml:space="preserve">A description of existing systems and processes relevant to addressing and respecting safeguards, including the information systems referred to in </w:t>
      </w:r>
      <w:r w:rsidRPr="00886B02">
        <w:t>decision 12/CP.17</w:t>
      </w:r>
      <w:r w:rsidRPr="00E22448">
        <w:t>, in accordance with national circumstances;</w:t>
      </w:r>
    </w:p>
    <w:p w14:paraId="4BC86999" w14:textId="5CC561A1" w:rsidR="00A708FB" w:rsidRPr="00E22448" w:rsidRDefault="00A708FB" w:rsidP="00A708FB">
      <w:pPr>
        <w:spacing w:after="120"/>
        <w:ind w:left="1134" w:right="1134" w:firstLine="567"/>
        <w:jc w:val="both"/>
      </w:pPr>
      <w:r w:rsidRPr="00E22448">
        <w:lastRenderedPageBreak/>
        <w:t>(d)</w:t>
      </w:r>
      <w:r w:rsidRPr="00E22448">
        <w:tab/>
        <w:t>Information on how each of the safeguards has been addressed and respected, in accordance with national circumstances;</w:t>
      </w:r>
    </w:p>
    <w:p w14:paraId="4BC8699A" w14:textId="77777777" w:rsidR="00A708FB" w:rsidRPr="00E22448" w:rsidRDefault="00A708FB" w:rsidP="00A708FB">
      <w:pPr>
        <w:spacing w:after="120"/>
        <w:ind w:left="1134" w:right="1134"/>
        <w:jc w:val="both"/>
        <w:rPr>
          <w:rFonts w:eastAsia="Times New Roman"/>
          <w:lang w:eastAsia="en-US"/>
        </w:rPr>
      </w:pPr>
      <w:r w:rsidRPr="00E22448">
        <w:rPr>
          <w:rFonts w:eastAsia="Times New Roman"/>
          <w:lang w:eastAsia="en-US"/>
        </w:rPr>
        <w:t>6.</w:t>
      </w:r>
      <w:r w:rsidRPr="00E22448">
        <w:rPr>
          <w:rFonts w:eastAsia="Times New Roman"/>
          <w:lang w:eastAsia="en-US"/>
        </w:rPr>
        <w:tab/>
      </w:r>
      <w:r w:rsidRPr="00E22448">
        <w:rPr>
          <w:rFonts w:eastAsia="Times New Roman"/>
          <w:i/>
          <w:lang w:eastAsia="en-US"/>
        </w:rPr>
        <w:t>Encourages</w:t>
      </w:r>
      <w:r w:rsidRPr="00E22448">
        <w:rPr>
          <w:rFonts w:eastAsia="Times New Roman"/>
          <w:lang w:eastAsia="en-US"/>
        </w:rPr>
        <w:t xml:space="preserve"> developing country Parties to provide any other relevant information on the safeguards in the summary of information referred to in paragraph 1 above;</w:t>
      </w:r>
    </w:p>
    <w:p w14:paraId="4BC8699B" w14:textId="5AA88DDD" w:rsidR="00A708FB" w:rsidRPr="00E22448" w:rsidRDefault="00A708FB" w:rsidP="00A708FB">
      <w:pPr>
        <w:spacing w:after="120"/>
        <w:ind w:left="1134" w:right="1134"/>
        <w:jc w:val="both"/>
        <w:rPr>
          <w:rFonts w:eastAsia="Times New Roman"/>
          <w:lang w:eastAsia="en-US"/>
        </w:rPr>
      </w:pPr>
      <w:r w:rsidRPr="00E22448">
        <w:rPr>
          <w:rFonts w:eastAsia="Times New Roman"/>
          <w:lang w:eastAsia="en-US"/>
        </w:rPr>
        <w:t>7.</w:t>
      </w:r>
      <w:r w:rsidRPr="00E22448">
        <w:rPr>
          <w:rFonts w:eastAsia="Times New Roman"/>
          <w:lang w:eastAsia="en-US"/>
        </w:rPr>
        <w:tab/>
      </w:r>
      <w:r w:rsidRPr="00E22448">
        <w:rPr>
          <w:rFonts w:eastAsia="Times New Roman"/>
          <w:i/>
          <w:lang w:eastAsia="en-US"/>
        </w:rPr>
        <w:t>Also encourages</w:t>
      </w:r>
      <w:r w:rsidRPr="00E22448">
        <w:rPr>
          <w:rFonts w:eastAsia="Times New Roman"/>
          <w:lang w:eastAsia="en-US"/>
        </w:rPr>
        <w:t xml:space="preserve"> developing country Parties to improve the information provided in the summary of information referred to in paragraph 1 above</w:t>
      </w:r>
      <w:r w:rsidR="00100A9D">
        <w:rPr>
          <w:rFonts w:eastAsia="Times New Roman"/>
          <w:lang w:eastAsia="en-US"/>
        </w:rPr>
        <w:t>,</w:t>
      </w:r>
      <w:r w:rsidRPr="00E22448">
        <w:rPr>
          <w:rFonts w:eastAsia="Times New Roman"/>
          <w:lang w:eastAsia="en-US"/>
        </w:rPr>
        <w:t xml:space="preserve"> taking into account the stepwise approach;</w:t>
      </w:r>
    </w:p>
    <w:p w14:paraId="4BC8699C" w14:textId="77777777" w:rsidR="00A708FB" w:rsidRDefault="00A708FB" w:rsidP="00A708FB">
      <w:pPr>
        <w:spacing w:after="120"/>
        <w:ind w:left="1134" w:right="1134"/>
        <w:jc w:val="both"/>
        <w:rPr>
          <w:rFonts w:eastAsia="Times New Roman"/>
          <w:lang w:eastAsia="en-US"/>
        </w:rPr>
      </w:pPr>
      <w:r w:rsidRPr="00E22448">
        <w:rPr>
          <w:rFonts w:eastAsia="Times New Roman"/>
          <w:lang w:eastAsia="en-US"/>
        </w:rPr>
        <w:t>8.</w:t>
      </w:r>
      <w:r w:rsidRPr="00E22448">
        <w:rPr>
          <w:rFonts w:eastAsia="Times New Roman"/>
          <w:lang w:eastAsia="en-US"/>
        </w:rPr>
        <w:tab/>
      </w:r>
      <w:r w:rsidRPr="00E22448">
        <w:rPr>
          <w:rFonts w:eastAsia="Times New Roman"/>
          <w:i/>
          <w:lang w:eastAsia="en-US"/>
        </w:rPr>
        <w:t>Decides</w:t>
      </w:r>
      <w:r w:rsidRPr="00E22448">
        <w:rPr>
          <w:rFonts w:eastAsia="Times New Roman"/>
          <w:lang w:eastAsia="en-US"/>
        </w:rPr>
        <w:t xml:space="preserve"> that there is no need for further guidance pursuant to </w:t>
      </w:r>
      <w:r w:rsidRPr="00886B02">
        <w:rPr>
          <w:rFonts w:eastAsia="Times New Roman"/>
          <w:lang w:eastAsia="en-US"/>
        </w:rPr>
        <w:t>decision 12/CP.17, paragraph 6,</w:t>
      </w:r>
      <w:r w:rsidRPr="00E22448">
        <w:rPr>
          <w:rFonts w:eastAsia="Times New Roman"/>
          <w:lang w:eastAsia="en-US"/>
        </w:rPr>
        <w:t xml:space="preserve"> to ensure transparency, consistency, comprehensiveness and effectiveness when informing on how all the safeguards are being addressed and respected.</w:t>
      </w:r>
    </w:p>
    <w:p w14:paraId="4BC8699F" w14:textId="77777777" w:rsidR="00964DCB" w:rsidRDefault="00B94CB1" w:rsidP="00964DCB">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964DCB">
        <w:rPr>
          <w:i/>
          <w:vertAlign w:val="superscript"/>
          <w:lang w:val="en-US" w:eastAsia="en-US"/>
        </w:rPr>
        <w:t>th</w:t>
      </w:r>
      <w:r w:rsidR="00964DCB">
        <w:rPr>
          <w:i/>
          <w:lang w:val="en-US" w:eastAsia="en-US"/>
        </w:rPr>
        <w:t xml:space="preserve"> plenary meeting</w:t>
      </w:r>
    </w:p>
    <w:p w14:paraId="4BC869A0" w14:textId="77777777" w:rsidR="00964DCB" w:rsidRDefault="00B94CB1" w:rsidP="00964DCB">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964DCB">
        <w:rPr>
          <w:i/>
          <w:lang w:val="en-US" w:eastAsia="en-US"/>
        </w:rPr>
        <w:t xml:space="preserve"> December 2015</w:t>
      </w:r>
    </w:p>
    <w:p w14:paraId="4BC869A1" w14:textId="77777777" w:rsidR="00964DCB" w:rsidRDefault="00964DCB" w:rsidP="00964DCB">
      <w:pPr>
        <w:sectPr w:rsidR="00964DCB" w:rsidSect="00877754">
          <w:headerReference w:type="even" r:id="rId34"/>
          <w:headerReference w:type="default" r:id="rId35"/>
          <w:footerReference w:type="even" r:id="rId36"/>
          <w:footerReference w:type="default" r:id="rId37"/>
          <w:footnotePr>
            <w:numRestart w:val="eachSect"/>
          </w:footnotePr>
          <w:pgSz w:w="11906" w:h="16838" w:code="9"/>
          <w:pgMar w:top="1701" w:right="1134" w:bottom="2268" w:left="1134" w:header="1134" w:footer="1701" w:gutter="0"/>
          <w:cols w:space="708"/>
          <w:docGrid w:linePitch="360"/>
        </w:sectPr>
      </w:pPr>
    </w:p>
    <w:p w14:paraId="4BC869A2" w14:textId="77777777" w:rsidR="00964DCB" w:rsidRDefault="00964DCB" w:rsidP="00964DCB">
      <w:pPr>
        <w:pStyle w:val="HChG"/>
        <w:ind w:firstLine="0"/>
        <w:rPr>
          <w:bCs/>
        </w:rPr>
      </w:pPr>
      <w:r>
        <w:rPr>
          <w:bCs/>
        </w:rPr>
        <w:lastRenderedPageBreak/>
        <w:t>Decision 18/CP.21</w:t>
      </w:r>
    </w:p>
    <w:p w14:paraId="4BC869A3" w14:textId="77777777" w:rsidR="00964DCB" w:rsidRDefault="00964DCB" w:rsidP="00964DCB">
      <w:pPr>
        <w:pStyle w:val="HChG"/>
      </w:pPr>
      <w:r>
        <w:tab/>
      </w:r>
      <w:r>
        <w:tab/>
        <w:t>Methodological issues related to non-carbon benefits resulting from the implementation of the activities referred to in decision 1/CP.16, paragraph 70</w:t>
      </w:r>
    </w:p>
    <w:p w14:paraId="4BC869A4" w14:textId="3A3AE419" w:rsidR="001D4A38" w:rsidRPr="002B371E" w:rsidRDefault="001D4A38" w:rsidP="002B371E">
      <w:pPr>
        <w:pStyle w:val="SingleTxtG"/>
        <w:ind w:firstLine="567"/>
        <w:rPr>
          <w:i/>
          <w:lang w:val="en-US"/>
        </w:rPr>
      </w:pPr>
      <w:r w:rsidRPr="002B371E">
        <w:rPr>
          <w:i/>
          <w:lang w:val="en-US"/>
        </w:rPr>
        <w:t>The Conference of the Parties,</w:t>
      </w:r>
    </w:p>
    <w:p w14:paraId="4BC869A5" w14:textId="77777777" w:rsidR="001D4A38" w:rsidRPr="00A66489" w:rsidRDefault="001D4A38" w:rsidP="001D4A38">
      <w:pPr>
        <w:tabs>
          <w:tab w:val="left" w:pos="1701"/>
        </w:tabs>
        <w:spacing w:after="120"/>
        <w:ind w:left="1135" w:right="1134"/>
        <w:jc w:val="both"/>
      </w:pPr>
      <w:r w:rsidRPr="00A66489">
        <w:rPr>
          <w:i/>
          <w:lang w:val="en-US"/>
        </w:rPr>
        <w:tab/>
      </w:r>
      <w:r w:rsidRPr="00A66489">
        <w:rPr>
          <w:i/>
        </w:rPr>
        <w:t>Recalling</w:t>
      </w:r>
      <w:r w:rsidRPr="00A66489">
        <w:t xml:space="preserve"> decisions 1/CP.16, 1/CP.18 and 9/CP.19, paragraph 22,</w:t>
      </w:r>
    </w:p>
    <w:p w14:paraId="4BC869A6" w14:textId="77777777" w:rsidR="001D4A38" w:rsidRPr="00A66489" w:rsidRDefault="001D4A38" w:rsidP="001D4A38">
      <w:pPr>
        <w:tabs>
          <w:tab w:val="left" w:pos="1701"/>
        </w:tabs>
        <w:spacing w:after="120"/>
        <w:ind w:left="1135" w:right="1134"/>
        <w:jc w:val="both"/>
      </w:pPr>
      <w:r w:rsidRPr="00A66489">
        <w:rPr>
          <w:i/>
          <w:lang w:val="en-US"/>
        </w:rPr>
        <w:tab/>
      </w:r>
      <w:r w:rsidRPr="00A66489">
        <w:rPr>
          <w:i/>
        </w:rPr>
        <w:t>Reaffirming</w:t>
      </w:r>
      <w:r w:rsidRPr="00A66489">
        <w:t xml:space="preserve"> the importance of incentivizing non-carbon benefits for the long-term sustainability of the implementation of the activities referred to in decision 1/CP.16, paragraph 70, recognized in decision 9/CP.19, paragraph 22,</w:t>
      </w:r>
    </w:p>
    <w:p w14:paraId="4BC869A7" w14:textId="77777777" w:rsidR="001D4A38" w:rsidRPr="00A66489" w:rsidRDefault="001D4A38" w:rsidP="001D4A38">
      <w:pPr>
        <w:tabs>
          <w:tab w:val="left" w:pos="1701"/>
        </w:tabs>
        <w:spacing w:after="120"/>
        <w:ind w:left="1135" w:right="1134"/>
        <w:jc w:val="both"/>
      </w:pPr>
      <w:r w:rsidRPr="00A66489">
        <w:rPr>
          <w:i/>
          <w:lang w:val="en-US"/>
        </w:rPr>
        <w:tab/>
      </w:r>
      <w:r w:rsidRPr="00A66489">
        <w:rPr>
          <w:i/>
        </w:rPr>
        <w:t>Recognizing</w:t>
      </w:r>
      <w:r w:rsidRPr="00A66489">
        <w:t xml:space="preserve"> that multiple non-carbon benefits associated with the activities referred to in decision 1/CP.16, paragraph 70, can contribute to adaptation, </w:t>
      </w:r>
    </w:p>
    <w:p w14:paraId="4BC869A8" w14:textId="5D04E16D" w:rsidR="001D4A38" w:rsidRPr="00A66489" w:rsidRDefault="001D4A38" w:rsidP="001D4A38">
      <w:pPr>
        <w:spacing w:after="120"/>
        <w:ind w:left="1134" w:right="1134"/>
        <w:jc w:val="both"/>
        <w:rPr>
          <w:rFonts w:eastAsia="Times New Roman"/>
          <w:lang w:eastAsia="en-US"/>
        </w:rPr>
      </w:pPr>
      <w:r w:rsidRPr="00A66489">
        <w:rPr>
          <w:rFonts w:eastAsia="Times New Roman"/>
          <w:lang w:eastAsia="en-US"/>
        </w:rPr>
        <w:t>1.</w:t>
      </w:r>
      <w:r w:rsidRPr="00A66489">
        <w:rPr>
          <w:rFonts w:eastAsia="Times New Roman"/>
          <w:lang w:eastAsia="en-US"/>
        </w:rPr>
        <w:tab/>
      </w:r>
      <w:r w:rsidRPr="00A66489">
        <w:rPr>
          <w:rFonts w:eastAsia="Times New Roman"/>
          <w:i/>
          <w:lang w:eastAsia="en-US"/>
        </w:rPr>
        <w:t>Recognizes</w:t>
      </w:r>
      <w:r w:rsidRPr="00A66489">
        <w:rPr>
          <w:rFonts w:eastAsia="Times New Roman"/>
          <w:lang w:eastAsia="en-US"/>
        </w:rPr>
        <w:t xml:space="preserve"> that non-carbon benefits associated with the activities referred to in decision 1/CP.16, paragraph 70, are unique to countries’ national circumstances, in accordance with national sovereignty, legislation, policies and priorities;</w:t>
      </w:r>
    </w:p>
    <w:p w14:paraId="4BC869A9" w14:textId="77777777" w:rsidR="001D4A38" w:rsidRPr="00A66489" w:rsidRDefault="001D4A38" w:rsidP="001D4A38">
      <w:pPr>
        <w:spacing w:after="120"/>
        <w:ind w:left="1134" w:right="1134"/>
        <w:jc w:val="both"/>
        <w:rPr>
          <w:rFonts w:eastAsia="Times New Roman"/>
          <w:lang w:eastAsia="en-US"/>
        </w:rPr>
      </w:pPr>
      <w:r w:rsidRPr="00A66489">
        <w:rPr>
          <w:rFonts w:eastAsia="Times New Roman"/>
          <w:lang w:eastAsia="en-US"/>
        </w:rPr>
        <w:t>2.</w:t>
      </w:r>
      <w:r w:rsidRPr="00A66489">
        <w:rPr>
          <w:rFonts w:eastAsia="Times New Roman"/>
          <w:lang w:eastAsia="en-US"/>
        </w:rPr>
        <w:tab/>
      </w:r>
      <w:r w:rsidRPr="00A66489">
        <w:rPr>
          <w:rFonts w:eastAsia="Times New Roman"/>
          <w:i/>
          <w:lang w:eastAsia="en-US"/>
        </w:rPr>
        <w:t>Also recognizes</w:t>
      </w:r>
      <w:r w:rsidRPr="00A66489">
        <w:rPr>
          <w:rFonts w:eastAsia="Times New Roman"/>
          <w:lang w:eastAsia="en-US"/>
        </w:rPr>
        <w:t xml:space="preserve"> that, in line with their national circumstances and capabilities, developing country Parties seeking support for the integration of non-carbon benefits into activities referred to in decision 1/CP.16, paragraph 70, with a view to contributing to the long-term sustainability of those activities, may provide information addressing, inter alia, the nature, scale and importance of the non-carbon benefits;</w:t>
      </w:r>
    </w:p>
    <w:p w14:paraId="4BC869AA" w14:textId="77777777" w:rsidR="001D4A38" w:rsidRPr="00A66489" w:rsidRDefault="001D4A38" w:rsidP="001D4A38">
      <w:pPr>
        <w:spacing w:after="120"/>
        <w:ind w:left="1134" w:right="1134"/>
        <w:jc w:val="both"/>
        <w:rPr>
          <w:rFonts w:eastAsia="Times New Roman"/>
          <w:lang w:eastAsia="en-US"/>
        </w:rPr>
      </w:pPr>
      <w:r w:rsidRPr="00A66489">
        <w:rPr>
          <w:rFonts w:eastAsia="Times New Roman"/>
          <w:lang w:eastAsia="en-US"/>
        </w:rPr>
        <w:t>3.</w:t>
      </w:r>
      <w:r w:rsidRPr="00A66489">
        <w:rPr>
          <w:rFonts w:eastAsia="Times New Roman"/>
          <w:lang w:eastAsia="en-US"/>
        </w:rPr>
        <w:tab/>
      </w:r>
      <w:r w:rsidRPr="00A66489">
        <w:rPr>
          <w:rFonts w:eastAsia="Times New Roman"/>
          <w:i/>
          <w:lang w:eastAsia="en-US"/>
        </w:rPr>
        <w:t>Encourages</w:t>
      </w:r>
      <w:r w:rsidRPr="00A66489">
        <w:rPr>
          <w:rFonts w:eastAsia="Times New Roman"/>
          <w:lang w:eastAsia="en-US"/>
        </w:rPr>
        <w:t xml:space="preserve"> developing country Parties to share the information referred to in paragraph 2 above via the web platform on the UNFCCC website;</w:t>
      </w:r>
      <w:r w:rsidRPr="00A66489">
        <w:rPr>
          <w:rFonts w:eastAsia="Times New Roman"/>
          <w:sz w:val="18"/>
          <w:vertAlign w:val="superscript"/>
          <w:lang w:eastAsia="en-US"/>
        </w:rPr>
        <w:footnoteReference w:id="20"/>
      </w:r>
      <w:r w:rsidRPr="00A66489">
        <w:rPr>
          <w:rFonts w:eastAsia="Times New Roman"/>
          <w:lang w:eastAsia="en-US"/>
        </w:rPr>
        <w:t xml:space="preserve"> </w:t>
      </w:r>
    </w:p>
    <w:p w14:paraId="4BC869AB" w14:textId="77777777" w:rsidR="001D4A38" w:rsidRPr="00A66489" w:rsidRDefault="001D4A38" w:rsidP="001D4A38">
      <w:pPr>
        <w:spacing w:after="120"/>
        <w:ind w:left="1134" w:right="1134"/>
        <w:jc w:val="both"/>
        <w:rPr>
          <w:rFonts w:eastAsia="Times New Roman"/>
          <w:lang w:eastAsia="en-US"/>
        </w:rPr>
      </w:pPr>
      <w:r w:rsidRPr="00A66489">
        <w:rPr>
          <w:rFonts w:eastAsia="Times New Roman"/>
          <w:lang w:eastAsia="en-US"/>
        </w:rPr>
        <w:t>4.</w:t>
      </w:r>
      <w:r w:rsidRPr="00A66489">
        <w:rPr>
          <w:rFonts w:eastAsia="Times New Roman"/>
          <w:lang w:eastAsia="en-US"/>
        </w:rPr>
        <w:tab/>
      </w:r>
      <w:r w:rsidRPr="00A66489">
        <w:rPr>
          <w:rFonts w:eastAsia="Times New Roman"/>
          <w:i/>
          <w:lang w:eastAsia="en-US"/>
        </w:rPr>
        <w:t>Invites</w:t>
      </w:r>
      <w:r w:rsidRPr="00A66489">
        <w:rPr>
          <w:rFonts w:eastAsia="Times New Roman"/>
          <w:lang w:eastAsia="en-US"/>
        </w:rPr>
        <w:t xml:space="preserve"> interested developing country Parties to communicate the information referred to in paragraph 2 above for consideration by interested Parties and relevant financing entities, as appropriate;</w:t>
      </w:r>
    </w:p>
    <w:p w14:paraId="4BC869AC" w14:textId="77777777" w:rsidR="001D4A38" w:rsidRPr="00A66489" w:rsidRDefault="001D4A38" w:rsidP="001D4A38">
      <w:pPr>
        <w:spacing w:after="120"/>
        <w:ind w:left="1134" w:right="1134"/>
        <w:jc w:val="both"/>
        <w:rPr>
          <w:rFonts w:eastAsia="Times New Roman"/>
          <w:lang w:eastAsia="en-US"/>
        </w:rPr>
      </w:pPr>
      <w:r w:rsidRPr="00A66489">
        <w:rPr>
          <w:rFonts w:eastAsia="Times New Roman"/>
          <w:lang w:eastAsia="en-US"/>
        </w:rPr>
        <w:t>5.</w:t>
      </w:r>
      <w:r w:rsidRPr="00A66489">
        <w:rPr>
          <w:rFonts w:eastAsia="Times New Roman"/>
          <w:lang w:eastAsia="en-US"/>
        </w:rPr>
        <w:tab/>
      </w:r>
      <w:r w:rsidRPr="00A66489">
        <w:rPr>
          <w:rFonts w:eastAsia="Times New Roman"/>
          <w:i/>
          <w:lang w:eastAsia="en-US"/>
        </w:rPr>
        <w:t>Decides</w:t>
      </w:r>
      <w:r w:rsidRPr="00A66489">
        <w:rPr>
          <w:rFonts w:eastAsia="Times New Roman"/>
          <w:lang w:eastAsia="en-US"/>
        </w:rPr>
        <w:t xml:space="preserve"> that methodological issues related to non-carbon benefits resulting from the implementation of the activities referred to in decision 1/CP.16, paragraph 70, do not constitute a requirement for developing country Parties seeking to receive support for the implementation of the actions and activities referred to in decision 1/CP.16 or results-based payments pursuant to </w:t>
      </w:r>
      <w:r w:rsidRPr="00886B02">
        <w:rPr>
          <w:rFonts w:eastAsia="Times New Roman"/>
          <w:lang w:eastAsia="en-US"/>
        </w:rPr>
        <w:t>decision 9/CP.19</w:t>
      </w:r>
      <w:r w:rsidRPr="00A66489">
        <w:rPr>
          <w:rFonts w:eastAsia="Times New Roman"/>
          <w:lang w:eastAsia="en-US"/>
        </w:rPr>
        <w:t>;</w:t>
      </w:r>
    </w:p>
    <w:p w14:paraId="4BC869AD" w14:textId="77777777" w:rsidR="001D4A38" w:rsidRPr="00A66489" w:rsidRDefault="001D4A38" w:rsidP="001D4A38">
      <w:pPr>
        <w:spacing w:after="120"/>
        <w:ind w:left="1134" w:right="1134"/>
        <w:jc w:val="both"/>
        <w:rPr>
          <w:rFonts w:eastAsia="Times New Roman"/>
          <w:lang w:eastAsia="en-US"/>
        </w:rPr>
      </w:pPr>
      <w:r w:rsidRPr="00A66489">
        <w:rPr>
          <w:rFonts w:eastAsia="Times New Roman"/>
          <w:lang w:eastAsia="en-US"/>
        </w:rPr>
        <w:t>6.</w:t>
      </w:r>
      <w:r w:rsidRPr="00A66489">
        <w:rPr>
          <w:rFonts w:eastAsia="Times New Roman"/>
          <w:lang w:eastAsia="en-US"/>
        </w:rPr>
        <w:tab/>
      </w:r>
      <w:r w:rsidRPr="00A66489">
        <w:rPr>
          <w:rFonts w:eastAsia="Times New Roman"/>
          <w:i/>
          <w:lang w:eastAsia="en-US"/>
        </w:rPr>
        <w:t>Agrees</w:t>
      </w:r>
      <w:r w:rsidRPr="00A66489">
        <w:rPr>
          <w:rFonts w:eastAsia="Times New Roman"/>
          <w:lang w:eastAsia="en-US"/>
        </w:rPr>
        <w:t xml:space="preserve"> to conclude at this session the work on methodological issues related to non-carbon benefits from the implementation of the activities referred to in decision 1/CP.16, paragraph 70.</w:t>
      </w:r>
    </w:p>
    <w:p w14:paraId="4BC869AF" w14:textId="77777777" w:rsidR="00964DCB" w:rsidRDefault="005E690B" w:rsidP="00964DCB">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964DCB">
        <w:rPr>
          <w:i/>
          <w:vertAlign w:val="superscript"/>
          <w:lang w:val="en-US" w:eastAsia="en-US"/>
        </w:rPr>
        <w:t>th</w:t>
      </w:r>
      <w:r w:rsidR="00964DCB">
        <w:rPr>
          <w:i/>
          <w:lang w:val="en-US" w:eastAsia="en-US"/>
        </w:rPr>
        <w:t xml:space="preserve"> plenary meeting</w:t>
      </w:r>
    </w:p>
    <w:p w14:paraId="4BC869B0" w14:textId="77777777" w:rsidR="00964DCB" w:rsidRDefault="005E690B" w:rsidP="00964DCB">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964DCB">
        <w:rPr>
          <w:i/>
          <w:lang w:val="en-US" w:eastAsia="en-US"/>
        </w:rPr>
        <w:t xml:space="preserve"> December 2015</w:t>
      </w:r>
    </w:p>
    <w:p w14:paraId="4BC869B1" w14:textId="77777777" w:rsidR="00964DCB" w:rsidRDefault="00964DCB" w:rsidP="00964DCB">
      <w:pPr>
        <w:sectPr w:rsidR="00964DCB" w:rsidSect="00877754">
          <w:headerReference w:type="even" r:id="rId38"/>
          <w:footerReference w:type="even" r:id="rId39"/>
          <w:footnotePr>
            <w:numRestart w:val="eachSect"/>
          </w:footnotePr>
          <w:pgSz w:w="11906" w:h="16838" w:code="9"/>
          <w:pgMar w:top="1701" w:right="1134" w:bottom="2268" w:left="1134" w:header="1134" w:footer="1701" w:gutter="0"/>
          <w:cols w:space="708"/>
          <w:docGrid w:linePitch="360"/>
        </w:sectPr>
      </w:pPr>
    </w:p>
    <w:p w14:paraId="4BC869B2" w14:textId="77777777" w:rsidR="00964DCB" w:rsidRDefault="00964DCB" w:rsidP="00964DCB">
      <w:pPr>
        <w:pStyle w:val="HChG"/>
        <w:ind w:firstLine="0"/>
        <w:rPr>
          <w:bCs/>
        </w:rPr>
      </w:pPr>
      <w:r>
        <w:rPr>
          <w:bCs/>
        </w:rPr>
        <w:lastRenderedPageBreak/>
        <w:t>Decision 19/CP.21</w:t>
      </w:r>
    </w:p>
    <w:p w14:paraId="4BC869B3" w14:textId="77777777" w:rsidR="00964DCB" w:rsidRDefault="00964DCB" w:rsidP="00964DCB">
      <w:pPr>
        <w:pStyle w:val="HChG"/>
      </w:pPr>
      <w:r>
        <w:tab/>
      </w:r>
      <w:r>
        <w:tab/>
        <w:t>Extension of the mandate of the Least Developed Countries Expert Group</w:t>
      </w:r>
    </w:p>
    <w:p w14:paraId="4BC869B4" w14:textId="77777777" w:rsidR="00964DCB" w:rsidRPr="008926FB" w:rsidRDefault="00964DCB" w:rsidP="00964DCB">
      <w:pPr>
        <w:pStyle w:val="SingleTxtG"/>
        <w:ind w:firstLine="567"/>
        <w:rPr>
          <w:i/>
          <w:lang w:val="en-US"/>
        </w:rPr>
      </w:pPr>
      <w:r w:rsidRPr="008926FB">
        <w:rPr>
          <w:i/>
          <w:lang w:val="en-US"/>
        </w:rPr>
        <w:t>The Conference of the Parties</w:t>
      </w:r>
      <w:r w:rsidRPr="00EF0494">
        <w:rPr>
          <w:lang w:val="en-US"/>
        </w:rPr>
        <w:t>,</w:t>
      </w:r>
      <w:r w:rsidRPr="008926FB">
        <w:rPr>
          <w:i/>
          <w:lang w:val="en-US"/>
        </w:rPr>
        <w:t xml:space="preserve"> </w:t>
      </w:r>
    </w:p>
    <w:p w14:paraId="4BC869B5" w14:textId="77777777" w:rsidR="00964DCB" w:rsidRPr="00FA6AA1" w:rsidRDefault="00964DCB" w:rsidP="00964DCB">
      <w:pPr>
        <w:pStyle w:val="RegPara"/>
        <w:numPr>
          <w:ilvl w:val="0"/>
          <w:numId w:val="0"/>
        </w:numPr>
        <w:spacing w:before="120"/>
        <w:ind w:left="1134" w:right="1174" w:firstLine="567"/>
        <w:jc w:val="both"/>
        <w:rPr>
          <w:iCs/>
          <w:sz w:val="20"/>
        </w:rPr>
      </w:pPr>
      <w:r w:rsidRPr="00FA6AA1">
        <w:rPr>
          <w:i/>
          <w:iCs/>
          <w:sz w:val="20"/>
        </w:rPr>
        <w:t>Recalling</w:t>
      </w:r>
      <w:r w:rsidRPr="00FA6AA1">
        <w:rPr>
          <w:iCs/>
          <w:sz w:val="20"/>
        </w:rPr>
        <w:t xml:space="preserve"> decisions 5/CP.7, 7/CP.7, 27/CP.7, 28/CP.7, 29/CP.7, 7/CP.9, 4/CP.10, 4/CP.11, 8/CP.13, 6/CP.16, 3/CP.17, 5/CP.17, 12/CP.18 and 3/CP.20,</w:t>
      </w:r>
    </w:p>
    <w:p w14:paraId="4BC869B6" w14:textId="77777777" w:rsidR="00964DCB" w:rsidRPr="00FA6AA1" w:rsidRDefault="00964DCB" w:rsidP="00964DCB">
      <w:pPr>
        <w:pStyle w:val="RegPara"/>
        <w:numPr>
          <w:ilvl w:val="0"/>
          <w:numId w:val="0"/>
        </w:numPr>
        <w:spacing w:before="120"/>
        <w:ind w:left="1134" w:right="1174" w:firstLine="567"/>
        <w:jc w:val="both"/>
        <w:rPr>
          <w:iCs/>
          <w:sz w:val="20"/>
        </w:rPr>
      </w:pPr>
      <w:r w:rsidRPr="00FA6AA1">
        <w:rPr>
          <w:i/>
          <w:iCs/>
          <w:sz w:val="20"/>
        </w:rPr>
        <w:t xml:space="preserve">Recognizing </w:t>
      </w:r>
      <w:r w:rsidRPr="00FA6AA1">
        <w:rPr>
          <w:iCs/>
          <w:sz w:val="20"/>
        </w:rPr>
        <w:t>the specific needs and special situation of the least developed countries under Article 4, paragraph 9, of the Convention,</w:t>
      </w:r>
    </w:p>
    <w:p w14:paraId="4BC869B7" w14:textId="77777777" w:rsidR="00964DCB" w:rsidRPr="00FA6AA1" w:rsidRDefault="00964DCB" w:rsidP="00964DCB">
      <w:pPr>
        <w:pStyle w:val="RegPara"/>
        <w:numPr>
          <w:ilvl w:val="0"/>
          <w:numId w:val="0"/>
        </w:numPr>
        <w:spacing w:before="120"/>
        <w:ind w:left="1134" w:right="1174" w:firstLine="567"/>
        <w:jc w:val="both"/>
        <w:rPr>
          <w:iCs/>
          <w:sz w:val="20"/>
        </w:rPr>
      </w:pPr>
      <w:r w:rsidRPr="00FA6AA1">
        <w:rPr>
          <w:i/>
          <w:iCs/>
          <w:sz w:val="20"/>
        </w:rPr>
        <w:t xml:space="preserve">Having considered </w:t>
      </w:r>
      <w:r w:rsidRPr="00FA6AA1">
        <w:rPr>
          <w:iCs/>
          <w:sz w:val="20"/>
        </w:rPr>
        <w:t>the reports on the meetings of the Least Developed Countries Expert Group, the views of Parties on the work of the Least Developed Countries Expert Group, the report on the stocktaking meeting on the work of the Least Developed Countries Expert Group and the synthesis report on the progress, need for continuation and terms of reference of the Least Developed Countries Expert Group,</w:t>
      </w:r>
      <w:r w:rsidRPr="000F3D3F">
        <w:rPr>
          <w:rStyle w:val="FootnoteReference"/>
          <w:iCs/>
        </w:rPr>
        <w:footnoteReference w:id="21"/>
      </w:r>
    </w:p>
    <w:p w14:paraId="4BC869B8" w14:textId="31F466A0" w:rsidR="00964DCB" w:rsidRPr="00FA6AA1" w:rsidRDefault="00964DCB" w:rsidP="00964DCB">
      <w:pPr>
        <w:pStyle w:val="RegPara"/>
        <w:numPr>
          <w:ilvl w:val="0"/>
          <w:numId w:val="0"/>
        </w:numPr>
        <w:spacing w:before="120"/>
        <w:ind w:left="1134" w:right="1134" w:firstLine="567"/>
        <w:jc w:val="both"/>
        <w:rPr>
          <w:sz w:val="20"/>
        </w:rPr>
      </w:pPr>
      <w:r w:rsidRPr="00FA6AA1">
        <w:rPr>
          <w:i/>
          <w:iCs/>
          <w:sz w:val="20"/>
        </w:rPr>
        <w:t xml:space="preserve">Noting </w:t>
      </w:r>
      <w:r w:rsidRPr="00FA6AA1">
        <w:rPr>
          <w:iCs/>
          <w:sz w:val="20"/>
        </w:rPr>
        <w:t>the importance of the Least Developed Countries Expert Group as a body that provides high-quality and relevant information on adaptation for the least developed countries</w:t>
      </w:r>
      <w:r w:rsidR="000405AB">
        <w:rPr>
          <w:iCs/>
          <w:sz w:val="20"/>
        </w:rPr>
        <w:t>,</w:t>
      </w:r>
    </w:p>
    <w:p w14:paraId="4BC869B9" w14:textId="77777777" w:rsidR="00964DCB" w:rsidRPr="00FA6AA1" w:rsidRDefault="00964DCB" w:rsidP="00964DCB">
      <w:pPr>
        <w:pStyle w:val="RegPara"/>
        <w:numPr>
          <w:ilvl w:val="0"/>
          <w:numId w:val="0"/>
        </w:numPr>
        <w:spacing w:before="120"/>
        <w:ind w:left="1134" w:right="1174" w:firstLine="567"/>
        <w:jc w:val="both"/>
        <w:rPr>
          <w:sz w:val="20"/>
        </w:rPr>
      </w:pPr>
      <w:r w:rsidRPr="00FA6AA1">
        <w:rPr>
          <w:i/>
          <w:iCs/>
          <w:sz w:val="20"/>
        </w:rPr>
        <w:t>Also noting</w:t>
      </w:r>
      <w:r w:rsidRPr="00FA6AA1">
        <w:rPr>
          <w:sz w:val="20"/>
        </w:rPr>
        <w:t xml:space="preserve"> that the least developed country Parties continue to require support for, inter alia, the process to formulate and implement national adaptation plans, engagement with the Green Climate Fund, regional approaches to adaptation, and the implementation of the least developed countries work programme,</w:t>
      </w:r>
    </w:p>
    <w:p w14:paraId="4BC869BA" w14:textId="29911F33" w:rsidR="00964DCB" w:rsidRPr="00FA6AA1" w:rsidRDefault="00C421F9" w:rsidP="00C421F9">
      <w:pPr>
        <w:pStyle w:val="RegSingleTxtG"/>
        <w:numPr>
          <w:ilvl w:val="0"/>
          <w:numId w:val="0"/>
        </w:numPr>
        <w:tabs>
          <w:tab w:val="left" w:pos="568"/>
        </w:tabs>
        <w:spacing w:before="120"/>
        <w:ind w:left="1135"/>
      </w:pPr>
      <w:r w:rsidRPr="00FA6AA1">
        <w:t>1.</w:t>
      </w:r>
      <w:r w:rsidRPr="00FA6AA1">
        <w:tab/>
      </w:r>
      <w:r w:rsidR="00964DCB" w:rsidRPr="00AD0064">
        <w:rPr>
          <w:i/>
          <w:iCs/>
        </w:rPr>
        <w:t xml:space="preserve">Decides </w:t>
      </w:r>
      <w:r w:rsidR="00964DCB" w:rsidRPr="00FA6AA1">
        <w:t>to extend the mandate of the Least Developed Countries Expert Group under its current terms of reference;</w:t>
      </w:r>
      <w:r w:rsidR="00964DCB" w:rsidRPr="00FA6AA1">
        <w:rPr>
          <w:rStyle w:val="FootnoteReference"/>
        </w:rPr>
        <w:footnoteReference w:id="22"/>
      </w:r>
    </w:p>
    <w:p w14:paraId="4BC869BB" w14:textId="7EF574DC" w:rsidR="00964DCB" w:rsidRPr="00FA6AA1" w:rsidRDefault="00C421F9" w:rsidP="00C421F9">
      <w:pPr>
        <w:pStyle w:val="RegSingleTxtG"/>
        <w:numPr>
          <w:ilvl w:val="0"/>
          <w:numId w:val="0"/>
        </w:numPr>
        <w:tabs>
          <w:tab w:val="left" w:pos="568"/>
        </w:tabs>
        <w:ind w:left="1135"/>
      </w:pPr>
      <w:r w:rsidRPr="00FA6AA1">
        <w:t>2.</w:t>
      </w:r>
      <w:r w:rsidRPr="00FA6AA1">
        <w:tab/>
      </w:r>
      <w:r w:rsidR="00964DCB" w:rsidRPr="00FA6AA1">
        <w:rPr>
          <w:i/>
        </w:rPr>
        <w:t>Also decides</w:t>
      </w:r>
      <w:r w:rsidR="00964DCB" w:rsidRPr="00FA6AA1">
        <w:t xml:space="preserve"> that the Least Developed Countries Expert Group should be mandated to </w:t>
      </w:r>
      <w:r w:rsidR="00964DCB" w:rsidRPr="00FA6AA1">
        <w:rPr>
          <w:lang w:eastAsia="en-US"/>
        </w:rPr>
        <w:t>provide technical guidance and advice on:</w:t>
      </w:r>
    </w:p>
    <w:p w14:paraId="4BC869BC" w14:textId="77777777" w:rsidR="00964DCB" w:rsidRPr="00FA6AA1" w:rsidRDefault="00964DCB" w:rsidP="00964DCB">
      <w:pPr>
        <w:pStyle w:val="RegSingleTxtG"/>
        <w:numPr>
          <w:ilvl w:val="0"/>
          <w:numId w:val="0"/>
        </w:numPr>
        <w:tabs>
          <w:tab w:val="clear" w:pos="1701"/>
          <w:tab w:val="left" w:pos="1134"/>
        </w:tabs>
        <w:ind w:left="1134" w:firstLine="567"/>
      </w:pPr>
      <w:r>
        <w:t>(a)</w:t>
      </w:r>
      <w:r>
        <w:tab/>
      </w:r>
      <w:r w:rsidRPr="00FA6AA1">
        <w:t>The integration of climate change adaptation into national planning and the development of programmes that address both objectives of the process to formulate and implement national adaptation plans;</w:t>
      </w:r>
    </w:p>
    <w:p w14:paraId="4BC869BD" w14:textId="77777777" w:rsidR="00964DCB" w:rsidRPr="00FA6AA1" w:rsidRDefault="00964DCB" w:rsidP="00964DCB">
      <w:pPr>
        <w:pStyle w:val="RegSingleTxtG"/>
        <w:numPr>
          <w:ilvl w:val="0"/>
          <w:numId w:val="0"/>
        </w:numPr>
        <w:ind w:left="1701"/>
      </w:pPr>
      <w:r>
        <w:t>(b)</w:t>
      </w:r>
      <w:r>
        <w:tab/>
      </w:r>
      <w:r w:rsidRPr="00FA6AA1">
        <w:t>Regional approaches to adaptation planning;</w:t>
      </w:r>
      <w:r w:rsidRPr="00FA6AA1">
        <w:rPr>
          <w:rStyle w:val="FootnoteReference"/>
        </w:rPr>
        <w:footnoteReference w:id="23"/>
      </w:r>
    </w:p>
    <w:p w14:paraId="4BC869BE" w14:textId="77777777" w:rsidR="00964DCB" w:rsidRPr="00FA6AA1" w:rsidRDefault="00964DCB" w:rsidP="00964DCB">
      <w:pPr>
        <w:pStyle w:val="RegSingleTxtG"/>
        <w:numPr>
          <w:ilvl w:val="0"/>
          <w:numId w:val="0"/>
        </w:numPr>
        <w:tabs>
          <w:tab w:val="clear" w:pos="1701"/>
          <w:tab w:val="left" w:pos="1134"/>
        </w:tabs>
        <w:ind w:left="1134" w:firstLine="567"/>
      </w:pPr>
      <w:r>
        <w:t>(c)</w:t>
      </w:r>
      <w:r>
        <w:tab/>
      </w:r>
      <w:r w:rsidRPr="00FA6AA1">
        <w:t xml:space="preserve">Accessing funding from the Green Climate Fund for the </w:t>
      </w:r>
      <w:r w:rsidRPr="00FA6AA1">
        <w:rPr>
          <w:lang w:eastAsia="en-US"/>
        </w:rPr>
        <w:t xml:space="preserve">process to formulate and implement national adaptation plans in collaboration with the </w:t>
      </w:r>
      <w:r w:rsidRPr="00FA6AA1">
        <w:t>Green Climate Fund</w:t>
      </w:r>
      <w:r w:rsidRPr="00FA6AA1">
        <w:rPr>
          <w:lang w:eastAsia="en-US"/>
        </w:rPr>
        <w:t xml:space="preserve"> secretariat;</w:t>
      </w:r>
    </w:p>
    <w:p w14:paraId="4BC869BF" w14:textId="2D5831B9" w:rsidR="00964DCB" w:rsidRPr="003D7029" w:rsidRDefault="00964DCB" w:rsidP="00964DCB">
      <w:pPr>
        <w:pStyle w:val="RegSingleTxtG"/>
        <w:numPr>
          <w:ilvl w:val="0"/>
          <w:numId w:val="0"/>
        </w:numPr>
        <w:tabs>
          <w:tab w:val="clear" w:pos="1701"/>
          <w:tab w:val="left" w:pos="1134"/>
        </w:tabs>
        <w:ind w:left="1134" w:firstLine="567"/>
      </w:pPr>
      <w:r>
        <w:t>(d)</w:t>
      </w:r>
      <w:r>
        <w:tab/>
      </w:r>
      <w:r w:rsidRPr="003D7029">
        <w:t xml:space="preserve">Needs related to adaptation that may arise from the </w:t>
      </w:r>
      <w:r w:rsidR="0077665B">
        <w:t>Paris</w:t>
      </w:r>
      <w:r w:rsidRPr="003D7029">
        <w:t xml:space="preserve"> </w:t>
      </w:r>
      <w:r w:rsidR="0077665B">
        <w:t>A</w:t>
      </w:r>
      <w:r w:rsidRPr="003D7029">
        <w:t xml:space="preserve">greement and the decisions adopted by the Conference of the Parties at its twenty-first session, as determined by Parties; </w:t>
      </w:r>
    </w:p>
    <w:p w14:paraId="4BC869C0" w14:textId="3849B6C5" w:rsidR="00964DCB" w:rsidRPr="00FA6AA1" w:rsidRDefault="00C421F9" w:rsidP="00C421F9">
      <w:pPr>
        <w:pStyle w:val="RegSingleTxtG"/>
        <w:numPr>
          <w:ilvl w:val="0"/>
          <w:numId w:val="0"/>
        </w:numPr>
        <w:tabs>
          <w:tab w:val="left" w:pos="568"/>
        </w:tabs>
        <w:ind w:left="1135"/>
      </w:pPr>
      <w:r w:rsidRPr="00FA6AA1">
        <w:t>3.</w:t>
      </w:r>
      <w:r w:rsidRPr="00FA6AA1">
        <w:tab/>
      </w:r>
      <w:r w:rsidR="00964DCB" w:rsidRPr="003D7029">
        <w:rPr>
          <w:i/>
        </w:rPr>
        <w:t xml:space="preserve">Invites </w:t>
      </w:r>
      <w:r w:rsidR="00964DCB" w:rsidRPr="003D7029">
        <w:t xml:space="preserve">the Least Developed Countries Expert Group to consider </w:t>
      </w:r>
      <w:r w:rsidR="0077665B">
        <w:t>the</w:t>
      </w:r>
      <w:r w:rsidR="00964DCB" w:rsidRPr="003D7029">
        <w:t xml:space="preserve"> need to update the least developed countries work programme and </w:t>
      </w:r>
      <w:r w:rsidR="00964DCB">
        <w:t xml:space="preserve">to make recommendations for </w:t>
      </w:r>
      <w:r w:rsidR="00964DCB" w:rsidRPr="003D7029">
        <w:t>consideration by the Subsidiary Body for Implementation at its forty-eighth session (April–</w:t>
      </w:r>
      <w:r w:rsidR="00964DCB" w:rsidRPr="003D7029">
        <w:lastRenderedPageBreak/>
        <w:t>May 2018), with a view to those recommendations being forwarded to the Conference of the Parties at its twenty-fourth session (November</w:t>
      </w:r>
      <w:r w:rsidR="00964DCB">
        <w:t xml:space="preserve"> 2018), as appropriate;</w:t>
      </w:r>
    </w:p>
    <w:p w14:paraId="4BC869C1" w14:textId="2D55311B" w:rsidR="00964DCB" w:rsidRPr="00FA6AA1" w:rsidRDefault="00C421F9" w:rsidP="00C421F9">
      <w:pPr>
        <w:pStyle w:val="RegSingleTxtG"/>
        <w:numPr>
          <w:ilvl w:val="0"/>
          <w:numId w:val="0"/>
        </w:numPr>
        <w:tabs>
          <w:tab w:val="left" w:pos="568"/>
        </w:tabs>
        <w:ind w:left="1135"/>
      </w:pPr>
      <w:r w:rsidRPr="00FA6AA1">
        <w:t>4.</w:t>
      </w:r>
      <w:r w:rsidRPr="00FA6AA1">
        <w:tab/>
      </w:r>
      <w:r w:rsidR="00964DCB" w:rsidRPr="00FA6AA1">
        <w:rPr>
          <w:i/>
        </w:rPr>
        <w:t>Requests</w:t>
      </w:r>
      <w:r w:rsidR="00964DCB" w:rsidRPr="00FA6AA1">
        <w:t xml:space="preserve"> the Least Developed Countries Expert Group, in accordance with paragraphs 1 and 2</w:t>
      </w:r>
      <w:r w:rsidR="0077665B">
        <w:t xml:space="preserve"> above</w:t>
      </w:r>
      <w:r w:rsidR="00964DCB" w:rsidRPr="00FA6AA1">
        <w:t xml:space="preserve">, when developing its two-year rolling work programme to take into account the compilation of elements contained in </w:t>
      </w:r>
      <w:r w:rsidR="00964DCB" w:rsidRPr="00886B02">
        <w:t>annex I to document FCCC/SBI/2015/8</w:t>
      </w:r>
      <w:r w:rsidR="00964DCB" w:rsidRPr="00FA6AA1">
        <w:t xml:space="preserve"> and the compilation of gaps and needs in </w:t>
      </w:r>
      <w:r w:rsidR="00964DCB" w:rsidRPr="00FA6AA1">
        <w:rPr>
          <w:iCs/>
        </w:rPr>
        <w:t>the least developed countries,</w:t>
      </w:r>
      <w:r w:rsidR="00964DCB" w:rsidRPr="00FA6AA1">
        <w:t xml:space="preserve"> considered at this session;</w:t>
      </w:r>
      <w:r w:rsidR="00964DCB" w:rsidRPr="00FA6AA1">
        <w:rPr>
          <w:rStyle w:val="FootnoteReference"/>
        </w:rPr>
        <w:footnoteReference w:id="24"/>
      </w:r>
    </w:p>
    <w:p w14:paraId="4BC869C2" w14:textId="3833912D" w:rsidR="00964DCB" w:rsidRPr="00FA6AA1" w:rsidRDefault="00C421F9" w:rsidP="00C421F9">
      <w:pPr>
        <w:pStyle w:val="RegSingleTxtG"/>
        <w:numPr>
          <w:ilvl w:val="0"/>
          <w:numId w:val="0"/>
        </w:numPr>
        <w:tabs>
          <w:tab w:val="left" w:pos="568"/>
        </w:tabs>
        <w:ind w:left="1135"/>
      </w:pPr>
      <w:r w:rsidRPr="00FA6AA1">
        <w:t>5.</w:t>
      </w:r>
      <w:r w:rsidRPr="00FA6AA1">
        <w:tab/>
      </w:r>
      <w:r w:rsidR="00964DCB" w:rsidRPr="00FA6AA1">
        <w:rPr>
          <w:i/>
        </w:rPr>
        <w:t xml:space="preserve">Also requests </w:t>
      </w:r>
      <w:r w:rsidR="00964DCB" w:rsidRPr="00FA6AA1">
        <w:t>the Least Developed Countries Expert Group</w:t>
      </w:r>
      <w:r w:rsidR="00964DCB" w:rsidRPr="00FA6AA1">
        <w:rPr>
          <w:i/>
        </w:rPr>
        <w:t xml:space="preserve"> </w:t>
      </w:r>
      <w:r w:rsidR="00964DCB" w:rsidRPr="00FA6AA1">
        <w:t>to invite the Green Climate Fund secretariat</w:t>
      </w:r>
      <w:r w:rsidR="00964DCB" w:rsidRPr="00FA6AA1">
        <w:rPr>
          <w:i/>
        </w:rPr>
        <w:t xml:space="preserve"> </w:t>
      </w:r>
      <w:r w:rsidR="00964DCB" w:rsidRPr="00FA6AA1">
        <w:t xml:space="preserve">to its meetings, as appropriate; </w:t>
      </w:r>
    </w:p>
    <w:p w14:paraId="4BC869C3" w14:textId="7FDC0EE0" w:rsidR="00964DCB" w:rsidRPr="00FA6AA1" w:rsidRDefault="00C421F9" w:rsidP="00C421F9">
      <w:pPr>
        <w:pStyle w:val="RegSingleTxtG"/>
        <w:numPr>
          <w:ilvl w:val="0"/>
          <w:numId w:val="0"/>
        </w:numPr>
        <w:tabs>
          <w:tab w:val="left" w:pos="568"/>
        </w:tabs>
        <w:ind w:left="1135"/>
      </w:pPr>
      <w:r w:rsidRPr="00FA6AA1">
        <w:t>6.</w:t>
      </w:r>
      <w:r w:rsidRPr="00FA6AA1">
        <w:tab/>
      </w:r>
      <w:r w:rsidR="00964DCB" w:rsidRPr="00FA6AA1">
        <w:rPr>
          <w:i/>
        </w:rPr>
        <w:t>Further requests</w:t>
      </w:r>
      <w:r w:rsidR="00964DCB" w:rsidRPr="00FA6AA1">
        <w:t xml:space="preserve"> the Least Developed Countries Expert Group, recognizing</w:t>
      </w:r>
      <w:r w:rsidR="00964DCB" w:rsidRPr="00FA6AA1">
        <w:rPr>
          <w:i/>
        </w:rPr>
        <w:t xml:space="preserve"> </w:t>
      </w:r>
      <w:r w:rsidR="00964DCB" w:rsidRPr="00FA6AA1">
        <w:t>its good collaboration with the Global Environment Facility, to continue to invite the Global Environment Facility and its agencies to its meetings, as appropriate;</w:t>
      </w:r>
    </w:p>
    <w:p w14:paraId="4BC869C4" w14:textId="1DC09335" w:rsidR="00964DCB" w:rsidRPr="00FA6AA1" w:rsidRDefault="00C421F9" w:rsidP="00C421F9">
      <w:pPr>
        <w:pStyle w:val="RegSingleTxtG"/>
        <w:numPr>
          <w:ilvl w:val="0"/>
          <w:numId w:val="0"/>
        </w:numPr>
        <w:tabs>
          <w:tab w:val="left" w:pos="568"/>
        </w:tabs>
        <w:ind w:left="1135"/>
      </w:pPr>
      <w:r w:rsidRPr="00FA6AA1">
        <w:t>7.</w:t>
      </w:r>
      <w:r w:rsidRPr="00FA6AA1">
        <w:tab/>
      </w:r>
      <w:r w:rsidR="00964DCB" w:rsidRPr="00FA6AA1">
        <w:rPr>
          <w:i/>
        </w:rPr>
        <w:t xml:space="preserve">Requests </w:t>
      </w:r>
      <w:r w:rsidR="00964DCB" w:rsidRPr="00FA6AA1">
        <w:t>the Least Developed Countries Expert Group</w:t>
      </w:r>
      <w:r w:rsidR="00964DCB" w:rsidRPr="00FA6AA1">
        <w:rPr>
          <w:i/>
        </w:rPr>
        <w:t xml:space="preserve"> </w:t>
      </w:r>
      <w:r w:rsidR="00964DCB" w:rsidRPr="00FA6AA1">
        <w:t>to collaborate with other constituted bodies under the Convention, including by inviting members of these bodies to participate, as appropriate, in its meetings;</w:t>
      </w:r>
    </w:p>
    <w:p w14:paraId="4BC869C5" w14:textId="0C7FCBF8" w:rsidR="00964DCB" w:rsidRPr="00FA6AA1" w:rsidRDefault="00C421F9" w:rsidP="00C421F9">
      <w:pPr>
        <w:pStyle w:val="RegSingleTxtG"/>
        <w:numPr>
          <w:ilvl w:val="0"/>
          <w:numId w:val="0"/>
        </w:numPr>
        <w:tabs>
          <w:tab w:val="left" w:pos="568"/>
        </w:tabs>
        <w:ind w:left="1135"/>
      </w:pPr>
      <w:r w:rsidRPr="00FA6AA1">
        <w:t>8.</w:t>
      </w:r>
      <w:r w:rsidRPr="00FA6AA1">
        <w:tab/>
      </w:r>
      <w:r w:rsidR="00964DCB" w:rsidRPr="00FA6AA1">
        <w:rPr>
          <w:i/>
        </w:rPr>
        <w:t>Decides</w:t>
      </w:r>
      <w:r w:rsidR="00964DCB" w:rsidRPr="00FA6AA1">
        <w:t xml:space="preserve"> that the membership of the Least Developed Countries Expert Group should remain at 13 members;</w:t>
      </w:r>
    </w:p>
    <w:p w14:paraId="4BC869C6" w14:textId="498849B0" w:rsidR="00964DCB" w:rsidRPr="00FA6AA1" w:rsidRDefault="00C421F9" w:rsidP="00C421F9">
      <w:pPr>
        <w:pStyle w:val="RegSingleTxtG"/>
        <w:numPr>
          <w:ilvl w:val="0"/>
          <w:numId w:val="0"/>
        </w:numPr>
        <w:tabs>
          <w:tab w:val="left" w:pos="568"/>
        </w:tabs>
        <w:ind w:left="1135"/>
      </w:pPr>
      <w:r w:rsidRPr="00FA6AA1">
        <w:t>9.</w:t>
      </w:r>
      <w:r w:rsidRPr="00FA6AA1">
        <w:tab/>
      </w:r>
      <w:r w:rsidR="00964DCB" w:rsidRPr="00FA6AA1">
        <w:rPr>
          <w:i/>
        </w:rPr>
        <w:t xml:space="preserve">Encourages </w:t>
      </w:r>
      <w:r w:rsidR="00964DCB" w:rsidRPr="00FA6AA1">
        <w:t xml:space="preserve">the Least Developed Countries Expert Group to invite representatives of regional centres or networks to its meetings as observers, </w:t>
      </w:r>
      <w:r w:rsidR="0077665B">
        <w:t>as</w:t>
      </w:r>
      <w:r w:rsidR="00964DCB" w:rsidRPr="00FA6AA1">
        <w:t xml:space="preserve"> appropriate;</w:t>
      </w:r>
    </w:p>
    <w:p w14:paraId="4BC869C7" w14:textId="5A1A99BA" w:rsidR="00964DCB" w:rsidRPr="00FA6AA1" w:rsidRDefault="00C421F9" w:rsidP="00C421F9">
      <w:pPr>
        <w:pStyle w:val="RegSingleTxtG"/>
        <w:numPr>
          <w:ilvl w:val="0"/>
          <w:numId w:val="0"/>
        </w:numPr>
        <w:tabs>
          <w:tab w:val="left" w:pos="568"/>
        </w:tabs>
        <w:ind w:left="1135"/>
      </w:pPr>
      <w:r w:rsidRPr="00FA6AA1">
        <w:t>10.</w:t>
      </w:r>
      <w:r w:rsidRPr="00FA6AA1">
        <w:tab/>
      </w:r>
      <w:r w:rsidR="00964DCB" w:rsidRPr="00FA6AA1">
        <w:rPr>
          <w:i/>
        </w:rPr>
        <w:t xml:space="preserve">Also encourages </w:t>
      </w:r>
      <w:r w:rsidR="00964DCB" w:rsidRPr="00FA6AA1">
        <w:t>the Least Developed Countries Expert Group to invite relevant regional centres to nominate one focal point each for the Least Developed Countries Expert Group with a view to enhancing collaboration with those centres;</w:t>
      </w:r>
    </w:p>
    <w:p w14:paraId="4BC869C8" w14:textId="47DBE630" w:rsidR="00964DCB" w:rsidRPr="00FA6AA1" w:rsidRDefault="00C421F9" w:rsidP="00C421F9">
      <w:pPr>
        <w:pStyle w:val="RegSingleTxtG"/>
        <w:numPr>
          <w:ilvl w:val="0"/>
          <w:numId w:val="0"/>
        </w:numPr>
        <w:tabs>
          <w:tab w:val="left" w:pos="568"/>
        </w:tabs>
        <w:ind w:left="1135"/>
      </w:pPr>
      <w:r w:rsidRPr="00FA6AA1">
        <w:t>11.</w:t>
      </w:r>
      <w:r w:rsidRPr="00FA6AA1">
        <w:tab/>
      </w:r>
      <w:r w:rsidR="00964DCB" w:rsidRPr="00FA6AA1">
        <w:rPr>
          <w:i/>
        </w:rPr>
        <w:t>Invites</w:t>
      </w:r>
      <w:r w:rsidR="00964DCB" w:rsidRPr="00FA6AA1">
        <w:t xml:space="preserve"> the Least Developed Countries Expert Group to invite representatives of global programmes, projects and/or networks that support the process to formulate and implement national adaptation plans to its meetings, as appropriate, as a way to promote the exchange of experiences and lessons learned</w:t>
      </w:r>
      <w:r w:rsidR="00964DCB">
        <w:t>;</w:t>
      </w:r>
    </w:p>
    <w:p w14:paraId="4BC869C9" w14:textId="20DFE188" w:rsidR="00964DCB" w:rsidRPr="00FA6AA1" w:rsidRDefault="00C421F9" w:rsidP="00C421F9">
      <w:pPr>
        <w:pStyle w:val="RegSingleTxtG"/>
        <w:numPr>
          <w:ilvl w:val="0"/>
          <w:numId w:val="0"/>
        </w:numPr>
        <w:tabs>
          <w:tab w:val="left" w:pos="568"/>
        </w:tabs>
        <w:ind w:left="1135"/>
      </w:pPr>
      <w:r w:rsidRPr="00FA6AA1">
        <w:t>12.</w:t>
      </w:r>
      <w:r w:rsidRPr="00FA6AA1">
        <w:tab/>
      </w:r>
      <w:r w:rsidR="00964DCB" w:rsidRPr="00FA6AA1">
        <w:rPr>
          <w:i/>
        </w:rPr>
        <w:t>D</w:t>
      </w:r>
      <w:r w:rsidR="00964DCB" w:rsidRPr="00FA6AA1">
        <w:rPr>
          <w:i/>
          <w:iCs/>
        </w:rPr>
        <w:t xml:space="preserve">ecides </w:t>
      </w:r>
      <w:r w:rsidR="00964DCB" w:rsidRPr="00FA6AA1">
        <w:t xml:space="preserve">that, in accordance with </w:t>
      </w:r>
      <w:r w:rsidR="00964DCB" w:rsidRPr="00886B02">
        <w:t>decision 7/CP.9, paragraph 2</w:t>
      </w:r>
      <w:r w:rsidR="00964DCB" w:rsidRPr="00FA6AA1">
        <w:t>, new experts may be nominated to the Least Developed Countries Expert Group or existing members of the group may continue in office, as determined by the respective regions or groups, taking into account the goal of gender balance in established bodies</w:t>
      </w:r>
      <w:r w:rsidR="00964DCB">
        <w:t>,</w:t>
      </w:r>
      <w:r w:rsidR="00964DCB" w:rsidRPr="00FA6AA1">
        <w:t xml:space="preserve"> in accordance with </w:t>
      </w:r>
      <w:r w:rsidR="00964DCB" w:rsidRPr="00886B02">
        <w:t>decision 23/CP.18, paragraph 2</w:t>
      </w:r>
      <w:r w:rsidR="00964DCB" w:rsidRPr="00FA6AA1">
        <w:t>;</w:t>
      </w:r>
    </w:p>
    <w:p w14:paraId="4BC869CA" w14:textId="448AEE2C" w:rsidR="00964DCB" w:rsidRPr="001A244F" w:rsidRDefault="00C421F9" w:rsidP="00C421F9">
      <w:pPr>
        <w:pStyle w:val="RegSingleTxtG"/>
        <w:numPr>
          <w:ilvl w:val="0"/>
          <w:numId w:val="0"/>
        </w:numPr>
        <w:tabs>
          <w:tab w:val="left" w:pos="568"/>
        </w:tabs>
        <w:ind w:left="1135"/>
      </w:pPr>
      <w:r w:rsidRPr="001A244F">
        <w:t>13.</w:t>
      </w:r>
      <w:r w:rsidRPr="001A244F">
        <w:tab/>
      </w:r>
      <w:r w:rsidR="00964DCB" w:rsidRPr="00FA6AA1">
        <w:rPr>
          <w:i/>
          <w:iCs/>
        </w:rPr>
        <w:t xml:space="preserve">Also decides </w:t>
      </w:r>
      <w:r w:rsidR="00964DCB" w:rsidRPr="00FA6AA1">
        <w:t>to review, at its twenty-sixth session, the progress, need for continuation and terms of reference of the Least Developed Countries Expert Group</w:t>
      </w:r>
      <w:r w:rsidR="00804B29">
        <w:t>,</w:t>
      </w:r>
      <w:r w:rsidR="00964DCB" w:rsidRPr="00FA6AA1">
        <w:t xml:space="preserve"> with a view to adopting a decision thereon, taking into account, as appropriate, new </w:t>
      </w:r>
      <w:r w:rsidR="00964DCB" w:rsidRPr="001A244F">
        <w:t xml:space="preserve">processes and needs that may arise prior to that session; </w:t>
      </w:r>
    </w:p>
    <w:p w14:paraId="4BC869CB" w14:textId="6A045DAF" w:rsidR="00964DCB" w:rsidRPr="00FA6AA1" w:rsidRDefault="00C421F9" w:rsidP="00C421F9">
      <w:pPr>
        <w:pStyle w:val="RegSingleTxtG"/>
        <w:numPr>
          <w:ilvl w:val="0"/>
          <w:numId w:val="0"/>
        </w:numPr>
        <w:tabs>
          <w:tab w:val="left" w:pos="568"/>
        </w:tabs>
        <w:ind w:left="1135"/>
      </w:pPr>
      <w:r w:rsidRPr="00FA6AA1">
        <w:t>14.</w:t>
      </w:r>
      <w:r w:rsidRPr="00FA6AA1">
        <w:tab/>
      </w:r>
      <w:r w:rsidR="00964DCB" w:rsidRPr="00FA6AA1">
        <w:rPr>
          <w:i/>
        </w:rPr>
        <w:t>Further decides</w:t>
      </w:r>
      <w:r w:rsidR="00964DCB" w:rsidRPr="00FA6AA1">
        <w:t xml:space="preserve"> on the following actions and steps necessary for the Subsidiary Body for Implementation to initiate the re</w:t>
      </w:r>
      <w:r w:rsidR="00964DCB">
        <w:t>view referred to in paragraph 13</w:t>
      </w:r>
      <w:r w:rsidR="00964DCB" w:rsidRPr="00FA6AA1">
        <w:t xml:space="preserve"> above at its fifty-second session:</w:t>
      </w:r>
    </w:p>
    <w:p w14:paraId="4BC869CC" w14:textId="77777777" w:rsidR="00964DCB" w:rsidRPr="00FA6AA1" w:rsidRDefault="00964DCB" w:rsidP="00964DCB">
      <w:pPr>
        <w:pStyle w:val="RegSingleTxtG"/>
        <w:numPr>
          <w:ilvl w:val="0"/>
          <w:numId w:val="0"/>
        </w:numPr>
        <w:tabs>
          <w:tab w:val="clear" w:pos="1701"/>
          <w:tab w:val="left" w:pos="1134"/>
        </w:tabs>
        <w:ind w:left="1134" w:firstLine="567"/>
      </w:pPr>
      <w:r>
        <w:t>(a)</w:t>
      </w:r>
      <w:r>
        <w:tab/>
      </w:r>
      <w:r w:rsidRPr="00FA6AA1">
        <w:t>To request the Least Developed Countries Expert Group to convene before June 2020, with the assistance of the secretariat, a meeting with representatives of Parties and relevant organizations, to take stock of its work;</w:t>
      </w:r>
    </w:p>
    <w:p w14:paraId="4BC869CD" w14:textId="24FD8CCC" w:rsidR="00964DCB" w:rsidRPr="00FA6AA1" w:rsidRDefault="00964DCB" w:rsidP="00964DCB">
      <w:pPr>
        <w:pStyle w:val="RegSingleTxtG"/>
        <w:numPr>
          <w:ilvl w:val="0"/>
          <w:numId w:val="0"/>
        </w:numPr>
        <w:tabs>
          <w:tab w:val="clear" w:pos="1701"/>
          <w:tab w:val="left" w:pos="1134"/>
        </w:tabs>
        <w:ind w:left="1134" w:firstLine="567"/>
      </w:pPr>
      <w:r>
        <w:lastRenderedPageBreak/>
        <w:t>(b)</w:t>
      </w:r>
      <w:r>
        <w:tab/>
      </w:r>
      <w:r w:rsidRPr="00FA6AA1">
        <w:t>To invite Parties to submit their views on the work of the Least Developed Countries Expert Group via the submissions portal</w:t>
      </w:r>
      <w:r w:rsidRPr="00FA6AA1">
        <w:rPr>
          <w:rStyle w:val="FootnoteReference"/>
        </w:rPr>
        <w:footnoteReference w:id="25"/>
      </w:r>
      <w:r w:rsidRPr="00FA6AA1">
        <w:t xml:space="preserve"> </w:t>
      </w:r>
      <w:r w:rsidR="00804B29" w:rsidRPr="00FA6AA1">
        <w:t>by 1 February 2020,</w:t>
      </w:r>
      <w:r w:rsidR="00804B29">
        <w:t xml:space="preserve"> </w:t>
      </w:r>
      <w:r w:rsidRPr="00FA6AA1">
        <w:t>for consideration by the Subsidiary Bo</w:t>
      </w:r>
      <w:r>
        <w:t>dy for Implementation at its fif</w:t>
      </w:r>
      <w:r w:rsidRPr="00FA6AA1">
        <w:t>ty-</w:t>
      </w:r>
      <w:r>
        <w:t>second</w:t>
      </w:r>
      <w:r w:rsidRPr="00FA6AA1">
        <w:t xml:space="preserve"> session;</w:t>
      </w:r>
    </w:p>
    <w:p w14:paraId="4BC869CE" w14:textId="77777777" w:rsidR="00964DCB" w:rsidRPr="00FA6AA1" w:rsidRDefault="00964DCB" w:rsidP="00964DCB">
      <w:pPr>
        <w:pStyle w:val="RegSingleTxtG"/>
        <w:numPr>
          <w:ilvl w:val="0"/>
          <w:numId w:val="0"/>
        </w:numPr>
        <w:tabs>
          <w:tab w:val="clear" w:pos="1701"/>
          <w:tab w:val="left" w:pos="1134"/>
        </w:tabs>
        <w:ind w:left="1134" w:firstLine="567"/>
      </w:pPr>
      <w:r>
        <w:t>(c)</w:t>
      </w:r>
      <w:r>
        <w:tab/>
      </w:r>
      <w:r w:rsidRPr="00FA6AA1">
        <w:t>To request the secretariat to prepare a report on the stocktaking mee</w:t>
      </w:r>
      <w:r>
        <w:t>ting referred to in paragraph 14</w:t>
      </w:r>
      <w:r w:rsidRPr="00FA6AA1">
        <w:t>(a) above for consideration by the Subsidiary Body for Implementation at its fifty-second session, as input to the review;</w:t>
      </w:r>
    </w:p>
    <w:p w14:paraId="4BC869CF" w14:textId="508E998C" w:rsidR="00964DCB" w:rsidRPr="00FA6AA1" w:rsidRDefault="00964DCB" w:rsidP="00964DCB">
      <w:pPr>
        <w:pStyle w:val="RegSingleTxtG"/>
        <w:numPr>
          <w:ilvl w:val="0"/>
          <w:numId w:val="0"/>
        </w:numPr>
        <w:tabs>
          <w:tab w:val="clear" w:pos="1701"/>
          <w:tab w:val="left" w:pos="1134"/>
        </w:tabs>
        <w:ind w:left="1134" w:firstLine="567"/>
      </w:pPr>
      <w:r>
        <w:t>(d)</w:t>
      </w:r>
      <w:r>
        <w:tab/>
      </w:r>
      <w:r w:rsidRPr="00FA6AA1">
        <w:t xml:space="preserve">To request the secretariat to prepare a synthesis </w:t>
      </w:r>
      <w:r w:rsidR="002050C8">
        <w:t xml:space="preserve">report </w:t>
      </w:r>
      <w:r w:rsidR="002050C8" w:rsidRPr="00FA6AA1">
        <w:t>on</w:t>
      </w:r>
      <w:r w:rsidRPr="00FA6AA1">
        <w:t xml:space="preserve"> the progress, need for continuation and terms of reference of the Least Developed Countries Expert Group </w:t>
      </w:r>
      <w:r w:rsidR="00170309">
        <w:t xml:space="preserve">based </w:t>
      </w:r>
      <w:r w:rsidRPr="00FA6AA1">
        <w:t>on submissions from Parties, reports of the Least Developed Countries Expert Group, the report of the stocktaking meeting referred to in paragraph 1</w:t>
      </w:r>
      <w:r>
        <w:t>4</w:t>
      </w:r>
      <w:r w:rsidRPr="00FA6AA1">
        <w:t>(</w:t>
      </w:r>
      <w:r w:rsidR="00170309">
        <w:t>c</w:t>
      </w:r>
      <w:r w:rsidRPr="00FA6AA1">
        <w:t>) above and other relevant information for consideration by the Subsidiary Body for Implementation at its fifty-second session, as input to the review;</w:t>
      </w:r>
    </w:p>
    <w:p w14:paraId="4BC869D0" w14:textId="2F3A48B7" w:rsidR="00964DCB" w:rsidRDefault="00C421F9" w:rsidP="00C421F9">
      <w:pPr>
        <w:pStyle w:val="RegSingleTxtG"/>
        <w:numPr>
          <w:ilvl w:val="0"/>
          <w:numId w:val="0"/>
        </w:numPr>
        <w:tabs>
          <w:tab w:val="left" w:pos="568"/>
        </w:tabs>
        <w:ind w:left="1135"/>
      </w:pPr>
      <w:r>
        <w:t>15.</w:t>
      </w:r>
      <w:r>
        <w:tab/>
      </w:r>
      <w:r w:rsidR="00964DCB" w:rsidRPr="00FA6AA1">
        <w:rPr>
          <w:i/>
        </w:rPr>
        <w:t>R</w:t>
      </w:r>
      <w:r w:rsidR="00964DCB" w:rsidRPr="00FA6AA1">
        <w:rPr>
          <w:i/>
          <w:iCs/>
        </w:rPr>
        <w:t xml:space="preserve">equests </w:t>
      </w:r>
      <w:r w:rsidR="00964DCB" w:rsidRPr="00FA6AA1">
        <w:t>the secretariat to continue to facilitate the work of the Least Developed Countries Expert Group</w:t>
      </w:r>
      <w:r w:rsidR="00964DCB">
        <w:rPr>
          <w:szCs w:val="22"/>
        </w:rPr>
        <w:t>.</w:t>
      </w:r>
    </w:p>
    <w:p w14:paraId="4BC869D2" w14:textId="77777777" w:rsidR="00964DCB" w:rsidRDefault="005E690B" w:rsidP="00964DCB">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964DCB">
        <w:rPr>
          <w:i/>
          <w:vertAlign w:val="superscript"/>
          <w:lang w:val="en-US" w:eastAsia="en-US"/>
        </w:rPr>
        <w:t>th</w:t>
      </w:r>
      <w:r w:rsidR="00964DCB">
        <w:rPr>
          <w:i/>
          <w:lang w:val="en-US" w:eastAsia="en-US"/>
        </w:rPr>
        <w:t xml:space="preserve"> plenary meeting</w:t>
      </w:r>
    </w:p>
    <w:p w14:paraId="4BC869D3" w14:textId="77777777" w:rsidR="00964DCB" w:rsidRDefault="005E690B" w:rsidP="00964DCB">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964DCB">
        <w:rPr>
          <w:i/>
          <w:lang w:val="en-US" w:eastAsia="en-US"/>
        </w:rPr>
        <w:t xml:space="preserve"> December 2015</w:t>
      </w:r>
    </w:p>
    <w:p w14:paraId="4BC869D4" w14:textId="77777777" w:rsidR="00964DCB" w:rsidRDefault="00964DCB" w:rsidP="00964DCB">
      <w:pPr>
        <w:sectPr w:rsidR="00964DCB" w:rsidSect="00877754">
          <w:headerReference w:type="even" r:id="rId40"/>
          <w:headerReference w:type="default" r:id="rId41"/>
          <w:footerReference w:type="even" r:id="rId42"/>
          <w:footerReference w:type="default" r:id="rId43"/>
          <w:footnotePr>
            <w:numRestart w:val="eachSect"/>
          </w:footnotePr>
          <w:pgSz w:w="11906" w:h="16838" w:code="9"/>
          <w:pgMar w:top="1701" w:right="1134" w:bottom="2268" w:left="1134" w:header="1134" w:footer="1701" w:gutter="0"/>
          <w:cols w:space="708"/>
          <w:docGrid w:linePitch="360"/>
        </w:sectPr>
      </w:pPr>
    </w:p>
    <w:p w14:paraId="4BC869D5" w14:textId="77777777" w:rsidR="008E62D1" w:rsidRDefault="008E62D1" w:rsidP="008E62D1">
      <w:pPr>
        <w:pStyle w:val="HChG"/>
        <w:ind w:firstLine="0"/>
        <w:rPr>
          <w:bCs/>
        </w:rPr>
      </w:pPr>
      <w:r>
        <w:rPr>
          <w:bCs/>
        </w:rPr>
        <w:lastRenderedPageBreak/>
        <w:t>Decision 2</w:t>
      </w:r>
      <w:r w:rsidR="002E0E55">
        <w:rPr>
          <w:bCs/>
        </w:rPr>
        <w:t>0</w:t>
      </w:r>
      <w:r>
        <w:rPr>
          <w:bCs/>
        </w:rPr>
        <w:t>/CP.21</w:t>
      </w:r>
    </w:p>
    <w:p w14:paraId="4BC869D6" w14:textId="77777777" w:rsidR="008E62D1" w:rsidRDefault="008E62D1" w:rsidP="008E62D1">
      <w:pPr>
        <w:pStyle w:val="HChG"/>
      </w:pPr>
      <w:r>
        <w:tab/>
      </w:r>
      <w:r>
        <w:tab/>
        <w:t>Technical review in 2016 of greenhouse gas inventories from Parties included in Annex I to the Convention</w:t>
      </w:r>
    </w:p>
    <w:p w14:paraId="4BC869D7" w14:textId="77777777" w:rsidR="008E62D1" w:rsidRPr="00896384" w:rsidRDefault="008E62D1" w:rsidP="008E62D1">
      <w:pPr>
        <w:pStyle w:val="SingleTxtG"/>
        <w:ind w:firstLine="567"/>
        <w:rPr>
          <w:i/>
        </w:rPr>
      </w:pPr>
      <w:r w:rsidRPr="00896384">
        <w:rPr>
          <w:i/>
        </w:rPr>
        <w:t>The Conference of the Parties</w:t>
      </w:r>
      <w:r w:rsidRPr="003F038E">
        <w:t>,</w:t>
      </w:r>
    </w:p>
    <w:p w14:paraId="4BC869D8" w14:textId="77777777" w:rsidR="008E62D1" w:rsidRDefault="008E62D1" w:rsidP="008E62D1">
      <w:pPr>
        <w:pStyle w:val="SingleTxtG"/>
        <w:ind w:firstLine="567"/>
      </w:pPr>
      <w:r w:rsidRPr="00896384">
        <w:rPr>
          <w:i/>
        </w:rPr>
        <w:t xml:space="preserve">Recalling </w:t>
      </w:r>
      <w:r w:rsidRPr="00B16232">
        <w:t>decisions 12/CP.9, 24/CP.19 and 13/CP.20,</w:t>
      </w:r>
    </w:p>
    <w:p w14:paraId="4BC869D9" w14:textId="77777777" w:rsidR="008E62D1" w:rsidRPr="009E4320" w:rsidRDefault="008E62D1" w:rsidP="008E62D1">
      <w:pPr>
        <w:pStyle w:val="RegSingleTxtG"/>
        <w:numPr>
          <w:ilvl w:val="0"/>
          <w:numId w:val="0"/>
        </w:numPr>
        <w:ind w:left="1135" w:firstLine="566"/>
      </w:pPr>
      <w:r w:rsidRPr="009E4320">
        <w:rPr>
          <w:i/>
        </w:rPr>
        <w:t xml:space="preserve">Emphasizing </w:t>
      </w:r>
      <w:r w:rsidRPr="009E4320">
        <w:t>the importance of ensuring that the Conference of the Parties has adequate and reliable information on annual greenhouse gas inventories from Parties included in Annex I to the Convention (Annex I Parties),</w:t>
      </w:r>
    </w:p>
    <w:p w14:paraId="4BC869DA" w14:textId="77777777" w:rsidR="008E62D1" w:rsidRPr="009E4320" w:rsidRDefault="008E62D1" w:rsidP="008E62D1">
      <w:pPr>
        <w:pStyle w:val="RegSingleTxtG"/>
        <w:numPr>
          <w:ilvl w:val="0"/>
          <w:numId w:val="0"/>
        </w:numPr>
        <w:ind w:left="1135" w:firstLine="566"/>
      </w:pPr>
      <w:r w:rsidRPr="009E4320">
        <w:rPr>
          <w:rFonts w:eastAsia="Times New Roman"/>
          <w:i/>
          <w:iCs/>
          <w:lang w:val="en-US" w:eastAsia="en-US"/>
        </w:rPr>
        <w:t>Recognizing</w:t>
      </w:r>
      <w:r w:rsidRPr="009E4320">
        <w:rPr>
          <w:rFonts w:eastAsia="Times New Roman"/>
          <w:iCs/>
          <w:lang w:val="en-US" w:eastAsia="en-US"/>
        </w:rPr>
        <w:t xml:space="preserve"> that owing to a</w:t>
      </w:r>
      <w:r w:rsidRPr="009E4320">
        <w:t xml:space="preserve"> delay in the availability of a functioning CRF Reporter, not all Annex I Parties were able to submit their 2015 greenhouse gas inventories in time to start the review process of those inventories in 2015,</w:t>
      </w:r>
    </w:p>
    <w:p w14:paraId="4BC869DB" w14:textId="726531F4" w:rsidR="008E62D1" w:rsidRPr="002B371E" w:rsidRDefault="00C421F9" w:rsidP="00C421F9">
      <w:pPr>
        <w:pStyle w:val="RegSingleTxtG"/>
        <w:numPr>
          <w:ilvl w:val="0"/>
          <w:numId w:val="0"/>
        </w:numPr>
        <w:tabs>
          <w:tab w:val="left" w:pos="568"/>
        </w:tabs>
        <w:ind w:left="1135"/>
        <w:rPr>
          <w:lang w:val="en-US" w:eastAsia="en-US"/>
        </w:rPr>
      </w:pPr>
      <w:r w:rsidRPr="002B371E">
        <w:rPr>
          <w:lang w:val="en-US" w:eastAsia="en-US"/>
        </w:rPr>
        <w:t>1.</w:t>
      </w:r>
      <w:r w:rsidRPr="002B371E">
        <w:rPr>
          <w:lang w:val="en-US" w:eastAsia="en-US"/>
        </w:rPr>
        <w:tab/>
      </w:r>
      <w:r w:rsidR="008E62D1" w:rsidRPr="002B371E">
        <w:rPr>
          <w:i/>
          <w:lang w:val="en-US" w:eastAsia="en-US"/>
        </w:rPr>
        <w:t xml:space="preserve">Requests </w:t>
      </w:r>
      <w:r w:rsidR="008E62D1" w:rsidRPr="002B371E">
        <w:rPr>
          <w:lang w:val="en-US" w:eastAsia="en-US"/>
        </w:rPr>
        <w:t xml:space="preserve">the secretariat to organize, for </w:t>
      </w:r>
      <w:r w:rsidR="008E62D1" w:rsidRPr="009E4320">
        <w:t>Parties included in Annex I to the Convention</w:t>
      </w:r>
      <w:r w:rsidR="008E62D1" w:rsidRPr="002B371E">
        <w:rPr>
          <w:lang w:val="en-US" w:eastAsia="en-US"/>
        </w:rPr>
        <w:t xml:space="preserve"> (Annex I Parties) that did not undergo a review of their annual greenhouse gas inventory in 2015, the review of their 2015 greenhouse gas inventory submission under the Convention in conjunction with the review of their 2016 greenhouse gas inventory submission, ensuring that the reviews are organized in accordance with decision 13/CP.20;</w:t>
      </w:r>
    </w:p>
    <w:p w14:paraId="4BC869DC" w14:textId="44A46937" w:rsidR="008E62D1" w:rsidRPr="009E4320" w:rsidRDefault="00C421F9" w:rsidP="00C421F9">
      <w:pPr>
        <w:pStyle w:val="RegSingleTxtG"/>
        <w:numPr>
          <w:ilvl w:val="0"/>
          <w:numId w:val="0"/>
        </w:numPr>
        <w:tabs>
          <w:tab w:val="left" w:pos="568"/>
        </w:tabs>
        <w:ind w:left="1135"/>
        <w:rPr>
          <w:rFonts w:ascii="TimesNewRoman,Italic" w:eastAsia="Times New Roman" w:hAnsi="TimesNewRoman,Italic" w:cs="TimesNewRoman,Italic"/>
          <w:iCs/>
          <w:lang w:val="en-US" w:eastAsia="en-US"/>
        </w:rPr>
      </w:pPr>
      <w:r w:rsidRPr="009E4320">
        <w:rPr>
          <w:rFonts w:eastAsia="Times New Roman"/>
          <w:iCs/>
          <w:lang w:val="en-US" w:eastAsia="en-US"/>
        </w:rPr>
        <w:t>2.</w:t>
      </w:r>
      <w:r w:rsidRPr="009E4320">
        <w:rPr>
          <w:rFonts w:eastAsia="Times New Roman"/>
          <w:iCs/>
          <w:lang w:val="en-US" w:eastAsia="en-US"/>
        </w:rPr>
        <w:tab/>
      </w:r>
      <w:r w:rsidR="008E62D1" w:rsidRPr="009E4320">
        <w:rPr>
          <w:rFonts w:ascii="TimesNewRoman,Italic" w:eastAsia="Times New Roman" w:hAnsi="TimesNewRoman,Italic" w:cs="TimesNewRoman,Italic"/>
          <w:i/>
          <w:iCs/>
          <w:lang w:val="en-US" w:eastAsia="en-US"/>
        </w:rPr>
        <w:t>Decides</w:t>
      </w:r>
      <w:r w:rsidR="008E62D1" w:rsidRPr="009E4320">
        <w:rPr>
          <w:rFonts w:ascii="TimesNewRoman,Italic" w:eastAsia="Times New Roman" w:hAnsi="TimesNewRoman,Italic" w:cs="TimesNewRoman,Italic"/>
          <w:iCs/>
          <w:lang w:val="en-US" w:eastAsia="en-US"/>
        </w:rPr>
        <w:t xml:space="preserve"> that the expert review teams shall review identical information only once</w:t>
      </w:r>
      <w:r w:rsidR="00CF2F0B">
        <w:rPr>
          <w:rFonts w:ascii="TimesNewRoman,Italic" w:eastAsia="Times New Roman" w:hAnsi="TimesNewRoman,Italic" w:cs="TimesNewRoman,Italic"/>
          <w:iCs/>
          <w:lang w:val="en-US" w:eastAsia="en-US"/>
        </w:rPr>
        <w:t>,</w:t>
      </w:r>
      <w:r w:rsidR="008E62D1" w:rsidRPr="009E4320">
        <w:rPr>
          <w:rFonts w:ascii="TimesNewRoman,Italic" w:eastAsia="Times New Roman" w:hAnsi="TimesNewRoman,Italic" w:cs="TimesNewRoman,Italic"/>
          <w:iCs/>
          <w:lang w:val="en-US" w:eastAsia="en-US"/>
        </w:rPr>
        <w:t xml:space="preserve"> </w:t>
      </w:r>
      <w:r w:rsidR="00CF2F0B">
        <w:rPr>
          <w:rFonts w:ascii="TimesNewRoman,Italic" w:eastAsia="Times New Roman" w:hAnsi="TimesNewRoman,Italic" w:cs="TimesNewRoman,Italic"/>
          <w:iCs/>
          <w:lang w:val="en-US" w:eastAsia="en-US"/>
        </w:rPr>
        <w:t>and that t</w:t>
      </w:r>
      <w:r w:rsidR="008E62D1" w:rsidRPr="009E4320">
        <w:rPr>
          <w:rFonts w:ascii="TimesNewRoman,Italic" w:eastAsia="Times New Roman" w:hAnsi="TimesNewRoman,Italic" w:cs="TimesNewRoman,Italic"/>
          <w:iCs/>
          <w:lang w:val="en-US" w:eastAsia="en-US"/>
        </w:rPr>
        <w:t xml:space="preserve">he expert review teams shall produce a separate, complete </w:t>
      </w:r>
      <w:r w:rsidR="008E62D1" w:rsidRPr="008E62D1">
        <w:rPr>
          <w:lang w:val="en-US" w:eastAsia="en-US"/>
        </w:rPr>
        <w:t>review</w:t>
      </w:r>
      <w:r w:rsidR="008E62D1" w:rsidRPr="009E4320">
        <w:rPr>
          <w:rFonts w:ascii="TimesNewRoman,Italic" w:eastAsia="Times New Roman" w:hAnsi="TimesNewRoman,Italic" w:cs="TimesNewRoman,Italic"/>
          <w:iCs/>
          <w:lang w:val="en-US" w:eastAsia="en-US"/>
        </w:rPr>
        <w:t xml:space="preserve"> report for each Party for each year, but may replicate the same review text in both review reports concerning identical information in both years’ inventories;</w:t>
      </w:r>
    </w:p>
    <w:p w14:paraId="4BC869DD" w14:textId="564C3545" w:rsidR="008E62D1" w:rsidRPr="009E4320" w:rsidRDefault="00C421F9" w:rsidP="00C421F9">
      <w:pPr>
        <w:pStyle w:val="RegSingleTxtG"/>
        <w:numPr>
          <w:ilvl w:val="0"/>
          <w:numId w:val="0"/>
        </w:numPr>
        <w:tabs>
          <w:tab w:val="left" w:pos="568"/>
        </w:tabs>
        <w:ind w:left="1135"/>
        <w:rPr>
          <w:rFonts w:ascii="TimesNewRoman,Italic" w:eastAsia="Times New Roman" w:hAnsi="TimesNewRoman,Italic" w:cs="TimesNewRoman,Italic"/>
          <w:iCs/>
          <w:lang w:val="en-US" w:eastAsia="en-US"/>
        </w:rPr>
      </w:pPr>
      <w:r w:rsidRPr="009E4320">
        <w:rPr>
          <w:rFonts w:eastAsia="Times New Roman"/>
          <w:iCs/>
          <w:lang w:val="en-US" w:eastAsia="en-US"/>
        </w:rPr>
        <w:t>3.</w:t>
      </w:r>
      <w:r w:rsidRPr="009E4320">
        <w:rPr>
          <w:rFonts w:eastAsia="Times New Roman"/>
          <w:iCs/>
          <w:lang w:val="en-US" w:eastAsia="en-US"/>
        </w:rPr>
        <w:tab/>
      </w:r>
      <w:r w:rsidR="008E62D1" w:rsidRPr="009E4320">
        <w:rPr>
          <w:rFonts w:ascii="TimesNewRoman,Italic" w:eastAsia="Times New Roman" w:hAnsi="TimesNewRoman,Italic" w:cs="TimesNewRoman,Italic"/>
          <w:i/>
          <w:iCs/>
          <w:lang w:val="en-US" w:eastAsia="en-US"/>
        </w:rPr>
        <w:t xml:space="preserve">Also decides </w:t>
      </w:r>
      <w:r w:rsidR="008E62D1" w:rsidRPr="009E4320">
        <w:rPr>
          <w:rFonts w:ascii="TimesNewRoman,Italic" w:eastAsia="Times New Roman" w:hAnsi="TimesNewRoman,Italic" w:cs="TimesNewRoman,Italic"/>
          <w:iCs/>
          <w:lang w:val="en-US" w:eastAsia="en-US"/>
        </w:rPr>
        <w:t xml:space="preserve">that the exceptional measures taken under paragraph 1 above to review the greenhouse gas inventories for Annex I Parties for the years 2015 and 2016 shall not be precedent-setting for future work; </w:t>
      </w:r>
    </w:p>
    <w:p w14:paraId="4BC869DE" w14:textId="7518DFBC" w:rsidR="008E62D1" w:rsidRPr="008E62D1" w:rsidRDefault="00C421F9" w:rsidP="00C421F9">
      <w:pPr>
        <w:pStyle w:val="RegSingleTxtG"/>
        <w:numPr>
          <w:ilvl w:val="0"/>
          <w:numId w:val="0"/>
        </w:numPr>
        <w:tabs>
          <w:tab w:val="left" w:pos="568"/>
        </w:tabs>
        <w:ind w:left="1135"/>
        <w:rPr>
          <w:lang w:val="en-US" w:eastAsia="en-US"/>
        </w:rPr>
      </w:pPr>
      <w:r w:rsidRPr="008E62D1">
        <w:rPr>
          <w:lang w:val="en-US" w:eastAsia="en-US"/>
        </w:rPr>
        <w:t>4.</w:t>
      </w:r>
      <w:r w:rsidRPr="008E62D1">
        <w:rPr>
          <w:lang w:val="en-US" w:eastAsia="en-US"/>
        </w:rPr>
        <w:tab/>
      </w:r>
      <w:r w:rsidR="008E62D1" w:rsidRPr="009E4320">
        <w:rPr>
          <w:rFonts w:ascii="TimesNewRoman,Italic" w:eastAsia="Times New Roman" w:hAnsi="TimesNewRoman,Italic" w:cs="TimesNewRoman,Italic"/>
          <w:i/>
          <w:iCs/>
          <w:lang w:val="en-US" w:eastAsia="en-US"/>
        </w:rPr>
        <w:t xml:space="preserve">Requests </w:t>
      </w:r>
      <w:r w:rsidR="008E62D1" w:rsidRPr="009E4320">
        <w:rPr>
          <w:rFonts w:ascii="TimesNewRoman,Italic" w:eastAsia="Times New Roman" w:hAnsi="TimesNewRoman,Italic" w:cs="TimesNewRoman,Italic"/>
          <w:iCs/>
          <w:lang w:val="en-US" w:eastAsia="en-US"/>
        </w:rPr>
        <w:t xml:space="preserve">the secretariat to make every effort to facilitate future reviews in accordance with decision 13/CP.20 and </w:t>
      </w:r>
      <w:r w:rsidR="008E62D1">
        <w:rPr>
          <w:rFonts w:ascii="TimesNewRoman,Italic" w:eastAsia="Times New Roman" w:hAnsi="TimesNewRoman,Italic" w:cs="TimesNewRoman,Italic"/>
          <w:iCs/>
          <w:lang w:val="en-US" w:eastAsia="en-US"/>
        </w:rPr>
        <w:t xml:space="preserve">any </w:t>
      </w:r>
      <w:r w:rsidR="008E62D1" w:rsidRPr="009E4320">
        <w:rPr>
          <w:rFonts w:ascii="TimesNewRoman,Italic" w:eastAsia="Times New Roman" w:hAnsi="TimesNewRoman,Italic" w:cs="TimesNewRoman,Italic"/>
          <w:iCs/>
          <w:lang w:val="en-US" w:eastAsia="en-US"/>
        </w:rPr>
        <w:t>subsequent relevant decisions, without exception;</w:t>
      </w:r>
    </w:p>
    <w:p w14:paraId="4BC869DF" w14:textId="5C3840C0" w:rsidR="008E62D1" w:rsidRDefault="00C421F9" w:rsidP="00C421F9">
      <w:pPr>
        <w:pStyle w:val="RegSingleTxtG"/>
        <w:numPr>
          <w:ilvl w:val="0"/>
          <w:numId w:val="0"/>
        </w:numPr>
        <w:tabs>
          <w:tab w:val="left" w:pos="568"/>
        </w:tabs>
        <w:ind w:left="1135"/>
      </w:pPr>
      <w:r>
        <w:t>5.</w:t>
      </w:r>
      <w:r>
        <w:tab/>
      </w:r>
      <w:r w:rsidR="008E62D1" w:rsidRPr="008E62D1">
        <w:rPr>
          <w:i/>
          <w:lang w:val="en-US" w:eastAsia="en-US"/>
        </w:rPr>
        <w:t>Also requests</w:t>
      </w:r>
      <w:r w:rsidR="008E62D1" w:rsidRPr="008E62D1">
        <w:rPr>
          <w:lang w:val="en-US" w:eastAsia="en-US"/>
        </w:rPr>
        <w:t xml:space="preserve"> the secretariat to continue to make im</w:t>
      </w:r>
      <w:r w:rsidR="008E62D1" w:rsidRPr="00E80DAF">
        <w:rPr>
          <w:rFonts w:ascii="TimesNewRoman,Italic" w:eastAsia="Times New Roman" w:hAnsi="TimesNewRoman,Italic" w:cs="TimesNewRoman,Italic"/>
          <w:iCs/>
          <w:lang w:val="en-US" w:eastAsia="en-US"/>
        </w:rPr>
        <w:t>provements to the CRF Reporter functionality, prioritizing the resolution of outstanding issues related to transparency and accuracy, noting that the CRF Reporter is not yet fully functioning.</w:t>
      </w:r>
    </w:p>
    <w:p w14:paraId="4BC869E1" w14:textId="77777777" w:rsidR="008E62D1" w:rsidRDefault="007C0FEC" w:rsidP="008E62D1">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8E62D1">
        <w:rPr>
          <w:i/>
          <w:vertAlign w:val="superscript"/>
          <w:lang w:val="en-US" w:eastAsia="en-US"/>
        </w:rPr>
        <w:t>th</w:t>
      </w:r>
      <w:r w:rsidR="008E62D1">
        <w:rPr>
          <w:i/>
          <w:lang w:val="en-US" w:eastAsia="en-US"/>
        </w:rPr>
        <w:t xml:space="preserve"> plenary meeting</w:t>
      </w:r>
    </w:p>
    <w:p w14:paraId="4BC869E2" w14:textId="77777777" w:rsidR="008E62D1" w:rsidRDefault="007C0FEC" w:rsidP="008E62D1">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8E62D1">
        <w:rPr>
          <w:i/>
          <w:lang w:val="en-US" w:eastAsia="en-US"/>
        </w:rPr>
        <w:t xml:space="preserve"> December 2015</w:t>
      </w:r>
    </w:p>
    <w:p w14:paraId="4BC869E3" w14:textId="77777777" w:rsidR="008E62D1" w:rsidRDefault="008E62D1" w:rsidP="008E62D1">
      <w:pPr>
        <w:sectPr w:rsidR="008E62D1" w:rsidSect="00877754">
          <w:headerReference w:type="even" r:id="rId44"/>
          <w:footerReference w:type="even" r:id="rId45"/>
          <w:footerReference w:type="default" r:id="rId46"/>
          <w:footnotePr>
            <w:numRestart w:val="eachSect"/>
          </w:footnotePr>
          <w:pgSz w:w="11906" w:h="16838" w:code="9"/>
          <w:pgMar w:top="1701" w:right="1134" w:bottom="2268" w:left="1134" w:header="1134" w:footer="1701" w:gutter="0"/>
          <w:cols w:space="708"/>
          <w:docGrid w:linePitch="360"/>
        </w:sectPr>
      </w:pPr>
    </w:p>
    <w:p w14:paraId="4BC869E4" w14:textId="77777777" w:rsidR="008E62D1" w:rsidRDefault="008E62D1" w:rsidP="008E62D1">
      <w:pPr>
        <w:pStyle w:val="HChG"/>
        <w:ind w:firstLine="0"/>
        <w:rPr>
          <w:bCs/>
        </w:rPr>
      </w:pPr>
      <w:r>
        <w:rPr>
          <w:bCs/>
        </w:rPr>
        <w:lastRenderedPageBreak/>
        <w:t>Decision 2</w:t>
      </w:r>
      <w:r w:rsidR="002E0E55">
        <w:rPr>
          <w:bCs/>
        </w:rPr>
        <w:t>1</w:t>
      </w:r>
      <w:r>
        <w:rPr>
          <w:bCs/>
        </w:rPr>
        <w:t>/CP.21</w:t>
      </w:r>
    </w:p>
    <w:p w14:paraId="4BC869E5" w14:textId="77777777" w:rsidR="008E62D1" w:rsidRDefault="008E62D1" w:rsidP="008E62D1">
      <w:pPr>
        <w:pStyle w:val="HChG"/>
      </w:pPr>
      <w:r>
        <w:tab/>
      </w:r>
      <w:r>
        <w:tab/>
        <w:t>Administrative, financial and institutional matters</w:t>
      </w:r>
    </w:p>
    <w:p w14:paraId="4BC869E6" w14:textId="77777777" w:rsidR="005140C3" w:rsidRPr="008926FB" w:rsidRDefault="005140C3" w:rsidP="005140C3">
      <w:pPr>
        <w:pStyle w:val="SingleTxtG"/>
        <w:ind w:firstLine="567"/>
        <w:rPr>
          <w:i/>
          <w:lang w:val="en-US"/>
        </w:rPr>
      </w:pPr>
      <w:r w:rsidRPr="008926FB">
        <w:rPr>
          <w:i/>
          <w:lang w:val="en-US"/>
        </w:rPr>
        <w:t>The Conference of the Parties</w:t>
      </w:r>
      <w:r w:rsidRPr="00EF0494">
        <w:rPr>
          <w:lang w:val="en-US"/>
        </w:rPr>
        <w:t>,</w:t>
      </w:r>
      <w:r w:rsidRPr="008926FB">
        <w:rPr>
          <w:i/>
          <w:lang w:val="en-US"/>
        </w:rPr>
        <w:t xml:space="preserve"> </w:t>
      </w:r>
    </w:p>
    <w:p w14:paraId="4BC869E7" w14:textId="77777777" w:rsidR="005140C3" w:rsidRPr="005F1E09" w:rsidRDefault="005140C3" w:rsidP="005140C3">
      <w:pPr>
        <w:spacing w:before="120"/>
        <w:ind w:left="1134" w:right="1174" w:firstLine="567"/>
        <w:jc w:val="both"/>
      </w:pPr>
      <w:r w:rsidRPr="005F1E09">
        <w:rPr>
          <w:i/>
        </w:rPr>
        <w:t xml:space="preserve">Recalling </w:t>
      </w:r>
      <w:r w:rsidRPr="00CE6689">
        <w:t>decision 27/CP.19, in which the programme budget for the biennium 2014–2015 was approved</w:t>
      </w:r>
      <w:r w:rsidRPr="000B5FBE">
        <w:t>,</w:t>
      </w:r>
      <w:r w:rsidRPr="005F1E09">
        <w:t xml:space="preserve"> </w:t>
      </w:r>
    </w:p>
    <w:p w14:paraId="4BC869E8" w14:textId="1607EFF5" w:rsidR="005140C3" w:rsidRPr="005F1E09" w:rsidRDefault="005140C3" w:rsidP="005140C3">
      <w:pPr>
        <w:spacing w:before="120" w:after="120"/>
        <w:ind w:left="1134" w:right="1174" w:firstLine="567"/>
        <w:jc w:val="both"/>
      </w:pPr>
      <w:r w:rsidRPr="005F1E09">
        <w:rPr>
          <w:i/>
        </w:rPr>
        <w:t xml:space="preserve">Also recalling </w:t>
      </w:r>
      <w:r w:rsidRPr="00CE6689">
        <w:t>paragraph 11</w:t>
      </w:r>
      <w:r w:rsidRPr="005F1E09">
        <w:t xml:space="preserve"> of the financial procedures </w:t>
      </w:r>
      <w:r w:rsidR="009F1061">
        <w:t>for</w:t>
      </w:r>
      <w:r w:rsidRPr="005F1E09">
        <w:t xml:space="preserve"> the Conference of the Parties,</w:t>
      </w:r>
      <w:r w:rsidR="006F7625">
        <w:t xml:space="preserve"> its subsidiary bodies and the secretariat</w:t>
      </w:r>
      <w:r>
        <w:rPr>
          <w:rStyle w:val="FootnoteReference"/>
        </w:rPr>
        <w:footnoteReference w:id="26"/>
      </w:r>
    </w:p>
    <w:p w14:paraId="4BC869E9" w14:textId="77777777" w:rsidR="005140C3" w:rsidRDefault="005140C3" w:rsidP="005140C3">
      <w:pPr>
        <w:ind w:left="1134" w:right="1174" w:firstLine="567"/>
        <w:jc w:val="both"/>
      </w:pPr>
      <w:r w:rsidRPr="005F1E09">
        <w:rPr>
          <w:i/>
        </w:rPr>
        <w:t xml:space="preserve">Having considered </w:t>
      </w:r>
      <w:r w:rsidRPr="00CE6689">
        <w:t>the information contained in the documents prepared by the secretariat on administrative, financial and institutional matters</w:t>
      </w:r>
      <w:r w:rsidRPr="00CB3611">
        <w:t>,</w:t>
      </w:r>
      <w:r>
        <w:rPr>
          <w:rStyle w:val="FootnoteReference"/>
        </w:rPr>
        <w:footnoteReference w:id="27"/>
      </w:r>
    </w:p>
    <w:p w14:paraId="4BC869EA" w14:textId="702F28AC" w:rsidR="005140C3" w:rsidRDefault="00C421F9" w:rsidP="00C421F9">
      <w:pPr>
        <w:pStyle w:val="RegHChG"/>
        <w:numPr>
          <w:ilvl w:val="0"/>
          <w:numId w:val="0"/>
        </w:numPr>
        <w:tabs>
          <w:tab w:val="left" w:pos="1135"/>
        </w:tabs>
        <w:ind w:left="1135" w:hanging="454"/>
      </w:pPr>
      <w:r>
        <w:t>I.</w:t>
      </w:r>
      <w:r>
        <w:tab/>
      </w:r>
      <w:r w:rsidR="005140C3" w:rsidRPr="005140C3">
        <w:rPr>
          <w:bCs/>
          <w:szCs w:val="28"/>
        </w:rPr>
        <w:t>Budget performance for the biennium 2014–2015</w:t>
      </w:r>
    </w:p>
    <w:p w14:paraId="4BC869EB" w14:textId="305CB8ED" w:rsidR="005140C3" w:rsidRPr="005140C3" w:rsidRDefault="00C421F9" w:rsidP="00C421F9">
      <w:pPr>
        <w:pStyle w:val="RegSingleTxtG"/>
        <w:numPr>
          <w:ilvl w:val="0"/>
          <w:numId w:val="0"/>
        </w:numPr>
        <w:tabs>
          <w:tab w:val="left" w:pos="568"/>
        </w:tabs>
        <w:ind w:left="1135"/>
        <w:rPr>
          <w:rFonts w:eastAsia="Times New Roman"/>
          <w:lang w:eastAsia="en-US"/>
        </w:rPr>
      </w:pPr>
      <w:r w:rsidRPr="005140C3">
        <w:rPr>
          <w:rFonts w:eastAsia="Times New Roman"/>
          <w:lang w:eastAsia="en-US"/>
        </w:rPr>
        <w:t>1.</w:t>
      </w:r>
      <w:r w:rsidRPr="005140C3">
        <w:rPr>
          <w:rFonts w:eastAsia="Times New Roman"/>
          <w:lang w:eastAsia="en-US"/>
        </w:rPr>
        <w:tab/>
      </w:r>
      <w:r w:rsidR="005140C3" w:rsidRPr="005140C3">
        <w:rPr>
          <w:i/>
        </w:rPr>
        <w:t>Takes note</w:t>
      </w:r>
      <w:r w:rsidR="005140C3" w:rsidRPr="00CB3611">
        <w:t xml:space="preserve"> </w:t>
      </w:r>
      <w:r w:rsidR="005140C3" w:rsidRPr="005140C3">
        <w:rPr>
          <w:rFonts w:eastAsia="Times New Roman"/>
          <w:lang w:eastAsia="en-US"/>
        </w:rPr>
        <w:t>of the information contained in the report on budget performance for the period 1 January 2014 to 30 June 2015</w:t>
      </w:r>
      <w:r w:rsidR="005140C3" w:rsidRPr="00CE6689">
        <w:rPr>
          <w:sz w:val="18"/>
          <w:vertAlign w:val="superscript"/>
          <w:lang w:eastAsia="en-US"/>
        </w:rPr>
        <w:footnoteReference w:id="28"/>
      </w:r>
      <w:r w:rsidR="005140C3" w:rsidRPr="005140C3">
        <w:rPr>
          <w:rFonts w:eastAsia="Times New Roman"/>
          <w:lang w:eastAsia="en-US"/>
        </w:rPr>
        <w:t xml:space="preserve"> and the status of contributions to the trust funds administered by the secretariat as at 15 November 2015</w:t>
      </w:r>
      <w:r w:rsidR="005140C3" w:rsidRPr="00CB3611">
        <w:t>;</w:t>
      </w:r>
      <w:r w:rsidR="005140C3">
        <w:rPr>
          <w:rStyle w:val="FootnoteReference"/>
          <w:rFonts w:eastAsia="Times New Roman"/>
          <w:lang w:eastAsia="en-US"/>
        </w:rPr>
        <w:footnoteReference w:id="29"/>
      </w:r>
    </w:p>
    <w:p w14:paraId="4BC869EC" w14:textId="36387E94" w:rsidR="005140C3" w:rsidRDefault="00C421F9" w:rsidP="00C421F9">
      <w:pPr>
        <w:pStyle w:val="RegSingleTxtG"/>
        <w:numPr>
          <w:ilvl w:val="0"/>
          <w:numId w:val="0"/>
        </w:numPr>
        <w:tabs>
          <w:tab w:val="left" w:pos="568"/>
        </w:tabs>
        <w:ind w:left="1135"/>
        <w:rPr>
          <w:i/>
          <w:lang w:eastAsia="en-US"/>
        </w:rPr>
      </w:pPr>
      <w:r>
        <w:rPr>
          <w:lang w:eastAsia="en-US"/>
        </w:rPr>
        <w:t>2.</w:t>
      </w:r>
      <w:r>
        <w:rPr>
          <w:lang w:eastAsia="en-US"/>
        </w:rPr>
        <w:tab/>
      </w:r>
      <w:r w:rsidR="005140C3">
        <w:rPr>
          <w:i/>
          <w:lang w:eastAsia="en-US"/>
        </w:rPr>
        <w:t xml:space="preserve">Welcomes </w:t>
      </w:r>
      <w:r w:rsidR="005140C3" w:rsidRPr="00CE6689">
        <w:rPr>
          <w:lang w:eastAsia="en-US"/>
        </w:rPr>
        <w:t>the Executive Secretary’s efforts to address budgetary limits by enhancing effectiveness and efficiency, including reducing staffing costs through post management</w:t>
      </w:r>
      <w:r w:rsidR="005140C3">
        <w:rPr>
          <w:lang w:eastAsia="en-US"/>
        </w:rPr>
        <w:t>;</w:t>
      </w:r>
    </w:p>
    <w:p w14:paraId="4BC869ED" w14:textId="4EBCA5FB" w:rsidR="005140C3" w:rsidRPr="00B76745" w:rsidRDefault="00C421F9" w:rsidP="00C421F9">
      <w:pPr>
        <w:pStyle w:val="RegSingleTxtG"/>
        <w:numPr>
          <w:ilvl w:val="0"/>
          <w:numId w:val="0"/>
        </w:numPr>
        <w:tabs>
          <w:tab w:val="left" w:pos="568"/>
        </w:tabs>
        <w:ind w:left="1135"/>
        <w:rPr>
          <w:lang w:eastAsia="en-US"/>
        </w:rPr>
      </w:pPr>
      <w:r w:rsidRPr="00B76745">
        <w:rPr>
          <w:lang w:eastAsia="en-US"/>
        </w:rPr>
        <w:t>3.</w:t>
      </w:r>
      <w:r w:rsidRPr="00B76745">
        <w:rPr>
          <w:lang w:eastAsia="en-US"/>
        </w:rPr>
        <w:tab/>
      </w:r>
      <w:r w:rsidR="005140C3" w:rsidRPr="00677FC0">
        <w:rPr>
          <w:i/>
          <w:lang w:eastAsia="en-US"/>
        </w:rPr>
        <w:t>Expresses</w:t>
      </w:r>
      <w:r w:rsidR="005140C3" w:rsidRPr="00B76745">
        <w:rPr>
          <w:lang w:eastAsia="en-US"/>
        </w:rPr>
        <w:t xml:space="preserve"> </w:t>
      </w:r>
      <w:r w:rsidR="005140C3" w:rsidRPr="006E2887">
        <w:rPr>
          <w:i/>
          <w:lang w:eastAsia="en-US"/>
        </w:rPr>
        <w:t>appreciation</w:t>
      </w:r>
      <w:r w:rsidR="005140C3" w:rsidRPr="00CE6689">
        <w:rPr>
          <w:lang w:eastAsia="en-US"/>
        </w:rPr>
        <w:t xml:space="preserve"> to Parties that made contributions to the core budget in a timely manner</w:t>
      </w:r>
      <w:r w:rsidR="005140C3" w:rsidRPr="00B76745">
        <w:rPr>
          <w:lang w:eastAsia="en-US"/>
        </w:rPr>
        <w:t>;</w:t>
      </w:r>
    </w:p>
    <w:p w14:paraId="4BC869EE" w14:textId="23495132" w:rsidR="005140C3" w:rsidRDefault="00C421F9" w:rsidP="00C421F9">
      <w:pPr>
        <w:pStyle w:val="RegSingleTxtG"/>
        <w:numPr>
          <w:ilvl w:val="0"/>
          <w:numId w:val="0"/>
        </w:numPr>
        <w:tabs>
          <w:tab w:val="left" w:pos="568"/>
        </w:tabs>
        <w:ind w:left="1135"/>
        <w:rPr>
          <w:lang w:eastAsia="en-US"/>
        </w:rPr>
      </w:pPr>
      <w:r>
        <w:rPr>
          <w:lang w:eastAsia="en-US"/>
        </w:rPr>
        <w:t>4.</w:t>
      </w:r>
      <w:r>
        <w:rPr>
          <w:lang w:eastAsia="en-US"/>
        </w:rPr>
        <w:tab/>
      </w:r>
      <w:r w:rsidR="005140C3">
        <w:rPr>
          <w:i/>
          <w:lang w:eastAsia="en-US"/>
        </w:rPr>
        <w:t>Urges</w:t>
      </w:r>
      <w:r w:rsidR="005140C3" w:rsidRPr="00B76745">
        <w:rPr>
          <w:lang w:eastAsia="en-US"/>
        </w:rPr>
        <w:t xml:space="preserve"> </w:t>
      </w:r>
      <w:r w:rsidR="005140C3" w:rsidRPr="00CE6689">
        <w:rPr>
          <w:lang w:eastAsia="en-US"/>
        </w:rPr>
        <w:t>Parties that have not made contributions to the core budget in full for the current and/or previous bienni</w:t>
      </w:r>
      <w:r w:rsidR="005140C3">
        <w:rPr>
          <w:lang w:eastAsia="en-US"/>
        </w:rPr>
        <w:t>ums</w:t>
      </w:r>
      <w:r w:rsidR="005140C3" w:rsidRPr="00CE6689">
        <w:rPr>
          <w:lang w:eastAsia="en-US"/>
        </w:rPr>
        <w:t xml:space="preserve"> to do so without delay</w:t>
      </w:r>
      <w:r w:rsidR="005140C3">
        <w:rPr>
          <w:lang w:eastAsia="en-US"/>
        </w:rPr>
        <w:t>;</w:t>
      </w:r>
    </w:p>
    <w:p w14:paraId="4BC869EF" w14:textId="74C0CB6F" w:rsidR="005140C3" w:rsidRPr="00B76745" w:rsidRDefault="00C421F9" w:rsidP="00C421F9">
      <w:pPr>
        <w:pStyle w:val="RegSingleTxtG"/>
        <w:numPr>
          <w:ilvl w:val="0"/>
          <w:numId w:val="0"/>
        </w:numPr>
        <w:tabs>
          <w:tab w:val="left" w:pos="568"/>
        </w:tabs>
        <w:ind w:left="1135"/>
        <w:rPr>
          <w:lang w:eastAsia="en-US"/>
        </w:rPr>
      </w:pPr>
      <w:r w:rsidRPr="00B76745">
        <w:rPr>
          <w:lang w:eastAsia="en-US"/>
        </w:rPr>
        <w:t>5.</w:t>
      </w:r>
      <w:r w:rsidRPr="00B76745">
        <w:rPr>
          <w:lang w:eastAsia="en-US"/>
        </w:rPr>
        <w:tab/>
      </w:r>
      <w:r w:rsidR="005140C3" w:rsidRPr="00943216">
        <w:rPr>
          <w:i/>
          <w:lang w:eastAsia="en-US"/>
        </w:rPr>
        <w:t>Calls upon</w:t>
      </w:r>
      <w:r w:rsidR="005140C3">
        <w:rPr>
          <w:lang w:eastAsia="en-US"/>
        </w:rPr>
        <w:t xml:space="preserve"> </w:t>
      </w:r>
      <w:r w:rsidR="005140C3" w:rsidRPr="008F584D">
        <w:rPr>
          <w:lang w:eastAsia="en-US"/>
        </w:rPr>
        <w:t>Parties to make their contributions to the core budget for the biennium 2016–2017 in a timely manner, bearing in mind that contributions are due on 1 January of each year</w:t>
      </w:r>
      <w:r w:rsidR="00E42908">
        <w:rPr>
          <w:lang w:eastAsia="en-US"/>
        </w:rPr>
        <w:t>,</w:t>
      </w:r>
      <w:r w:rsidR="005140C3" w:rsidRPr="008F584D">
        <w:rPr>
          <w:lang w:eastAsia="en-US"/>
        </w:rPr>
        <w:t xml:space="preserve"> in accordance with the financial procedures of the Conference of the Parties</w:t>
      </w:r>
      <w:r w:rsidR="005140C3" w:rsidRPr="00B76745">
        <w:rPr>
          <w:lang w:eastAsia="en-US"/>
        </w:rPr>
        <w:t>;</w:t>
      </w:r>
    </w:p>
    <w:p w14:paraId="4BC869F0" w14:textId="2A64B6AD" w:rsidR="005140C3" w:rsidRDefault="00C421F9" w:rsidP="00C421F9">
      <w:pPr>
        <w:pStyle w:val="RegSingleTxtG"/>
        <w:numPr>
          <w:ilvl w:val="0"/>
          <w:numId w:val="0"/>
        </w:numPr>
        <w:tabs>
          <w:tab w:val="left" w:pos="568"/>
        </w:tabs>
        <w:ind w:left="1135"/>
        <w:rPr>
          <w:lang w:eastAsia="en-US"/>
        </w:rPr>
      </w:pPr>
      <w:r>
        <w:rPr>
          <w:lang w:eastAsia="en-US"/>
        </w:rPr>
        <w:t>6.</w:t>
      </w:r>
      <w:r>
        <w:rPr>
          <w:lang w:eastAsia="en-US"/>
        </w:rPr>
        <w:tab/>
      </w:r>
      <w:r w:rsidR="005140C3" w:rsidRPr="00677FC0">
        <w:rPr>
          <w:i/>
          <w:lang w:eastAsia="en-US"/>
        </w:rPr>
        <w:t>Expresses</w:t>
      </w:r>
      <w:r w:rsidR="005140C3" w:rsidRPr="00B76745">
        <w:rPr>
          <w:lang w:eastAsia="en-US"/>
        </w:rPr>
        <w:t xml:space="preserve"> </w:t>
      </w:r>
      <w:r w:rsidR="005140C3" w:rsidRPr="006E2887">
        <w:rPr>
          <w:i/>
          <w:lang w:eastAsia="en-US"/>
        </w:rPr>
        <w:t>appreciation</w:t>
      </w:r>
      <w:r w:rsidR="005140C3" w:rsidRPr="008F584D">
        <w:rPr>
          <w:lang w:eastAsia="en-US"/>
        </w:rPr>
        <w:t xml:space="preserve"> for the contributions received from Parties to the Trust Fund for Participation in the UNFCCC Process and to the Trust Fund for Supplementary Activities</w:t>
      </w:r>
      <w:r w:rsidR="005140C3" w:rsidRPr="00B76745">
        <w:rPr>
          <w:lang w:eastAsia="en-US"/>
        </w:rPr>
        <w:t>;</w:t>
      </w:r>
    </w:p>
    <w:p w14:paraId="4BC869F1" w14:textId="317681F7" w:rsidR="005140C3" w:rsidRDefault="00C421F9" w:rsidP="00C421F9">
      <w:pPr>
        <w:pStyle w:val="RegSingleTxtG"/>
        <w:numPr>
          <w:ilvl w:val="0"/>
          <w:numId w:val="0"/>
        </w:numPr>
        <w:tabs>
          <w:tab w:val="left" w:pos="568"/>
        </w:tabs>
        <w:ind w:left="1135"/>
        <w:rPr>
          <w:lang w:eastAsia="en-US"/>
        </w:rPr>
      </w:pPr>
      <w:r>
        <w:rPr>
          <w:lang w:eastAsia="en-US"/>
        </w:rPr>
        <w:t>7.</w:t>
      </w:r>
      <w:r>
        <w:rPr>
          <w:lang w:eastAsia="en-US"/>
        </w:rPr>
        <w:tab/>
      </w:r>
      <w:r w:rsidR="005140C3" w:rsidRPr="00943216">
        <w:rPr>
          <w:i/>
          <w:lang w:eastAsia="en-US"/>
        </w:rPr>
        <w:t>Urges</w:t>
      </w:r>
      <w:r w:rsidR="005140C3" w:rsidRPr="00336FC7">
        <w:rPr>
          <w:lang w:eastAsia="en-US"/>
        </w:rPr>
        <w:t xml:space="preserve"> </w:t>
      </w:r>
      <w:r w:rsidR="005140C3" w:rsidRPr="008F584D">
        <w:rPr>
          <w:lang w:eastAsia="en-US"/>
        </w:rPr>
        <w:t>Parties to contribute further to the Trust Fund for Participation in the UNFCCC Process in order to ensure the widest possible participation in the negotiations in 2016, and to the Trust Fund for Supplementary Activities</w:t>
      </w:r>
      <w:r w:rsidR="005140C3" w:rsidRPr="00336FC7">
        <w:rPr>
          <w:lang w:eastAsia="en-US"/>
        </w:rPr>
        <w:t>;</w:t>
      </w:r>
    </w:p>
    <w:p w14:paraId="4BC869F2" w14:textId="21B82BD6" w:rsidR="005140C3" w:rsidRDefault="00C421F9" w:rsidP="00C421F9">
      <w:pPr>
        <w:pStyle w:val="RegSingleTxtG"/>
        <w:numPr>
          <w:ilvl w:val="0"/>
          <w:numId w:val="0"/>
        </w:numPr>
        <w:tabs>
          <w:tab w:val="left" w:pos="568"/>
        </w:tabs>
        <w:ind w:left="1135"/>
        <w:rPr>
          <w:lang w:eastAsia="en-US"/>
        </w:rPr>
      </w:pPr>
      <w:r>
        <w:rPr>
          <w:lang w:eastAsia="en-US"/>
        </w:rPr>
        <w:t>8.</w:t>
      </w:r>
      <w:r>
        <w:rPr>
          <w:lang w:eastAsia="en-US"/>
        </w:rPr>
        <w:tab/>
      </w:r>
      <w:r w:rsidR="005140C3" w:rsidRPr="00677FC0">
        <w:rPr>
          <w:i/>
          <w:lang w:eastAsia="en-US"/>
        </w:rPr>
        <w:t>Reiterates</w:t>
      </w:r>
      <w:r w:rsidR="005140C3" w:rsidRPr="00B76745">
        <w:rPr>
          <w:lang w:eastAsia="en-US"/>
        </w:rPr>
        <w:t xml:space="preserve"> </w:t>
      </w:r>
      <w:r w:rsidR="005140C3" w:rsidRPr="006E2887">
        <w:rPr>
          <w:i/>
          <w:lang w:eastAsia="en-US"/>
        </w:rPr>
        <w:t>its appreciation</w:t>
      </w:r>
      <w:r w:rsidR="005140C3" w:rsidRPr="008F584D">
        <w:rPr>
          <w:lang w:eastAsia="en-US"/>
        </w:rPr>
        <w:t xml:space="preserve"> to the Government of Germany for its annual voluntary contribution to the core budget of EUR</w:t>
      </w:r>
      <w:r w:rsidR="00E42908">
        <w:rPr>
          <w:lang w:eastAsia="en-US"/>
        </w:rPr>
        <w:t> </w:t>
      </w:r>
      <w:r w:rsidR="005140C3" w:rsidRPr="008F584D">
        <w:rPr>
          <w:lang w:eastAsia="en-US"/>
        </w:rPr>
        <w:t>766,938 and its special contribution as Host Government of the secretariat</w:t>
      </w:r>
      <w:r w:rsidR="00E42908" w:rsidRPr="00E42908">
        <w:rPr>
          <w:lang w:eastAsia="en-US"/>
        </w:rPr>
        <w:t xml:space="preserve"> </w:t>
      </w:r>
      <w:r w:rsidR="00E42908" w:rsidRPr="008F584D">
        <w:rPr>
          <w:lang w:eastAsia="en-US"/>
        </w:rPr>
        <w:t>of EUR</w:t>
      </w:r>
      <w:r w:rsidR="00E42908">
        <w:rPr>
          <w:lang w:eastAsia="en-US"/>
        </w:rPr>
        <w:t> </w:t>
      </w:r>
      <w:r w:rsidR="00E42908" w:rsidRPr="008F584D">
        <w:rPr>
          <w:lang w:eastAsia="en-US"/>
        </w:rPr>
        <w:t>1,789,522</w:t>
      </w:r>
      <w:r w:rsidR="005140C3">
        <w:rPr>
          <w:lang w:eastAsia="en-US"/>
        </w:rPr>
        <w:t>;</w:t>
      </w:r>
    </w:p>
    <w:p w14:paraId="4BC869F3" w14:textId="32E1F671" w:rsidR="005140C3" w:rsidRDefault="00C421F9" w:rsidP="00C421F9">
      <w:pPr>
        <w:pStyle w:val="RegHChG"/>
        <w:numPr>
          <w:ilvl w:val="0"/>
          <w:numId w:val="0"/>
        </w:numPr>
        <w:tabs>
          <w:tab w:val="left" w:pos="1135"/>
        </w:tabs>
        <w:ind w:left="1135" w:hanging="454"/>
      </w:pPr>
      <w:r>
        <w:lastRenderedPageBreak/>
        <w:t>II.</w:t>
      </w:r>
      <w:r>
        <w:tab/>
      </w:r>
      <w:r w:rsidR="005140C3" w:rsidRPr="00D21841">
        <w:rPr>
          <w:bCs/>
        </w:rPr>
        <w:t>Audit report and financial statements for 2014</w:t>
      </w:r>
    </w:p>
    <w:p w14:paraId="4BC869F4" w14:textId="63AB04BF" w:rsidR="005140C3" w:rsidRPr="00B76745" w:rsidRDefault="00C421F9" w:rsidP="00C421F9">
      <w:pPr>
        <w:pStyle w:val="RegSingleTxtG"/>
        <w:numPr>
          <w:ilvl w:val="0"/>
          <w:numId w:val="0"/>
        </w:numPr>
        <w:tabs>
          <w:tab w:val="left" w:pos="568"/>
        </w:tabs>
        <w:ind w:left="1135"/>
        <w:rPr>
          <w:lang w:eastAsia="en-US"/>
        </w:rPr>
      </w:pPr>
      <w:r w:rsidRPr="00B76745">
        <w:rPr>
          <w:lang w:eastAsia="en-US"/>
        </w:rPr>
        <w:t>9.</w:t>
      </w:r>
      <w:r w:rsidRPr="00B76745">
        <w:rPr>
          <w:lang w:eastAsia="en-US"/>
        </w:rPr>
        <w:tab/>
      </w:r>
      <w:r w:rsidR="005140C3" w:rsidRPr="001F6FE7">
        <w:rPr>
          <w:i/>
          <w:lang w:eastAsia="en-US"/>
        </w:rPr>
        <w:t>Takes note</w:t>
      </w:r>
      <w:r w:rsidR="005140C3" w:rsidRPr="001F6FE7">
        <w:rPr>
          <w:lang w:eastAsia="en-US"/>
        </w:rPr>
        <w:t xml:space="preserve"> </w:t>
      </w:r>
      <w:r w:rsidR="005140C3" w:rsidRPr="008F584D">
        <w:rPr>
          <w:rFonts w:eastAsia="Times New Roman"/>
          <w:lang w:eastAsia="en-US"/>
        </w:rPr>
        <w:t>of the audit report of the United Nations Board of Auditors,</w:t>
      </w:r>
      <w:r w:rsidR="005140C3" w:rsidRPr="008F584D">
        <w:rPr>
          <w:rFonts w:eastAsia="Times New Roman"/>
          <w:sz w:val="18"/>
          <w:vertAlign w:val="superscript"/>
          <w:lang w:eastAsia="en-US"/>
        </w:rPr>
        <w:footnoteReference w:id="30"/>
      </w:r>
      <w:r w:rsidR="005140C3" w:rsidRPr="008F584D">
        <w:rPr>
          <w:rFonts w:eastAsia="Times New Roman"/>
          <w:lang w:eastAsia="en-US"/>
        </w:rPr>
        <w:t xml:space="preserve"> which includes recommendations and the financial statements for 2014, and the comments of the secretariat thereon</w:t>
      </w:r>
      <w:r w:rsidR="005140C3" w:rsidRPr="001F6FE7">
        <w:rPr>
          <w:lang w:eastAsia="en-US"/>
        </w:rPr>
        <w:t>;</w:t>
      </w:r>
    </w:p>
    <w:p w14:paraId="4BC869F5" w14:textId="5653B09B" w:rsidR="005140C3" w:rsidRPr="00B76745" w:rsidRDefault="00C421F9" w:rsidP="00C421F9">
      <w:pPr>
        <w:pStyle w:val="RegSingleTxtG"/>
        <w:numPr>
          <w:ilvl w:val="0"/>
          <w:numId w:val="0"/>
        </w:numPr>
        <w:tabs>
          <w:tab w:val="left" w:pos="568"/>
        </w:tabs>
        <w:ind w:left="1135"/>
        <w:rPr>
          <w:lang w:eastAsia="en-US"/>
        </w:rPr>
      </w:pPr>
      <w:r w:rsidRPr="00B76745">
        <w:rPr>
          <w:lang w:eastAsia="en-US"/>
        </w:rPr>
        <w:t>10.</w:t>
      </w:r>
      <w:r w:rsidRPr="00B76745">
        <w:rPr>
          <w:lang w:eastAsia="en-US"/>
        </w:rPr>
        <w:tab/>
      </w:r>
      <w:r w:rsidR="005140C3" w:rsidRPr="00677FC0">
        <w:rPr>
          <w:i/>
          <w:lang w:eastAsia="en-US"/>
        </w:rPr>
        <w:t>Expresses</w:t>
      </w:r>
      <w:r w:rsidR="005140C3">
        <w:rPr>
          <w:i/>
          <w:lang w:eastAsia="en-US"/>
        </w:rPr>
        <w:t xml:space="preserve"> its appreciation</w:t>
      </w:r>
      <w:r w:rsidR="005140C3">
        <w:rPr>
          <w:lang w:eastAsia="en-US"/>
        </w:rPr>
        <w:t xml:space="preserve"> </w:t>
      </w:r>
      <w:r w:rsidR="005140C3" w:rsidRPr="008F584D">
        <w:rPr>
          <w:lang w:eastAsia="en-US"/>
        </w:rPr>
        <w:t>to the United Nations for arranging the audits of the accounts of the Convention and for the valuable observations and recommendations of the auditors</w:t>
      </w:r>
      <w:r w:rsidR="005140C3" w:rsidRPr="00B76745">
        <w:rPr>
          <w:lang w:eastAsia="en-US"/>
        </w:rPr>
        <w:t>;</w:t>
      </w:r>
    </w:p>
    <w:p w14:paraId="4BC869F6" w14:textId="7C4DF8EE" w:rsidR="005140C3" w:rsidRPr="00B76745" w:rsidRDefault="00C421F9" w:rsidP="00C421F9">
      <w:pPr>
        <w:pStyle w:val="RegSingleTxtG"/>
        <w:numPr>
          <w:ilvl w:val="0"/>
          <w:numId w:val="0"/>
        </w:numPr>
        <w:tabs>
          <w:tab w:val="left" w:pos="568"/>
        </w:tabs>
        <w:ind w:left="1135"/>
        <w:rPr>
          <w:lang w:eastAsia="en-US"/>
        </w:rPr>
      </w:pPr>
      <w:r w:rsidRPr="00B76745">
        <w:rPr>
          <w:lang w:eastAsia="en-US"/>
        </w:rPr>
        <w:t>11.</w:t>
      </w:r>
      <w:r w:rsidRPr="00B76745">
        <w:rPr>
          <w:lang w:eastAsia="en-US"/>
        </w:rPr>
        <w:tab/>
      </w:r>
      <w:r w:rsidR="005140C3">
        <w:rPr>
          <w:i/>
        </w:rPr>
        <w:t xml:space="preserve">Urges </w:t>
      </w:r>
      <w:r w:rsidR="005140C3" w:rsidRPr="008F584D">
        <w:t>the Executive Secretary to implement the recommendations of the auditors, as appropriate</w:t>
      </w:r>
      <w:r w:rsidR="005140C3">
        <w:t>.</w:t>
      </w:r>
    </w:p>
    <w:p w14:paraId="4BC869F8" w14:textId="77777777" w:rsidR="008E62D1" w:rsidRDefault="007C0FEC" w:rsidP="008E62D1">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8E62D1">
        <w:rPr>
          <w:i/>
          <w:vertAlign w:val="superscript"/>
          <w:lang w:val="en-US" w:eastAsia="en-US"/>
        </w:rPr>
        <w:t>th</w:t>
      </w:r>
      <w:r w:rsidR="008E62D1">
        <w:rPr>
          <w:i/>
          <w:lang w:val="en-US" w:eastAsia="en-US"/>
        </w:rPr>
        <w:t xml:space="preserve"> plenary meeting</w:t>
      </w:r>
    </w:p>
    <w:p w14:paraId="4BC869F9" w14:textId="77777777" w:rsidR="008E62D1" w:rsidRDefault="007C0FEC" w:rsidP="008E62D1">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8E62D1">
        <w:rPr>
          <w:i/>
          <w:lang w:val="en-US" w:eastAsia="en-US"/>
        </w:rPr>
        <w:t xml:space="preserve"> December 2015</w:t>
      </w:r>
    </w:p>
    <w:p w14:paraId="4BC869FA" w14:textId="77777777" w:rsidR="008E62D1" w:rsidRDefault="008E62D1" w:rsidP="008E62D1">
      <w:pPr>
        <w:sectPr w:rsidR="008E62D1" w:rsidSect="00877754">
          <w:headerReference w:type="even" r:id="rId47"/>
          <w:headerReference w:type="default" r:id="rId48"/>
          <w:footerReference w:type="even" r:id="rId49"/>
          <w:footnotePr>
            <w:numRestart w:val="eachSect"/>
          </w:footnotePr>
          <w:pgSz w:w="11906" w:h="16838" w:code="9"/>
          <w:pgMar w:top="1701" w:right="1134" w:bottom="2268" w:left="1134" w:header="1134" w:footer="1701" w:gutter="0"/>
          <w:cols w:space="708"/>
          <w:docGrid w:linePitch="360"/>
        </w:sectPr>
      </w:pPr>
    </w:p>
    <w:p w14:paraId="4BC869FB" w14:textId="77777777" w:rsidR="008E62D1" w:rsidRDefault="008E62D1" w:rsidP="008E62D1">
      <w:pPr>
        <w:pStyle w:val="HChG"/>
        <w:ind w:firstLine="0"/>
        <w:rPr>
          <w:bCs/>
        </w:rPr>
      </w:pPr>
      <w:r>
        <w:rPr>
          <w:bCs/>
        </w:rPr>
        <w:lastRenderedPageBreak/>
        <w:t>Decision 2</w:t>
      </w:r>
      <w:r w:rsidR="002E0E55">
        <w:rPr>
          <w:bCs/>
        </w:rPr>
        <w:t>2</w:t>
      </w:r>
      <w:r>
        <w:rPr>
          <w:bCs/>
        </w:rPr>
        <w:t>/CP.21</w:t>
      </w:r>
    </w:p>
    <w:p w14:paraId="4BC869FC" w14:textId="77777777" w:rsidR="008E62D1" w:rsidRDefault="008E62D1" w:rsidP="008E62D1">
      <w:pPr>
        <w:pStyle w:val="HChG"/>
      </w:pPr>
      <w:r>
        <w:tab/>
      </w:r>
      <w:r>
        <w:tab/>
        <w:t>Programme budget for the biennium 2016–2017</w:t>
      </w:r>
    </w:p>
    <w:p w14:paraId="4BC869FD" w14:textId="77777777" w:rsidR="005140C3" w:rsidRPr="008926FB" w:rsidRDefault="005140C3" w:rsidP="005140C3">
      <w:pPr>
        <w:pStyle w:val="SingleTxtG"/>
        <w:ind w:firstLine="567"/>
        <w:rPr>
          <w:i/>
          <w:lang w:val="en-US"/>
        </w:rPr>
      </w:pPr>
      <w:r w:rsidRPr="008926FB">
        <w:rPr>
          <w:i/>
          <w:lang w:val="en-US"/>
        </w:rPr>
        <w:t>The Conference of the Parties</w:t>
      </w:r>
      <w:r w:rsidRPr="00EF0494">
        <w:rPr>
          <w:lang w:val="en-US"/>
        </w:rPr>
        <w:t>,</w:t>
      </w:r>
      <w:r w:rsidRPr="008926FB">
        <w:rPr>
          <w:i/>
          <w:lang w:val="en-US"/>
        </w:rPr>
        <w:t xml:space="preserve"> </w:t>
      </w:r>
    </w:p>
    <w:p w14:paraId="4BC869FE" w14:textId="5BEB2130" w:rsidR="005140C3" w:rsidRPr="00A82BE5" w:rsidRDefault="005140C3" w:rsidP="005140C3">
      <w:pPr>
        <w:spacing w:before="120"/>
        <w:ind w:left="1134" w:right="1174" w:firstLine="567"/>
      </w:pPr>
      <w:r w:rsidRPr="00A82BE5">
        <w:rPr>
          <w:i/>
        </w:rPr>
        <w:t>Recalling</w:t>
      </w:r>
      <w:r w:rsidRPr="00A82BE5">
        <w:t xml:space="preserve"> paragraph 4 of the financial procedures for the Conference of the Parties, its subsidiary bodies and the secretariat,</w:t>
      </w:r>
      <w:r w:rsidRPr="00A82BE5">
        <w:rPr>
          <w:sz w:val="18"/>
          <w:vertAlign w:val="superscript"/>
        </w:rPr>
        <w:footnoteReference w:id="31"/>
      </w:r>
    </w:p>
    <w:p w14:paraId="4BC869FF" w14:textId="77777777" w:rsidR="005140C3" w:rsidRPr="00A82BE5" w:rsidRDefault="005140C3" w:rsidP="005140C3">
      <w:pPr>
        <w:spacing w:before="120"/>
        <w:ind w:left="1134" w:right="1174" w:firstLine="567"/>
      </w:pPr>
      <w:r w:rsidRPr="00A82BE5">
        <w:rPr>
          <w:i/>
        </w:rPr>
        <w:t xml:space="preserve">Having considered </w:t>
      </w:r>
      <w:r w:rsidRPr="00A82BE5">
        <w:t>the proposed programme budget for the biennium 2016–2017 submitted by the Executive Secretary,</w:t>
      </w:r>
      <w:r w:rsidRPr="00A82BE5">
        <w:rPr>
          <w:sz w:val="18"/>
          <w:vertAlign w:val="superscript"/>
        </w:rPr>
        <w:footnoteReference w:id="32"/>
      </w:r>
    </w:p>
    <w:p w14:paraId="4BC86A00" w14:textId="77777777" w:rsidR="005140C3" w:rsidRPr="00A82BE5" w:rsidRDefault="005140C3" w:rsidP="005140C3">
      <w:pPr>
        <w:tabs>
          <w:tab w:val="left" w:pos="1701"/>
        </w:tabs>
        <w:spacing w:before="120" w:after="120"/>
        <w:ind w:left="1134" w:right="1134"/>
        <w:jc w:val="both"/>
      </w:pPr>
      <w:r w:rsidRPr="00A82BE5">
        <w:rPr>
          <w:lang w:eastAsia="en-US"/>
        </w:rPr>
        <w:t>1.</w:t>
      </w:r>
      <w:r w:rsidRPr="00A82BE5">
        <w:rPr>
          <w:i/>
          <w:lang w:eastAsia="en-US"/>
        </w:rPr>
        <w:tab/>
        <w:t>Approves</w:t>
      </w:r>
      <w:r w:rsidRPr="00A82BE5">
        <w:rPr>
          <w:lang w:eastAsia="en-US"/>
        </w:rPr>
        <w:t xml:space="preserve"> the programme budget for the biennium 2016–2017, amounting to EUR 54,648,484, for the purposes </w:t>
      </w:r>
      <w:r w:rsidRPr="00A82BE5">
        <w:rPr>
          <w:iCs/>
          <w:lang w:eastAsia="en-US"/>
        </w:rPr>
        <w:t>specified</w:t>
      </w:r>
      <w:r w:rsidRPr="00A82BE5">
        <w:rPr>
          <w:lang w:eastAsia="en-US"/>
        </w:rPr>
        <w:t xml:space="preserve"> in table 1</w:t>
      </w:r>
      <w:r w:rsidRPr="00A82BE5">
        <w:t>;</w:t>
      </w:r>
      <w:r w:rsidRPr="00A82BE5">
        <w:rPr>
          <w:sz w:val="18"/>
          <w:vertAlign w:val="superscript"/>
        </w:rPr>
        <w:footnoteReference w:id="33"/>
      </w:r>
    </w:p>
    <w:p w14:paraId="4BC86A01" w14:textId="71ABCCDA" w:rsidR="005140C3" w:rsidRPr="00A82BE5" w:rsidRDefault="005140C3" w:rsidP="005140C3">
      <w:pPr>
        <w:tabs>
          <w:tab w:val="left" w:pos="1701"/>
        </w:tabs>
        <w:spacing w:before="120" w:after="120"/>
        <w:ind w:left="1134" w:right="1134"/>
        <w:jc w:val="both"/>
      </w:pPr>
      <w:r w:rsidRPr="00A82BE5">
        <w:rPr>
          <w:iCs/>
          <w:lang w:eastAsia="en-US"/>
        </w:rPr>
        <w:t>2.</w:t>
      </w:r>
      <w:r w:rsidRPr="00A82BE5">
        <w:rPr>
          <w:i/>
          <w:iCs/>
          <w:lang w:eastAsia="en-US"/>
        </w:rPr>
        <w:tab/>
        <w:t xml:space="preserve">Notes with appreciation </w:t>
      </w:r>
      <w:r w:rsidRPr="00A82BE5">
        <w:rPr>
          <w:lang w:eastAsia="en-US"/>
        </w:rPr>
        <w:t xml:space="preserve">the </w:t>
      </w:r>
      <w:r w:rsidRPr="00A82BE5">
        <w:rPr>
          <w:iCs/>
          <w:lang w:eastAsia="en-US"/>
        </w:rPr>
        <w:t>annual</w:t>
      </w:r>
      <w:r w:rsidRPr="00A82BE5">
        <w:rPr>
          <w:lang w:eastAsia="en-US"/>
        </w:rPr>
        <w:t xml:space="preserve"> contribution of EUR</w:t>
      </w:r>
      <w:r w:rsidR="009F1061">
        <w:rPr>
          <w:lang w:eastAsia="en-US"/>
        </w:rPr>
        <w:t> </w:t>
      </w:r>
      <w:r w:rsidRPr="00A82BE5">
        <w:rPr>
          <w:lang w:eastAsia="en-US"/>
        </w:rPr>
        <w:t>766,938 of the Host Government</w:t>
      </w:r>
      <w:r w:rsidR="00C644F6">
        <w:rPr>
          <w:lang w:eastAsia="en-US"/>
        </w:rPr>
        <w:t xml:space="preserve"> of the secretariat</w:t>
      </w:r>
      <w:r w:rsidRPr="00A82BE5">
        <w:rPr>
          <w:lang w:eastAsia="en-US"/>
        </w:rPr>
        <w:t>, which offsets planned expenditures</w:t>
      </w:r>
      <w:r w:rsidRPr="00A82BE5">
        <w:t>;</w:t>
      </w:r>
    </w:p>
    <w:p w14:paraId="4BC86A02" w14:textId="77777777" w:rsidR="005140C3" w:rsidRPr="00A82BE5" w:rsidRDefault="005140C3" w:rsidP="005140C3">
      <w:pPr>
        <w:tabs>
          <w:tab w:val="left" w:pos="1701"/>
        </w:tabs>
        <w:spacing w:before="120" w:after="120"/>
        <w:ind w:left="1134" w:right="1134"/>
        <w:jc w:val="both"/>
      </w:pPr>
      <w:r w:rsidRPr="00A82BE5">
        <w:rPr>
          <w:iCs/>
          <w:lang w:eastAsia="en-US"/>
        </w:rPr>
        <w:t>3.</w:t>
      </w:r>
      <w:r w:rsidRPr="00A82BE5">
        <w:rPr>
          <w:i/>
          <w:iCs/>
          <w:lang w:eastAsia="en-US"/>
        </w:rPr>
        <w:tab/>
        <w:t xml:space="preserve">Approves </w:t>
      </w:r>
      <w:r w:rsidRPr="00A82BE5">
        <w:rPr>
          <w:lang w:eastAsia="en-US"/>
        </w:rPr>
        <w:t>the staffing table (</w:t>
      </w:r>
      <w:r w:rsidRPr="00A82BE5">
        <w:rPr>
          <w:iCs/>
          <w:lang w:eastAsia="en-US"/>
        </w:rPr>
        <w:t>table</w:t>
      </w:r>
      <w:r w:rsidRPr="00A82BE5">
        <w:rPr>
          <w:lang w:eastAsia="en-US"/>
        </w:rPr>
        <w:t xml:space="preserve"> 2) for the programme budget</w:t>
      </w:r>
      <w:r w:rsidRPr="00A82BE5">
        <w:t>;</w:t>
      </w:r>
    </w:p>
    <w:p w14:paraId="4BC86A03" w14:textId="19407F77" w:rsidR="005140C3" w:rsidRPr="00A82BE5" w:rsidRDefault="005140C3" w:rsidP="005140C3">
      <w:pPr>
        <w:tabs>
          <w:tab w:val="left" w:pos="1701"/>
        </w:tabs>
        <w:spacing w:before="120" w:after="120"/>
        <w:ind w:left="1134" w:right="1134"/>
        <w:jc w:val="both"/>
      </w:pPr>
      <w:r w:rsidRPr="00A82BE5">
        <w:rPr>
          <w:iCs/>
          <w:lang w:eastAsia="en-US"/>
        </w:rPr>
        <w:t>4.</w:t>
      </w:r>
      <w:r w:rsidRPr="00A82BE5">
        <w:rPr>
          <w:i/>
          <w:iCs/>
          <w:lang w:eastAsia="en-US"/>
        </w:rPr>
        <w:tab/>
        <w:t>Notes</w:t>
      </w:r>
      <w:r w:rsidRPr="00A82BE5">
        <w:rPr>
          <w:lang w:eastAsia="en-US"/>
        </w:rPr>
        <w:t xml:space="preserve"> that the programme budget contains elements relating to the Convention as well as to </w:t>
      </w:r>
      <w:r w:rsidR="00C644F6">
        <w:rPr>
          <w:lang w:eastAsia="en-US"/>
        </w:rPr>
        <w:t>its</w:t>
      </w:r>
      <w:r w:rsidRPr="00A82BE5">
        <w:rPr>
          <w:lang w:eastAsia="en-US"/>
        </w:rPr>
        <w:t xml:space="preserve"> Kyoto Protocol</w:t>
      </w:r>
      <w:r w:rsidRPr="00A82BE5">
        <w:t>;</w:t>
      </w:r>
    </w:p>
    <w:p w14:paraId="4BC86A04" w14:textId="77777777" w:rsidR="005140C3" w:rsidRPr="00A82BE5" w:rsidRDefault="005140C3" w:rsidP="005140C3">
      <w:pPr>
        <w:tabs>
          <w:tab w:val="left" w:pos="1701"/>
        </w:tabs>
        <w:spacing w:before="120" w:after="120"/>
        <w:ind w:left="1134" w:right="1134"/>
        <w:jc w:val="both"/>
      </w:pPr>
      <w:r w:rsidRPr="00A82BE5">
        <w:rPr>
          <w:iCs/>
          <w:lang w:eastAsia="en-US"/>
        </w:rPr>
        <w:t>5.</w:t>
      </w:r>
      <w:r w:rsidRPr="00A82BE5">
        <w:rPr>
          <w:i/>
          <w:iCs/>
          <w:lang w:eastAsia="en-US"/>
        </w:rPr>
        <w:tab/>
        <w:t xml:space="preserve">Adopts </w:t>
      </w:r>
      <w:r w:rsidRPr="00A82BE5">
        <w:rPr>
          <w:lang w:eastAsia="en-US"/>
        </w:rPr>
        <w:t>the indicative scale of contributions for 2016 and 2017 contained in the annex, covering 71.2 per cent of the indicative contributions specified in table 1</w:t>
      </w:r>
      <w:r w:rsidRPr="00A82BE5">
        <w:t>;</w:t>
      </w:r>
    </w:p>
    <w:p w14:paraId="4BC86A05" w14:textId="5A66BF1D" w:rsidR="005140C3" w:rsidRPr="00A82BE5" w:rsidRDefault="005140C3" w:rsidP="005140C3">
      <w:pPr>
        <w:tabs>
          <w:tab w:val="left" w:pos="1701"/>
        </w:tabs>
        <w:spacing w:before="120" w:after="120"/>
        <w:ind w:left="1134" w:right="1134"/>
        <w:jc w:val="both"/>
      </w:pPr>
      <w:r w:rsidRPr="00A82BE5">
        <w:rPr>
          <w:iCs/>
          <w:lang w:eastAsia="en-US"/>
        </w:rPr>
        <w:t>6.</w:t>
      </w:r>
      <w:r w:rsidRPr="00A82BE5">
        <w:rPr>
          <w:i/>
          <w:iCs/>
          <w:lang w:eastAsia="en-US"/>
        </w:rPr>
        <w:tab/>
        <w:t>Invites</w:t>
      </w:r>
      <w:r w:rsidRPr="00A82BE5">
        <w:rPr>
          <w:lang w:eastAsia="en-US"/>
        </w:rPr>
        <w:t xml:space="preserve"> the Conference of the </w:t>
      </w:r>
      <w:r w:rsidRPr="00A82BE5">
        <w:rPr>
          <w:iCs/>
          <w:lang w:eastAsia="en-US"/>
        </w:rPr>
        <w:t>Parties</w:t>
      </w:r>
      <w:r w:rsidRPr="00A82BE5">
        <w:rPr>
          <w:lang w:eastAsia="en-US"/>
        </w:rPr>
        <w:t xml:space="preserve"> serving as the meeting of the Parties to the Kyoto Protocol, at its eleventh session, to endorse the elements of the recommended budget as it applies to the Kyoto Protocol</w:t>
      </w:r>
      <w:r w:rsidRPr="00A82BE5">
        <w:t>;</w:t>
      </w:r>
    </w:p>
    <w:p w14:paraId="4BC86A06" w14:textId="28B822A7" w:rsidR="005140C3" w:rsidRPr="00A82BE5" w:rsidRDefault="005140C3" w:rsidP="005140C3">
      <w:pPr>
        <w:tabs>
          <w:tab w:val="left" w:pos="1701"/>
        </w:tabs>
        <w:spacing w:before="120" w:after="120"/>
        <w:ind w:left="1134" w:right="1134"/>
        <w:jc w:val="both"/>
        <w:rPr>
          <w:i/>
        </w:rPr>
      </w:pPr>
      <w:r w:rsidRPr="00A82BE5">
        <w:rPr>
          <w:iCs/>
          <w:lang w:eastAsia="en-US"/>
        </w:rPr>
        <w:t>7.</w:t>
      </w:r>
      <w:r w:rsidRPr="00A82BE5">
        <w:rPr>
          <w:i/>
          <w:iCs/>
          <w:lang w:eastAsia="en-US"/>
        </w:rPr>
        <w:tab/>
        <w:t>Also invites</w:t>
      </w:r>
      <w:r w:rsidRPr="00A82BE5">
        <w:rPr>
          <w:lang w:eastAsia="en-US"/>
        </w:rPr>
        <w:t xml:space="preserve"> the United Nations General Assembly to decide at its seventieth session on the issue of meeting the conference </w:t>
      </w:r>
      <w:r w:rsidRPr="00A82BE5">
        <w:rPr>
          <w:iCs/>
          <w:lang w:eastAsia="en-US"/>
        </w:rPr>
        <w:t>services</w:t>
      </w:r>
      <w:r w:rsidRPr="00A82BE5">
        <w:rPr>
          <w:lang w:eastAsia="en-US"/>
        </w:rPr>
        <w:t xml:space="preserve"> expenses from </w:t>
      </w:r>
      <w:r w:rsidR="00C644F6">
        <w:rPr>
          <w:lang w:eastAsia="en-US"/>
        </w:rPr>
        <w:t>the United Nations</w:t>
      </w:r>
      <w:r w:rsidRPr="00A82BE5">
        <w:rPr>
          <w:lang w:eastAsia="en-US"/>
        </w:rPr>
        <w:t xml:space="preserve"> regular budget</w:t>
      </w:r>
      <w:r w:rsidRPr="00A82BE5">
        <w:t>;</w:t>
      </w:r>
    </w:p>
    <w:p w14:paraId="4BC86A07" w14:textId="4A9B682D" w:rsidR="005140C3" w:rsidRPr="00A82BE5" w:rsidRDefault="005140C3" w:rsidP="005140C3">
      <w:pPr>
        <w:tabs>
          <w:tab w:val="left" w:pos="1701"/>
        </w:tabs>
        <w:spacing w:before="120" w:after="120"/>
        <w:ind w:left="1134" w:right="1134"/>
        <w:jc w:val="both"/>
      </w:pPr>
      <w:r w:rsidRPr="00A82BE5">
        <w:rPr>
          <w:iCs/>
          <w:lang w:eastAsia="en-US"/>
        </w:rPr>
        <w:t>8.</w:t>
      </w:r>
      <w:r w:rsidRPr="00A82BE5">
        <w:rPr>
          <w:i/>
          <w:iCs/>
          <w:lang w:eastAsia="en-US"/>
        </w:rPr>
        <w:tab/>
        <w:t xml:space="preserve">Approves </w:t>
      </w:r>
      <w:r w:rsidRPr="00A82BE5">
        <w:rPr>
          <w:lang w:eastAsia="en-US"/>
        </w:rPr>
        <w:t>a contingency budget for conference services, amounting to EUR</w:t>
      </w:r>
      <w:r w:rsidR="009F1061">
        <w:rPr>
          <w:lang w:eastAsia="en-US"/>
        </w:rPr>
        <w:t> </w:t>
      </w:r>
      <w:r w:rsidRPr="00A82BE5">
        <w:rPr>
          <w:lang w:eastAsia="en-US"/>
        </w:rPr>
        <w:t xml:space="preserve">10,378,900, to be added to the programme budget for </w:t>
      </w:r>
      <w:r w:rsidRPr="00A82BE5">
        <w:rPr>
          <w:iCs/>
          <w:lang w:eastAsia="en-US"/>
        </w:rPr>
        <w:t>the</w:t>
      </w:r>
      <w:r w:rsidRPr="00A82BE5">
        <w:rPr>
          <w:lang w:eastAsia="en-US"/>
        </w:rPr>
        <w:t xml:space="preserve"> biennium 2016–2017 in the event that the United Nations General Assembly decides not to provide resources for these activities in the United Nations regular budget (see table 3)</w:t>
      </w:r>
      <w:r w:rsidRPr="00A82BE5">
        <w:t>;</w:t>
      </w:r>
    </w:p>
    <w:p w14:paraId="4BC86A08" w14:textId="77777777" w:rsidR="005140C3" w:rsidRPr="00A82BE5" w:rsidRDefault="005140C3" w:rsidP="005140C3">
      <w:pPr>
        <w:tabs>
          <w:tab w:val="left" w:pos="1701"/>
        </w:tabs>
        <w:spacing w:before="120" w:after="120"/>
        <w:ind w:left="1134" w:right="1134"/>
        <w:jc w:val="both"/>
      </w:pPr>
      <w:r w:rsidRPr="00A82BE5">
        <w:rPr>
          <w:iCs/>
          <w:lang w:eastAsia="en-US"/>
        </w:rPr>
        <w:t>9.</w:t>
      </w:r>
      <w:r w:rsidRPr="00A82BE5">
        <w:rPr>
          <w:i/>
          <w:iCs/>
          <w:lang w:eastAsia="en-US"/>
        </w:rPr>
        <w:tab/>
        <w:t xml:space="preserve">Requests </w:t>
      </w:r>
      <w:r w:rsidRPr="00A82BE5">
        <w:rPr>
          <w:lang w:eastAsia="en-US"/>
        </w:rPr>
        <w:t>the Executive Secretary to report to the Subsidiary Body for Implementation on the implementation of paragraphs 7 and 8 above, as necessary;</w:t>
      </w:r>
    </w:p>
    <w:p w14:paraId="4BC86A09" w14:textId="77777777" w:rsidR="005140C3" w:rsidRPr="00A82BE5" w:rsidRDefault="005140C3" w:rsidP="005140C3">
      <w:pPr>
        <w:tabs>
          <w:tab w:val="left" w:pos="1701"/>
        </w:tabs>
        <w:spacing w:before="120" w:after="120"/>
        <w:ind w:left="1134" w:right="1134"/>
        <w:jc w:val="both"/>
      </w:pPr>
      <w:r w:rsidRPr="00A82BE5">
        <w:rPr>
          <w:iCs/>
          <w:lang w:eastAsia="en-US"/>
        </w:rPr>
        <w:t>10.</w:t>
      </w:r>
      <w:r w:rsidRPr="00A82BE5">
        <w:rPr>
          <w:i/>
          <w:iCs/>
          <w:lang w:eastAsia="en-US"/>
        </w:rPr>
        <w:tab/>
        <w:t>Authorizes</w:t>
      </w:r>
      <w:r w:rsidRPr="00A82BE5">
        <w:rPr>
          <w:lang w:eastAsia="en-US"/>
        </w:rPr>
        <w:t xml:space="preserve"> the Executive Secretary to make transfers between each of the main appropriation lines set out in table 1, up to an aggregate limit of 15 per cent of total estimated expenditure for those </w:t>
      </w:r>
      <w:r w:rsidRPr="00A82BE5">
        <w:rPr>
          <w:iCs/>
          <w:lang w:eastAsia="en-US"/>
        </w:rPr>
        <w:t>appropriation</w:t>
      </w:r>
      <w:r w:rsidRPr="00A82BE5">
        <w:rPr>
          <w:lang w:eastAsia="en-US"/>
        </w:rPr>
        <w:t xml:space="preserve"> lines, provided that a further limitation of up to minus 25 per cent of each such appropriation line shall apply;</w:t>
      </w:r>
    </w:p>
    <w:p w14:paraId="4BC86A0A" w14:textId="77777777" w:rsidR="005140C3" w:rsidRPr="00A82BE5" w:rsidRDefault="005140C3" w:rsidP="005140C3">
      <w:pPr>
        <w:tabs>
          <w:tab w:val="left" w:pos="1701"/>
        </w:tabs>
        <w:spacing w:before="120" w:after="120"/>
        <w:ind w:left="1134" w:right="1134"/>
        <w:jc w:val="both"/>
      </w:pPr>
      <w:r w:rsidRPr="00A82BE5">
        <w:rPr>
          <w:iCs/>
          <w:lang w:eastAsia="en-US"/>
        </w:rPr>
        <w:lastRenderedPageBreak/>
        <w:t>11.</w:t>
      </w:r>
      <w:r w:rsidRPr="00A82BE5">
        <w:rPr>
          <w:i/>
          <w:iCs/>
          <w:lang w:eastAsia="en-US"/>
        </w:rPr>
        <w:tab/>
        <w:t>Decides</w:t>
      </w:r>
      <w:r w:rsidRPr="00A82BE5">
        <w:rPr>
          <w:lang w:eastAsia="en-US"/>
        </w:rPr>
        <w:t xml:space="preserve"> to maintain the level of the </w:t>
      </w:r>
      <w:r w:rsidRPr="00A82BE5">
        <w:rPr>
          <w:iCs/>
          <w:lang w:eastAsia="en-US"/>
        </w:rPr>
        <w:t>working</w:t>
      </w:r>
      <w:r w:rsidRPr="00A82BE5">
        <w:rPr>
          <w:lang w:eastAsia="en-US"/>
        </w:rPr>
        <w:t xml:space="preserve"> capital reserve at 8.3 per cent of the estimated expenditure;</w:t>
      </w:r>
    </w:p>
    <w:p w14:paraId="4BC86A0B" w14:textId="4B993DD9" w:rsidR="005140C3" w:rsidRPr="00A82BE5" w:rsidRDefault="005140C3" w:rsidP="005140C3">
      <w:pPr>
        <w:tabs>
          <w:tab w:val="left" w:pos="1701"/>
        </w:tabs>
        <w:spacing w:before="120" w:after="120"/>
        <w:ind w:left="1134" w:right="1134"/>
        <w:jc w:val="both"/>
        <w:rPr>
          <w:lang w:eastAsia="en-US"/>
        </w:rPr>
      </w:pPr>
      <w:r w:rsidRPr="00A82BE5">
        <w:rPr>
          <w:lang w:eastAsia="en-US"/>
        </w:rPr>
        <w:t>12.</w:t>
      </w:r>
      <w:r w:rsidRPr="00A82BE5">
        <w:rPr>
          <w:i/>
          <w:lang w:eastAsia="en-US"/>
        </w:rPr>
        <w:tab/>
        <w:t>Takes note</w:t>
      </w:r>
      <w:r w:rsidRPr="00A82BE5">
        <w:rPr>
          <w:lang w:eastAsia="en-US"/>
        </w:rPr>
        <w:t xml:space="preserve"> of the surplus accumulated under the Trust Fund for the Core Budget of the UNFCCC as at 31 December 2014</w:t>
      </w:r>
      <w:r w:rsidR="008320C0">
        <w:rPr>
          <w:lang w:eastAsia="en-US"/>
        </w:rPr>
        <w:t>,</w:t>
      </w:r>
      <w:r w:rsidRPr="00A82BE5">
        <w:rPr>
          <w:lang w:eastAsia="en-US"/>
        </w:rPr>
        <w:t xml:space="preserve"> amounting to USD</w:t>
      </w:r>
      <w:r w:rsidR="008320C0">
        <w:rPr>
          <w:lang w:eastAsia="en-US"/>
        </w:rPr>
        <w:t> </w:t>
      </w:r>
      <w:r w:rsidRPr="00A82BE5">
        <w:rPr>
          <w:lang w:eastAsia="en-US"/>
        </w:rPr>
        <w:t>6.337 million;</w:t>
      </w:r>
    </w:p>
    <w:p w14:paraId="4BC86A0C" w14:textId="5F601CB2" w:rsidR="005140C3" w:rsidRPr="00A82BE5" w:rsidRDefault="005140C3" w:rsidP="005140C3">
      <w:pPr>
        <w:tabs>
          <w:tab w:val="left" w:pos="1701"/>
        </w:tabs>
        <w:spacing w:before="120" w:after="120"/>
        <w:ind w:left="1134" w:right="1134"/>
        <w:jc w:val="both"/>
        <w:rPr>
          <w:lang w:eastAsia="en-US"/>
        </w:rPr>
      </w:pPr>
      <w:r w:rsidRPr="00A82BE5">
        <w:rPr>
          <w:lang w:eastAsia="en-US"/>
        </w:rPr>
        <w:t>13.</w:t>
      </w:r>
      <w:r w:rsidRPr="00A82BE5">
        <w:rPr>
          <w:i/>
          <w:lang w:eastAsia="en-US"/>
        </w:rPr>
        <w:tab/>
        <w:t>Decides</w:t>
      </w:r>
      <w:r w:rsidRPr="00A82BE5">
        <w:rPr>
          <w:lang w:eastAsia="en-US"/>
        </w:rPr>
        <w:t>, on an exceptional basis, not to apply the last sentence of regulation 5.3 of the Financial Regulations and Rules of the United Nations</w:t>
      </w:r>
      <w:r w:rsidR="008320C0">
        <w:rPr>
          <w:lang w:eastAsia="en-US"/>
        </w:rPr>
        <w:t>,</w:t>
      </w:r>
      <w:r w:rsidRPr="00A82BE5">
        <w:rPr>
          <w:sz w:val="18"/>
          <w:vertAlign w:val="superscript"/>
        </w:rPr>
        <w:footnoteReference w:id="34"/>
      </w:r>
      <w:r w:rsidRPr="00A82BE5">
        <w:rPr>
          <w:lang w:eastAsia="en-US"/>
        </w:rPr>
        <w:t xml:space="preserve"> which would require the surrender of the accumulated surplus referred to in paragraph 12 above;</w:t>
      </w:r>
    </w:p>
    <w:p w14:paraId="4BC86A0D" w14:textId="752560FD" w:rsidR="005140C3" w:rsidRPr="00A82BE5" w:rsidRDefault="005140C3" w:rsidP="005140C3">
      <w:pPr>
        <w:tabs>
          <w:tab w:val="left" w:pos="1701"/>
        </w:tabs>
        <w:spacing w:before="120" w:after="120"/>
        <w:ind w:left="1134" w:right="1134"/>
        <w:jc w:val="both"/>
      </w:pPr>
      <w:r w:rsidRPr="00A82BE5">
        <w:rPr>
          <w:iCs/>
          <w:lang w:eastAsia="en-US"/>
        </w:rPr>
        <w:t>14.</w:t>
      </w:r>
      <w:r w:rsidRPr="00A82BE5">
        <w:rPr>
          <w:iCs/>
          <w:lang w:eastAsia="en-US"/>
        </w:rPr>
        <w:tab/>
      </w:r>
      <w:r w:rsidRPr="00A82BE5">
        <w:rPr>
          <w:i/>
          <w:iCs/>
          <w:lang w:eastAsia="en-US"/>
        </w:rPr>
        <w:t>Invites</w:t>
      </w:r>
      <w:r w:rsidRPr="00A82BE5">
        <w:rPr>
          <w:lang w:eastAsia="en-US"/>
        </w:rPr>
        <w:t xml:space="preserve"> all Parties to the Convention to </w:t>
      </w:r>
      <w:r w:rsidRPr="00A82BE5">
        <w:rPr>
          <w:iCs/>
          <w:lang w:eastAsia="en-US"/>
        </w:rPr>
        <w:t>note</w:t>
      </w:r>
      <w:r w:rsidRPr="00A82BE5">
        <w:rPr>
          <w:lang w:eastAsia="en-US"/>
        </w:rPr>
        <w:t xml:space="preserve"> that contributions to the core budget are due on 1 January of each year</w:t>
      </w:r>
      <w:r w:rsidR="008320C0">
        <w:rPr>
          <w:lang w:eastAsia="en-US"/>
        </w:rPr>
        <w:t>,</w:t>
      </w:r>
      <w:r w:rsidRPr="00A82BE5">
        <w:rPr>
          <w:lang w:eastAsia="en-US"/>
        </w:rPr>
        <w:t xml:space="preserve"> in accordance with paragraph 8(b) of the financial procedures</w:t>
      </w:r>
      <w:r w:rsidR="008320C0">
        <w:rPr>
          <w:lang w:eastAsia="en-US"/>
        </w:rPr>
        <w:t>,</w:t>
      </w:r>
      <w:r w:rsidRPr="00A82BE5">
        <w:rPr>
          <w:lang w:eastAsia="en-US"/>
        </w:rPr>
        <w:t xml:space="preserve"> and to pay promptly and in full, for each of the years 2016 and 2017, the contributions required to finance expenditures approved under paragraph 1 above and any contributions required to finance the expenditures arising from the decision referred to in paragraph 8 above;</w:t>
      </w:r>
    </w:p>
    <w:p w14:paraId="4BC86A0E" w14:textId="42C418AB" w:rsidR="005140C3" w:rsidRPr="00A82BE5" w:rsidRDefault="005140C3" w:rsidP="005140C3">
      <w:pPr>
        <w:tabs>
          <w:tab w:val="left" w:pos="1701"/>
        </w:tabs>
        <w:spacing w:before="120" w:after="120"/>
        <w:ind w:left="1134" w:right="1134"/>
        <w:jc w:val="both"/>
      </w:pPr>
      <w:r w:rsidRPr="00A82BE5">
        <w:rPr>
          <w:iCs/>
          <w:lang w:eastAsia="en-US"/>
        </w:rPr>
        <w:t>15.</w:t>
      </w:r>
      <w:r w:rsidRPr="00A82BE5">
        <w:rPr>
          <w:i/>
          <w:iCs/>
          <w:lang w:eastAsia="en-US"/>
        </w:rPr>
        <w:tab/>
        <w:t>Authorizes</w:t>
      </w:r>
      <w:r w:rsidRPr="00A82BE5">
        <w:rPr>
          <w:lang w:eastAsia="en-US"/>
        </w:rPr>
        <w:t xml:space="preserve"> the Executive Secretary to implement decisions taken by the Conference of the Parties at its twenty-first session for which provisions are not made under the approved budget, using voluntary contributions and to the extent possible, resources available under the core budget;</w:t>
      </w:r>
    </w:p>
    <w:p w14:paraId="4BC86A0F" w14:textId="77777777" w:rsidR="005140C3" w:rsidRPr="00A82BE5" w:rsidRDefault="005140C3" w:rsidP="005140C3">
      <w:pPr>
        <w:tabs>
          <w:tab w:val="left" w:pos="1701"/>
        </w:tabs>
        <w:spacing w:before="120" w:after="120"/>
        <w:ind w:left="1134" w:right="1134"/>
        <w:jc w:val="both"/>
      </w:pPr>
      <w:r w:rsidRPr="00A82BE5">
        <w:rPr>
          <w:iCs/>
          <w:lang w:eastAsia="en-US"/>
        </w:rPr>
        <w:t>16.</w:t>
      </w:r>
      <w:r w:rsidRPr="00A82BE5">
        <w:rPr>
          <w:i/>
          <w:iCs/>
          <w:lang w:eastAsia="en-US"/>
        </w:rPr>
        <w:tab/>
        <w:t>Urges</w:t>
      </w:r>
      <w:r w:rsidRPr="00A82BE5">
        <w:rPr>
          <w:lang w:eastAsia="en-US"/>
        </w:rPr>
        <w:t xml:space="preserve"> Parties to make voluntary contributions as necessary for the timely implementation of the decisions referred to in </w:t>
      </w:r>
      <w:r w:rsidRPr="00A82BE5">
        <w:rPr>
          <w:iCs/>
          <w:lang w:eastAsia="en-US"/>
        </w:rPr>
        <w:t>paragraph</w:t>
      </w:r>
      <w:r w:rsidRPr="00A82BE5">
        <w:rPr>
          <w:lang w:eastAsia="en-US"/>
        </w:rPr>
        <w:t xml:space="preserve"> 15 above;</w:t>
      </w:r>
    </w:p>
    <w:p w14:paraId="4BC86A10" w14:textId="77777777" w:rsidR="005140C3" w:rsidRPr="00A82BE5" w:rsidRDefault="005140C3" w:rsidP="005140C3">
      <w:pPr>
        <w:tabs>
          <w:tab w:val="left" w:pos="1701"/>
        </w:tabs>
        <w:spacing w:before="120" w:after="120"/>
        <w:ind w:left="1134" w:right="1134"/>
        <w:jc w:val="both"/>
      </w:pPr>
      <w:r w:rsidRPr="00A82BE5">
        <w:rPr>
          <w:iCs/>
          <w:lang w:eastAsia="en-US"/>
        </w:rPr>
        <w:t>17.</w:t>
      </w:r>
      <w:r w:rsidRPr="00A82BE5">
        <w:rPr>
          <w:i/>
          <w:iCs/>
          <w:lang w:eastAsia="en-US"/>
        </w:rPr>
        <w:tab/>
        <w:t>Takes note</w:t>
      </w:r>
      <w:r w:rsidRPr="00A82BE5">
        <w:rPr>
          <w:lang w:eastAsia="en-US"/>
        </w:rPr>
        <w:t xml:space="preserve"> of the funding estimates for the Trust Fund for Participation in the UNFCCC Process specified by the Executive Secretary (table 4);</w:t>
      </w:r>
    </w:p>
    <w:p w14:paraId="4BC86A11" w14:textId="77777777" w:rsidR="005140C3" w:rsidRPr="00A82BE5" w:rsidRDefault="005140C3" w:rsidP="005140C3">
      <w:pPr>
        <w:tabs>
          <w:tab w:val="left" w:pos="1701"/>
        </w:tabs>
        <w:spacing w:after="120"/>
        <w:ind w:left="1135" w:right="1134"/>
        <w:jc w:val="both"/>
      </w:pPr>
      <w:r w:rsidRPr="00A82BE5">
        <w:t>18.</w:t>
      </w:r>
      <w:r w:rsidRPr="00A82BE5">
        <w:rPr>
          <w:i/>
        </w:rPr>
        <w:tab/>
        <w:t>Invites</w:t>
      </w:r>
      <w:r w:rsidRPr="00A82BE5">
        <w:t xml:space="preserve"> Parties to make contributions to the Trust Fund for Participation in the UNFCCC Process;</w:t>
      </w:r>
    </w:p>
    <w:p w14:paraId="4BC86A12" w14:textId="77777777" w:rsidR="005140C3" w:rsidRPr="00A82BE5" w:rsidRDefault="005140C3" w:rsidP="005140C3">
      <w:pPr>
        <w:tabs>
          <w:tab w:val="left" w:pos="1701"/>
        </w:tabs>
        <w:spacing w:after="120"/>
        <w:ind w:left="1135" w:right="1134"/>
        <w:jc w:val="both"/>
      </w:pPr>
      <w:r w:rsidRPr="00A82BE5">
        <w:t>19.</w:t>
      </w:r>
      <w:r w:rsidRPr="00A82BE5">
        <w:rPr>
          <w:i/>
        </w:rPr>
        <w:tab/>
        <w:t>Takes note</w:t>
      </w:r>
      <w:r w:rsidRPr="00A82BE5">
        <w:t xml:space="preserve"> of the funding estimates for the Trust Fund for Supplementary Activities specified by the Executive Secretary (EUR 51,647,777 for the biennium 2016–2017) (table 5);</w:t>
      </w:r>
    </w:p>
    <w:p w14:paraId="4BC86A13" w14:textId="77777777" w:rsidR="005140C3" w:rsidRPr="00A82BE5" w:rsidRDefault="005140C3" w:rsidP="005140C3">
      <w:pPr>
        <w:tabs>
          <w:tab w:val="left" w:pos="1701"/>
        </w:tabs>
        <w:spacing w:after="120"/>
        <w:ind w:left="1135" w:right="1134"/>
        <w:jc w:val="both"/>
      </w:pPr>
      <w:r w:rsidRPr="00A82BE5">
        <w:t>20.</w:t>
      </w:r>
      <w:r w:rsidRPr="00A82BE5">
        <w:rPr>
          <w:i/>
        </w:rPr>
        <w:tab/>
        <w:t>Invites</w:t>
      </w:r>
      <w:r w:rsidRPr="00A82BE5">
        <w:t xml:space="preserve"> Parties to make contributions to the Trust Fund for Supplementary Activities;</w:t>
      </w:r>
    </w:p>
    <w:p w14:paraId="4BC86A14" w14:textId="77777777" w:rsidR="005140C3" w:rsidRPr="00A82BE5" w:rsidRDefault="005140C3" w:rsidP="005140C3">
      <w:pPr>
        <w:tabs>
          <w:tab w:val="left" w:pos="1701"/>
        </w:tabs>
        <w:spacing w:after="120"/>
        <w:ind w:left="1135" w:right="1134"/>
        <w:jc w:val="both"/>
      </w:pPr>
      <w:r w:rsidRPr="00A82BE5">
        <w:t>21.</w:t>
      </w:r>
      <w:r w:rsidRPr="00A82BE5">
        <w:rPr>
          <w:i/>
        </w:rPr>
        <w:tab/>
        <w:t>Requests</w:t>
      </w:r>
      <w:r w:rsidRPr="00A82BE5">
        <w:t xml:space="preserve"> the Executive Secretary to report to the Conference of the Parties at its twenty-second session (November 2016) on income and budget performance, and to propose any adjustments that might be needed in the programme budget for the biennium 2016–2017;</w:t>
      </w:r>
    </w:p>
    <w:p w14:paraId="4BC86A15" w14:textId="77777777" w:rsidR="005140C3" w:rsidRDefault="005140C3" w:rsidP="005140C3">
      <w:pPr>
        <w:tabs>
          <w:tab w:val="left" w:pos="1701"/>
        </w:tabs>
        <w:spacing w:after="120"/>
        <w:ind w:left="1135" w:right="1134"/>
        <w:jc w:val="both"/>
        <w:rPr>
          <w:lang w:eastAsia="en-US"/>
        </w:rPr>
      </w:pPr>
      <w:r w:rsidRPr="00A82BE5">
        <w:rPr>
          <w:lang w:eastAsia="en-US"/>
        </w:rPr>
        <w:t>22.</w:t>
      </w:r>
      <w:r w:rsidRPr="00A82BE5">
        <w:rPr>
          <w:lang w:eastAsia="en-US"/>
        </w:rPr>
        <w:tab/>
      </w:r>
      <w:r w:rsidRPr="00A82BE5">
        <w:rPr>
          <w:i/>
          <w:lang w:eastAsia="en-US"/>
        </w:rPr>
        <w:t>Also requests</w:t>
      </w:r>
      <w:r w:rsidRPr="00A82BE5">
        <w:rPr>
          <w:lang w:eastAsia="en-US"/>
        </w:rPr>
        <w:t xml:space="preserve"> the Executive Secretary to facilitate the consideration of future programme budget proposals by including in the official budget documents budget scenarios, including zero nominal growth, together with information on the related implications of the implementation of the secretariat’s work programme and the estimated impacts on the level of indicative contributions by Parties, and by submitting at least 15 days in advance of the relevant session of the </w:t>
      </w:r>
      <w:r w:rsidRPr="00A82BE5">
        <w:rPr>
          <w:iCs/>
          <w:lang w:eastAsia="en-US"/>
        </w:rPr>
        <w:t xml:space="preserve">Subsidiary Body for Implementation </w:t>
      </w:r>
      <w:r w:rsidRPr="00A82BE5">
        <w:rPr>
          <w:lang w:eastAsia="en-US"/>
        </w:rPr>
        <w:t>the latest unaudited financial statements and an update on the implementation of the approved core budget.</w:t>
      </w:r>
    </w:p>
    <w:p w14:paraId="1AA94091" w14:textId="77777777" w:rsidR="00F835C1" w:rsidRDefault="00F835C1" w:rsidP="005140C3">
      <w:pPr>
        <w:tabs>
          <w:tab w:val="left" w:pos="1701"/>
        </w:tabs>
        <w:spacing w:after="120"/>
        <w:ind w:left="1135" w:right="1134"/>
        <w:jc w:val="both"/>
        <w:sectPr w:rsidR="00F835C1" w:rsidSect="00877754">
          <w:headerReference w:type="even" r:id="rId50"/>
          <w:headerReference w:type="default" r:id="rId51"/>
          <w:footerReference w:type="even" r:id="rId52"/>
          <w:footerReference w:type="default" r:id="rId53"/>
          <w:footnotePr>
            <w:numRestart w:val="eachSect"/>
          </w:footnotePr>
          <w:pgSz w:w="11906" w:h="16838" w:code="9"/>
          <w:pgMar w:top="1701" w:right="1134" w:bottom="2268" w:left="1134" w:header="1134" w:footer="1701" w:gutter="0"/>
          <w:cols w:space="708"/>
          <w:docGrid w:linePitch="360"/>
        </w:sectPr>
      </w:pPr>
    </w:p>
    <w:p w14:paraId="4BC86A16" w14:textId="5AD56475" w:rsidR="005140C3" w:rsidRPr="00464EB2" w:rsidRDefault="005140C3" w:rsidP="005140C3">
      <w:pPr>
        <w:suppressAutoHyphens w:val="0"/>
        <w:spacing w:line="240" w:lineRule="auto"/>
        <w:ind w:right="1134"/>
        <w:jc w:val="both"/>
        <w:rPr>
          <w:rFonts w:eastAsia="Times New Roman"/>
          <w:lang w:eastAsia="en-US"/>
        </w:rPr>
      </w:pPr>
      <w:bookmarkStart w:id="1" w:name="_Toc288663203"/>
      <w:bookmarkStart w:id="2" w:name="_Hlk228844726"/>
      <w:r w:rsidRPr="00464EB2">
        <w:rPr>
          <w:rFonts w:eastAsia="Times New Roman"/>
          <w:lang w:eastAsia="en-US"/>
        </w:rPr>
        <w:lastRenderedPageBreak/>
        <w:t>Table 1</w:t>
      </w:r>
    </w:p>
    <w:p w14:paraId="4BC86A17" w14:textId="77777777" w:rsidR="005140C3" w:rsidRPr="00464EB2" w:rsidRDefault="005140C3" w:rsidP="005140C3">
      <w:pPr>
        <w:suppressAutoHyphens w:val="0"/>
        <w:spacing w:after="120" w:line="240" w:lineRule="auto"/>
        <w:ind w:left="567" w:right="40" w:hanging="567"/>
        <w:outlineLvl w:val="0"/>
        <w:rPr>
          <w:rFonts w:eastAsia="MS Mincho"/>
          <w:i/>
          <w:lang w:eastAsia="de-DE"/>
        </w:rPr>
      </w:pPr>
      <w:bookmarkStart w:id="3" w:name="_Toc318462683"/>
      <w:bookmarkStart w:id="4" w:name="_Toc318462726"/>
      <w:bookmarkStart w:id="5" w:name="_Toc318462918"/>
      <w:bookmarkStart w:id="6" w:name="_Toc318463364"/>
      <w:r w:rsidRPr="00464EB2">
        <w:rPr>
          <w:rFonts w:eastAsia="MS Mincho"/>
          <w:b/>
          <w:lang w:eastAsia="de-DE"/>
        </w:rPr>
        <w:t>Proposed core budget for 2016–2017 by programme</w:t>
      </w:r>
      <w:bookmarkEnd w:id="1"/>
      <w:bookmarkEnd w:id="3"/>
      <w:bookmarkEnd w:id="4"/>
      <w:bookmarkEnd w:id="5"/>
      <w:bookmarkEnd w:id="6"/>
      <w:r w:rsidRPr="00464EB2">
        <w:rPr>
          <w:rFonts w:eastAsia="MS Mincho"/>
          <w:b/>
          <w:lang w:eastAsia="de-DE"/>
        </w:rPr>
        <w:t xml:space="preserve"> </w:t>
      </w:r>
    </w:p>
    <w:tbl>
      <w:tblPr>
        <w:tblW w:w="9639" w:type="dxa"/>
        <w:tblBorders>
          <w:top w:val="single" w:sz="4" w:space="0" w:color="auto"/>
        </w:tblBorders>
        <w:tblCellMar>
          <w:left w:w="0" w:type="dxa"/>
          <w:right w:w="113" w:type="dxa"/>
        </w:tblCellMar>
        <w:tblLook w:val="0000" w:firstRow="0" w:lastRow="0" w:firstColumn="0" w:lastColumn="0" w:noHBand="0" w:noVBand="0"/>
      </w:tblPr>
      <w:tblGrid>
        <w:gridCol w:w="5103"/>
        <w:gridCol w:w="1632"/>
        <w:gridCol w:w="1456"/>
        <w:gridCol w:w="1448"/>
      </w:tblGrid>
      <w:tr w:rsidR="005140C3" w:rsidRPr="00464EB2" w14:paraId="4BC86A1C" w14:textId="77777777" w:rsidTr="00F835C1">
        <w:trPr>
          <w:trHeight w:val="144"/>
          <w:tblHeader/>
        </w:trPr>
        <w:tc>
          <w:tcPr>
            <w:tcW w:w="5103" w:type="dxa"/>
            <w:tcBorders>
              <w:top w:val="single" w:sz="4" w:space="0" w:color="auto"/>
              <w:bottom w:val="single" w:sz="12" w:space="0" w:color="auto"/>
            </w:tcBorders>
          </w:tcPr>
          <w:p w14:paraId="4BC86A18" w14:textId="77777777" w:rsidR="005140C3" w:rsidRPr="00464EB2" w:rsidRDefault="005140C3" w:rsidP="009F3C26">
            <w:pPr>
              <w:suppressAutoHyphens w:val="0"/>
              <w:autoSpaceDE w:val="0"/>
              <w:autoSpaceDN w:val="0"/>
              <w:adjustRightInd w:val="0"/>
              <w:spacing w:before="40" w:after="40" w:line="220" w:lineRule="exact"/>
              <w:ind w:right="38"/>
              <w:rPr>
                <w:rFonts w:eastAsia="MS Mincho"/>
                <w:bCs/>
                <w:sz w:val="18"/>
                <w:szCs w:val="18"/>
                <w:lang w:eastAsia="de-DE"/>
              </w:rPr>
            </w:pPr>
            <w:bookmarkStart w:id="7" w:name="_Toc285200552"/>
            <w:bookmarkStart w:id="8" w:name="_Toc288663196"/>
          </w:p>
        </w:tc>
        <w:tc>
          <w:tcPr>
            <w:tcW w:w="1632" w:type="dxa"/>
            <w:tcBorders>
              <w:top w:val="single" w:sz="4" w:space="0" w:color="auto"/>
              <w:bottom w:val="single" w:sz="12" w:space="0" w:color="auto"/>
            </w:tcBorders>
            <w:vAlign w:val="bottom"/>
          </w:tcPr>
          <w:p w14:paraId="4BC86A19" w14:textId="77777777" w:rsidR="005140C3" w:rsidRPr="00464EB2" w:rsidRDefault="005140C3" w:rsidP="00FC7C1D">
            <w:pPr>
              <w:suppressAutoHyphens w:val="0"/>
              <w:autoSpaceDE w:val="0"/>
              <w:autoSpaceDN w:val="0"/>
              <w:adjustRightInd w:val="0"/>
              <w:spacing w:before="40" w:after="40" w:line="220" w:lineRule="exact"/>
              <w:ind w:right="-41"/>
              <w:jc w:val="right"/>
              <w:rPr>
                <w:rFonts w:eastAsia="MS Mincho"/>
                <w:bCs/>
                <w:i/>
                <w:sz w:val="16"/>
                <w:szCs w:val="16"/>
                <w:lang w:eastAsia="de-DE"/>
              </w:rPr>
            </w:pPr>
            <w:r w:rsidRPr="00464EB2">
              <w:rPr>
                <w:rFonts w:eastAsia="MS Mincho"/>
                <w:bCs/>
                <w:i/>
                <w:sz w:val="16"/>
                <w:szCs w:val="16"/>
                <w:lang w:eastAsia="de-DE"/>
              </w:rPr>
              <w:t xml:space="preserve">2016 </w:t>
            </w:r>
            <w:r w:rsidRPr="00464EB2">
              <w:rPr>
                <w:rFonts w:eastAsia="MS Mincho"/>
                <w:i/>
                <w:sz w:val="16"/>
                <w:szCs w:val="16"/>
                <w:lang w:eastAsia="de-DE"/>
              </w:rPr>
              <w:t>(EUR)</w:t>
            </w:r>
          </w:p>
        </w:tc>
        <w:tc>
          <w:tcPr>
            <w:tcW w:w="1456" w:type="dxa"/>
            <w:tcBorders>
              <w:top w:val="single" w:sz="4" w:space="0" w:color="auto"/>
              <w:bottom w:val="single" w:sz="12" w:space="0" w:color="auto"/>
            </w:tcBorders>
            <w:vAlign w:val="bottom"/>
          </w:tcPr>
          <w:p w14:paraId="4BC86A1A" w14:textId="77777777" w:rsidR="005140C3" w:rsidRPr="00464EB2" w:rsidRDefault="005140C3" w:rsidP="00FC7C1D">
            <w:pPr>
              <w:suppressAutoHyphens w:val="0"/>
              <w:autoSpaceDE w:val="0"/>
              <w:autoSpaceDN w:val="0"/>
              <w:adjustRightInd w:val="0"/>
              <w:spacing w:before="40" w:after="40" w:line="220" w:lineRule="exact"/>
              <w:ind w:right="-2"/>
              <w:jc w:val="right"/>
              <w:rPr>
                <w:rFonts w:eastAsia="MS Mincho"/>
                <w:bCs/>
                <w:i/>
                <w:sz w:val="16"/>
                <w:szCs w:val="16"/>
                <w:lang w:eastAsia="de-DE"/>
              </w:rPr>
            </w:pPr>
            <w:r w:rsidRPr="00464EB2">
              <w:rPr>
                <w:rFonts w:eastAsia="MS Mincho"/>
                <w:bCs/>
                <w:i/>
                <w:sz w:val="16"/>
                <w:szCs w:val="16"/>
                <w:lang w:eastAsia="de-DE"/>
              </w:rPr>
              <w:t xml:space="preserve">2017 </w:t>
            </w:r>
            <w:r w:rsidRPr="00464EB2">
              <w:rPr>
                <w:rFonts w:eastAsia="MS Mincho"/>
                <w:i/>
                <w:sz w:val="16"/>
                <w:szCs w:val="16"/>
                <w:lang w:eastAsia="de-DE"/>
              </w:rPr>
              <w:t>(EUR)</w:t>
            </w:r>
          </w:p>
        </w:tc>
        <w:tc>
          <w:tcPr>
            <w:tcW w:w="1448" w:type="dxa"/>
            <w:tcBorders>
              <w:top w:val="single" w:sz="4" w:space="0" w:color="auto"/>
              <w:bottom w:val="single" w:sz="12" w:space="0" w:color="auto"/>
            </w:tcBorders>
            <w:vAlign w:val="bottom"/>
          </w:tcPr>
          <w:p w14:paraId="4BC86A1B" w14:textId="0AB9B6A6" w:rsidR="005140C3" w:rsidRPr="00464EB2" w:rsidRDefault="005140C3" w:rsidP="000A50A0">
            <w:pPr>
              <w:suppressAutoHyphens w:val="0"/>
              <w:autoSpaceDE w:val="0"/>
              <w:autoSpaceDN w:val="0"/>
              <w:adjustRightInd w:val="0"/>
              <w:spacing w:before="40" w:after="40" w:line="220" w:lineRule="exact"/>
              <w:ind w:right="-85"/>
              <w:jc w:val="right"/>
              <w:rPr>
                <w:rFonts w:eastAsia="MS Mincho"/>
                <w:bCs/>
                <w:i/>
                <w:sz w:val="16"/>
                <w:szCs w:val="16"/>
                <w:lang w:eastAsia="de-DE"/>
              </w:rPr>
            </w:pPr>
            <w:r w:rsidRPr="00464EB2">
              <w:rPr>
                <w:rFonts w:eastAsia="MS Mincho"/>
                <w:bCs/>
                <w:i/>
                <w:sz w:val="16"/>
                <w:szCs w:val="16"/>
                <w:lang w:eastAsia="de-DE"/>
              </w:rPr>
              <w:t xml:space="preserve">Total </w:t>
            </w:r>
            <w:r w:rsidR="00A375F4">
              <w:rPr>
                <w:rFonts w:eastAsia="MS Mincho"/>
                <w:bCs/>
                <w:i/>
                <w:sz w:val="16"/>
                <w:szCs w:val="16"/>
                <w:lang w:eastAsia="de-DE"/>
              </w:rPr>
              <w:t xml:space="preserve">2016–2017 </w:t>
            </w:r>
            <w:r w:rsidRPr="00464EB2">
              <w:rPr>
                <w:rFonts w:eastAsia="MS Mincho"/>
                <w:i/>
                <w:sz w:val="16"/>
                <w:szCs w:val="16"/>
                <w:lang w:eastAsia="de-DE"/>
              </w:rPr>
              <w:t>(EUR)</w:t>
            </w:r>
          </w:p>
        </w:tc>
      </w:tr>
      <w:tr w:rsidR="005140C3" w:rsidRPr="00464EB2" w14:paraId="4BC86A21" w14:textId="77777777" w:rsidTr="009F3C26">
        <w:trPr>
          <w:trHeight w:val="240"/>
        </w:trPr>
        <w:tc>
          <w:tcPr>
            <w:tcW w:w="5103" w:type="dxa"/>
            <w:tcBorders>
              <w:top w:val="single" w:sz="12" w:space="0" w:color="auto"/>
            </w:tcBorders>
            <w:vAlign w:val="bottom"/>
          </w:tcPr>
          <w:p w14:paraId="4BC86A1D" w14:textId="413FC247" w:rsidR="005140C3" w:rsidRPr="00464EB2" w:rsidRDefault="00C421F9" w:rsidP="00C421F9">
            <w:pPr>
              <w:tabs>
                <w:tab w:val="left" w:pos="284"/>
              </w:tabs>
              <w:suppressAutoHyphens w:val="0"/>
              <w:spacing w:before="30" w:after="30" w:line="220" w:lineRule="exact"/>
              <w:ind w:left="284" w:right="38" w:hanging="284"/>
              <w:rPr>
                <w:rFonts w:eastAsia="Arial Unicode MS"/>
                <w:bCs/>
                <w:sz w:val="18"/>
                <w:szCs w:val="18"/>
                <w:lang w:eastAsia="de-DE"/>
              </w:rPr>
            </w:pPr>
            <w:r w:rsidRPr="00464EB2">
              <w:rPr>
                <w:bCs/>
                <w:sz w:val="18"/>
                <w:szCs w:val="18"/>
                <w:lang w:eastAsia="de-DE"/>
              </w:rPr>
              <w:t>A.</w:t>
            </w:r>
            <w:r w:rsidRPr="00464EB2">
              <w:rPr>
                <w:bCs/>
                <w:sz w:val="18"/>
                <w:szCs w:val="18"/>
                <w:lang w:eastAsia="de-DE"/>
              </w:rPr>
              <w:tab/>
            </w:r>
            <w:r w:rsidR="005140C3" w:rsidRPr="00464EB2">
              <w:rPr>
                <w:rFonts w:eastAsia="MS Mincho"/>
                <w:bCs/>
                <w:sz w:val="18"/>
                <w:szCs w:val="18"/>
                <w:lang w:eastAsia="de-DE"/>
              </w:rPr>
              <w:t>Programme appropriations</w:t>
            </w:r>
          </w:p>
        </w:tc>
        <w:tc>
          <w:tcPr>
            <w:tcW w:w="1632" w:type="dxa"/>
            <w:tcBorders>
              <w:top w:val="single" w:sz="12" w:space="0" w:color="auto"/>
            </w:tcBorders>
            <w:vAlign w:val="bottom"/>
          </w:tcPr>
          <w:p w14:paraId="4BC86A1E" w14:textId="77777777" w:rsidR="005140C3" w:rsidRPr="00464EB2" w:rsidRDefault="005140C3" w:rsidP="009F3C26">
            <w:pPr>
              <w:suppressAutoHyphens w:val="0"/>
              <w:spacing w:before="40" w:after="40" w:line="220" w:lineRule="exact"/>
              <w:ind w:right="38"/>
              <w:jc w:val="right"/>
              <w:rPr>
                <w:rFonts w:eastAsia="MS Mincho"/>
                <w:sz w:val="18"/>
                <w:szCs w:val="18"/>
                <w:lang w:eastAsia="de-DE"/>
              </w:rPr>
            </w:pPr>
          </w:p>
        </w:tc>
        <w:tc>
          <w:tcPr>
            <w:tcW w:w="1456" w:type="dxa"/>
            <w:tcBorders>
              <w:top w:val="single" w:sz="12" w:space="0" w:color="auto"/>
            </w:tcBorders>
            <w:vAlign w:val="bottom"/>
          </w:tcPr>
          <w:p w14:paraId="4BC86A1F" w14:textId="77777777" w:rsidR="005140C3" w:rsidRPr="00464EB2" w:rsidRDefault="005140C3" w:rsidP="009F3C26">
            <w:pPr>
              <w:suppressAutoHyphens w:val="0"/>
              <w:spacing w:before="40" w:after="40" w:line="220" w:lineRule="exact"/>
              <w:ind w:right="38"/>
              <w:jc w:val="right"/>
              <w:rPr>
                <w:rFonts w:eastAsia="MS Mincho"/>
                <w:sz w:val="18"/>
                <w:szCs w:val="18"/>
                <w:lang w:eastAsia="de-DE"/>
              </w:rPr>
            </w:pPr>
          </w:p>
        </w:tc>
        <w:tc>
          <w:tcPr>
            <w:tcW w:w="1448" w:type="dxa"/>
            <w:tcBorders>
              <w:top w:val="single" w:sz="12" w:space="0" w:color="auto"/>
            </w:tcBorders>
            <w:vAlign w:val="bottom"/>
          </w:tcPr>
          <w:p w14:paraId="4BC86A20" w14:textId="77777777" w:rsidR="005140C3" w:rsidRPr="00464EB2" w:rsidRDefault="005140C3" w:rsidP="009F3C26">
            <w:pPr>
              <w:suppressAutoHyphens w:val="0"/>
              <w:spacing w:before="40" w:after="40" w:line="220" w:lineRule="exact"/>
              <w:ind w:right="-85"/>
              <w:jc w:val="right"/>
              <w:rPr>
                <w:rFonts w:eastAsia="MS Mincho"/>
                <w:sz w:val="18"/>
                <w:szCs w:val="18"/>
                <w:lang w:eastAsia="de-DE"/>
              </w:rPr>
            </w:pPr>
          </w:p>
        </w:tc>
      </w:tr>
      <w:tr w:rsidR="005140C3" w:rsidRPr="00464EB2" w14:paraId="4BC86A26" w14:textId="77777777" w:rsidTr="009F3C26">
        <w:trPr>
          <w:trHeight w:val="240"/>
        </w:trPr>
        <w:tc>
          <w:tcPr>
            <w:tcW w:w="5103" w:type="dxa"/>
            <w:vAlign w:val="bottom"/>
          </w:tcPr>
          <w:p w14:paraId="4BC86A22" w14:textId="77777777" w:rsidR="005140C3" w:rsidRPr="00464EB2" w:rsidRDefault="005140C3" w:rsidP="009F3C26">
            <w:pPr>
              <w:suppressAutoHyphens w:val="0"/>
              <w:autoSpaceDE w:val="0"/>
              <w:autoSpaceDN w:val="0"/>
              <w:adjustRightInd w:val="0"/>
              <w:spacing w:before="30" w:after="30" w:line="220" w:lineRule="exact"/>
              <w:ind w:right="38" w:firstLine="284"/>
              <w:rPr>
                <w:rFonts w:eastAsia="MS Mincho"/>
                <w:sz w:val="18"/>
                <w:szCs w:val="18"/>
                <w:lang w:eastAsia="de-DE"/>
              </w:rPr>
            </w:pPr>
            <w:r w:rsidRPr="00464EB2">
              <w:rPr>
                <w:rFonts w:eastAsia="MS Mincho"/>
                <w:sz w:val="18"/>
                <w:szCs w:val="18"/>
                <w:lang w:eastAsia="de-DE"/>
              </w:rPr>
              <w:t>Executive Direction and Management</w:t>
            </w:r>
          </w:p>
        </w:tc>
        <w:tc>
          <w:tcPr>
            <w:tcW w:w="1632" w:type="dxa"/>
            <w:vAlign w:val="bottom"/>
          </w:tcPr>
          <w:p w14:paraId="4BC86A23"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2 250 862</w:t>
            </w:r>
          </w:p>
        </w:tc>
        <w:tc>
          <w:tcPr>
            <w:tcW w:w="1456" w:type="dxa"/>
            <w:vAlign w:val="bottom"/>
          </w:tcPr>
          <w:p w14:paraId="4BC86A24"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2 210 862</w:t>
            </w:r>
          </w:p>
        </w:tc>
        <w:tc>
          <w:tcPr>
            <w:tcW w:w="1448" w:type="dxa"/>
            <w:vAlign w:val="bottom"/>
          </w:tcPr>
          <w:p w14:paraId="4BC86A25" w14:textId="77777777" w:rsidR="005140C3" w:rsidRPr="00464EB2" w:rsidRDefault="005140C3" w:rsidP="009F3C26">
            <w:pPr>
              <w:suppressAutoHyphens w:val="0"/>
              <w:spacing w:line="240" w:lineRule="auto"/>
              <w:ind w:right="-85"/>
              <w:jc w:val="right"/>
              <w:rPr>
                <w:rFonts w:eastAsia="MS Mincho"/>
                <w:sz w:val="18"/>
                <w:szCs w:val="18"/>
                <w:lang w:eastAsia="de-DE"/>
              </w:rPr>
            </w:pPr>
            <w:r w:rsidRPr="00464EB2">
              <w:rPr>
                <w:rFonts w:eastAsia="MS Mincho"/>
                <w:sz w:val="18"/>
                <w:szCs w:val="18"/>
                <w:lang w:eastAsia="de-DE"/>
              </w:rPr>
              <w:t>4 461 724</w:t>
            </w:r>
          </w:p>
        </w:tc>
      </w:tr>
      <w:tr w:rsidR="005140C3" w:rsidRPr="00464EB2" w14:paraId="4BC86A2B" w14:textId="77777777" w:rsidTr="009F3C26">
        <w:trPr>
          <w:trHeight w:val="240"/>
        </w:trPr>
        <w:tc>
          <w:tcPr>
            <w:tcW w:w="5103" w:type="dxa"/>
            <w:vAlign w:val="bottom"/>
          </w:tcPr>
          <w:p w14:paraId="4BC86A27" w14:textId="77777777" w:rsidR="005140C3" w:rsidRPr="00464EB2" w:rsidRDefault="005140C3" w:rsidP="009F3C26">
            <w:pPr>
              <w:suppressAutoHyphens w:val="0"/>
              <w:autoSpaceDE w:val="0"/>
              <w:autoSpaceDN w:val="0"/>
              <w:adjustRightInd w:val="0"/>
              <w:spacing w:before="30" w:after="30" w:line="220" w:lineRule="exact"/>
              <w:ind w:right="38" w:firstLine="284"/>
              <w:rPr>
                <w:rFonts w:eastAsia="MS Mincho"/>
                <w:sz w:val="18"/>
                <w:szCs w:val="18"/>
                <w:lang w:eastAsia="de-DE"/>
              </w:rPr>
            </w:pPr>
            <w:r w:rsidRPr="00464EB2">
              <w:rPr>
                <w:rFonts w:eastAsia="MS Mincho"/>
                <w:sz w:val="18"/>
                <w:szCs w:val="18"/>
                <w:lang w:eastAsia="de-DE"/>
              </w:rPr>
              <w:t>Mitigation, Data and Analysis</w:t>
            </w:r>
          </w:p>
        </w:tc>
        <w:tc>
          <w:tcPr>
            <w:tcW w:w="1632" w:type="dxa"/>
            <w:vAlign w:val="bottom"/>
          </w:tcPr>
          <w:p w14:paraId="4BC86A28"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7 611 688</w:t>
            </w:r>
          </w:p>
        </w:tc>
        <w:tc>
          <w:tcPr>
            <w:tcW w:w="1456" w:type="dxa"/>
            <w:vAlign w:val="bottom"/>
          </w:tcPr>
          <w:p w14:paraId="4BC86A29"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7 611 688</w:t>
            </w:r>
          </w:p>
        </w:tc>
        <w:tc>
          <w:tcPr>
            <w:tcW w:w="1448" w:type="dxa"/>
            <w:vAlign w:val="bottom"/>
          </w:tcPr>
          <w:p w14:paraId="4BC86A2A" w14:textId="77777777" w:rsidR="005140C3" w:rsidRPr="00464EB2" w:rsidRDefault="005140C3" w:rsidP="009F3C26">
            <w:pPr>
              <w:suppressAutoHyphens w:val="0"/>
              <w:spacing w:line="240" w:lineRule="auto"/>
              <w:ind w:right="-85"/>
              <w:jc w:val="right"/>
              <w:rPr>
                <w:rFonts w:eastAsia="MS Mincho"/>
                <w:sz w:val="18"/>
                <w:szCs w:val="18"/>
                <w:lang w:eastAsia="de-DE"/>
              </w:rPr>
            </w:pPr>
            <w:r w:rsidRPr="00464EB2">
              <w:rPr>
                <w:rFonts w:eastAsia="MS Mincho"/>
                <w:sz w:val="18"/>
                <w:szCs w:val="18"/>
                <w:lang w:eastAsia="de-DE"/>
              </w:rPr>
              <w:t>15 223 376</w:t>
            </w:r>
          </w:p>
        </w:tc>
      </w:tr>
      <w:tr w:rsidR="005140C3" w:rsidRPr="00464EB2" w14:paraId="4BC86A30" w14:textId="77777777" w:rsidTr="009F3C26">
        <w:trPr>
          <w:trHeight w:val="240"/>
        </w:trPr>
        <w:tc>
          <w:tcPr>
            <w:tcW w:w="5103" w:type="dxa"/>
            <w:vAlign w:val="bottom"/>
          </w:tcPr>
          <w:p w14:paraId="4BC86A2C" w14:textId="77777777" w:rsidR="005140C3" w:rsidRPr="00464EB2" w:rsidRDefault="005140C3" w:rsidP="009F3C26">
            <w:pPr>
              <w:suppressAutoHyphens w:val="0"/>
              <w:autoSpaceDE w:val="0"/>
              <w:autoSpaceDN w:val="0"/>
              <w:adjustRightInd w:val="0"/>
              <w:spacing w:before="30" w:after="30" w:line="220" w:lineRule="exact"/>
              <w:ind w:right="38" w:firstLine="284"/>
              <w:rPr>
                <w:rFonts w:eastAsia="MS Mincho"/>
                <w:sz w:val="18"/>
                <w:szCs w:val="18"/>
                <w:lang w:eastAsia="de-DE"/>
              </w:rPr>
            </w:pPr>
            <w:r w:rsidRPr="00464EB2">
              <w:rPr>
                <w:rFonts w:eastAsia="MS Mincho"/>
                <w:sz w:val="18"/>
                <w:szCs w:val="18"/>
                <w:lang w:eastAsia="de-DE"/>
              </w:rPr>
              <w:t>Finance, Technology and Capacity-Building</w:t>
            </w:r>
          </w:p>
        </w:tc>
        <w:tc>
          <w:tcPr>
            <w:tcW w:w="1632" w:type="dxa"/>
            <w:vAlign w:val="bottom"/>
          </w:tcPr>
          <w:p w14:paraId="4BC86A2D"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2 732 260</w:t>
            </w:r>
          </w:p>
        </w:tc>
        <w:tc>
          <w:tcPr>
            <w:tcW w:w="1456" w:type="dxa"/>
            <w:vAlign w:val="bottom"/>
          </w:tcPr>
          <w:p w14:paraId="4BC86A2E"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2 732 627</w:t>
            </w:r>
          </w:p>
        </w:tc>
        <w:tc>
          <w:tcPr>
            <w:tcW w:w="1448" w:type="dxa"/>
            <w:vAlign w:val="bottom"/>
          </w:tcPr>
          <w:p w14:paraId="4BC86A2F" w14:textId="77777777" w:rsidR="005140C3" w:rsidRPr="00464EB2" w:rsidRDefault="005140C3" w:rsidP="009F3C26">
            <w:pPr>
              <w:suppressAutoHyphens w:val="0"/>
              <w:spacing w:line="240" w:lineRule="auto"/>
              <w:ind w:right="-85"/>
              <w:jc w:val="right"/>
              <w:rPr>
                <w:rFonts w:eastAsia="MS Mincho"/>
                <w:sz w:val="18"/>
                <w:szCs w:val="18"/>
                <w:lang w:eastAsia="de-DE"/>
              </w:rPr>
            </w:pPr>
            <w:r w:rsidRPr="00464EB2">
              <w:rPr>
                <w:rFonts w:eastAsia="MS Mincho"/>
                <w:sz w:val="18"/>
                <w:szCs w:val="18"/>
                <w:lang w:eastAsia="de-DE"/>
              </w:rPr>
              <w:t>5 464 887</w:t>
            </w:r>
          </w:p>
        </w:tc>
      </w:tr>
      <w:tr w:rsidR="005140C3" w:rsidRPr="00464EB2" w14:paraId="4BC86A35" w14:textId="77777777" w:rsidTr="009F3C26">
        <w:trPr>
          <w:trHeight w:val="240"/>
        </w:trPr>
        <w:tc>
          <w:tcPr>
            <w:tcW w:w="5103" w:type="dxa"/>
            <w:vAlign w:val="bottom"/>
          </w:tcPr>
          <w:p w14:paraId="4BC86A31" w14:textId="77777777" w:rsidR="005140C3" w:rsidRPr="00464EB2" w:rsidRDefault="005140C3" w:rsidP="009F3C26">
            <w:pPr>
              <w:suppressAutoHyphens w:val="0"/>
              <w:autoSpaceDE w:val="0"/>
              <w:autoSpaceDN w:val="0"/>
              <w:adjustRightInd w:val="0"/>
              <w:spacing w:before="30" w:after="30" w:line="220" w:lineRule="exact"/>
              <w:ind w:right="38" w:firstLine="284"/>
              <w:rPr>
                <w:rFonts w:eastAsia="MS Mincho"/>
                <w:sz w:val="18"/>
                <w:szCs w:val="18"/>
                <w:lang w:eastAsia="de-DE"/>
              </w:rPr>
            </w:pPr>
            <w:r w:rsidRPr="00464EB2">
              <w:rPr>
                <w:rFonts w:eastAsia="MS Mincho"/>
                <w:sz w:val="18"/>
                <w:szCs w:val="18"/>
                <w:lang w:eastAsia="de-DE"/>
              </w:rPr>
              <w:t>Adaptation</w:t>
            </w:r>
          </w:p>
        </w:tc>
        <w:tc>
          <w:tcPr>
            <w:tcW w:w="1632" w:type="dxa"/>
            <w:vAlign w:val="bottom"/>
          </w:tcPr>
          <w:p w14:paraId="4BC86A32"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2 335 712</w:t>
            </w:r>
          </w:p>
        </w:tc>
        <w:tc>
          <w:tcPr>
            <w:tcW w:w="1456" w:type="dxa"/>
            <w:vAlign w:val="bottom"/>
          </w:tcPr>
          <w:p w14:paraId="4BC86A33"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2 336 252</w:t>
            </w:r>
          </w:p>
        </w:tc>
        <w:tc>
          <w:tcPr>
            <w:tcW w:w="1448" w:type="dxa"/>
            <w:vAlign w:val="bottom"/>
          </w:tcPr>
          <w:p w14:paraId="4BC86A34" w14:textId="77777777" w:rsidR="005140C3" w:rsidRPr="00464EB2" w:rsidRDefault="005140C3" w:rsidP="009F3C26">
            <w:pPr>
              <w:suppressAutoHyphens w:val="0"/>
              <w:spacing w:line="240" w:lineRule="auto"/>
              <w:ind w:right="-85"/>
              <w:jc w:val="right"/>
              <w:rPr>
                <w:rFonts w:eastAsia="MS Mincho"/>
                <w:sz w:val="18"/>
                <w:szCs w:val="18"/>
                <w:lang w:eastAsia="de-DE"/>
              </w:rPr>
            </w:pPr>
            <w:r w:rsidRPr="00464EB2">
              <w:rPr>
                <w:rFonts w:eastAsia="MS Mincho"/>
                <w:sz w:val="18"/>
                <w:szCs w:val="18"/>
                <w:lang w:eastAsia="de-DE"/>
              </w:rPr>
              <w:t>4 671 964</w:t>
            </w:r>
          </w:p>
        </w:tc>
      </w:tr>
      <w:tr w:rsidR="005140C3" w:rsidRPr="00464EB2" w14:paraId="4BC86A3A" w14:textId="77777777" w:rsidTr="009F3C26">
        <w:trPr>
          <w:trHeight w:val="240"/>
        </w:trPr>
        <w:tc>
          <w:tcPr>
            <w:tcW w:w="5103" w:type="dxa"/>
            <w:vAlign w:val="bottom"/>
          </w:tcPr>
          <w:p w14:paraId="4BC86A36" w14:textId="77777777" w:rsidR="005140C3" w:rsidRPr="00464EB2" w:rsidRDefault="005140C3" w:rsidP="009F3C26">
            <w:pPr>
              <w:suppressAutoHyphens w:val="0"/>
              <w:autoSpaceDE w:val="0"/>
              <w:autoSpaceDN w:val="0"/>
              <w:adjustRightInd w:val="0"/>
              <w:spacing w:before="30" w:after="30" w:line="220" w:lineRule="exact"/>
              <w:ind w:right="38" w:firstLine="284"/>
              <w:rPr>
                <w:rFonts w:eastAsia="MS Mincho"/>
                <w:sz w:val="18"/>
                <w:szCs w:val="18"/>
                <w:lang w:eastAsia="de-DE"/>
              </w:rPr>
            </w:pPr>
            <w:r w:rsidRPr="00464EB2">
              <w:rPr>
                <w:rFonts w:eastAsia="MS Mincho"/>
                <w:sz w:val="18"/>
                <w:szCs w:val="18"/>
                <w:lang w:eastAsia="de-DE"/>
              </w:rPr>
              <w:t>Sustainable Development Mechanisms</w:t>
            </w:r>
          </w:p>
        </w:tc>
        <w:tc>
          <w:tcPr>
            <w:tcW w:w="1632" w:type="dxa"/>
            <w:vAlign w:val="bottom"/>
          </w:tcPr>
          <w:p w14:paraId="4BC86A37"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406 250</w:t>
            </w:r>
          </w:p>
        </w:tc>
        <w:tc>
          <w:tcPr>
            <w:tcW w:w="1456" w:type="dxa"/>
            <w:vAlign w:val="bottom"/>
          </w:tcPr>
          <w:p w14:paraId="4BC86A38"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369 990</w:t>
            </w:r>
          </w:p>
        </w:tc>
        <w:tc>
          <w:tcPr>
            <w:tcW w:w="1448" w:type="dxa"/>
            <w:vAlign w:val="bottom"/>
          </w:tcPr>
          <w:p w14:paraId="4BC86A39" w14:textId="77777777" w:rsidR="005140C3" w:rsidRPr="00464EB2" w:rsidRDefault="005140C3" w:rsidP="009F3C26">
            <w:pPr>
              <w:suppressAutoHyphens w:val="0"/>
              <w:spacing w:line="240" w:lineRule="auto"/>
              <w:ind w:right="-85"/>
              <w:jc w:val="right"/>
              <w:rPr>
                <w:rFonts w:eastAsia="MS Mincho"/>
                <w:sz w:val="18"/>
                <w:szCs w:val="18"/>
                <w:lang w:eastAsia="de-DE"/>
              </w:rPr>
            </w:pPr>
            <w:r w:rsidRPr="00464EB2">
              <w:rPr>
                <w:rFonts w:eastAsia="MS Mincho"/>
                <w:sz w:val="18"/>
                <w:szCs w:val="18"/>
                <w:lang w:eastAsia="de-DE"/>
              </w:rPr>
              <w:t>776 240</w:t>
            </w:r>
          </w:p>
        </w:tc>
      </w:tr>
      <w:tr w:rsidR="005140C3" w:rsidRPr="00464EB2" w14:paraId="4BC86A3F" w14:textId="77777777" w:rsidTr="009F3C26">
        <w:trPr>
          <w:trHeight w:val="240"/>
        </w:trPr>
        <w:tc>
          <w:tcPr>
            <w:tcW w:w="5103" w:type="dxa"/>
            <w:vAlign w:val="bottom"/>
          </w:tcPr>
          <w:p w14:paraId="4BC86A3B" w14:textId="77777777" w:rsidR="005140C3" w:rsidRPr="00464EB2" w:rsidRDefault="005140C3" w:rsidP="009F3C26">
            <w:pPr>
              <w:suppressAutoHyphens w:val="0"/>
              <w:autoSpaceDE w:val="0"/>
              <w:autoSpaceDN w:val="0"/>
              <w:adjustRightInd w:val="0"/>
              <w:spacing w:before="30" w:after="30" w:line="220" w:lineRule="exact"/>
              <w:ind w:right="38" w:firstLine="284"/>
              <w:rPr>
                <w:rFonts w:eastAsia="MS Mincho"/>
                <w:sz w:val="18"/>
                <w:szCs w:val="18"/>
                <w:lang w:eastAsia="de-DE"/>
              </w:rPr>
            </w:pPr>
            <w:r w:rsidRPr="00464EB2">
              <w:rPr>
                <w:rFonts w:eastAsia="MS Mincho"/>
                <w:sz w:val="18"/>
                <w:szCs w:val="18"/>
                <w:lang w:eastAsia="de-DE"/>
              </w:rPr>
              <w:t>Legal Affairs</w:t>
            </w:r>
          </w:p>
        </w:tc>
        <w:tc>
          <w:tcPr>
            <w:tcW w:w="1632" w:type="dxa"/>
            <w:vAlign w:val="bottom"/>
          </w:tcPr>
          <w:p w14:paraId="4BC86A3C"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1 304 455</w:t>
            </w:r>
          </w:p>
        </w:tc>
        <w:tc>
          <w:tcPr>
            <w:tcW w:w="1456" w:type="dxa"/>
            <w:vAlign w:val="bottom"/>
          </w:tcPr>
          <w:p w14:paraId="4BC86A3D"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1 304 455</w:t>
            </w:r>
          </w:p>
        </w:tc>
        <w:tc>
          <w:tcPr>
            <w:tcW w:w="1448" w:type="dxa"/>
            <w:vAlign w:val="bottom"/>
          </w:tcPr>
          <w:p w14:paraId="4BC86A3E" w14:textId="77777777" w:rsidR="005140C3" w:rsidRPr="00464EB2" w:rsidRDefault="005140C3" w:rsidP="009F3C26">
            <w:pPr>
              <w:suppressAutoHyphens w:val="0"/>
              <w:spacing w:line="240" w:lineRule="auto"/>
              <w:ind w:right="-85"/>
              <w:jc w:val="right"/>
              <w:rPr>
                <w:rFonts w:eastAsia="MS Mincho"/>
                <w:sz w:val="18"/>
                <w:szCs w:val="18"/>
                <w:lang w:eastAsia="de-DE"/>
              </w:rPr>
            </w:pPr>
            <w:r w:rsidRPr="00464EB2">
              <w:rPr>
                <w:rFonts w:eastAsia="MS Mincho"/>
                <w:sz w:val="18"/>
                <w:szCs w:val="18"/>
                <w:lang w:eastAsia="de-DE"/>
              </w:rPr>
              <w:t>2 608 910</w:t>
            </w:r>
          </w:p>
        </w:tc>
      </w:tr>
      <w:tr w:rsidR="005140C3" w:rsidRPr="00464EB2" w14:paraId="4BC86A44" w14:textId="77777777" w:rsidTr="009F3C26">
        <w:trPr>
          <w:trHeight w:val="240"/>
        </w:trPr>
        <w:tc>
          <w:tcPr>
            <w:tcW w:w="5103" w:type="dxa"/>
            <w:vAlign w:val="bottom"/>
          </w:tcPr>
          <w:p w14:paraId="4BC86A40" w14:textId="77777777" w:rsidR="005140C3" w:rsidRPr="00464EB2" w:rsidRDefault="005140C3" w:rsidP="009F3C26">
            <w:pPr>
              <w:suppressAutoHyphens w:val="0"/>
              <w:autoSpaceDE w:val="0"/>
              <w:autoSpaceDN w:val="0"/>
              <w:adjustRightInd w:val="0"/>
              <w:spacing w:before="30" w:after="30" w:line="220" w:lineRule="exact"/>
              <w:ind w:right="38" w:firstLine="284"/>
              <w:rPr>
                <w:rFonts w:eastAsia="MS Mincho"/>
                <w:sz w:val="18"/>
                <w:szCs w:val="18"/>
                <w:lang w:eastAsia="de-DE"/>
              </w:rPr>
            </w:pPr>
            <w:r w:rsidRPr="00464EB2">
              <w:rPr>
                <w:rFonts w:eastAsia="MS Mincho"/>
                <w:sz w:val="18"/>
                <w:szCs w:val="18"/>
                <w:lang w:eastAsia="de-DE"/>
              </w:rPr>
              <w:t>Conference Affairs Services</w:t>
            </w:r>
          </w:p>
        </w:tc>
        <w:tc>
          <w:tcPr>
            <w:tcW w:w="1632" w:type="dxa"/>
            <w:vAlign w:val="bottom"/>
          </w:tcPr>
          <w:p w14:paraId="4BC86A41"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1 691 137</w:t>
            </w:r>
          </w:p>
        </w:tc>
        <w:tc>
          <w:tcPr>
            <w:tcW w:w="1456" w:type="dxa"/>
            <w:vAlign w:val="bottom"/>
          </w:tcPr>
          <w:p w14:paraId="4BC86A42"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1 633 142</w:t>
            </w:r>
          </w:p>
        </w:tc>
        <w:tc>
          <w:tcPr>
            <w:tcW w:w="1448" w:type="dxa"/>
            <w:vAlign w:val="bottom"/>
          </w:tcPr>
          <w:p w14:paraId="4BC86A43" w14:textId="77777777" w:rsidR="005140C3" w:rsidRPr="00464EB2" w:rsidRDefault="005140C3" w:rsidP="009F3C26">
            <w:pPr>
              <w:suppressAutoHyphens w:val="0"/>
              <w:spacing w:line="240" w:lineRule="auto"/>
              <w:ind w:right="-85"/>
              <w:jc w:val="right"/>
              <w:rPr>
                <w:rFonts w:eastAsia="MS Mincho"/>
                <w:sz w:val="18"/>
                <w:szCs w:val="18"/>
                <w:lang w:eastAsia="de-DE"/>
              </w:rPr>
            </w:pPr>
            <w:r w:rsidRPr="00464EB2">
              <w:rPr>
                <w:rFonts w:eastAsia="MS Mincho"/>
                <w:sz w:val="18"/>
                <w:szCs w:val="18"/>
                <w:lang w:eastAsia="de-DE"/>
              </w:rPr>
              <w:t>3 324 279</w:t>
            </w:r>
          </w:p>
        </w:tc>
      </w:tr>
      <w:tr w:rsidR="005140C3" w:rsidRPr="00464EB2" w14:paraId="4BC86A49" w14:textId="77777777" w:rsidTr="009F3C26">
        <w:trPr>
          <w:trHeight w:val="240"/>
        </w:trPr>
        <w:tc>
          <w:tcPr>
            <w:tcW w:w="5103" w:type="dxa"/>
            <w:vAlign w:val="bottom"/>
          </w:tcPr>
          <w:p w14:paraId="4BC86A45" w14:textId="77777777" w:rsidR="005140C3" w:rsidRPr="00464EB2" w:rsidRDefault="005140C3" w:rsidP="009F3C26">
            <w:pPr>
              <w:suppressAutoHyphens w:val="0"/>
              <w:spacing w:before="30" w:after="30" w:line="220" w:lineRule="exact"/>
              <w:ind w:firstLine="284"/>
              <w:rPr>
                <w:rFonts w:eastAsia="MS Mincho"/>
                <w:sz w:val="18"/>
                <w:highlight w:val="cyan"/>
                <w:lang w:eastAsia="de-DE"/>
              </w:rPr>
            </w:pPr>
            <w:r w:rsidRPr="00464EB2">
              <w:rPr>
                <w:rFonts w:eastAsia="MS Mincho"/>
                <w:sz w:val="18"/>
                <w:lang w:eastAsia="de-DE"/>
              </w:rPr>
              <w:t>Communications and Outreach</w:t>
            </w:r>
          </w:p>
        </w:tc>
        <w:tc>
          <w:tcPr>
            <w:tcW w:w="1632" w:type="dxa"/>
            <w:vAlign w:val="bottom"/>
          </w:tcPr>
          <w:p w14:paraId="4BC86A46"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1 591 177</w:t>
            </w:r>
          </w:p>
        </w:tc>
        <w:tc>
          <w:tcPr>
            <w:tcW w:w="1456" w:type="dxa"/>
            <w:vAlign w:val="bottom"/>
          </w:tcPr>
          <w:p w14:paraId="4BC86A47"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1 478 722</w:t>
            </w:r>
          </w:p>
        </w:tc>
        <w:tc>
          <w:tcPr>
            <w:tcW w:w="1448" w:type="dxa"/>
            <w:vAlign w:val="bottom"/>
          </w:tcPr>
          <w:p w14:paraId="4BC86A48" w14:textId="77777777" w:rsidR="005140C3" w:rsidRPr="00464EB2" w:rsidRDefault="005140C3" w:rsidP="009F3C26">
            <w:pPr>
              <w:suppressAutoHyphens w:val="0"/>
              <w:spacing w:line="240" w:lineRule="auto"/>
              <w:ind w:right="-85"/>
              <w:jc w:val="right"/>
              <w:rPr>
                <w:rFonts w:eastAsia="MS Mincho"/>
                <w:sz w:val="18"/>
                <w:szCs w:val="18"/>
                <w:lang w:eastAsia="de-DE"/>
              </w:rPr>
            </w:pPr>
            <w:r w:rsidRPr="00464EB2">
              <w:rPr>
                <w:rFonts w:eastAsia="MS Mincho"/>
                <w:sz w:val="18"/>
                <w:szCs w:val="18"/>
                <w:lang w:eastAsia="de-DE"/>
              </w:rPr>
              <w:t>3 069 899</w:t>
            </w:r>
          </w:p>
        </w:tc>
      </w:tr>
      <w:tr w:rsidR="005140C3" w:rsidRPr="00464EB2" w14:paraId="4BC86A4E" w14:textId="77777777" w:rsidTr="009F3C26">
        <w:trPr>
          <w:trHeight w:val="240"/>
        </w:trPr>
        <w:tc>
          <w:tcPr>
            <w:tcW w:w="5103" w:type="dxa"/>
            <w:vAlign w:val="bottom"/>
          </w:tcPr>
          <w:p w14:paraId="4BC86A4A" w14:textId="77777777" w:rsidR="005140C3" w:rsidRPr="00464EB2" w:rsidRDefault="005140C3" w:rsidP="009F3C26">
            <w:pPr>
              <w:suppressAutoHyphens w:val="0"/>
              <w:autoSpaceDE w:val="0"/>
              <w:autoSpaceDN w:val="0"/>
              <w:adjustRightInd w:val="0"/>
              <w:spacing w:before="30" w:after="30" w:line="220" w:lineRule="exact"/>
              <w:ind w:right="38" w:firstLine="284"/>
              <w:rPr>
                <w:rFonts w:eastAsia="MS Mincho"/>
                <w:sz w:val="18"/>
                <w:szCs w:val="18"/>
                <w:lang w:eastAsia="de-DE"/>
              </w:rPr>
            </w:pPr>
            <w:r w:rsidRPr="00464EB2">
              <w:rPr>
                <w:rFonts w:eastAsia="MS Mincho"/>
                <w:sz w:val="18"/>
                <w:szCs w:val="18"/>
                <w:lang w:eastAsia="de-DE"/>
              </w:rPr>
              <w:t>Information Technology Services</w:t>
            </w:r>
          </w:p>
        </w:tc>
        <w:tc>
          <w:tcPr>
            <w:tcW w:w="1632" w:type="dxa"/>
            <w:vAlign w:val="bottom"/>
          </w:tcPr>
          <w:p w14:paraId="4BC86A4B"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2 874 780</w:t>
            </w:r>
          </w:p>
        </w:tc>
        <w:tc>
          <w:tcPr>
            <w:tcW w:w="1456" w:type="dxa"/>
            <w:vAlign w:val="bottom"/>
          </w:tcPr>
          <w:p w14:paraId="4BC86A4C"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2 690 771</w:t>
            </w:r>
          </w:p>
        </w:tc>
        <w:tc>
          <w:tcPr>
            <w:tcW w:w="1448" w:type="dxa"/>
            <w:vAlign w:val="bottom"/>
          </w:tcPr>
          <w:p w14:paraId="4BC86A4D" w14:textId="77777777" w:rsidR="005140C3" w:rsidRPr="00464EB2" w:rsidRDefault="005140C3" w:rsidP="009F3C26">
            <w:pPr>
              <w:suppressAutoHyphens w:val="0"/>
              <w:spacing w:line="240" w:lineRule="auto"/>
              <w:ind w:right="-85"/>
              <w:jc w:val="right"/>
              <w:rPr>
                <w:rFonts w:eastAsia="MS Mincho"/>
                <w:sz w:val="18"/>
                <w:szCs w:val="18"/>
                <w:lang w:eastAsia="de-DE"/>
              </w:rPr>
            </w:pPr>
            <w:r w:rsidRPr="00464EB2">
              <w:rPr>
                <w:rFonts w:eastAsia="MS Mincho"/>
                <w:sz w:val="18"/>
                <w:szCs w:val="18"/>
                <w:lang w:eastAsia="de-DE"/>
              </w:rPr>
              <w:t>5 565 551</w:t>
            </w:r>
          </w:p>
        </w:tc>
      </w:tr>
      <w:tr w:rsidR="005140C3" w:rsidRPr="00464EB2" w14:paraId="4BC86A53" w14:textId="77777777" w:rsidTr="009F3C26">
        <w:trPr>
          <w:trHeight w:val="240"/>
        </w:trPr>
        <w:tc>
          <w:tcPr>
            <w:tcW w:w="5103" w:type="dxa"/>
            <w:vAlign w:val="bottom"/>
          </w:tcPr>
          <w:p w14:paraId="4BC86A4F" w14:textId="77777777" w:rsidR="005140C3" w:rsidRPr="00464EB2" w:rsidRDefault="005140C3" w:rsidP="009F3C26">
            <w:pPr>
              <w:suppressAutoHyphens w:val="0"/>
              <w:autoSpaceDE w:val="0"/>
              <w:autoSpaceDN w:val="0"/>
              <w:adjustRightInd w:val="0"/>
              <w:spacing w:before="30" w:after="30" w:line="220" w:lineRule="exact"/>
              <w:ind w:right="38" w:firstLine="284"/>
              <w:rPr>
                <w:rFonts w:eastAsia="MS Mincho"/>
                <w:sz w:val="18"/>
                <w:szCs w:val="18"/>
                <w:lang w:eastAsia="de-DE"/>
              </w:rPr>
            </w:pPr>
            <w:bookmarkStart w:id="9" w:name="OLE_LINK17"/>
            <w:bookmarkStart w:id="10" w:name="OLE_LINK18"/>
            <w:r w:rsidRPr="00464EB2">
              <w:rPr>
                <w:rFonts w:eastAsia="MS Mincho"/>
                <w:sz w:val="18"/>
                <w:szCs w:val="18"/>
                <w:lang w:eastAsia="de-DE"/>
              </w:rPr>
              <w:t xml:space="preserve">Administrative </w:t>
            </w:r>
            <w:bookmarkEnd w:id="9"/>
            <w:bookmarkEnd w:id="10"/>
            <w:r w:rsidRPr="00464EB2">
              <w:rPr>
                <w:rFonts w:eastAsia="MS Mincho"/>
                <w:sz w:val="18"/>
                <w:szCs w:val="18"/>
                <w:lang w:eastAsia="de-DE"/>
              </w:rPr>
              <w:t>Services</w:t>
            </w:r>
            <w:r w:rsidRPr="00464EB2">
              <w:rPr>
                <w:rFonts w:eastAsia="MS Mincho"/>
                <w:i/>
                <w:sz w:val="18"/>
                <w:szCs w:val="18"/>
                <w:vertAlign w:val="superscript"/>
                <w:lang w:eastAsia="de-DE"/>
              </w:rPr>
              <w:t>a</w:t>
            </w:r>
          </w:p>
        </w:tc>
        <w:tc>
          <w:tcPr>
            <w:tcW w:w="1632" w:type="dxa"/>
            <w:vAlign w:val="bottom"/>
          </w:tcPr>
          <w:p w14:paraId="4BC86A50" w14:textId="77777777" w:rsidR="005140C3" w:rsidRPr="00464EB2" w:rsidRDefault="005140C3" w:rsidP="009F3C26">
            <w:pPr>
              <w:suppressAutoHyphens w:val="0"/>
              <w:spacing w:before="40" w:after="40" w:line="220" w:lineRule="exact"/>
              <w:jc w:val="right"/>
              <w:rPr>
                <w:rFonts w:eastAsia="MS Mincho"/>
                <w:sz w:val="18"/>
                <w:szCs w:val="18"/>
                <w:lang w:eastAsia="de-DE"/>
              </w:rPr>
            </w:pPr>
          </w:p>
        </w:tc>
        <w:tc>
          <w:tcPr>
            <w:tcW w:w="1456" w:type="dxa"/>
            <w:vAlign w:val="bottom"/>
          </w:tcPr>
          <w:p w14:paraId="4BC86A51" w14:textId="77777777" w:rsidR="005140C3" w:rsidRPr="00464EB2" w:rsidRDefault="005140C3" w:rsidP="009F3C26">
            <w:pPr>
              <w:suppressAutoHyphens w:val="0"/>
              <w:spacing w:before="40" w:after="40" w:line="220" w:lineRule="exact"/>
              <w:ind w:right="38"/>
              <w:jc w:val="right"/>
              <w:rPr>
                <w:rFonts w:eastAsia="MS Mincho"/>
                <w:sz w:val="18"/>
                <w:szCs w:val="18"/>
                <w:lang w:eastAsia="de-DE"/>
              </w:rPr>
            </w:pPr>
          </w:p>
        </w:tc>
        <w:tc>
          <w:tcPr>
            <w:tcW w:w="1448" w:type="dxa"/>
            <w:vAlign w:val="bottom"/>
          </w:tcPr>
          <w:p w14:paraId="4BC86A52" w14:textId="77777777" w:rsidR="005140C3" w:rsidRPr="00464EB2" w:rsidRDefault="005140C3" w:rsidP="009F3C26">
            <w:pPr>
              <w:suppressAutoHyphens w:val="0"/>
              <w:spacing w:line="240" w:lineRule="auto"/>
              <w:ind w:right="-85"/>
              <w:jc w:val="right"/>
              <w:rPr>
                <w:rFonts w:eastAsia="MS Mincho"/>
                <w:sz w:val="18"/>
                <w:szCs w:val="18"/>
                <w:lang w:eastAsia="de-DE"/>
              </w:rPr>
            </w:pPr>
          </w:p>
        </w:tc>
      </w:tr>
      <w:tr w:rsidR="005140C3" w:rsidRPr="00464EB2" w14:paraId="4BC86A58" w14:textId="77777777" w:rsidTr="009F3C26">
        <w:trPr>
          <w:trHeight w:val="240"/>
        </w:trPr>
        <w:tc>
          <w:tcPr>
            <w:tcW w:w="5103" w:type="dxa"/>
            <w:tcBorders>
              <w:bottom w:val="single" w:sz="4" w:space="0" w:color="auto"/>
            </w:tcBorders>
            <w:vAlign w:val="bottom"/>
          </w:tcPr>
          <w:p w14:paraId="4BC86A54" w14:textId="5269D5E6" w:rsidR="005140C3" w:rsidRPr="00464EB2" w:rsidRDefault="00C421F9" w:rsidP="00C421F9">
            <w:pPr>
              <w:tabs>
                <w:tab w:val="left" w:pos="284"/>
              </w:tabs>
              <w:suppressAutoHyphens w:val="0"/>
              <w:spacing w:before="30" w:after="30" w:line="220" w:lineRule="exact"/>
              <w:ind w:left="284" w:right="38" w:hanging="284"/>
              <w:rPr>
                <w:rFonts w:eastAsia="MS Mincho"/>
                <w:bCs/>
                <w:sz w:val="18"/>
                <w:szCs w:val="18"/>
                <w:lang w:eastAsia="de-DE"/>
              </w:rPr>
            </w:pPr>
            <w:r w:rsidRPr="00464EB2">
              <w:rPr>
                <w:bCs/>
                <w:sz w:val="18"/>
                <w:szCs w:val="18"/>
                <w:lang w:eastAsia="de-DE"/>
              </w:rPr>
              <w:t>B.</w:t>
            </w:r>
            <w:r w:rsidRPr="00464EB2">
              <w:rPr>
                <w:bCs/>
                <w:sz w:val="18"/>
                <w:szCs w:val="18"/>
                <w:lang w:eastAsia="de-DE"/>
              </w:rPr>
              <w:tab/>
            </w:r>
            <w:r w:rsidR="005140C3" w:rsidRPr="00464EB2">
              <w:rPr>
                <w:rFonts w:eastAsia="MS Mincho"/>
                <w:bCs/>
                <w:sz w:val="18"/>
                <w:szCs w:val="18"/>
                <w:lang w:eastAsia="de-DE"/>
              </w:rPr>
              <w:t>Secretariat-wide operating costs</w:t>
            </w:r>
            <w:r w:rsidR="005140C3" w:rsidRPr="00464EB2">
              <w:rPr>
                <w:rFonts w:eastAsia="MS Mincho"/>
                <w:i/>
                <w:sz w:val="18"/>
                <w:szCs w:val="18"/>
                <w:vertAlign w:val="superscript"/>
                <w:lang w:eastAsia="de-DE"/>
              </w:rPr>
              <w:t>b</w:t>
            </w:r>
            <w:r w:rsidR="005140C3" w:rsidRPr="00464EB2">
              <w:rPr>
                <w:rFonts w:eastAsia="MS Mincho"/>
                <w:sz w:val="18"/>
                <w:szCs w:val="18"/>
                <w:lang w:eastAsia="de-DE"/>
              </w:rPr>
              <w:t xml:space="preserve"> </w:t>
            </w:r>
          </w:p>
        </w:tc>
        <w:tc>
          <w:tcPr>
            <w:tcW w:w="1632" w:type="dxa"/>
            <w:tcBorders>
              <w:bottom w:val="single" w:sz="4" w:space="0" w:color="auto"/>
            </w:tcBorders>
            <w:vAlign w:val="bottom"/>
          </w:tcPr>
          <w:p w14:paraId="4BC86A55"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1 402 358</w:t>
            </w:r>
          </w:p>
        </w:tc>
        <w:tc>
          <w:tcPr>
            <w:tcW w:w="1456" w:type="dxa"/>
            <w:tcBorders>
              <w:bottom w:val="single" w:sz="4" w:space="0" w:color="auto"/>
            </w:tcBorders>
            <w:vAlign w:val="bottom"/>
          </w:tcPr>
          <w:p w14:paraId="4BC86A56"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1 829 358</w:t>
            </w:r>
          </w:p>
        </w:tc>
        <w:tc>
          <w:tcPr>
            <w:tcW w:w="1448" w:type="dxa"/>
            <w:tcBorders>
              <w:bottom w:val="single" w:sz="4" w:space="0" w:color="auto"/>
            </w:tcBorders>
            <w:vAlign w:val="bottom"/>
          </w:tcPr>
          <w:p w14:paraId="4BC86A57" w14:textId="77777777" w:rsidR="005140C3" w:rsidRPr="00464EB2" w:rsidRDefault="005140C3" w:rsidP="009F3C26">
            <w:pPr>
              <w:suppressAutoHyphens w:val="0"/>
              <w:spacing w:line="240" w:lineRule="auto"/>
              <w:ind w:right="-85"/>
              <w:jc w:val="right"/>
              <w:rPr>
                <w:rFonts w:eastAsia="MS Mincho"/>
                <w:sz w:val="18"/>
                <w:szCs w:val="18"/>
                <w:lang w:eastAsia="de-DE"/>
              </w:rPr>
            </w:pPr>
            <w:r w:rsidRPr="00464EB2">
              <w:rPr>
                <w:rFonts w:eastAsia="MS Mincho"/>
                <w:sz w:val="18"/>
                <w:szCs w:val="18"/>
                <w:lang w:eastAsia="de-DE"/>
              </w:rPr>
              <w:t>3 231 716</w:t>
            </w:r>
          </w:p>
        </w:tc>
      </w:tr>
      <w:tr w:rsidR="005140C3" w:rsidRPr="00464EB2" w14:paraId="4BC86A5D" w14:textId="77777777" w:rsidTr="009F3C26">
        <w:trPr>
          <w:trHeight w:val="240"/>
        </w:trPr>
        <w:tc>
          <w:tcPr>
            <w:tcW w:w="5103" w:type="dxa"/>
            <w:tcBorders>
              <w:top w:val="single" w:sz="4" w:space="0" w:color="auto"/>
              <w:bottom w:val="single" w:sz="4" w:space="0" w:color="auto"/>
            </w:tcBorders>
            <w:vAlign w:val="bottom"/>
          </w:tcPr>
          <w:p w14:paraId="4BC86A59" w14:textId="6F44DEAD" w:rsidR="005140C3" w:rsidRPr="00464EB2" w:rsidRDefault="005140C3" w:rsidP="009F3C26">
            <w:pPr>
              <w:suppressAutoHyphens w:val="0"/>
              <w:spacing w:before="30" w:after="30" w:line="220" w:lineRule="exact"/>
              <w:ind w:right="38" w:firstLine="284"/>
              <w:rPr>
                <w:rFonts w:eastAsia="Arial Unicode MS"/>
                <w:b/>
                <w:bCs/>
                <w:sz w:val="18"/>
                <w:szCs w:val="18"/>
                <w:lang w:eastAsia="de-DE"/>
              </w:rPr>
            </w:pPr>
            <w:r w:rsidRPr="00464EB2">
              <w:rPr>
                <w:rFonts w:eastAsia="MS Mincho"/>
                <w:b/>
                <w:bCs/>
                <w:sz w:val="18"/>
                <w:szCs w:val="18"/>
                <w:lang w:eastAsia="de-DE"/>
              </w:rPr>
              <w:t>Programme expenditures (A + B)</w:t>
            </w:r>
          </w:p>
        </w:tc>
        <w:tc>
          <w:tcPr>
            <w:tcW w:w="1632" w:type="dxa"/>
            <w:tcBorders>
              <w:top w:val="single" w:sz="4" w:space="0" w:color="auto"/>
              <w:bottom w:val="single" w:sz="4" w:space="0" w:color="auto"/>
            </w:tcBorders>
            <w:vAlign w:val="bottom"/>
          </w:tcPr>
          <w:p w14:paraId="4BC86A5A" w14:textId="77777777" w:rsidR="005140C3" w:rsidRPr="00464EB2" w:rsidRDefault="005140C3" w:rsidP="009F3C26">
            <w:pPr>
              <w:suppressAutoHyphens w:val="0"/>
              <w:spacing w:line="240" w:lineRule="auto"/>
              <w:jc w:val="right"/>
              <w:rPr>
                <w:rFonts w:eastAsia="MS Mincho"/>
                <w:b/>
                <w:bCs/>
                <w:sz w:val="18"/>
                <w:szCs w:val="18"/>
                <w:lang w:eastAsia="de-DE"/>
              </w:rPr>
            </w:pPr>
            <w:r w:rsidRPr="00464EB2">
              <w:rPr>
                <w:rFonts w:eastAsia="MS Mincho"/>
                <w:b/>
                <w:bCs/>
                <w:color w:val="000000"/>
                <w:sz w:val="18"/>
                <w:szCs w:val="18"/>
                <w:lang w:eastAsia="de-DE"/>
              </w:rPr>
              <w:t>24 200 679</w:t>
            </w:r>
          </w:p>
        </w:tc>
        <w:tc>
          <w:tcPr>
            <w:tcW w:w="1456" w:type="dxa"/>
            <w:tcBorders>
              <w:top w:val="single" w:sz="4" w:space="0" w:color="auto"/>
              <w:bottom w:val="single" w:sz="4" w:space="0" w:color="auto"/>
            </w:tcBorders>
            <w:vAlign w:val="bottom"/>
          </w:tcPr>
          <w:p w14:paraId="4BC86A5B" w14:textId="77777777" w:rsidR="005140C3" w:rsidRPr="00464EB2" w:rsidRDefault="005140C3" w:rsidP="009F3C26">
            <w:pPr>
              <w:suppressAutoHyphens w:val="0"/>
              <w:spacing w:line="240" w:lineRule="auto"/>
              <w:jc w:val="right"/>
              <w:rPr>
                <w:rFonts w:eastAsia="MS Mincho"/>
                <w:b/>
                <w:bCs/>
                <w:sz w:val="18"/>
                <w:szCs w:val="18"/>
                <w:lang w:eastAsia="de-DE"/>
              </w:rPr>
            </w:pPr>
            <w:r w:rsidRPr="00464EB2">
              <w:rPr>
                <w:rFonts w:eastAsia="MS Mincho"/>
                <w:b/>
                <w:bCs/>
                <w:color w:val="000000"/>
                <w:sz w:val="18"/>
                <w:szCs w:val="18"/>
                <w:lang w:eastAsia="de-DE"/>
              </w:rPr>
              <w:t>24 197 867</w:t>
            </w:r>
          </w:p>
        </w:tc>
        <w:tc>
          <w:tcPr>
            <w:tcW w:w="1448" w:type="dxa"/>
            <w:tcBorders>
              <w:top w:val="single" w:sz="4" w:space="0" w:color="auto"/>
              <w:bottom w:val="single" w:sz="4" w:space="0" w:color="auto"/>
            </w:tcBorders>
            <w:vAlign w:val="bottom"/>
          </w:tcPr>
          <w:p w14:paraId="4BC86A5C" w14:textId="77777777" w:rsidR="005140C3" w:rsidRPr="00464EB2" w:rsidRDefault="005140C3" w:rsidP="009F3C26">
            <w:pPr>
              <w:suppressAutoHyphens w:val="0"/>
              <w:spacing w:line="240" w:lineRule="auto"/>
              <w:ind w:right="-85"/>
              <w:jc w:val="right"/>
              <w:rPr>
                <w:rFonts w:eastAsia="MS Mincho"/>
                <w:b/>
                <w:bCs/>
                <w:sz w:val="18"/>
                <w:szCs w:val="18"/>
                <w:lang w:eastAsia="de-DE"/>
              </w:rPr>
            </w:pPr>
            <w:r w:rsidRPr="00464EB2">
              <w:rPr>
                <w:rFonts w:eastAsia="MS Mincho"/>
                <w:b/>
                <w:bCs/>
                <w:color w:val="000000"/>
                <w:sz w:val="18"/>
                <w:szCs w:val="18"/>
                <w:lang w:eastAsia="de-DE"/>
              </w:rPr>
              <w:t>48 398 546</w:t>
            </w:r>
          </w:p>
        </w:tc>
      </w:tr>
      <w:tr w:rsidR="005140C3" w:rsidRPr="00464EB2" w14:paraId="4BC86A62" w14:textId="77777777" w:rsidTr="009F3C26">
        <w:trPr>
          <w:trHeight w:val="240"/>
        </w:trPr>
        <w:tc>
          <w:tcPr>
            <w:tcW w:w="5103" w:type="dxa"/>
            <w:tcBorders>
              <w:top w:val="single" w:sz="4" w:space="0" w:color="auto"/>
            </w:tcBorders>
            <w:vAlign w:val="bottom"/>
          </w:tcPr>
          <w:p w14:paraId="4BC86A5E" w14:textId="79086724" w:rsidR="005140C3" w:rsidRPr="00464EB2" w:rsidRDefault="00C421F9" w:rsidP="00C421F9">
            <w:pPr>
              <w:tabs>
                <w:tab w:val="left" w:pos="284"/>
              </w:tabs>
              <w:suppressAutoHyphens w:val="0"/>
              <w:spacing w:before="30" w:after="30" w:line="220" w:lineRule="exact"/>
              <w:ind w:left="284" w:right="38" w:hanging="284"/>
              <w:rPr>
                <w:rFonts w:eastAsia="Arial Unicode MS"/>
                <w:sz w:val="18"/>
                <w:szCs w:val="18"/>
                <w:lang w:eastAsia="de-DE"/>
              </w:rPr>
            </w:pPr>
            <w:r w:rsidRPr="00464EB2">
              <w:rPr>
                <w:sz w:val="18"/>
                <w:szCs w:val="18"/>
                <w:lang w:eastAsia="de-DE"/>
              </w:rPr>
              <w:t>C.</w:t>
            </w:r>
            <w:r w:rsidRPr="00464EB2">
              <w:rPr>
                <w:sz w:val="18"/>
                <w:szCs w:val="18"/>
                <w:lang w:eastAsia="de-DE"/>
              </w:rPr>
              <w:tab/>
            </w:r>
            <w:r w:rsidR="005140C3" w:rsidRPr="00464EB2">
              <w:rPr>
                <w:rFonts w:eastAsia="MS Mincho"/>
                <w:sz w:val="18"/>
                <w:szCs w:val="18"/>
                <w:lang w:eastAsia="de-DE"/>
              </w:rPr>
              <w:t>Programme support costs (overheads)</w:t>
            </w:r>
            <w:r w:rsidR="005140C3" w:rsidRPr="00464EB2">
              <w:rPr>
                <w:rFonts w:eastAsia="MS Mincho"/>
                <w:i/>
                <w:sz w:val="18"/>
                <w:szCs w:val="18"/>
                <w:vertAlign w:val="superscript"/>
                <w:lang w:eastAsia="de-DE"/>
              </w:rPr>
              <w:t>c</w:t>
            </w:r>
          </w:p>
        </w:tc>
        <w:tc>
          <w:tcPr>
            <w:tcW w:w="1632" w:type="dxa"/>
            <w:tcBorders>
              <w:top w:val="single" w:sz="4" w:space="0" w:color="auto"/>
            </w:tcBorders>
            <w:vAlign w:val="bottom"/>
          </w:tcPr>
          <w:p w14:paraId="4BC86A5F"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3 146 088</w:t>
            </w:r>
          </w:p>
        </w:tc>
        <w:tc>
          <w:tcPr>
            <w:tcW w:w="1456" w:type="dxa"/>
            <w:tcBorders>
              <w:top w:val="single" w:sz="4" w:space="0" w:color="auto"/>
            </w:tcBorders>
            <w:vAlign w:val="bottom"/>
          </w:tcPr>
          <w:p w14:paraId="4BC86A60"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3 145 723</w:t>
            </w:r>
          </w:p>
        </w:tc>
        <w:tc>
          <w:tcPr>
            <w:tcW w:w="1448" w:type="dxa"/>
            <w:tcBorders>
              <w:top w:val="single" w:sz="4" w:space="0" w:color="auto"/>
            </w:tcBorders>
            <w:vAlign w:val="bottom"/>
          </w:tcPr>
          <w:p w14:paraId="4BC86A61" w14:textId="77777777" w:rsidR="005140C3" w:rsidRPr="00464EB2" w:rsidRDefault="005140C3" w:rsidP="009F3C26">
            <w:pPr>
              <w:suppressAutoHyphens w:val="0"/>
              <w:spacing w:line="240" w:lineRule="auto"/>
              <w:ind w:right="-85"/>
              <w:jc w:val="right"/>
              <w:rPr>
                <w:rFonts w:eastAsia="MS Mincho"/>
                <w:sz w:val="18"/>
                <w:szCs w:val="18"/>
                <w:lang w:eastAsia="de-DE"/>
              </w:rPr>
            </w:pPr>
            <w:r w:rsidRPr="00464EB2">
              <w:rPr>
                <w:rFonts w:eastAsia="MS Mincho"/>
                <w:sz w:val="18"/>
                <w:szCs w:val="18"/>
                <w:lang w:eastAsia="de-DE"/>
              </w:rPr>
              <w:t>6 291 811</w:t>
            </w:r>
          </w:p>
        </w:tc>
      </w:tr>
      <w:tr w:rsidR="005140C3" w:rsidRPr="00464EB2" w14:paraId="4BC86A67" w14:textId="77777777" w:rsidTr="009F3C26">
        <w:trPr>
          <w:trHeight w:val="240"/>
        </w:trPr>
        <w:tc>
          <w:tcPr>
            <w:tcW w:w="5103" w:type="dxa"/>
            <w:tcBorders>
              <w:bottom w:val="single" w:sz="4" w:space="0" w:color="auto"/>
            </w:tcBorders>
            <w:vAlign w:val="bottom"/>
          </w:tcPr>
          <w:p w14:paraId="4BC86A63" w14:textId="5C6DBD6A" w:rsidR="005140C3" w:rsidRPr="00464EB2" w:rsidRDefault="00C421F9" w:rsidP="00C421F9">
            <w:pPr>
              <w:tabs>
                <w:tab w:val="left" w:pos="284"/>
              </w:tabs>
              <w:suppressAutoHyphens w:val="0"/>
              <w:spacing w:before="30" w:after="30" w:line="220" w:lineRule="exact"/>
              <w:ind w:left="284" w:right="38" w:hanging="284"/>
              <w:rPr>
                <w:rFonts w:eastAsia="Arial Unicode MS"/>
                <w:sz w:val="18"/>
                <w:szCs w:val="18"/>
                <w:lang w:eastAsia="de-DE"/>
              </w:rPr>
            </w:pPr>
            <w:r w:rsidRPr="00464EB2">
              <w:rPr>
                <w:sz w:val="18"/>
                <w:szCs w:val="18"/>
                <w:lang w:eastAsia="de-DE"/>
              </w:rPr>
              <w:t>D.</w:t>
            </w:r>
            <w:r w:rsidRPr="00464EB2">
              <w:rPr>
                <w:sz w:val="18"/>
                <w:szCs w:val="18"/>
                <w:lang w:eastAsia="de-DE"/>
              </w:rPr>
              <w:tab/>
            </w:r>
            <w:r w:rsidR="005140C3" w:rsidRPr="00464EB2">
              <w:rPr>
                <w:rFonts w:eastAsia="MS Mincho"/>
                <w:sz w:val="18"/>
                <w:lang w:eastAsia="de-DE"/>
              </w:rPr>
              <w:t xml:space="preserve">Adjustment to working </w:t>
            </w:r>
            <w:r w:rsidR="005140C3" w:rsidRPr="00464EB2">
              <w:rPr>
                <w:rFonts w:eastAsia="MS Mincho"/>
                <w:sz w:val="18"/>
                <w:szCs w:val="18"/>
                <w:lang w:eastAsia="de-DE"/>
              </w:rPr>
              <w:t>capital reserve</w:t>
            </w:r>
            <w:r w:rsidR="005140C3" w:rsidRPr="00464EB2">
              <w:rPr>
                <w:rFonts w:eastAsia="MS Mincho"/>
                <w:i/>
                <w:sz w:val="18"/>
                <w:szCs w:val="18"/>
                <w:vertAlign w:val="superscript"/>
                <w:lang w:eastAsia="de-DE"/>
              </w:rPr>
              <w:t>d</w:t>
            </w:r>
          </w:p>
        </w:tc>
        <w:tc>
          <w:tcPr>
            <w:tcW w:w="1632" w:type="dxa"/>
            <w:tcBorders>
              <w:bottom w:val="single" w:sz="4" w:space="0" w:color="auto"/>
            </w:tcBorders>
            <w:vAlign w:val="bottom"/>
          </w:tcPr>
          <w:p w14:paraId="4BC86A64"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(41 609)</w:t>
            </w:r>
          </w:p>
        </w:tc>
        <w:tc>
          <w:tcPr>
            <w:tcW w:w="1456" w:type="dxa"/>
            <w:tcBorders>
              <w:bottom w:val="single" w:sz="4" w:space="0" w:color="auto"/>
            </w:tcBorders>
            <w:vAlign w:val="bottom"/>
          </w:tcPr>
          <w:p w14:paraId="4BC86A65" w14:textId="77777777" w:rsidR="005140C3" w:rsidRPr="00464EB2" w:rsidRDefault="005140C3" w:rsidP="009F3C26">
            <w:pPr>
              <w:suppressAutoHyphens w:val="0"/>
              <w:spacing w:line="240" w:lineRule="auto"/>
              <w:jc w:val="right"/>
              <w:rPr>
                <w:rFonts w:eastAsia="MS Mincho"/>
                <w:sz w:val="18"/>
                <w:szCs w:val="18"/>
                <w:lang w:eastAsia="de-DE"/>
              </w:rPr>
            </w:pPr>
            <w:r w:rsidRPr="00464EB2">
              <w:rPr>
                <w:rFonts w:eastAsia="MS Mincho"/>
                <w:sz w:val="18"/>
                <w:szCs w:val="18"/>
                <w:lang w:eastAsia="de-DE"/>
              </w:rPr>
              <w:t>(264)</w:t>
            </w:r>
          </w:p>
        </w:tc>
        <w:tc>
          <w:tcPr>
            <w:tcW w:w="1448" w:type="dxa"/>
            <w:tcBorders>
              <w:bottom w:val="single" w:sz="4" w:space="0" w:color="auto"/>
            </w:tcBorders>
            <w:vAlign w:val="bottom"/>
          </w:tcPr>
          <w:p w14:paraId="4BC86A66" w14:textId="77777777" w:rsidR="005140C3" w:rsidRPr="00464EB2" w:rsidRDefault="005140C3" w:rsidP="009F3C26">
            <w:pPr>
              <w:suppressAutoHyphens w:val="0"/>
              <w:spacing w:line="240" w:lineRule="auto"/>
              <w:ind w:right="-85"/>
              <w:jc w:val="right"/>
              <w:rPr>
                <w:rFonts w:eastAsia="MS Mincho"/>
                <w:sz w:val="18"/>
                <w:szCs w:val="18"/>
                <w:lang w:eastAsia="de-DE"/>
              </w:rPr>
            </w:pPr>
            <w:r w:rsidRPr="00464EB2">
              <w:rPr>
                <w:rFonts w:eastAsia="MS Mincho"/>
                <w:sz w:val="18"/>
                <w:szCs w:val="18"/>
                <w:lang w:eastAsia="de-DE"/>
              </w:rPr>
              <w:t>(41 873)</w:t>
            </w:r>
          </w:p>
        </w:tc>
      </w:tr>
      <w:tr w:rsidR="005140C3" w:rsidRPr="00464EB2" w14:paraId="4BC86A6C" w14:textId="77777777" w:rsidTr="009F3C26">
        <w:trPr>
          <w:trHeight w:val="240"/>
        </w:trPr>
        <w:tc>
          <w:tcPr>
            <w:tcW w:w="5103" w:type="dxa"/>
            <w:tcBorders>
              <w:top w:val="single" w:sz="4" w:space="0" w:color="auto"/>
              <w:bottom w:val="single" w:sz="4" w:space="0" w:color="auto"/>
            </w:tcBorders>
            <w:vAlign w:val="bottom"/>
          </w:tcPr>
          <w:p w14:paraId="4BC86A68" w14:textId="77777777" w:rsidR="005140C3" w:rsidRPr="00464EB2" w:rsidRDefault="005140C3" w:rsidP="009F3C26">
            <w:pPr>
              <w:suppressAutoHyphens w:val="0"/>
              <w:autoSpaceDE w:val="0"/>
              <w:autoSpaceDN w:val="0"/>
              <w:adjustRightInd w:val="0"/>
              <w:spacing w:before="30" w:after="30" w:line="220" w:lineRule="exact"/>
              <w:ind w:left="100" w:right="38" w:firstLine="184"/>
              <w:rPr>
                <w:rFonts w:eastAsia="MS Mincho"/>
                <w:b/>
                <w:bCs/>
                <w:sz w:val="18"/>
                <w:szCs w:val="18"/>
                <w:lang w:eastAsia="de-DE"/>
              </w:rPr>
            </w:pPr>
            <w:r w:rsidRPr="00464EB2">
              <w:rPr>
                <w:rFonts w:eastAsia="MS Mincho"/>
                <w:b/>
                <w:bCs/>
                <w:sz w:val="18"/>
                <w:szCs w:val="18"/>
                <w:lang w:eastAsia="de-DE"/>
              </w:rPr>
              <w:t>Total (A + B + C + D)</w:t>
            </w:r>
          </w:p>
        </w:tc>
        <w:tc>
          <w:tcPr>
            <w:tcW w:w="1632" w:type="dxa"/>
            <w:tcBorders>
              <w:top w:val="single" w:sz="4" w:space="0" w:color="auto"/>
              <w:bottom w:val="single" w:sz="4" w:space="0" w:color="auto"/>
            </w:tcBorders>
            <w:vAlign w:val="bottom"/>
          </w:tcPr>
          <w:p w14:paraId="4BC86A69" w14:textId="77777777" w:rsidR="005140C3" w:rsidRPr="00464EB2" w:rsidRDefault="005140C3" w:rsidP="009F3C26">
            <w:pPr>
              <w:suppressAutoHyphens w:val="0"/>
              <w:spacing w:line="240" w:lineRule="auto"/>
              <w:jc w:val="right"/>
              <w:rPr>
                <w:rFonts w:eastAsia="MS Mincho"/>
                <w:b/>
                <w:bCs/>
                <w:sz w:val="18"/>
                <w:szCs w:val="18"/>
                <w:lang w:eastAsia="de-DE"/>
              </w:rPr>
            </w:pPr>
            <w:r w:rsidRPr="00464EB2">
              <w:rPr>
                <w:rFonts w:eastAsia="MS Mincho"/>
                <w:b/>
                <w:sz w:val="18"/>
                <w:szCs w:val="18"/>
                <w:lang w:eastAsia="de-DE"/>
              </w:rPr>
              <w:t>27 305 158</w:t>
            </w:r>
          </w:p>
        </w:tc>
        <w:tc>
          <w:tcPr>
            <w:tcW w:w="1456" w:type="dxa"/>
            <w:tcBorders>
              <w:top w:val="single" w:sz="4" w:space="0" w:color="auto"/>
              <w:bottom w:val="single" w:sz="4" w:space="0" w:color="auto"/>
            </w:tcBorders>
            <w:vAlign w:val="bottom"/>
          </w:tcPr>
          <w:p w14:paraId="4BC86A6A" w14:textId="77777777" w:rsidR="005140C3" w:rsidRPr="00464EB2" w:rsidRDefault="005140C3" w:rsidP="009F3C26">
            <w:pPr>
              <w:suppressAutoHyphens w:val="0"/>
              <w:spacing w:line="240" w:lineRule="auto"/>
              <w:jc w:val="right"/>
              <w:rPr>
                <w:rFonts w:eastAsia="MS Mincho"/>
                <w:b/>
                <w:bCs/>
                <w:sz w:val="18"/>
                <w:szCs w:val="18"/>
                <w:lang w:eastAsia="de-DE"/>
              </w:rPr>
            </w:pPr>
            <w:r w:rsidRPr="00464EB2">
              <w:rPr>
                <w:rFonts w:eastAsia="MS Mincho"/>
                <w:b/>
                <w:sz w:val="18"/>
                <w:szCs w:val="18"/>
                <w:lang w:eastAsia="de-DE"/>
              </w:rPr>
              <w:t>27 343 326</w:t>
            </w:r>
          </w:p>
        </w:tc>
        <w:tc>
          <w:tcPr>
            <w:tcW w:w="1448" w:type="dxa"/>
            <w:tcBorders>
              <w:top w:val="single" w:sz="4" w:space="0" w:color="auto"/>
              <w:bottom w:val="single" w:sz="4" w:space="0" w:color="auto"/>
            </w:tcBorders>
            <w:vAlign w:val="bottom"/>
          </w:tcPr>
          <w:p w14:paraId="4BC86A6B" w14:textId="77777777" w:rsidR="005140C3" w:rsidRPr="00464EB2" w:rsidRDefault="005140C3" w:rsidP="009F3C26">
            <w:pPr>
              <w:suppressAutoHyphens w:val="0"/>
              <w:spacing w:line="240" w:lineRule="auto"/>
              <w:ind w:right="-85"/>
              <w:jc w:val="right"/>
              <w:rPr>
                <w:rFonts w:eastAsia="MS Mincho"/>
                <w:b/>
                <w:bCs/>
                <w:sz w:val="18"/>
                <w:szCs w:val="18"/>
                <w:lang w:eastAsia="de-DE"/>
              </w:rPr>
            </w:pPr>
            <w:r w:rsidRPr="00464EB2">
              <w:rPr>
                <w:rFonts w:eastAsia="MS Mincho"/>
                <w:b/>
                <w:sz w:val="18"/>
                <w:szCs w:val="18"/>
                <w:lang w:eastAsia="de-DE"/>
              </w:rPr>
              <w:t>54 648 484</w:t>
            </w:r>
          </w:p>
        </w:tc>
      </w:tr>
      <w:tr w:rsidR="005140C3" w:rsidRPr="00464EB2" w14:paraId="4BC86A71" w14:textId="77777777" w:rsidTr="009F3C26">
        <w:trPr>
          <w:trHeight w:val="240"/>
        </w:trPr>
        <w:tc>
          <w:tcPr>
            <w:tcW w:w="5103" w:type="dxa"/>
            <w:tcBorders>
              <w:top w:val="single" w:sz="4" w:space="0" w:color="auto"/>
            </w:tcBorders>
            <w:vAlign w:val="bottom"/>
          </w:tcPr>
          <w:p w14:paraId="4BC86A6D" w14:textId="77777777" w:rsidR="005140C3" w:rsidRPr="00464EB2" w:rsidRDefault="005140C3" w:rsidP="009F3C26">
            <w:pPr>
              <w:suppressAutoHyphens w:val="0"/>
              <w:autoSpaceDE w:val="0"/>
              <w:autoSpaceDN w:val="0"/>
              <w:adjustRightInd w:val="0"/>
              <w:spacing w:before="30" w:after="30" w:line="220" w:lineRule="exact"/>
              <w:ind w:right="38"/>
              <w:rPr>
                <w:rFonts w:eastAsia="MS Mincho"/>
                <w:bCs/>
                <w:sz w:val="18"/>
                <w:szCs w:val="18"/>
                <w:lang w:eastAsia="de-DE"/>
              </w:rPr>
            </w:pPr>
            <w:r w:rsidRPr="00464EB2">
              <w:rPr>
                <w:rFonts w:eastAsia="MS Mincho"/>
                <w:bCs/>
                <w:sz w:val="18"/>
                <w:szCs w:val="18"/>
                <w:lang w:eastAsia="de-DE"/>
              </w:rPr>
              <w:t>Income</w:t>
            </w:r>
          </w:p>
        </w:tc>
        <w:tc>
          <w:tcPr>
            <w:tcW w:w="1632" w:type="dxa"/>
            <w:tcBorders>
              <w:top w:val="single" w:sz="4" w:space="0" w:color="auto"/>
            </w:tcBorders>
            <w:vAlign w:val="bottom"/>
          </w:tcPr>
          <w:p w14:paraId="4BC86A6E" w14:textId="77777777" w:rsidR="005140C3" w:rsidRPr="00464EB2" w:rsidRDefault="005140C3" w:rsidP="009F3C26">
            <w:pPr>
              <w:suppressAutoHyphens w:val="0"/>
              <w:spacing w:before="40" w:after="40" w:line="220" w:lineRule="exact"/>
              <w:jc w:val="right"/>
              <w:rPr>
                <w:rFonts w:eastAsia="Arial Unicode MS"/>
                <w:bCs/>
                <w:sz w:val="18"/>
                <w:szCs w:val="18"/>
                <w:lang w:eastAsia="de-DE"/>
              </w:rPr>
            </w:pPr>
          </w:p>
        </w:tc>
        <w:tc>
          <w:tcPr>
            <w:tcW w:w="1456" w:type="dxa"/>
            <w:tcBorders>
              <w:top w:val="single" w:sz="4" w:space="0" w:color="auto"/>
            </w:tcBorders>
            <w:vAlign w:val="bottom"/>
          </w:tcPr>
          <w:p w14:paraId="4BC86A6F" w14:textId="77777777" w:rsidR="005140C3" w:rsidRPr="00464EB2" w:rsidRDefault="005140C3" w:rsidP="009F3C26">
            <w:pPr>
              <w:suppressAutoHyphens w:val="0"/>
              <w:spacing w:before="40" w:after="40" w:line="220" w:lineRule="exact"/>
              <w:ind w:right="38"/>
              <w:jc w:val="right"/>
              <w:rPr>
                <w:rFonts w:eastAsia="MS Mincho"/>
                <w:bCs/>
                <w:sz w:val="18"/>
                <w:szCs w:val="18"/>
                <w:lang w:eastAsia="de-DE"/>
              </w:rPr>
            </w:pPr>
          </w:p>
        </w:tc>
        <w:tc>
          <w:tcPr>
            <w:tcW w:w="1448" w:type="dxa"/>
            <w:tcBorders>
              <w:top w:val="single" w:sz="4" w:space="0" w:color="auto"/>
            </w:tcBorders>
            <w:vAlign w:val="bottom"/>
          </w:tcPr>
          <w:p w14:paraId="4BC86A70" w14:textId="77777777" w:rsidR="005140C3" w:rsidRPr="00464EB2" w:rsidRDefault="005140C3" w:rsidP="009F3C26">
            <w:pPr>
              <w:suppressAutoHyphens w:val="0"/>
              <w:spacing w:before="40" w:after="40" w:line="220" w:lineRule="exact"/>
              <w:ind w:right="-85"/>
              <w:jc w:val="right"/>
              <w:rPr>
                <w:rFonts w:eastAsia="MS Mincho"/>
                <w:bCs/>
                <w:sz w:val="18"/>
                <w:szCs w:val="18"/>
                <w:lang w:eastAsia="de-DE"/>
              </w:rPr>
            </w:pPr>
          </w:p>
        </w:tc>
      </w:tr>
      <w:tr w:rsidR="005140C3" w:rsidRPr="00464EB2" w14:paraId="4BC86A76" w14:textId="77777777" w:rsidTr="009F3C26">
        <w:trPr>
          <w:trHeight w:val="240"/>
        </w:trPr>
        <w:tc>
          <w:tcPr>
            <w:tcW w:w="5103" w:type="dxa"/>
            <w:vAlign w:val="bottom"/>
          </w:tcPr>
          <w:p w14:paraId="4BC86A72" w14:textId="572B387D" w:rsidR="005140C3" w:rsidRPr="00464EB2" w:rsidRDefault="005140C3" w:rsidP="009F3C26">
            <w:pPr>
              <w:suppressAutoHyphens w:val="0"/>
              <w:autoSpaceDE w:val="0"/>
              <w:autoSpaceDN w:val="0"/>
              <w:adjustRightInd w:val="0"/>
              <w:spacing w:before="30" w:after="30" w:line="220" w:lineRule="exact"/>
              <w:ind w:right="38" w:firstLine="284"/>
              <w:rPr>
                <w:rFonts w:eastAsia="MS Mincho"/>
                <w:bCs/>
                <w:sz w:val="18"/>
                <w:szCs w:val="18"/>
                <w:lang w:eastAsia="de-DE"/>
              </w:rPr>
            </w:pPr>
            <w:r w:rsidRPr="00464EB2">
              <w:rPr>
                <w:rFonts w:eastAsia="MS Mincho"/>
                <w:sz w:val="18"/>
                <w:szCs w:val="18"/>
                <w:lang w:eastAsia="de-DE"/>
              </w:rPr>
              <w:t xml:space="preserve">Contribution from the Host Government </w:t>
            </w:r>
          </w:p>
        </w:tc>
        <w:tc>
          <w:tcPr>
            <w:tcW w:w="1632" w:type="dxa"/>
            <w:vAlign w:val="bottom"/>
          </w:tcPr>
          <w:p w14:paraId="4BC86A73" w14:textId="77777777" w:rsidR="005140C3" w:rsidRPr="00464EB2" w:rsidRDefault="005140C3" w:rsidP="009F3C26">
            <w:pPr>
              <w:suppressAutoHyphens w:val="0"/>
              <w:spacing w:before="40" w:after="40" w:line="220" w:lineRule="exact"/>
              <w:jc w:val="right"/>
              <w:rPr>
                <w:rFonts w:eastAsia="Arial Unicode MS"/>
                <w:bCs/>
                <w:sz w:val="18"/>
                <w:szCs w:val="18"/>
                <w:lang w:eastAsia="de-DE"/>
              </w:rPr>
            </w:pPr>
            <w:r w:rsidRPr="00464EB2">
              <w:rPr>
                <w:rFonts w:eastAsia="MS Mincho"/>
                <w:sz w:val="18"/>
                <w:szCs w:val="18"/>
                <w:lang w:eastAsia="de-DE"/>
              </w:rPr>
              <w:t>766 938</w:t>
            </w:r>
          </w:p>
        </w:tc>
        <w:tc>
          <w:tcPr>
            <w:tcW w:w="1456" w:type="dxa"/>
            <w:vAlign w:val="bottom"/>
          </w:tcPr>
          <w:p w14:paraId="4BC86A74" w14:textId="77777777" w:rsidR="005140C3" w:rsidRPr="00464EB2" w:rsidRDefault="005140C3" w:rsidP="009F3C26">
            <w:pPr>
              <w:suppressAutoHyphens w:val="0"/>
              <w:spacing w:before="40" w:after="40" w:line="220" w:lineRule="exact"/>
              <w:ind w:right="-2"/>
              <w:jc w:val="right"/>
              <w:rPr>
                <w:rFonts w:eastAsia="MS Mincho"/>
                <w:bCs/>
                <w:sz w:val="18"/>
                <w:szCs w:val="18"/>
                <w:lang w:eastAsia="de-DE"/>
              </w:rPr>
            </w:pPr>
            <w:r w:rsidRPr="00464EB2">
              <w:rPr>
                <w:rFonts w:eastAsia="MS Mincho"/>
                <w:sz w:val="18"/>
                <w:szCs w:val="18"/>
                <w:lang w:eastAsia="de-DE"/>
              </w:rPr>
              <w:t>766 938</w:t>
            </w:r>
          </w:p>
        </w:tc>
        <w:tc>
          <w:tcPr>
            <w:tcW w:w="1448" w:type="dxa"/>
            <w:vAlign w:val="bottom"/>
          </w:tcPr>
          <w:p w14:paraId="4BC86A75" w14:textId="77777777" w:rsidR="005140C3" w:rsidRPr="00464EB2" w:rsidRDefault="005140C3" w:rsidP="009F3C26">
            <w:pPr>
              <w:suppressAutoHyphens w:val="0"/>
              <w:spacing w:line="240" w:lineRule="auto"/>
              <w:ind w:right="-85"/>
              <w:jc w:val="right"/>
              <w:rPr>
                <w:rFonts w:eastAsia="MS Mincho"/>
                <w:bCs/>
                <w:sz w:val="18"/>
                <w:szCs w:val="18"/>
                <w:lang w:eastAsia="de-DE"/>
              </w:rPr>
            </w:pPr>
            <w:r w:rsidRPr="00464EB2">
              <w:rPr>
                <w:rFonts w:eastAsia="MS Mincho"/>
                <w:sz w:val="18"/>
                <w:szCs w:val="18"/>
                <w:lang w:eastAsia="de-DE"/>
              </w:rPr>
              <w:t>1 533 876</w:t>
            </w:r>
          </w:p>
        </w:tc>
      </w:tr>
      <w:tr w:rsidR="005140C3" w:rsidRPr="00464EB2" w14:paraId="4BC86A7B" w14:textId="77777777" w:rsidTr="009F3C26">
        <w:trPr>
          <w:trHeight w:val="240"/>
        </w:trPr>
        <w:tc>
          <w:tcPr>
            <w:tcW w:w="5103" w:type="dxa"/>
            <w:tcBorders>
              <w:bottom w:val="single" w:sz="4" w:space="0" w:color="auto"/>
            </w:tcBorders>
            <w:vAlign w:val="bottom"/>
          </w:tcPr>
          <w:p w14:paraId="4BC86A77" w14:textId="77777777" w:rsidR="005140C3" w:rsidRPr="00464EB2" w:rsidRDefault="005140C3" w:rsidP="009F3C26">
            <w:pPr>
              <w:suppressAutoHyphens w:val="0"/>
              <w:autoSpaceDE w:val="0"/>
              <w:autoSpaceDN w:val="0"/>
              <w:adjustRightInd w:val="0"/>
              <w:spacing w:before="30" w:after="30" w:line="220" w:lineRule="exact"/>
              <w:ind w:right="38" w:firstLine="284"/>
              <w:rPr>
                <w:rFonts w:eastAsia="MS Mincho"/>
                <w:sz w:val="18"/>
                <w:szCs w:val="18"/>
                <w:lang w:eastAsia="de-DE"/>
              </w:rPr>
            </w:pPr>
            <w:r w:rsidRPr="00464EB2">
              <w:rPr>
                <w:rFonts w:eastAsia="MS Mincho"/>
                <w:sz w:val="18"/>
                <w:szCs w:val="18"/>
                <w:lang w:eastAsia="de-DE"/>
              </w:rPr>
              <w:t>Indicative contributions</w:t>
            </w:r>
          </w:p>
        </w:tc>
        <w:tc>
          <w:tcPr>
            <w:tcW w:w="1632" w:type="dxa"/>
            <w:tcBorders>
              <w:bottom w:val="single" w:sz="4" w:space="0" w:color="auto"/>
            </w:tcBorders>
            <w:vAlign w:val="bottom"/>
          </w:tcPr>
          <w:p w14:paraId="4BC86A78" w14:textId="77777777" w:rsidR="005140C3" w:rsidRPr="00464EB2" w:rsidRDefault="005140C3" w:rsidP="009F3C26">
            <w:pPr>
              <w:suppressAutoHyphens w:val="0"/>
              <w:spacing w:line="240" w:lineRule="auto"/>
              <w:jc w:val="right"/>
              <w:rPr>
                <w:rFonts w:eastAsia="MS Mincho"/>
                <w:bCs/>
                <w:sz w:val="18"/>
                <w:szCs w:val="18"/>
                <w:lang w:eastAsia="de-DE"/>
              </w:rPr>
            </w:pPr>
            <w:r w:rsidRPr="00464EB2">
              <w:rPr>
                <w:rFonts w:eastAsia="MS Mincho"/>
                <w:bCs/>
                <w:sz w:val="18"/>
                <w:szCs w:val="18"/>
                <w:lang w:eastAsia="de-DE"/>
              </w:rPr>
              <w:t>26 538 220</w:t>
            </w:r>
          </w:p>
        </w:tc>
        <w:tc>
          <w:tcPr>
            <w:tcW w:w="1456" w:type="dxa"/>
            <w:tcBorders>
              <w:bottom w:val="single" w:sz="4" w:space="0" w:color="auto"/>
            </w:tcBorders>
            <w:vAlign w:val="bottom"/>
          </w:tcPr>
          <w:p w14:paraId="4BC86A79" w14:textId="77777777" w:rsidR="005140C3" w:rsidRPr="00464EB2" w:rsidRDefault="005140C3" w:rsidP="009F3C26">
            <w:pPr>
              <w:suppressAutoHyphens w:val="0"/>
              <w:spacing w:line="240" w:lineRule="auto"/>
              <w:jc w:val="right"/>
              <w:rPr>
                <w:rFonts w:eastAsia="MS Mincho"/>
                <w:bCs/>
                <w:sz w:val="18"/>
                <w:szCs w:val="18"/>
                <w:lang w:eastAsia="de-DE"/>
              </w:rPr>
            </w:pPr>
            <w:r w:rsidRPr="00464EB2">
              <w:rPr>
                <w:rFonts w:eastAsia="MS Mincho"/>
                <w:bCs/>
                <w:sz w:val="18"/>
                <w:szCs w:val="18"/>
                <w:lang w:eastAsia="de-DE"/>
              </w:rPr>
              <w:t>26 576 388</w:t>
            </w:r>
          </w:p>
        </w:tc>
        <w:tc>
          <w:tcPr>
            <w:tcW w:w="1448" w:type="dxa"/>
            <w:tcBorders>
              <w:bottom w:val="single" w:sz="4" w:space="0" w:color="auto"/>
            </w:tcBorders>
            <w:vAlign w:val="bottom"/>
          </w:tcPr>
          <w:p w14:paraId="4BC86A7A" w14:textId="77777777" w:rsidR="005140C3" w:rsidRPr="00464EB2" w:rsidRDefault="005140C3" w:rsidP="009F3C26">
            <w:pPr>
              <w:suppressAutoHyphens w:val="0"/>
              <w:spacing w:line="240" w:lineRule="auto"/>
              <w:ind w:right="-85"/>
              <w:jc w:val="right"/>
              <w:rPr>
                <w:rFonts w:eastAsia="MS Mincho"/>
                <w:bCs/>
                <w:sz w:val="18"/>
                <w:szCs w:val="18"/>
                <w:lang w:eastAsia="de-DE"/>
              </w:rPr>
            </w:pPr>
            <w:r w:rsidRPr="00464EB2">
              <w:rPr>
                <w:rFonts w:eastAsia="MS Mincho"/>
                <w:bCs/>
                <w:sz w:val="18"/>
                <w:szCs w:val="18"/>
                <w:lang w:eastAsia="de-DE"/>
              </w:rPr>
              <w:t>53 114 608</w:t>
            </w:r>
          </w:p>
        </w:tc>
      </w:tr>
      <w:tr w:rsidR="005140C3" w:rsidRPr="00464EB2" w14:paraId="4BC86A80" w14:textId="77777777" w:rsidTr="009F3C26">
        <w:trPr>
          <w:trHeight w:val="240"/>
        </w:trPr>
        <w:tc>
          <w:tcPr>
            <w:tcW w:w="5103" w:type="dxa"/>
            <w:tcBorders>
              <w:top w:val="single" w:sz="4" w:space="0" w:color="auto"/>
              <w:bottom w:val="single" w:sz="12" w:space="0" w:color="auto"/>
            </w:tcBorders>
            <w:vAlign w:val="bottom"/>
          </w:tcPr>
          <w:p w14:paraId="4BC86A7C" w14:textId="77777777" w:rsidR="005140C3" w:rsidRPr="00464EB2" w:rsidRDefault="005140C3" w:rsidP="009F3C26">
            <w:pPr>
              <w:suppressAutoHyphens w:val="0"/>
              <w:autoSpaceDE w:val="0"/>
              <w:autoSpaceDN w:val="0"/>
              <w:adjustRightInd w:val="0"/>
              <w:spacing w:before="30" w:after="30" w:line="220" w:lineRule="exact"/>
              <w:ind w:right="40" w:firstLine="284"/>
              <w:rPr>
                <w:rFonts w:eastAsia="MS Mincho"/>
                <w:bCs/>
                <w:sz w:val="18"/>
                <w:szCs w:val="18"/>
                <w:lang w:eastAsia="de-DE"/>
              </w:rPr>
            </w:pPr>
            <w:r w:rsidRPr="00464EB2">
              <w:rPr>
                <w:rFonts w:eastAsia="MS Mincho"/>
                <w:b/>
                <w:bCs/>
                <w:sz w:val="18"/>
                <w:szCs w:val="18"/>
                <w:lang w:eastAsia="de-DE"/>
              </w:rPr>
              <w:t>Total income</w:t>
            </w:r>
          </w:p>
        </w:tc>
        <w:tc>
          <w:tcPr>
            <w:tcW w:w="1632" w:type="dxa"/>
            <w:tcBorders>
              <w:top w:val="single" w:sz="4" w:space="0" w:color="auto"/>
              <w:bottom w:val="single" w:sz="12" w:space="0" w:color="auto"/>
            </w:tcBorders>
            <w:vAlign w:val="bottom"/>
          </w:tcPr>
          <w:p w14:paraId="4BC86A7D" w14:textId="77777777" w:rsidR="005140C3" w:rsidRPr="00464EB2" w:rsidRDefault="005140C3" w:rsidP="009F3C26">
            <w:pPr>
              <w:suppressAutoHyphens w:val="0"/>
              <w:spacing w:line="240" w:lineRule="auto"/>
              <w:jc w:val="right"/>
              <w:rPr>
                <w:rFonts w:eastAsia="MS Mincho"/>
                <w:b/>
                <w:bCs/>
                <w:sz w:val="18"/>
                <w:szCs w:val="18"/>
                <w:lang w:eastAsia="de-DE"/>
              </w:rPr>
            </w:pPr>
            <w:r w:rsidRPr="00464EB2">
              <w:rPr>
                <w:rFonts w:eastAsia="MS Mincho"/>
                <w:b/>
                <w:sz w:val="18"/>
                <w:szCs w:val="18"/>
                <w:lang w:eastAsia="de-DE"/>
              </w:rPr>
              <w:t>27 305 158</w:t>
            </w:r>
          </w:p>
        </w:tc>
        <w:tc>
          <w:tcPr>
            <w:tcW w:w="1456" w:type="dxa"/>
            <w:tcBorders>
              <w:top w:val="single" w:sz="4" w:space="0" w:color="auto"/>
              <w:bottom w:val="single" w:sz="12" w:space="0" w:color="auto"/>
            </w:tcBorders>
            <w:vAlign w:val="bottom"/>
          </w:tcPr>
          <w:p w14:paraId="4BC86A7E" w14:textId="77777777" w:rsidR="005140C3" w:rsidRPr="00464EB2" w:rsidRDefault="005140C3" w:rsidP="009F3C26">
            <w:pPr>
              <w:suppressAutoHyphens w:val="0"/>
              <w:spacing w:line="240" w:lineRule="auto"/>
              <w:jc w:val="right"/>
              <w:rPr>
                <w:rFonts w:eastAsia="MS Mincho"/>
                <w:b/>
                <w:bCs/>
                <w:sz w:val="18"/>
                <w:szCs w:val="18"/>
                <w:lang w:eastAsia="de-DE"/>
              </w:rPr>
            </w:pPr>
            <w:r w:rsidRPr="00464EB2">
              <w:rPr>
                <w:rFonts w:eastAsia="MS Mincho"/>
                <w:b/>
                <w:sz w:val="18"/>
                <w:szCs w:val="18"/>
                <w:lang w:eastAsia="de-DE"/>
              </w:rPr>
              <w:t>27 343 326</w:t>
            </w:r>
          </w:p>
        </w:tc>
        <w:tc>
          <w:tcPr>
            <w:tcW w:w="1448" w:type="dxa"/>
            <w:tcBorders>
              <w:top w:val="single" w:sz="4" w:space="0" w:color="auto"/>
              <w:bottom w:val="single" w:sz="12" w:space="0" w:color="auto"/>
            </w:tcBorders>
            <w:vAlign w:val="bottom"/>
          </w:tcPr>
          <w:p w14:paraId="4BC86A7F" w14:textId="77777777" w:rsidR="005140C3" w:rsidRPr="00464EB2" w:rsidRDefault="005140C3" w:rsidP="009F3C26">
            <w:pPr>
              <w:suppressAutoHyphens w:val="0"/>
              <w:spacing w:line="240" w:lineRule="auto"/>
              <w:ind w:right="-85"/>
              <w:jc w:val="right"/>
              <w:rPr>
                <w:rFonts w:eastAsia="MS Mincho"/>
                <w:b/>
                <w:bCs/>
                <w:sz w:val="18"/>
                <w:szCs w:val="18"/>
                <w:lang w:eastAsia="de-DE"/>
              </w:rPr>
            </w:pPr>
            <w:r w:rsidRPr="00464EB2">
              <w:rPr>
                <w:rFonts w:eastAsia="MS Mincho"/>
                <w:b/>
                <w:sz w:val="18"/>
                <w:szCs w:val="18"/>
                <w:lang w:eastAsia="de-DE"/>
              </w:rPr>
              <w:t>54 648 484</w:t>
            </w:r>
          </w:p>
        </w:tc>
      </w:tr>
    </w:tbl>
    <w:p w14:paraId="4BC86A81" w14:textId="282CDED8" w:rsidR="005140C3" w:rsidRPr="00464EB2" w:rsidRDefault="00C421F9" w:rsidP="00C421F9">
      <w:pPr>
        <w:tabs>
          <w:tab w:val="left" w:pos="721"/>
        </w:tabs>
        <w:suppressAutoHyphens w:val="0"/>
        <w:spacing w:before="120" w:line="240" w:lineRule="auto"/>
        <w:ind w:right="40" w:firstLine="284"/>
        <w:rPr>
          <w:rFonts w:eastAsia="MS Mincho"/>
          <w:sz w:val="18"/>
          <w:szCs w:val="16"/>
          <w:lang w:eastAsia="de-DE"/>
        </w:rPr>
      </w:pPr>
      <w:r w:rsidRPr="00464EB2">
        <w:rPr>
          <w:rFonts w:eastAsia="MS Mincho"/>
          <w:i/>
          <w:sz w:val="18"/>
          <w:szCs w:val="16"/>
          <w:vertAlign w:val="superscript"/>
          <w:lang w:eastAsia="de-DE"/>
        </w:rPr>
        <w:t xml:space="preserve">a   </w:t>
      </w:r>
      <w:r w:rsidR="005140C3" w:rsidRPr="00464EB2">
        <w:rPr>
          <w:rFonts w:eastAsia="MS Mincho"/>
          <w:sz w:val="18"/>
          <w:szCs w:val="18"/>
          <w:lang w:eastAsia="de-DE"/>
        </w:rPr>
        <w:t>Administrative</w:t>
      </w:r>
      <w:r w:rsidR="005140C3" w:rsidRPr="00464EB2">
        <w:rPr>
          <w:rFonts w:eastAsia="MS Mincho"/>
          <w:sz w:val="18"/>
          <w:szCs w:val="16"/>
          <w:lang w:eastAsia="de-DE"/>
        </w:rPr>
        <w:t xml:space="preserve"> Services is funded from programme support costs (overheads).</w:t>
      </w:r>
    </w:p>
    <w:p w14:paraId="4BC86A82" w14:textId="18C712E7" w:rsidR="005140C3" w:rsidRPr="00464EB2" w:rsidRDefault="00C421F9" w:rsidP="00C421F9">
      <w:pPr>
        <w:tabs>
          <w:tab w:val="left" w:pos="721"/>
        </w:tabs>
        <w:suppressAutoHyphens w:val="0"/>
        <w:spacing w:line="240" w:lineRule="auto"/>
        <w:ind w:right="40" w:firstLine="284"/>
        <w:rPr>
          <w:rFonts w:eastAsia="MS Mincho"/>
          <w:sz w:val="16"/>
          <w:szCs w:val="16"/>
          <w:lang w:eastAsia="de-DE"/>
        </w:rPr>
      </w:pPr>
      <w:r w:rsidRPr="00464EB2">
        <w:rPr>
          <w:rFonts w:eastAsia="MS Mincho"/>
          <w:i/>
          <w:sz w:val="18"/>
          <w:szCs w:val="16"/>
          <w:vertAlign w:val="superscript"/>
          <w:lang w:eastAsia="de-DE"/>
        </w:rPr>
        <w:t xml:space="preserve">b   </w:t>
      </w:r>
      <w:r w:rsidR="005140C3" w:rsidRPr="00464EB2">
        <w:rPr>
          <w:rFonts w:eastAsia="MS Mincho"/>
          <w:sz w:val="18"/>
          <w:szCs w:val="18"/>
          <w:lang w:eastAsia="de-DE"/>
        </w:rPr>
        <w:t>Secretariat</w:t>
      </w:r>
      <w:r w:rsidR="005140C3" w:rsidRPr="00464EB2">
        <w:rPr>
          <w:rFonts w:eastAsia="MS Mincho"/>
          <w:sz w:val="18"/>
          <w:szCs w:val="16"/>
          <w:lang w:eastAsia="de-DE"/>
        </w:rPr>
        <w:t xml:space="preserve">-wide operating costs are managed by </w:t>
      </w:r>
      <w:r w:rsidR="00A375F4">
        <w:rPr>
          <w:rFonts w:eastAsia="MS Mincho"/>
          <w:sz w:val="18"/>
          <w:szCs w:val="16"/>
          <w:lang w:eastAsia="de-DE"/>
        </w:rPr>
        <w:t>Administrative Services</w:t>
      </w:r>
      <w:r w:rsidR="005140C3" w:rsidRPr="00464EB2">
        <w:rPr>
          <w:rFonts w:eastAsia="MS Mincho"/>
          <w:sz w:val="18"/>
          <w:szCs w:val="16"/>
          <w:lang w:eastAsia="de-DE"/>
        </w:rPr>
        <w:t>.</w:t>
      </w:r>
    </w:p>
    <w:p w14:paraId="4BC86A83" w14:textId="640E6F0C" w:rsidR="005140C3" w:rsidRPr="00464EB2" w:rsidRDefault="00C421F9" w:rsidP="00C421F9">
      <w:pPr>
        <w:tabs>
          <w:tab w:val="left" w:pos="721"/>
        </w:tabs>
        <w:suppressAutoHyphens w:val="0"/>
        <w:spacing w:line="240" w:lineRule="auto"/>
        <w:ind w:right="40" w:firstLine="284"/>
        <w:rPr>
          <w:rFonts w:eastAsia="MS Mincho"/>
          <w:sz w:val="16"/>
          <w:szCs w:val="16"/>
          <w:lang w:eastAsia="de-DE"/>
        </w:rPr>
      </w:pPr>
      <w:r w:rsidRPr="00464EB2">
        <w:rPr>
          <w:rFonts w:eastAsia="MS Mincho"/>
          <w:i/>
          <w:sz w:val="18"/>
          <w:szCs w:val="16"/>
          <w:vertAlign w:val="superscript"/>
          <w:lang w:eastAsia="de-DE"/>
        </w:rPr>
        <w:t xml:space="preserve">c   </w:t>
      </w:r>
      <w:r w:rsidR="005140C3" w:rsidRPr="00464EB2">
        <w:rPr>
          <w:rFonts w:eastAsia="MS Mincho"/>
          <w:sz w:val="18"/>
          <w:szCs w:val="18"/>
          <w:lang w:eastAsia="de-DE"/>
        </w:rPr>
        <w:t>Standard</w:t>
      </w:r>
      <w:r w:rsidR="005140C3" w:rsidRPr="00464EB2">
        <w:rPr>
          <w:rFonts w:eastAsia="MS Mincho"/>
          <w:sz w:val="18"/>
          <w:szCs w:val="16"/>
          <w:lang w:eastAsia="de-DE"/>
        </w:rPr>
        <w:t xml:space="preserve"> 13 per cent applied for administrative support.</w:t>
      </w:r>
    </w:p>
    <w:p w14:paraId="4BC86A84" w14:textId="24F4F2AC" w:rsidR="005140C3" w:rsidRPr="00464EB2" w:rsidRDefault="00C421F9" w:rsidP="00C421F9">
      <w:pPr>
        <w:tabs>
          <w:tab w:val="left" w:pos="721"/>
        </w:tabs>
        <w:suppressAutoHyphens w:val="0"/>
        <w:spacing w:line="240" w:lineRule="auto"/>
        <w:ind w:right="40" w:firstLine="284"/>
        <w:rPr>
          <w:rFonts w:eastAsia="MS Mincho"/>
          <w:sz w:val="18"/>
          <w:szCs w:val="16"/>
          <w:lang w:eastAsia="de-DE"/>
        </w:rPr>
      </w:pPr>
      <w:r w:rsidRPr="00464EB2">
        <w:rPr>
          <w:rFonts w:eastAsia="MS Mincho"/>
          <w:i/>
          <w:sz w:val="18"/>
          <w:szCs w:val="16"/>
          <w:vertAlign w:val="superscript"/>
          <w:lang w:eastAsia="de-DE"/>
        </w:rPr>
        <w:t xml:space="preserve">d   </w:t>
      </w:r>
      <w:r w:rsidR="005140C3" w:rsidRPr="00464EB2">
        <w:rPr>
          <w:rFonts w:eastAsia="MS Mincho"/>
          <w:sz w:val="18"/>
          <w:szCs w:val="16"/>
          <w:lang w:eastAsia="de-DE"/>
        </w:rPr>
        <w:t>In accordance with the financial procedures (decision 15/CP.1), the core budget is required to maintain a working capital reserve of 8.3 per cent (one month of operating requirements) amounting to EUR 2,269,782 in 2016 and EUR 2,269,518 in 2017.</w:t>
      </w:r>
    </w:p>
    <w:p w14:paraId="4BC86A85" w14:textId="77777777" w:rsidR="005140C3" w:rsidRPr="00464EB2" w:rsidRDefault="005140C3" w:rsidP="005140C3">
      <w:pPr>
        <w:suppressAutoHyphens w:val="0"/>
        <w:spacing w:before="120" w:line="240" w:lineRule="auto"/>
        <w:ind w:right="1134"/>
        <w:jc w:val="both"/>
        <w:rPr>
          <w:rFonts w:eastAsia="Times New Roman"/>
          <w:lang w:eastAsia="en-US"/>
        </w:rPr>
      </w:pPr>
      <w:r w:rsidRPr="00464EB2">
        <w:rPr>
          <w:rFonts w:eastAsia="Times New Roman"/>
          <w:lang w:eastAsia="en-US"/>
        </w:rPr>
        <w:t xml:space="preserve">Table 2 </w:t>
      </w:r>
    </w:p>
    <w:p w14:paraId="4BC86A86" w14:textId="77777777" w:rsidR="005140C3" w:rsidRPr="00464EB2" w:rsidRDefault="005140C3" w:rsidP="005140C3">
      <w:pPr>
        <w:suppressAutoHyphens w:val="0"/>
        <w:spacing w:after="120" w:line="240" w:lineRule="auto"/>
        <w:ind w:right="1134"/>
        <w:jc w:val="both"/>
        <w:rPr>
          <w:rFonts w:eastAsia="Times New Roman"/>
          <w:b/>
          <w:lang w:eastAsia="en-US"/>
        </w:rPr>
      </w:pPr>
      <w:r w:rsidRPr="00464EB2">
        <w:rPr>
          <w:rFonts w:eastAsia="Times New Roman"/>
          <w:b/>
          <w:lang w:eastAsia="en-US"/>
        </w:rPr>
        <w:t>Secretariat-wide staffing from the core budget</w:t>
      </w:r>
      <w:bookmarkEnd w:id="7"/>
      <w:bookmarkEnd w:id="8"/>
      <w:r w:rsidRPr="00464EB2">
        <w:rPr>
          <w:rFonts w:eastAsia="Times New Roman"/>
          <w:b/>
          <w:lang w:eastAsia="en-US"/>
        </w:rPr>
        <w:t xml:space="preserve"> </w:t>
      </w:r>
    </w:p>
    <w:tbl>
      <w:tblPr>
        <w:tblW w:w="9639" w:type="dxa"/>
        <w:tblInd w:w="1" w:type="dxa"/>
        <w:tblBorders>
          <w:top w:val="single" w:sz="4" w:space="0" w:color="auto"/>
        </w:tblBorders>
        <w:tblCellMar>
          <w:left w:w="0" w:type="dxa"/>
          <w:right w:w="113" w:type="dxa"/>
        </w:tblCellMar>
        <w:tblLook w:val="0000" w:firstRow="0" w:lastRow="0" w:firstColumn="0" w:lastColumn="0" w:noHBand="0" w:noVBand="0"/>
      </w:tblPr>
      <w:tblGrid>
        <w:gridCol w:w="3951"/>
        <w:gridCol w:w="1897"/>
        <w:gridCol w:w="1897"/>
        <w:gridCol w:w="1894"/>
      </w:tblGrid>
      <w:tr w:rsidR="005140C3" w:rsidRPr="00464EB2" w14:paraId="4BC86A8B" w14:textId="77777777" w:rsidTr="009F3C26">
        <w:trPr>
          <w:trHeight w:val="284"/>
        </w:trPr>
        <w:tc>
          <w:tcPr>
            <w:tcW w:w="3486" w:type="dxa"/>
            <w:tcBorders>
              <w:top w:val="single" w:sz="4" w:space="0" w:color="auto"/>
              <w:bottom w:val="single" w:sz="12" w:space="0" w:color="auto"/>
            </w:tcBorders>
          </w:tcPr>
          <w:p w14:paraId="4BC86A87" w14:textId="77777777" w:rsidR="005140C3" w:rsidRPr="00464EB2" w:rsidRDefault="005140C3" w:rsidP="009F3C26">
            <w:pPr>
              <w:suppressAutoHyphens w:val="0"/>
              <w:spacing w:before="40" w:after="40" w:line="220" w:lineRule="exact"/>
              <w:ind w:right="38"/>
              <w:rPr>
                <w:rFonts w:eastAsia="Times New Roman"/>
                <w:bCs/>
                <w:sz w:val="18"/>
                <w:szCs w:val="24"/>
                <w:lang w:eastAsia="de-DE"/>
              </w:rPr>
            </w:pPr>
          </w:p>
        </w:tc>
        <w:tc>
          <w:tcPr>
            <w:tcW w:w="1674" w:type="dxa"/>
            <w:tcBorders>
              <w:top w:val="single" w:sz="4" w:space="0" w:color="auto"/>
              <w:bottom w:val="single" w:sz="12" w:space="0" w:color="auto"/>
            </w:tcBorders>
            <w:vAlign w:val="bottom"/>
          </w:tcPr>
          <w:p w14:paraId="4BC86A88" w14:textId="77777777" w:rsidR="005140C3" w:rsidRPr="00464EB2" w:rsidRDefault="005140C3" w:rsidP="009F3C26">
            <w:pPr>
              <w:suppressAutoHyphens w:val="0"/>
              <w:spacing w:before="40" w:after="40" w:line="220" w:lineRule="exact"/>
              <w:ind w:left="113" w:right="38"/>
              <w:jc w:val="right"/>
              <w:rPr>
                <w:rFonts w:eastAsia="MS Mincho"/>
                <w:i/>
                <w:sz w:val="16"/>
                <w:szCs w:val="16"/>
                <w:lang w:eastAsia="de-DE"/>
              </w:rPr>
            </w:pPr>
            <w:r w:rsidRPr="00464EB2">
              <w:rPr>
                <w:rFonts w:eastAsia="MS Mincho"/>
                <w:i/>
                <w:sz w:val="16"/>
                <w:szCs w:val="16"/>
                <w:lang w:eastAsia="de-DE"/>
              </w:rPr>
              <w:t>2015</w:t>
            </w:r>
          </w:p>
        </w:tc>
        <w:tc>
          <w:tcPr>
            <w:tcW w:w="1674" w:type="dxa"/>
            <w:tcBorders>
              <w:top w:val="single" w:sz="4" w:space="0" w:color="auto"/>
              <w:bottom w:val="single" w:sz="12" w:space="0" w:color="auto"/>
            </w:tcBorders>
            <w:vAlign w:val="center"/>
          </w:tcPr>
          <w:p w14:paraId="4BC86A89" w14:textId="77777777" w:rsidR="005140C3" w:rsidRPr="00464EB2" w:rsidRDefault="005140C3" w:rsidP="009F3C26">
            <w:pPr>
              <w:suppressAutoHyphens w:val="0"/>
              <w:spacing w:before="40" w:after="40" w:line="220" w:lineRule="exact"/>
              <w:ind w:left="113" w:right="38"/>
              <w:jc w:val="right"/>
              <w:rPr>
                <w:rFonts w:eastAsia="MS Mincho"/>
                <w:i/>
                <w:sz w:val="16"/>
                <w:szCs w:val="16"/>
                <w:lang w:eastAsia="de-DE"/>
              </w:rPr>
            </w:pPr>
            <w:r w:rsidRPr="00464EB2">
              <w:rPr>
                <w:rFonts w:eastAsia="Arial Unicode MS"/>
                <w:i/>
                <w:sz w:val="16"/>
                <w:szCs w:val="16"/>
                <w:lang w:eastAsia="de-DE"/>
              </w:rPr>
              <w:t>2016</w:t>
            </w:r>
          </w:p>
        </w:tc>
        <w:tc>
          <w:tcPr>
            <w:tcW w:w="1671" w:type="dxa"/>
            <w:tcBorders>
              <w:top w:val="single" w:sz="4" w:space="0" w:color="auto"/>
              <w:bottom w:val="single" w:sz="12" w:space="0" w:color="auto"/>
            </w:tcBorders>
            <w:vAlign w:val="center"/>
          </w:tcPr>
          <w:p w14:paraId="4BC86A8A" w14:textId="77777777" w:rsidR="005140C3" w:rsidRPr="00464EB2" w:rsidRDefault="005140C3" w:rsidP="009F3C26">
            <w:pPr>
              <w:suppressAutoHyphens w:val="0"/>
              <w:spacing w:before="40" w:after="40" w:line="220" w:lineRule="exact"/>
              <w:ind w:left="113" w:right="-85"/>
              <w:jc w:val="right"/>
              <w:rPr>
                <w:rFonts w:eastAsia="Arial Unicode MS"/>
                <w:i/>
                <w:sz w:val="16"/>
                <w:szCs w:val="16"/>
                <w:lang w:eastAsia="de-DE"/>
              </w:rPr>
            </w:pPr>
            <w:r w:rsidRPr="00464EB2">
              <w:rPr>
                <w:rFonts w:eastAsia="Arial Unicode MS"/>
                <w:i/>
                <w:sz w:val="16"/>
                <w:szCs w:val="16"/>
                <w:lang w:eastAsia="de-DE"/>
              </w:rPr>
              <w:t>2017</w:t>
            </w:r>
          </w:p>
        </w:tc>
      </w:tr>
      <w:tr w:rsidR="005140C3" w:rsidRPr="00464EB2" w14:paraId="4BC86A90" w14:textId="77777777" w:rsidTr="009F3C26">
        <w:trPr>
          <w:trHeight w:val="284"/>
        </w:trPr>
        <w:tc>
          <w:tcPr>
            <w:tcW w:w="3486" w:type="dxa"/>
            <w:tcBorders>
              <w:top w:val="single" w:sz="12" w:space="0" w:color="auto"/>
              <w:bottom w:val="nil"/>
            </w:tcBorders>
            <w:vAlign w:val="bottom"/>
          </w:tcPr>
          <w:p w14:paraId="4BC86A8C" w14:textId="77777777" w:rsidR="005140C3" w:rsidRPr="00464EB2" w:rsidRDefault="005140C3" w:rsidP="009F3C26">
            <w:pPr>
              <w:suppressAutoHyphens w:val="0"/>
              <w:spacing w:before="40" w:after="40" w:line="220" w:lineRule="exact"/>
              <w:ind w:left="170" w:right="38" w:hanging="170"/>
              <w:rPr>
                <w:rFonts w:eastAsia="Times New Roman"/>
                <w:b/>
                <w:bCs/>
                <w:sz w:val="18"/>
                <w:szCs w:val="24"/>
                <w:lang w:eastAsia="de-DE"/>
              </w:rPr>
            </w:pPr>
            <w:r w:rsidRPr="00464EB2">
              <w:rPr>
                <w:rFonts w:eastAsia="Times New Roman"/>
                <w:sz w:val="18"/>
                <w:szCs w:val="24"/>
                <w:lang w:eastAsia="de-DE"/>
              </w:rPr>
              <w:t>Professional category and above</w:t>
            </w:r>
            <w:r w:rsidRPr="00464EB2">
              <w:rPr>
                <w:rFonts w:eastAsia="Times New Roman"/>
                <w:i/>
                <w:sz w:val="18"/>
                <w:szCs w:val="24"/>
                <w:lang w:eastAsia="de-DE"/>
              </w:rPr>
              <w:t>ª</w:t>
            </w:r>
          </w:p>
        </w:tc>
        <w:tc>
          <w:tcPr>
            <w:tcW w:w="1674" w:type="dxa"/>
            <w:tcBorders>
              <w:top w:val="single" w:sz="12" w:space="0" w:color="auto"/>
              <w:bottom w:val="nil"/>
            </w:tcBorders>
            <w:vAlign w:val="center"/>
          </w:tcPr>
          <w:p w14:paraId="4BC86A8D" w14:textId="77777777" w:rsidR="005140C3" w:rsidRPr="00464EB2" w:rsidRDefault="005140C3" w:rsidP="009F3C26">
            <w:pPr>
              <w:suppressAutoHyphens w:val="0"/>
              <w:spacing w:before="40" w:after="40" w:line="220" w:lineRule="exact"/>
              <w:ind w:left="113" w:right="38"/>
              <w:jc w:val="right"/>
              <w:rPr>
                <w:rFonts w:eastAsia="MS Mincho"/>
                <w:sz w:val="18"/>
                <w:szCs w:val="18"/>
                <w:lang w:eastAsia="de-DE"/>
              </w:rPr>
            </w:pPr>
          </w:p>
        </w:tc>
        <w:tc>
          <w:tcPr>
            <w:tcW w:w="1674" w:type="dxa"/>
            <w:tcBorders>
              <w:top w:val="single" w:sz="12" w:space="0" w:color="auto"/>
              <w:bottom w:val="nil"/>
            </w:tcBorders>
            <w:vAlign w:val="center"/>
          </w:tcPr>
          <w:p w14:paraId="4BC86A8E" w14:textId="77777777" w:rsidR="005140C3" w:rsidRPr="00464EB2" w:rsidRDefault="005140C3" w:rsidP="009F3C26">
            <w:pPr>
              <w:suppressAutoHyphens w:val="0"/>
              <w:spacing w:before="40" w:after="40" w:line="220" w:lineRule="exact"/>
              <w:ind w:left="113" w:right="38"/>
              <w:jc w:val="right"/>
              <w:rPr>
                <w:rFonts w:eastAsia="MS Mincho"/>
                <w:sz w:val="18"/>
                <w:szCs w:val="18"/>
                <w:lang w:eastAsia="de-DE"/>
              </w:rPr>
            </w:pPr>
          </w:p>
        </w:tc>
        <w:tc>
          <w:tcPr>
            <w:tcW w:w="1671" w:type="dxa"/>
            <w:tcBorders>
              <w:top w:val="single" w:sz="12" w:space="0" w:color="auto"/>
              <w:bottom w:val="nil"/>
            </w:tcBorders>
            <w:vAlign w:val="center"/>
          </w:tcPr>
          <w:p w14:paraId="4BC86A8F" w14:textId="77777777" w:rsidR="005140C3" w:rsidRPr="00464EB2" w:rsidRDefault="005140C3" w:rsidP="009F3C26">
            <w:pPr>
              <w:suppressAutoHyphens w:val="0"/>
              <w:spacing w:before="40" w:after="40" w:line="220" w:lineRule="exact"/>
              <w:ind w:left="113" w:right="-85"/>
              <w:jc w:val="right"/>
              <w:rPr>
                <w:rFonts w:eastAsia="Arial Unicode MS"/>
                <w:sz w:val="18"/>
                <w:szCs w:val="18"/>
                <w:lang w:eastAsia="de-DE"/>
              </w:rPr>
            </w:pPr>
          </w:p>
        </w:tc>
      </w:tr>
      <w:tr w:rsidR="005140C3" w:rsidRPr="00464EB2" w14:paraId="4BC86A95" w14:textId="77777777" w:rsidTr="009F3C26">
        <w:trPr>
          <w:trHeight w:val="284"/>
        </w:trPr>
        <w:tc>
          <w:tcPr>
            <w:tcW w:w="3486" w:type="dxa"/>
            <w:tcBorders>
              <w:top w:val="nil"/>
            </w:tcBorders>
            <w:vAlign w:val="bottom"/>
          </w:tcPr>
          <w:p w14:paraId="4BC86A91" w14:textId="77777777" w:rsidR="005140C3" w:rsidRPr="00464EB2" w:rsidRDefault="005140C3" w:rsidP="009F3C26">
            <w:pPr>
              <w:suppressAutoHyphens w:val="0"/>
              <w:spacing w:before="40" w:after="40" w:line="220" w:lineRule="exact"/>
              <w:ind w:left="170" w:right="38" w:firstLine="114"/>
              <w:rPr>
                <w:rFonts w:eastAsia="Times New Roman"/>
                <w:bCs/>
                <w:sz w:val="18"/>
                <w:szCs w:val="24"/>
                <w:lang w:eastAsia="de-DE"/>
              </w:rPr>
            </w:pPr>
            <w:r w:rsidRPr="00464EB2">
              <w:rPr>
                <w:rFonts w:eastAsia="Times New Roman"/>
                <w:bCs/>
                <w:sz w:val="18"/>
                <w:szCs w:val="24"/>
                <w:lang w:eastAsia="de-DE"/>
              </w:rPr>
              <w:t>ASG</w:t>
            </w:r>
          </w:p>
        </w:tc>
        <w:tc>
          <w:tcPr>
            <w:tcW w:w="1674" w:type="dxa"/>
            <w:tcBorders>
              <w:top w:val="nil"/>
            </w:tcBorders>
            <w:vAlign w:val="bottom"/>
          </w:tcPr>
          <w:p w14:paraId="4BC86A92" w14:textId="77777777" w:rsidR="005140C3" w:rsidRPr="00464EB2" w:rsidRDefault="005140C3" w:rsidP="009F3C26">
            <w:pPr>
              <w:suppressAutoHyphens w:val="0"/>
              <w:spacing w:before="40" w:after="40" w:line="220" w:lineRule="exact"/>
              <w:ind w:left="113" w:right="38"/>
              <w:jc w:val="right"/>
              <w:rPr>
                <w:rFonts w:eastAsia="MS Mincho"/>
                <w:sz w:val="18"/>
                <w:szCs w:val="18"/>
                <w:lang w:eastAsia="de-DE"/>
              </w:rPr>
            </w:pPr>
            <w:r w:rsidRPr="00464EB2">
              <w:rPr>
                <w:rFonts w:eastAsia="MS Mincho"/>
                <w:sz w:val="18"/>
                <w:szCs w:val="18"/>
                <w:lang w:eastAsia="de-DE"/>
              </w:rPr>
              <w:t>1</w:t>
            </w:r>
          </w:p>
        </w:tc>
        <w:tc>
          <w:tcPr>
            <w:tcW w:w="1674" w:type="dxa"/>
            <w:tcBorders>
              <w:top w:val="nil"/>
            </w:tcBorders>
            <w:vAlign w:val="bottom"/>
          </w:tcPr>
          <w:p w14:paraId="4BC86A93" w14:textId="77777777" w:rsidR="005140C3" w:rsidRPr="00464EB2" w:rsidRDefault="005140C3" w:rsidP="009F3C26">
            <w:pPr>
              <w:suppressAutoHyphens w:val="0"/>
              <w:spacing w:before="40" w:after="40" w:line="220" w:lineRule="exact"/>
              <w:ind w:left="113" w:right="38"/>
              <w:jc w:val="right"/>
              <w:rPr>
                <w:rFonts w:eastAsia="MS Mincho"/>
                <w:sz w:val="18"/>
                <w:szCs w:val="18"/>
                <w:lang w:eastAsia="de-DE"/>
              </w:rPr>
            </w:pPr>
            <w:r w:rsidRPr="00464EB2">
              <w:rPr>
                <w:rFonts w:eastAsia="MS Mincho"/>
                <w:sz w:val="18"/>
                <w:szCs w:val="18"/>
                <w:lang w:eastAsia="de-DE"/>
              </w:rPr>
              <w:t>1</w:t>
            </w:r>
          </w:p>
        </w:tc>
        <w:tc>
          <w:tcPr>
            <w:tcW w:w="1671" w:type="dxa"/>
            <w:tcBorders>
              <w:top w:val="nil"/>
            </w:tcBorders>
            <w:vAlign w:val="bottom"/>
          </w:tcPr>
          <w:p w14:paraId="4BC86A94" w14:textId="77777777" w:rsidR="005140C3" w:rsidRPr="00464EB2" w:rsidRDefault="005140C3" w:rsidP="009F3C26">
            <w:pPr>
              <w:suppressAutoHyphens w:val="0"/>
              <w:spacing w:before="40" w:after="40" w:line="220" w:lineRule="exact"/>
              <w:ind w:left="113" w:right="-85"/>
              <w:jc w:val="right"/>
              <w:rPr>
                <w:rFonts w:eastAsia="Arial Unicode MS"/>
                <w:sz w:val="18"/>
                <w:szCs w:val="18"/>
                <w:lang w:eastAsia="de-DE"/>
              </w:rPr>
            </w:pPr>
            <w:r w:rsidRPr="00464EB2">
              <w:rPr>
                <w:rFonts w:eastAsia="Arial Unicode MS"/>
                <w:sz w:val="18"/>
                <w:szCs w:val="18"/>
                <w:lang w:eastAsia="de-DE"/>
              </w:rPr>
              <w:t>1</w:t>
            </w:r>
          </w:p>
        </w:tc>
      </w:tr>
      <w:tr w:rsidR="005140C3" w:rsidRPr="00464EB2" w14:paraId="4BC86A9A" w14:textId="77777777" w:rsidTr="009F3C26">
        <w:trPr>
          <w:trHeight w:val="284"/>
        </w:trPr>
        <w:tc>
          <w:tcPr>
            <w:tcW w:w="3486" w:type="dxa"/>
            <w:vAlign w:val="bottom"/>
          </w:tcPr>
          <w:p w14:paraId="4BC86A96" w14:textId="77777777" w:rsidR="005140C3" w:rsidRPr="00464EB2" w:rsidRDefault="005140C3" w:rsidP="009F3C26">
            <w:pPr>
              <w:suppressAutoHyphens w:val="0"/>
              <w:spacing w:before="40" w:after="40" w:line="220" w:lineRule="exact"/>
              <w:ind w:left="170" w:right="38" w:firstLine="114"/>
              <w:rPr>
                <w:rFonts w:eastAsia="Times New Roman"/>
                <w:bCs/>
                <w:sz w:val="18"/>
                <w:szCs w:val="24"/>
                <w:lang w:eastAsia="de-DE"/>
              </w:rPr>
            </w:pPr>
            <w:r w:rsidRPr="00464EB2">
              <w:rPr>
                <w:rFonts w:eastAsia="Times New Roman"/>
                <w:bCs/>
                <w:sz w:val="18"/>
                <w:szCs w:val="24"/>
                <w:lang w:eastAsia="de-DE"/>
              </w:rPr>
              <w:t>D-</w:t>
            </w:r>
            <w:r w:rsidRPr="00464EB2">
              <w:rPr>
                <w:rFonts w:eastAsia="Times New Roman"/>
                <w:bCs/>
                <w:sz w:val="18"/>
                <w:lang w:eastAsia="de-DE"/>
              </w:rPr>
              <w:t>2</w:t>
            </w:r>
          </w:p>
        </w:tc>
        <w:tc>
          <w:tcPr>
            <w:tcW w:w="1674" w:type="dxa"/>
            <w:vAlign w:val="bottom"/>
          </w:tcPr>
          <w:p w14:paraId="4BC86A97" w14:textId="77777777" w:rsidR="005140C3" w:rsidRPr="00464EB2" w:rsidRDefault="005140C3" w:rsidP="009F3C26">
            <w:pPr>
              <w:suppressAutoHyphens w:val="0"/>
              <w:spacing w:before="40" w:after="40" w:line="220" w:lineRule="exact"/>
              <w:ind w:left="113" w:right="38"/>
              <w:jc w:val="right"/>
              <w:rPr>
                <w:rFonts w:eastAsia="MS Mincho"/>
                <w:sz w:val="18"/>
                <w:szCs w:val="18"/>
                <w:lang w:eastAsia="de-DE"/>
              </w:rPr>
            </w:pPr>
            <w:r w:rsidRPr="00464EB2">
              <w:rPr>
                <w:rFonts w:eastAsia="MS Mincho"/>
                <w:sz w:val="18"/>
                <w:szCs w:val="18"/>
                <w:lang w:eastAsia="de-DE"/>
              </w:rPr>
              <w:t>3</w:t>
            </w:r>
          </w:p>
        </w:tc>
        <w:tc>
          <w:tcPr>
            <w:tcW w:w="1674" w:type="dxa"/>
            <w:vAlign w:val="bottom"/>
          </w:tcPr>
          <w:p w14:paraId="4BC86A98" w14:textId="77777777" w:rsidR="005140C3" w:rsidRPr="00464EB2" w:rsidRDefault="005140C3" w:rsidP="009F3C26">
            <w:pPr>
              <w:suppressAutoHyphens w:val="0"/>
              <w:spacing w:before="40" w:after="40" w:line="220" w:lineRule="exact"/>
              <w:ind w:left="113" w:right="38"/>
              <w:jc w:val="right"/>
              <w:rPr>
                <w:rFonts w:eastAsia="MS Mincho"/>
                <w:sz w:val="18"/>
                <w:szCs w:val="18"/>
                <w:lang w:eastAsia="de-DE"/>
              </w:rPr>
            </w:pPr>
            <w:r w:rsidRPr="00464EB2">
              <w:rPr>
                <w:rFonts w:eastAsia="MS Mincho"/>
                <w:sz w:val="18"/>
                <w:szCs w:val="18"/>
                <w:lang w:eastAsia="de-DE"/>
              </w:rPr>
              <w:t>3</w:t>
            </w:r>
          </w:p>
        </w:tc>
        <w:tc>
          <w:tcPr>
            <w:tcW w:w="1671" w:type="dxa"/>
            <w:vAlign w:val="bottom"/>
          </w:tcPr>
          <w:p w14:paraId="4BC86A99" w14:textId="77777777" w:rsidR="005140C3" w:rsidRPr="00464EB2" w:rsidRDefault="005140C3" w:rsidP="009F3C26">
            <w:pPr>
              <w:suppressAutoHyphens w:val="0"/>
              <w:spacing w:before="40" w:after="40" w:line="220" w:lineRule="exact"/>
              <w:ind w:left="113" w:right="-85"/>
              <w:jc w:val="right"/>
              <w:rPr>
                <w:rFonts w:eastAsia="Arial Unicode MS"/>
                <w:sz w:val="18"/>
                <w:szCs w:val="18"/>
                <w:lang w:eastAsia="de-DE"/>
              </w:rPr>
            </w:pPr>
            <w:r w:rsidRPr="00464EB2">
              <w:rPr>
                <w:rFonts w:eastAsia="Arial Unicode MS"/>
                <w:sz w:val="18"/>
                <w:szCs w:val="18"/>
                <w:lang w:eastAsia="de-DE"/>
              </w:rPr>
              <w:t>3</w:t>
            </w:r>
          </w:p>
        </w:tc>
      </w:tr>
      <w:tr w:rsidR="005140C3" w:rsidRPr="00464EB2" w14:paraId="4BC86A9F" w14:textId="77777777" w:rsidTr="009F3C26">
        <w:trPr>
          <w:trHeight w:val="284"/>
        </w:trPr>
        <w:tc>
          <w:tcPr>
            <w:tcW w:w="3486" w:type="dxa"/>
            <w:vAlign w:val="bottom"/>
          </w:tcPr>
          <w:p w14:paraId="4BC86A9B" w14:textId="77777777" w:rsidR="005140C3" w:rsidRPr="00464EB2" w:rsidRDefault="005140C3" w:rsidP="009F3C26">
            <w:pPr>
              <w:suppressAutoHyphens w:val="0"/>
              <w:spacing w:before="40" w:after="40" w:line="220" w:lineRule="exact"/>
              <w:ind w:left="170" w:right="38" w:firstLine="114"/>
              <w:rPr>
                <w:rFonts w:eastAsia="Times New Roman"/>
                <w:bCs/>
                <w:sz w:val="18"/>
                <w:szCs w:val="24"/>
                <w:lang w:eastAsia="de-DE"/>
              </w:rPr>
            </w:pPr>
            <w:r w:rsidRPr="00464EB2">
              <w:rPr>
                <w:rFonts w:eastAsia="Times New Roman"/>
                <w:bCs/>
                <w:sz w:val="18"/>
                <w:szCs w:val="24"/>
                <w:lang w:eastAsia="de-DE"/>
              </w:rPr>
              <w:t>D-1</w:t>
            </w:r>
          </w:p>
        </w:tc>
        <w:tc>
          <w:tcPr>
            <w:tcW w:w="1674" w:type="dxa"/>
            <w:vAlign w:val="bottom"/>
          </w:tcPr>
          <w:p w14:paraId="4BC86A9C" w14:textId="77777777" w:rsidR="005140C3" w:rsidRPr="00464EB2" w:rsidRDefault="005140C3" w:rsidP="009F3C26">
            <w:pPr>
              <w:suppressAutoHyphens w:val="0"/>
              <w:spacing w:before="40" w:after="40" w:line="220" w:lineRule="exact"/>
              <w:ind w:left="113" w:right="38"/>
              <w:jc w:val="right"/>
              <w:rPr>
                <w:rFonts w:eastAsia="Arial Unicode MS"/>
                <w:sz w:val="18"/>
                <w:szCs w:val="18"/>
                <w:lang w:eastAsia="de-DE"/>
              </w:rPr>
            </w:pPr>
            <w:r w:rsidRPr="00464EB2">
              <w:rPr>
                <w:rFonts w:eastAsia="Arial Unicode MS"/>
                <w:sz w:val="18"/>
                <w:szCs w:val="18"/>
                <w:lang w:eastAsia="de-DE"/>
              </w:rPr>
              <w:t>7</w:t>
            </w:r>
          </w:p>
        </w:tc>
        <w:tc>
          <w:tcPr>
            <w:tcW w:w="1674" w:type="dxa"/>
            <w:vAlign w:val="bottom"/>
          </w:tcPr>
          <w:p w14:paraId="4BC86A9D" w14:textId="77777777" w:rsidR="005140C3" w:rsidRPr="00464EB2" w:rsidRDefault="005140C3" w:rsidP="009F3C26">
            <w:pPr>
              <w:suppressAutoHyphens w:val="0"/>
              <w:spacing w:before="40" w:after="40" w:line="220" w:lineRule="exact"/>
              <w:ind w:left="113" w:right="38"/>
              <w:jc w:val="right"/>
              <w:rPr>
                <w:rFonts w:eastAsia="MS Mincho"/>
                <w:sz w:val="18"/>
                <w:szCs w:val="18"/>
                <w:lang w:eastAsia="de-DE"/>
              </w:rPr>
            </w:pPr>
            <w:r w:rsidRPr="00464EB2">
              <w:rPr>
                <w:rFonts w:eastAsia="MS Mincho"/>
                <w:sz w:val="18"/>
                <w:szCs w:val="18"/>
                <w:lang w:eastAsia="de-DE"/>
              </w:rPr>
              <w:t>7</w:t>
            </w:r>
          </w:p>
        </w:tc>
        <w:tc>
          <w:tcPr>
            <w:tcW w:w="1671" w:type="dxa"/>
            <w:vAlign w:val="bottom"/>
          </w:tcPr>
          <w:p w14:paraId="4BC86A9E" w14:textId="77777777" w:rsidR="005140C3" w:rsidRPr="00464EB2" w:rsidRDefault="005140C3" w:rsidP="009F3C26">
            <w:pPr>
              <w:suppressAutoHyphens w:val="0"/>
              <w:spacing w:before="40" w:after="40" w:line="220" w:lineRule="exact"/>
              <w:ind w:left="113" w:right="-85"/>
              <w:jc w:val="right"/>
              <w:rPr>
                <w:rFonts w:eastAsia="Arial Unicode MS"/>
                <w:sz w:val="18"/>
                <w:szCs w:val="18"/>
                <w:lang w:eastAsia="de-DE"/>
              </w:rPr>
            </w:pPr>
            <w:r w:rsidRPr="00464EB2">
              <w:rPr>
                <w:rFonts w:eastAsia="Arial Unicode MS"/>
                <w:sz w:val="18"/>
                <w:szCs w:val="18"/>
                <w:lang w:eastAsia="de-DE"/>
              </w:rPr>
              <w:t>7</w:t>
            </w:r>
          </w:p>
        </w:tc>
      </w:tr>
      <w:tr w:rsidR="005140C3" w:rsidRPr="00464EB2" w14:paraId="4BC86AA4" w14:textId="77777777" w:rsidTr="009F3C26">
        <w:trPr>
          <w:trHeight w:val="284"/>
        </w:trPr>
        <w:tc>
          <w:tcPr>
            <w:tcW w:w="3486" w:type="dxa"/>
            <w:vAlign w:val="bottom"/>
          </w:tcPr>
          <w:p w14:paraId="4BC86AA0" w14:textId="77777777" w:rsidR="005140C3" w:rsidRPr="00464EB2" w:rsidRDefault="005140C3" w:rsidP="009F3C26">
            <w:pPr>
              <w:suppressAutoHyphens w:val="0"/>
              <w:spacing w:before="40" w:after="40" w:line="220" w:lineRule="exact"/>
              <w:ind w:left="170" w:right="38" w:firstLine="114"/>
              <w:rPr>
                <w:rFonts w:eastAsia="Times New Roman"/>
                <w:bCs/>
                <w:sz w:val="18"/>
                <w:szCs w:val="24"/>
                <w:lang w:eastAsia="de-DE"/>
              </w:rPr>
            </w:pPr>
            <w:r w:rsidRPr="00464EB2">
              <w:rPr>
                <w:rFonts w:eastAsia="Times New Roman"/>
                <w:bCs/>
                <w:sz w:val="18"/>
                <w:szCs w:val="24"/>
                <w:lang w:eastAsia="de-DE"/>
              </w:rPr>
              <w:t>P-5</w:t>
            </w:r>
          </w:p>
        </w:tc>
        <w:tc>
          <w:tcPr>
            <w:tcW w:w="1674" w:type="dxa"/>
            <w:vAlign w:val="bottom"/>
          </w:tcPr>
          <w:p w14:paraId="4BC86AA1" w14:textId="77777777" w:rsidR="005140C3" w:rsidRPr="00464EB2" w:rsidRDefault="005140C3" w:rsidP="009F3C26">
            <w:pPr>
              <w:suppressAutoHyphens w:val="0"/>
              <w:spacing w:before="40" w:after="40" w:line="220" w:lineRule="exact"/>
              <w:ind w:left="113" w:right="38"/>
              <w:jc w:val="right"/>
              <w:rPr>
                <w:rFonts w:eastAsia="Arial Unicode MS"/>
                <w:sz w:val="18"/>
                <w:szCs w:val="18"/>
                <w:lang w:eastAsia="de-DE"/>
              </w:rPr>
            </w:pPr>
            <w:r w:rsidRPr="00464EB2">
              <w:rPr>
                <w:rFonts w:eastAsia="Arial Unicode MS"/>
                <w:sz w:val="18"/>
                <w:szCs w:val="18"/>
                <w:lang w:eastAsia="de-DE"/>
              </w:rPr>
              <w:t>15</w:t>
            </w:r>
          </w:p>
        </w:tc>
        <w:tc>
          <w:tcPr>
            <w:tcW w:w="1674" w:type="dxa"/>
            <w:vAlign w:val="bottom"/>
          </w:tcPr>
          <w:p w14:paraId="4BC86AA2" w14:textId="77777777" w:rsidR="005140C3" w:rsidRPr="00464EB2" w:rsidRDefault="005140C3" w:rsidP="009F3C26">
            <w:pPr>
              <w:suppressAutoHyphens w:val="0"/>
              <w:spacing w:before="40" w:after="40" w:line="220" w:lineRule="exact"/>
              <w:ind w:left="113" w:right="38"/>
              <w:jc w:val="right"/>
              <w:rPr>
                <w:rFonts w:eastAsia="MS Mincho"/>
                <w:sz w:val="18"/>
                <w:szCs w:val="18"/>
                <w:lang w:eastAsia="de-DE"/>
              </w:rPr>
            </w:pPr>
            <w:r w:rsidRPr="00464EB2">
              <w:rPr>
                <w:rFonts w:eastAsia="MS Mincho"/>
                <w:sz w:val="18"/>
                <w:szCs w:val="18"/>
                <w:lang w:eastAsia="de-DE"/>
              </w:rPr>
              <w:t>15</w:t>
            </w:r>
          </w:p>
        </w:tc>
        <w:tc>
          <w:tcPr>
            <w:tcW w:w="1671" w:type="dxa"/>
            <w:vAlign w:val="bottom"/>
          </w:tcPr>
          <w:p w14:paraId="4BC86AA3" w14:textId="77777777" w:rsidR="005140C3" w:rsidRPr="00464EB2" w:rsidRDefault="005140C3" w:rsidP="009F3C26">
            <w:pPr>
              <w:suppressAutoHyphens w:val="0"/>
              <w:spacing w:line="240" w:lineRule="auto"/>
              <w:ind w:right="-85"/>
              <w:jc w:val="right"/>
              <w:rPr>
                <w:rFonts w:eastAsia="MS Mincho"/>
                <w:sz w:val="18"/>
                <w:szCs w:val="18"/>
                <w:lang w:eastAsia="de-DE"/>
              </w:rPr>
            </w:pPr>
            <w:r w:rsidRPr="00464EB2">
              <w:rPr>
                <w:rFonts w:eastAsia="MS Mincho"/>
                <w:sz w:val="18"/>
                <w:szCs w:val="18"/>
                <w:lang w:eastAsia="de-DE"/>
              </w:rPr>
              <w:t>15</w:t>
            </w:r>
          </w:p>
        </w:tc>
      </w:tr>
      <w:tr w:rsidR="005140C3" w:rsidRPr="00464EB2" w14:paraId="4BC86AA9" w14:textId="77777777" w:rsidTr="009F3C26">
        <w:trPr>
          <w:trHeight w:val="284"/>
        </w:trPr>
        <w:tc>
          <w:tcPr>
            <w:tcW w:w="3486" w:type="dxa"/>
            <w:vAlign w:val="bottom"/>
          </w:tcPr>
          <w:p w14:paraId="4BC86AA5" w14:textId="77777777" w:rsidR="005140C3" w:rsidRPr="00464EB2" w:rsidRDefault="005140C3" w:rsidP="009F3C26">
            <w:pPr>
              <w:suppressAutoHyphens w:val="0"/>
              <w:spacing w:before="40" w:after="40" w:line="220" w:lineRule="exact"/>
              <w:ind w:left="170" w:right="38" w:firstLine="114"/>
              <w:rPr>
                <w:rFonts w:eastAsia="Times New Roman"/>
                <w:bCs/>
                <w:sz w:val="18"/>
                <w:szCs w:val="24"/>
                <w:lang w:eastAsia="de-DE"/>
              </w:rPr>
            </w:pPr>
            <w:r w:rsidRPr="00464EB2">
              <w:rPr>
                <w:rFonts w:eastAsia="Times New Roman"/>
                <w:bCs/>
                <w:sz w:val="18"/>
                <w:szCs w:val="24"/>
                <w:lang w:eastAsia="de-DE"/>
              </w:rPr>
              <w:t>P-4</w:t>
            </w:r>
          </w:p>
        </w:tc>
        <w:tc>
          <w:tcPr>
            <w:tcW w:w="1674" w:type="dxa"/>
            <w:vAlign w:val="bottom"/>
          </w:tcPr>
          <w:p w14:paraId="4BC86AA6" w14:textId="77777777" w:rsidR="005140C3" w:rsidRPr="00464EB2" w:rsidRDefault="005140C3" w:rsidP="009F3C26">
            <w:pPr>
              <w:suppressAutoHyphens w:val="0"/>
              <w:spacing w:before="40" w:after="40" w:line="220" w:lineRule="exact"/>
              <w:ind w:left="113" w:right="38"/>
              <w:jc w:val="right"/>
              <w:rPr>
                <w:rFonts w:eastAsia="Arial Unicode MS"/>
                <w:sz w:val="18"/>
                <w:szCs w:val="18"/>
                <w:lang w:eastAsia="de-DE"/>
              </w:rPr>
            </w:pPr>
            <w:r w:rsidRPr="00464EB2">
              <w:rPr>
                <w:rFonts w:eastAsia="Arial Unicode MS"/>
                <w:sz w:val="18"/>
                <w:szCs w:val="18"/>
                <w:lang w:eastAsia="de-DE"/>
              </w:rPr>
              <w:t>35</w:t>
            </w:r>
          </w:p>
        </w:tc>
        <w:tc>
          <w:tcPr>
            <w:tcW w:w="1674" w:type="dxa"/>
            <w:vAlign w:val="bottom"/>
          </w:tcPr>
          <w:p w14:paraId="4BC86AA7" w14:textId="77777777" w:rsidR="005140C3" w:rsidRPr="00464EB2" w:rsidRDefault="005140C3" w:rsidP="009F3C26">
            <w:pPr>
              <w:suppressAutoHyphens w:val="0"/>
              <w:spacing w:before="40" w:after="40" w:line="220" w:lineRule="exact"/>
              <w:ind w:left="113" w:right="38"/>
              <w:jc w:val="right"/>
              <w:rPr>
                <w:rFonts w:eastAsia="MS Mincho"/>
                <w:sz w:val="18"/>
                <w:szCs w:val="18"/>
                <w:lang w:eastAsia="de-DE"/>
              </w:rPr>
            </w:pPr>
            <w:r w:rsidRPr="00464EB2">
              <w:rPr>
                <w:rFonts w:eastAsia="MS Mincho"/>
                <w:sz w:val="18"/>
                <w:szCs w:val="18"/>
                <w:lang w:eastAsia="de-DE"/>
              </w:rPr>
              <w:t>35</w:t>
            </w:r>
          </w:p>
        </w:tc>
        <w:tc>
          <w:tcPr>
            <w:tcW w:w="1671" w:type="dxa"/>
            <w:vAlign w:val="bottom"/>
          </w:tcPr>
          <w:p w14:paraId="4BC86AA8" w14:textId="77777777" w:rsidR="005140C3" w:rsidRPr="00464EB2" w:rsidRDefault="005140C3" w:rsidP="009F3C26">
            <w:pPr>
              <w:suppressAutoHyphens w:val="0"/>
              <w:spacing w:line="240" w:lineRule="auto"/>
              <w:ind w:right="-85"/>
              <w:jc w:val="right"/>
              <w:rPr>
                <w:rFonts w:eastAsia="MS Mincho"/>
                <w:sz w:val="18"/>
                <w:szCs w:val="18"/>
                <w:lang w:eastAsia="de-DE"/>
              </w:rPr>
            </w:pPr>
            <w:r w:rsidRPr="00464EB2">
              <w:rPr>
                <w:rFonts w:eastAsia="MS Mincho"/>
                <w:sz w:val="18"/>
                <w:szCs w:val="18"/>
                <w:lang w:eastAsia="de-DE"/>
              </w:rPr>
              <w:t>35</w:t>
            </w:r>
          </w:p>
        </w:tc>
      </w:tr>
      <w:tr w:rsidR="005140C3" w:rsidRPr="00464EB2" w14:paraId="4BC86AAE" w14:textId="77777777" w:rsidTr="009F3C26">
        <w:trPr>
          <w:trHeight w:val="284"/>
        </w:trPr>
        <w:tc>
          <w:tcPr>
            <w:tcW w:w="3486" w:type="dxa"/>
            <w:tcBorders>
              <w:bottom w:val="nil"/>
            </w:tcBorders>
            <w:vAlign w:val="bottom"/>
          </w:tcPr>
          <w:p w14:paraId="4BC86AAA" w14:textId="77777777" w:rsidR="005140C3" w:rsidRPr="00464EB2" w:rsidRDefault="005140C3" w:rsidP="009F3C26">
            <w:pPr>
              <w:suppressAutoHyphens w:val="0"/>
              <w:spacing w:before="40" w:after="40" w:line="220" w:lineRule="exact"/>
              <w:ind w:left="170" w:right="38" w:firstLine="114"/>
              <w:rPr>
                <w:rFonts w:eastAsia="Times New Roman"/>
                <w:bCs/>
                <w:sz w:val="18"/>
                <w:szCs w:val="24"/>
                <w:lang w:eastAsia="de-DE"/>
              </w:rPr>
            </w:pPr>
            <w:r w:rsidRPr="00464EB2">
              <w:rPr>
                <w:rFonts w:eastAsia="Times New Roman"/>
                <w:bCs/>
                <w:sz w:val="18"/>
                <w:szCs w:val="24"/>
                <w:lang w:eastAsia="de-DE"/>
              </w:rPr>
              <w:t>P-3</w:t>
            </w:r>
          </w:p>
        </w:tc>
        <w:tc>
          <w:tcPr>
            <w:tcW w:w="1674" w:type="dxa"/>
            <w:tcBorders>
              <w:bottom w:val="nil"/>
            </w:tcBorders>
            <w:vAlign w:val="bottom"/>
          </w:tcPr>
          <w:p w14:paraId="4BC86AAB" w14:textId="77777777" w:rsidR="005140C3" w:rsidRPr="00464EB2" w:rsidRDefault="005140C3" w:rsidP="009F3C26">
            <w:pPr>
              <w:suppressAutoHyphens w:val="0"/>
              <w:spacing w:before="40" w:after="40" w:line="220" w:lineRule="exact"/>
              <w:ind w:left="113" w:right="38"/>
              <w:jc w:val="right"/>
              <w:rPr>
                <w:rFonts w:eastAsia="Arial Unicode MS"/>
                <w:sz w:val="18"/>
                <w:szCs w:val="18"/>
                <w:lang w:eastAsia="de-DE"/>
              </w:rPr>
            </w:pPr>
            <w:r w:rsidRPr="00464EB2">
              <w:rPr>
                <w:rFonts w:eastAsia="Arial Unicode MS"/>
                <w:sz w:val="18"/>
                <w:szCs w:val="18"/>
                <w:lang w:eastAsia="de-DE"/>
              </w:rPr>
              <w:t>43</w:t>
            </w:r>
          </w:p>
        </w:tc>
        <w:tc>
          <w:tcPr>
            <w:tcW w:w="1674" w:type="dxa"/>
            <w:tcBorders>
              <w:bottom w:val="nil"/>
            </w:tcBorders>
            <w:vAlign w:val="bottom"/>
          </w:tcPr>
          <w:p w14:paraId="4BC86AAC" w14:textId="77777777" w:rsidR="005140C3" w:rsidRPr="00464EB2" w:rsidRDefault="005140C3" w:rsidP="009F3C26">
            <w:pPr>
              <w:suppressAutoHyphens w:val="0"/>
              <w:spacing w:before="40" w:after="40" w:line="220" w:lineRule="exact"/>
              <w:ind w:left="113" w:right="38"/>
              <w:jc w:val="right"/>
              <w:rPr>
                <w:rFonts w:eastAsia="MS Mincho"/>
                <w:sz w:val="18"/>
                <w:szCs w:val="18"/>
                <w:lang w:eastAsia="de-DE"/>
              </w:rPr>
            </w:pPr>
            <w:r w:rsidRPr="00464EB2">
              <w:rPr>
                <w:rFonts w:eastAsia="MS Mincho"/>
                <w:sz w:val="18"/>
                <w:szCs w:val="18"/>
                <w:lang w:eastAsia="de-DE"/>
              </w:rPr>
              <w:t>43</w:t>
            </w:r>
          </w:p>
        </w:tc>
        <w:tc>
          <w:tcPr>
            <w:tcW w:w="1671" w:type="dxa"/>
            <w:tcBorders>
              <w:bottom w:val="nil"/>
            </w:tcBorders>
            <w:vAlign w:val="bottom"/>
          </w:tcPr>
          <w:p w14:paraId="4BC86AAD" w14:textId="77777777" w:rsidR="005140C3" w:rsidRPr="00464EB2" w:rsidRDefault="005140C3" w:rsidP="009F3C26">
            <w:pPr>
              <w:suppressAutoHyphens w:val="0"/>
              <w:spacing w:line="240" w:lineRule="auto"/>
              <w:ind w:right="-85"/>
              <w:jc w:val="right"/>
              <w:rPr>
                <w:rFonts w:eastAsia="MS Mincho"/>
                <w:sz w:val="18"/>
                <w:szCs w:val="18"/>
                <w:lang w:eastAsia="de-DE"/>
              </w:rPr>
            </w:pPr>
            <w:r w:rsidRPr="00464EB2">
              <w:rPr>
                <w:rFonts w:eastAsia="MS Mincho"/>
                <w:sz w:val="18"/>
                <w:szCs w:val="18"/>
                <w:lang w:eastAsia="de-DE"/>
              </w:rPr>
              <w:t>43</w:t>
            </w:r>
          </w:p>
        </w:tc>
      </w:tr>
      <w:tr w:rsidR="005140C3" w:rsidRPr="00464EB2" w14:paraId="4BC86AB3" w14:textId="77777777" w:rsidTr="009F3C26">
        <w:trPr>
          <w:trHeight w:val="284"/>
        </w:trPr>
        <w:tc>
          <w:tcPr>
            <w:tcW w:w="3486" w:type="dxa"/>
            <w:tcBorders>
              <w:top w:val="nil"/>
              <w:bottom w:val="single" w:sz="4" w:space="0" w:color="auto"/>
            </w:tcBorders>
            <w:vAlign w:val="bottom"/>
          </w:tcPr>
          <w:p w14:paraId="4BC86AAF" w14:textId="77777777" w:rsidR="005140C3" w:rsidRPr="00464EB2" w:rsidRDefault="005140C3" w:rsidP="009F3C26">
            <w:pPr>
              <w:suppressAutoHyphens w:val="0"/>
              <w:spacing w:before="40" w:after="40" w:line="220" w:lineRule="exact"/>
              <w:ind w:left="170" w:right="38" w:firstLine="114"/>
              <w:rPr>
                <w:rFonts w:eastAsia="Times New Roman"/>
                <w:bCs/>
                <w:sz w:val="18"/>
                <w:szCs w:val="24"/>
                <w:lang w:eastAsia="de-DE"/>
              </w:rPr>
            </w:pPr>
            <w:r w:rsidRPr="00464EB2">
              <w:rPr>
                <w:rFonts w:eastAsia="Times New Roman"/>
                <w:bCs/>
                <w:sz w:val="18"/>
                <w:szCs w:val="24"/>
                <w:lang w:eastAsia="de-DE"/>
              </w:rPr>
              <w:t>P-2</w:t>
            </w:r>
          </w:p>
        </w:tc>
        <w:tc>
          <w:tcPr>
            <w:tcW w:w="1674" w:type="dxa"/>
            <w:tcBorders>
              <w:top w:val="nil"/>
              <w:bottom w:val="single" w:sz="4" w:space="0" w:color="auto"/>
            </w:tcBorders>
            <w:vAlign w:val="bottom"/>
          </w:tcPr>
          <w:p w14:paraId="4BC86AB0" w14:textId="77777777" w:rsidR="005140C3" w:rsidRPr="00464EB2" w:rsidRDefault="005140C3" w:rsidP="009F3C26">
            <w:pPr>
              <w:suppressAutoHyphens w:val="0"/>
              <w:spacing w:before="40" w:after="40" w:line="220" w:lineRule="exact"/>
              <w:ind w:left="113" w:right="38"/>
              <w:jc w:val="right"/>
              <w:rPr>
                <w:rFonts w:eastAsia="Arial Unicode MS"/>
                <w:sz w:val="18"/>
                <w:szCs w:val="18"/>
                <w:lang w:eastAsia="de-DE"/>
              </w:rPr>
            </w:pPr>
            <w:r w:rsidRPr="00464EB2">
              <w:rPr>
                <w:rFonts w:eastAsia="Arial Unicode MS"/>
                <w:sz w:val="18"/>
                <w:szCs w:val="18"/>
                <w:lang w:eastAsia="de-DE"/>
              </w:rPr>
              <w:t>16</w:t>
            </w:r>
          </w:p>
        </w:tc>
        <w:tc>
          <w:tcPr>
            <w:tcW w:w="1674" w:type="dxa"/>
            <w:tcBorders>
              <w:top w:val="nil"/>
              <w:bottom w:val="single" w:sz="4" w:space="0" w:color="auto"/>
            </w:tcBorders>
            <w:vAlign w:val="bottom"/>
          </w:tcPr>
          <w:p w14:paraId="4BC86AB1" w14:textId="77777777" w:rsidR="005140C3" w:rsidRPr="00464EB2" w:rsidRDefault="005140C3" w:rsidP="009F3C26">
            <w:pPr>
              <w:suppressAutoHyphens w:val="0"/>
              <w:spacing w:before="40" w:after="40" w:line="220" w:lineRule="exact"/>
              <w:ind w:left="113" w:right="38"/>
              <w:jc w:val="right"/>
              <w:rPr>
                <w:rFonts w:eastAsia="MS Mincho"/>
                <w:sz w:val="18"/>
                <w:szCs w:val="18"/>
                <w:lang w:eastAsia="de-DE"/>
              </w:rPr>
            </w:pPr>
            <w:r w:rsidRPr="00464EB2">
              <w:rPr>
                <w:rFonts w:eastAsia="MS Mincho"/>
                <w:sz w:val="18"/>
                <w:szCs w:val="18"/>
                <w:lang w:eastAsia="de-DE"/>
              </w:rPr>
              <w:t>16</w:t>
            </w:r>
          </w:p>
        </w:tc>
        <w:tc>
          <w:tcPr>
            <w:tcW w:w="1671" w:type="dxa"/>
            <w:tcBorders>
              <w:top w:val="nil"/>
              <w:bottom w:val="single" w:sz="4" w:space="0" w:color="auto"/>
            </w:tcBorders>
            <w:vAlign w:val="bottom"/>
          </w:tcPr>
          <w:p w14:paraId="4BC86AB2" w14:textId="77777777" w:rsidR="005140C3" w:rsidRPr="00464EB2" w:rsidRDefault="005140C3" w:rsidP="009F3C26">
            <w:pPr>
              <w:suppressAutoHyphens w:val="0"/>
              <w:spacing w:line="240" w:lineRule="auto"/>
              <w:ind w:right="-85"/>
              <w:jc w:val="right"/>
              <w:rPr>
                <w:rFonts w:eastAsia="MS Mincho"/>
                <w:sz w:val="18"/>
                <w:szCs w:val="18"/>
                <w:lang w:eastAsia="de-DE"/>
              </w:rPr>
            </w:pPr>
            <w:r w:rsidRPr="00464EB2">
              <w:rPr>
                <w:rFonts w:eastAsia="MS Mincho"/>
                <w:sz w:val="18"/>
                <w:szCs w:val="18"/>
                <w:lang w:eastAsia="de-DE"/>
              </w:rPr>
              <w:t>16</w:t>
            </w:r>
          </w:p>
        </w:tc>
      </w:tr>
      <w:tr w:rsidR="005140C3" w:rsidRPr="00464EB2" w14:paraId="4BC86AB8" w14:textId="77777777" w:rsidTr="009F3C26">
        <w:trPr>
          <w:trHeight w:val="284"/>
        </w:trPr>
        <w:tc>
          <w:tcPr>
            <w:tcW w:w="3486" w:type="dxa"/>
            <w:tcBorders>
              <w:top w:val="single" w:sz="4" w:space="0" w:color="auto"/>
              <w:bottom w:val="single" w:sz="4" w:space="0" w:color="auto"/>
            </w:tcBorders>
            <w:vAlign w:val="bottom"/>
          </w:tcPr>
          <w:p w14:paraId="4BC86AB4" w14:textId="77777777" w:rsidR="005140C3" w:rsidRPr="00464EB2" w:rsidRDefault="005140C3" w:rsidP="009F3C26">
            <w:pPr>
              <w:suppressAutoHyphens w:val="0"/>
              <w:spacing w:before="40" w:after="40" w:line="220" w:lineRule="exact"/>
              <w:ind w:left="284" w:right="38"/>
              <w:rPr>
                <w:rFonts w:eastAsia="Times New Roman"/>
                <w:b/>
                <w:sz w:val="18"/>
                <w:szCs w:val="24"/>
                <w:lang w:eastAsia="de-DE"/>
              </w:rPr>
            </w:pPr>
            <w:r w:rsidRPr="00464EB2">
              <w:rPr>
                <w:rFonts w:eastAsia="Times New Roman"/>
                <w:b/>
                <w:sz w:val="18"/>
                <w:szCs w:val="24"/>
                <w:lang w:eastAsia="de-DE"/>
              </w:rPr>
              <w:t>Subtotal Professional category and above</w:t>
            </w:r>
          </w:p>
        </w:tc>
        <w:tc>
          <w:tcPr>
            <w:tcW w:w="1674" w:type="dxa"/>
            <w:tcBorders>
              <w:top w:val="single" w:sz="4" w:space="0" w:color="auto"/>
              <w:bottom w:val="single" w:sz="4" w:space="0" w:color="auto"/>
            </w:tcBorders>
            <w:vAlign w:val="bottom"/>
          </w:tcPr>
          <w:p w14:paraId="4BC86AB5" w14:textId="77777777" w:rsidR="005140C3" w:rsidRPr="00464EB2" w:rsidRDefault="005140C3" w:rsidP="009F3C26">
            <w:pPr>
              <w:suppressAutoHyphens w:val="0"/>
              <w:spacing w:before="40" w:after="40" w:line="220" w:lineRule="exact"/>
              <w:ind w:left="113" w:right="38"/>
              <w:jc w:val="right"/>
              <w:rPr>
                <w:rFonts w:eastAsia="Arial Unicode MS"/>
                <w:b/>
                <w:bCs/>
                <w:sz w:val="18"/>
                <w:szCs w:val="18"/>
                <w:lang w:eastAsia="de-DE"/>
              </w:rPr>
            </w:pPr>
            <w:r w:rsidRPr="00464EB2">
              <w:rPr>
                <w:rFonts w:eastAsia="Arial Unicode MS"/>
                <w:b/>
                <w:bCs/>
                <w:sz w:val="18"/>
                <w:szCs w:val="18"/>
                <w:lang w:eastAsia="de-DE"/>
              </w:rPr>
              <w:t>120</w:t>
            </w:r>
          </w:p>
        </w:tc>
        <w:tc>
          <w:tcPr>
            <w:tcW w:w="1674" w:type="dxa"/>
            <w:tcBorders>
              <w:top w:val="single" w:sz="4" w:space="0" w:color="auto"/>
              <w:bottom w:val="single" w:sz="4" w:space="0" w:color="auto"/>
            </w:tcBorders>
            <w:vAlign w:val="bottom"/>
          </w:tcPr>
          <w:p w14:paraId="4BC86AB6" w14:textId="368ED62A" w:rsidR="005140C3" w:rsidRPr="00464EB2" w:rsidRDefault="005140C3" w:rsidP="009F3C26">
            <w:pPr>
              <w:suppressAutoHyphens w:val="0"/>
              <w:spacing w:before="40" w:after="40" w:line="220" w:lineRule="exact"/>
              <w:ind w:left="113" w:right="38"/>
              <w:jc w:val="right"/>
              <w:rPr>
                <w:rFonts w:eastAsia="MS Mincho"/>
                <w:b/>
                <w:bCs/>
                <w:sz w:val="18"/>
                <w:szCs w:val="18"/>
                <w:lang w:eastAsia="de-DE"/>
              </w:rPr>
            </w:pPr>
            <w:r w:rsidRPr="00464EB2">
              <w:rPr>
                <w:rFonts w:eastAsia="MS Mincho"/>
                <w:b/>
                <w:bCs/>
                <w:sz w:val="18"/>
                <w:szCs w:val="18"/>
                <w:lang w:eastAsia="de-DE"/>
              </w:rPr>
              <w:t>120</w:t>
            </w:r>
          </w:p>
        </w:tc>
        <w:tc>
          <w:tcPr>
            <w:tcW w:w="1671" w:type="dxa"/>
            <w:tcBorders>
              <w:top w:val="single" w:sz="4" w:space="0" w:color="auto"/>
              <w:bottom w:val="single" w:sz="4" w:space="0" w:color="auto"/>
            </w:tcBorders>
            <w:vAlign w:val="bottom"/>
          </w:tcPr>
          <w:p w14:paraId="4BC86AB7" w14:textId="77777777" w:rsidR="005140C3" w:rsidRPr="00464EB2" w:rsidRDefault="005140C3" w:rsidP="009F3C26">
            <w:pPr>
              <w:suppressAutoHyphens w:val="0"/>
              <w:spacing w:line="240" w:lineRule="auto"/>
              <w:ind w:right="-85"/>
              <w:jc w:val="right"/>
              <w:rPr>
                <w:rFonts w:eastAsia="MS Mincho"/>
                <w:b/>
                <w:bCs/>
                <w:sz w:val="18"/>
                <w:szCs w:val="18"/>
                <w:lang w:eastAsia="de-DE"/>
              </w:rPr>
            </w:pPr>
            <w:r w:rsidRPr="00464EB2">
              <w:rPr>
                <w:rFonts w:eastAsia="MS Mincho"/>
                <w:b/>
                <w:bCs/>
                <w:sz w:val="18"/>
                <w:szCs w:val="18"/>
                <w:lang w:eastAsia="de-DE"/>
              </w:rPr>
              <w:t>120</w:t>
            </w:r>
          </w:p>
        </w:tc>
      </w:tr>
      <w:tr w:rsidR="005140C3" w:rsidRPr="00464EB2" w14:paraId="4BC86ABD" w14:textId="77777777" w:rsidTr="009F3C26">
        <w:trPr>
          <w:trHeight w:val="284"/>
        </w:trPr>
        <w:tc>
          <w:tcPr>
            <w:tcW w:w="3486" w:type="dxa"/>
            <w:tcBorders>
              <w:top w:val="single" w:sz="4" w:space="0" w:color="auto"/>
              <w:bottom w:val="single" w:sz="4" w:space="0" w:color="auto"/>
            </w:tcBorders>
            <w:vAlign w:val="bottom"/>
          </w:tcPr>
          <w:p w14:paraId="4BC86AB9" w14:textId="77777777" w:rsidR="005140C3" w:rsidRPr="00464EB2" w:rsidRDefault="005140C3" w:rsidP="009F3C26">
            <w:pPr>
              <w:suppressAutoHyphens w:val="0"/>
              <w:spacing w:before="40" w:after="40" w:line="220" w:lineRule="exact"/>
              <w:ind w:left="284" w:right="38"/>
              <w:rPr>
                <w:rFonts w:eastAsia="Times New Roman"/>
                <w:b/>
                <w:sz w:val="18"/>
                <w:szCs w:val="24"/>
                <w:lang w:eastAsia="de-DE"/>
              </w:rPr>
            </w:pPr>
            <w:r w:rsidRPr="00464EB2">
              <w:rPr>
                <w:rFonts w:eastAsia="Times New Roman"/>
                <w:b/>
                <w:sz w:val="18"/>
                <w:szCs w:val="24"/>
                <w:lang w:eastAsia="de-DE"/>
              </w:rPr>
              <w:t>Subtotal General Service category</w:t>
            </w:r>
          </w:p>
        </w:tc>
        <w:tc>
          <w:tcPr>
            <w:tcW w:w="1674" w:type="dxa"/>
            <w:tcBorders>
              <w:top w:val="single" w:sz="4" w:space="0" w:color="auto"/>
              <w:bottom w:val="single" w:sz="4" w:space="0" w:color="auto"/>
            </w:tcBorders>
            <w:vAlign w:val="bottom"/>
          </w:tcPr>
          <w:p w14:paraId="4BC86ABA" w14:textId="77777777" w:rsidR="005140C3" w:rsidRPr="00464EB2" w:rsidRDefault="005140C3" w:rsidP="009F3C26">
            <w:pPr>
              <w:suppressAutoHyphens w:val="0"/>
              <w:spacing w:before="40" w:after="40" w:line="220" w:lineRule="exact"/>
              <w:ind w:left="113" w:right="38"/>
              <w:jc w:val="right"/>
              <w:rPr>
                <w:rFonts w:eastAsia="Arial Unicode MS"/>
                <w:b/>
                <w:sz w:val="18"/>
                <w:szCs w:val="18"/>
                <w:lang w:eastAsia="de-DE"/>
              </w:rPr>
            </w:pPr>
            <w:r w:rsidRPr="00464EB2">
              <w:rPr>
                <w:rFonts w:eastAsia="Arial Unicode MS"/>
                <w:b/>
                <w:sz w:val="18"/>
                <w:szCs w:val="18"/>
                <w:lang w:eastAsia="de-DE"/>
              </w:rPr>
              <w:t>53.5</w:t>
            </w:r>
          </w:p>
        </w:tc>
        <w:tc>
          <w:tcPr>
            <w:tcW w:w="1674" w:type="dxa"/>
            <w:tcBorders>
              <w:top w:val="single" w:sz="4" w:space="0" w:color="auto"/>
              <w:bottom w:val="single" w:sz="4" w:space="0" w:color="auto"/>
            </w:tcBorders>
            <w:vAlign w:val="bottom"/>
          </w:tcPr>
          <w:p w14:paraId="4BC86ABB" w14:textId="77777777" w:rsidR="005140C3" w:rsidRPr="00464EB2" w:rsidRDefault="005140C3" w:rsidP="009F3C26">
            <w:pPr>
              <w:suppressAutoHyphens w:val="0"/>
              <w:spacing w:before="40" w:after="40" w:line="220" w:lineRule="exact"/>
              <w:ind w:left="113" w:right="38"/>
              <w:jc w:val="right"/>
              <w:rPr>
                <w:rFonts w:eastAsia="Arial Unicode MS"/>
                <w:b/>
                <w:sz w:val="18"/>
                <w:szCs w:val="18"/>
                <w:lang w:eastAsia="de-DE"/>
              </w:rPr>
            </w:pPr>
            <w:r w:rsidRPr="00464EB2">
              <w:rPr>
                <w:rFonts w:eastAsia="Arial Unicode MS"/>
                <w:b/>
                <w:sz w:val="18"/>
                <w:szCs w:val="18"/>
                <w:lang w:eastAsia="de-DE"/>
              </w:rPr>
              <w:t>53.5</w:t>
            </w:r>
          </w:p>
        </w:tc>
        <w:tc>
          <w:tcPr>
            <w:tcW w:w="1671" w:type="dxa"/>
            <w:tcBorders>
              <w:top w:val="single" w:sz="4" w:space="0" w:color="auto"/>
              <w:bottom w:val="single" w:sz="4" w:space="0" w:color="auto"/>
            </w:tcBorders>
            <w:vAlign w:val="bottom"/>
          </w:tcPr>
          <w:p w14:paraId="4BC86ABC" w14:textId="77777777" w:rsidR="005140C3" w:rsidRPr="00464EB2" w:rsidRDefault="005140C3" w:rsidP="009F3C26">
            <w:pPr>
              <w:suppressAutoHyphens w:val="0"/>
              <w:spacing w:line="240" w:lineRule="auto"/>
              <w:ind w:right="-85"/>
              <w:jc w:val="right"/>
              <w:rPr>
                <w:rFonts w:eastAsia="MS Mincho"/>
                <w:b/>
                <w:sz w:val="18"/>
                <w:szCs w:val="18"/>
                <w:lang w:eastAsia="de-DE"/>
              </w:rPr>
            </w:pPr>
            <w:r w:rsidRPr="00464EB2">
              <w:rPr>
                <w:rFonts w:eastAsia="MS Mincho"/>
                <w:b/>
                <w:sz w:val="18"/>
                <w:szCs w:val="18"/>
                <w:lang w:eastAsia="de-DE"/>
              </w:rPr>
              <w:t>53.5</w:t>
            </w:r>
          </w:p>
        </w:tc>
      </w:tr>
      <w:tr w:rsidR="005140C3" w:rsidRPr="00464EB2" w14:paraId="4BC86AC2" w14:textId="77777777" w:rsidTr="009F3C26">
        <w:trPr>
          <w:trHeight w:val="284"/>
        </w:trPr>
        <w:tc>
          <w:tcPr>
            <w:tcW w:w="3486" w:type="dxa"/>
            <w:tcBorders>
              <w:top w:val="single" w:sz="4" w:space="0" w:color="auto"/>
              <w:bottom w:val="single" w:sz="12" w:space="0" w:color="auto"/>
            </w:tcBorders>
            <w:vAlign w:val="bottom"/>
          </w:tcPr>
          <w:p w14:paraId="4BC86ABE" w14:textId="77777777" w:rsidR="005140C3" w:rsidRPr="00464EB2" w:rsidRDefault="005140C3" w:rsidP="009F3C26">
            <w:pPr>
              <w:suppressAutoHyphens w:val="0"/>
              <w:spacing w:before="40" w:after="40" w:line="220" w:lineRule="exact"/>
              <w:ind w:right="38" w:firstLine="284"/>
              <w:rPr>
                <w:rFonts w:eastAsia="Times New Roman"/>
                <w:b/>
                <w:sz w:val="18"/>
                <w:szCs w:val="24"/>
                <w:lang w:eastAsia="de-DE"/>
              </w:rPr>
            </w:pPr>
            <w:r w:rsidRPr="00464EB2">
              <w:rPr>
                <w:rFonts w:eastAsia="Times New Roman"/>
                <w:b/>
                <w:sz w:val="18"/>
                <w:szCs w:val="24"/>
                <w:lang w:eastAsia="de-DE"/>
              </w:rPr>
              <w:t>Total</w:t>
            </w:r>
          </w:p>
        </w:tc>
        <w:tc>
          <w:tcPr>
            <w:tcW w:w="1674" w:type="dxa"/>
            <w:tcBorders>
              <w:top w:val="single" w:sz="4" w:space="0" w:color="auto"/>
              <w:bottom w:val="single" w:sz="12" w:space="0" w:color="auto"/>
            </w:tcBorders>
            <w:vAlign w:val="bottom"/>
          </w:tcPr>
          <w:p w14:paraId="4BC86ABF" w14:textId="77777777" w:rsidR="005140C3" w:rsidRPr="00464EB2" w:rsidRDefault="005140C3" w:rsidP="009F3C26">
            <w:pPr>
              <w:suppressAutoHyphens w:val="0"/>
              <w:spacing w:before="40" w:after="40" w:line="220" w:lineRule="exact"/>
              <w:ind w:left="113" w:right="38"/>
              <w:jc w:val="right"/>
              <w:rPr>
                <w:rFonts w:eastAsia="Arial Unicode MS"/>
                <w:b/>
                <w:bCs/>
                <w:sz w:val="18"/>
                <w:szCs w:val="18"/>
                <w:lang w:eastAsia="de-DE"/>
              </w:rPr>
            </w:pPr>
            <w:r w:rsidRPr="00464EB2">
              <w:rPr>
                <w:rFonts w:eastAsia="Arial Unicode MS"/>
                <w:b/>
                <w:bCs/>
                <w:sz w:val="18"/>
                <w:szCs w:val="18"/>
                <w:lang w:eastAsia="de-DE"/>
              </w:rPr>
              <w:t>173.5</w:t>
            </w:r>
          </w:p>
        </w:tc>
        <w:tc>
          <w:tcPr>
            <w:tcW w:w="1674" w:type="dxa"/>
            <w:tcBorders>
              <w:top w:val="single" w:sz="4" w:space="0" w:color="auto"/>
              <w:bottom w:val="single" w:sz="12" w:space="0" w:color="auto"/>
            </w:tcBorders>
            <w:vAlign w:val="bottom"/>
          </w:tcPr>
          <w:p w14:paraId="4BC86AC0" w14:textId="77777777" w:rsidR="005140C3" w:rsidRPr="00464EB2" w:rsidRDefault="005140C3" w:rsidP="009F3C26">
            <w:pPr>
              <w:suppressAutoHyphens w:val="0"/>
              <w:spacing w:before="40" w:after="40" w:line="220" w:lineRule="exact"/>
              <w:ind w:left="113" w:right="38"/>
              <w:jc w:val="right"/>
              <w:rPr>
                <w:rFonts w:eastAsia="Arial Unicode MS"/>
                <w:b/>
                <w:bCs/>
                <w:sz w:val="18"/>
                <w:szCs w:val="18"/>
                <w:lang w:eastAsia="de-DE"/>
              </w:rPr>
            </w:pPr>
            <w:r w:rsidRPr="00464EB2">
              <w:rPr>
                <w:rFonts w:eastAsia="Arial Unicode MS"/>
                <w:b/>
                <w:bCs/>
                <w:sz w:val="18"/>
                <w:szCs w:val="18"/>
                <w:lang w:eastAsia="de-DE"/>
              </w:rPr>
              <w:t>173.5</w:t>
            </w:r>
          </w:p>
        </w:tc>
        <w:tc>
          <w:tcPr>
            <w:tcW w:w="1671" w:type="dxa"/>
            <w:tcBorders>
              <w:top w:val="single" w:sz="4" w:space="0" w:color="auto"/>
              <w:bottom w:val="single" w:sz="12" w:space="0" w:color="auto"/>
            </w:tcBorders>
            <w:vAlign w:val="bottom"/>
          </w:tcPr>
          <w:p w14:paraId="4BC86AC1" w14:textId="77777777" w:rsidR="005140C3" w:rsidRPr="00464EB2" w:rsidRDefault="005140C3" w:rsidP="009F3C26">
            <w:pPr>
              <w:suppressAutoHyphens w:val="0"/>
              <w:spacing w:line="240" w:lineRule="auto"/>
              <w:ind w:right="-85"/>
              <w:jc w:val="right"/>
              <w:rPr>
                <w:rFonts w:eastAsia="MS Mincho"/>
                <w:b/>
                <w:bCs/>
                <w:sz w:val="18"/>
                <w:szCs w:val="18"/>
                <w:lang w:eastAsia="de-DE"/>
              </w:rPr>
            </w:pPr>
            <w:r w:rsidRPr="00464EB2">
              <w:rPr>
                <w:rFonts w:eastAsia="MS Mincho"/>
                <w:b/>
                <w:bCs/>
                <w:sz w:val="18"/>
                <w:szCs w:val="18"/>
                <w:lang w:eastAsia="de-DE"/>
              </w:rPr>
              <w:t>173.5</w:t>
            </w:r>
          </w:p>
        </w:tc>
      </w:tr>
    </w:tbl>
    <w:p w14:paraId="4BC86AC3" w14:textId="6DA9C4EF" w:rsidR="005140C3" w:rsidRPr="00464EB2" w:rsidRDefault="00C421F9" w:rsidP="00C421F9">
      <w:pPr>
        <w:suppressAutoHyphens w:val="0"/>
        <w:spacing w:before="120" w:line="240" w:lineRule="auto"/>
        <w:ind w:right="38" w:firstLine="284"/>
        <w:rPr>
          <w:rFonts w:eastAsia="MS Mincho"/>
          <w:sz w:val="18"/>
          <w:szCs w:val="18"/>
          <w:lang w:eastAsia="de-DE"/>
        </w:rPr>
      </w:pPr>
      <w:bookmarkStart w:id="11" w:name="_Toc288663197"/>
      <w:r w:rsidRPr="00464EB2">
        <w:rPr>
          <w:rFonts w:eastAsia="MS Mincho"/>
          <w:i/>
          <w:sz w:val="18"/>
          <w:szCs w:val="18"/>
          <w:vertAlign w:val="superscript"/>
          <w:lang w:eastAsia="de-DE"/>
        </w:rPr>
        <w:t xml:space="preserve">a   </w:t>
      </w:r>
      <w:r w:rsidR="005140C3" w:rsidRPr="00464EB2">
        <w:rPr>
          <w:rFonts w:eastAsia="MS Mincho"/>
          <w:sz w:val="18"/>
          <w:szCs w:val="18"/>
          <w:lang w:eastAsia="de-DE"/>
        </w:rPr>
        <w:t>Assistant Secretary-General (ASG), Director (D) and Professional (P).</w:t>
      </w:r>
      <w:bookmarkEnd w:id="11"/>
    </w:p>
    <w:p w14:paraId="4BC86AC4" w14:textId="77777777" w:rsidR="005140C3" w:rsidRPr="00464EB2" w:rsidRDefault="005140C3" w:rsidP="005140C3">
      <w:pPr>
        <w:suppressAutoHyphens w:val="0"/>
        <w:spacing w:before="120" w:line="240" w:lineRule="auto"/>
        <w:ind w:left="1100" w:right="40" w:hanging="1100"/>
        <w:outlineLvl w:val="0"/>
        <w:rPr>
          <w:rFonts w:eastAsia="MS Mincho"/>
          <w:lang w:eastAsia="de-DE"/>
        </w:rPr>
      </w:pPr>
      <w:bookmarkStart w:id="12" w:name="_Toc318462684"/>
      <w:bookmarkStart w:id="13" w:name="_Toc318462727"/>
      <w:bookmarkStart w:id="14" w:name="_Toc318462919"/>
      <w:bookmarkStart w:id="15" w:name="_Toc318463365"/>
      <w:bookmarkStart w:id="16" w:name="_Toc285200583"/>
      <w:bookmarkStart w:id="17" w:name="_Toc288663224"/>
      <w:r w:rsidRPr="00464EB2">
        <w:rPr>
          <w:rFonts w:eastAsia="MS Mincho"/>
          <w:lang w:eastAsia="de-DE"/>
        </w:rPr>
        <w:lastRenderedPageBreak/>
        <w:t>Table 3</w:t>
      </w:r>
      <w:bookmarkEnd w:id="12"/>
      <w:bookmarkEnd w:id="13"/>
      <w:bookmarkEnd w:id="14"/>
      <w:bookmarkEnd w:id="15"/>
    </w:p>
    <w:p w14:paraId="4BC86AC5" w14:textId="77777777" w:rsidR="005140C3" w:rsidRPr="00464EB2" w:rsidRDefault="005140C3" w:rsidP="005140C3">
      <w:pPr>
        <w:suppressAutoHyphens w:val="0"/>
        <w:spacing w:after="120" w:line="240" w:lineRule="auto"/>
        <w:ind w:left="1100" w:right="38" w:hanging="1100"/>
        <w:outlineLvl w:val="0"/>
        <w:rPr>
          <w:rFonts w:eastAsia="MS Mincho"/>
          <w:b/>
          <w:bCs/>
          <w:lang w:eastAsia="de-DE"/>
        </w:rPr>
      </w:pPr>
      <w:bookmarkStart w:id="18" w:name="_Toc318462685"/>
      <w:bookmarkStart w:id="19" w:name="_Toc318462728"/>
      <w:bookmarkStart w:id="20" w:name="_Toc318462920"/>
      <w:bookmarkStart w:id="21" w:name="_Toc318463366"/>
      <w:r w:rsidRPr="00464EB2">
        <w:rPr>
          <w:rFonts w:eastAsia="MS Mincho"/>
          <w:b/>
          <w:lang w:eastAsia="de-DE"/>
        </w:rPr>
        <w:t>Resource requirements for the conference services contingency</w:t>
      </w:r>
      <w:bookmarkEnd w:id="16"/>
      <w:bookmarkEnd w:id="17"/>
      <w:bookmarkEnd w:id="18"/>
      <w:bookmarkEnd w:id="19"/>
      <w:bookmarkEnd w:id="20"/>
      <w:bookmarkEnd w:id="21"/>
    </w:p>
    <w:tbl>
      <w:tblPr>
        <w:tblW w:w="9639" w:type="dxa"/>
        <w:tblInd w:w="1" w:type="dxa"/>
        <w:tblBorders>
          <w:top w:val="single" w:sz="4" w:space="0" w:color="auto"/>
        </w:tblBorders>
        <w:tblCellMar>
          <w:left w:w="0" w:type="dxa"/>
          <w:right w:w="113" w:type="dxa"/>
        </w:tblCellMar>
        <w:tblLook w:val="00A0" w:firstRow="1" w:lastRow="0" w:firstColumn="1" w:lastColumn="0" w:noHBand="0" w:noVBand="0"/>
      </w:tblPr>
      <w:tblGrid>
        <w:gridCol w:w="4016"/>
        <w:gridCol w:w="1874"/>
        <w:gridCol w:w="1874"/>
        <w:gridCol w:w="1875"/>
      </w:tblGrid>
      <w:tr w:rsidR="005140C3" w:rsidRPr="00464EB2" w14:paraId="4BC86ACA" w14:textId="77777777" w:rsidTr="009F3C26">
        <w:trPr>
          <w:trHeight w:val="284"/>
          <w:tblHeader/>
        </w:trPr>
        <w:tc>
          <w:tcPr>
            <w:tcW w:w="3544" w:type="dxa"/>
            <w:tcBorders>
              <w:top w:val="single" w:sz="4" w:space="0" w:color="auto"/>
              <w:bottom w:val="single" w:sz="12" w:space="0" w:color="auto"/>
            </w:tcBorders>
            <w:vAlign w:val="bottom"/>
          </w:tcPr>
          <w:p w14:paraId="4BC86AC6" w14:textId="77777777" w:rsidR="005140C3" w:rsidRPr="00464EB2" w:rsidRDefault="005140C3" w:rsidP="009F3C26">
            <w:pPr>
              <w:suppressAutoHyphens w:val="0"/>
              <w:spacing w:before="80" w:after="80" w:line="200" w:lineRule="exact"/>
              <w:ind w:right="38"/>
              <w:rPr>
                <w:rFonts w:eastAsia="Arial Unicode MS"/>
                <w:bCs/>
                <w:i/>
                <w:sz w:val="16"/>
                <w:lang w:eastAsia="de-DE"/>
              </w:rPr>
            </w:pPr>
          </w:p>
        </w:tc>
        <w:tc>
          <w:tcPr>
            <w:tcW w:w="1653" w:type="dxa"/>
            <w:tcBorders>
              <w:top w:val="single" w:sz="4" w:space="0" w:color="auto"/>
              <w:bottom w:val="single" w:sz="12" w:space="0" w:color="auto"/>
            </w:tcBorders>
            <w:vAlign w:val="bottom"/>
          </w:tcPr>
          <w:p w14:paraId="4BC86AC7" w14:textId="77777777" w:rsidR="005140C3" w:rsidRPr="00464EB2" w:rsidRDefault="005140C3" w:rsidP="009F3C26">
            <w:pPr>
              <w:suppressAutoHyphens w:val="0"/>
              <w:autoSpaceDE w:val="0"/>
              <w:autoSpaceDN w:val="0"/>
              <w:adjustRightInd w:val="0"/>
              <w:spacing w:before="80" w:after="80" w:line="200" w:lineRule="exact"/>
              <w:ind w:left="113" w:right="38"/>
              <w:jc w:val="right"/>
              <w:rPr>
                <w:rFonts w:eastAsia="MS Mincho"/>
                <w:bCs/>
                <w:i/>
                <w:sz w:val="16"/>
                <w:lang w:eastAsia="de-DE"/>
              </w:rPr>
            </w:pPr>
            <w:r w:rsidRPr="00464EB2">
              <w:rPr>
                <w:rFonts w:eastAsia="MS Mincho"/>
                <w:bCs/>
                <w:i/>
                <w:sz w:val="16"/>
                <w:lang w:eastAsia="de-DE"/>
              </w:rPr>
              <w:t>2016 (EUR)</w:t>
            </w:r>
          </w:p>
        </w:tc>
        <w:tc>
          <w:tcPr>
            <w:tcW w:w="1653" w:type="dxa"/>
            <w:tcBorders>
              <w:top w:val="single" w:sz="4" w:space="0" w:color="auto"/>
              <w:bottom w:val="single" w:sz="12" w:space="0" w:color="auto"/>
            </w:tcBorders>
            <w:vAlign w:val="bottom"/>
          </w:tcPr>
          <w:p w14:paraId="4BC86AC8" w14:textId="77777777" w:rsidR="005140C3" w:rsidRPr="00464EB2" w:rsidRDefault="005140C3" w:rsidP="009F3C26">
            <w:pPr>
              <w:suppressAutoHyphens w:val="0"/>
              <w:autoSpaceDE w:val="0"/>
              <w:autoSpaceDN w:val="0"/>
              <w:adjustRightInd w:val="0"/>
              <w:spacing w:before="80" w:after="80" w:line="200" w:lineRule="exact"/>
              <w:ind w:left="113" w:right="38"/>
              <w:jc w:val="right"/>
              <w:rPr>
                <w:rFonts w:eastAsia="MS Mincho"/>
                <w:bCs/>
                <w:i/>
                <w:sz w:val="16"/>
                <w:lang w:eastAsia="de-DE"/>
              </w:rPr>
            </w:pPr>
            <w:r w:rsidRPr="00464EB2">
              <w:rPr>
                <w:rFonts w:eastAsia="MS Mincho"/>
                <w:bCs/>
                <w:i/>
                <w:sz w:val="16"/>
                <w:lang w:eastAsia="de-DE"/>
              </w:rPr>
              <w:t>2017 (EUR)</w:t>
            </w:r>
          </w:p>
        </w:tc>
        <w:tc>
          <w:tcPr>
            <w:tcW w:w="1654" w:type="dxa"/>
            <w:tcBorders>
              <w:top w:val="single" w:sz="4" w:space="0" w:color="auto"/>
              <w:bottom w:val="single" w:sz="12" w:space="0" w:color="auto"/>
            </w:tcBorders>
            <w:vAlign w:val="bottom"/>
          </w:tcPr>
          <w:p w14:paraId="4BC86AC9" w14:textId="06ACC7FC" w:rsidR="005140C3" w:rsidRPr="00464EB2" w:rsidRDefault="00A375F4" w:rsidP="00FC7C1D">
            <w:pPr>
              <w:suppressAutoHyphens w:val="0"/>
              <w:autoSpaceDE w:val="0"/>
              <w:autoSpaceDN w:val="0"/>
              <w:adjustRightInd w:val="0"/>
              <w:spacing w:before="80" w:after="80" w:line="200" w:lineRule="exact"/>
              <w:ind w:left="113" w:right="-118"/>
              <w:jc w:val="right"/>
              <w:rPr>
                <w:rFonts w:eastAsia="MS Mincho"/>
                <w:bCs/>
                <w:i/>
                <w:sz w:val="16"/>
                <w:lang w:eastAsia="de-DE"/>
              </w:rPr>
            </w:pPr>
            <w:r>
              <w:rPr>
                <w:rFonts w:eastAsia="MS Mincho"/>
                <w:bCs/>
                <w:i/>
                <w:sz w:val="16"/>
                <w:lang w:eastAsia="de-DE"/>
              </w:rPr>
              <w:t xml:space="preserve">Total </w:t>
            </w:r>
            <w:r w:rsidR="005140C3" w:rsidRPr="00464EB2">
              <w:rPr>
                <w:rFonts w:eastAsia="MS Mincho"/>
                <w:bCs/>
                <w:i/>
                <w:sz w:val="16"/>
                <w:lang w:eastAsia="de-DE"/>
              </w:rPr>
              <w:t>2016–2017 (EUR)</w:t>
            </w:r>
          </w:p>
        </w:tc>
      </w:tr>
      <w:tr w:rsidR="005140C3" w:rsidRPr="00464EB2" w14:paraId="4BC86ACF" w14:textId="77777777" w:rsidTr="009F3C26">
        <w:trPr>
          <w:trHeight w:val="284"/>
        </w:trPr>
        <w:tc>
          <w:tcPr>
            <w:tcW w:w="3544" w:type="dxa"/>
            <w:tcBorders>
              <w:top w:val="single" w:sz="12" w:space="0" w:color="auto"/>
            </w:tcBorders>
            <w:vAlign w:val="bottom"/>
          </w:tcPr>
          <w:p w14:paraId="4BC86ACB" w14:textId="77777777" w:rsidR="005140C3" w:rsidRPr="00464EB2" w:rsidRDefault="005140C3" w:rsidP="009F3C26">
            <w:pPr>
              <w:suppressAutoHyphens w:val="0"/>
              <w:spacing w:before="40" w:after="40" w:line="220" w:lineRule="exact"/>
              <w:ind w:right="38"/>
              <w:rPr>
                <w:rFonts w:eastAsia="Arial Unicode MS"/>
                <w:i/>
                <w:sz w:val="18"/>
                <w:lang w:eastAsia="de-DE"/>
              </w:rPr>
            </w:pPr>
            <w:r w:rsidRPr="00464EB2">
              <w:rPr>
                <w:rFonts w:eastAsia="MS Mincho"/>
                <w:i/>
                <w:sz w:val="18"/>
                <w:lang w:eastAsia="de-DE"/>
              </w:rPr>
              <w:t>Object of expenditure</w:t>
            </w:r>
          </w:p>
        </w:tc>
        <w:tc>
          <w:tcPr>
            <w:tcW w:w="1653" w:type="dxa"/>
            <w:tcBorders>
              <w:top w:val="single" w:sz="12" w:space="0" w:color="auto"/>
            </w:tcBorders>
            <w:vAlign w:val="bottom"/>
          </w:tcPr>
          <w:p w14:paraId="4BC86ACC" w14:textId="77777777" w:rsidR="005140C3" w:rsidRPr="00464EB2" w:rsidRDefault="005140C3" w:rsidP="009F3C26">
            <w:pPr>
              <w:suppressAutoHyphens w:val="0"/>
              <w:spacing w:before="40" w:after="40" w:line="220" w:lineRule="exact"/>
              <w:ind w:left="113" w:right="38"/>
              <w:jc w:val="right"/>
              <w:rPr>
                <w:rFonts w:eastAsia="MS Mincho"/>
                <w:sz w:val="18"/>
                <w:lang w:eastAsia="de-DE"/>
              </w:rPr>
            </w:pPr>
          </w:p>
        </w:tc>
        <w:tc>
          <w:tcPr>
            <w:tcW w:w="1653" w:type="dxa"/>
            <w:tcBorders>
              <w:top w:val="single" w:sz="12" w:space="0" w:color="auto"/>
            </w:tcBorders>
            <w:vAlign w:val="bottom"/>
          </w:tcPr>
          <w:p w14:paraId="4BC86ACD" w14:textId="77777777" w:rsidR="005140C3" w:rsidRPr="00464EB2" w:rsidRDefault="005140C3" w:rsidP="009F3C26">
            <w:pPr>
              <w:suppressAutoHyphens w:val="0"/>
              <w:spacing w:before="40" w:after="40" w:line="220" w:lineRule="exact"/>
              <w:ind w:left="113" w:right="38"/>
              <w:jc w:val="right"/>
              <w:rPr>
                <w:rFonts w:eastAsia="MS Mincho"/>
                <w:sz w:val="18"/>
                <w:lang w:eastAsia="de-DE"/>
              </w:rPr>
            </w:pPr>
          </w:p>
        </w:tc>
        <w:tc>
          <w:tcPr>
            <w:tcW w:w="1654" w:type="dxa"/>
            <w:tcBorders>
              <w:top w:val="single" w:sz="12" w:space="0" w:color="auto"/>
            </w:tcBorders>
            <w:vAlign w:val="bottom"/>
          </w:tcPr>
          <w:p w14:paraId="4BC86ACE" w14:textId="77777777" w:rsidR="005140C3" w:rsidRPr="00464EB2" w:rsidRDefault="005140C3" w:rsidP="009F3C26">
            <w:pPr>
              <w:suppressAutoHyphens w:val="0"/>
              <w:spacing w:before="40" w:after="40" w:line="220" w:lineRule="exact"/>
              <w:ind w:left="113" w:right="-85"/>
              <w:jc w:val="right"/>
              <w:rPr>
                <w:rFonts w:eastAsia="MS Mincho"/>
                <w:sz w:val="18"/>
                <w:lang w:eastAsia="de-DE"/>
              </w:rPr>
            </w:pPr>
          </w:p>
        </w:tc>
      </w:tr>
      <w:tr w:rsidR="005140C3" w:rsidRPr="00464EB2" w14:paraId="4BC86AD4" w14:textId="77777777" w:rsidTr="009F3C26">
        <w:trPr>
          <w:trHeight w:val="284"/>
        </w:trPr>
        <w:tc>
          <w:tcPr>
            <w:tcW w:w="3544" w:type="dxa"/>
            <w:vAlign w:val="bottom"/>
          </w:tcPr>
          <w:p w14:paraId="4BC86AD0" w14:textId="77777777" w:rsidR="005140C3" w:rsidRPr="00464EB2" w:rsidRDefault="005140C3" w:rsidP="009F3C26">
            <w:pPr>
              <w:suppressAutoHyphens w:val="0"/>
              <w:spacing w:before="40" w:after="40" w:line="220" w:lineRule="exact"/>
              <w:ind w:right="38"/>
              <w:rPr>
                <w:rFonts w:eastAsia="Arial Unicode MS"/>
                <w:sz w:val="18"/>
                <w:lang w:eastAsia="de-DE"/>
              </w:rPr>
            </w:pPr>
            <w:r w:rsidRPr="00464EB2">
              <w:rPr>
                <w:rFonts w:eastAsia="MS Mincho"/>
                <w:sz w:val="18"/>
                <w:lang w:eastAsia="de-DE"/>
              </w:rPr>
              <w:t>Interpretation</w:t>
            </w:r>
            <w:r w:rsidRPr="00464EB2">
              <w:rPr>
                <w:rFonts w:eastAsia="MS Mincho"/>
                <w:i/>
                <w:sz w:val="18"/>
                <w:vertAlign w:val="superscript"/>
                <w:lang w:eastAsia="de-DE"/>
              </w:rPr>
              <w:t>a</w:t>
            </w:r>
          </w:p>
        </w:tc>
        <w:tc>
          <w:tcPr>
            <w:tcW w:w="1653" w:type="dxa"/>
            <w:vAlign w:val="center"/>
          </w:tcPr>
          <w:p w14:paraId="4BC86AD1" w14:textId="77777777" w:rsidR="005140C3" w:rsidRPr="00464EB2" w:rsidRDefault="005140C3" w:rsidP="009F3C26">
            <w:pPr>
              <w:suppressAutoHyphens w:val="0"/>
              <w:spacing w:line="240" w:lineRule="auto"/>
              <w:ind w:right="38"/>
              <w:jc w:val="right"/>
              <w:rPr>
                <w:rFonts w:eastAsia="MS Mincho"/>
                <w:sz w:val="18"/>
                <w:szCs w:val="18"/>
                <w:highlight w:val="yellow"/>
                <w:lang w:eastAsia="de-DE"/>
              </w:rPr>
            </w:pPr>
            <w:r w:rsidRPr="00464EB2">
              <w:rPr>
                <w:rFonts w:eastAsia="MS Mincho"/>
                <w:sz w:val="18"/>
                <w:szCs w:val="18"/>
                <w:lang w:eastAsia="de-DE"/>
              </w:rPr>
              <w:t xml:space="preserve"> 1 258 100</w:t>
            </w:r>
          </w:p>
        </w:tc>
        <w:tc>
          <w:tcPr>
            <w:tcW w:w="1653" w:type="dxa"/>
            <w:vAlign w:val="center"/>
          </w:tcPr>
          <w:p w14:paraId="4BC86AD2" w14:textId="77777777" w:rsidR="005140C3" w:rsidRPr="00464EB2" w:rsidRDefault="005140C3" w:rsidP="009F3C26">
            <w:pPr>
              <w:suppressAutoHyphens w:val="0"/>
              <w:spacing w:line="240" w:lineRule="auto"/>
              <w:ind w:right="38"/>
              <w:jc w:val="right"/>
              <w:rPr>
                <w:rFonts w:eastAsia="MS Mincho"/>
                <w:sz w:val="18"/>
                <w:szCs w:val="18"/>
                <w:highlight w:val="yellow"/>
                <w:lang w:eastAsia="de-DE"/>
              </w:rPr>
            </w:pPr>
            <w:r w:rsidRPr="00464EB2">
              <w:rPr>
                <w:rFonts w:eastAsia="MS Mincho"/>
                <w:sz w:val="18"/>
                <w:szCs w:val="18"/>
                <w:lang w:eastAsia="de-DE"/>
              </w:rPr>
              <w:t xml:space="preserve"> 1 295 900</w:t>
            </w:r>
          </w:p>
        </w:tc>
        <w:tc>
          <w:tcPr>
            <w:tcW w:w="1654" w:type="dxa"/>
            <w:vAlign w:val="center"/>
          </w:tcPr>
          <w:p w14:paraId="4BC86AD3" w14:textId="77777777" w:rsidR="005140C3" w:rsidRPr="00464EB2" w:rsidRDefault="005140C3" w:rsidP="009F3C26">
            <w:pPr>
              <w:suppressAutoHyphens w:val="0"/>
              <w:spacing w:line="240" w:lineRule="auto"/>
              <w:ind w:right="-85"/>
              <w:jc w:val="right"/>
              <w:rPr>
                <w:rFonts w:eastAsia="MS Mincho"/>
                <w:sz w:val="18"/>
                <w:szCs w:val="18"/>
                <w:highlight w:val="yellow"/>
                <w:lang w:eastAsia="de-DE"/>
              </w:rPr>
            </w:pPr>
            <w:r w:rsidRPr="00464EB2">
              <w:rPr>
                <w:rFonts w:eastAsia="MS Mincho"/>
                <w:sz w:val="18"/>
                <w:szCs w:val="18"/>
                <w:lang w:eastAsia="de-DE"/>
              </w:rPr>
              <w:t xml:space="preserve"> 2 554 000</w:t>
            </w:r>
          </w:p>
        </w:tc>
      </w:tr>
      <w:tr w:rsidR="005140C3" w:rsidRPr="00464EB2" w14:paraId="4BC86AD9" w14:textId="77777777" w:rsidTr="009F3C26">
        <w:trPr>
          <w:trHeight w:val="284"/>
        </w:trPr>
        <w:tc>
          <w:tcPr>
            <w:tcW w:w="3544" w:type="dxa"/>
            <w:vAlign w:val="bottom"/>
          </w:tcPr>
          <w:p w14:paraId="4BC86AD5" w14:textId="77777777" w:rsidR="005140C3" w:rsidRPr="00464EB2" w:rsidRDefault="005140C3" w:rsidP="009F3C26">
            <w:pPr>
              <w:suppressAutoHyphens w:val="0"/>
              <w:spacing w:before="40" w:after="40" w:line="220" w:lineRule="exact"/>
              <w:ind w:right="38"/>
              <w:rPr>
                <w:rFonts w:eastAsia="Arial Unicode MS"/>
                <w:bCs/>
                <w:sz w:val="18"/>
                <w:lang w:eastAsia="de-DE"/>
              </w:rPr>
            </w:pPr>
            <w:r w:rsidRPr="00464EB2">
              <w:rPr>
                <w:rFonts w:eastAsia="MS Mincho"/>
                <w:sz w:val="18"/>
                <w:lang w:eastAsia="de-DE"/>
              </w:rPr>
              <w:t>Documentation</w:t>
            </w:r>
            <w:r w:rsidRPr="00464EB2">
              <w:rPr>
                <w:rFonts w:eastAsia="MS Mincho"/>
                <w:i/>
                <w:sz w:val="18"/>
                <w:vertAlign w:val="superscript"/>
                <w:lang w:eastAsia="de-DE"/>
              </w:rPr>
              <w:t>b</w:t>
            </w:r>
          </w:p>
        </w:tc>
        <w:tc>
          <w:tcPr>
            <w:tcW w:w="1653" w:type="dxa"/>
            <w:vAlign w:val="center"/>
          </w:tcPr>
          <w:p w14:paraId="4BC86AD6" w14:textId="77777777" w:rsidR="005140C3" w:rsidRPr="00464EB2" w:rsidRDefault="005140C3" w:rsidP="009F3C26">
            <w:pPr>
              <w:suppressAutoHyphens w:val="0"/>
              <w:spacing w:line="240" w:lineRule="auto"/>
              <w:ind w:right="38"/>
              <w:jc w:val="right"/>
              <w:rPr>
                <w:rFonts w:eastAsia="MS Mincho"/>
                <w:sz w:val="18"/>
                <w:szCs w:val="18"/>
                <w:highlight w:val="yellow"/>
                <w:lang w:eastAsia="de-DE"/>
              </w:rPr>
            </w:pPr>
          </w:p>
        </w:tc>
        <w:tc>
          <w:tcPr>
            <w:tcW w:w="1653" w:type="dxa"/>
            <w:vAlign w:val="center"/>
          </w:tcPr>
          <w:p w14:paraId="4BC86AD7" w14:textId="77777777" w:rsidR="005140C3" w:rsidRPr="00464EB2" w:rsidRDefault="005140C3" w:rsidP="009F3C26">
            <w:pPr>
              <w:suppressAutoHyphens w:val="0"/>
              <w:spacing w:line="240" w:lineRule="auto"/>
              <w:ind w:right="38"/>
              <w:jc w:val="right"/>
              <w:rPr>
                <w:rFonts w:eastAsia="MS Mincho"/>
                <w:sz w:val="18"/>
                <w:szCs w:val="18"/>
                <w:highlight w:val="yellow"/>
                <w:lang w:eastAsia="de-DE"/>
              </w:rPr>
            </w:pPr>
          </w:p>
        </w:tc>
        <w:tc>
          <w:tcPr>
            <w:tcW w:w="1654" w:type="dxa"/>
            <w:vAlign w:val="center"/>
          </w:tcPr>
          <w:p w14:paraId="4BC86AD8" w14:textId="77777777" w:rsidR="005140C3" w:rsidRPr="00464EB2" w:rsidRDefault="005140C3" w:rsidP="009F3C26">
            <w:pPr>
              <w:suppressAutoHyphens w:val="0"/>
              <w:spacing w:line="240" w:lineRule="auto"/>
              <w:ind w:right="-85"/>
              <w:jc w:val="right"/>
              <w:rPr>
                <w:rFonts w:eastAsia="MS Mincho"/>
                <w:sz w:val="18"/>
                <w:szCs w:val="18"/>
                <w:highlight w:val="yellow"/>
                <w:lang w:eastAsia="de-DE"/>
              </w:rPr>
            </w:pPr>
          </w:p>
        </w:tc>
      </w:tr>
      <w:tr w:rsidR="005140C3" w:rsidRPr="00464EB2" w14:paraId="4BC86ADE" w14:textId="77777777" w:rsidTr="009F3C26">
        <w:trPr>
          <w:trHeight w:val="284"/>
        </w:trPr>
        <w:tc>
          <w:tcPr>
            <w:tcW w:w="3544" w:type="dxa"/>
            <w:vAlign w:val="bottom"/>
          </w:tcPr>
          <w:p w14:paraId="4BC86ADA" w14:textId="77777777" w:rsidR="005140C3" w:rsidRPr="00464EB2" w:rsidRDefault="005140C3" w:rsidP="009F3C26">
            <w:pPr>
              <w:suppressAutoHyphens w:val="0"/>
              <w:spacing w:before="40" w:after="40" w:line="220" w:lineRule="exact"/>
              <w:ind w:left="266" w:right="38"/>
              <w:rPr>
                <w:rFonts w:eastAsia="Arial Unicode MS"/>
                <w:sz w:val="18"/>
                <w:lang w:eastAsia="de-DE"/>
              </w:rPr>
            </w:pPr>
            <w:r w:rsidRPr="00464EB2">
              <w:rPr>
                <w:rFonts w:eastAsia="MS Mincho"/>
                <w:sz w:val="18"/>
                <w:lang w:eastAsia="de-DE"/>
              </w:rPr>
              <w:t>Translation</w:t>
            </w:r>
          </w:p>
        </w:tc>
        <w:tc>
          <w:tcPr>
            <w:tcW w:w="1653" w:type="dxa"/>
            <w:tcBorders>
              <w:bottom w:val="nil"/>
            </w:tcBorders>
            <w:vAlign w:val="center"/>
          </w:tcPr>
          <w:p w14:paraId="4BC86ADB" w14:textId="77777777" w:rsidR="005140C3" w:rsidRPr="00464EB2" w:rsidRDefault="005140C3" w:rsidP="009F3C26">
            <w:pPr>
              <w:suppressAutoHyphens w:val="0"/>
              <w:spacing w:line="240" w:lineRule="auto"/>
              <w:ind w:right="38"/>
              <w:jc w:val="right"/>
              <w:rPr>
                <w:rFonts w:eastAsia="MS Mincho"/>
                <w:sz w:val="18"/>
                <w:szCs w:val="18"/>
                <w:highlight w:val="yellow"/>
                <w:lang w:eastAsia="de-DE"/>
              </w:rPr>
            </w:pPr>
            <w:r w:rsidRPr="00464EB2">
              <w:rPr>
                <w:rFonts w:eastAsia="MS Mincho"/>
                <w:sz w:val="18"/>
                <w:szCs w:val="18"/>
                <w:lang w:eastAsia="de-DE"/>
              </w:rPr>
              <w:t xml:space="preserve"> 2 104 500</w:t>
            </w:r>
          </w:p>
        </w:tc>
        <w:tc>
          <w:tcPr>
            <w:tcW w:w="1653" w:type="dxa"/>
            <w:tcBorders>
              <w:bottom w:val="nil"/>
            </w:tcBorders>
            <w:vAlign w:val="center"/>
          </w:tcPr>
          <w:p w14:paraId="4BC86ADC" w14:textId="77777777" w:rsidR="005140C3" w:rsidRPr="00464EB2" w:rsidRDefault="005140C3" w:rsidP="009F3C26">
            <w:pPr>
              <w:suppressAutoHyphens w:val="0"/>
              <w:spacing w:line="240" w:lineRule="auto"/>
              <w:ind w:right="38"/>
              <w:jc w:val="right"/>
              <w:rPr>
                <w:rFonts w:eastAsia="MS Mincho"/>
                <w:sz w:val="18"/>
                <w:szCs w:val="18"/>
                <w:highlight w:val="yellow"/>
                <w:lang w:eastAsia="de-DE"/>
              </w:rPr>
            </w:pPr>
            <w:r w:rsidRPr="00464EB2">
              <w:rPr>
                <w:rFonts w:eastAsia="MS Mincho"/>
                <w:sz w:val="18"/>
                <w:szCs w:val="18"/>
                <w:lang w:eastAsia="de-DE"/>
              </w:rPr>
              <w:t xml:space="preserve"> 2 167 700</w:t>
            </w:r>
          </w:p>
        </w:tc>
        <w:tc>
          <w:tcPr>
            <w:tcW w:w="1654" w:type="dxa"/>
            <w:tcBorders>
              <w:bottom w:val="nil"/>
            </w:tcBorders>
            <w:vAlign w:val="center"/>
          </w:tcPr>
          <w:p w14:paraId="4BC86ADD" w14:textId="77777777" w:rsidR="005140C3" w:rsidRPr="00464EB2" w:rsidRDefault="005140C3" w:rsidP="009F3C26">
            <w:pPr>
              <w:suppressAutoHyphens w:val="0"/>
              <w:spacing w:line="240" w:lineRule="auto"/>
              <w:ind w:right="-85"/>
              <w:jc w:val="right"/>
              <w:rPr>
                <w:rFonts w:eastAsia="MS Mincho"/>
                <w:sz w:val="18"/>
                <w:szCs w:val="18"/>
                <w:highlight w:val="yellow"/>
                <w:lang w:eastAsia="de-DE"/>
              </w:rPr>
            </w:pPr>
            <w:r w:rsidRPr="00464EB2">
              <w:rPr>
                <w:rFonts w:eastAsia="MS Mincho"/>
                <w:sz w:val="18"/>
                <w:szCs w:val="18"/>
                <w:lang w:eastAsia="de-DE"/>
              </w:rPr>
              <w:t xml:space="preserve">  4 272 200</w:t>
            </w:r>
          </w:p>
        </w:tc>
      </w:tr>
      <w:tr w:rsidR="005140C3" w:rsidRPr="00464EB2" w14:paraId="4BC86AE3" w14:textId="77777777" w:rsidTr="009F3C26">
        <w:trPr>
          <w:trHeight w:val="284"/>
        </w:trPr>
        <w:tc>
          <w:tcPr>
            <w:tcW w:w="3544" w:type="dxa"/>
            <w:vAlign w:val="bottom"/>
          </w:tcPr>
          <w:p w14:paraId="4BC86ADF" w14:textId="77777777" w:rsidR="005140C3" w:rsidRPr="00464EB2" w:rsidRDefault="005140C3" w:rsidP="009F3C26">
            <w:pPr>
              <w:suppressAutoHyphens w:val="0"/>
              <w:spacing w:before="40" w:after="40" w:line="220" w:lineRule="exact"/>
              <w:ind w:left="266" w:right="38"/>
              <w:rPr>
                <w:rFonts w:eastAsia="Arial Unicode MS"/>
                <w:sz w:val="18"/>
                <w:lang w:eastAsia="de-DE"/>
              </w:rPr>
            </w:pPr>
            <w:r w:rsidRPr="00464EB2">
              <w:rPr>
                <w:rFonts w:eastAsia="MS Mincho"/>
                <w:sz w:val="18"/>
                <w:lang w:eastAsia="de-DE"/>
              </w:rPr>
              <w:t>Reproduction and distribution</w:t>
            </w:r>
          </w:p>
        </w:tc>
        <w:tc>
          <w:tcPr>
            <w:tcW w:w="1653" w:type="dxa"/>
            <w:tcBorders>
              <w:top w:val="nil"/>
              <w:bottom w:val="nil"/>
            </w:tcBorders>
            <w:vAlign w:val="center"/>
          </w:tcPr>
          <w:p w14:paraId="4BC86AE0" w14:textId="77777777" w:rsidR="005140C3" w:rsidRPr="00464EB2" w:rsidRDefault="005140C3" w:rsidP="009F3C26">
            <w:pPr>
              <w:suppressAutoHyphens w:val="0"/>
              <w:spacing w:line="240" w:lineRule="auto"/>
              <w:ind w:right="38"/>
              <w:jc w:val="right"/>
              <w:rPr>
                <w:rFonts w:eastAsia="MS Mincho"/>
                <w:sz w:val="18"/>
                <w:szCs w:val="18"/>
                <w:highlight w:val="yellow"/>
                <w:lang w:eastAsia="de-DE"/>
              </w:rPr>
            </w:pPr>
            <w:r w:rsidRPr="00464EB2">
              <w:rPr>
                <w:rFonts w:eastAsia="MS Mincho"/>
                <w:sz w:val="18"/>
                <w:szCs w:val="18"/>
                <w:lang w:eastAsia="de-DE"/>
              </w:rPr>
              <w:t xml:space="preserve"> 719 900</w:t>
            </w:r>
          </w:p>
        </w:tc>
        <w:tc>
          <w:tcPr>
            <w:tcW w:w="1653" w:type="dxa"/>
            <w:tcBorders>
              <w:top w:val="nil"/>
              <w:bottom w:val="nil"/>
            </w:tcBorders>
            <w:vAlign w:val="center"/>
          </w:tcPr>
          <w:p w14:paraId="4BC86AE1" w14:textId="77777777" w:rsidR="005140C3" w:rsidRPr="00464EB2" w:rsidRDefault="005140C3" w:rsidP="009F3C26">
            <w:pPr>
              <w:suppressAutoHyphens w:val="0"/>
              <w:spacing w:line="240" w:lineRule="auto"/>
              <w:ind w:right="38"/>
              <w:jc w:val="right"/>
              <w:rPr>
                <w:rFonts w:eastAsia="MS Mincho"/>
                <w:sz w:val="18"/>
                <w:szCs w:val="18"/>
                <w:highlight w:val="yellow"/>
                <w:lang w:eastAsia="de-DE"/>
              </w:rPr>
            </w:pPr>
            <w:r w:rsidRPr="00464EB2">
              <w:rPr>
                <w:rFonts w:eastAsia="MS Mincho"/>
                <w:sz w:val="18"/>
                <w:szCs w:val="18"/>
                <w:lang w:eastAsia="de-DE"/>
              </w:rPr>
              <w:t xml:space="preserve"> 741 500</w:t>
            </w:r>
          </w:p>
        </w:tc>
        <w:tc>
          <w:tcPr>
            <w:tcW w:w="1654" w:type="dxa"/>
            <w:tcBorders>
              <w:top w:val="nil"/>
              <w:bottom w:val="nil"/>
            </w:tcBorders>
            <w:vAlign w:val="center"/>
          </w:tcPr>
          <w:p w14:paraId="4BC86AE2" w14:textId="77777777" w:rsidR="005140C3" w:rsidRPr="00464EB2" w:rsidRDefault="005140C3" w:rsidP="009F3C26">
            <w:pPr>
              <w:suppressAutoHyphens w:val="0"/>
              <w:spacing w:line="240" w:lineRule="auto"/>
              <w:ind w:right="-85"/>
              <w:jc w:val="right"/>
              <w:rPr>
                <w:rFonts w:eastAsia="MS Mincho"/>
                <w:sz w:val="18"/>
                <w:szCs w:val="18"/>
                <w:highlight w:val="yellow"/>
                <w:lang w:eastAsia="de-DE"/>
              </w:rPr>
            </w:pPr>
            <w:r w:rsidRPr="00464EB2">
              <w:rPr>
                <w:rFonts w:eastAsia="MS Mincho"/>
                <w:sz w:val="18"/>
                <w:szCs w:val="18"/>
                <w:lang w:eastAsia="de-DE"/>
              </w:rPr>
              <w:t xml:space="preserve"> 1 461 400</w:t>
            </w:r>
          </w:p>
        </w:tc>
      </w:tr>
      <w:tr w:rsidR="005140C3" w:rsidRPr="00464EB2" w14:paraId="4BC86AE8" w14:textId="77777777" w:rsidTr="009F3C26">
        <w:trPr>
          <w:trHeight w:val="284"/>
        </w:trPr>
        <w:tc>
          <w:tcPr>
            <w:tcW w:w="3544" w:type="dxa"/>
            <w:tcBorders>
              <w:bottom w:val="single" w:sz="4" w:space="0" w:color="auto"/>
            </w:tcBorders>
            <w:vAlign w:val="bottom"/>
          </w:tcPr>
          <w:p w14:paraId="4BC86AE4" w14:textId="77777777" w:rsidR="005140C3" w:rsidRPr="00464EB2" w:rsidRDefault="005140C3" w:rsidP="009F3C26">
            <w:pPr>
              <w:suppressAutoHyphens w:val="0"/>
              <w:spacing w:before="40" w:after="40" w:line="220" w:lineRule="exact"/>
              <w:ind w:right="38"/>
              <w:rPr>
                <w:rFonts w:eastAsia="Arial Unicode MS"/>
                <w:sz w:val="18"/>
                <w:lang w:eastAsia="de-DE"/>
              </w:rPr>
            </w:pPr>
            <w:r w:rsidRPr="00464EB2">
              <w:rPr>
                <w:rFonts w:eastAsia="MS Mincho"/>
                <w:sz w:val="18"/>
                <w:lang w:eastAsia="de-DE"/>
              </w:rPr>
              <w:t>Meetings services support</w:t>
            </w:r>
            <w:r w:rsidRPr="00464EB2">
              <w:rPr>
                <w:rFonts w:eastAsia="MS Mincho"/>
                <w:i/>
                <w:sz w:val="18"/>
                <w:vertAlign w:val="superscript"/>
                <w:lang w:eastAsia="de-DE"/>
              </w:rPr>
              <w:t>c</w:t>
            </w:r>
          </w:p>
        </w:tc>
        <w:tc>
          <w:tcPr>
            <w:tcW w:w="1653" w:type="dxa"/>
            <w:tcBorders>
              <w:top w:val="nil"/>
              <w:bottom w:val="single" w:sz="4" w:space="0" w:color="auto"/>
            </w:tcBorders>
            <w:vAlign w:val="center"/>
          </w:tcPr>
          <w:p w14:paraId="4BC86AE5" w14:textId="77777777" w:rsidR="005140C3" w:rsidRPr="00464EB2" w:rsidRDefault="005140C3" w:rsidP="009F3C26">
            <w:pPr>
              <w:suppressAutoHyphens w:val="0"/>
              <w:spacing w:line="240" w:lineRule="auto"/>
              <w:ind w:right="38"/>
              <w:jc w:val="right"/>
              <w:rPr>
                <w:rFonts w:eastAsia="MS Mincho"/>
                <w:sz w:val="18"/>
                <w:szCs w:val="18"/>
                <w:highlight w:val="yellow"/>
                <w:lang w:eastAsia="de-DE"/>
              </w:rPr>
            </w:pPr>
            <w:r w:rsidRPr="00464EB2">
              <w:rPr>
                <w:rFonts w:eastAsia="MS Mincho"/>
                <w:sz w:val="18"/>
                <w:szCs w:val="18"/>
                <w:lang w:eastAsia="de-DE"/>
              </w:rPr>
              <w:t xml:space="preserve"> 259 200</w:t>
            </w:r>
          </w:p>
        </w:tc>
        <w:tc>
          <w:tcPr>
            <w:tcW w:w="1653" w:type="dxa"/>
            <w:tcBorders>
              <w:top w:val="nil"/>
              <w:bottom w:val="single" w:sz="4" w:space="0" w:color="auto"/>
            </w:tcBorders>
            <w:vAlign w:val="center"/>
          </w:tcPr>
          <w:p w14:paraId="4BC86AE6" w14:textId="77777777" w:rsidR="005140C3" w:rsidRPr="00464EB2" w:rsidRDefault="005140C3" w:rsidP="009F3C26">
            <w:pPr>
              <w:suppressAutoHyphens w:val="0"/>
              <w:spacing w:line="240" w:lineRule="auto"/>
              <w:ind w:right="38"/>
              <w:jc w:val="right"/>
              <w:rPr>
                <w:rFonts w:eastAsia="MS Mincho"/>
                <w:sz w:val="18"/>
                <w:szCs w:val="18"/>
                <w:highlight w:val="yellow"/>
                <w:lang w:eastAsia="de-DE"/>
              </w:rPr>
            </w:pPr>
            <w:r w:rsidRPr="00464EB2">
              <w:rPr>
                <w:rFonts w:eastAsia="MS Mincho"/>
                <w:sz w:val="18"/>
                <w:szCs w:val="18"/>
                <w:lang w:eastAsia="de-DE"/>
              </w:rPr>
              <w:t xml:space="preserve"> 266 900</w:t>
            </w:r>
          </w:p>
        </w:tc>
        <w:tc>
          <w:tcPr>
            <w:tcW w:w="1654" w:type="dxa"/>
            <w:tcBorders>
              <w:top w:val="nil"/>
              <w:bottom w:val="single" w:sz="4" w:space="0" w:color="auto"/>
            </w:tcBorders>
            <w:vAlign w:val="center"/>
          </w:tcPr>
          <w:p w14:paraId="4BC86AE7" w14:textId="77777777" w:rsidR="005140C3" w:rsidRPr="00464EB2" w:rsidRDefault="005140C3" w:rsidP="009F3C26">
            <w:pPr>
              <w:suppressAutoHyphens w:val="0"/>
              <w:spacing w:line="240" w:lineRule="auto"/>
              <w:ind w:right="-85"/>
              <w:jc w:val="right"/>
              <w:rPr>
                <w:rFonts w:eastAsia="MS Mincho"/>
                <w:sz w:val="18"/>
                <w:szCs w:val="18"/>
                <w:highlight w:val="yellow"/>
                <w:lang w:eastAsia="de-DE"/>
              </w:rPr>
            </w:pPr>
            <w:r w:rsidRPr="00464EB2">
              <w:rPr>
                <w:rFonts w:eastAsia="MS Mincho"/>
                <w:sz w:val="18"/>
                <w:szCs w:val="18"/>
                <w:lang w:eastAsia="de-DE"/>
              </w:rPr>
              <w:t xml:space="preserve"> 526 100</w:t>
            </w:r>
          </w:p>
        </w:tc>
      </w:tr>
      <w:tr w:rsidR="005140C3" w:rsidRPr="00464EB2" w14:paraId="4BC86AED" w14:textId="77777777" w:rsidTr="009F3C26">
        <w:trPr>
          <w:trHeight w:val="284"/>
        </w:trPr>
        <w:tc>
          <w:tcPr>
            <w:tcW w:w="3544" w:type="dxa"/>
            <w:tcBorders>
              <w:top w:val="single" w:sz="4" w:space="0" w:color="auto"/>
              <w:bottom w:val="single" w:sz="4" w:space="0" w:color="auto"/>
            </w:tcBorders>
            <w:vAlign w:val="bottom"/>
          </w:tcPr>
          <w:p w14:paraId="4BC86AE9" w14:textId="77777777" w:rsidR="005140C3" w:rsidRPr="00464EB2" w:rsidRDefault="005140C3" w:rsidP="009F3C26">
            <w:pPr>
              <w:suppressAutoHyphens w:val="0"/>
              <w:spacing w:before="40" w:after="40" w:line="220" w:lineRule="exact"/>
              <w:ind w:left="266" w:right="38"/>
              <w:rPr>
                <w:rFonts w:eastAsia="Arial Unicode MS"/>
                <w:b/>
                <w:bCs/>
                <w:sz w:val="18"/>
                <w:lang w:eastAsia="de-DE"/>
              </w:rPr>
            </w:pPr>
            <w:r w:rsidRPr="00464EB2">
              <w:rPr>
                <w:rFonts w:eastAsia="MS Mincho"/>
                <w:b/>
                <w:bCs/>
                <w:sz w:val="18"/>
                <w:lang w:eastAsia="de-DE"/>
              </w:rPr>
              <w:t>Subtotal</w:t>
            </w:r>
          </w:p>
        </w:tc>
        <w:tc>
          <w:tcPr>
            <w:tcW w:w="1653" w:type="dxa"/>
            <w:tcBorders>
              <w:top w:val="single" w:sz="4" w:space="0" w:color="auto"/>
              <w:bottom w:val="single" w:sz="4" w:space="0" w:color="auto"/>
            </w:tcBorders>
            <w:vAlign w:val="center"/>
          </w:tcPr>
          <w:p w14:paraId="4BC86AEA" w14:textId="77777777" w:rsidR="005140C3" w:rsidRPr="00464EB2" w:rsidRDefault="005140C3" w:rsidP="009F3C26">
            <w:pPr>
              <w:suppressAutoHyphens w:val="0"/>
              <w:spacing w:line="240" w:lineRule="auto"/>
              <w:ind w:right="38"/>
              <w:jc w:val="right"/>
              <w:rPr>
                <w:rFonts w:eastAsia="MS Mincho"/>
                <w:b/>
                <w:bCs/>
                <w:sz w:val="18"/>
                <w:szCs w:val="18"/>
                <w:highlight w:val="yellow"/>
                <w:lang w:eastAsia="de-DE"/>
              </w:rPr>
            </w:pPr>
            <w:r w:rsidRPr="00464EB2">
              <w:rPr>
                <w:rFonts w:eastAsia="MS Mincho"/>
                <w:b/>
                <w:bCs/>
                <w:sz w:val="18"/>
                <w:szCs w:val="18"/>
                <w:lang w:eastAsia="de-DE"/>
              </w:rPr>
              <w:t xml:space="preserve"> 4 341 700</w:t>
            </w:r>
          </w:p>
        </w:tc>
        <w:tc>
          <w:tcPr>
            <w:tcW w:w="1653" w:type="dxa"/>
            <w:tcBorders>
              <w:top w:val="single" w:sz="4" w:space="0" w:color="auto"/>
              <w:bottom w:val="single" w:sz="4" w:space="0" w:color="auto"/>
            </w:tcBorders>
            <w:vAlign w:val="center"/>
          </w:tcPr>
          <w:p w14:paraId="4BC86AEB" w14:textId="77777777" w:rsidR="005140C3" w:rsidRPr="00464EB2" w:rsidRDefault="005140C3" w:rsidP="009F3C26">
            <w:pPr>
              <w:suppressAutoHyphens w:val="0"/>
              <w:spacing w:line="240" w:lineRule="auto"/>
              <w:ind w:right="38"/>
              <w:jc w:val="right"/>
              <w:rPr>
                <w:rFonts w:eastAsia="MS Mincho"/>
                <w:b/>
                <w:bCs/>
                <w:sz w:val="18"/>
                <w:szCs w:val="18"/>
                <w:highlight w:val="yellow"/>
                <w:lang w:eastAsia="de-DE"/>
              </w:rPr>
            </w:pPr>
            <w:r w:rsidRPr="00464EB2">
              <w:rPr>
                <w:rFonts w:eastAsia="MS Mincho"/>
                <w:b/>
                <w:bCs/>
                <w:sz w:val="18"/>
                <w:szCs w:val="18"/>
                <w:lang w:eastAsia="de-DE"/>
              </w:rPr>
              <w:t xml:space="preserve"> 4 472 000</w:t>
            </w:r>
          </w:p>
        </w:tc>
        <w:tc>
          <w:tcPr>
            <w:tcW w:w="1654" w:type="dxa"/>
            <w:tcBorders>
              <w:top w:val="single" w:sz="4" w:space="0" w:color="auto"/>
              <w:bottom w:val="single" w:sz="4" w:space="0" w:color="auto"/>
            </w:tcBorders>
            <w:vAlign w:val="center"/>
          </w:tcPr>
          <w:p w14:paraId="4BC86AEC" w14:textId="77777777" w:rsidR="005140C3" w:rsidRPr="00464EB2" w:rsidRDefault="005140C3" w:rsidP="009F3C26">
            <w:pPr>
              <w:suppressAutoHyphens w:val="0"/>
              <w:spacing w:line="240" w:lineRule="auto"/>
              <w:ind w:right="-85"/>
              <w:jc w:val="right"/>
              <w:rPr>
                <w:rFonts w:eastAsia="MS Mincho"/>
                <w:b/>
                <w:bCs/>
                <w:sz w:val="18"/>
                <w:szCs w:val="18"/>
                <w:highlight w:val="yellow"/>
                <w:lang w:eastAsia="de-DE"/>
              </w:rPr>
            </w:pPr>
            <w:r w:rsidRPr="00464EB2">
              <w:rPr>
                <w:rFonts w:eastAsia="MS Mincho"/>
                <w:b/>
                <w:bCs/>
                <w:sz w:val="18"/>
                <w:szCs w:val="18"/>
                <w:lang w:eastAsia="de-DE"/>
              </w:rPr>
              <w:t xml:space="preserve"> 8 813 700</w:t>
            </w:r>
          </w:p>
        </w:tc>
      </w:tr>
      <w:tr w:rsidR="005140C3" w:rsidRPr="00464EB2" w14:paraId="4BC86AF2" w14:textId="77777777" w:rsidTr="009F3C26">
        <w:trPr>
          <w:trHeight w:val="284"/>
        </w:trPr>
        <w:tc>
          <w:tcPr>
            <w:tcW w:w="3544" w:type="dxa"/>
            <w:tcBorders>
              <w:top w:val="single" w:sz="4" w:space="0" w:color="auto"/>
              <w:bottom w:val="nil"/>
            </w:tcBorders>
            <w:vAlign w:val="bottom"/>
          </w:tcPr>
          <w:p w14:paraId="4BC86AEE" w14:textId="77777777" w:rsidR="005140C3" w:rsidRPr="00464EB2" w:rsidRDefault="005140C3" w:rsidP="009F3C26">
            <w:pPr>
              <w:suppressAutoHyphens w:val="0"/>
              <w:spacing w:before="40" w:after="40" w:line="220" w:lineRule="exact"/>
              <w:ind w:right="38"/>
              <w:rPr>
                <w:rFonts w:eastAsia="Arial Unicode MS"/>
                <w:sz w:val="18"/>
                <w:lang w:eastAsia="de-DE"/>
              </w:rPr>
            </w:pPr>
            <w:r w:rsidRPr="00464EB2">
              <w:rPr>
                <w:rFonts w:eastAsia="MS Mincho"/>
                <w:sz w:val="18"/>
                <w:lang w:eastAsia="de-DE"/>
              </w:rPr>
              <w:t>Programme support costs</w:t>
            </w:r>
          </w:p>
        </w:tc>
        <w:tc>
          <w:tcPr>
            <w:tcW w:w="1653" w:type="dxa"/>
            <w:tcBorders>
              <w:top w:val="single" w:sz="4" w:space="0" w:color="auto"/>
              <w:bottom w:val="nil"/>
            </w:tcBorders>
            <w:vAlign w:val="center"/>
          </w:tcPr>
          <w:p w14:paraId="4BC86AEF" w14:textId="77777777" w:rsidR="005140C3" w:rsidRPr="00464EB2" w:rsidRDefault="005140C3" w:rsidP="009F3C26">
            <w:pPr>
              <w:suppressAutoHyphens w:val="0"/>
              <w:spacing w:line="240" w:lineRule="auto"/>
              <w:ind w:right="38"/>
              <w:jc w:val="right"/>
              <w:rPr>
                <w:rFonts w:eastAsia="MS Mincho"/>
                <w:sz w:val="18"/>
                <w:szCs w:val="18"/>
                <w:highlight w:val="yellow"/>
                <w:lang w:eastAsia="de-DE"/>
              </w:rPr>
            </w:pPr>
            <w:r w:rsidRPr="00464EB2">
              <w:rPr>
                <w:rFonts w:eastAsia="MS Mincho"/>
                <w:sz w:val="18"/>
                <w:szCs w:val="18"/>
                <w:lang w:eastAsia="de-DE"/>
              </w:rPr>
              <w:t xml:space="preserve"> 564 400</w:t>
            </w:r>
          </w:p>
        </w:tc>
        <w:tc>
          <w:tcPr>
            <w:tcW w:w="1653" w:type="dxa"/>
            <w:tcBorders>
              <w:top w:val="single" w:sz="4" w:space="0" w:color="auto"/>
              <w:bottom w:val="nil"/>
            </w:tcBorders>
            <w:vAlign w:val="center"/>
          </w:tcPr>
          <w:p w14:paraId="4BC86AF0" w14:textId="77777777" w:rsidR="005140C3" w:rsidRPr="00464EB2" w:rsidRDefault="005140C3" w:rsidP="009F3C26">
            <w:pPr>
              <w:suppressAutoHyphens w:val="0"/>
              <w:spacing w:line="240" w:lineRule="auto"/>
              <w:ind w:right="38"/>
              <w:jc w:val="right"/>
              <w:rPr>
                <w:rFonts w:eastAsia="MS Mincho"/>
                <w:sz w:val="18"/>
                <w:szCs w:val="18"/>
                <w:highlight w:val="yellow"/>
                <w:lang w:eastAsia="de-DE"/>
              </w:rPr>
            </w:pPr>
            <w:r w:rsidRPr="00464EB2">
              <w:rPr>
                <w:rFonts w:eastAsia="MS Mincho"/>
                <w:sz w:val="18"/>
                <w:szCs w:val="18"/>
                <w:lang w:eastAsia="de-DE"/>
              </w:rPr>
              <w:t xml:space="preserve"> 581 400</w:t>
            </w:r>
          </w:p>
        </w:tc>
        <w:tc>
          <w:tcPr>
            <w:tcW w:w="1654" w:type="dxa"/>
            <w:tcBorders>
              <w:top w:val="single" w:sz="4" w:space="0" w:color="auto"/>
              <w:bottom w:val="nil"/>
            </w:tcBorders>
            <w:vAlign w:val="center"/>
          </w:tcPr>
          <w:p w14:paraId="4BC86AF1" w14:textId="77777777" w:rsidR="005140C3" w:rsidRPr="00464EB2" w:rsidRDefault="005140C3" w:rsidP="009F3C26">
            <w:pPr>
              <w:suppressAutoHyphens w:val="0"/>
              <w:spacing w:line="240" w:lineRule="auto"/>
              <w:ind w:right="-85"/>
              <w:jc w:val="right"/>
              <w:rPr>
                <w:rFonts w:eastAsia="MS Mincho"/>
                <w:sz w:val="18"/>
                <w:szCs w:val="18"/>
                <w:highlight w:val="yellow"/>
                <w:lang w:eastAsia="de-DE"/>
              </w:rPr>
            </w:pPr>
            <w:r w:rsidRPr="00464EB2">
              <w:rPr>
                <w:rFonts w:eastAsia="MS Mincho"/>
                <w:sz w:val="18"/>
                <w:szCs w:val="18"/>
                <w:lang w:eastAsia="de-DE"/>
              </w:rPr>
              <w:t xml:space="preserve"> 1 145 800</w:t>
            </w:r>
          </w:p>
        </w:tc>
      </w:tr>
      <w:tr w:rsidR="005140C3" w:rsidRPr="00464EB2" w14:paraId="4BC86AF7" w14:textId="77777777" w:rsidTr="009F3C26">
        <w:trPr>
          <w:trHeight w:val="284"/>
        </w:trPr>
        <w:tc>
          <w:tcPr>
            <w:tcW w:w="3544" w:type="dxa"/>
            <w:tcBorders>
              <w:top w:val="nil"/>
              <w:bottom w:val="single" w:sz="4" w:space="0" w:color="auto"/>
            </w:tcBorders>
            <w:vAlign w:val="bottom"/>
          </w:tcPr>
          <w:p w14:paraId="4BC86AF3" w14:textId="77777777" w:rsidR="005140C3" w:rsidRPr="00464EB2" w:rsidRDefault="005140C3" w:rsidP="009F3C26">
            <w:pPr>
              <w:suppressAutoHyphens w:val="0"/>
              <w:spacing w:before="40" w:after="40" w:line="220" w:lineRule="exact"/>
              <w:ind w:right="38"/>
              <w:rPr>
                <w:rFonts w:eastAsia="Arial Unicode MS"/>
                <w:sz w:val="18"/>
                <w:lang w:eastAsia="de-DE"/>
              </w:rPr>
            </w:pPr>
            <w:r w:rsidRPr="00464EB2">
              <w:rPr>
                <w:rFonts w:eastAsia="MS Mincho"/>
                <w:sz w:val="18"/>
                <w:lang w:eastAsia="de-DE"/>
              </w:rPr>
              <w:t>Working capital reserve</w:t>
            </w:r>
          </w:p>
        </w:tc>
        <w:tc>
          <w:tcPr>
            <w:tcW w:w="1653" w:type="dxa"/>
            <w:tcBorders>
              <w:top w:val="nil"/>
              <w:bottom w:val="single" w:sz="4" w:space="0" w:color="auto"/>
            </w:tcBorders>
            <w:vAlign w:val="center"/>
          </w:tcPr>
          <w:p w14:paraId="4BC86AF4" w14:textId="77777777" w:rsidR="005140C3" w:rsidRPr="00464EB2" w:rsidRDefault="005140C3" w:rsidP="009F3C26">
            <w:pPr>
              <w:suppressAutoHyphens w:val="0"/>
              <w:spacing w:line="240" w:lineRule="auto"/>
              <w:ind w:right="38"/>
              <w:jc w:val="right"/>
              <w:rPr>
                <w:rFonts w:eastAsia="MS Mincho"/>
                <w:sz w:val="18"/>
                <w:szCs w:val="18"/>
                <w:highlight w:val="yellow"/>
                <w:lang w:eastAsia="de-DE"/>
              </w:rPr>
            </w:pPr>
            <w:r w:rsidRPr="00464EB2">
              <w:rPr>
                <w:rFonts w:eastAsia="MS Mincho"/>
                <w:sz w:val="18"/>
                <w:szCs w:val="18"/>
                <w:lang w:eastAsia="de-DE"/>
              </w:rPr>
              <w:t xml:space="preserve"> 407 200</w:t>
            </w:r>
          </w:p>
        </w:tc>
        <w:tc>
          <w:tcPr>
            <w:tcW w:w="1653" w:type="dxa"/>
            <w:tcBorders>
              <w:top w:val="nil"/>
              <w:bottom w:val="single" w:sz="4" w:space="0" w:color="auto"/>
            </w:tcBorders>
            <w:vAlign w:val="center"/>
          </w:tcPr>
          <w:p w14:paraId="4BC86AF5" w14:textId="77777777" w:rsidR="005140C3" w:rsidRPr="00464EB2" w:rsidRDefault="005140C3" w:rsidP="009F3C26">
            <w:pPr>
              <w:suppressAutoHyphens w:val="0"/>
              <w:spacing w:line="240" w:lineRule="auto"/>
              <w:ind w:right="38"/>
              <w:jc w:val="right"/>
              <w:rPr>
                <w:rFonts w:eastAsia="MS Mincho"/>
                <w:sz w:val="18"/>
                <w:szCs w:val="18"/>
                <w:highlight w:val="yellow"/>
                <w:lang w:eastAsia="de-DE"/>
              </w:rPr>
            </w:pPr>
            <w:r w:rsidRPr="00464EB2">
              <w:rPr>
                <w:rFonts w:eastAsia="MS Mincho"/>
                <w:sz w:val="18"/>
                <w:szCs w:val="18"/>
                <w:lang w:eastAsia="de-DE"/>
              </w:rPr>
              <w:t xml:space="preserve"> 12 200</w:t>
            </w:r>
          </w:p>
        </w:tc>
        <w:tc>
          <w:tcPr>
            <w:tcW w:w="1654" w:type="dxa"/>
            <w:tcBorders>
              <w:top w:val="nil"/>
              <w:bottom w:val="single" w:sz="4" w:space="0" w:color="auto"/>
            </w:tcBorders>
            <w:vAlign w:val="center"/>
          </w:tcPr>
          <w:p w14:paraId="4BC86AF6" w14:textId="77777777" w:rsidR="005140C3" w:rsidRPr="00464EB2" w:rsidRDefault="005140C3" w:rsidP="009F3C26">
            <w:pPr>
              <w:suppressAutoHyphens w:val="0"/>
              <w:spacing w:line="240" w:lineRule="auto"/>
              <w:ind w:right="-85"/>
              <w:jc w:val="right"/>
              <w:rPr>
                <w:rFonts w:eastAsia="MS Mincho"/>
                <w:sz w:val="18"/>
                <w:szCs w:val="18"/>
                <w:highlight w:val="yellow"/>
                <w:lang w:eastAsia="de-DE"/>
              </w:rPr>
            </w:pPr>
            <w:r w:rsidRPr="00464EB2">
              <w:rPr>
                <w:rFonts w:eastAsia="MS Mincho"/>
                <w:sz w:val="18"/>
                <w:szCs w:val="18"/>
                <w:lang w:eastAsia="de-DE"/>
              </w:rPr>
              <w:t xml:space="preserve"> 419 400</w:t>
            </w:r>
          </w:p>
        </w:tc>
      </w:tr>
      <w:tr w:rsidR="005140C3" w:rsidRPr="00464EB2" w14:paraId="4BC86AFC" w14:textId="77777777" w:rsidTr="009F3C26">
        <w:trPr>
          <w:trHeight w:val="80"/>
        </w:trPr>
        <w:tc>
          <w:tcPr>
            <w:tcW w:w="3544" w:type="dxa"/>
            <w:tcBorders>
              <w:top w:val="single" w:sz="4" w:space="0" w:color="auto"/>
              <w:bottom w:val="single" w:sz="12" w:space="0" w:color="auto"/>
            </w:tcBorders>
            <w:vAlign w:val="bottom"/>
          </w:tcPr>
          <w:p w14:paraId="4BC86AF8" w14:textId="77777777" w:rsidR="005140C3" w:rsidRPr="00464EB2" w:rsidRDefault="005140C3" w:rsidP="009F3C26">
            <w:pPr>
              <w:tabs>
                <w:tab w:val="center" w:pos="1189"/>
              </w:tabs>
              <w:suppressAutoHyphens w:val="0"/>
              <w:spacing w:before="40" w:after="40" w:line="220" w:lineRule="exact"/>
              <w:ind w:left="266" w:right="38"/>
              <w:rPr>
                <w:rFonts w:eastAsia="Arial Unicode MS"/>
                <w:b/>
                <w:bCs/>
                <w:sz w:val="18"/>
                <w:lang w:eastAsia="de-DE"/>
              </w:rPr>
            </w:pPr>
            <w:r w:rsidRPr="00464EB2">
              <w:rPr>
                <w:rFonts w:eastAsia="MS Mincho"/>
                <w:b/>
                <w:bCs/>
                <w:sz w:val="18"/>
                <w:lang w:eastAsia="de-DE"/>
              </w:rPr>
              <w:t>Total</w:t>
            </w:r>
          </w:p>
        </w:tc>
        <w:tc>
          <w:tcPr>
            <w:tcW w:w="1653" w:type="dxa"/>
            <w:tcBorders>
              <w:top w:val="single" w:sz="4" w:space="0" w:color="auto"/>
              <w:bottom w:val="single" w:sz="12" w:space="0" w:color="auto"/>
            </w:tcBorders>
            <w:vAlign w:val="center"/>
          </w:tcPr>
          <w:p w14:paraId="4BC86AF9" w14:textId="77777777" w:rsidR="005140C3" w:rsidRPr="00464EB2" w:rsidRDefault="005140C3" w:rsidP="009F3C26">
            <w:pPr>
              <w:suppressAutoHyphens w:val="0"/>
              <w:spacing w:line="240" w:lineRule="auto"/>
              <w:ind w:right="38"/>
              <w:jc w:val="right"/>
              <w:rPr>
                <w:rFonts w:eastAsia="MS Mincho"/>
                <w:b/>
                <w:bCs/>
                <w:sz w:val="18"/>
                <w:szCs w:val="18"/>
                <w:highlight w:val="yellow"/>
                <w:lang w:eastAsia="de-DE"/>
              </w:rPr>
            </w:pPr>
            <w:r w:rsidRPr="00464EB2">
              <w:rPr>
                <w:rFonts w:eastAsia="MS Mincho"/>
                <w:b/>
                <w:bCs/>
                <w:sz w:val="18"/>
                <w:szCs w:val="18"/>
                <w:lang w:eastAsia="de-DE"/>
              </w:rPr>
              <w:t xml:space="preserve"> 5 313 300</w:t>
            </w:r>
          </w:p>
        </w:tc>
        <w:tc>
          <w:tcPr>
            <w:tcW w:w="1653" w:type="dxa"/>
            <w:tcBorders>
              <w:top w:val="single" w:sz="4" w:space="0" w:color="auto"/>
              <w:bottom w:val="single" w:sz="12" w:space="0" w:color="auto"/>
            </w:tcBorders>
            <w:vAlign w:val="center"/>
          </w:tcPr>
          <w:p w14:paraId="4BC86AFA" w14:textId="77777777" w:rsidR="005140C3" w:rsidRPr="00464EB2" w:rsidRDefault="005140C3" w:rsidP="009F3C26">
            <w:pPr>
              <w:suppressAutoHyphens w:val="0"/>
              <w:spacing w:line="240" w:lineRule="auto"/>
              <w:ind w:right="38"/>
              <w:jc w:val="right"/>
              <w:rPr>
                <w:rFonts w:eastAsia="MS Mincho"/>
                <w:b/>
                <w:bCs/>
                <w:sz w:val="18"/>
                <w:szCs w:val="18"/>
                <w:highlight w:val="yellow"/>
                <w:lang w:eastAsia="de-DE"/>
              </w:rPr>
            </w:pPr>
            <w:r w:rsidRPr="00464EB2">
              <w:rPr>
                <w:rFonts w:eastAsia="MS Mincho"/>
                <w:b/>
                <w:bCs/>
                <w:sz w:val="18"/>
                <w:szCs w:val="18"/>
                <w:lang w:eastAsia="de-DE"/>
              </w:rPr>
              <w:t xml:space="preserve"> 5 065 600</w:t>
            </w:r>
          </w:p>
        </w:tc>
        <w:tc>
          <w:tcPr>
            <w:tcW w:w="1654" w:type="dxa"/>
            <w:tcBorders>
              <w:top w:val="single" w:sz="4" w:space="0" w:color="auto"/>
              <w:bottom w:val="single" w:sz="12" w:space="0" w:color="auto"/>
            </w:tcBorders>
            <w:vAlign w:val="center"/>
          </w:tcPr>
          <w:p w14:paraId="4BC86AFB" w14:textId="77777777" w:rsidR="005140C3" w:rsidRPr="00464EB2" w:rsidRDefault="005140C3" w:rsidP="009F3C26">
            <w:pPr>
              <w:suppressAutoHyphens w:val="0"/>
              <w:spacing w:line="240" w:lineRule="auto"/>
              <w:ind w:right="-85"/>
              <w:jc w:val="right"/>
              <w:rPr>
                <w:rFonts w:eastAsia="MS Mincho"/>
                <w:b/>
                <w:bCs/>
                <w:sz w:val="18"/>
                <w:szCs w:val="18"/>
                <w:highlight w:val="yellow"/>
                <w:lang w:eastAsia="de-DE"/>
              </w:rPr>
            </w:pPr>
            <w:r w:rsidRPr="00464EB2">
              <w:rPr>
                <w:rFonts w:eastAsia="MS Mincho"/>
                <w:b/>
                <w:bCs/>
                <w:sz w:val="18"/>
                <w:szCs w:val="18"/>
                <w:lang w:eastAsia="de-DE"/>
              </w:rPr>
              <w:t xml:space="preserve"> 10 378 900</w:t>
            </w:r>
          </w:p>
        </w:tc>
      </w:tr>
    </w:tbl>
    <w:p w14:paraId="4BC86AFD" w14:textId="77777777" w:rsidR="005140C3" w:rsidRPr="00464EB2" w:rsidRDefault="005140C3" w:rsidP="005140C3">
      <w:pPr>
        <w:suppressAutoHyphens w:val="0"/>
        <w:spacing w:before="120" w:line="240" w:lineRule="auto"/>
        <w:ind w:left="284" w:right="-1"/>
        <w:rPr>
          <w:rFonts w:eastAsia="MS Mincho"/>
          <w:sz w:val="18"/>
          <w:lang w:eastAsia="de-DE"/>
        </w:rPr>
      </w:pPr>
      <w:r w:rsidRPr="00464EB2">
        <w:rPr>
          <w:rFonts w:eastAsia="MS Mincho"/>
          <w:i/>
          <w:iCs/>
          <w:sz w:val="18"/>
          <w:lang w:eastAsia="de-DE"/>
        </w:rPr>
        <w:t>Note</w:t>
      </w:r>
      <w:r w:rsidRPr="00464EB2">
        <w:rPr>
          <w:rFonts w:eastAsia="MS Mincho"/>
          <w:sz w:val="18"/>
          <w:lang w:eastAsia="de-DE"/>
        </w:rPr>
        <w:t>: Assumptions used for calculating the conference services contingency budget include the following:</w:t>
      </w:r>
    </w:p>
    <w:p w14:paraId="4BC86AFE" w14:textId="14D294F9" w:rsidR="005140C3" w:rsidRPr="00464EB2" w:rsidRDefault="00C421F9" w:rsidP="00C421F9">
      <w:pPr>
        <w:tabs>
          <w:tab w:val="left" w:pos="567"/>
        </w:tabs>
        <w:suppressAutoHyphens w:val="0"/>
        <w:spacing w:line="240" w:lineRule="auto"/>
        <w:ind w:left="284" w:right="-1"/>
        <w:rPr>
          <w:rFonts w:eastAsia="MS Mincho"/>
          <w:sz w:val="18"/>
          <w:lang w:eastAsia="de-DE"/>
        </w:rPr>
      </w:pPr>
      <w:r w:rsidRPr="00464EB2">
        <w:rPr>
          <w:rFonts w:ascii="Symbol" w:eastAsia="MS Mincho" w:hAnsi="Symbol"/>
          <w:sz w:val="18"/>
          <w:lang w:eastAsia="de-DE"/>
        </w:rPr>
        <w:t></w:t>
      </w:r>
      <w:r w:rsidRPr="00464EB2">
        <w:rPr>
          <w:rFonts w:ascii="Symbol" w:eastAsia="MS Mincho" w:hAnsi="Symbol"/>
          <w:sz w:val="18"/>
          <w:lang w:eastAsia="de-DE"/>
        </w:rPr>
        <w:tab/>
      </w:r>
      <w:r w:rsidR="005140C3" w:rsidRPr="00464EB2">
        <w:rPr>
          <w:rFonts w:eastAsia="MS Mincho"/>
          <w:sz w:val="18"/>
          <w:lang w:eastAsia="de-DE"/>
        </w:rPr>
        <w:t>The expected number of meetings with interpretation does not exceed 40 per session;</w:t>
      </w:r>
    </w:p>
    <w:p w14:paraId="4BC86AFF" w14:textId="621683FE" w:rsidR="005140C3" w:rsidRPr="00464EB2" w:rsidRDefault="00C421F9" w:rsidP="00C421F9">
      <w:pPr>
        <w:tabs>
          <w:tab w:val="left" w:pos="567"/>
        </w:tabs>
        <w:suppressAutoHyphens w:val="0"/>
        <w:spacing w:line="240" w:lineRule="auto"/>
        <w:ind w:right="-1" w:firstLine="284"/>
        <w:rPr>
          <w:rFonts w:eastAsia="MS Mincho"/>
          <w:sz w:val="18"/>
          <w:lang w:eastAsia="de-DE"/>
        </w:rPr>
      </w:pPr>
      <w:r w:rsidRPr="00464EB2">
        <w:rPr>
          <w:rFonts w:ascii="Symbol" w:eastAsia="MS Mincho" w:hAnsi="Symbol"/>
          <w:sz w:val="18"/>
          <w:lang w:eastAsia="de-DE"/>
        </w:rPr>
        <w:t></w:t>
      </w:r>
      <w:r w:rsidRPr="00464EB2">
        <w:rPr>
          <w:rFonts w:ascii="Symbol" w:eastAsia="MS Mincho" w:hAnsi="Symbol"/>
          <w:sz w:val="18"/>
          <w:lang w:eastAsia="de-DE"/>
        </w:rPr>
        <w:tab/>
      </w:r>
      <w:r w:rsidR="005140C3" w:rsidRPr="00464EB2">
        <w:rPr>
          <w:rFonts w:eastAsia="MS Mincho"/>
          <w:sz w:val="18"/>
          <w:lang w:eastAsia="de-DE"/>
        </w:rPr>
        <w:t>The expected documentation volume is based on the calculations provided by the United Nations Office at Geneva;</w:t>
      </w:r>
    </w:p>
    <w:p w14:paraId="4BC86B00" w14:textId="64B07F74" w:rsidR="005140C3" w:rsidRPr="00464EB2" w:rsidRDefault="00C421F9" w:rsidP="00C421F9">
      <w:pPr>
        <w:tabs>
          <w:tab w:val="left" w:pos="567"/>
        </w:tabs>
        <w:suppressAutoHyphens w:val="0"/>
        <w:spacing w:line="240" w:lineRule="auto"/>
        <w:ind w:right="-1" w:firstLine="284"/>
        <w:rPr>
          <w:rFonts w:eastAsia="MS Mincho"/>
          <w:sz w:val="18"/>
          <w:lang w:eastAsia="de-DE"/>
        </w:rPr>
      </w:pPr>
      <w:r w:rsidRPr="00464EB2">
        <w:rPr>
          <w:rFonts w:ascii="Symbol" w:eastAsia="MS Mincho" w:hAnsi="Symbol"/>
          <w:sz w:val="18"/>
          <w:lang w:eastAsia="de-DE"/>
        </w:rPr>
        <w:t></w:t>
      </w:r>
      <w:r w:rsidRPr="00464EB2">
        <w:rPr>
          <w:rFonts w:ascii="Symbol" w:eastAsia="MS Mincho" w:hAnsi="Symbol"/>
          <w:sz w:val="18"/>
          <w:lang w:eastAsia="de-DE"/>
        </w:rPr>
        <w:tab/>
      </w:r>
      <w:r w:rsidR="005140C3" w:rsidRPr="00464EB2">
        <w:rPr>
          <w:rFonts w:eastAsia="MS Mincho"/>
          <w:sz w:val="18"/>
          <w:lang w:eastAsia="de-DE"/>
        </w:rPr>
        <w:t>Meetings services support includes staff normally provided by the United Nations Office at Geneva conference services for the in-session coordination and support of interpretation, translation and reproduction services;</w:t>
      </w:r>
    </w:p>
    <w:p w14:paraId="4BC86B01" w14:textId="095D8B2A" w:rsidR="005140C3" w:rsidRPr="00464EB2" w:rsidRDefault="00C421F9" w:rsidP="00C421F9">
      <w:pPr>
        <w:tabs>
          <w:tab w:val="left" w:pos="567"/>
        </w:tabs>
        <w:suppressAutoHyphens w:val="0"/>
        <w:spacing w:line="240" w:lineRule="auto"/>
        <w:ind w:right="-1" w:firstLine="284"/>
        <w:rPr>
          <w:rFonts w:eastAsia="MS Mincho"/>
          <w:sz w:val="18"/>
          <w:lang w:eastAsia="de-DE"/>
        </w:rPr>
      </w:pPr>
      <w:r w:rsidRPr="00464EB2">
        <w:rPr>
          <w:rFonts w:ascii="Symbol" w:eastAsia="MS Mincho" w:hAnsi="Symbol"/>
          <w:sz w:val="18"/>
          <w:lang w:eastAsia="de-DE"/>
        </w:rPr>
        <w:t></w:t>
      </w:r>
      <w:r w:rsidRPr="00464EB2">
        <w:rPr>
          <w:rFonts w:ascii="Symbol" w:eastAsia="MS Mincho" w:hAnsi="Symbol"/>
          <w:sz w:val="18"/>
          <w:lang w:eastAsia="de-DE"/>
        </w:rPr>
        <w:tab/>
      </w:r>
      <w:r w:rsidR="005140C3" w:rsidRPr="00464EB2">
        <w:rPr>
          <w:rFonts w:eastAsia="MS Mincho"/>
          <w:sz w:val="18"/>
          <w:lang w:eastAsia="de-DE"/>
        </w:rPr>
        <w:t xml:space="preserve">Overall, the figures used are conservative and have been applied on the assumption that there will be no major increase in requirements during the biennium. </w:t>
      </w:r>
    </w:p>
    <w:p w14:paraId="4BC86B02" w14:textId="4CFFB8B3" w:rsidR="005140C3" w:rsidRPr="00464EB2" w:rsidRDefault="00C421F9" w:rsidP="00C421F9">
      <w:pPr>
        <w:tabs>
          <w:tab w:val="left" w:pos="721"/>
        </w:tabs>
        <w:suppressAutoHyphens w:val="0"/>
        <w:spacing w:line="240" w:lineRule="auto"/>
        <w:ind w:left="284" w:right="-1"/>
        <w:rPr>
          <w:rFonts w:eastAsia="MS Mincho"/>
          <w:sz w:val="18"/>
          <w:lang w:eastAsia="de-DE"/>
        </w:rPr>
      </w:pPr>
      <w:r w:rsidRPr="00464EB2">
        <w:rPr>
          <w:rFonts w:eastAsia="MS Mincho"/>
          <w:i/>
          <w:sz w:val="18"/>
          <w:vertAlign w:val="superscript"/>
          <w:lang w:eastAsia="de-DE"/>
        </w:rPr>
        <w:t xml:space="preserve">a   </w:t>
      </w:r>
      <w:r w:rsidR="005140C3" w:rsidRPr="00464EB2">
        <w:rPr>
          <w:rFonts w:eastAsia="MS Mincho"/>
          <w:sz w:val="18"/>
          <w:lang w:eastAsia="de-DE"/>
        </w:rPr>
        <w:t>Includes salaries, travel and daily subsistence allowance for interpreters.</w:t>
      </w:r>
    </w:p>
    <w:p w14:paraId="4BC86B03" w14:textId="2DCDD8B7" w:rsidR="005140C3" w:rsidRPr="00464EB2" w:rsidRDefault="00C421F9" w:rsidP="00C421F9">
      <w:pPr>
        <w:tabs>
          <w:tab w:val="left" w:pos="721"/>
        </w:tabs>
        <w:suppressAutoHyphens w:val="0"/>
        <w:spacing w:line="240" w:lineRule="auto"/>
        <w:ind w:right="-1" w:firstLine="284"/>
        <w:rPr>
          <w:rFonts w:eastAsia="MS Mincho"/>
          <w:sz w:val="18"/>
          <w:lang w:eastAsia="de-DE"/>
        </w:rPr>
      </w:pPr>
      <w:r w:rsidRPr="00464EB2">
        <w:rPr>
          <w:rFonts w:eastAsia="MS Mincho"/>
          <w:i/>
          <w:sz w:val="18"/>
          <w:vertAlign w:val="superscript"/>
          <w:lang w:eastAsia="de-DE"/>
        </w:rPr>
        <w:t xml:space="preserve">b   </w:t>
      </w:r>
      <w:r w:rsidR="005140C3" w:rsidRPr="00464EB2">
        <w:rPr>
          <w:rFonts w:eastAsia="MS Mincho"/>
          <w:sz w:val="18"/>
          <w:lang w:eastAsia="de-DE"/>
        </w:rPr>
        <w:t>Includes all costs related to the processing of pre-, in- and post-session documentation; translation costs include revision and typing of documents.</w:t>
      </w:r>
    </w:p>
    <w:p w14:paraId="4BC86B04" w14:textId="5D2D4C1D" w:rsidR="005140C3" w:rsidRPr="00464EB2" w:rsidRDefault="00C421F9" w:rsidP="00C421F9">
      <w:pPr>
        <w:tabs>
          <w:tab w:val="left" w:pos="721"/>
        </w:tabs>
        <w:suppressAutoHyphens w:val="0"/>
        <w:spacing w:line="240" w:lineRule="auto"/>
        <w:ind w:right="-1" w:firstLine="284"/>
        <w:rPr>
          <w:rFonts w:eastAsia="MS Mincho"/>
          <w:sz w:val="18"/>
          <w:lang w:eastAsia="de-DE"/>
        </w:rPr>
      </w:pPr>
      <w:r w:rsidRPr="00464EB2">
        <w:rPr>
          <w:rFonts w:eastAsia="MS Mincho"/>
          <w:i/>
          <w:sz w:val="18"/>
          <w:vertAlign w:val="superscript"/>
          <w:lang w:eastAsia="de-DE"/>
        </w:rPr>
        <w:t xml:space="preserve">c   </w:t>
      </w:r>
      <w:r w:rsidR="005140C3" w:rsidRPr="00464EB2">
        <w:rPr>
          <w:rFonts w:eastAsia="MS Mincho"/>
          <w:sz w:val="18"/>
          <w:lang w:eastAsia="de-DE"/>
        </w:rPr>
        <w:t>Includes salaries, travel and daily subsistence allowance for meetings services support staff and costs of shipment and telecommunications.</w:t>
      </w:r>
    </w:p>
    <w:p w14:paraId="4BC86B05" w14:textId="77777777" w:rsidR="005140C3" w:rsidRPr="00464EB2" w:rsidRDefault="005140C3" w:rsidP="005140C3">
      <w:pPr>
        <w:suppressAutoHyphens w:val="0"/>
        <w:spacing w:before="120" w:line="240" w:lineRule="auto"/>
        <w:ind w:right="40"/>
        <w:outlineLvl w:val="0"/>
        <w:rPr>
          <w:rFonts w:eastAsia="MS Mincho"/>
          <w:lang w:eastAsia="de-DE"/>
        </w:rPr>
      </w:pPr>
      <w:bookmarkStart w:id="22" w:name="_Toc318462686"/>
      <w:bookmarkStart w:id="23" w:name="_Toc318462729"/>
      <w:bookmarkStart w:id="24" w:name="_Toc318462921"/>
      <w:bookmarkStart w:id="25" w:name="_Toc318463367"/>
      <w:r w:rsidRPr="00464EB2">
        <w:rPr>
          <w:rFonts w:eastAsia="MS Mincho"/>
          <w:lang w:eastAsia="de-DE"/>
        </w:rPr>
        <w:t xml:space="preserve">Table 4 </w:t>
      </w:r>
      <w:bookmarkEnd w:id="22"/>
      <w:bookmarkEnd w:id="23"/>
      <w:bookmarkEnd w:id="24"/>
      <w:bookmarkEnd w:id="25"/>
    </w:p>
    <w:p w14:paraId="4BC86B06" w14:textId="77777777" w:rsidR="005140C3" w:rsidRPr="00464EB2" w:rsidRDefault="005140C3" w:rsidP="005140C3">
      <w:pPr>
        <w:suppressAutoHyphens w:val="0"/>
        <w:spacing w:after="120" w:line="240" w:lineRule="auto"/>
        <w:ind w:right="1134"/>
        <w:outlineLvl w:val="0"/>
        <w:rPr>
          <w:rFonts w:eastAsia="MS Mincho"/>
          <w:bCs/>
          <w:lang w:eastAsia="de-DE"/>
        </w:rPr>
      </w:pPr>
      <w:bookmarkStart w:id="26" w:name="_Toc318462687"/>
      <w:bookmarkStart w:id="27" w:name="_Toc318462730"/>
      <w:bookmarkStart w:id="28" w:name="_Toc318462922"/>
      <w:bookmarkStart w:id="29" w:name="_Toc318463368"/>
      <w:r w:rsidRPr="00464EB2">
        <w:rPr>
          <w:rFonts w:eastAsia="MS Mincho"/>
          <w:b/>
          <w:lang w:eastAsia="de-DE"/>
        </w:rPr>
        <w:t xml:space="preserve">Resource requirements for the Trust Fund for Participation in the UNFCCC Process in the biennium </w:t>
      </w:r>
      <w:bookmarkStart w:id="30" w:name="_Toc318462688"/>
      <w:bookmarkStart w:id="31" w:name="_Toc318462731"/>
      <w:bookmarkStart w:id="32" w:name="_Toc318462923"/>
      <w:bookmarkStart w:id="33" w:name="_Toc318463369"/>
      <w:bookmarkStart w:id="34" w:name="_Toc290446100"/>
      <w:bookmarkEnd w:id="26"/>
      <w:bookmarkEnd w:id="27"/>
      <w:bookmarkEnd w:id="28"/>
      <w:bookmarkEnd w:id="29"/>
      <w:r w:rsidRPr="00464EB2">
        <w:rPr>
          <w:rFonts w:eastAsia="MS Mincho"/>
          <w:b/>
          <w:lang w:eastAsia="de-DE"/>
        </w:rPr>
        <w:t>2016–2017</w:t>
      </w:r>
    </w:p>
    <w:tbl>
      <w:tblPr>
        <w:tblW w:w="9639" w:type="dxa"/>
        <w:tblInd w:w="1" w:type="dxa"/>
        <w:tblBorders>
          <w:top w:val="single" w:sz="4" w:space="0" w:color="auto"/>
        </w:tblBorders>
        <w:tblCellMar>
          <w:left w:w="0" w:type="dxa"/>
          <w:right w:w="113" w:type="dxa"/>
        </w:tblCellMar>
        <w:tblLook w:val="0000" w:firstRow="0" w:lastRow="0" w:firstColumn="0" w:lastColumn="0" w:noHBand="0" w:noVBand="0"/>
      </w:tblPr>
      <w:tblGrid>
        <w:gridCol w:w="7087"/>
        <w:gridCol w:w="2552"/>
      </w:tblGrid>
      <w:tr w:rsidR="005140C3" w:rsidRPr="00464EB2" w14:paraId="4BC86B09" w14:textId="77777777" w:rsidTr="009F3C26">
        <w:trPr>
          <w:trHeight w:val="240"/>
          <w:tblHeader/>
        </w:trPr>
        <w:tc>
          <w:tcPr>
            <w:tcW w:w="7087" w:type="dxa"/>
            <w:tcBorders>
              <w:top w:val="single" w:sz="4" w:space="0" w:color="auto"/>
              <w:bottom w:val="single" w:sz="12" w:space="0" w:color="auto"/>
            </w:tcBorders>
            <w:vAlign w:val="bottom"/>
          </w:tcPr>
          <w:p w14:paraId="4BC86B07" w14:textId="77777777" w:rsidR="005140C3" w:rsidRPr="00464EB2" w:rsidRDefault="005140C3" w:rsidP="009F3C26">
            <w:pPr>
              <w:suppressAutoHyphens w:val="0"/>
              <w:spacing w:before="80" w:after="80" w:line="200" w:lineRule="exact"/>
              <w:ind w:right="38"/>
              <w:rPr>
                <w:rFonts w:eastAsia="MS Mincho"/>
                <w:i/>
                <w:sz w:val="16"/>
                <w:highlight w:val="yellow"/>
                <w:lang w:eastAsia="de-DE"/>
              </w:rPr>
            </w:pPr>
            <w:r w:rsidRPr="00464EB2">
              <w:rPr>
                <w:rFonts w:eastAsia="MS Mincho"/>
                <w:i/>
                <w:sz w:val="16"/>
                <w:lang w:eastAsia="de-DE"/>
              </w:rPr>
              <w:t xml:space="preserve">Number of delegates </w:t>
            </w:r>
          </w:p>
        </w:tc>
        <w:tc>
          <w:tcPr>
            <w:tcW w:w="2552" w:type="dxa"/>
            <w:tcBorders>
              <w:top w:val="single" w:sz="4" w:space="0" w:color="auto"/>
              <w:bottom w:val="single" w:sz="12" w:space="0" w:color="auto"/>
            </w:tcBorders>
            <w:vAlign w:val="bottom"/>
          </w:tcPr>
          <w:p w14:paraId="4BC86B08" w14:textId="77777777" w:rsidR="005140C3" w:rsidRPr="00464EB2" w:rsidRDefault="005140C3" w:rsidP="00FC7C1D">
            <w:pPr>
              <w:suppressAutoHyphens w:val="0"/>
              <w:spacing w:before="80" w:after="80" w:line="200" w:lineRule="exact"/>
              <w:ind w:left="113" w:right="-90"/>
              <w:jc w:val="right"/>
              <w:rPr>
                <w:rFonts w:eastAsia="MS Mincho"/>
                <w:i/>
                <w:sz w:val="16"/>
                <w:highlight w:val="yellow"/>
                <w:lang w:eastAsia="de-DE"/>
              </w:rPr>
            </w:pPr>
            <w:r w:rsidRPr="00464EB2">
              <w:rPr>
                <w:rFonts w:eastAsia="MS Mincho"/>
                <w:i/>
                <w:sz w:val="16"/>
                <w:lang w:eastAsia="de-DE"/>
              </w:rPr>
              <w:t>Estimated cost (EUR)</w:t>
            </w:r>
          </w:p>
        </w:tc>
      </w:tr>
      <w:tr w:rsidR="005140C3" w:rsidRPr="00464EB2" w14:paraId="4BC86B0C" w14:textId="77777777" w:rsidTr="009F3C26">
        <w:trPr>
          <w:trHeight w:val="240"/>
        </w:trPr>
        <w:tc>
          <w:tcPr>
            <w:tcW w:w="7087" w:type="dxa"/>
            <w:tcBorders>
              <w:top w:val="single" w:sz="12" w:space="0" w:color="auto"/>
            </w:tcBorders>
            <w:vAlign w:val="bottom"/>
          </w:tcPr>
          <w:p w14:paraId="4BC86B0A" w14:textId="77777777" w:rsidR="005140C3" w:rsidRPr="00464EB2" w:rsidRDefault="005140C3" w:rsidP="009F3C26">
            <w:pPr>
              <w:suppressAutoHyphens w:val="0"/>
              <w:spacing w:line="220" w:lineRule="exact"/>
              <w:rPr>
                <w:rFonts w:eastAsia="MS Mincho"/>
                <w:sz w:val="18"/>
                <w:highlight w:val="yellow"/>
                <w:lang w:eastAsia="de-DE"/>
              </w:rPr>
            </w:pPr>
            <w:r w:rsidRPr="00464EB2">
              <w:rPr>
                <w:rFonts w:eastAsia="MS Mincho"/>
                <w:sz w:val="18"/>
                <w:lang w:eastAsia="en-GB"/>
              </w:rPr>
              <w:t>Support for one delegate from each eligible Party to participate in a one-week session organized in Bonn, Germany</w:t>
            </w:r>
            <w:r w:rsidRPr="00464EB2">
              <w:rPr>
                <w:rFonts w:eastAsia="MS Mincho"/>
                <w:i/>
                <w:sz w:val="18"/>
                <w:vertAlign w:val="superscript"/>
                <w:lang w:eastAsia="de-DE"/>
              </w:rPr>
              <w:t>a</w:t>
            </w:r>
          </w:p>
        </w:tc>
        <w:tc>
          <w:tcPr>
            <w:tcW w:w="2552" w:type="dxa"/>
            <w:tcBorders>
              <w:top w:val="single" w:sz="12" w:space="0" w:color="auto"/>
            </w:tcBorders>
            <w:vAlign w:val="bottom"/>
          </w:tcPr>
          <w:p w14:paraId="4BC86B0B" w14:textId="77777777" w:rsidR="005140C3" w:rsidRPr="00464EB2" w:rsidRDefault="005140C3" w:rsidP="009F3C26">
            <w:pPr>
              <w:suppressAutoHyphens w:val="0"/>
              <w:spacing w:before="40" w:after="40" w:line="220" w:lineRule="exact"/>
              <w:ind w:left="113" w:right="-85"/>
              <w:jc w:val="right"/>
              <w:rPr>
                <w:rFonts w:eastAsia="MS Mincho"/>
                <w:sz w:val="18"/>
                <w:highlight w:val="yellow"/>
                <w:lang w:eastAsia="de-DE"/>
              </w:rPr>
            </w:pPr>
            <w:r w:rsidRPr="00464EB2">
              <w:rPr>
                <w:rFonts w:eastAsia="MS Mincho"/>
                <w:sz w:val="18"/>
                <w:lang w:eastAsia="de-DE"/>
              </w:rPr>
              <w:t>615 000</w:t>
            </w:r>
          </w:p>
        </w:tc>
      </w:tr>
      <w:tr w:rsidR="005140C3" w:rsidRPr="00464EB2" w14:paraId="4BC86B0F" w14:textId="77777777" w:rsidTr="009F3C26">
        <w:trPr>
          <w:trHeight w:val="240"/>
        </w:trPr>
        <w:tc>
          <w:tcPr>
            <w:tcW w:w="7087" w:type="dxa"/>
            <w:vAlign w:val="bottom"/>
          </w:tcPr>
          <w:p w14:paraId="4BC86B0D" w14:textId="77777777" w:rsidR="005140C3" w:rsidRPr="00464EB2" w:rsidRDefault="005140C3" w:rsidP="009F3C26">
            <w:pPr>
              <w:suppressAutoHyphens w:val="0"/>
              <w:spacing w:before="40" w:after="40" w:line="220" w:lineRule="exact"/>
              <w:ind w:right="38"/>
              <w:rPr>
                <w:rFonts w:eastAsia="MS Mincho"/>
                <w:sz w:val="18"/>
                <w:highlight w:val="yellow"/>
                <w:lang w:eastAsia="de-DE"/>
              </w:rPr>
            </w:pPr>
            <w:r w:rsidRPr="00464EB2">
              <w:rPr>
                <w:rFonts w:eastAsia="Times New Roman"/>
                <w:color w:val="000000"/>
                <w:sz w:val="18"/>
                <w:szCs w:val="18"/>
                <w:lang w:eastAsia="en-GB"/>
              </w:rPr>
              <w:t>Support for one delegate from each eligible Party to participate in a two-week session organized in Bonn</w:t>
            </w:r>
            <w:r w:rsidRPr="00464EB2">
              <w:rPr>
                <w:rFonts w:eastAsia="MS Mincho"/>
                <w:i/>
                <w:sz w:val="18"/>
                <w:vertAlign w:val="superscript"/>
                <w:lang w:eastAsia="de-DE"/>
              </w:rPr>
              <w:t>a</w:t>
            </w:r>
          </w:p>
        </w:tc>
        <w:tc>
          <w:tcPr>
            <w:tcW w:w="2552" w:type="dxa"/>
            <w:vAlign w:val="bottom"/>
          </w:tcPr>
          <w:p w14:paraId="4BC86B0E" w14:textId="77777777" w:rsidR="005140C3" w:rsidRPr="00464EB2" w:rsidRDefault="005140C3" w:rsidP="009F3C26">
            <w:pPr>
              <w:suppressAutoHyphens w:val="0"/>
              <w:spacing w:before="40" w:after="40" w:line="220" w:lineRule="exact"/>
              <w:ind w:left="113" w:right="-85"/>
              <w:jc w:val="right"/>
              <w:rPr>
                <w:rFonts w:eastAsia="MS Mincho"/>
                <w:sz w:val="18"/>
                <w:highlight w:val="yellow"/>
                <w:lang w:eastAsia="de-DE"/>
              </w:rPr>
            </w:pPr>
            <w:r w:rsidRPr="00464EB2">
              <w:rPr>
                <w:rFonts w:eastAsia="MS Mincho"/>
                <w:sz w:val="18"/>
                <w:lang w:eastAsia="de-DE"/>
              </w:rPr>
              <w:t>960 000</w:t>
            </w:r>
          </w:p>
        </w:tc>
      </w:tr>
      <w:tr w:rsidR="005140C3" w:rsidRPr="00464EB2" w14:paraId="4BC86B12" w14:textId="77777777" w:rsidTr="009F3C26">
        <w:trPr>
          <w:trHeight w:val="240"/>
        </w:trPr>
        <w:tc>
          <w:tcPr>
            <w:tcW w:w="7087" w:type="dxa"/>
            <w:vAlign w:val="bottom"/>
          </w:tcPr>
          <w:p w14:paraId="4BC86B10" w14:textId="77777777" w:rsidR="005140C3" w:rsidRPr="00464EB2" w:rsidRDefault="005140C3" w:rsidP="009F3C26">
            <w:pPr>
              <w:suppressAutoHyphens w:val="0"/>
              <w:spacing w:before="40" w:after="40" w:line="220" w:lineRule="exact"/>
              <w:ind w:right="38"/>
              <w:rPr>
                <w:rFonts w:eastAsia="Times New Roman"/>
                <w:color w:val="000000"/>
                <w:sz w:val="18"/>
                <w:szCs w:val="18"/>
                <w:highlight w:val="yellow"/>
                <w:lang w:eastAsia="en-GB"/>
              </w:rPr>
            </w:pPr>
            <w:r w:rsidRPr="00464EB2">
              <w:rPr>
                <w:rFonts w:eastAsia="Times New Roman"/>
                <w:color w:val="000000"/>
                <w:sz w:val="18"/>
                <w:szCs w:val="18"/>
                <w:lang w:eastAsia="en-GB"/>
              </w:rPr>
              <w:t>Support for one delegate from each eligible Party plus a second delegate from each least developed country and each small island developing State to participate in a two-week session organized in Bonn</w:t>
            </w:r>
            <w:r w:rsidRPr="00464EB2">
              <w:rPr>
                <w:rFonts w:eastAsia="MS Mincho"/>
                <w:i/>
                <w:sz w:val="18"/>
                <w:vertAlign w:val="superscript"/>
                <w:lang w:eastAsia="de-DE"/>
              </w:rPr>
              <w:t>a</w:t>
            </w:r>
          </w:p>
        </w:tc>
        <w:tc>
          <w:tcPr>
            <w:tcW w:w="2552" w:type="dxa"/>
            <w:vAlign w:val="bottom"/>
          </w:tcPr>
          <w:p w14:paraId="4BC86B11" w14:textId="77777777" w:rsidR="005140C3" w:rsidRPr="00464EB2" w:rsidRDefault="005140C3" w:rsidP="009F3C26">
            <w:pPr>
              <w:suppressAutoHyphens w:val="0"/>
              <w:spacing w:before="40" w:after="40" w:line="220" w:lineRule="exact"/>
              <w:ind w:left="113" w:right="-85"/>
              <w:jc w:val="right"/>
              <w:rPr>
                <w:rFonts w:eastAsia="MS Mincho"/>
                <w:sz w:val="18"/>
                <w:highlight w:val="yellow"/>
                <w:lang w:eastAsia="de-DE"/>
              </w:rPr>
            </w:pPr>
            <w:r w:rsidRPr="00464EB2">
              <w:rPr>
                <w:rFonts w:eastAsia="MS Mincho"/>
                <w:sz w:val="18"/>
                <w:lang w:eastAsia="de-DE"/>
              </w:rPr>
              <w:t>1 485 000</w:t>
            </w:r>
          </w:p>
        </w:tc>
      </w:tr>
      <w:tr w:rsidR="005140C3" w:rsidRPr="00464EB2" w14:paraId="4BC86B15" w14:textId="77777777" w:rsidTr="009F3C26">
        <w:trPr>
          <w:trHeight w:val="240"/>
        </w:trPr>
        <w:tc>
          <w:tcPr>
            <w:tcW w:w="7087" w:type="dxa"/>
            <w:vAlign w:val="bottom"/>
          </w:tcPr>
          <w:p w14:paraId="4BC86B13" w14:textId="77777777" w:rsidR="005140C3" w:rsidRPr="00464EB2" w:rsidRDefault="005140C3" w:rsidP="009F3C26">
            <w:pPr>
              <w:suppressAutoHyphens w:val="0"/>
              <w:spacing w:before="40" w:after="40" w:line="220" w:lineRule="exact"/>
              <w:ind w:right="38"/>
              <w:rPr>
                <w:rFonts w:eastAsia="Times New Roman"/>
                <w:color w:val="000000"/>
                <w:sz w:val="18"/>
                <w:szCs w:val="18"/>
                <w:highlight w:val="yellow"/>
                <w:lang w:eastAsia="en-GB"/>
              </w:rPr>
            </w:pPr>
            <w:r w:rsidRPr="00464EB2">
              <w:rPr>
                <w:rFonts w:eastAsia="Times New Roman"/>
                <w:color w:val="000000"/>
                <w:sz w:val="18"/>
                <w:szCs w:val="18"/>
                <w:lang w:eastAsia="en-GB"/>
              </w:rPr>
              <w:t>Support for two delegates from each eligible Party to participate in a two-week session organized in Paris, France</w:t>
            </w:r>
            <w:r w:rsidRPr="004D0A25">
              <w:rPr>
                <w:rFonts w:eastAsia="MS Mincho"/>
                <w:i/>
                <w:sz w:val="18"/>
                <w:szCs w:val="18"/>
                <w:vertAlign w:val="superscript"/>
                <w:lang w:eastAsia="de-DE"/>
              </w:rPr>
              <w:t>a</w:t>
            </w:r>
          </w:p>
        </w:tc>
        <w:tc>
          <w:tcPr>
            <w:tcW w:w="2552" w:type="dxa"/>
            <w:vAlign w:val="bottom"/>
          </w:tcPr>
          <w:p w14:paraId="4BC86B14" w14:textId="77777777" w:rsidR="005140C3" w:rsidRPr="00464EB2" w:rsidRDefault="005140C3" w:rsidP="009F3C26">
            <w:pPr>
              <w:suppressAutoHyphens w:val="0"/>
              <w:spacing w:before="40" w:after="40" w:line="220" w:lineRule="exact"/>
              <w:ind w:left="113" w:right="-85"/>
              <w:jc w:val="right"/>
              <w:rPr>
                <w:rFonts w:eastAsia="MS Mincho"/>
                <w:sz w:val="18"/>
                <w:highlight w:val="yellow"/>
                <w:lang w:eastAsia="de-DE"/>
              </w:rPr>
            </w:pPr>
            <w:r w:rsidRPr="00464EB2">
              <w:rPr>
                <w:rFonts w:eastAsia="MS Mincho"/>
                <w:sz w:val="18"/>
                <w:lang w:eastAsia="de-DE"/>
              </w:rPr>
              <w:t>2 350 000</w:t>
            </w:r>
          </w:p>
        </w:tc>
      </w:tr>
      <w:tr w:rsidR="005140C3" w:rsidRPr="00464EB2" w14:paraId="4BC86B18" w14:textId="77777777" w:rsidTr="009F3C26">
        <w:trPr>
          <w:trHeight w:val="240"/>
        </w:trPr>
        <w:tc>
          <w:tcPr>
            <w:tcW w:w="7087" w:type="dxa"/>
            <w:tcBorders>
              <w:bottom w:val="single" w:sz="12" w:space="0" w:color="auto"/>
            </w:tcBorders>
            <w:vAlign w:val="bottom"/>
          </w:tcPr>
          <w:p w14:paraId="4BC86B16" w14:textId="3C5A378B" w:rsidR="005140C3" w:rsidRPr="00464EB2" w:rsidRDefault="005140C3" w:rsidP="009F3C26">
            <w:pPr>
              <w:suppressAutoHyphens w:val="0"/>
              <w:spacing w:before="40" w:after="40" w:line="220" w:lineRule="exact"/>
              <w:ind w:right="38"/>
              <w:rPr>
                <w:rFonts w:eastAsia="Times New Roman"/>
                <w:color w:val="000000"/>
                <w:sz w:val="18"/>
                <w:szCs w:val="18"/>
                <w:highlight w:val="yellow"/>
                <w:lang w:eastAsia="en-GB"/>
              </w:rPr>
            </w:pPr>
            <w:r w:rsidRPr="00464EB2">
              <w:rPr>
                <w:rFonts w:eastAsia="Times New Roman"/>
                <w:color w:val="000000"/>
                <w:sz w:val="18"/>
                <w:szCs w:val="18"/>
                <w:lang w:eastAsia="en-GB"/>
              </w:rPr>
              <w:t xml:space="preserve">Support for two delegates from each eligible Party plus a </w:t>
            </w:r>
            <w:r w:rsidR="0052313D">
              <w:rPr>
                <w:rFonts w:eastAsia="Times New Roman"/>
                <w:color w:val="000000"/>
                <w:sz w:val="18"/>
                <w:szCs w:val="18"/>
                <w:lang w:eastAsia="en-GB"/>
              </w:rPr>
              <w:t xml:space="preserve">third </w:t>
            </w:r>
            <w:r w:rsidRPr="00464EB2">
              <w:rPr>
                <w:rFonts w:eastAsia="Times New Roman"/>
                <w:color w:val="000000"/>
                <w:sz w:val="18"/>
                <w:szCs w:val="18"/>
                <w:lang w:eastAsia="en-GB"/>
              </w:rPr>
              <w:t xml:space="preserve">delegate from each least developed country and each small island developing State to participate in a two-week session organized in </w:t>
            </w:r>
            <w:r w:rsidRPr="00464EB2">
              <w:rPr>
                <w:rFonts w:eastAsia="Times New Roman"/>
                <w:sz w:val="18"/>
                <w:lang w:eastAsia="en-GB"/>
              </w:rPr>
              <w:t>Paris</w:t>
            </w:r>
            <w:r w:rsidRPr="00464EB2">
              <w:rPr>
                <w:rFonts w:eastAsia="MS Mincho"/>
                <w:i/>
                <w:sz w:val="18"/>
                <w:vertAlign w:val="superscript"/>
                <w:lang w:eastAsia="de-DE"/>
              </w:rPr>
              <w:t>a</w:t>
            </w:r>
          </w:p>
        </w:tc>
        <w:tc>
          <w:tcPr>
            <w:tcW w:w="2552" w:type="dxa"/>
            <w:tcBorders>
              <w:bottom w:val="single" w:sz="12" w:space="0" w:color="auto"/>
            </w:tcBorders>
            <w:vAlign w:val="bottom"/>
          </w:tcPr>
          <w:p w14:paraId="4BC86B17" w14:textId="77777777" w:rsidR="005140C3" w:rsidRPr="00464EB2" w:rsidRDefault="005140C3" w:rsidP="009F3C26">
            <w:pPr>
              <w:suppressAutoHyphens w:val="0"/>
              <w:spacing w:before="40" w:after="40" w:line="220" w:lineRule="exact"/>
              <w:ind w:left="113" w:right="-85"/>
              <w:jc w:val="right"/>
              <w:rPr>
                <w:rFonts w:eastAsia="MS Mincho"/>
                <w:sz w:val="18"/>
                <w:highlight w:val="yellow"/>
                <w:lang w:eastAsia="de-DE"/>
              </w:rPr>
            </w:pPr>
            <w:r w:rsidRPr="00464EB2">
              <w:rPr>
                <w:rFonts w:eastAsia="MS Mincho"/>
                <w:sz w:val="18"/>
                <w:lang w:eastAsia="de-DE"/>
              </w:rPr>
              <w:t>3 000 000</w:t>
            </w:r>
          </w:p>
        </w:tc>
      </w:tr>
    </w:tbl>
    <w:p w14:paraId="64303ECF" w14:textId="5AB14191" w:rsidR="00FC7C1D" w:rsidRPr="00FC7C1D" w:rsidRDefault="00C421F9" w:rsidP="00C421F9">
      <w:pPr>
        <w:suppressAutoHyphens w:val="0"/>
        <w:spacing w:before="120" w:line="220" w:lineRule="exact"/>
        <w:ind w:firstLine="284"/>
        <w:rPr>
          <w:rFonts w:eastAsia="MS Mincho"/>
          <w:sz w:val="18"/>
          <w:lang w:eastAsia="de-DE"/>
        </w:rPr>
      </w:pPr>
      <w:r w:rsidRPr="00FC7C1D">
        <w:rPr>
          <w:rFonts w:eastAsia="MS Mincho"/>
          <w:i/>
          <w:sz w:val="18"/>
          <w:vertAlign w:val="superscript"/>
          <w:lang w:eastAsia="de-DE"/>
        </w:rPr>
        <w:t xml:space="preserve">a   </w:t>
      </w:r>
      <w:r w:rsidR="005140C3" w:rsidRPr="00464EB2">
        <w:rPr>
          <w:rFonts w:eastAsia="MS Mincho"/>
          <w:sz w:val="18"/>
          <w:lang w:eastAsia="de-DE"/>
        </w:rPr>
        <w:t>Locations provided as examples.</w:t>
      </w:r>
    </w:p>
    <w:p w14:paraId="1DE139F5" w14:textId="77777777" w:rsidR="00FC7C1D" w:rsidRDefault="00FC7C1D">
      <w:pPr>
        <w:suppressAutoHyphens w:val="0"/>
        <w:spacing w:line="240" w:lineRule="auto"/>
        <w:rPr>
          <w:rFonts w:eastAsia="MS Mincho"/>
          <w:bCs/>
          <w:lang w:eastAsia="de-DE"/>
        </w:rPr>
      </w:pPr>
      <w:r>
        <w:rPr>
          <w:rFonts w:eastAsia="MS Mincho"/>
          <w:bCs/>
          <w:lang w:eastAsia="de-DE"/>
        </w:rPr>
        <w:br w:type="page"/>
      </w:r>
    </w:p>
    <w:p w14:paraId="4BC86B1A" w14:textId="2A7321B7" w:rsidR="005140C3" w:rsidRPr="00464EB2" w:rsidRDefault="005140C3" w:rsidP="00FC7C1D">
      <w:pPr>
        <w:keepNext/>
        <w:suppressAutoHyphens w:val="0"/>
        <w:spacing w:before="240" w:line="240" w:lineRule="auto"/>
        <w:ind w:left="1100" w:right="40" w:hanging="1100"/>
        <w:outlineLvl w:val="0"/>
        <w:rPr>
          <w:rFonts w:eastAsia="MS Mincho"/>
          <w:bCs/>
          <w:lang w:eastAsia="de-DE"/>
        </w:rPr>
      </w:pPr>
      <w:r w:rsidRPr="00464EB2">
        <w:rPr>
          <w:rFonts w:eastAsia="MS Mincho"/>
          <w:bCs/>
          <w:lang w:eastAsia="de-DE"/>
        </w:rPr>
        <w:lastRenderedPageBreak/>
        <w:t>Table 5</w:t>
      </w:r>
      <w:bookmarkEnd w:id="30"/>
      <w:bookmarkEnd w:id="31"/>
      <w:bookmarkEnd w:id="32"/>
      <w:bookmarkEnd w:id="33"/>
      <w:r w:rsidRPr="00464EB2">
        <w:rPr>
          <w:rFonts w:eastAsia="MS Mincho"/>
          <w:bCs/>
          <w:lang w:eastAsia="de-DE"/>
        </w:rPr>
        <w:t xml:space="preserve"> </w:t>
      </w:r>
    </w:p>
    <w:p w14:paraId="4BC86B1B" w14:textId="77777777" w:rsidR="005140C3" w:rsidRPr="00464EB2" w:rsidRDefault="005140C3" w:rsidP="00FC7C1D">
      <w:pPr>
        <w:keepNext/>
        <w:spacing w:after="120"/>
      </w:pPr>
      <w:bookmarkStart w:id="35" w:name="_Toc353192995"/>
      <w:bookmarkEnd w:id="34"/>
      <w:r w:rsidRPr="00464EB2">
        <w:rPr>
          <w:b/>
        </w:rPr>
        <w:t>Resource requirements for the Trust Fund for Supplementary Activities in the biennium 2016–201</w:t>
      </w:r>
      <w:bookmarkEnd w:id="35"/>
      <w:r w:rsidRPr="00464EB2">
        <w:rPr>
          <w:b/>
        </w:rPr>
        <w:t>7</w:t>
      </w:r>
      <w:r w:rsidRPr="00464EB2">
        <w:rPr>
          <w:i/>
          <w:sz w:val="18"/>
          <w:vertAlign w:val="superscript"/>
        </w:rPr>
        <w:t>a</w:t>
      </w:r>
      <w:r w:rsidRPr="00464EB2">
        <w:rPr>
          <w:sz w:val="18"/>
        </w:rPr>
        <w:t xml:space="preserve"> </w:t>
      </w:r>
    </w:p>
    <w:tbl>
      <w:tblPr>
        <w:tblW w:w="9639" w:type="dxa"/>
        <w:tblBorders>
          <w:top w:val="single" w:sz="4" w:space="0" w:color="auto"/>
        </w:tblBorders>
        <w:tblCellMar>
          <w:left w:w="0" w:type="dxa"/>
          <w:right w:w="113" w:type="dxa"/>
        </w:tblCellMar>
        <w:tblLook w:val="0000" w:firstRow="0" w:lastRow="0" w:firstColumn="0" w:lastColumn="0" w:noHBand="0" w:noVBand="0"/>
      </w:tblPr>
      <w:tblGrid>
        <w:gridCol w:w="957"/>
        <w:gridCol w:w="7298"/>
        <w:gridCol w:w="1377"/>
        <w:gridCol w:w="7"/>
      </w:tblGrid>
      <w:tr w:rsidR="005140C3" w:rsidRPr="00464EB2" w14:paraId="4BC86B1F" w14:textId="77777777" w:rsidTr="00985592">
        <w:trPr>
          <w:trHeight w:val="240"/>
          <w:tblHeader/>
        </w:trPr>
        <w:tc>
          <w:tcPr>
            <w:tcW w:w="953" w:type="dxa"/>
            <w:tcBorders>
              <w:top w:val="single" w:sz="4" w:space="0" w:color="auto"/>
              <w:bottom w:val="single" w:sz="12" w:space="0" w:color="auto"/>
            </w:tcBorders>
            <w:vAlign w:val="bottom"/>
          </w:tcPr>
          <w:p w14:paraId="4BC86B1C" w14:textId="6065F768" w:rsidR="005140C3" w:rsidRPr="00464EB2" w:rsidRDefault="005140C3" w:rsidP="00985592">
            <w:pPr>
              <w:suppressAutoHyphens w:val="0"/>
              <w:spacing w:before="80" w:after="80" w:line="200" w:lineRule="exact"/>
              <w:rPr>
                <w:bCs/>
                <w:i/>
                <w:sz w:val="16"/>
              </w:rPr>
            </w:pPr>
            <w:bookmarkStart w:id="36" w:name="OLE_LINK10"/>
            <w:bookmarkStart w:id="37" w:name="OLE_LINK11"/>
            <w:r w:rsidRPr="00464EB2">
              <w:rPr>
                <w:bCs/>
                <w:i/>
                <w:sz w:val="16"/>
              </w:rPr>
              <w:t>Table no</w:t>
            </w:r>
            <w:r w:rsidR="004D6C3E">
              <w:rPr>
                <w:bCs/>
                <w:i/>
                <w:sz w:val="16"/>
              </w:rPr>
              <w:t>.</w:t>
            </w:r>
            <w:r w:rsidRPr="00464EB2">
              <w:rPr>
                <w:i/>
                <w:sz w:val="18"/>
                <w:szCs w:val="18"/>
                <w:vertAlign w:val="superscript"/>
              </w:rPr>
              <w:t>b</w:t>
            </w:r>
          </w:p>
        </w:tc>
        <w:tc>
          <w:tcPr>
            <w:tcW w:w="7262" w:type="dxa"/>
            <w:tcBorders>
              <w:top w:val="single" w:sz="4" w:space="0" w:color="auto"/>
              <w:bottom w:val="single" w:sz="12" w:space="0" w:color="auto"/>
            </w:tcBorders>
            <w:shd w:val="clear" w:color="auto" w:fill="auto"/>
            <w:vAlign w:val="bottom"/>
          </w:tcPr>
          <w:p w14:paraId="4BC86B1D" w14:textId="77777777" w:rsidR="005140C3" w:rsidRPr="00464EB2" w:rsidRDefault="005140C3" w:rsidP="009F3C26">
            <w:pPr>
              <w:suppressAutoHyphens w:val="0"/>
              <w:spacing w:before="80" w:after="80" w:line="200" w:lineRule="exact"/>
              <w:rPr>
                <w:bCs/>
                <w:i/>
                <w:sz w:val="16"/>
              </w:rPr>
            </w:pPr>
            <w:r w:rsidRPr="00464EB2">
              <w:rPr>
                <w:bCs/>
                <w:i/>
                <w:sz w:val="16"/>
              </w:rPr>
              <w:t>Activities to be undertaken by the secretariat</w:t>
            </w:r>
          </w:p>
        </w:tc>
        <w:tc>
          <w:tcPr>
            <w:tcW w:w="1377" w:type="dxa"/>
            <w:gridSpan w:val="2"/>
            <w:tcBorders>
              <w:top w:val="single" w:sz="4" w:space="0" w:color="auto"/>
              <w:bottom w:val="single" w:sz="12" w:space="0" w:color="auto"/>
            </w:tcBorders>
            <w:shd w:val="clear" w:color="auto" w:fill="auto"/>
            <w:vAlign w:val="bottom"/>
          </w:tcPr>
          <w:p w14:paraId="4BC86B1E" w14:textId="24BBCD55" w:rsidR="005140C3" w:rsidRPr="00464EB2" w:rsidRDefault="005140C3" w:rsidP="009F3C26">
            <w:pPr>
              <w:suppressAutoHyphens w:val="0"/>
              <w:spacing w:before="80" w:after="80" w:line="200" w:lineRule="exact"/>
              <w:ind w:left="113" w:right="-108"/>
              <w:jc w:val="right"/>
            </w:pPr>
            <w:r w:rsidRPr="00464EB2">
              <w:rPr>
                <w:i/>
                <w:sz w:val="16"/>
              </w:rPr>
              <w:t xml:space="preserve">EUR </w:t>
            </w:r>
          </w:p>
        </w:tc>
      </w:tr>
      <w:tr w:rsidR="005140C3" w:rsidRPr="004D0A25" w14:paraId="4BC86B23" w14:textId="77777777" w:rsidTr="009F3C26">
        <w:trPr>
          <w:trHeight w:val="240"/>
        </w:trPr>
        <w:tc>
          <w:tcPr>
            <w:tcW w:w="953" w:type="dxa"/>
            <w:tcBorders>
              <w:top w:val="single" w:sz="12" w:space="0" w:color="auto"/>
            </w:tcBorders>
            <w:vAlign w:val="bottom"/>
          </w:tcPr>
          <w:p w14:paraId="4BC86B20" w14:textId="77777777" w:rsidR="005140C3" w:rsidRPr="004D0A25" w:rsidRDefault="005140C3" w:rsidP="009F3C26">
            <w:pPr>
              <w:suppressAutoHyphens w:val="0"/>
              <w:spacing w:before="40" w:after="40" w:line="220" w:lineRule="exact"/>
              <w:jc w:val="center"/>
              <w:rPr>
                <w:bCs/>
                <w:i/>
                <w:sz w:val="18"/>
                <w:szCs w:val="18"/>
              </w:rPr>
            </w:pPr>
          </w:p>
        </w:tc>
        <w:tc>
          <w:tcPr>
            <w:tcW w:w="7262" w:type="dxa"/>
            <w:tcBorders>
              <w:top w:val="single" w:sz="12" w:space="0" w:color="auto"/>
            </w:tcBorders>
            <w:shd w:val="clear" w:color="auto" w:fill="auto"/>
            <w:vAlign w:val="bottom"/>
          </w:tcPr>
          <w:p w14:paraId="4BC86B21" w14:textId="77777777" w:rsidR="005140C3" w:rsidRPr="004D0A25" w:rsidRDefault="005140C3" w:rsidP="009F3C26">
            <w:pPr>
              <w:suppressAutoHyphens w:val="0"/>
              <w:spacing w:before="40" w:after="40" w:line="220" w:lineRule="exact"/>
              <w:rPr>
                <w:bCs/>
                <w:sz w:val="18"/>
                <w:szCs w:val="18"/>
              </w:rPr>
            </w:pPr>
            <w:r w:rsidRPr="004D0A25">
              <w:rPr>
                <w:bCs/>
                <w:i/>
                <w:sz w:val="18"/>
                <w:szCs w:val="18"/>
              </w:rPr>
              <w:t xml:space="preserve">Convention </w:t>
            </w:r>
          </w:p>
        </w:tc>
        <w:tc>
          <w:tcPr>
            <w:tcW w:w="1377" w:type="dxa"/>
            <w:gridSpan w:val="2"/>
            <w:tcBorders>
              <w:top w:val="single" w:sz="12" w:space="0" w:color="auto"/>
            </w:tcBorders>
            <w:shd w:val="clear" w:color="auto" w:fill="auto"/>
            <w:vAlign w:val="bottom"/>
          </w:tcPr>
          <w:p w14:paraId="4BC86B22" w14:textId="77777777" w:rsidR="005140C3" w:rsidRPr="004D0A25" w:rsidRDefault="005140C3" w:rsidP="009F3C26">
            <w:pPr>
              <w:suppressAutoHyphens w:val="0"/>
              <w:spacing w:before="40" w:after="40" w:line="220" w:lineRule="exact"/>
              <w:ind w:left="113" w:right="-108"/>
              <w:jc w:val="right"/>
              <w:rPr>
                <w:sz w:val="18"/>
                <w:szCs w:val="18"/>
                <w:highlight w:val="yellow"/>
              </w:rPr>
            </w:pPr>
          </w:p>
        </w:tc>
      </w:tr>
      <w:tr w:rsidR="005140C3" w:rsidRPr="004D0A25" w14:paraId="4BC86B28"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510"/>
        </w:trPr>
        <w:tc>
          <w:tcPr>
            <w:tcW w:w="953" w:type="dxa"/>
            <w:tcBorders>
              <w:top w:val="nil"/>
              <w:left w:val="nil"/>
              <w:bottom w:val="nil"/>
              <w:right w:val="nil"/>
            </w:tcBorders>
            <w:shd w:val="clear" w:color="auto" w:fill="auto"/>
            <w:vAlign w:val="bottom"/>
            <w:hideMark/>
          </w:tcPr>
          <w:p w14:paraId="4BC86B24"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2</w:t>
            </w:r>
          </w:p>
          <w:p w14:paraId="4BC86B25"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26"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Coordinating the implementation of the Paris outcome, institutional arrangements under the Convention and efforts to mobilize and catalyse climate action</w:t>
            </w:r>
          </w:p>
        </w:tc>
        <w:tc>
          <w:tcPr>
            <w:tcW w:w="1370" w:type="dxa"/>
            <w:tcBorders>
              <w:top w:val="nil"/>
              <w:left w:val="nil"/>
              <w:bottom w:val="nil"/>
              <w:right w:val="nil"/>
            </w:tcBorders>
            <w:shd w:val="clear" w:color="auto" w:fill="auto"/>
            <w:vAlign w:val="bottom"/>
            <w:hideMark/>
          </w:tcPr>
          <w:p w14:paraId="4BC86B27"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bookmarkStart w:id="38" w:name="RANGE!C5"/>
            <w:r w:rsidRPr="004D0A25">
              <w:rPr>
                <w:rFonts w:eastAsia="Times New Roman"/>
                <w:color w:val="000000"/>
                <w:sz w:val="18"/>
                <w:szCs w:val="18"/>
                <w:lang w:eastAsia="en-US"/>
              </w:rPr>
              <w:t xml:space="preserve">2 108 444 </w:t>
            </w:r>
            <w:bookmarkEnd w:id="38"/>
          </w:p>
        </w:tc>
      </w:tr>
      <w:tr w:rsidR="005140C3" w:rsidRPr="004D0A25" w14:paraId="4BC86B2C"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29"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3</w:t>
            </w:r>
          </w:p>
        </w:tc>
        <w:tc>
          <w:tcPr>
            <w:tcW w:w="7262" w:type="dxa"/>
            <w:tcBorders>
              <w:top w:val="nil"/>
              <w:left w:val="nil"/>
              <w:bottom w:val="nil"/>
              <w:right w:val="nil"/>
            </w:tcBorders>
            <w:shd w:val="clear" w:color="auto" w:fill="auto"/>
            <w:vAlign w:val="bottom"/>
            <w:hideMark/>
          </w:tcPr>
          <w:p w14:paraId="4BC86B2A" w14:textId="77777777" w:rsidR="005140C3" w:rsidRPr="004D0A25" w:rsidRDefault="005140C3" w:rsidP="009F3C26">
            <w:pPr>
              <w:suppressAutoHyphens w:val="0"/>
              <w:spacing w:line="240" w:lineRule="auto"/>
              <w:ind w:left="-113"/>
              <w:rPr>
                <w:rFonts w:eastAsia="Times New Roman"/>
                <w:color w:val="000000"/>
                <w:sz w:val="18"/>
                <w:szCs w:val="18"/>
                <w:lang w:eastAsia="en-US"/>
              </w:rPr>
            </w:pPr>
            <w:bookmarkStart w:id="39" w:name="RANGE!B6"/>
            <w:r w:rsidRPr="004D0A25">
              <w:rPr>
                <w:rFonts w:eastAsia="Times New Roman"/>
                <w:color w:val="000000"/>
                <w:sz w:val="18"/>
                <w:szCs w:val="18"/>
                <w:lang w:eastAsia="en-US"/>
              </w:rPr>
              <w:t>Support to gender mainstreaming in climate change policy and action</w:t>
            </w:r>
            <w:bookmarkEnd w:id="39"/>
          </w:p>
        </w:tc>
        <w:tc>
          <w:tcPr>
            <w:tcW w:w="1370" w:type="dxa"/>
            <w:tcBorders>
              <w:top w:val="nil"/>
              <w:left w:val="nil"/>
              <w:bottom w:val="nil"/>
              <w:right w:val="nil"/>
            </w:tcBorders>
            <w:shd w:val="clear" w:color="auto" w:fill="auto"/>
            <w:vAlign w:val="bottom"/>
            <w:hideMark/>
          </w:tcPr>
          <w:p w14:paraId="4BC86B2B"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bookmarkStart w:id="40" w:name="RANGE!C6"/>
            <w:r w:rsidRPr="004D0A25">
              <w:rPr>
                <w:rFonts w:eastAsia="Times New Roman"/>
                <w:color w:val="000000"/>
                <w:sz w:val="18"/>
                <w:szCs w:val="18"/>
                <w:lang w:eastAsia="en-US"/>
              </w:rPr>
              <w:t xml:space="preserve">398 800 </w:t>
            </w:r>
            <w:bookmarkEnd w:id="40"/>
          </w:p>
        </w:tc>
      </w:tr>
      <w:tr w:rsidR="005140C3" w:rsidRPr="004D0A25" w14:paraId="4BC86B32"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765"/>
        </w:trPr>
        <w:tc>
          <w:tcPr>
            <w:tcW w:w="953" w:type="dxa"/>
            <w:tcBorders>
              <w:top w:val="nil"/>
              <w:left w:val="nil"/>
              <w:bottom w:val="nil"/>
              <w:right w:val="nil"/>
            </w:tcBorders>
            <w:shd w:val="clear" w:color="auto" w:fill="auto"/>
            <w:vAlign w:val="bottom"/>
            <w:hideMark/>
          </w:tcPr>
          <w:p w14:paraId="4BC86B2D"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4</w:t>
            </w:r>
          </w:p>
          <w:p w14:paraId="4BC86B2E" w14:textId="77777777" w:rsidR="005140C3" w:rsidRDefault="005140C3" w:rsidP="00985592">
            <w:pPr>
              <w:suppressAutoHyphens w:val="0"/>
              <w:spacing w:line="240" w:lineRule="auto"/>
              <w:ind w:hanging="108"/>
              <w:rPr>
                <w:rFonts w:eastAsia="Times New Roman"/>
                <w:color w:val="000000"/>
                <w:sz w:val="18"/>
                <w:szCs w:val="18"/>
                <w:lang w:eastAsia="en-US"/>
              </w:rPr>
            </w:pPr>
          </w:p>
          <w:p w14:paraId="4BC86B2F"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30" w14:textId="77777777" w:rsidR="005140C3" w:rsidRPr="004D0A25" w:rsidRDefault="005140C3" w:rsidP="009F3C26">
            <w:pPr>
              <w:suppressAutoHyphens w:val="0"/>
              <w:spacing w:line="240" w:lineRule="auto"/>
              <w:ind w:left="-113"/>
              <w:rPr>
                <w:rFonts w:eastAsia="Times New Roman"/>
                <w:color w:val="000000"/>
                <w:sz w:val="18"/>
                <w:szCs w:val="18"/>
                <w:lang w:eastAsia="en-US"/>
              </w:rPr>
            </w:pPr>
            <w:bookmarkStart w:id="41" w:name="RANGE!B7"/>
            <w:r w:rsidRPr="004D0A25">
              <w:rPr>
                <w:rFonts w:eastAsia="Times New Roman"/>
                <w:color w:val="000000"/>
                <w:sz w:val="18"/>
                <w:szCs w:val="18"/>
                <w:lang w:eastAsia="en-US"/>
              </w:rPr>
              <w:t>Supporting the work of the Consultative Group of Experts on National Communications from Parties not included in Annex I to the Convention on implementing the measurement, reporting and verification framework for developing country Parties</w:t>
            </w:r>
            <w:bookmarkEnd w:id="41"/>
          </w:p>
        </w:tc>
        <w:tc>
          <w:tcPr>
            <w:tcW w:w="1370" w:type="dxa"/>
            <w:tcBorders>
              <w:top w:val="nil"/>
              <w:left w:val="nil"/>
              <w:bottom w:val="nil"/>
              <w:right w:val="nil"/>
            </w:tcBorders>
            <w:shd w:val="clear" w:color="auto" w:fill="auto"/>
            <w:vAlign w:val="bottom"/>
            <w:hideMark/>
          </w:tcPr>
          <w:p w14:paraId="4BC86B31"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bookmarkStart w:id="42" w:name="RANGE!C7"/>
            <w:r w:rsidRPr="004D0A25">
              <w:rPr>
                <w:rFonts w:eastAsia="Times New Roman"/>
                <w:color w:val="000000"/>
                <w:sz w:val="18"/>
                <w:szCs w:val="18"/>
                <w:lang w:eastAsia="en-US"/>
              </w:rPr>
              <w:t xml:space="preserve">1 843 304 </w:t>
            </w:r>
            <w:bookmarkEnd w:id="42"/>
          </w:p>
        </w:tc>
      </w:tr>
      <w:tr w:rsidR="005140C3" w:rsidRPr="004D0A25" w14:paraId="4BC86B37"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510"/>
        </w:trPr>
        <w:tc>
          <w:tcPr>
            <w:tcW w:w="953" w:type="dxa"/>
            <w:tcBorders>
              <w:top w:val="nil"/>
              <w:left w:val="nil"/>
              <w:bottom w:val="nil"/>
              <w:right w:val="nil"/>
            </w:tcBorders>
            <w:shd w:val="clear" w:color="auto" w:fill="auto"/>
            <w:vAlign w:val="bottom"/>
            <w:hideMark/>
          </w:tcPr>
          <w:p w14:paraId="4BC86B33"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8</w:t>
            </w:r>
          </w:p>
          <w:p w14:paraId="4BC86B34"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35" w14:textId="185BF953" w:rsidR="005140C3" w:rsidRPr="004D0A25" w:rsidRDefault="005140C3" w:rsidP="004D6C3E">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Supporting the implementation of national greenhouse gas (GHG) inventories and related activities by non-Annex I Parties, including national forest monitoring systems</w:t>
            </w:r>
          </w:p>
        </w:tc>
        <w:tc>
          <w:tcPr>
            <w:tcW w:w="1370" w:type="dxa"/>
            <w:tcBorders>
              <w:top w:val="nil"/>
              <w:left w:val="nil"/>
              <w:bottom w:val="nil"/>
              <w:right w:val="nil"/>
            </w:tcBorders>
            <w:shd w:val="clear" w:color="auto" w:fill="auto"/>
            <w:vAlign w:val="bottom"/>
            <w:hideMark/>
          </w:tcPr>
          <w:p w14:paraId="4BC86B36"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529 643 </w:t>
            </w:r>
          </w:p>
        </w:tc>
      </w:tr>
      <w:tr w:rsidR="005140C3" w:rsidRPr="004D0A25" w14:paraId="4BC86B3B"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298"/>
        </w:trPr>
        <w:tc>
          <w:tcPr>
            <w:tcW w:w="953" w:type="dxa"/>
            <w:tcBorders>
              <w:top w:val="nil"/>
              <w:left w:val="nil"/>
              <w:bottom w:val="nil"/>
              <w:right w:val="nil"/>
            </w:tcBorders>
            <w:shd w:val="clear" w:color="auto" w:fill="auto"/>
            <w:vAlign w:val="bottom"/>
            <w:hideMark/>
          </w:tcPr>
          <w:p w14:paraId="4BC86B38"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9</w:t>
            </w:r>
          </w:p>
        </w:tc>
        <w:tc>
          <w:tcPr>
            <w:tcW w:w="7262" w:type="dxa"/>
            <w:tcBorders>
              <w:top w:val="nil"/>
              <w:left w:val="nil"/>
              <w:bottom w:val="nil"/>
              <w:right w:val="nil"/>
            </w:tcBorders>
            <w:shd w:val="clear" w:color="auto" w:fill="auto"/>
            <w:vAlign w:val="bottom"/>
            <w:hideMark/>
          </w:tcPr>
          <w:p w14:paraId="4BC86B39"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Supporting the implementation of enhanced action on mitigation by developing country Parties</w:t>
            </w:r>
          </w:p>
        </w:tc>
        <w:tc>
          <w:tcPr>
            <w:tcW w:w="1370" w:type="dxa"/>
            <w:tcBorders>
              <w:top w:val="nil"/>
              <w:left w:val="nil"/>
              <w:bottom w:val="nil"/>
              <w:right w:val="nil"/>
            </w:tcBorders>
            <w:shd w:val="clear" w:color="auto" w:fill="auto"/>
            <w:vAlign w:val="bottom"/>
            <w:hideMark/>
          </w:tcPr>
          <w:p w14:paraId="4BC86B3A"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2 323 497 </w:t>
            </w:r>
          </w:p>
        </w:tc>
      </w:tr>
      <w:tr w:rsidR="005140C3" w:rsidRPr="004D0A25" w14:paraId="4BC86B40"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585"/>
        </w:trPr>
        <w:tc>
          <w:tcPr>
            <w:tcW w:w="953" w:type="dxa"/>
            <w:tcBorders>
              <w:top w:val="nil"/>
              <w:left w:val="nil"/>
              <w:bottom w:val="nil"/>
              <w:right w:val="nil"/>
            </w:tcBorders>
            <w:shd w:val="clear" w:color="auto" w:fill="auto"/>
            <w:vAlign w:val="bottom"/>
            <w:hideMark/>
          </w:tcPr>
          <w:p w14:paraId="4BC86B3C"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11</w:t>
            </w:r>
          </w:p>
          <w:p w14:paraId="4BC86B3D"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3E"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 xml:space="preserve">Supporting the work programme for the development of modalities and guidelines for enhanced reporting by developed country Parties and the international assessment and review process </w:t>
            </w:r>
          </w:p>
        </w:tc>
        <w:tc>
          <w:tcPr>
            <w:tcW w:w="1370" w:type="dxa"/>
            <w:tcBorders>
              <w:top w:val="nil"/>
              <w:left w:val="nil"/>
              <w:bottom w:val="nil"/>
              <w:right w:val="nil"/>
            </w:tcBorders>
            <w:shd w:val="clear" w:color="auto" w:fill="auto"/>
            <w:vAlign w:val="bottom"/>
            <w:hideMark/>
          </w:tcPr>
          <w:p w14:paraId="4BC86B3F"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1 621 731 </w:t>
            </w:r>
          </w:p>
        </w:tc>
      </w:tr>
      <w:tr w:rsidR="005140C3" w:rsidRPr="004D0A25" w14:paraId="4BC86B44"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280"/>
        </w:trPr>
        <w:tc>
          <w:tcPr>
            <w:tcW w:w="953" w:type="dxa"/>
            <w:tcBorders>
              <w:top w:val="nil"/>
              <w:left w:val="nil"/>
              <w:bottom w:val="nil"/>
              <w:right w:val="nil"/>
            </w:tcBorders>
            <w:shd w:val="clear" w:color="auto" w:fill="auto"/>
            <w:vAlign w:val="bottom"/>
            <w:hideMark/>
          </w:tcPr>
          <w:p w14:paraId="4BC86B41"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13</w:t>
            </w:r>
          </w:p>
        </w:tc>
        <w:tc>
          <w:tcPr>
            <w:tcW w:w="7262" w:type="dxa"/>
            <w:tcBorders>
              <w:top w:val="nil"/>
              <w:left w:val="nil"/>
              <w:bottom w:val="nil"/>
              <w:right w:val="nil"/>
            </w:tcBorders>
            <w:shd w:val="clear" w:color="auto" w:fill="auto"/>
            <w:vAlign w:val="bottom"/>
            <w:hideMark/>
          </w:tcPr>
          <w:p w14:paraId="4BC86B42" w14:textId="7B6E4845" w:rsidR="005140C3" w:rsidRPr="004D0A25" w:rsidRDefault="005140C3" w:rsidP="004D6C3E">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Further improvements and development of the nationally appropriate mitigation action registry</w:t>
            </w:r>
          </w:p>
        </w:tc>
        <w:tc>
          <w:tcPr>
            <w:tcW w:w="1370" w:type="dxa"/>
            <w:tcBorders>
              <w:top w:val="nil"/>
              <w:left w:val="nil"/>
              <w:bottom w:val="nil"/>
              <w:right w:val="nil"/>
            </w:tcBorders>
            <w:shd w:val="clear" w:color="auto" w:fill="auto"/>
            <w:vAlign w:val="bottom"/>
            <w:hideMark/>
          </w:tcPr>
          <w:p w14:paraId="4BC86B43"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585 340 </w:t>
            </w:r>
          </w:p>
        </w:tc>
      </w:tr>
      <w:tr w:rsidR="005140C3" w:rsidRPr="004D0A25" w14:paraId="4BC86B48"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45"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15</w:t>
            </w:r>
          </w:p>
        </w:tc>
        <w:tc>
          <w:tcPr>
            <w:tcW w:w="7262" w:type="dxa"/>
            <w:tcBorders>
              <w:top w:val="nil"/>
              <w:left w:val="nil"/>
              <w:bottom w:val="nil"/>
              <w:right w:val="nil"/>
            </w:tcBorders>
            <w:shd w:val="clear" w:color="auto" w:fill="auto"/>
            <w:vAlign w:val="bottom"/>
            <w:hideMark/>
          </w:tcPr>
          <w:p w14:paraId="4BC86B46" w14:textId="538005D0" w:rsidR="005140C3" w:rsidRPr="004D0A25" w:rsidRDefault="005140C3" w:rsidP="004D6C3E">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 xml:space="preserve">Support to technical dialogue on nationally determined contributions </w:t>
            </w:r>
          </w:p>
        </w:tc>
        <w:tc>
          <w:tcPr>
            <w:tcW w:w="1370" w:type="dxa"/>
            <w:tcBorders>
              <w:top w:val="nil"/>
              <w:left w:val="nil"/>
              <w:bottom w:val="nil"/>
              <w:right w:val="nil"/>
            </w:tcBorders>
            <w:shd w:val="clear" w:color="auto" w:fill="auto"/>
            <w:vAlign w:val="bottom"/>
            <w:hideMark/>
          </w:tcPr>
          <w:p w14:paraId="4BC86B47"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2 074 725 </w:t>
            </w:r>
          </w:p>
        </w:tc>
      </w:tr>
      <w:tr w:rsidR="005140C3" w:rsidRPr="004D0A25" w14:paraId="4BC86B4D"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510"/>
        </w:trPr>
        <w:tc>
          <w:tcPr>
            <w:tcW w:w="953" w:type="dxa"/>
            <w:tcBorders>
              <w:top w:val="nil"/>
              <w:left w:val="nil"/>
              <w:bottom w:val="nil"/>
              <w:right w:val="nil"/>
            </w:tcBorders>
            <w:shd w:val="clear" w:color="auto" w:fill="auto"/>
            <w:vAlign w:val="bottom"/>
            <w:hideMark/>
          </w:tcPr>
          <w:p w14:paraId="4BC86B49"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16</w:t>
            </w:r>
          </w:p>
          <w:p w14:paraId="4BC86B4A"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4B"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Supporting the operationalization of the international consultation and analysis process for developing country Parties</w:t>
            </w:r>
          </w:p>
        </w:tc>
        <w:tc>
          <w:tcPr>
            <w:tcW w:w="1370" w:type="dxa"/>
            <w:tcBorders>
              <w:top w:val="nil"/>
              <w:left w:val="nil"/>
              <w:bottom w:val="nil"/>
              <w:right w:val="nil"/>
            </w:tcBorders>
            <w:shd w:val="clear" w:color="auto" w:fill="auto"/>
            <w:vAlign w:val="bottom"/>
            <w:hideMark/>
          </w:tcPr>
          <w:p w14:paraId="4BC86B4C"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2 302 760 </w:t>
            </w:r>
          </w:p>
        </w:tc>
      </w:tr>
      <w:tr w:rsidR="005140C3" w:rsidRPr="004D0A25" w14:paraId="4BC86B52"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510"/>
        </w:trPr>
        <w:tc>
          <w:tcPr>
            <w:tcW w:w="953" w:type="dxa"/>
            <w:tcBorders>
              <w:top w:val="nil"/>
              <w:left w:val="nil"/>
              <w:bottom w:val="nil"/>
              <w:right w:val="nil"/>
            </w:tcBorders>
            <w:shd w:val="clear" w:color="auto" w:fill="auto"/>
            <w:vAlign w:val="bottom"/>
            <w:hideMark/>
          </w:tcPr>
          <w:p w14:paraId="4BC86B4E"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17</w:t>
            </w:r>
          </w:p>
          <w:p w14:paraId="4BC86B4F"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50" w14:textId="0C3D05DC" w:rsidR="005140C3" w:rsidRPr="004D0A25" w:rsidRDefault="005140C3" w:rsidP="004D6C3E">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Supporting the Subsidiary Body for Scientific and Technological Advice consideration of issues relating to agriculture</w:t>
            </w:r>
          </w:p>
        </w:tc>
        <w:tc>
          <w:tcPr>
            <w:tcW w:w="1370" w:type="dxa"/>
            <w:tcBorders>
              <w:top w:val="nil"/>
              <w:left w:val="nil"/>
              <w:bottom w:val="nil"/>
              <w:right w:val="nil"/>
            </w:tcBorders>
            <w:shd w:val="clear" w:color="auto" w:fill="auto"/>
            <w:vAlign w:val="bottom"/>
            <w:hideMark/>
          </w:tcPr>
          <w:p w14:paraId="4BC86B51"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275 720 </w:t>
            </w:r>
          </w:p>
        </w:tc>
      </w:tr>
      <w:tr w:rsidR="005140C3" w:rsidRPr="004D0A25" w14:paraId="4BC86B56"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53"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18</w:t>
            </w:r>
          </w:p>
        </w:tc>
        <w:tc>
          <w:tcPr>
            <w:tcW w:w="7262" w:type="dxa"/>
            <w:tcBorders>
              <w:top w:val="nil"/>
              <w:left w:val="nil"/>
              <w:bottom w:val="nil"/>
              <w:right w:val="nil"/>
            </w:tcBorders>
            <w:shd w:val="clear" w:color="auto" w:fill="auto"/>
            <w:vAlign w:val="bottom"/>
            <w:hideMark/>
          </w:tcPr>
          <w:p w14:paraId="4BC86B54"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Supporting the work of the Standing Committee on Finance</w:t>
            </w:r>
          </w:p>
        </w:tc>
        <w:tc>
          <w:tcPr>
            <w:tcW w:w="1370" w:type="dxa"/>
            <w:tcBorders>
              <w:top w:val="nil"/>
              <w:left w:val="nil"/>
              <w:bottom w:val="nil"/>
              <w:right w:val="nil"/>
            </w:tcBorders>
            <w:shd w:val="clear" w:color="auto" w:fill="auto"/>
            <w:vAlign w:val="bottom"/>
            <w:hideMark/>
          </w:tcPr>
          <w:p w14:paraId="4BC86B55"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1 159 380 </w:t>
            </w:r>
          </w:p>
        </w:tc>
      </w:tr>
      <w:tr w:rsidR="005140C3" w:rsidRPr="004D0A25" w14:paraId="4BC86B5A"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57"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19</w:t>
            </w:r>
          </w:p>
        </w:tc>
        <w:tc>
          <w:tcPr>
            <w:tcW w:w="7262" w:type="dxa"/>
            <w:tcBorders>
              <w:top w:val="nil"/>
              <w:left w:val="nil"/>
              <w:bottom w:val="nil"/>
              <w:right w:val="nil"/>
            </w:tcBorders>
            <w:shd w:val="clear" w:color="auto" w:fill="auto"/>
            <w:vAlign w:val="bottom"/>
            <w:hideMark/>
          </w:tcPr>
          <w:p w14:paraId="4BC86B58"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 to climate finance</w:t>
            </w:r>
          </w:p>
        </w:tc>
        <w:tc>
          <w:tcPr>
            <w:tcW w:w="1370" w:type="dxa"/>
            <w:tcBorders>
              <w:top w:val="nil"/>
              <w:left w:val="nil"/>
              <w:bottom w:val="nil"/>
              <w:right w:val="nil"/>
            </w:tcBorders>
            <w:shd w:val="clear" w:color="auto" w:fill="auto"/>
            <w:vAlign w:val="bottom"/>
            <w:hideMark/>
          </w:tcPr>
          <w:p w14:paraId="4BC86B59"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333 802 </w:t>
            </w:r>
          </w:p>
        </w:tc>
      </w:tr>
      <w:tr w:rsidR="005140C3" w:rsidRPr="004D0A25" w14:paraId="4BC86B60"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765"/>
        </w:trPr>
        <w:tc>
          <w:tcPr>
            <w:tcW w:w="953" w:type="dxa"/>
            <w:tcBorders>
              <w:top w:val="nil"/>
              <w:left w:val="nil"/>
              <w:bottom w:val="nil"/>
              <w:right w:val="nil"/>
            </w:tcBorders>
            <w:shd w:val="clear" w:color="auto" w:fill="auto"/>
            <w:vAlign w:val="bottom"/>
            <w:hideMark/>
          </w:tcPr>
          <w:p w14:paraId="4BC86B5B"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20</w:t>
            </w:r>
          </w:p>
          <w:p w14:paraId="4BC86B5C" w14:textId="77777777" w:rsidR="005140C3" w:rsidRDefault="005140C3" w:rsidP="00985592">
            <w:pPr>
              <w:suppressAutoHyphens w:val="0"/>
              <w:spacing w:line="240" w:lineRule="auto"/>
              <w:ind w:hanging="108"/>
              <w:rPr>
                <w:rFonts w:eastAsia="Times New Roman"/>
                <w:color w:val="000000"/>
                <w:sz w:val="18"/>
                <w:szCs w:val="18"/>
                <w:lang w:eastAsia="en-US"/>
              </w:rPr>
            </w:pPr>
          </w:p>
          <w:p w14:paraId="4BC86B5D"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5E"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Supporting the implementation of the Technology Mechanism and the work of the Technology Executive Committee, including the implementation of the framework for meaningful and effective actions to enhance the implementation of Article 4, paragraph 5, of the Convention</w:t>
            </w:r>
          </w:p>
        </w:tc>
        <w:tc>
          <w:tcPr>
            <w:tcW w:w="1370" w:type="dxa"/>
            <w:tcBorders>
              <w:top w:val="nil"/>
              <w:left w:val="nil"/>
              <w:bottom w:val="nil"/>
              <w:right w:val="nil"/>
            </w:tcBorders>
            <w:shd w:val="clear" w:color="auto" w:fill="auto"/>
            <w:vAlign w:val="bottom"/>
            <w:hideMark/>
          </w:tcPr>
          <w:p w14:paraId="4BC86B5F"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1 193 981 </w:t>
            </w:r>
          </w:p>
        </w:tc>
      </w:tr>
      <w:tr w:rsidR="005140C3" w:rsidRPr="004D0A25" w14:paraId="4BC86B65"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510"/>
        </w:trPr>
        <w:tc>
          <w:tcPr>
            <w:tcW w:w="953" w:type="dxa"/>
            <w:tcBorders>
              <w:top w:val="nil"/>
              <w:left w:val="nil"/>
              <w:bottom w:val="nil"/>
              <w:right w:val="nil"/>
            </w:tcBorders>
            <w:shd w:val="clear" w:color="auto" w:fill="auto"/>
            <w:vAlign w:val="bottom"/>
            <w:hideMark/>
          </w:tcPr>
          <w:p w14:paraId="4BC86B61"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22</w:t>
            </w:r>
          </w:p>
          <w:p w14:paraId="4BC86B62"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63"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Supporting the implementation of the Nairobi work programme on impacts, vulnerability and adaptation to climate change</w:t>
            </w:r>
          </w:p>
        </w:tc>
        <w:tc>
          <w:tcPr>
            <w:tcW w:w="1370" w:type="dxa"/>
            <w:tcBorders>
              <w:top w:val="nil"/>
              <w:left w:val="nil"/>
              <w:bottom w:val="nil"/>
              <w:right w:val="nil"/>
            </w:tcBorders>
            <w:shd w:val="clear" w:color="auto" w:fill="auto"/>
            <w:vAlign w:val="bottom"/>
            <w:hideMark/>
          </w:tcPr>
          <w:p w14:paraId="4BC86B64"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1 301 172 </w:t>
            </w:r>
          </w:p>
        </w:tc>
      </w:tr>
      <w:tr w:rsidR="005140C3" w:rsidRPr="004D0A25" w14:paraId="4BC86B69"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66"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23</w:t>
            </w:r>
          </w:p>
        </w:tc>
        <w:tc>
          <w:tcPr>
            <w:tcW w:w="7262" w:type="dxa"/>
            <w:tcBorders>
              <w:top w:val="nil"/>
              <w:left w:val="nil"/>
              <w:bottom w:val="nil"/>
              <w:right w:val="nil"/>
            </w:tcBorders>
            <w:shd w:val="clear" w:color="auto" w:fill="auto"/>
            <w:vAlign w:val="bottom"/>
            <w:hideMark/>
          </w:tcPr>
          <w:p w14:paraId="4BC86B67"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Supporting the implementation of the Cancun Adaptation Framework</w:t>
            </w:r>
          </w:p>
        </w:tc>
        <w:tc>
          <w:tcPr>
            <w:tcW w:w="1370" w:type="dxa"/>
            <w:tcBorders>
              <w:top w:val="nil"/>
              <w:left w:val="nil"/>
              <w:bottom w:val="nil"/>
              <w:right w:val="nil"/>
            </w:tcBorders>
            <w:shd w:val="clear" w:color="auto" w:fill="auto"/>
            <w:vAlign w:val="bottom"/>
            <w:hideMark/>
          </w:tcPr>
          <w:p w14:paraId="4BC86B68"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5 340 425 </w:t>
            </w:r>
          </w:p>
        </w:tc>
      </w:tr>
      <w:tr w:rsidR="005140C3" w:rsidRPr="004D0A25" w14:paraId="4BC86B6D"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33"/>
        </w:trPr>
        <w:tc>
          <w:tcPr>
            <w:tcW w:w="953" w:type="dxa"/>
            <w:tcBorders>
              <w:top w:val="nil"/>
              <w:left w:val="nil"/>
              <w:bottom w:val="nil"/>
              <w:right w:val="nil"/>
            </w:tcBorders>
            <w:shd w:val="clear" w:color="auto" w:fill="auto"/>
            <w:vAlign w:val="bottom"/>
            <w:hideMark/>
          </w:tcPr>
          <w:p w14:paraId="4BC86B6A"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24</w:t>
            </w:r>
          </w:p>
        </w:tc>
        <w:tc>
          <w:tcPr>
            <w:tcW w:w="7262" w:type="dxa"/>
            <w:tcBorders>
              <w:top w:val="nil"/>
              <w:left w:val="nil"/>
              <w:bottom w:val="nil"/>
              <w:right w:val="nil"/>
            </w:tcBorders>
            <w:shd w:val="clear" w:color="auto" w:fill="auto"/>
            <w:vAlign w:val="bottom"/>
            <w:hideMark/>
          </w:tcPr>
          <w:p w14:paraId="4BC86B6B"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Supporting the least developed countries and the Least Developed Countries Expert Group</w:t>
            </w:r>
          </w:p>
        </w:tc>
        <w:tc>
          <w:tcPr>
            <w:tcW w:w="1370" w:type="dxa"/>
            <w:tcBorders>
              <w:top w:val="nil"/>
              <w:left w:val="nil"/>
              <w:bottom w:val="nil"/>
              <w:right w:val="nil"/>
            </w:tcBorders>
            <w:shd w:val="clear" w:color="auto" w:fill="auto"/>
            <w:vAlign w:val="bottom"/>
            <w:hideMark/>
          </w:tcPr>
          <w:p w14:paraId="4BC86B6C"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3 389 096 </w:t>
            </w:r>
          </w:p>
        </w:tc>
      </w:tr>
      <w:tr w:rsidR="005140C3" w:rsidRPr="004D0A25" w14:paraId="4BC86B71"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281"/>
        </w:trPr>
        <w:tc>
          <w:tcPr>
            <w:tcW w:w="953" w:type="dxa"/>
            <w:tcBorders>
              <w:top w:val="nil"/>
              <w:left w:val="nil"/>
              <w:bottom w:val="nil"/>
              <w:right w:val="nil"/>
            </w:tcBorders>
            <w:shd w:val="clear" w:color="auto" w:fill="auto"/>
            <w:vAlign w:val="bottom"/>
            <w:hideMark/>
          </w:tcPr>
          <w:p w14:paraId="4BC86B6E"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25</w:t>
            </w:r>
          </w:p>
        </w:tc>
        <w:tc>
          <w:tcPr>
            <w:tcW w:w="7262" w:type="dxa"/>
            <w:tcBorders>
              <w:top w:val="nil"/>
              <w:left w:val="nil"/>
              <w:bottom w:val="nil"/>
              <w:right w:val="nil"/>
            </w:tcBorders>
            <w:shd w:val="clear" w:color="auto" w:fill="auto"/>
            <w:vAlign w:val="bottom"/>
            <w:hideMark/>
          </w:tcPr>
          <w:p w14:paraId="4BC86B6F"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Supporting activities relating to climate change science, research and systematic observation</w:t>
            </w:r>
          </w:p>
        </w:tc>
        <w:tc>
          <w:tcPr>
            <w:tcW w:w="1370" w:type="dxa"/>
            <w:tcBorders>
              <w:top w:val="nil"/>
              <w:left w:val="nil"/>
              <w:bottom w:val="nil"/>
              <w:right w:val="nil"/>
            </w:tcBorders>
            <w:shd w:val="clear" w:color="auto" w:fill="auto"/>
            <w:vAlign w:val="bottom"/>
            <w:hideMark/>
          </w:tcPr>
          <w:p w14:paraId="4BC86B70"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534 230 </w:t>
            </w:r>
          </w:p>
        </w:tc>
      </w:tr>
      <w:tr w:rsidR="005140C3" w:rsidRPr="004D0A25" w14:paraId="4BC86B76"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510"/>
        </w:trPr>
        <w:tc>
          <w:tcPr>
            <w:tcW w:w="953" w:type="dxa"/>
            <w:tcBorders>
              <w:top w:val="nil"/>
              <w:left w:val="nil"/>
              <w:bottom w:val="nil"/>
              <w:right w:val="nil"/>
            </w:tcBorders>
            <w:shd w:val="clear" w:color="auto" w:fill="auto"/>
            <w:vAlign w:val="bottom"/>
            <w:hideMark/>
          </w:tcPr>
          <w:p w14:paraId="4BC86B72"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26</w:t>
            </w:r>
          </w:p>
          <w:p w14:paraId="4BC86B73"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74"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 xml:space="preserve">Supporting the periodic review of the adequacy of the long-term global goal referred to in </w:t>
            </w:r>
            <w:r w:rsidRPr="004D6C3E">
              <w:rPr>
                <w:rFonts w:eastAsia="Times New Roman"/>
                <w:color w:val="000000"/>
                <w:sz w:val="18"/>
                <w:szCs w:val="18"/>
                <w:lang w:eastAsia="en-US"/>
              </w:rPr>
              <w:t>decision 1/CP.16, paragraph 4</w:t>
            </w:r>
          </w:p>
        </w:tc>
        <w:tc>
          <w:tcPr>
            <w:tcW w:w="1370" w:type="dxa"/>
            <w:tcBorders>
              <w:top w:val="nil"/>
              <w:left w:val="nil"/>
              <w:bottom w:val="nil"/>
              <w:right w:val="nil"/>
            </w:tcBorders>
            <w:shd w:val="clear" w:color="auto" w:fill="auto"/>
            <w:vAlign w:val="bottom"/>
            <w:hideMark/>
          </w:tcPr>
          <w:p w14:paraId="4BC86B75"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493 189 </w:t>
            </w:r>
          </w:p>
        </w:tc>
      </w:tr>
      <w:tr w:rsidR="005140C3" w:rsidRPr="004D0A25" w14:paraId="4BC86B7B"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619"/>
        </w:trPr>
        <w:tc>
          <w:tcPr>
            <w:tcW w:w="953" w:type="dxa"/>
            <w:tcBorders>
              <w:top w:val="nil"/>
              <w:left w:val="nil"/>
              <w:bottom w:val="nil"/>
              <w:right w:val="nil"/>
            </w:tcBorders>
            <w:shd w:val="clear" w:color="auto" w:fill="auto"/>
            <w:vAlign w:val="bottom"/>
            <w:hideMark/>
          </w:tcPr>
          <w:p w14:paraId="4BC86B77"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27</w:t>
            </w:r>
          </w:p>
          <w:p w14:paraId="4BC86B78"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79"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Supporting the implementation of adaptation mandates of a cross-cutting nature, including those relating to the Durban Platform, stakeholder engagement, communications and outreach</w:t>
            </w:r>
          </w:p>
        </w:tc>
        <w:tc>
          <w:tcPr>
            <w:tcW w:w="1370" w:type="dxa"/>
            <w:tcBorders>
              <w:top w:val="nil"/>
              <w:left w:val="nil"/>
              <w:bottom w:val="nil"/>
              <w:right w:val="nil"/>
            </w:tcBorders>
            <w:shd w:val="clear" w:color="auto" w:fill="auto"/>
            <w:vAlign w:val="bottom"/>
            <w:hideMark/>
          </w:tcPr>
          <w:p w14:paraId="4BC86B7A"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1 022 952 </w:t>
            </w:r>
          </w:p>
        </w:tc>
      </w:tr>
      <w:tr w:rsidR="005140C3" w:rsidRPr="004D0A25" w14:paraId="4BC86B7F"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7C"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29</w:t>
            </w:r>
          </w:p>
        </w:tc>
        <w:tc>
          <w:tcPr>
            <w:tcW w:w="7262" w:type="dxa"/>
            <w:tcBorders>
              <w:top w:val="nil"/>
              <w:left w:val="nil"/>
              <w:bottom w:val="nil"/>
              <w:right w:val="nil"/>
            </w:tcBorders>
            <w:shd w:val="clear" w:color="auto" w:fill="auto"/>
            <w:vAlign w:val="bottom"/>
            <w:hideMark/>
          </w:tcPr>
          <w:p w14:paraId="4BC86B7D"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 to stakeholder engagement in the UNFCCC process</w:t>
            </w:r>
          </w:p>
        </w:tc>
        <w:tc>
          <w:tcPr>
            <w:tcW w:w="1370" w:type="dxa"/>
            <w:tcBorders>
              <w:top w:val="nil"/>
              <w:left w:val="nil"/>
              <w:bottom w:val="nil"/>
              <w:right w:val="nil"/>
            </w:tcBorders>
            <w:shd w:val="clear" w:color="auto" w:fill="auto"/>
            <w:vAlign w:val="bottom"/>
            <w:hideMark/>
          </w:tcPr>
          <w:p w14:paraId="4BC86B7E"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746 193 </w:t>
            </w:r>
          </w:p>
        </w:tc>
      </w:tr>
      <w:tr w:rsidR="005140C3" w:rsidRPr="004D0A25" w14:paraId="4BC86B84"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510"/>
        </w:trPr>
        <w:tc>
          <w:tcPr>
            <w:tcW w:w="953" w:type="dxa"/>
            <w:tcBorders>
              <w:top w:val="nil"/>
              <w:left w:val="nil"/>
              <w:bottom w:val="nil"/>
              <w:right w:val="nil"/>
            </w:tcBorders>
            <w:shd w:val="clear" w:color="auto" w:fill="auto"/>
            <w:vAlign w:val="bottom"/>
            <w:hideMark/>
          </w:tcPr>
          <w:p w14:paraId="4BC86B80"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31</w:t>
            </w:r>
          </w:p>
          <w:p w14:paraId="4BC86B81"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82" w14:textId="31B06F5B" w:rsidR="005140C3" w:rsidRPr="004D0A25" w:rsidRDefault="005140C3" w:rsidP="004D6C3E">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Developing internal communication tools and channels within the secretariat, in order to enhance communication between management and staff and among staff</w:t>
            </w:r>
          </w:p>
        </w:tc>
        <w:tc>
          <w:tcPr>
            <w:tcW w:w="1370" w:type="dxa"/>
            <w:tcBorders>
              <w:top w:val="nil"/>
              <w:left w:val="nil"/>
              <w:bottom w:val="nil"/>
              <w:right w:val="nil"/>
            </w:tcBorders>
            <w:shd w:val="clear" w:color="auto" w:fill="auto"/>
            <w:vAlign w:val="bottom"/>
            <w:hideMark/>
          </w:tcPr>
          <w:p w14:paraId="4BC86B83"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243 402 </w:t>
            </w:r>
          </w:p>
        </w:tc>
      </w:tr>
      <w:tr w:rsidR="005140C3" w:rsidRPr="004D0A25" w14:paraId="4BC86B8A"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761"/>
        </w:trPr>
        <w:tc>
          <w:tcPr>
            <w:tcW w:w="953" w:type="dxa"/>
            <w:tcBorders>
              <w:top w:val="nil"/>
              <w:left w:val="nil"/>
              <w:bottom w:val="nil"/>
              <w:right w:val="nil"/>
            </w:tcBorders>
            <w:shd w:val="clear" w:color="auto" w:fill="auto"/>
            <w:vAlign w:val="bottom"/>
            <w:hideMark/>
          </w:tcPr>
          <w:p w14:paraId="4BC86B85"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32</w:t>
            </w:r>
          </w:p>
          <w:p w14:paraId="4BC86B86" w14:textId="77777777" w:rsidR="005140C3" w:rsidRDefault="005140C3" w:rsidP="00985592">
            <w:pPr>
              <w:suppressAutoHyphens w:val="0"/>
              <w:spacing w:line="240" w:lineRule="auto"/>
              <w:ind w:hanging="108"/>
              <w:rPr>
                <w:rFonts w:eastAsia="Times New Roman"/>
                <w:color w:val="000000"/>
                <w:sz w:val="18"/>
                <w:szCs w:val="18"/>
                <w:lang w:eastAsia="en-US"/>
              </w:rPr>
            </w:pPr>
          </w:p>
          <w:p w14:paraId="4BC86B87"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88"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Managing and preserving sound recordings of all the sessions of the Conference of the Parties, the Conference of the Parties serving as the meeting of the Parties to the Kyoto Protocol and the subsidiary bodies</w:t>
            </w:r>
          </w:p>
        </w:tc>
        <w:tc>
          <w:tcPr>
            <w:tcW w:w="1370" w:type="dxa"/>
            <w:tcBorders>
              <w:top w:val="nil"/>
              <w:left w:val="nil"/>
              <w:bottom w:val="nil"/>
              <w:right w:val="nil"/>
            </w:tcBorders>
            <w:shd w:val="clear" w:color="auto" w:fill="auto"/>
            <w:vAlign w:val="bottom"/>
            <w:hideMark/>
          </w:tcPr>
          <w:p w14:paraId="4BC86B89"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1 010 646 </w:t>
            </w:r>
          </w:p>
        </w:tc>
      </w:tr>
      <w:tr w:rsidR="005140C3" w:rsidRPr="004D0A25" w14:paraId="4BC86B90"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765"/>
        </w:trPr>
        <w:tc>
          <w:tcPr>
            <w:tcW w:w="953" w:type="dxa"/>
            <w:tcBorders>
              <w:top w:val="nil"/>
              <w:left w:val="nil"/>
              <w:bottom w:val="nil"/>
              <w:right w:val="nil"/>
            </w:tcBorders>
            <w:shd w:val="clear" w:color="auto" w:fill="auto"/>
            <w:vAlign w:val="bottom"/>
            <w:hideMark/>
          </w:tcPr>
          <w:p w14:paraId="4BC86B8B"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36</w:t>
            </w:r>
          </w:p>
          <w:p w14:paraId="4BC86B8C" w14:textId="77777777" w:rsidR="005140C3" w:rsidRDefault="005140C3" w:rsidP="00985592">
            <w:pPr>
              <w:suppressAutoHyphens w:val="0"/>
              <w:spacing w:line="240" w:lineRule="auto"/>
              <w:ind w:hanging="108"/>
              <w:rPr>
                <w:rFonts w:eastAsia="Times New Roman"/>
                <w:color w:val="000000"/>
                <w:sz w:val="18"/>
                <w:szCs w:val="18"/>
                <w:lang w:eastAsia="en-US"/>
              </w:rPr>
            </w:pPr>
          </w:p>
          <w:p w14:paraId="4BC86B8D"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8E"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 xml:space="preserve">Managing and preserving video recordings of the sessions of the Conference of the Parties, the Conference of the Parties serving as the meeting of the Parties to the Kyoto Protocol and the subsidiary bodies </w:t>
            </w:r>
          </w:p>
        </w:tc>
        <w:tc>
          <w:tcPr>
            <w:tcW w:w="1370" w:type="dxa"/>
            <w:tcBorders>
              <w:top w:val="nil"/>
              <w:left w:val="nil"/>
              <w:bottom w:val="nil"/>
              <w:right w:val="nil"/>
            </w:tcBorders>
            <w:shd w:val="clear" w:color="auto" w:fill="auto"/>
            <w:vAlign w:val="bottom"/>
            <w:hideMark/>
          </w:tcPr>
          <w:p w14:paraId="4BC86B8F"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492 646 </w:t>
            </w:r>
          </w:p>
        </w:tc>
      </w:tr>
      <w:tr w:rsidR="005140C3" w:rsidRPr="004D0A25" w14:paraId="4BC86B95"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525"/>
        </w:trPr>
        <w:tc>
          <w:tcPr>
            <w:tcW w:w="953" w:type="dxa"/>
            <w:tcBorders>
              <w:top w:val="nil"/>
              <w:left w:val="nil"/>
              <w:bottom w:val="nil"/>
              <w:right w:val="nil"/>
            </w:tcBorders>
            <w:shd w:val="clear" w:color="auto" w:fill="auto"/>
            <w:vAlign w:val="bottom"/>
            <w:hideMark/>
          </w:tcPr>
          <w:p w14:paraId="4BC86B91"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37</w:t>
            </w:r>
          </w:p>
          <w:p w14:paraId="4BC86B92"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93"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The development and maintenance of the secretariat’s vocabulary for information retrieval in all secretariat systems</w:t>
            </w:r>
          </w:p>
        </w:tc>
        <w:tc>
          <w:tcPr>
            <w:tcW w:w="1370" w:type="dxa"/>
            <w:tcBorders>
              <w:top w:val="nil"/>
              <w:left w:val="nil"/>
              <w:bottom w:val="nil"/>
              <w:right w:val="nil"/>
            </w:tcBorders>
            <w:shd w:val="clear" w:color="auto" w:fill="auto"/>
            <w:vAlign w:val="bottom"/>
            <w:hideMark/>
          </w:tcPr>
          <w:p w14:paraId="4BC86B94"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319 944 </w:t>
            </w:r>
          </w:p>
        </w:tc>
      </w:tr>
      <w:tr w:rsidR="005140C3" w:rsidRPr="004D0A25" w14:paraId="4BC86B99" w14:textId="77777777" w:rsidTr="00985592">
        <w:trPr>
          <w:trHeight w:val="240"/>
        </w:trPr>
        <w:tc>
          <w:tcPr>
            <w:tcW w:w="953" w:type="dxa"/>
            <w:tcBorders>
              <w:top w:val="single" w:sz="4" w:space="0" w:color="auto"/>
              <w:bottom w:val="single" w:sz="4" w:space="0" w:color="auto"/>
            </w:tcBorders>
            <w:vAlign w:val="bottom"/>
          </w:tcPr>
          <w:p w14:paraId="4BC86B96" w14:textId="77777777" w:rsidR="005140C3" w:rsidRPr="004D0A25" w:rsidRDefault="005140C3" w:rsidP="00985592">
            <w:pPr>
              <w:suppressAutoHyphens w:val="0"/>
              <w:spacing w:before="40" w:after="40" w:line="220" w:lineRule="exact"/>
              <w:ind w:left="300" w:hanging="108"/>
              <w:rPr>
                <w:b/>
                <w:bCs/>
                <w:sz w:val="18"/>
                <w:szCs w:val="18"/>
              </w:rPr>
            </w:pPr>
          </w:p>
        </w:tc>
        <w:tc>
          <w:tcPr>
            <w:tcW w:w="7262" w:type="dxa"/>
            <w:tcBorders>
              <w:top w:val="single" w:sz="4" w:space="0" w:color="auto"/>
              <w:bottom w:val="single" w:sz="4" w:space="0" w:color="auto"/>
            </w:tcBorders>
            <w:shd w:val="clear" w:color="auto" w:fill="auto"/>
            <w:vAlign w:val="bottom"/>
          </w:tcPr>
          <w:p w14:paraId="4BC86B97" w14:textId="77777777" w:rsidR="005140C3" w:rsidRPr="004D0A25" w:rsidRDefault="005140C3" w:rsidP="009F3C26">
            <w:pPr>
              <w:suppressAutoHyphens w:val="0"/>
              <w:spacing w:before="40" w:after="40" w:line="220" w:lineRule="exact"/>
              <w:ind w:firstLine="142"/>
              <w:rPr>
                <w:b/>
                <w:bCs/>
                <w:sz w:val="18"/>
                <w:szCs w:val="18"/>
              </w:rPr>
            </w:pPr>
            <w:r w:rsidRPr="004D0A25">
              <w:rPr>
                <w:b/>
                <w:bCs/>
                <w:sz w:val="18"/>
                <w:szCs w:val="18"/>
              </w:rPr>
              <w:t>Subtotal</w:t>
            </w:r>
          </w:p>
        </w:tc>
        <w:tc>
          <w:tcPr>
            <w:tcW w:w="1377" w:type="dxa"/>
            <w:gridSpan w:val="2"/>
            <w:tcBorders>
              <w:top w:val="single" w:sz="4" w:space="0" w:color="auto"/>
              <w:bottom w:val="single" w:sz="4" w:space="0" w:color="auto"/>
            </w:tcBorders>
            <w:shd w:val="clear" w:color="auto" w:fill="auto"/>
            <w:vAlign w:val="bottom"/>
          </w:tcPr>
          <w:p w14:paraId="4BC86B98" w14:textId="77777777" w:rsidR="005140C3" w:rsidRPr="004D0A25" w:rsidRDefault="005140C3" w:rsidP="009F3C26">
            <w:pPr>
              <w:suppressAutoHyphens w:val="0"/>
              <w:spacing w:before="40" w:after="40" w:line="220" w:lineRule="exact"/>
              <w:ind w:left="113" w:right="-108"/>
              <w:jc w:val="right"/>
              <w:rPr>
                <w:b/>
                <w:bCs/>
                <w:sz w:val="18"/>
                <w:szCs w:val="18"/>
              </w:rPr>
            </w:pPr>
            <w:r w:rsidRPr="004D0A25">
              <w:rPr>
                <w:b/>
                <w:bCs/>
                <w:sz w:val="18"/>
                <w:szCs w:val="18"/>
              </w:rPr>
              <w:t xml:space="preserve">31 645 022 </w:t>
            </w:r>
          </w:p>
        </w:tc>
      </w:tr>
      <w:tr w:rsidR="005140C3" w:rsidRPr="004D0A25" w14:paraId="4BC86B9D" w14:textId="77777777" w:rsidTr="00985592">
        <w:trPr>
          <w:trHeight w:val="240"/>
        </w:trPr>
        <w:tc>
          <w:tcPr>
            <w:tcW w:w="953" w:type="dxa"/>
            <w:tcBorders>
              <w:top w:val="single" w:sz="4" w:space="0" w:color="auto"/>
            </w:tcBorders>
            <w:vAlign w:val="bottom"/>
          </w:tcPr>
          <w:p w14:paraId="4BC86B9A" w14:textId="77777777" w:rsidR="005140C3" w:rsidRPr="004D0A25" w:rsidRDefault="005140C3" w:rsidP="00985592">
            <w:pPr>
              <w:keepNext/>
              <w:suppressAutoHyphens w:val="0"/>
              <w:spacing w:before="40" w:after="40" w:line="220" w:lineRule="exact"/>
              <w:ind w:hanging="108"/>
              <w:rPr>
                <w:bCs/>
                <w:i/>
                <w:sz w:val="18"/>
                <w:szCs w:val="18"/>
              </w:rPr>
            </w:pPr>
          </w:p>
        </w:tc>
        <w:tc>
          <w:tcPr>
            <w:tcW w:w="7262" w:type="dxa"/>
            <w:tcBorders>
              <w:top w:val="single" w:sz="4" w:space="0" w:color="auto"/>
            </w:tcBorders>
            <w:shd w:val="clear" w:color="auto" w:fill="auto"/>
            <w:vAlign w:val="bottom"/>
          </w:tcPr>
          <w:p w14:paraId="4BC86B9B" w14:textId="77777777" w:rsidR="005140C3" w:rsidRPr="004D0A25" w:rsidRDefault="005140C3" w:rsidP="00491B95">
            <w:pPr>
              <w:keepNext/>
              <w:suppressAutoHyphens w:val="0"/>
              <w:spacing w:before="40" w:after="40" w:line="220" w:lineRule="exact"/>
              <w:rPr>
                <w:bCs/>
                <w:sz w:val="18"/>
                <w:szCs w:val="18"/>
              </w:rPr>
            </w:pPr>
            <w:r w:rsidRPr="004D0A25">
              <w:rPr>
                <w:bCs/>
                <w:i/>
                <w:sz w:val="18"/>
                <w:szCs w:val="18"/>
              </w:rPr>
              <w:t>Kyoto Protocol</w:t>
            </w:r>
          </w:p>
        </w:tc>
        <w:tc>
          <w:tcPr>
            <w:tcW w:w="1377" w:type="dxa"/>
            <w:gridSpan w:val="2"/>
            <w:tcBorders>
              <w:top w:val="single" w:sz="4" w:space="0" w:color="auto"/>
            </w:tcBorders>
            <w:shd w:val="clear" w:color="auto" w:fill="auto"/>
            <w:vAlign w:val="bottom"/>
          </w:tcPr>
          <w:p w14:paraId="4BC86B9C" w14:textId="77777777" w:rsidR="005140C3" w:rsidRPr="004D0A25" w:rsidRDefault="005140C3" w:rsidP="00491B95">
            <w:pPr>
              <w:keepNext/>
              <w:suppressAutoHyphens w:val="0"/>
              <w:spacing w:before="40" w:after="40" w:line="220" w:lineRule="exact"/>
              <w:ind w:left="113" w:right="-108"/>
              <w:jc w:val="right"/>
              <w:rPr>
                <w:sz w:val="18"/>
                <w:szCs w:val="18"/>
              </w:rPr>
            </w:pPr>
          </w:p>
        </w:tc>
      </w:tr>
      <w:tr w:rsidR="005140C3" w:rsidRPr="004D0A25" w14:paraId="4BC86BA2"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510"/>
        </w:trPr>
        <w:tc>
          <w:tcPr>
            <w:tcW w:w="953" w:type="dxa"/>
            <w:tcBorders>
              <w:top w:val="nil"/>
              <w:left w:val="nil"/>
              <w:bottom w:val="nil"/>
              <w:right w:val="nil"/>
            </w:tcBorders>
            <w:shd w:val="clear" w:color="auto" w:fill="auto"/>
            <w:vAlign w:val="bottom"/>
            <w:hideMark/>
          </w:tcPr>
          <w:p w14:paraId="4BC86B9E"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5</w:t>
            </w:r>
          </w:p>
          <w:p w14:paraId="4BC86B9F"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A0"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Enhancement and maintenance of the compilation and accounting database under the Kyoto Protocol</w:t>
            </w:r>
          </w:p>
        </w:tc>
        <w:tc>
          <w:tcPr>
            <w:tcW w:w="1370" w:type="dxa"/>
            <w:tcBorders>
              <w:top w:val="nil"/>
              <w:left w:val="nil"/>
              <w:bottom w:val="nil"/>
              <w:right w:val="nil"/>
            </w:tcBorders>
            <w:shd w:val="clear" w:color="auto" w:fill="auto"/>
            <w:vAlign w:val="bottom"/>
            <w:hideMark/>
          </w:tcPr>
          <w:p w14:paraId="4BC86BA1"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bookmarkStart w:id="43" w:name="RANGE!C32"/>
            <w:r w:rsidRPr="004D0A25">
              <w:rPr>
                <w:rFonts w:eastAsia="Times New Roman"/>
                <w:color w:val="000000"/>
                <w:sz w:val="18"/>
                <w:szCs w:val="18"/>
                <w:lang w:eastAsia="en-US"/>
              </w:rPr>
              <w:t xml:space="preserve">577 204 </w:t>
            </w:r>
            <w:bookmarkEnd w:id="43"/>
          </w:p>
        </w:tc>
      </w:tr>
      <w:tr w:rsidR="005140C3" w:rsidRPr="004D0A25" w14:paraId="4BC86BA6"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A3"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28</w:t>
            </w:r>
          </w:p>
        </w:tc>
        <w:tc>
          <w:tcPr>
            <w:tcW w:w="7262" w:type="dxa"/>
            <w:tcBorders>
              <w:top w:val="nil"/>
              <w:left w:val="nil"/>
              <w:bottom w:val="nil"/>
              <w:right w:val="nil"/>
            </w:tcBorders>
            <w:shd w:val="clear" w:color="auto" w:fill="auto"/>
            <w:vAlign w:val="bottom"/>
            <w:hideMark/>
          </w:tcPr>
          <w:p w14:paraId="4BC86BA4"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 to the Compliance Committee</w:t>
            </w:r>
          </w:p>
        </w:tc>
        <w:tc>
          <w:tcPr>
            <w:tcW w:w="1370" w:type="dxa"/>
            <w:tcBorders>
              <w:top w:val="nil"/>
              <w:left w:val="nil"/>
              <w:bottom w:val="nil"/>
              <w:right w:val="nil"/>
            </w:tcBorders>
            <w:shd w:val="clear" w:color="auto" w:fill="auto"/>
            <w:vAlign w:val="bottom"/>
            <w:hideMark/>
          </w:tcPr>
          <w:p w14:paraId="4BC86BA5"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505 901 </w:t>
            </w:r>
          </w:p>
        </w:tc>
      </w:tr>
      <w:tr w:rsidR="005140C3" w:rsidRPr="004D0A25" w14:paraId="4BC86BAA" w14:textId="77777777" w:rsidTr="00985592">
        <w:trPr>
          <w:trHeight w:val="240"/>
        </w:trPr>
        <w:tc>
          <w:tcPr>
            <w:tcW w:w="953" w:type="dxa"/>
            <w:tcBorders>
              <w:top w:val="single" w:sz="4" w:space="0" w:color="auto"/>
              <w:bottom w:val="single" w:sz="4" w:space="0" w:color="auto"/>
            </w:tcBorders>
            <w:vAlign w:val="bottom"/>
          </w:tcPr>
          <w:p w14:paraId="4BC86BA7" w14:textId="77777777" w:rsidR="005140C3" w:rsidRPr="004D0A25" w:rsidRDefault="005140C3" w:rsidP="00985592">
            <w:pPr>
              <w:suppressAutoHyphens w:val="0"/>
              <w:spacing w:before="40" w:after="40" w:line="220" w:lineRule="exact"/>
              <w:ind w:left="300" w:hanging="108"/>
              <w:rPr>
                <w:b/>
                <w:bCs/>
                <w:sz w:val="18"/>
                <w:szCs w:val="18"/>
              </w:rPr>
            </w:pPr>
          </w:p>
        </w:tc>
        <w:tc>
          <w:tcPr>
            <w:tcW w:w="7262" w:type="dxa"/>
            <w:tcBorders>
              <w:top w:val="single" w:sz="4" w:space="0" w:color="auto"/>
              <w:bottom w:val="single" w:sz="4" w:space="0" w:color="auto"/>
            </w:tcBorders>
            <w:shd w:val="clear" w:color="auto" w:fill="auto"/>
            <w:vAlign w:val="bottom"/>
          </w:tcPr>
          <w:p w14:paraId="4BC86BA8" w14:textId="77777777" w:rsidR="005140C3" w:rsidRPr="004D0A25" w:rsidRDefault="005140C3" w:rsidP="009F3C26">
            <w:pPr>
              <w:suppressAutoHyphens w:val="0"/>
              <w:spacing w:before="40" w:after="40" w:line="220" w:lineRule="exact"/>
              <w:ind w:firstLine="142"/>
              <w:rPr>
                <w:bCs/>
                <w:sz w:val="18"/>
                <w:szCs w:val="18"/>
              </w:rPr>
            </w:pPr>
            <w:r w:rsidRPr="004D0A25">
              <w:rPr>
                <w:b/>
                <w:bCs/>
                <w:sz w:val="18"/>
                <w:szCs w:val="18"/>
              </w:rPr>
              <w:t>Subtotal</w:t>
            </w:r>
          </w:p>
        </w:tc>
        <w:tc>
          <w:tcPr>
            <w:tcW w:w="1377" w:type="dxa"/>
            <w:gridSpan w:val="2"/>
            <w:tcBorders>
              <w:top w:val="single" w:sz="4" w:space="0" w:color="auto"/>
              <w:bottom w:val="single" w:sz="4" w:space="0" w:color="auto"/>
            </w:tcBorders>
            <w:shd w:val="clear" w:color="auto" w:fill="auto"/>
            <w:vAlign w:val="bottom"/>
          </w:tcPr>
          <w:p w14:paraId="4BC86BA9" w14:textId="77777777" w:rsidR="005140C3" w:rsidRPr="004D0A25" w:rsidRDefault="005140C3" w:rsidP="009F3C26">
            <w:pPr>
              <w:suppressAutoHyphens w:val="0"/>
              <w:spacing w:before="40" w:after="40" w:line="220" w:lineRule="exact"/>
              <w:ind w:left="113" w:right="-108"/>
              <w:jc w:val="right"/>
              <w:rPr>
                <w:b/>
                <w:bCs/>
                <w:sz w:val="18"/>
                <w:szCs w:val="18"/>
              </w:rPr>
            </w:pPr>
            <w:r w:rsidRPr="004D0A25">
              <w:rPr>
                <w:b/>
                <w:bCs/>
                <w:sz w:val="18"/>
                <w:szCs w:val="18"/>
              </w:rPr>
              <w:t xml:space="preserve">1 083 105 </w:t>
            </w:r>
          </w:p>
        </w:tc>
      </w:tr>
      <w:tr w:rsidR="005140C3" w:rsidRPr="004D0A25" w14:paraId="4BC86BAE" w14:textId="77777777" w:rsidTr="00985592">
        <w:trPr>
          <w:trHeight w:val="240"/>
        </w:trPr>
        <w:tc>
          <w:tcPr>
            <w:tcW w:w="953" w:type="dxa"/>
            <w:tcBorders>
              <w:top w:val="single" w:sz="4" w:space="0" w:color="auto"/>
            </w:tcBorders>
            <w:vAlign w:val="bottom"/>
          </w:tcPr>
          <w:p w14:paraId="4BC86BAB" w14:textId="77777777" w:rsidR="005140C3" w:rsidRPr="004D0A25" w:rsidRDefault="005140C3" w:rsidP="00985592">
            <w:pPr>
              <w:suppressAutoHyphens w:val="0"/>
              <w:spacing w:before="40" w:after="40" w:line="220" w:lineRule="exact"/>
              <w:ind w:hanging="108"/>
              <w:rPr>
                <w:bCs/>
                <w:i/>
                <w:sz w:val="18"/>
                <w:szCs w:val="18"/>
              </w:rPr>
            </w:pPr>
          </w:p>
        </w:tc>
        <w:tc>
          <w:tcPr>
            <w:tcW w:w="7262" w:type="dxa"/>
            <w:tcBorders>
              <w:top w:val="single" w:sz="4" w:space="0" w:color="auto"/>
            </w:tcBorders>
            <w:shd w:val="clear" w:color="auto" w:fill="auto"/>
            <w:vAlign w:val="bottom"/>
          </w:tcPr>
          <w:p w14:paraId="4BC86BAC" w14:textId="77777777" w:rsidR="005140C3" w:rsidRPr="004D0A25" w:rsidRDefault="005140C3" w:rsidP="009F3C26">
            <w:pPr>
              <w:suppressAutoHyphens w:val="0"/>
              <w:spacing w:before="40" w:after="40" w:line="220" w:lineRule="exact"/>
              <w:rPr>
                <w:bCs/>
                <w:sz w:val="18"/>
                <w:szCs w:val="18"/>
              </w:rPr>
            </w:pPr>
            <w:r w:rsidRPr="004D0A25">
              <w:rPr>
                <w:bCs/>
                <w:i/>
                <w:sz w:val="18"/>
                <w:szCs w:val="18"/>
              </w:rPr>
              <w:t>Convention and its Kyoto Protocol</w:t>
            </w:r>
          </w:p>
        </w:tc>
        <w:tc>
          <w:tcPr>
            <w:tcW w:w="1377" w:type="dxa"/>
            <w:gridSpan w:val="2"/>
            <w:tcBorders>
              <w:top w:val="single" w:sz="4" w:space="0" w:color="auto"/>
            </w:tcBorders>
            <w:shd w:val="clear" w:color="auto" w:fill="auto"/>
            <w:vAlign w:val="bottom"/>
          </w:tcPr>
          <w:p w14:paraId="4BC86BAD" w14:textId="77777777" w:rsidR="005140C3" w:rsidRPr="004D0A25" w:rsidRDefault="005140C3" w:rsidP="009F3C26">
            <w:pPr>
              <w:suppressAutoHyphens w:val="0"/>
              <w:spacing w:before="40" w:after="40" w:line="220" w:lineRule="exact"/>
              <w:ind w:left="113" w:right="-108"/>
              <w:jc w:val="right"/>
              <w:rPr>
                <w:sz w:val="18"/>
                <w:szCs w:val="18"/>
              </w:rPr>
            </w:pPr>
          </w:p>
        </w:tc>
      </w:tr>
      <w:tr w:rsidR="005140C3" w:rsidRPr="004D0A25" w14:paraId="4BC86BB4"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765"/>
        </w:trPr>
        <w:tc>
          <w:tcPr>
            <w:tcW w:w="953" w:type="dxa"/>
            <w:tcBorders>
              <w:top w:val="nil"/>
              <w:left w:val="nil"/>
              <w:bottom w:val="nil"/>
              <w:right w:val="nil"/>
            </w:tcBorders>
            <w:shd w:val="clear" w:color="auto" w:fill="auto"/>
            <w:vAlign w:val="bottom"/>
            <w:hideMark/>
          </w:tcPr>
          <w:p w14:paraId="4BC86BAF"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6</w:t>
            </w:r>
          </w:p>
          <w:p w14:paraId="4BC86BB0" w14:textId="77777777" w:rsidR="005140C3" w:rsidRDefault="005140C3" w:rsidP="00985592">
            <w:pPr>
              <w:suppressAutoHyphens w:val="0"/>
              <w:spacing w:line="240" w:lineRule="auto"/>
              <w:ind w:hanging="108"/>
              <w:rPr>
                <w:rFonts w:eastAsia="Times New Roman"/>
                <w:color w:val="000000"/>
                <w:sz w:val="18"/>
                <w:szCs w:val="18"/>
                <w:lang w:eastAsia="en-US"/>
              </w:rPr>
            </w:pPr>
          </w:p>
          <w:p w14:paraId="4BC86BB1"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B2" w14:textId="77777777" w:rsidR="005140C3" w:rsidRPr="004D0A25" w:rsidRDefault="005140C3" w:rsidP="009F3C26">
            <w:pPr>
              <w:suppressAutoHyphens w:val="0"/>
              <w:spacing w:line="240" w:lineRule="auto"/>
              <w:ind w:left="-113"/>
              <w:rPr>
                <w:rFonts w:eastAsia="Times New Roman"/>
                <w:color w:val="000000"/>
                <w:sz w:val="18"/>
                <w:szCs w:val="18"/>
                <w:lang w:eastAsia="en-US"/>
              </w:rPr>
            </w:pPr>
            <w:bookmarkStart w:id="44" w:name="RANGE!B8"/>
            <w:r w:rsidRPr="004D0A25">
              <w:rPr>
                <w:rFonts w:eastAsia="Times New Roman"/>
                <w:color w:val="000000"/>
                <w:sz w:val="18"/>
                <w:szCs w:val="18"/>
                <w:lang w:eastAsia="en-US"/>
              </w:rPr>
              <w:t>Activities relating to land use, land-use change and forestry: reducing emissions from deforestation and forest degradation, enhancement of forest carbon sinks, and the role of sinks in future mitigation actions</w:t>
            </w:r>
            <w:bookmarkEnd w:id="44"/>
          </w:p>
        </w:tc>
        <w:tc>
          <w:tcPr>
            <w:tcW w:w="1370" w:type="dxa"/>
            <w:tcBorders>
              <w:top w:val="nil"/>
              <w:left w:val="nil"/>
              <w:bottom w:val="nil"/>
              <w:right w:val="nil"/>
            </w:tcBorders>
            <w:shd w:val="clear" w:color="auto" w:fill="auto"/>
            <w:vAlign w:val="bottom"/>
            <w:hideMark/>
          </w:tcPr>
          <w:p w14:paraId="4BC86BB3"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bookmarkStart w:id="45" w:name="RANGE!C8"/>
            <w:r w:rsidRPr="004D0A25">
              <w:rPr>
                <w:rFonts w:eastAsia="Times New Roman"/>
                <w:color w:val="000000"/>
                <w:sz w:val="18"/>
                <w:szCs w:val="18"/>
                <w:lang w:eastAsia="en-US"/>
              </w:rPr>
              <w:t xml:space="preserve">2 242 598 </w:t>
            </w:r>
            <w:bookmarkEnd w:id="45"/>
          </w:p>
        </w:tc>
      </w:tr>
      <w:tr w:rsidR="005140C3" w:rsidRPr="004D0A25" w14:paraId="4BC86BB8"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B5"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7</w:t>
            </w:r>
          </w:p>
        </w:tc>
        <w:tc>
          <w:tcPr>
            <w:tcW w:w="7262" w:type="dxa"/>
            <w:tcBorders>
              <w:top w:val="nil"/>
              <w:left w:val="nil"/>
              <w:bottom w:val="nil"/>
              <w:right w:val="nil"/>
            </w:tcBorders>
            <w:shd w:val="clear" w:color="auto" w:fill="auto"/>
            <w:vAlign w:val="bottom"/>
            <w:hideMark/>
          </w:tcPr>
          <w:p w14:paraId="4BC86BB6"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Providing training for expert review teams and organizing meetings of the lead reviewers</w:t>
            </w:r>
          </w:p>
        </w:tc>
        <w:tc>
          <w:tcPr>
            <w:tcW w:w="1370" w:type="dxa"/>
            <w:tcBorders>
              <w:top w:val="nil"/>
              <w:left w:val="nil"/>
              <w:bottom w:val="nil"/>
              <w:right w:val="nil"/>
            </w:tcBorders>
            <w:shd w:val="clear" w:color="auto" w:fill="auto"/>
            <w:vAlign w:val="bottom"/>
            <w:hideMark/>
          </w:tcPr>
          <w:p w14:paraId="4BC86BB7"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1 524 485 </w:t>
            </w:r>
          </w:p>
        </w:tc>
      </w:tr>
      <w:tr w:rsidR="005140C3" w:rsidRPr="004D0A25" w14:paraId="4BC86BBC"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B9"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10</w:t>
            </w:r>
          </w:p>
        </w:tc>
        <w:tc>
          <w:tcPr>
            <w:tcW w:w="7262" w:type="dxa"/>
            <w:tcBorders>
              <w:top w:val="nil"/>
              <w:left w:val="nil"/>
              <w:bottom w:val="nil"/>
              <w:right w:val="nil"/>
            </w:tcBorders>
            <w:shd w:val="clear" w:color="auto" w:fill="auto"/>
            <w:vAlign w:val="bottom"/>
            <w:hideMark/>
          </w:tcPr>
          <w:p w14:paraId="4BC86BBA"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Supporting activities relating to the impact of the implementation of response measures</w:t>
            </w:r>
          </w:p>
        </w:tc>
        <w:tc>
          <w:tcPr>
            <w:tcW w:w="1370" w:type="dxa"/>
            <w:tcBorders>
              <w:top w:val="nil"/>
              <w:left w:val="nil"/>
              <w:bottom w:val="nil"/>
              <w:right w:val="nil"/>
            </w:tcBorders>
            <w:shd w:val="clear" w:color="auto" w:fill="auto"/>
            <w:vAlign w:val="bottom"/>
            <w:hideMark/>
          </w:tcPr>
          <w:p w14:paraId="4BC86BBB"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1 086 608 </w:t>
            </w:r>
          </w:p>
        </w:tc>
      </w:tr>
      <w:tr w:rsidR="005140C3" w:rsidRPr="004D0A25" w14:paraId="4BC86BC1"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510"/>
        </w:trPr>
        <w:tc>
          <w:tcPr>
            <w:tcW w:w="953" w:type="dxa"/>
            <w:tcBorders>
              <w:top w:val="nil"/>
              <w:left w:val="nil"/>
              <w:bottom w:val="nil"/>
              <w:right w:val="nil"/>
            </w:tcBorders>
            <w:shd w:val="clear" w:color="auto" w:fill="auto"/>
            <w:vAlign w:val="bottom"/>
            <w:hideMark/>
          </w:tcPr>
          <w:p w14:paraId="4BC86BBD"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12</w:t>
            </w:r>
          </w:p>
          <w:p w14:paraId="4BC86BBE"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BF" w14:textId="16909B91" w:rsidR="005140C3" w:rsidRPr="004D0A25" w:rsidRDefault="005140C3" w:rsidP="00A951EA">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Supporting the upgraded software (CRF Reporter) for the reporting of GHG emissions/removals by Annex I Parties</w:t>
            </w:r>
          </w:p>
        </w:tc>
        <w:tc>
          <w:tcPr>
            <w:tcW w:w="1370" w:type="dxa"/>
            <w:tcBorders>
              <w:top w:val="nil"/>
              <w:left w:val="nil"/>
              <w:bottom w:val="nil"/>
              <w:right w:val="nil"/>
            </w:tcBorders>
            <w:shd w:val="clear" w:color="auto" w:fill="auto"/>
            <w:vAlign w:val="bottom"/>
            <w:hideMark/>
          </w:tcPr>
          <w:p w14:paraId="4BC86BC0"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1 523 466 </w:t>
            </w:r>
          </w:p>
        </w:tc>
      </w:tr>
      <w:tr w:rsidR="005140C3" w:rsidRPr="004D0A25" w14:paraId="4BC86BC7"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679"/>
        </w:trPr>
        <w:tc>
          <w:tcPr>
            <w:tcW w:w="953" w:type="dxa"/>
            <w:tcBorders>
              <w:top w:val="nil"/>
              <w:left w:val="nil"/>
              <w:bottom w:val="nil"/>
              <w:right w:val="nil"/>
            </w:tcBorders>
            <w:shd w:val="clear" w:color="auto" w:fill="auto"/>
            <w:vAlign w:val="bottom"/>
            <w:hideMark/>
          </w:tcPr>
          <w:p w14:paraId="4BC86BC2"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14</w:t>
            </w:r>
          </w:p>
          <w:p w14:paraId="4BC86BC3" w14:textId="77777777" w:rsidR="005140C3" w:rsidRDefault="005140C3" w:rsidP="00985592">
            <w:pPr>
              <w:suppressAutoHyphens w:val="0"/>
              <w:spacing w:line="240" w:lineRule="auto"/>
              <w:ind w:hanging="108"/>
              <w:rPr>
                <w:rFonts w:eastAsia="Times New Roman"/>
                <w:color w:val="000000"/>
                <w:sz w:val="18"/>
                <w:szCs w:val="18"/>
                <w:lang w:eastAsia="en-US"/>
              </w:rPr>
            </w:pPr>
          </w:p>
          <w:p w14:paraId="4BC86BC4"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C5" w14:textId="59716381" w:rsidR="005140C3" w:rsidRPr="004D0A25" w:rsidRDefault="005140C3" w:rsidP="00A951EA">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Maintenance and enhancement of the UNFCCC data warehouse and related information technology tools and data-processing systems, including tools for the review of GHG inventories and the operation of the GHG data interface on the UNFCCC website</w:t>
            </w:r>
          </w:p>
        </w:tc>
        <w:tc>
          <w:tcPr>
            <w:tcW w:w="1370" w:type="dxa"/>
            <w:tcBorders>
              <w:top w:val="nil"/>
              <w:left w:val="nil"/>
              <w:bottom w:val="nil"/>
              <w:right w:val="nil"/>
            </w:tcBorders>
            <w:shd w:val="clear" w:color="auto" w:fill="auto"/>
            <w:vAlign w:val="bottom"/>
            <w:hideMark/>
          </w:tcPr>
          <w:p w14:paraId="4BC86BC6"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660 711 </w:t>
            </w:r>
          </w:p>
        </w:tc>
      </w:tr>
      <w:tr w:rsidR="005140C3" w:rsidRPr="004D0A25" w14:paraId="4BC86BCD"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716"/>
        </w:trPr>
        <w:tc>
          <w:tcPr>
            <w:tcW w:w="953" w:type="dxa"/>
            <w:tcBorders>
              <w:top w:val="nil"/>
              <w:left w:val="nil"/>
              <w:bottom w:val="nil"/>
              <w:right w:val="nil"/>
            </w:tcBorders>
            <w:shd w:val="clear" w:color="auto" w:fill="auto"/>
            <w:vAlign w:val="bottom"/>
            <w:hideMark/>
          </w:tcPr>
          <w:p w14:paraId="4BC86BC8"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21</w:t>
            </w:r>
          </w:p>
          <w:p w14:paraId="4BC86BC9" w14:textId="77777777" w:rsidR="005140C3" w:rsidRDefault="005140C3" w:rsidP="00985592">
            <w:pPr>
              <w:suppressAutoHyphens w:val="0"/>
              <w:spacing w:line="240" w:lineRule="auto"/>
              <w:ind w:hanging="108"/>
              <w:rPr>
                <w:rFonts w:eastAsia="Times New Roman"/>
                <w:color w:val="000000"/>
                <w:sz w:val="18"/>
                <w:szCs w:val="18"/>
                <w:lang w:eastAsia="en-US"/>
              </w:rPr>
            </w:pPr>
          </w:p>
          <w:p w14:paraId="4BC86BCA"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CB"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Supporting the implementation of the framework for capacity-building in developing countries established under decision 2/CP.7 and the framework for capacity-building in countries with economies in transition established under decision 3/CP.7</w:t>
            </w:r>
          </w:p>
        </w:tc>
        <w:tc>
          <w:tcPr>
            <w:tcW w:w="1370" w:type="dxa"/>
            <w:tcBorders>
              <w:top w:val="nil"/>
              <w:left w:val="nil"/>
              <w:bottom w:val="nil"/>
              <w:right w:val="nil"/>
            </w:tcBorders>
            <w:shd w:val="clear" w:color="auto" w:fill="auto"/>
            <w:vAlign w:val="bottom"/>
            <w:hideMark/>
          </w:tcPr>
          <w:p w14:paraId="4BC86BCC"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266 002 </w:t>
            </w:r>
          </w:p>
        </w:tc>
      </w:tr>
      <w:tr w:rsidR="005140C3" w:rsidRPr="004D0A25" w14:paraId="4BC86BD1"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CE"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30</w:t>
            </w:r>
          </w:p>
        </w:tc>
        <w:tc>
          <w:tcPr>
            <w:tcW w:w="7262" w:type="dxa"/>
            <w:tcBorders>
              <w:top w:val="nil"/>
              <w:left w:val="nil"/>
              <w:bottom w:val="nil"/>
              <w:right w:val="nil"/>
            </w:tcBorders>
            <w:shd w:val="clear" w:color="auto" w:fill="auto"/>
            <w:vAlign w:val="bottom"/>
            <w:hideMark/>
          </w:tcPr>
          <w:p w14:paraId="4BC86BCF"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Further development of the Electronic Official Documentation System</w:t>
            </w:r>
          </w:p>
        </w:tc>
        <w:tc>
          <w:tcPr>
            <w:tcW w:w="1370" w:type="dxa"/>
            <w:tcBorders>
              <w:top w:val="nil"/>
              <w:left w:val="nil"/>
              <w:bottom w:val="nil"/>
              <w:right w:val="nil"/>
            </w:tcBorders>
            <w:shd w:val="clear" w:color="auto" w:fill="auto"/>
            <w:vAlign w:val="bottom"/>
            <w:hideMark/>
          </w:tcPr>
          <w:p w14:paraId="4BC86BD0"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52 048 </w:t>
            </w:r>
          </w:p>
        </w:tc>
      </w:tr>
      <w:tr w:rsidR="005140C3" w:rsidRPr="004D0A25" w14:paraId="4BC86BD5"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D2"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33</w:t>
            </w:r>
          </w:p>
        </w:tc>
        <w:tc>
          <w:tcPr>
            <w:tcW w:w="7262" w:type="dxa"/>
            <w:tcBorders>
              <w:top w:val="nil"/>
              <w:left w:val="nil"/>
              <w:bottom w:val="nil"/>
              <w:right w:val="nil"/>
            </w:tcBorders>
            <w:shd w:val="clear" w:color="auto" w:fill="auto"/>
            <w:vAlign w:val="bottom"/>
            <w:hideMark/>
          </w:tcPr>
          <w:p w14:paraId="4BC86BD3"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Managing the secretariat’s business records</w:t>
            </w:r>
          </w:p>
        </w:tc>
        <w:tc>
          <w:tcPr>
            <w:tcW w:w="1370" w:type="dxa"/>
            <w:tcBorders>
              <w:top w:val="nil"/>
              <w:left w:val="nil"/>
              <w:bottom w:val="nil"/>
              <w:right w:val="nil"/>
            </w:tcBorders>
            <w:shd w:val="clear" w:color="auto" w:fill="auto"/>
            <w:vAlign w:val="bottom"/>
            <w:hideMark/>
          </w:tcPr>
          <w:p w14:paraId="4BC86BD4"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1 135 853 </w:t>
            </w:r>
          </w:p>
        </w:tc>
      </w:tr>
      <w:tr w:rsidR="005140C3" w:rsidRPr="004D0A25" w14:paraId="4BC86BD9"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D6"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34</w:t>
            </w:r>
          </w:p>
        </w:tc>
        <w:tc>
          <w:tcPr>
            <w:tcW w:w="7262" w:type="dxa"/>
            <w:tcBorders>
              <w:top w:val="nil"/>
              <w:left w:val="nil"/>
              <w:bottom w:val="nil"/>
              <w:right w:val="nil"/>
            </w:tcBorders>
            <w:shd w:val="clear" w:color="auto" w:fill="auto"/>
            <w:vAlign w:val="bottom"/>
            <w:hideMark/>
          </w:tcPr>
          <w:p w14:paraId="4BC86BD7"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Providing archive services for the historical records of the UNFCCC</w:t>
            </w:r>
          </w:p>
        </w:tc>
        <w:tc>
          <w:tcPr>
            <w:tcW w:w="1370" w:type="dxa"/>
            <w:tcBorders>
              <w:top w:val="nil"/>
              <w:left w:val="nil"/>
              <w:bottom w:val="nil"/>
              <w:right w:val="nil"/>
            </w:tcBorders>
            <w:shd w:val="clear" w:color="auto" w:fill="auto"/>
            <w:vAlign w:val="bottom"/>
            <w:hideMark/>
          </w:tcPr>
          <w:p w14:paraId="4BC86BD8"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1 394 578 </w:t>
            </w:r>
          </w:p>
        </w:tc>
      </w:tr>
      <w:tr w:rsidR="005140C3" w:rsidRPr="004D0A25" w14:paraId="4BC86BDD"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DA"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35</w:t>
            </w:r>
          </w:p>
        </w:tc>
        <w:tc>
          <w:tcPr>
            <w:tcW w:w="7262" w:type="dxa"/>
            <w:tcBorders>
              <w:top w:val="nil"/>
              <w:left w:val="nil"/>
              <w:bottom w:val="nil"/>
              <w:right w:val="nil"/>
            </w:tcBorders>
            <w:shd w:val="clear" w:color="auto" w:fill="auto"/>
            <w:vAlign w:val="bottom"/>
            <w:hideMark/>
          </w:tcPr>
          <w:p w14:paraId="4BC86BDB"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Enhancing information governance</w:t>
            </w:r>
          </w:p>
        </w:tc>
        <w:tc>
          <w:tcPr>
            <w:tcW w:w="1370" w:type="dxa"/>
            <w:tcBorders>
              <w:top w:val="nil"/>
              <w:left w:val="nil"/>
              <w:bottom w:val="nil"/>
              <w:right w:val="nil"/>
            </w:tcBorders>
            <w:shd w:val="clear" w:color="auto" w:fill="auto"/>
            <w:vAlign w:val="bottom"/>
            <w:hideMark/>
          </w:tcPr>
          <w:p w14:paraId="4BC86BDC"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276 398 </w:t>
            </w:r>
          </w:p>
        </w:tc>
      </w:tr>
      <w:tr w:rsidR="005140C3" w:rsidRPr="004D0A25" w14:paraId="4BC86BE1"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DE"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38</w:t>
            </w:r>
          </w:p>
        </w:tc>
        <w:tc>
          <w:tcPr>
            <w:tcW w:w="7262" w:type="dxa"/>
            <w:tcBorders>
              <w:top w:val="nil"/>
              <w:left w:val="nil"/>
              <w:bottom w:val="nil"/>
              <w:right w:val="nil"/>
            </w:tcBorders>
            <w:shd w:val="clear" w:color="auto" w:fill="auto"/>
            <w:vAlign w:val="bottom"/>
            <w:hideMark/>
          </w:tcPr>
          <w:p w14:paraId="4BC86BDF"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Website project – digital enhancements post-2015 (web/social media)</w:t>
            </w:r>
          </w:p>
        </w:tc>
        <w:tc>
          <w:tcPr>
            <w:tcW w:w="1370" w:type="dxa"/>
            <w:tcBorders>
              <w:top w:val="nil"/>
              <w:left w:val="nil"/>
              <w:bottom w:val="nil"/>
              <w:right w:val="nil"/>
            </w:tcBorders>
            <w:shd w:val="clear" w:color="auto" w:fill="auto"/>
            <w:vAlign w:val="bottom"/>
            <w:hideMark/>
          </w:tcPr>
          <w:p w14:paraId="4BC86BE0"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1 179 042 </w:t>
            </w:r>
          </w:p>
        </w:tc>
      </w:tr>
      <w:tr w:rsidR="005140C3" w:rsidRPr="004D0A25" w14:paraId="4BC86BE6"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510"/>
        </w:trPr>
        <w:tc>
          <w:tcPr>
            <w:tcW w:w="953" w:type="dxa"/>
            <w:tcBorders>
              <w:top w:val="nil"/>
              <w:left w:val="nil"/>
              <w:bottom w:val="nil"/>
              <w:right w:val="nil"/>
            </w:tcBorders>
            <w:shd w:val="clear" w:color="auto" w:fill="auto"/>
            <w:vAlign w:val="bottom"/>
            <w:hideMark/>
          </w:tcPr>
          <w:p w14:paraId="4BC86BE2" w14:textId="77777777" w:rsidR="005140C3"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39</w:t>
            </w:r>
          </w:p>
          <w:p w14:paraId="4BC86BE3"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p>
        </w:tc>
        <w:tc>
          <w:tcPr>
            <w:tcW w:w="7262" w:type="dxa"/>
            <w:tcBorders>
              <w:top w:val="nil"/>
              <w:left w:val="nil"/>
              <w:bottom w:val="nil"/>
              <w:right w:val="nil"/>
            </w:tcBorders>
            <w:shd w:val="clear" w:color="auto" w:fill="auto"/>
            <w:vAlign w:val="bottom"/>
            <w:hideMark/>
          </w:tcPr>
          <w:p w14:paraId="4BC86BE4"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UNFCCC web portal in the six United Nations languages (Arabic, Chinese, English, French, Russian and Spanish)</w:t>
            </w:r>
          </w:p>
        </w:tc>
        <w:tc>
          <w:tcPr>
            <w:tcW w:w="1370" w:type="dxa"/>
            <w:tcBorders>
              <w:top w:val="nil"/>
              <w:left w:val="nil"/>
              <w:bottom w:val="nil"/>
              <w:right w:val="nil"/>
            </w:tcBorders>
            <w:shd w:val="clear" w:color="auto" w:fill="auto"/>
            <w:vAlign w:val="bottom"/>
            <w:hideMark/>
          </w:tcPr>
          <w:p w14:paraId="4BC86BE5"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2 185 782 </w:t>
            </w:r>
          </w:p>
        </w:tc>
      </w:tr>
      <w:tr w:rsidR="005140C3" w:rsidRPr="004D0A25" w14:paraId="4BC86BEA"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E7"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40</w:t>
            </w:r>
          </w:p>
        </w:tc>
        <w:tc>
          <w:tcPr>
            <w:tcW w:w="7262" w:type="dxa"/>
            <w:tcBorders>
              <w:top w:val="nil"/>
              <w:left w:val="nil"/>
              <w:bottom w:val="nil"/>
              <w:right w:val="nil"/>
            </w:tcBorders>
            <w:shd w:val="clear" w:color="auto" w:fill="auto"/>
            <w:vAlign w:val="bottom"/>
            <w:hideMark/>
          </w:tcPr>
          <w:p w14:paraId="4BC86BE8"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Visualization of UNFCCC process information and data</w:t>
            </w:r>
          </w:p>
        </w:tc>
        <w:tc>
          <w:tcPr>
            <w:tcW w:w="1370" w:type="dxa"/>
            <w:tcBorders>
              <w:top w:val="nil"/>
              <w:left w:val="nil"/>
              <w:bottom w:val="nil"/>
              <w:right w:val="nil"/>
            </w:tcBorders>
            <w:shd w:val="clear" w:color="auto" w:fill="auto"/>
            <w:vAlign w:val="bottom"/>
            <w:hideMark/>
          </w:tcPr>
          <w:p w14:paraId="4BC86BE9"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808 402 </w:t>
            </w:r>
          </w:p>
        </w:tc>
      </w:tr>
      <w:tr w:rsidR="005140C3" w:rsidRPr="004D0A25" w14:paraId="4BC86BEE"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EB"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41</w:t>
            </w:r>
          </w:p>
        </w:tc>
        <w:tc>
          <w:tcPr>
            <w:tcW w:w="7262" w:type="dxa"/>
            <w:tcBorders>
              <w:top w:val="nil"/>
              <w:left w:val="nil"/>
              <w:bottom w:val="nil"/>
              <w:right w:val="nil"/>
            </w:tcBorders>
            <w:shd w:val="clear" w:color="auto" w:fill="auto"/>
            <w:vAlign w:val="bottom"/>
            <w:hideMark/>
          </w:tcPr>
          <w:p w14:paraId="4BC86BEC"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Developing country media training workshops</w:t>
            </w:r>
          </w:p>
        </w:tc>
        <w:tc>
          <w:tcPr>
            <w:tcW w:w="1370" w:type="dxa"/>
            <w:tcBorders>
              <w:top w:val="nil"/>
              <w:left w:val="nil"/>
              <w:bottom w:val="nil"/>
              <w:right w:val="nil"/>
            </w:tcBorders>
            <w:shd w:val="clear" w:color="auto" w:fill="auto"/>
            <w:vAlign w:val="bottom"/>
            <w:hideMark/>
          </w:tcPr>
          <w:p w14:paraId="4BC86BED"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395 500 </w:t>
            </w:r>
          </w:p>
        </w:tc>
      </w:tr>
      <w:tr w:rsidR="005140C3" w:rsidRPr="004D0A25" w14:paraId="4BC86BF2"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EF"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42</w:t>
            </w:r>
          </w:p>
        </w:tc>
        <w:tc>
          <w:tcPr>
            <w:tcW w:w="7262" w:type="dxa"/>
            <w:tcBorders>
              <w:top w:val="nil"/>
              <w:left w:val="nil"/>
              <w:bottom w:val="nil"/>
              <w:right w:val="nil"/>
            </w:tcBorders>
            <w:shd w:val="clear" w:color="auto" w:fill="auto"/>
            <w:vAlign w:val="bottom"/>
            <w:hideMark/>
          </w:tcPr>
          <w:p w14:paraId="4BC86BF0"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Web and outreach for greater climate action</w:t>
            </w:r>
          </w:p>
        </w:tc>
        <w:tc>
          <w:tcPr>
            <w:tcW w:w="1370" w:type="dxa"/>
            <w:tcBorders>
              <w:top w:val="nil"/>
              <w:left w:val="nil"/>
              <w:bottom w:val="nil"/>
              <w:right w:val="nil"/>
            </w:tcBorders>
            <w:shd w:val="clear" w:color="auto" w:fill="auto"/>
            <w:vAlign w:val="bottom"/>
            <w:hideMark/>
          </w:tcPr>
          <w:p w14:paraId="4BC86BF1"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1 411 912 </w:t>
            </w:r>
          </w:p>
        </w:tc>
      </w:tr>
      <w:tr w:rsidR="005140C3" w:rsidRPr="004D0A25" w14:paraId="4BC86BF6"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00"/>
        </w:trPr>
        <w:tc>
          <w:tcPr>
            <w:tcW w:w="953" w:type="dxa"/>
            <w:tcBorders>
              <w:top w:val="nil"/>
              <w:left w:val="nil"/>
              <w:bottom w:val="nil"/>
              <w:right w:val="nil"/>
            </w:tcBorders>
            <w:shd w:val="clear" w:color="auto" w:fill="auto"/>
            <w:vAlign w:val="bottom"/>
            <w:hideMark/>
          </w:tcPr>
          <w:p w14:paraId="4BC86BF3"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43</w:t>
            </w:r>
          </w:p>
        </w:tc>
        <w:tc>
          <w:tcPr>
            <w:tcW w:w="7262" w:type="dxa"/>
            <w:tcBorders>
              <w:top w:val="nil"/>
              <w:left w:val="nil"/>
              <w:bottom w:val="nil"/>
              <w:right w:val="nil"/>
            </w:tcBorders>
            <w:shd w:val="clear" w:color="auto" w:fill="auto"/>
            <w:vAlign w:val="bottom"/>
            <w:hideMark/>
          </w:tcPr>
          <w:p w14:paraId="4BC86BF4"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Momentum for Change</w:t>
            </w:r>
          </w:p>
        </w:tc>
        <w:tc>
          <w:tcPr>
            <w:tcW w:w="1370" w:type="dxa"/>
            <w:tcBorders>
              <w:top w:val="nil"/>
              <w:left w:val="nil"/>
              <w:bottom w:val="nil"/>
              <w:right w:val="nil"/>
            </w:tcBorders>
            <w:shd w:val="clear" w:color="auto" w:fill="auto"/>
            <w:vAlign w:val="bottom"/>
            <w:hideMark/>
          </w:tcPr>
          <w:p w14:paraId="4BC86BF5"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2 308 346 </w:t>
            </w:r>
          </w:p>
        </w:tc>
      </w:tr>
      <w:tr w:rsidR="005140C3" w:rsidRPr="004D0A25" w14:paraId="4BC86BFA" w14:textId="77777777" w:rsidTr="00985592">
        <w:tblPrEx>
          <w:tblBorders>
            <w:top w:val="none" w:sz="0" w:space="0" w:color="auto"/>
          </w:tblBorders>
          <w:tblCellMar>
            <w:left w:w="108" w:type="dxa"/>
            <w:right w:w="108" w:type="dxa"/>
          </w:tblCellMar>
          <w:tblLook w:val="04A0" w:firstRow="1" w:lastRow="0" w:firstColumn="1" w:lastColumn="0" w:noHBand="0" w:noVBand="1"/>
        </w:tblPrEx>
        <w:trPr>
          <w:gridAfter w:val="1"/>
          <w:wAfter w:w="7" w:type="dxa"/>
          <w:trHeight w:val="315"/>
        </w:trPr>
        <w:tc>
          <w:tcPr>
            <w:tcW w:w="953" w:type="dxa"/>
            <w:tcBorders>
              <w:top w:val="nil"/>
              <w:left w:val="nil"/>
              <w:bottom w:val="nil"/>
              <w:right w:val="nil"/>
            </w:tcBorders>
            <w:shd w:val="clear" w:color="auto" w:fill="auto"/>
            <w:vAlign w:val="bottom"/>
            <w:hideMark/>
          </w:tcPr>
          <w:p w14:paraId="4BC86BF7" w14:textId="77777777" w:rsidR="005140C3" w:rsidRPr="004D0A25" w:rsidRDefault="005140C3" w:rsidP="00985592">
            <w:pPr>
              <w:suppressAutoHyphens w:val="0"/>
              <w:spacing w:line="240" w:lineRule="auto"/>
              <w:ind w:hanging="108"/>
              <w:rPr>
                <w:rFonts w:eastAsia="Times New Roman"/>
                <w:color w:val="000000"/>
                <w:sz w:val="18"/>
                <w:szCs w:val="18"/>
                <w:lang w:eastAsia="en-US"/>
              </w:rPr>
            </w:pPr>
            <w:r w:rsidRPr="004D0A25">
              <w:rPr>
                <w:rFonts w:eastAsia="Times New Roman"/>
                <w:color w:val="000000"/>
                <w:sz w:val="18"/>
                <w:szCs w:val="18"/>
                <w:lang w:eastAsia="en-US"/>
              </w:rPr>
              <w:t>44</w:t>
            </w:r>
          </w:p>
        </w:tc>
        <w:tc>
          <w:tcPr>
            <w:tcW w:w="7262" w:type="dxa"/>
            <w:tcBorders>
              <w:top w:val="nil"/>
              <w:left w:val="nil"/>
              <w:bottom w:val="nil"/>
              <w:right w:val="nil"/>
            </w:tcBorders>
            <w:shd w:val="clear" w:color="auto" w:fill="auto"/>
            <w:vAlign w:val="bottom"/>
            <w:hideMark/>
          </w:tcPr>
          <w:p w14:paraId="4BC86BF8" w14:textId="77777777" w:rsidR="005140C3" w:rsidRPr="004D0A25" w:rsidRDefault="005140C3" w:rsidP="009F3C26">
            <w:pPr>
              <w:suppressAutoHyphens w:val="0"/>
              <w:spacing w:line="240" w:lineRule="auto"/>
              <w:ind w:left="-113"/>
              <w:rPr>
                <w:rFonts w:eastAsia="Times New Roman"/>
                <w:color w:val="000000"/>
                <w:sz w:val="18"/>
                <w:szCs w:val="18"/>
                <w:lang w:eastAsia="en-US"/>
              </w:rPr>
            </w:pPr>
            <w:r w:rsidRPr="004D0A25">
              <w:rPr>
                <w:rFonts w:eastAsia="Times New Roman"/>
                <w:color w:val="000000"/>
                <w:sz w:val="18"/>
                <w:szCs w:val="18"/>
                <w:lang w:eastAsia="en-US"/>
              </w:rPr>
              <w:t>Activities to support the implementation of Article 6 of the Convention</w:t>
            </w:r>
          </w:p>
        </w:tc>
        <w:tc>
          <w:tcPr>
            <w:tcW w:w="1370" w:type="dxa"/>
            <w:tcBorders>
              <w:top w:val="nil"/>
              <w:left w:val="nil"/>
              <w:bottom w:val="nil"/>
              <w:right w:val="nil"/>
            </w:tcBorders>
            <w:shd w:val="clear" w:color="auto" w:fill="auto"/>
            <w:vAlign w:val="bottom"/>
            <w:hideMark/>
          </w:tcPr>
          <w:p w14:paraId="4BC86BF9" w14:textId="77777777" w:rsidR="005140C3" w:rsidRPr="004D0A25" w:rsidRDefault="005140C3" w:rsidP="009F3C26">
            <w:pPr>
              <w:suppressAutoHyphens w:val="0"/>
              <w:spacing w:line="240" w:lineRule="auto"/>
              <w:ind w:right="-108"/>
              <w:jc w:val="right"/>
              <w:rPr>
                <w:rFonts w:eastAsia="Times New Roman"/>
                <w:color w:val="000000"/>
                <w:sz w:val="18"/>
                <w:szCs w:val="18"/>
                <w:lang w:eastAsia="en-US"/>
              </w:rPr>
            </w:pPr>
            <w:r w:rsidRPr="004D0A25">
              <w:rPr>
                <w:rFonts w:eastAsia="Times New Roman"/>
                <w:color w:val="000000"/>
                <w:sz w:val="18"/>
                <w:szCs w:val="18"/>
                <w:lang w:eastAsia="en-US"/>
              </w:rPr>
              <w:t xml:space="preserve">467 919 </w:t>
            </w:r>
          </w:p>
        </w:tc>
      </w:tr>
      <w:tr w:rsidR="005140C3" w:rsidRPr="004D0A25" w14:paraId="4BC86BFE" w14:textId="77777777" w:rsidTr="009F3C26">
        <w:trPr>
          <w:trHeight w:val="240"/>
        </w:trPr>
        <w:tc>
          <w:tcPr>
            <w:tcW w:w="953" w:type="dxa"/>
            <w:tcBorders>
              <w:top w:val="single" w:sz="4" w:space="0" w:color="auto"/>
              <w:bottom w:val="single" w:sz="4" w:space="0" w:color="auto"/>
            </w:tcBorders>
          </w:tcPr>
          <w:p w14:paraId="4BC86BFB" w14:textId="77777777" w:rsidR="005140C3" w:rsidRPr="004D0A25" w:rsidRDefault="005140C3" w:rsidP="009F3C26">
            <w:pPr>
              <w:suppressAutoHyphens w:val="0"/>
              <w:spacing w:before="40" w:after="40" w:line="220" w:lineRule="exact"/>
              <w:ind w:left="300"/>
              <w:jc w:val="center"/>
              <w:rPr>
                <w:b/>
                <w:bCs/>
                <w:sz w:val="18"/>
                <w:szCs w:val="18"/>
              </w:rPr>
            </w:pPr>
          </w:p>
        </w:tc>
        <w:tc>
          <w:tcPr>
            <w:tcW w:w="7262" w:type="dxa"/>
            <w:tcBorders>
              <w:top w:val="single" w:sz="4" w:space="0" w:color="auto"/>
              <w:bottom w:val="single" w:sz="4" w:space="0" w:color="auto"/>
            </w:tcBorders>
            <w:shd w:val="clear" w:color="auto" w:fill="auto"/>
            <w:vAlign w:val="bottom"/>
          </w:tcPr>
          <w:p w14:paraId="4BC86BFC" w14:textId="77777777" w:rsidR="005140C3" w:rsidRPr="004D0A25" w:rsidRDefault="005140C3" w:rsidP="009F3C26">
            <w:pPr>
              <w:suppressAutoHyphens w:val="0"/>
              <w:spacing w:before="40" w:after="40" w:line="220" w:lineRule="exact"/>
              <w:ind w:firstLine="142"/>
              <w:rPr>
                <w:bCs/>
                <w:sz w:val="18"/>
                <w:szCs w:val="18"/>
              </w:rPr>
            </w:pPr>
            <w:r w:rsidRPr="004D0A25">
              <w:rPr>
                <w:b/>
                <w:bCs/>
                <w:sz w:val="18"/>
                <w:szCs w:val="18"/>
              </w:rPr>
              <w:t>Subtotal</w:t>
            </w:r>
          </w:p>
        </w:tc>
        <w:tc>
          <w:tcPr>
            <w:tcW w:w="1377" w:type="dxa"/>
            <w:gridSpan w:val="2"/>
            <w:tcBorders>
              <w:top w:val="single" w:sz="4" w:space="0" w:color="auto"/>
              <w:bottom w:val="single" w:sz="4" w:space="0" w:color="auto"/>
            </w:tcBorders>
            <w:shd w:val="clear" w:color="auto" w:fill="auto"/>
            <w:vAlign w:val="bottom"/>
          </w:tcPr>
          <w:p w14:paraId="4BC86BFD" w14:textId="77777777" w:rsidR="005140C3" w:rsidRPr="004D0A25" w:rsidRDefault="005140C3" w:rsidP="009F3C26">
            <w:pPr>
              <w:ind w:right="-108"/>
              <w:jc w:val="right"/>
              <w:rPr>
                <w:b/>
                <w:bCs/>
                <w:sz w:val="18"/>
                <w:szCs w:val="18"/>
              </w:rPr>
            </w:pPr>
            <w:r w:rsidRPr="004D0A25">
              <w:rPr>
                <w:b/>
                <w:bCs/>
                <w:sz w:val="18"/>
                <w:szCs w:val="18"/>
              </w:rPr>
              <w:t xml:space="preserve">18 919 650 </w:t>
            </w:r>
          </w:p>
        </w:tc>
      </w:tr>
      <w:tr w:rsidR="005140C3" w:rsidRPr="004D0A25" w14:paraId="4BC86C02" w14:textId="77777777" w:rsidTr="009F3C26">
        <w:trPr>
          <w:trHeight w:val="240"/>
        </w:trPr>
        <w:tc>
          <w:tcPr>
            <w:tcW w:w="953" w:type="dxa"/>
            <w:tcBorders>
              <w:top w:val="single" w:sz="4" w:space="0" w:color="auto"/>
              <w:bottom w:val="single" w:sz="12" w:space="0" w:color="auto"/>
            </w:tcBorders>
          </w:tcPr>
          <w:p w14:paraId="4BC86BFF" w14:textId="77777777" w:rsidR="005140C3" w:rsidRPr="004D0A25" w:rsidRDefault="005140C3" w:rsidP="009F3C26">
            <w:pPr>
              <w:suppressAutoHyphens w:val="0"/>
              <w:spacing w:before="40" w:after="40" w:line="220" w:lineRule="exact"/>
              <w:ind w:left="300"/>
              <w:jc w:val="center"/>
              <w:rPr>
                <w:b/>
                <w:bCs/>
                <w:sz w:val="18"/>
                <w:szCs w:val="18"/>
              </w:rPr>
            </w:pPr>
          </w:p>
        </w:tc>
        <w:tc>
          <w:tcPr>
            <w:tcW w:w="7262" w:type="dxa"/>
            <w:tcBorders>
              <w:top w:val="single" w:sz="4" w:space="0" w:color="auto"/>
              <w:bottom w:val="single" w:sz="12" w:space="0" w:color="auto"/>
            </w:tcBorders>
            <w:shd w:val="clear" w:color="auto" w:fill="auto"/>
            <w:vAlign w:val="bottom"/>
          </w:tcPr>
          <w:p w14:paraId="4BC86C00" w14:textId="631240D8" w:rsidR="005140C3" w:rsidRPr="004D0A25" w:rsidRDefault="005140C3" w:rsidP="009F3C26">
            <w:pPr>
              <w:suppressAutoHyphens w:val="0"/>
              <w:spacing w:before="40" w:after="40" w:line="220" w:lineRule="exact"/>
              <w:ind w:firstLine="142"/>
              <w:rPr>
                <w:bCs/>
                <w:sz w:val="18"/>
                <w:szCs w:val="18"/>
              </w:rPr>
            </w:pPr>
            <w:r w:rsidRPr="004D0A25">
              <w:rPr>
                <w:b/>
                <w:bCs/>
                <w:sz w:val="18"/>
                <w:szCs w:val="18"/>
              </w:rPr>
              <w:t>Grand total</w:t>
            </w:r>
          </w:p>
        </w:tc>
        <w:tc>
          <w:tcPr>
            <w:tcW w:w="1377" w:type="dxa"/>
            <w:gridSpan w:val="2"/>
            <w:tcBorders>
              <w:top w:val="single" w:sz="4" w:space="0" w:color="auto"/>
              <w:bottom w:val="single" w:sz="12" w:space="0" w:color="auto"/>
            </w:tcBorders>
            <w:shd w:val="clear" w:color="auto" w:fill="auto"/>
            <w:vAlign w:val="bottom"/>
          </w:tcPr>
          <w:p w14:paraId="4BC86C01" w14:textId="77777777" w:rsidR="005140C3" w:rsidRPr="004D0A25" w:rsidRDefault="005140C3" w:rsidP="009F3C26">
            <w:pPr>
              <w:ind w:right="-108"/>
              <w:jc w:val="right"/>
              <w:rPr>
                <w:b/>
                <w:bCs/>
                <w:sz w:val="18"/>
                <w:szCs w:val="18"/>
              </w:rPr>
            </w:pPr>
            <w:r w:rsidRPr="004D0A25">
              <w:rPr>
                <w:b/>
                <w:bCs/>
                <w:sz w:val="18"/>
                <w:szCs w:val="18"/>
              </w:rPr>
              <w:t xml:space="preserve">51 647 777 </w:t>
            </w:r>
          </w:p>
        </w:tc>
      </w:tr>
    </w:tbl>
    <w:bookmarkEnd w:id="36"/>
    <w:bookmarkEnd w:id="37"/>
    <w:p w14:paraId="4BC86C03" w14:textId="0A618829" w:rsidR="005140C3" w:rsidRPr="00464EB2" w:rsidRDefault="00C421F9" w:rsidP="00C421F9">
      <w:pPr>
        <w:suppressAutoHyphens w:val="0"/>
        <w:spacing w:before="120" w:line="220" w:lineRule="exact"/>
        <w:ind w:firstLine="284"/>
        <w:rPr>
          <w:sz w:val="18"/>
        </w:rPr>
      </w:pPr>
      <w:r w:rsidRPr="00464EB2">
        <w:rPr>
          <w:i/>
          <w:sz w:val="18"/>
          <w:vertAlign w:val="superscript"/>
        </w:rPr>
        <w:t xml:space="preserve">a   </w:t>
      </w:r>
      <w:r w:rsidR="005140C3" w:rsidRPr="00464EB2">
        <w:rPr>
          <w:sz w:val="18"/>
        </w:rPr>
        <w:t>The table includes projects for which funding is sought from Parties. Projects funded from other sources are not listed.</w:t>
      </w:r>
    </w:p>
    <w:p w14:paraId="4BC86C04" w14:textId="4A326535" w:rsidR="005140C3" w:rsidRPr="00A82BE5" w:rsidRDefault="00C421F9" w:rsidP="00C421F9">
      <w:pPr>
        <w:suppressAutoHyphens w:val="0"/>
        <w:spacing w:line="220" w:lineRule="exact"/>
        <w:ind w:firstLine="284"/>
        <w:rPr>
          <w:sz w:val="18"/>
        </w:rPr>
      </w:pPr>
      <w:r w:rsidRPr="00A82BE5">
        <w:rPr>
          <w:i/>
          <w:sz w:val="18"/>
          <w:vertAlign w:val="superscript"/>
        </w:rPr>
        <w:t xml:space="preserve">b   </w:t>
      </w:r>
      <w:r w:rsidR="005140C3" w:rsidRPr="00464EB2">
        <w:rPr>
          <w:sz w:val="18"/>
        </w:rPr>
        <w:t xml:space="preserve">Table numbers refer to </w:t>
      </w:r>
      <w:r w:rsidR="004D6C3E">
        <w:rPr>
          <w:sz w:val="18"/>
        </w:rPr>
        <w:t xml:space="preserve">the </w:t>
      </w:r>
      <w:r w:rsidR="005140C3" w:rsidRPr="00464EB2">
        <w:rPr>
          <w:sz w:val="18"/>
        </w:rPr>
        <w:t xml:space="preserve">tables contained in document </w:t>
      </w:r>
      <w:r w:rsidR="005140C3" w:rsidRPr="004D6C3E">
        <w:rPr>
          <w:sz w:val="18"/>
        </w:rPr>
        <w:t>FCCC/SBI/2015/3/Add.2</w:t>
      </w:r>
      <w:r w:rsidR="005140C3" w:rsidRPr="00464EB2">
        <w:rPr>
          <w:sz w:val="18"/>
        </w:rPr>
        <w:t>.</w:t>
      </w:r>
    </w:p>
    <w:p w14:paraId="4BC86C05" w14:textId="77777777" w:rsidR="005140C3" w:rsidRDefault="005140C3" w:rsidP="005140C3">
      <w:pPr>
        <w:rPr>
          <w:rFonts w:eastAsia="MS Mincho"/>
          <w:b/>
          <w:sz w:val="28"/>
          <w:lang w:eastAsia="de-DE"/>
        </w:rPr>
      </w:pPr>
      <w:r w:rsidRPr="00464EB2">
        <w:rPr>
          <w:rFonts w:eastAsia="MS Mincho"/>
          <w:b/>
          <w:sz w:val="28"/>
          <w:lang w:eastAsia="de-DE"/>
        </w:rPr>
        <w:br w:type="page"/>
      </w:r>
      <w:bookmarkEnd w:id="2"/>
    </w:p>
    <w:p w14:paraId="4BC86C06" w14:textId="738F7611" w:rsidR="005140C3" w:rsidRPr="00A82BE5" w:rsidRDefault="005140C3" w:rsidP="005140C3">
      <w:pPr>
        <w:keepNext/>
        <w:keepLines/>
        <w:suppressAutoHyphens w:val="0"/>
        <w:spacing w:before="240" w:after="240" w:line="300" w:lineRule="exact"/>
        <w:ind w:right="1134"/>
        <w:rPr>
          <w:rFonts w:eastAsia="MS Mincho"/>
          <w:b/>
          <w:sz w:val="28"/>
          <w:lang w:eastAsia="de-DE"/>
        </w:rPr>
      </w:pPr>
      <w:bookmarkStart w:id="46" w:name="_Toc318463087"/>
      <w:r w:rsidRPr="00A82BE5">
        <w:rPr>
          <w:rFonts w:eastAsia="MS Mincho"/>
          <w:b/>
          <w:sz w:val="28"/>
          <w:lang w:eastAsia="de-DE"/>
        </w:rPr>
        <w:lastRenderedPageBreak/>
        <w:t>Annex</w:t>
      </w:r>
      <w:bookmarkEnd w:id="46"/>
    </w:p>
    <w:p w14:paraId="4BC86C08" w14:textId="77777777" w:rsidR="005140C3" w:rsidRDefault="005140C3" w:rsidP="005140C3">
      <w:pPr>
        <w:keepNext/>
        <w:keepLines/>
        <w:suppressAutoHyphens w:val="0"/>
        <w:spacing w:before="360" w:after="240" w:line="270" w:lineRule="exact"/>
        <w:ind w:left="1134" w:right="1134"/>
        <w:rPr>
          <w:rFonts w:eastAsia="MS Mincho"/>
          <w:b/>
          <w:sz w:val="24"/>
          <w:lang w:eastAsia="de-DE"/>
        </w:rPr>
      </w:pPr>
      <w:bookmarkStart w:id="47" w:name="_Toc318463088"/>
      <w:r w:rsidRPr="00A82BE5">
        <w:rPr>
          <w:rFonts w:eastAsia="MS Mincho"/>
          <w:b/>
          <w:sz w:val="24"/>
          <w:lang w:eastAsia="de-DE"/>
        </w:rPr>
        <w:t>Indicative scale of contributions from Parties to the Convention for the biennium 2016–201</w:t>
      </w:r>
      <w:bookmarkEnd w:id="47"/>
      <w:r w:rsidRPr="00A82BE5">
        <w:rPr>
          <w:rFonts w:eastAsia="MS Mincho"/>
          <w:b/>
          <w:sz w:val="24"/>
          <w:lang w:eastAsia="de-DE"/>
        </w:rPr>
        <w:t>7</w:t>
      </w:r>
    </w:p>
    <w:p w14:paraId="56BA72D8" w14:textId="181F9E9E" w:rsidR="0078185A" w:rsidRPr="0078185A" w:rsidRDefault="0078185A" w:rsidP="0078185A">
      <w:pPr>
        <w:spacing w:after="360"/>
        <w:jc w:val="right"/>
      </w:pPr>
      <w:r w:rsidRPr="00A82BE5">
        <w:t>[English only]</w:t>
      </w:r>
    </w:p>
    <w:tbl>
      <w:tblPr>
        <w:tblW w:w="963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30" w:type="dxa"/>
          <w:right w:w="30" w:type="dxa"/>
        </w:tblCellMar>
        <w:tblLook w:val="0000" w:firstRow="0" w:lastRow="0" w:firstColumn="0" w:lastColumn="0" w:noHBand="0" w:noVBand="0"/>
      </w:tblPr>
      <w:tblGrid>
        <w:gridCol w:w="4113"/>
        <w:gridCol w:w="1842"/>
        <w:gridCol w:w="1701"/>
        <w:gridCol w:w="1983"/>
      </w:tblGrid>
      <w:tr w:rsidR="005140C3" w:rsidRPr="00A82BE5" w14:paraId="4BC86C0D" w14:textId="77777777" w:rsidTr="009F3C26">
        <w:trPr>
          <w:trHeight w:val="410"/>
          <w:tblHeader/>
          <w:jc w:val="center"/>
        </w:trPr>
        <w:tc>
          <w:tcPr>
            <w:tcW w:w="4113" w:type="dxa"/>
            <w:tcBorders>
              <w:top w:val="single" w:sz="4" w:space="0" w:color="auto"/>
              <w:left w:val="nil"/>
              <w:bottom w:val="single" w:sz="12" w:space="0" w:color="auto"/>
              <w:right w:val="nil"/>
            </w:tcBorders>
            <w:vAlign w:val="bottom"/>
          </w:tcPr>
          <w:p w14:paraId="4BC86C09" w14:textId="77777777" w:rsidR="005140C3" w:rsidRPr="00A82BE5" w:rsidRDefault="005140C3" w:rsidP="009F3C26">
            <w:pPr>
              <w:suppressAutoHyphens w:val="0"/>
              <w:spacing w:before="40" w:after="40" w:line="200" w:lineRule="exact"/>
              <w:rPr>
                <w:rFonts w:eastAsia="MS Mincho"/>
                <w:bCs/>
                <w:i/>
                <w:color w:val="000000"/>
                <w:sz w:val="16"/>
                <w:szCs w:val="16"/>
                <w:highlight w:val="cyan"/>
                <w:lang w:eastAsia="de-DE"/>
              </w:rPr>
            </w:pPr>
            <w:r w:rsidRPr="00A82BE5">
              <w:rPr>
                <w:rFonts w:eastAsia="MS Mincho"/>
                <w:bCs/>
                <w:i/>
                <w:color w:val="000000"/>
                <w:sz w:val="16"/>
                <w:szCs w:val="16"/>
                <w:lang w:eastAsia="de-DE"/>
              </w:rPr>
              <w:t>Party</w:t>
            </w:r>
          </w:p>
        </w:tc>
        <w:tc>
          <w:tcPr>
            <w:tcW w:w="1842" w:type="dxa"/>
            <w:tcBorders>
              <w:top w:val="single" w:sz="4" w:space="0" w:color="auto"/>
              <w:left w:val="nil"/>
              <w:bottom w:val="single" w:sz="12" w:space="0" w:color="auto"/>
              <w:right w:val="nil"/>
            </w:tcBorders>
            <w:vAlign w:val="bottom"/>
          </w:tcPr>
          <w:p w14:paraId="4BC86C0A" w14:textId="77777777" w:rsidR="005140C3" w:rsidRPr="00A82BE5" w:rsidRDefault="005140C3" w:rsidP="009F3C26">
            <w:pPr>
              <w:suppressAutoHyphens w:val="0"/>
              <w:spacing w:before="40" w:after="40" w:line="240" w:lineRule="auto"/>
              <w:ind w:right="28"/>
              <w:jc w:val="right"/>
              <w:rPr>
                <w:rFonts w:eastAsia="MS Mincho"/>
                <w:bCs/>
                <w:i/>
                <w:color w:val="000000"/>
                <w:sz w:val="16"/>
                <w:szCs w:val="16"/>
                <w:lang w:eastAsia="de-DE"/>
              </w:rPr>
            </w:pPr>
            <w:r w:rsidRPr="00A82BE5">
              <w:rPr>
                <w:rFonts w:eastAsia="MS Mincho"/>
                <w:bCs/>
                <w:i/>
                <w:sz w:val="16"/>
                <w:szCs w:val="18"/>
                <w:lang w:eastAsia="de-DE"/>
              </w:rPr>
              <w:t>United</w:t>
            </w:r>
            <w:r w:rsidRPr="00A82BE5">
              <w:rPr>
                <w:rFonts w:eastAsia="MS Mincho"/>
                <w:i/>
                <w:sz w:val="16"/>
                <w:lang w:eastAsia="de-DE"/>
              </w:rPr>
              <w:t xml:space="preserve"> </w:t>
            </w:r>
            <w:r w:rsidRPr="00A82BE5">
              <w:rPr>
                <w:rFonts w:eastAsia="MS Mincho"/>
                <w:bCs/>
                <w:i/>
                <w:sz w:val="16"/>
                <w:szCs w:val="18"/>
                <w:lang w:eastAsia="de-DE"/>
              </w:rPr>
              <w:t>Nations</w:t>
            </w:r>
            <w:r w:rsidRPr="00A82BE5">
              <w:rPr>
                <w:rFonts w:eastAsia="MS Mincho"/>
                <w:i/>
                <w:sz w:val="16"/>
                <w:lang w:eastAsia="de-DE"/>
              </w:rPr>
              <w:t xml:space="preserve"> scale of assessments for 2015</w:t>
            </w:r>
          </w:p>
        </w:tc>
        <w:tc>
          <w:tcPr>
            <w:tcW w:w="1701" w:type="dxa"/>
            <w:tcBorders>
              <w:top w:val="single" w:sz="4" w:space="0" w:color="auto"/>
              <w:left w:val="nil"/>
              <w:bottom w:val="single" w:sz="12" w:space="0" w:color="auto"/>
              <w:right w:val="nil"/>
            </w:tcBorders>
            <w:vAlign w:val="bottom"/>
          </w:tcPr>
          <w:p w14:paraId="4BC86C0B" w14:textId="77777777" w:rsidR="005140C3" w:rsidRPr="00A82BE5" w:rsidRDefault="005140C3" w:rsidP="009F3C26">
            <w:pPr>
              <w:suppressAutoHyphens w:val="0"/>
              <w:spacing w:before="40" w:after="40" w:line="240" w:lineRule="auto"/>
              <w:jc w:val="right"/>
              <w:rPr>
                <w:rFonts w:eastAsia="MS Mincho"/>
                <w:bCs/>
                <w:i/>
                <w:color w:val="000000"/>
                <w:sz w:val="16"/>
                <w:szCs w:val="16"/>
                <w:lang w:eastAsia="de-DE"/>
              </w:rPr>
            </w:pPr>
            <w:r w:rsidRPr="00A82BE5">
              <w:rPr>
                <w:rFonts w:eastAsia="MS Mincho"/>
                <w:i/>
                <w:sz w:val="16"/>
                <w:lang w:eastAsia="de-DE"/>
              </w:rPr>
              <w:t xml:space="preserve">UNFCCC </w:t>
            </w:r>
            <w:r w:rsidRPr="00A82BE5">
              <w:rPr>
                <w:rFonts w:eastAsia="MS Mincho"/>
                <w:bCs/>
                <w:i/>
                <w:sz w:val="16"/>
                <w:szCs w:val="18"/>
                <w:lang w:eastAsia="de-DE"/>
              </w:rPr>
              <w:t>adjusted</w:t>
            </w:r>
            <w:r w:rsidRPr="00A82BE5">
              <w:rPr>
                <w:rFonts w:eastAsia="MS Mincho"/>
                <w:i/>
                <w:sz w:val="16"/>
                <w:lang w:eastAsia="de-DE"/>
              </w:rPr>
              <w:t xml:space="preserve"> scale of assessments for 2016</w:t>
            </w:r>
          </w:p>
        </w:tc>
        <w:tc>
          <w:tcPr>
            <w:tcW w:w="1983" w:type="dxa"/>
            <w:tcBorders>
              <w:top w:val="single" w:sz="4" w:space="0" w:color="auto"/>
              <w:left w:val="nil"/>
              <w:bottom w:val="single" w:sz="12" w:space="0" w:color="auto"/>
              <w:right w:val="nil"/>
            </w:tcBorders>
            <w:vAlign w:val="bottom"/>
          </w:tcPr>
          <w:p w14:paraId="4BC86C0C" w14:textId="77777777" w:rsidR="005140C3" w:rsidRPr="00A82BE5" w:rsidRDefault="005140C3" w:rsidP="009F3C26">
            <w:pPr>
              <w:suppressAutoHyphens w:val="0"/>
              <w:spacing w:before="40" w:after="40" w:line="240" w:lineRule="auto"/>
              <w:ind w:right="11"/>
              <w:jc w:val="right"/>
              <w:rPr>
                <w:rFonts w:eastAsia="MS Mincho"/>
                <w:i/>
                <w:sz w:val="16"/>
                <w:lang w:eastAsia="de-DE"/>
              </w:rPr>
            </w:pPr>
            <w:r w:rsidRPr="00A82BE5">
              <w:rPr>
                <w:rFonts w:eastAsia="MS Mincho"/>
                <w:i/>
                <w:sz w:val="16"/>
                <w:lang w:eastAsia="de-DE"/>
              </w:rPr>
              <w:t>UNFCCC adjusted scale of assessments for 2017</w:t>
            </w:r>
          </w:p>
        </w:tc>
      </w:tr>
      <w:tr w:rsidR="005140C3" w:rsidRPr="00A82BE5" w14:paraId="4BC86C12" w14:textId="77777777" w:rsidTr="009F3C26">
        <w:trPr>
          <w:trHeight w:val="248"/>
          <w:jc w:val="center"/>
        </w:trPr>
        <w:tc>
          <w:tcPr>
            <w:tcW w:w="4113" w:type="dxa"/>
            <w:tcBorders>
              <w:top w:val="single" w:sz="12" w:space="0" w:color="auto"/>
              <w:left w:val="nil"/>
              <w:bottom w:val="nil"/>
              <w:right w:val="nil"/>
            </w:tcBorders>
            <w:vAlign w:val="center"/>
          </w:tcPr>
          <w:p w14:paraId="4BC86C0E" w14:textId="77777777" w:rsidR="005140C3" w:rsidRPr="00A82BE5" w:rsidRDefault="005140C3" w:rsidP="009F3C26">
            <w:pPr>
              <w:suppressAutoHyphens w:val="0"/>
              <w:spacing w:line="240" w:lineRule="auto"/>
              <w:rPr>
                <w:rFonts w:eastAsia="Arial Unicode MS"/>
                <w:color w:val="000000"/>
                <w:sz w:val="18"/>
                <w:szCs w:val="18"/>
                <w:lang w:eastAsia="de-DE"/>
              </w:rPr>
            </w:pPr>
            <w:r w:rsidRPr="00A82BE5">
              <w:rPr>
                <w:rFonts w:eastAsia="MS Mincho"/>
                <w:color w:val="000000"/>
                <w:sz w:val="18"/>
                <w:szCs w:val="18"/>
                <w:lang w:eastAsia="de-DE"/>
              </w:rPr>
              <w:t>Afghanistan</w:t>
            </w:r>
          </w:p>
        </w:tc>
        <w:tc>
          <w:tcPr>
            <w:tcW w:w="1842" w:type="dxa"/>
            <w:tcBorders>
              <w:top w:val="single" w:sz="12" w:space="0" w:color="auto"/>
              <w:left w:val="nil"/>
              <w:bottom w:val="nil"/>
              <w:right w:val="nil"/>
            </w:tcBorders>
            <w:vAlign w:val="bottom"/>
          </w:tcPr>
          <w:p w14:paraId="4BC86C0F"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0.005</w:t>
            </w:r>
          </w:p>
        </w:tc>
        <w:tc>
          <w:tcPr>
            <w:tcW w:w="1701" w:type="dxa"/>
            <w:tcBorders>
              <w:top w:val="single" w:sz="12" w:space="0" w:color="auto"/>
              <w:left w:val="nil"/>
              <w:bottom w:val="nil"/>
              <w:right w:val="nil"/>
            </w:tcBorders>
            <w:vAlign w:val="bottom"/>
          </w:tcPr>
          <w:p w14:paraId="4BC86C1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0.005</w:t>
            </w:r>
          </w:p>
        </w:tc>
        <w:tc>
          <w:tcPr>
            <w:tcW w:w="1983" w:type="dxa"/>
            <w:tcBorders>
              <w:top w:val="single" w:sz="12" w:space="0" w:color="auto"/>
              <w:left w:val="nil"/>
              <w:bottom w:val="nil"/>
              <w:right w:val="nil"/>
            </w:tcBorders>
            <w:vAlign w:val="bottom"/>
          </w:tcPr>
          <w:p w14:paraId="4BC86C1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0.005</w:t>
            </w:r>
          </w:p>
        </w:tc>
      </w:tr>
      <w:tr w:rsidR="005140C3" w:rsidRPr="00A82BE5" w14:paraId="4BC86C17" w14:textId="77777777" w:rsidTr="009F3C26">
        <w:trPr>
          <w:trHeight w:val="248"/>
          <w:jc w:val="center"/>
        </w:trPr>
        <w:tc>
          <w:tcPr>
            <w:tcW w:w="4113" w:type="dxa"/>
            <w:tcBorders>
              <w:top w:val="nil"/>
              <w:left w:val="nil"/>
              <w:bottom w:val="nil"/>
              <w:right w:val="nil"/>
            </w:tcBorders>
            <w:vAlign w:val="center"/>
          </w:tcPr>
          <w:p w14:paraId="4BC86C13" w14:textId="77777777" w:rsidR="005140C3" w:rsidRPr="00A82BE5" w:rsidRDefault="005140C3" w:rsidP="009F3C26">
            <w:pPr>
              <w:suppressAutoHyphens w:val="0"/>
              <w:spacing w:line="240" w:lineRule="auto"/>
              <w:rPr>
                <w:rFonts w:eastAsia="Arial Unicode MS"/>
                <w:color w:val="000000"/>
                <w:sz w:val="18"/>
                <w:szCs w:val="18"/>
                <w:lang w:eastAsia="de-DE"/>
              </w:rPr>
            </w:pPr>
            <w:r w:rsidRPr="00A82BE5">
              <w:rPr>
                <w:rFonts w:eastAsia="MS Mincho"/>
                <w:color w:val="000000"/>
                <w:sz w:val="18"/>
                <w:szCs w:val="18"/>
                <w:lang w:eastAsia="de-DE"/>
              </w:rPr>
              <w:t>Albania</w:t>
            </w:r>
          </w:p>
        </w:tc>
        <w:tc>
          <w:tcPr>
            <w:tcW w:w="1842" w:type="dxa"/>
            <w:tcBorders>
              <w:top w:val="nil"/>
              <w:left w:val="nil"/>
              <w:bottom w:val="nil"/>
              <w:right w:val="nil"/>
            </w:tcBorders>
            <w:vAlign w:val="bottom"/>
          </w:tcPr>
          <w:p w14:paraId="4BC86C14"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0.010</w:t>
            </w:r>
          </w:p>
        </w:tc>
        <w:tc>
          <w:tcPr>
            <w:tcW w:w="1701" w:type="dxa"/>
            <w:tcBorders>
              <w:top w:val="nil"/>
              <w:left w:val="nil"/>
              <w:bottom w:val="nil"/>
              <w:right w:val="nil"/>
            </w:tcBorders>
            <w:vAlign w:val="bottom"/>
          </w:tcPr>
          <w:p w14:paraId="4BC86C1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c>
          <w:tcPr>
            <w:tcW w:w="1983" w:type="dxa"/>
            <w:tcBorders>
              <w:top w:val="nil"/>
              <w:left w:val="nil"/>
              <w:bottom w:val="nil"/>
              <w:right w:val="nil"/>
            </w:tcBorders>
            <w:vAlign w:val="bottom"/>
          </w:tcPr>
          <w:p w14:paraId="4BC86C1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r>
      <w:tr w:rsidR="005140C3" w:rsidRPr="00A82BE5" w14:paraId="4BC86C1C" w14:textId="77777777" w:rsidTr="009F3C26">
        <w:trPr>
          <w:trHeight w:val="248"/>
          <w:jc w:val="center"/>
        </w:trPr>
        <w:tc>
          <w:tcPr>
            <w:tcW w:w="4113" w:type="dxa"/>
            <w:tcBorders>
              <w:top w:val="nil"/>
              <w:left w:val="nil"/>
              <w:bottom w:val="nil"/>
              <w:right w:val="nil"/>
            </w:tcBorders>
            <w:vAlign w:val="center"/>
          </w:tcPr>
          <w:p w14:paraId="4BC86C18" w14:textId="77777777" w:rsidR="005140C3" w:rsidRPr="00A82BE5" w:rsidRDefault="005140C3" w:rsidP="009F3C26">
            <w:pPr>
              <w:suppressAutoHyphens w:val="0"/>
              <w:spacing w:line="240" w:lineRule="auto"/>
              <w:rPr>
                <w:rFonts w:eastAsia="Arial Unicode MS"/>
                <w:color w:val="000000"/>
                <w:sz w:val="18"/>
                <w:szCs w:val="18"/>
                <w:lang w:eastAsia="de-DE"/>
              </w:rPr>
            </w:pPr>
            <w:r w:rsidRPr="00A82BE5">
              <w:rPr>
                <w:rFonts w:eastAsia="MS Mincho"/>
                <w:color w:val="000000"/>
                <w:sz w:val="18"/>
                <w:szCs w:val="18"/>
                <w:lang w:eastAsia="de-DE"/>
              </w:rPr>
              <w:t>Algeria</w:t>
            </w:r>
          </w:p>
        </w:tc>
        <w:tc>
          <w:tcPr>
            <w:tcW w:w="1842" w:type="dxa"/>
            <w:tcBorders>
              <w:top w:val="nil"/>
              <w:left w:val="nil"/>
              <w:bottom w:val="nil"/>
              <w:right w:val="nil"/>
            </w:tcBorders>
            <w:vAlign w:val="bottom"/>
          </w:tcPr>
          <w:p w14:paraId="4BC86C19"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0.137</w:t>
            </w:r>
          </w:p>
        </w:tc>
        <w:tc>
          <w:tcPr>
            <w:tcW w:w="1701" w:type="dxa"/>
            <w:tcBorders>
              <w:top w:val="nil"/>
              <w:left w:val="nil"/>
              <w:bottom w:val="nil"/>
              <w:right w:val="nil"/>
            </w:tcBorders>
            <w:vAlign w:val="bottom"/>
          </w:tcPr>
          <w:p w14:paraId="4BC86C1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0.134</w:t>
            </w:r>
          </w:p>
        </w:tc>
        <w:tc>
          <w:tcPr>
            <w:tcW w:w="1983" w:type="dxa"/>
            <w:tcBorders>
              <w:top w:val="nil"/>
              <w:left w:val="nil"/>
              <w:bottom w:val="nil"/>
              <w:right w:val="nil"/>
            </w:tcBorders>
            <w:vAlign w:val="bottom"/>
          </w:tcPr>
          <w:p w14:paraId="4BC86C1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0.134</w:t>
            </w:r>
          </w:p>
        </w:tc>
      </w:tr>
      <w:tr w:rsidR="005140C3" w:rsidRPr="00A82BE5" w14:paraId="4BC86C21" w14:textId="77777777" w:rsidTr="009F3C26">
        <w:trPr>
          <w:trHeight w:val="248"/>
          <w:jc w:val="center"/>
        </w:trPr>
        <w:tc>
          <w:tcPr>
            <w:tcW w:w="4113" w:type="dxa"/>
            <w:tcBorders>
              <w:top w:val="nil"/>
              <w:left w:val="nil"/>
              <w:bottom w:val="nil"/>
              <w:right w:val="nil"/>
            </w:tcBorders>
            <w:vAlign w:val="center"/>
          </w:tcPr>
          <w:p w14:paraId="4BC86C1D" w14:textId="77777777" w:rsidR="005140C3" w:rsidRPr="00A82BE5" w:rsidRDefault="005140C3" w:rsidP="009F3C26">
            <w:pPr>
              <w:suppressAutoHyphens w:val="0"/>
              <w:spacing w:line="240" w:lineRule="auto"/>
              <w:rPr>
                <w:rFonts w:eastAsia="MS Mincho"/>
                <w:sz w:val="18"/>
                <w:szCs w:val="18"/>
                <w:lang w:eastAsia="de-DE"/>
              </w:rPr>
            </w:pPr>
            <w:r w:rsidRPr="00A82BE5">
              <w:rPr>
                <w:rFonts w:eastAsia="MS Mincho"/>
                <w:sz w:val="18"/>
                <w:szCs w:val="18"/>
                <w:lang w:eastAsia="de-DE"/>
              </w:rPr>
              <w:t>Andorra</w:t>
            </w:r>
          </w:p>
        </w:tc>
        <w:tc>
          <w:tcPr>
            <w:tcW w:w="1842" w:type="dxa"/>
            <w:tcBorders>
              <w:top w:val="nil"/>
              <w:left w:val="nil"/>
              <w:bottom w:val="nil"/>
              <w:right w:val="nil"/>
            </w:tcBorders>
            <w:vAlign w:val="bottom"/>
          </w:tcPr>
          <w:p w14:paraId="4BC86C1E"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0.008</w:t>
            </w:r>
          </w:p>
        </w:tc>
        <w:tc>
          <w:tcPr>
            <w:tcW w:w="1701" w:type="dxa"/>
            <w:tcBorders>
              <w:top w:val="nil"/>
              <w:left w:val="nil"/>
              <w:bottom w:val="nil"/>
              <w:right w:val="nil"/>
            </w:tcBorders>
            <w:vAlign w:val="bottom"/>
          </w:tcPr>
          <w:p w14:paraId="4BC86C1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0.008</w:t>
            </w:r>
          </w:p>
        </w:tc>
        <w:tc>
          <w:tcPr>
            <w:tcW w:w="1983" w:type="dxa"/>
            <w:tcBorders>
              <w:top w:val="nil"/>
              <w:left w:val="nil"/>
              <w:bottom w:val="nil"/>
              <w:right w:val="nil"/>
            </w:tcBorders>
            <w:vAlign w:val="bottom"/>
          </w:tcPr>
          <w:p w14:paraId="4BC86C2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0.008</w:t>
            </w:r>
          </w:p>
        </w:tc>
      </w:tr>
      <w:tr w:rsidR="005140C3" w:rsidRPr="00A82BE5" w14:paraId="4BC86C26" w14:textId="77777777" w:rsidTr="009F3C26">
        <w:trPr>
          <w:trHeight w:val="248"/>
          <w:jc w:val="center"/>
        </w:trPr>
        <w:tc>
          <w:tcPr>
            <w:tcW w:w="4113" w:type="dxa"/>
            <w:tcBorders>
              <w:top w:val="nil"/>
              <w:left w:val="nil"/>
              <w:bottom w:val="nil"/>
              <w:right w:val="nil"/>
            </w:tcBorders>
            <w:vAlign w:val="center"/>
          </w:tcPr>
          <w:p w14:paraId="4BC86C22" w14:textId="77777777" w:rsidR="005140C3" w:rsidRPr="00A82BE5" w:rsidRDefault="005140C3" w:rsidP="009F3C26">
            <w:pPr>
              <w:suppressAutoHyphens w:val="0"/>
              <w:spacing w:line="240" w:lineRule="auto"/>
              <w:rPr>
                <w:rFonts w:eastAsia="Arial Unicode MS"/>
                <w:color w:val="000000"/>
                <w:sz w:val="18"/>
                <w:szCs w:val="18"/>
                <w:lang w:eastAsia="de-DE"/>
              </w:rPr>
            </w:pPr>
            <w:r w:rsidRPr="00A82BE5">
              <w:rPr>
                <w:rFonts w:eastAsia="MS Mincho"/>
                <w:color w:val="000000"/>
                <w:sz w:val="18"/>
                <w:szCs w:val="18"/>
                <w:lang w:eastAsia="de-DE"/>
              </w:rPr>
              <w:t>Angola</w:t>
            </w:r>
          </w:p>
        </w:tc>
        <w:tc>
          <w:tcPr>
            <w:tcW w:w="1842" w:type="dxa"/>
            <w:tcBorders>
              <w:top w:val="nil"/>
              <w:left w:val="nil"/>
              <w:bottom w:val="nil"/>
              <w:right w:val="nil"/>
            </w:tcBorders>
            <w:vAlign w:val="bottom"/>
          </w:tcPr>
          <w:p w14:paraId="4BC86C23"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0.010</w:t>
            </w:r>
          </w:p>
        </w:tc>
        <w:tc>
          <w:tcPr>
            <w:tcW w:w="1701" w:type="dxa"/>
            <w:tcBorders>
              <w:top w:val="nil"/>
              <w:left w:val="nil"/>
              <w:bottom w:val="nil"/>
              <w:right w:val="nil"/>
            </w:tcBorders>
            <w:vAlign w:val="bottom"/>
          </w:tcPr>
          <w:p w14:paraId="4BC86C2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c>
          <w:tcPr>
            <w:tcW w:w="1983" w:type="dxa"/>
            <w:tcBorders>
              <w:top w:val="nil"/>
              <w:left w:val="nil"/>
              <w:bottom w:val="nil"/>
              <w:right w:val="nil"/>
            </w:tcBorders>
            <w:vAlign w:val="bottom"/>
          </w:tcPr>
          <w:p w14:paraId="4BC86C2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r>
      <w:tr w:rsidR="005140C3" w:rsidRPr="00A82BE5" w14:paraId="4BC86C2B" w14:textId="77777777" w:rsidTr="009F3C26">
        <w:trPr>
          <w:trHeight w:val="248"/>
          <w:jc w:val="center"/>
        </w:trPr>
        <w:tc>
          <w:tcPr>
            <w:tcW w:w="4113" w:type="dxa"/>
            <w:tcBorders>
              <w:top w:val="nil"/>
              <w:left w:val="nil"/>
              <w:bottom w:val="nil"/>
              <w:right w:val="nil"/>
            </w:tcBorders>
            <w:vAlign w:val="center"/>
          </w:tcPr>
          <w:p w14:paraId="4BC86C27"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Antigua and Barbuda</w:t>
            </w:r>
          </w:p>
        </w:tc>
        <w:tc>
          <w:tcPr>
            <w:tcW w:w="1842" w:type="dxa"/>
            <w:tcBorders>
              <w:top w:val="nil"/>
              <w:left w:val="nil"/>
              <w:bottom w:val="nil"/>
              <w:right w:val="nil"/>
            </w:tcBorders>
            <w:vAlign w:val="bottom"/>
          </w:tcPr>
          <w:p w14:paraId="4BC86C28"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0.002</w:t>
            </w:r>
          </w:p>
        </w:tc>
        <w:tc>
          <w:tcPr>
            <w:tcW w:w="1701" w:type="dxa"/>
            <w:tcBorders>
              <w:top w:val="nil"/>
              <w:left w:val="nil"/>
              <w:bottom w:val="nil"/>
              <w:right w:val="nil"/>
            </w:tcBorders>
            <w:vAlign w:val="bottom"/>
          </w:tcPr>
          <w:p w14:paraId="4BC86C2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c>
          <w:tcPr>
            <w:tcW w:w="1983" w:type="dxa"/>
            <w:tcBorders>
              <w:top w:val="nil"/>
              <w:left w:val="nil"/>
              <w:bottom w:val="nil"/>
              <w:right w:val="nil"/>
            </w:tcBorders>
            <w:vAlign w:val="bottom"/>
          </w:tcPr>
          <w:p w14:paraId="4BC86C2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r>
      <w:tr w:rsidR="005140C3" w:rsidRPr="00A82BE5" w14:paraId="4BC86C30" w14:textId="77777777" w:rsidTr="009F3C26">
        <w:trPr>
          <w:trHeight w:val="248"/>
          <w:jc w:val="center"/>
        </w:trPr>
        <w:tc>
          <w:tcPr>
            <w:tcW w:w="4113" w:type="dxa"/>
            <w:tcBorders>
              <w:top w:val="nil"/>
              <w:left w:val="nil"/>
              <w:bottom w:val="nil"/>
              <w:right w:val="nil"/>
            </w:tcBorders>
            <w:vAlign w:val="center"/>
          </w:tcPr>
          <w:p w14:paraId="4BC86C2C"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Argentina</w:t>
            </w:r>
          </w:p>
        </w:tc>
        <w:tc>
          <w:tcPr>
            <w:tcW w:w="1842" w:type="dxa"/>
            <w:tcBorders>
              <w:top w:val="nil"/>
              <w:left w:val="nil"/>
              <w:bottom w:val="nil"/>
              <w:right w:val="nil"/>
            </w:tcBorders>
            <w:vAlign w:val="bottom"/>
          </w:tcPr>
          <w:p w14:paraId="4BC86C2D"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0.432</w:t>
            </w:r>
          </w:p>
        </w:tc>
        <w:tc>
          <w:tcPr>
            <w:tcW w:w="1701" w:type="dxa"/>
            <w:tcBorders>
              <w:top w:val="nil"/>
              <w:left w:val="nil"/>
              <w:bottom w:val="nil"/>
              <w:right w:val="nil"/>
            </w:tcBorders>
            <w:vAlign w:val="bottom"/>
          </w:tcPr>
          <w:p w14:paraId="4BC86C2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0.421</w:t>
            </w:r>
          </w:p>
        </w:tc>
        <w:tc>
          <w:tcPr>
            <w:tcW w:w="1983" w:type="dxa"/>
            <w:tcBorders>
              <w:top w:val="nil"/>
              <w:left w:val="nil"/>
              <w:bottom w:val="nil"/>
              <w:right w:val="nil"/>
            </w:tcBorders>
            <w:vAlign w:val="bottom"/>
          </w:tcPr>
          <w:p w14:paraId="4BC86C2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0.421</w:t>
            </w:r>
          </w:p>
        </w:tc>
      </w:tr>
      <w:tr w:rsidR="005140C3" w:rsidRPr="00A82BE5" w14:paraId="4BC86C35" w14:textId="77777777" w:rsidTr="009F3C26">
        <w:trPr>
          <w:trHeight w:val="248"/>
          <w:jc w:val="center"/>
        </w:trPr>
        <w:tc>
          <w:tcPr>
            <w:tcW w:w="4113" w:type="dxa"/>
            <w:tcBorders>
              <w:top w:val="nil"/>
              <w:left w:val="nil"/>
              <w:bottom w:val="nil"/>
              <w:right w:val="nil"/>
            </w:tcBorders>
            <w:vAlign w:val="center"/>
          </w:tcPr>
          <w:p w14:paraId="4BC86C31"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Armenia</w:t>
            </w:r>
          </w:p>
        </w:tc>
        <w:tc>
          <w:tcPr>
            <w:tcW w:w="1842" w:type="dxa"/>
            <w:tcBorders>
              <w:top w:val="nil"/>
              <w:left w:val="nil"/>
              <w:bottom w:val="nil"/>
              <w:right w:val="nil"/>
            </w:tcBorders>
            <w:vAlign w:val="bottom"/>
          </w:tcPr>
          <w:p w14:paraId="4BC86C32"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0.007</w:t>
            </w:r>
          </w:p>
        </w:tc>
        <w:tc>
          <w:tcPr>
            <w:tcW w:w="1701" w:type="dxa"/>
            <w:tcBorders>
              <w:top w:val="nil"/>
              <w:left w:val="nil"/>
              <w:bottom w:val="nil"/>
              <w:right w:val="nil"/>
            </w:tcBorders>
            <w:vAlign w:val="bottom"/>
          </w:tcPr>
          <w:p w14:paraId="4BC86C3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0.007</w:t>
            </w:r>
          </w:p>
        </w:tc>
        <w:tc>
          <w:tcPr>
            <w:tcW w:w="1983" w:type="dxa"/>
            <w:tcBorders>
              <w:top w:val="nil"/>
              <w:left w:val="nil"/>
              <w:bottom w:val="nil"/>
              <w:right w:val="nil"/>
            </w:tcBorders>
            <w:vAlign w:val="bottom"/>
          </w:tcPr>
          <w:p w14:paraId="4BC86C3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0.007</w:t>
            </w:r>
          </w:p>
        </w:tc>
      </w:tr>
      <w:tr w:rsidR="005140C3" w:rsidRPr="00A82BE5" w14:paraId="4BC86C3A" w14:textId="77777777" w:rsidTr="009F3C26">
        <w:trPr>
          <w:trHeight w:val="248"/>
          <w:jc w:val="center"/>
        </w:trPr>
        <w:tc>
          <w:tcPr>
            <w:tcW w:w="4113" w:type="dxa"/>
            <w:tcBorders>
              <w:top w:val="nil"/>
              <w:left w:val="nil"/>
              <w:bottom w:val="nil"/>
              <w:right w:val="nil"/>
            </w:tcBorders>
            <w:vAlign w:val="center"/>
          </w:tcPr>
          <w:p w14:paraId="4BC86C36"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Australia</w:t>
            </w:r>
          </w:p>
        </w:tc>
        <w:tc>
          <w:tcPr>
            <w:tcW w:w="1842" w:type="dxa"/>
            <w:tcBorders>
              <w:top w:val="nil"/>
              <w:left w:val="nil"/>
              <w:bottom w:val="nil"/>
              <w:right w:val="nil"/>
            </w:tcBorders>
            <w:vAlign w:val="bottom"/>
          </w:tcPr>
          <w:p w14:paraId="4BC86C37"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2.074</w:t>
            </w:r>
          </w:p>
        </w:tc>
        <w:tc>
          <w:tcPr>
            <w:tcW w:w="1701" w:type="dxa"/>
            <w:tcBorders>
              <w:top w:val="nil"/>
              <w:left w:val="nil"/>
              <w:bottom w:val="nil"/>
              <w:right w:val="nil"/>
            </w:tcBorders>
            <w:vAlign w:val="bottom"/>
          </w:tcPr>
          <w:p w14:paraId="4BC86C3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2.022</w:t>
            </w:r>
          </w:p>
        </w:tc>
        <w:tc>
          <w:tcPr>
            <w:tcW w:w="1983" w:type="dxa"/>
            <w:tcBorders>
              <w:top w:val="nil"/>
              <w:left w:val="nil"/>
              <w:bottom w:val="nil"/>
              <w:right w:val="nil"/>
            </w:tcBorders>
            <w:vAlign w:val="bottom"/>
          </w:tcPr>
          <w:p w14:paraId="4BC86C3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2.022</w:t>
            </w:r>
          </w:p>
        </w:tc>
      </w:tr>
      <w:tr w:rsidR="005140C3" w:rsidRPr="00A82BE5" w14:paraId="4BC86C3F" w14:textId="77777777" w:rsidTr="009F3C26">
        <w:trPr>
          <w:trHeight w:val="248"/>
          <w:jc w:val="center"/>
        </w:trPr>
        <w:tc>
          <w:tcPr>
            <w:tcW w:w="4113" w:type="dxa"/>
            <w:tcBorders>
              <w:top w:val="nil"/>
              <w:left w:val="nil"/>
              <w:bottom w:val="nil"/>
              <w:right w:val="nil"/>
            </w:tcBorders>
            <w:vAlign w:val="center"/>
          </w:tcPr>
          <w:p w14:paraId="4BC86C3B"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Austria</w:t>
            </w:r>
          </w:p>
        </w:tc>
        <w:tc>
          <w:tcPr>
            <w:tcW w:w="1842" w:type="dxa"/>
            <w:tcBorders>
              <w:top w:val="nil"/>
              <w:left w:val="nil"/>
              <w:bottom w:val="nil"/>
              <w:right w:val="nil"/>
            </w:tcBorders>
            <w:vAlign w:val="bottom"/>
          </w:tcPr>
          <w:p w14:paraId="4BC86C3C"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0.798</w:t>
            </w:r>
          </w:p>
        </w:tc>
        <w:tc>
          <w:tcPr>
            <w:tcW w:w="1701" w:type="dxa"/>
            <w:tcBorders>
              <w:top w:val="nil"/>
              <w:left w:val="nil"/>
              <w:bottom w:val="nil"/>
              <w:right w:val="nil"/>
            </w:tcBorders>
            <w:vAlign w:val="bottom"/>
          </w:tcPr>
          <w:p w14:paraId="4BC86C3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0.778</w:t>
            </w:r>
          </w:p>
        </w:tc>
        <w:tc>
          <w:tcPr>
            <w:tcW w:w="1983" w:type="dxa"/>
            <w:tcBorders>
              <w:top w:val="nil"/>
              <w:left w:val="nil"/>
              <w:bottom w:val="nil"/>
              <w:right w:val="nil"/>
            </w:tcBorders>
            <w:vAlign w:val="bottom"/>
          </w:tcPr>
          <w:p w14:paraId="4BC86C3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0.778</w:t>
            </w:r>
          </w:p>
        </w:tc>
      </w:tr>
      <w:tr w:rsidR="005140C3" w:rsidRPr="00A82BE5" w14:paraId="4BC86C44" w14:textId="77777777" w:rsidTr="009F3C26">
        <w:trPr>
          <w:trHeight w:val="248"/>
          <w:jc w:val="center"/>
        </w:trPr>
        <w:tc>
          <w:tcPr>
            <w:tcW w:w="4113" w:type="dxa"/>
            <w:tcBorders>
              <w:top w:val="nil"/>
              <w:left w:val="nil"/>
              <w:bottom w:val="nil"/>
              <w:right w:val="nil"/>
            </w:tcBorders>
            <w:vAlign w:val="center"/>
          </w:tcPr>
          <w:p w14:paraId="4BC86C40"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Azerbaijan</w:t>
            </w:r>
          </w:p>
        </w:tc>
        <w:tc>
          <w:tcPr>
            <w:tcW w:w="1842" w:type="dxa"/>
            <w:tcBorders>
              <w:top w:val="nil"/>
              <w:left w:val="nil"/>
              <w:bottom w:val="nil"/>
              <w:right w:val="nil"/>
            </w:tcBorders>
            <w:vAlign w:val="bottom"/>
          </w:tcPr>
          <w:p w14:paraId="4BC86C41"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0.040</w:t>
            </w:r>
          </w:p>
        </w:tc>
        <w:tc>
          <w:tcPr>
            <w:tcW w:w="1701" w:type="dxa"/>
            <w:tcBorders>
              <w:top w:val="nil"/>
              <w:left w:val="nil"/>
              <w:bottom w:val="nil"/>
              <w:right w:val="nil"/>
            </w:tcBorders>
            <w:vAlign w:val="bottom"/>
          </w:tcPr>
          <w:p w14:paraId="4BC86C4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0.039</w:t>
            </w:r>
          </w:p>
        </w:tc>
        <w:tc>
          <w:tcPr>
            <w:tcW w:w="1983" w:type="dxa"/>
            <w:tcBorders>
              <w:top w:val="nil"/>
              <w:left w:val="nil"/>
              <w:bottom w:val="nil"/>
              <w:right w:val="nil"/>
            </w:tcBorders>
            <w:vAlign w:val="bottom"/>
          </w:tcPr>
          <w:p w14:paraId="4BC86C4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0.039</w:t>
            </w:r>
          </w:p>
        </w:tc>
      </w:tr>
      <w:tr w:rsidR="005140C3" w:rsidRPr="00A82BE5" w14:paraId="4BC86C49" w14:textId="77777777" w:rsidTr="009F3C26">
        <w:trPr>
          <w:trHeight w:val="248"/>
          <w:jc w:val="center"/>
        </w:trPr>
        <w:tc>
          <w:tcPr>
            <w:tcW w:w="4113" w:type="dxa"/>
            <w:tcBorders>
              <w:top w:val="nil"/>
              <w:left w:val="nil"/>
              <w:bottom w:val="nil"/>
              <w:right w:val="nil"/>
            </w:tcBorders>
            <w:vAlign w:val="center"/>
          </w:tcPr>
          <w:p w14:paraId="4BC86C45"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Bahamas</w:t>
            </w:r>
          </w:p>
        </w:tc>
        <w:tc>
          <w:tcPr>
            <w:tcW w:w="1842" w:type="dxa"/>
            <w:tcBorders>
              <w:top w:val="nil"/>
              <w:left w:val="nil"/>
              <w:bottom w:val="nil"/>
              <w:right w:val="nil"/>
            </w:tcBorders>
            <w:vAlign w:val="bottom"/>
          </w:tcPr>
          <w:p w14:paraId="4BC86C46"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0.017</w:t>
            </w:r>
          </w:p>
        </w:tc>
        <w:tc>
          <w:tcPr>
            <w:tcW w:w="1701" w:type="dxa"/>
            <w:tcBorders>
              <w:top w:val="nil"/>
              <w:left w:val="nil"/>
              <w:bottom w:val="nil"/>
              <w:right w:val="nil"/>
            </w:tcBorders>
            <w:vAlign w:val="bottom"/>
          </w:tcPr>
          <w:p w14:paraId="4BC86C4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0.017</w:t>
            </w:r>
          </w:p>
        </w:tc>
        <w:tc>
          <w:tcPr>
            <w:tcW w:w="1983" w:type="dxa"/>
            <w:tcBorders>
              <w:top w:val="nil"/>
              <w:left w:val="nil"/>
              <w:bottom w:val="nil"/>
              <w:right w:val="nil"/>
            </w:tcBorders>
            <w:vAlign w:val="bottom"/>
          </w:tcPr>
          <w:p w14:paraId="4BC86C4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0.017</w:t>
            </w:r>
          </w:p>
        </w:tc>
      </w:tr>
      <w:tr w:rsidR="005140C3" w:rsidRPr="00A82BE5" w14:paraId="4BC86C4E" w14:textId="77777777" w:rsidTr="009F3C26">
        <w:trPr>
          <w:trHeight w:val="248"/>
          <w:jc w:val="center"/>
        </w:trPr>
        <w:tc>
          <w:tcPr>
            <w:tcW w:w="4113" w:type="dxa"/>
            <w:tcBorders>
              <w:top w:val="nil"/>
              <w:left w:val="nil"/>
              <w:bottom w:val="nil"/>
              <w:right w:val="nil"/>
            </w:tcBorders>
            <w:vAlign w:val="center"/>
          </w:tcPr>
          <w:p w14:paraId="4BC86C4A"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Bahrain</w:t>
            </w:r>
          </w:p>
        </w:tc>
        <w:tc>
          <w:tcPr>
            <w:tcW w:w="1842" w:type="dxa"/>
            <w:tcBorders>
              <w:top w:val="nil"/>
              <w:left w:val="nil"/>
              <w:bottom w:val="nil"/>
              <w:right w:val="nil"/>
            </w:tcBorders>
            <w:vAlign w:val="bottom"/>
          </w:tcPr>
          <w:p w14:paraId="4BC86C4B"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0.039</w:t>
            </w:r>
          </w:p>
        </w:tc>
        <w:tc>
          <w:tcPr>
            <w:tcW w:w="1701" w:type="dxa"/>
            <w:tcBorders>
              <w:top w:val="nil"/>
              <w:left w:val="nil"/>
              <w:bottom w:val="nil"/>
              <w:right w:val="nil"/>
            </w:tcBorders>
            <w:vAlign w:val="bottom"/>
          </w:tcPr>
          <w:p w14:paraId="4BC86C4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0.038</w:t>
            </w:r>
          </w:p>
        </w:tc>
        <w:tc>
          <w:tcPr>
            <w:tcW w:w="1983" w:type="dxa"/>
            <w:tcBorders>
              <w:top w:val="nil"/>
              <w:left w:val="nil"/>
              <w:bottom w:val="nil"/>
              <w:right w:val="nil"/>
            </w:tcBorders>
            <w:vAlign w:val="bottom"/>
          </w:tcPr>
          <w:p w14:paraId="4BC86C4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0.038</w:t>
            </w:r>
          </w:p>
        </w:tc>
      </w:tr>
      <w:tr w:rsidR="005140C3" w:rsidRPr="00A82BE5" w14:paraId="4BC86C53" w14:textId="77777777" w:rsidTr="009F3C26">
        <w:trPr>
          <w:trHeight w:val="248"/>
          <w:jc w:val="center"/>
        </w:trPr>
        <w:tc>
          <w:tcPr>
            <w:tcW w:w="4113" w:type="dxa"/>
            <w:tcBorders>
              <w:top w:val="nil"/>
              <w:left w:val="nil"/>
              <w:bottom w:val="nil"/>
              <w:right w:val="nil"/>
            </w:tcBorders>
            <w:vAlign w:val="center"/>
          </w:tcPr>
          <w:p w14:paraId="4BC86C4F"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Bangladesh</w:t>
            </w:r>
          </w:p>
        </w:tc>
        <w:tc>
          <w:tcPr>
            <w:tcW w:w="1842" w:type="dxa"/>
            <w:tcBorders>
              <w:top w:val="nil"/>
              <w:left w:val="nil"/>
              <w:bottom w:val="nil"/>
              <w:right w:val="nil"/>
            </w:tcBorders>
            <w:vAlign w:val="bottom"/>
          </w:tcPr>
          <w:p w14:paraId="4BC86C50"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0.010</w:t>
            </w:r>
          </w:p>
        </w:tc>
        <w:tc>
          <w:tcPr>
            <w:tcW w:w="1701" w:type="dxa"/>
            <w:tcBorders>
              <w:top w:val="nil"/>
              <w:left w:val="nil"/>
              <w:bottom w:val="nil"/>
              <w:right w:val="nil"/>
            </w:tcBorders>
            <w:vAlign w:val="bottom"/>
          </w:tcPr>
          <w:p w14:paraId="4BC86C5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c>
          <w:tcPr>
            <w:tcW w:w="1983" w:type="dxa"/>
            <w:tcBorders>
              <w:top w:val="nil"/>
              <w:left w:val="nil"/>
              <w:bottom w:val="nil"/>
              <w:right w:val="nil"/>
            </w:tcBorders>
            <w:vAlign w:val="bottom"/>
          </w:tcPr>
          <w:p w14:paraId="4BC86C5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r>
      <w:tr w:rsidR="005140C3" w:rsidRPr="00A82BE5" w14:paraId="4BC86C58" w14:textId="77777777" w:rsidTr="009F3C26">
        <w:trPr>
          <w:trHeight w:val="248"/>
          <w:jc w:val="center"/>
        </w:trPr>
        <w:tc>
          <w:tcPr>
            <w:tcW w:w="4113" w:type="dxa"/>
            <w:tcBorders>
              <w:top w:val="nil"/>
              <w:left w:val="nil"/>
              <w:bottom w:val="nil"/>
              <w:right w:val="nil"/>
            </w:tcBorders>
            <w:vAlign w:val="center"/>
          </w:tcPr>
          <w:p w14:paraId="4BC86C54"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Barbados</w:t>
            </w:r>
          </w:p>
        </w:tc>
        <w:tc>
          <w:tcPr>
            <w:tcW w:w="1842" w:type="dxa"/>
            <w:tcBorders>
              <w:top w:val="nil"/>
              <w:left w:val="nil"/>
              <w:bottom w:val="nil"/>
              <w:right w:val="nil"/>
            </w:tcBorders>
            <w:vAlign w:val="bottom"/>
          </w:tcPr>
          <w:p w14:paraId="4BC86C55"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0.008</w:t>
            </w:r>
          </w:p>
        </w:tc>
        <w:tc>
          <w:tcPr>
            <w:tcW w:w="1701" w:type="dxa"/>
            <w:tcBorders>
              <w:top w:val="nil"/>
              <w:left w:val="nil"/>
              <w:bottom w:val="nil"/>
              <w:right w:val="nil"/>
            </w:tcBorders>
            <w:vAlign w:val="bottom"/>
          </w:tcPr>
          <w:p w14:paraId="4BC86C5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0.008</w:t>
            </w:r>
          </w:p>
        </w:tc>
        <w:tc>
          <w:tcPr>
            <w:tcW w:w="1983" w:type="dxa"/>
            <w:tcBorders>
              <w:top w:val="nil"/>
              <w:left w:val="nil"/>
              <w:bottom w:val="nil"/>
              <w:right w:val="nil"/>
            </w:tcBorders>
            <w:vAlign w:val="bottom"/>
          </w:tcPr>
          <w:p w14:paraId="4BC86C5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0.008</w:t>
            </w:r>
          </w:p>
        </w:tc>
      </w:tr>
      <w:tr w:rsidR="005140C3" w:rsidRPr="00A82BE5" w14:paraId="4BC86C5D" w14:textId="77777777" w:rsidTr="009F3C26">
        <w:trPr>
          <w:trHeight w:val="248"/>
          <w:jc w:val="center"/>
        </w:trPr>
        <w:tc>
          <w:tcPr>
            <w:tcW w:w="4113" w:type="dxa"/>
            <w:tcBorders>
              <w:top w:val="nil"/>
              <w:left w:val="nil"/>
              <w:bottom w:val="nil"/>
              <w:right w:val="nil"/>
            </w:tcBorders>
            <w:vAlign w:val="center"/>
          </w:tcPr>
          <w:p w14:paraId="4BC86C59"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Belarus</w:t>
            </w:r>
          </w:p>
        </w:tc>
        <w:tc>
          <w:tcPr>
            <w:tcW w:w="1842" w:type="dxa"/>
            <w:tcBorders>
              <w:top w:val="nil"/>
              <w:left w:val="nil"/>
              <w:bottom w:val="nil"/>
              <w:right w:val="nil"/>
            </w:tcBorders>
            <w:vAlign w:val="bottom"/>
          </w:tcPr>
          <w:p w14:paraId="4BC86C5A"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0.056</w:t>
            </w:r>
          </w:p>
        </w:tc>
        <w:tc>
          <w:tcPr>
            <w:tcW w:w="1701" w:type="dxa"/>
            <w:tcBorders>
              <w:top w:val="nil"/>
              <w:left w:val="nil"/>
              <w:bottom w:val="nil"/>
              <w:right w:val="nil"/>
            </w:tcBorders>
            <w:vAlign w:val="bottom"/>
          </w:tcPr>
          <w:p w14:paraId="4BC86C5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0.055</w:t>
            </w:r>
          </w:p>
        </w:tc>
        <w:tc>
          <w:tcPr>
            <w:tcW w:w="1983" w:type="dxa"/>
            <w:tcBorders>
              <w:top w:val="nil"/>
              <w:left w:val="nil"/>
              <w:bottom w:val="nil"/>
              <w:right w:val="nil"/>
            </w:tcBorders>
            <w:vAlign w:val="bottom"/>
          </w:tcPr>
          <w:p w14:paraId="4BC86C5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0.055</w:t>
            </w:r>
          </w:p>
        </w:tc>
      </w:tr>
      <w:tr w:rsidR="005140C3" w:rsidRPr="00A82BE5" w14:paraId="4BC86C62" w14:textId="77777777" w:rsidTr="009F3C26">
        <w:trPr>
          <w:trHeight w:val="248"/>
          <w:jc w:val="center"/>
        </w:trPr>
        <w:tc>
          <w:tcPr>
            <w:tcW w:w="4113" w:type="dxa"/>
            <w:tcBorders>
              <w:top w:val="nil"/>
              <w:left w:val="nil"/>
              <w:bottom w:val="nil"/>
              <w:right w:val="nil"/>
            </w:tcBorders>
            <w:vAlign w:val="center"/>
          </w:tcPr>
          <w:p w14:paraId="4BC86C5E"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Belgium</w:t>
            </w:r>
          </w:p>
        </w:tc>
        <w:tc>
          <w:tcPr>
            <w:tcW w:w="1842" w:type="dxa"/>
            <w:tcBorders>
              <w:top w:val="nil"/>
              <w:left w:val="nil"/>
              <w:bottom w:val="nil"/>
              <w:right w:val="nil"/>
            </w:tcBorders>
            <w:vAlign w:val="bottom"/>
          </w:tcPr>
          <w:p w14:paraId="4BC86C5F"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0.998</w:t>
            </w:r>
          </w:p>
        </w:tc>
        <w:tc>
          <w:tcPr>
            <w:tcW w:w="1701" w:type="dxa"/>
            <w:tcBorders>
              <w:top w:val="nil"/>
              <w:left w:val="nil"/>
              <w:bottom w:val="nil"/>
              <w:right w:val="nil"/>
            </w:tcBorders>
            <w:vAlign w:val="bottom"/>
          </w:tcPr>
          <w:p w14:paraId="4BC86C6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0.973</w:t>
            </w:r>
          </w:p>
        </w:tc>
        <w:tc>
          <w:tcPr>
            <w:tcW w:w="1983" w:type="dxa"/>
            <w:tcBorders>
              <w:top w:val="nil"/>
              <w:left w:val="nil"/>
              <w:bottom w:val="nil"/>
              <w:right w:val="nil"/>
            </w:tcBorders>
            <w:vAlign w:val="bottom"/>
          </w:tcPr>
          <w:p w14:paraId="4BC86C6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0.973</w:t>
            </w:r>
          </w:p>
        </w:tc>
      </w:tr>
      <w:tr w:rsidR="005140C3" w:rsidRPr="00A82BE5" w14:paraId="4BC86C67" w14:textId="77777777" w:rsidTr="009F3C26">
        <w:trPr>
          <w:trHeight w:val="248"/>
          <w:jc w:val="center"/>
        </w:trPr>
        <w:tc>
          <w:tcPr>
            <w:tcW w:w="4113" w:type="dxa"/>
            <w:tcBorders>
              <w:top w:val="nil"/>
              <w:left w:val="nil"/>
              <w:bottom w:val="nil"/>
              <w:right w:val="nil"/>
            </w:tcBorders>
            <w:vAlign w:val="center"/>
          </w:tcPr>
          <w:p w14:paraId="4BC86C63"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Belize</w:t>
            </w:r>
          </w:p>
        </w:tc>
        <w:tc>
          <w:tcPr>
            <w:tcW w:w="1842" w:type="dxa"/>
            <w:tcBorders>
              <w:top w:val="nil"/>
              <w:left w:val="nil"/>
              <w:bottom w:val="nil"/>
              <w:right w:val="nil"/>
            </w:tcBorders>
            <w:vAlign w:val="bottom"/>
          </w:tcPr>
          <w:p w14:paraId="4BC86C64"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C6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C6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C6C" w14:textId="77777777" w:rsidTr="009F3C26">
        <w:trPr>
          <w:trHeight w:val="248"/>
          <w:jc w:val="center"/>
        </w:trPr>
        <w:tc>
          <w:tcPr>
            <w:tcW w:w="4113" w:type="dxa"/>
            <w:tcBorders>
              <w:top w:val="nil"/>
              <w:left w:val="nil"/>
              <w:bottom w:val="nil"/>
              <w:right w:val="nil"/>
            </w:tcBorders>
            <w:vAlign w:val="center"/>
          </w:tcPr>
          <w:p w14:paraId="4BC86C68"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Benin</w:t>
            </w:r>
          </w:p>
        </w:tc>
        <w:tc>
          <w:tcPr>
            <w:tcW w:w="1842" w:type="dxa"/>
            <w:tcBorders>
              <w:top w:val="nil"/>
              <w:left w:val="nil"/>
              <w:bottom w:val="nil"/>
              <w:right w:val="nil"/>
            </w:tcBorders>
            <w:vAlign w:val="bottom"/>
          </w:tcPr>
          <w:p w14:paraId="4BC86C69"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0.003</w:t>
            </w:r>
          </w:p>
        </w:tc>
        <w:tc>
          <w:tcPr>
            <w:tcW w:w="1701" w:type="dxa"/>
            <w:tcBorders>
              <w:top w:val="nil"/>
              <w:left w:val="nil"/>
              <w:bottom w:val="nil"/>
              <w:right w:val="nil"/>
            </w:tcBorders>
            <w:vAlign w:val="bottom"/>
          </w:tcPr>
          <w:p w14:paraId="4BC86C6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c>
          <w:tcPr>
            <w:tcW w:w="1983" w:type="dxa"/>
            <w:tcBorders>
              <w:top w:val="nil"/>
              <w:left w:val="nil"/>
              <w:bottom w:val="nil"/>
              <w:right w:val="nil"/>
            </w:tcBorders>
            <w:vAlign w:val="bottom"/>
          </w:tcPr>
          <w:p w14:paraId="4BC86C6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r>
      <w:tr w:rsidR="005140C3" w:rsidRPr="00A82BE5" w14:paraId="4BC86C71" w14:textId="77777777" w:rsidTr="009F3C26">
        <w:trPr>
          <w:trHeight w:val="248"/>
          <w:jc w:val="center"/>
        </w:trPr>
        <w:tc>
          <w:tcPr>
            <w:tcW w:w="4113" w:type="dxa"/>
            <w:tcBorders>
              <w:top w:val="nil"/>
              <w:left w:val="nil"/>
              <w:bottom w:val="nil"/>
              <w:right w:val="nil"/>
            </w:tcBorders>
            <w:vAlign w:val="center"/>
          </w:tcPr>
          <w:p w14:paraId="4BC86C6D"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Bhutan</w:t>
            </w:r>
          </w:p>
        </w:tc>
        <w:tc>
          <w:tcPr>
            <w:tcW w:w="1842" w:type="dxa"/>
            <w:tcBorders>
              <w:top w:val="nil"/>
              <w:left w:val="nil"/>
              <w:bottom w:val="nil"/>
              <w:right w:val="nil"/>
            </w:tcBorders>
            <w:vAlign w:val="bottom"/>
          </w:tcPr>
          <w:p w14:paraId="4BC86C6E"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C6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C7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C76" w14:textId="77777777" w:rsidTr="009F3C26">
        <w:trPr>
          <w:trHeight w:val="248"/>
          <w:jc w:val="center"/>
        </w:trPr>
        <w:tc>
          <w:tcPr>
            <w:tcW w:w="4113" w:type="dxa"/>
            <w:tcBorders>
              <w:top w:val="nil"/>
              <w:left w:val="nil"/>
              <w:bottom w:val="nil"/>
              <w:right w:val="nil"/>
            </w:tcBorders>
            <w:vAlign w:val="center"/>
          </w:tcPr>
          <w:p w14:paraId="4BC86C72"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Bolivia (Plurinational State of)</w:t>
            </w:r>
          </w:p>
        </w:tc>
        <w:tc>
          <w:tcPr>
            <w:tcW w:w="1842" w:type="dxa"/>
            <w:tcBorders>
              <w:top w:val="nil"/>
              <w:left w:val="nil"/>
              <w:bottom w:val="nil"/>
              <w:right w:val="nil"/>
            </w:tcBorders>
            <w:vAlign w:val="bottom"/>
          </w:tcPr>
          <w:p w14:paraId="4BC86C73"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0.009</w:t>
            </w:r>
          </w:p>
        </w:tc>
        <w:tc>
          <w:tcPr>
            <w:tcW w:w="1701" w:type="dxa"/>
            <w:tcBorders>
              <w:top w:val="nil"/>
              <w:left w:val="nil"/>
              <w:bottom w:val="nil"/>
              <w:right w:val="nil"/>
            </w:tcBorders>
            <w:vAlign w:val="bottom"/>
          </w:tcPr>
          <w:p w14:paraId="4BC86C7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0.009</w:t>
            </w:r>
          </w:p>
        </w:tc>
        <w:tc>
          <w:tcPr>
            <w:tcW w:w="1983" w:type="dxa"/>
            <w:tcBorders>
              <w:top w:val="nil"/>
              <w:left w:val="nil"/>
              <w:bottom w:val="nil"/>
              <w:right w:val="nil"/>
            </w:tcBorders>
            <w:vAlign w:val="bottom"/>
          </w:tcPr>
          <w:p w14:paraId="4BC86C7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0.009</w:t>
            </w:r>
          </w:p>
        </w:tc>
      </w:tr>
      <w:tr w:rsidR="005140C3" w:rsidRPr="00A82BE5" w14:paraId="4BC86C7B" w14:textId="77777777" w:rsidTr="009F3C26">
        <w:trPr>
          <w:trHeight w:val="248"/>
          <w:jc w:val="center"/>
        </w:trPr>
        <w:tc>
          <w:tcPr>
            <w:tcW w:w="4113" w:type="dxa"/>
            <w:tcBorders>
              <w:top w:val="nil"/>
              <w:left w:val="nil"/>
              <w:bottom w:val="nil"/>
              <w:right w:val="nil"/>
            </w:tcBorders>
            <w:vAlign w:val="center"/>
          </w:tcPr>
          <w:p w14:paraId="4BC86C77"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Bosnia and Herzegovina</w:t>
            </w:r>
          </w:p>
        </w:tc>
        <w:tc>
          <w:tcPr>
            <w:tcW w:w="1842" w:type="dxa"/>
            <w:tcBorders>
              <w:top w:val="nil"/>
              <w:left w:val="nil"/>
              <w:bottom w:val="nil"/>
              <w:right w:val="nil"/>
            </w:tcBorders>
            <w:vAlign w:val="bottom"/>
          </w:tcPr>
          <w:p w14:paraId="4BC86C78"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0.017</w:t>
            </w:r>
          </w:p>
        </w:tc>
        <w:tc>
          <w:tcPr>
            <w:tcW w:w="1701" w:type="dxa"/>
            <w:tcBorders>
              <w:top w:val="nil"/>
              <w:left w:val="nil"/>
              <w:bottom w:val="nil"/>
              <w:right w:val="nil"/>
            </w:tcBorders>
            <w:vAlign w:val="bottom"/>
          </w:tcPr>
          <w:p w14:paraId="4BC86C7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0.017</w:t>
            </w:r>
          </w:p>
        </w:tc>
        <w:tc>
          <w:tcPr>
            <w:tcW w:w="1983" w:type="dxa"/>
            <w:tcBorders>
              <w:top w:val="nil"/>
              <w:left w:val="nil"/>
              <w:bottom w:val="nil"/>
              <w:right w:val="nil"/>
            </w:tcBorders>
            <w:vAlign w:val="bottom"/>
          </w:tcPr>
          <w:p w14:paraId="4BC86C7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0.017</w:t>
            </w:r>
          </w:p>
        </w:tc>
      </w:tr>
      <w:tr w:rsidR="005140C3" w:rsidRPr="00A82BE5" w14:paraId="4BC86C80" w14:textId="77777777" w:rsidTr="009F3C26">
        <w:trPr>
          <w:trHeight w:val="248"/>
          <w:jc w:val="center"/>
        </w:trPr>
        <w:tc>
          <w:tcPr>
            <w:tcW w:w="4113" w:type="dxa"/>
            <w:tcBorders>
              <w:top w:val="nil"/>
              <w:left w:val="nil"/>
              <w:bottom w:val="nil"/>
              <w:right w:val="nil"/>
            </w:tcBorders>
            <w:vAlign w:val="center"/>
          </w:tcPr>
          <w:p w14:paraId="4BC86C7C"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Botswana</w:t>
            </w:r>
          </w:p>
        </w:tc>
        <w:tc>
          <w:tcPr>
            <w:tcW w:w="1842" w:type="dxa"/>
            <w:tcBorders>
              <w:top w:val="nil"/>
              <w:left w:val="nil"/>
              <w:bottom w:val="nil"/>
              <w:right w:val="nil"/>
            </w:tcBorders>
            <w:vAlign w:val="bottom"/>
          </w:tcPr>
          <w:p w14:paraId="4BC86C7D"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0.017</w:t>
            </w:r>
          </w:p>
        </w:tc>
        <w:tc>
          <w:tcPr>
            <w:tcW w:w="1701" w:type="dxa"/>
            <w:tcBorders>
              <w:top w:val="nil"/>
              <w:left w:val="nil"/>
              <w:bottom w:val="nil"/>
              <w:right w:val="nil"/>
            </w:tcBorders>
            <w:vAlign w:val="bottom"/>
          </w:tcPr>
          <w:p w14:paraId="4BC86C7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0.017</w:t>
            </w:r>
          </w:p>
        </w:tc>
        <w:tc>
          <w:tcPr>
            <w:tcW w:w="1983" w:type="dxa"/>
            <w:tcBorders>
              <w:top w:val="nil"/>
              <w:left w:val="nil"/>
              <w:bottom w:val="nil"/>
              <w:right w:val="nil"/>
            </w:tcBorders>
            <w:vAlign w:val="bottom"/>
          </w:tcPr>
          <w:p w14:paraId="4BC86C7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0.017</w:t>
            </w:r>
          </w:p>
        </w:tc>
      </w:tr>
      <w:tr w:rsidR="005140C3" w:rsidRPr="00A82BE5" w14:paraId="4BC86C85" w14:textId="77777777" w:rsidTr="009F3C26">
        <w:trPr>
          <w:trHeight w:val="248"/>
          <w:jc w:val="center"/>
        </w:trPr>
        <w:tc>
          <w:tcPr>
            <w:tcW w:w="4113" w:type="dxa"/>
            <w:tcBorders>
              <w:top w:val="nil"/>
              <w:left w:val="nil"/>
              <w:bottom w:val="nil"/>
              <w:right w:val="nil"/>
            </w:tcBorders>
            <w:vAlign w:val="center"/>
          </w:tcPr>
          <w:p w14:paraId="4BC86C81"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Brazil</w:t>
            </w:r>
          </w:p>
        </w:tc>
        <w:tc>
          <w:tcPr>
            <w:tcW w:w="1842" w:type="dxa"/>
            <w:tcBorders>
              <w:top w:val="nil"/>
              <w:left w:val="nil"/>
              <w:bottom w:val="nil"/>
              <w:right w:val="nil"/>
            </w:tcBorders>
            <w:vAlign w:val="bottom"/>
          </w:tcPr>
          <w:p w14:paraId="4BC86C82"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2.934</w:t>
            </w:r>
          </w:p>
        </w:tc>
        <w:tc>
          <w:tcPr>
            <w:tcW w:w="1701" w:type="dxa"/>
            <w:tcBorders>
              <w:top w:val="nil"/>
              <w:left w:val="nil"/>
              <w:bottom w:val="nil"/>
              <w:right w:val="nil"/>
            </w:tcBorders>
            <w:vAlign w:val="bottom"/>
          </w:tcPr>
          <w:p w14:paraId="4BC86C8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2.861</w:t>
            </w:r>
          </w:p>
        </w:tc>
        <w:tc>
          <w:tcPr>
            <w:tcW w:w="1983" w:type="dxa"/>
            <w:tcBorders>
              <w:top w:val="nil"/>
              <w:left w:val="nil"/>
              <w:bottom w:val="nil"/>
              <w:right w:val="nil"/>
            </w:tcBorders>
            <w:vAlign w:val="bottom"/>
          </w:tcPr>
          <w:p w14:paraId="4BC86C8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2.861</w:t>
            </w:r>
          </w:p>
        </w:tc>
      </w:tr>
      <w:tr w:rsidR="005140C3" w:rsidRPr="00A82BE5" w14:paraId="4BC86C8A" w14:textId="77777777" w:rsidTr="009F3C26">
        <w:trPr>
          <w:trHeight w:val="248"/>
          <w:jc w:val="center"/>
        </w:trPr>
        <w:tc>
          <w:tcPr>
            <w:tcW w:w="4113" w:type="dxa"/>
            <w:tcBorders>
              <w:top w:val="nil"/>
              <w:left w:val="nil"/>
              <w:bottom w:val="nil"/>
              <w:right w:val="nil"/>
            </w:tcBorders>
            <w:vAlign w:val="center"/>
          </w:tcPr>
          <w:p w14:paraId="4BC86C86" w14:textId="77777777" w:rsidR="005140C3" w:rsidRPr="00A82BE5" w:rsidRDefault="005140C3" w:rsidP="009F3C26">
            <w:pPr>
              <w:suppressAutoHyphens w:val="0"/>
              <w:spacing w:line="240" w:lineRule="auto"/>
              <w:ind w:left="360" w:hanging="360"/>
              <w:rPr>
                <w:rFonts w:eastAsia="MS Mincho"/>
                <w:color w:val="000000"/>
                <w:sz w:val="18"/>
                <w:szCs w:val="18"/>
                <w:lang w:eastAsia="de-DE"/>
              </w:rPr>
            </w:pPr>
            <w:r w:rsidRPr="00A82BE5">
              <w:rPr>
                <w:rFonts w:eastAsia="MS Mincho"/>
                <w:color w:val="000000"/>
                <w:sz w:val="18"/>
                <w:szCs w:val="18"/>
                <w:lang w:eastAsia="de-DE"/>
              </w:rPr>
              <w:t>Brunei Darussalam</w:t>
            </w:r>
          </w:p>
        </w:tc>
        <w:tc>
          <w:tcPr>
            <w:tcW w:w="1842" w:type="dxa"/>
            <w:tcBorders>
              <w:top w:val="nil"/>
              <w:left w:val="nil"/>
              <w:bottom w:val="nil"/>
              <w:right w:val="nil"/>
            </w:tcBorders>
            <w:vAlign w:val="bottom"/>
          </w:tcPr>
          <w:p w14:paraId="4BC86C87"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0.026</w:t>
            </w:r>
          </w:p>
        </w:tc>
        <w:tc>
          <w:tcPr>
            <w:tcW w:w="1701" w:type="dxa"/>
            <w:tcBorders>
              <w:top w:val="nil"/>
              <w:left w:val="nil"/>
              <w:bottom w:val="nil"/>
              <w:right w:val="nil"/>
            </w:tcBorders>
            <w:vAlign w:val="bottom"/>
          </w:tcPr>
          <w:p w14:paraId="4BC86C8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0.025</w:t>
            </w:r>
          </w:p>
        </w:tc>
        <w:tc>
          <w:tcPr>
            <w:tcW w:w="1983" w:type="dxa"/>
            <w:tcBorders>
              <w:top w:val="nil"/>
              <w:left w:val="nil"/>
              <w:bottom w:val="nil"/>
              <w:right w:val="nil"/>
            </w:tcBorders>
            <w:vAlign w:val="bottom"/>
          </w:tcPr>
          <w:p w14:paraId="4BC86C8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0.025</w:t>
            </w:r>
          </w:p>
        </w:tc>
      </w:tr>
      <w:tr w:rsidR="005140C3" w:rsidRPr="00A82BE5" w14:paraId="4BC86C8F" w14:textId="77777777" w:rsidTr="009F3C26">
        <w:trPr>
          <w:trHeight w:val="248"/>
          <w:jc w:val="center"/>
        </w:trPr>
        <w:tc>
          <w:tcPr>
            <w:tcW w:w="4113" w:type="dxa"/>
            <w:tcBorders>
              <w:top w:val="nil"/>
              <w:left w:val="nil"/>
              <w:bottom w:val="nil"/>
              <w:right w:val="nil"/>
            </w:tcBorders>
            <w:vAlign w:val="center"/>
          </w:tcPr>
          <w:p w14:paraId="4BC86C8B"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Bulgaria</w:t>
            </w:r>
          </w:p>
        </w:tc>
        <w:tc>
          <w:tcPr>
            <w:tcW w:w="1842" w:type="dxa"/>
            <w:tcBorders>
              <w:top w:val="nil"/>
              <w:left w:val="nil"/>
              <w:bottom w:val="nil"/>
              <w:right w:val="nil"/>
            </w:tcBorders>
            <w:vAlign w:val="bottom"/>
          </w:tcPr>
          <w:p w14:paraId="4BC86C8C"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0.047</w:t>
            </w:r>
          </w:p>
        </w:tc>
        <w:tc>
          <w:tcPr>
            <w:tcW w:w="1701" w:type="dxa"/>
            <w:tcBorders>
              <w:top w:val="nil"/>
              <w:left w:val="nil"/>
              <w:bottom w:val="nil"/>
              <w:right w:val="nil"/>
            </w:tcBorders>
            <w:vAlign w:val="bottom"/>
          </w:tcPr>
          <w:p w14:paraId="4BC86C8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0.046</w:t>
            </w:r>
          </w:p>
        </w:tc>
        <w:tc>
          <w:tcPr>
            <w:tcW w:w="1983" w:type="dxa"/>
            <w:tcBorders>
              <w:top w:val="nil"/>
              <w:left w:val="nil"/>
              <w:bottom w:val="nil"/>
              <w:right w:val="nil"/>
            </w:tcBorders>
            <w:vAlign w:val="bottom"/>
          </w:tcPr>
          <w:p w14:paraId="4BC86C8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0.046</w:t>
            </w:r>
          </w:p>
        </w:tc>
      </w:tr>
      <w:tr w:rsidR="005140C3" w:rsidRPr="00A82BE5" w14:paraId="4BC86C94" w14:textId="77777777" w:rsidTr="009F3C26">
        <w:trPr>
          <w:trHeight w:val="248"/>
          <w:jc w:val="center"/>
        </w:trPr>
        <w:tc>
          <w:tcPr>
            <w:tcW w:w="4113" w:type="dxa"/>
            <w:tcBorders>
              <w:top w:val="nil"/>
              <w:left w:val="nil"/>
              <w:bottom w:val="nil"/>
              <w:right w:val="nil"/>
            </w:tcBorders>
            <w:vAlign w:val="center"/>
          </w:tcPr>
          <w:p w14:paraId="4BC86C90"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Burkina Faso</w:t>
            </w:r>
          </w:p>
        </w:tc>
        <w:tc>
          <w:tcPr>
            <w:tcW w:w="1842" w:type="dxa"/>
            <w:tcBorders>
              <w:top w:val="nil"/>
              <w:left w:val="nil"/>
              <w:bottom w:val="nil"/>
              <w:right w:val="nil"/>
            </w:tcBorders>
            <w:vAlign w:val="bottom"/>
          </w:tcPr>
          <w:p w14:paraId="4BC86C91"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0.003</w:t>
            </w:r>
          </w:p>
        </w:tc>
        <w:tc>
          <w:tcPr>
            <w:tcW w:w="1701" w:type="dxa"/>
            <w:tcBorders>
              <w:top w:val="nil"/>
              <w:left w:val="nil"/>
              <w:bottom w:val="nil"/>
              <w:right w:val="nil"/>
            </w:tcBorders>
            <w:vAlign w:val="bottom"/>
          </w:tcPr>
          <w:p w14:paraId="4BC86C9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c>
          <w:tcPr>
            <w:tcW w:w="1983" w:type="dxa"/>
            <w:tcBorders>
              <w:top w:val="nil"/>
              <w:left w:val="nil"/>
              <w:bottom w:val="nil"/>
              <w:right w:val="nil"/>
            </w:tcBorders>
            <w:vAlign w:val="bottom"/>
          </w:tcPr>
          <w:p w14:paraId="4BC86C9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r>
      <w:tr w:rsidR="005140C3" w:rsidRPr="00A82BE5" w14:paraId="4BC86C99" w14:textId="77777777" w:rsidTr="009F3C26">
        <w:trPr>
          <w:trHeight w:val="248"/>
          <w:jc w:val="center"/>
        </w:trPr>
        <w:tc>
          <w:tcPr>
            <w:tcW w:w="4113" w:type="dxa"/>
            <w:tcBorders>
              <w:top w:val="nil"/>
              <w:left w:val="nil"/>
              <w:bottom w:val="nil"/>
              <w:right w:val="nil"/>
            </w:tcBorders>
            <w:vAlign w:val="center"/>
          </w:tcPr>
          <w:p w14:paraId="4BC86C95"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Burundi</w:t>
            </w:r>
          </w:p>
        </w:tc>
        <w:tc>
          <w:tcPr>
            <w:tcW w:w="1842" w:type="dxa"/>
            <w:tcBorders>
              <w:top w:val="nil"/>
              <w:left w:val="nil"/>
              <w:bottom w:val="nil"/>
              <w:right w:val="nil"/>
            </w:tcBorders>
            <w:vAlign w:val="bottom"/>
          </w:tcPr>
          <w:p w14:paraId="4BC86C96"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C9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C9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C9E" w14:textId="77777777" w:rsidTr="009F3C26">
        <w:trPr>
          <w:trHeight w:val="248"/>
          <w:jc w:val="center"/>
        </w:trPr>
        <w:tc>
          <w:tcPr>
            <w:tcW w:w="4113" w:type="dxa"/>
            <w:tcBorders>
              <w:top w:val="nil"/>
              <w:left w:val="nil"/>
              <w:bottom w:val="nil"/>
              <w:right w:val="nil"/>
            </w:tcBorders>
            <w:vAlign w:val="center"/>
          </w:tcPr>
          <w:p w14:paraId="4BC86C9A" w14:textId="77777777" w:rsidR="005140C3" w:rsidRPr="00A82BE5" w:rsidRDefault="005140C3" w:rsidP="009F3C26">
            <w:pPr>
              <w:suppressAutoHyphens w:val="0"/>
              <w:spacing w:line="240" w:lineRule="auto"/>
              <w:ind w:left="360" w:hanging="360"/>
              <w:rPr>
                <w:rFonts w:eastAsia="MS Mincho"/>
                <w:color w:val="000000"/>
                <w:sz w:val="18"/>
                <w:szCs w:val="18"/>
                <w:lang w:eastAsia="de-DE"/>
              </w:rPr>
            </w:pPr>
            <w:r w:rsidRPr="00A82BE5">
              <w:rPr>
                <w:rFonts w:eastAsia="MS Mincho"/>
                <w:color w:val="000000"/>
                <w:sz w:val="18"/>
                <w:szCs w:val="18"/>
                <w:lang w:eastAsia="de-DE"/>
              </w:rPr>
              <w:t>Cabo Verde</w:t>
            </w:r>
          </w:p>
        </w:tc>
        <w:tc>
          <w:tcPr>
            <w:tcW w:w="1842" w:type="dxa"/>
            <w:tcBorders>
              <w:top w:val="nil"/>
              <w:left w:val="nil"/>
              <w:bottom w:val="nil"/>
              <w:right w:val="nil"/>
            </w:tcBorders>
            <w:vAlign w:val="bottom"/>
          </w:tcPr>
          <w:p w14:paraId="4BC86C9B"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C9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C9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CA3" w14:textId="77777777" w:rsidTr="009F3C26">
        <w:trPr>
          <w:trHeight w:val="248"/>
          <w:jc w:val="center"/>
        </w:trPr>
        <w:tc>
          <w:tcPr>
            <w:tcW w:w="4113" w:type="dxa"/>
            <w:tcBorders>
              <w:top w:val="nil"/>
              <w:left w:val="nil"/>
              <w:bottom w:val="nil"/>
              <w:right w:val="nil"/>
            </w:tcBorders>
            <w:vAlign w:val="center"/>
          </w:tcPr>
          <w:p w14:paraId="4BC86C9F"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Cambodia</w:t>
            </w:r>
          </w:p>
        </w:tc>
        <w:tc>
          <w:tcPr>
            <w:tcW w:w="1842" w:type="dxa"/>
            <w:tcBorders>
              <w:top w:val="nil"/>
              <w:left w:val="nil"/>
              <w:bottom w:val="nil"/>
              <w:right w:val="nil"/>
            </w:tcBorders>
            <w:vAlign w:val="bottom"/>
          </w:tcPr>
          <w:p w14:paraId="4BC86CA0"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0.004</w:t>
            </w:r>
          </w:p>
        </w:tc>
        <w:tc>
          <w:tcPr>
            <w:tcW w:w="1701" w:type="dxa"/>
            <w:tcBorders>
              <w:top w:val="nil"/>
              <w:left w:val="nil"/>
              <w:bottom w:val="nil"/>
              <w:right w:val="nil"/>
            </w:tcBorders>
            <w:vAlign w:val="bottom"/>
          </w:tcPr>
          <w:p w14:paraId="4BC86CA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0.004</w:t>
            </w:r>
          </w:p>
        </w:tc>
        <w:tc>
          <w:tcPr>
            <w:tcW w:w="1983" w:type="dxa"/>
            <w:tcBorders>
              <w:top w:val="nil"/>
              <w:left w:val="nil"/>
              <w:bottom w:val="nil"/>
              <w:right w:val="nil"/>
            </w:tcBorders>
            <w:vAlign w:val="bottom"/>
          </w:tcPr>
          <w:p w14:paraId="4BC86CA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0.004</w:t>
            </w:r>
          </w:p>
        </w:tc>
      </w:tr>
      <w:tr w:rsidR="005140C3" w:rsidRPr="00A82BE5" w14:paraId="4BC86CA8" w14:textId="77777777" w:rsidTr="009F3C26">
        <w:trPr>
          <w:trHeight w:val="248"/>
          <w:jc w:val="center"/>
        </w:trPr>
        <w:tc>
          <w:tcPr>
            <w:tcW w:w="4113" w:type="dxa"/>
            <w:tcBorders>
              <w:top w:val="nil"/>
              <w:left w:val="nil"/>
              <w:bottom w:val="nil"/>
              <w:right w:val="nil"/>
            </w:tcBorders>
            <w:vAlign w:val="center"/>
          </w:tcPr>
          <w:p w14:paraId="4BC86CA4"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Cameroon</w:t>
            </w:r>
          </w:p>
        </w:tc>
        <w:tc>
          <w:tcPr>
            <w:tcW w:w="1842" w:type="dxa"/>
            <w:tcBorders>
              <w:top w:val="nil"/>
              <w:left w:val="nil"/>
              <w:bottom w:val="nil"/>
              <w:right w:val="nil"/>
            </w:tcBorders>
            <w:vAlign w:val="bottom"/>
          </w:tcPr>
          <w:p w14:paraId="4BC86CA5"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0.012</w:t>
            </w:r>
          </w:p>
        </w:tc>
        <w:tc>
          <w:tcPr>
            <w:tcW w:w="1701" w:type="dxa"/>
            <w:tcBorders>
              <w:top w:val="nil"/>
              <w:left w:val="nil"/>
              <w:bottom w:val="nil"/>
              <w:right w:val="nil"/>
            </w:tcBorders>
            <w:vAlign w:val="bottom"/>
          </w:tcPr>
          <w:p w14:paraId="4BC86CA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0.012</w:t>
            </w:r>
          </w:p>
        </w:tc>
        <w:tc>
          <w:tcPr>
            <w:tcW w:w="1983" w:type="dxa"/>
            <w:tcBorders>
              <w:top w:val="nil"/>
              <w:left w:val="nil"/>
              <w:bottom w:val="nil"/>
              <w:right w:val="nil"/>
            </w:tcBorders>
            <w:vAlign w:val="bottom"/>
          </w:tcPr>
          <w:p w14:paraId="4BC86CA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0.012</w:t>
            </w:r>
          </w:p>
        </w:tc>
      </w:tr>
      <w:tr w:rsidR="005140C3" w:rsidRPr="00A82BE5" w14:paraId="4BC86CAD" w14:textId="77777777" w:rsidTr="009F3C26">
        <w:trPr>
          <w:trHeight w:val="248"/>
          <w:jc w:val="center"/>
        </w:trPr>
        <w:tc>
          <w:tcPr>
            <w:tcW w:w="4113" w:type="dxa"/>
            <w:tcBorders>
              <w:top w:val="nil"/>
              <w:left w:val="nil"/>
              <w:bottom w:val="nil"/>
              <w:right w:val="nil"/>
            </w:tcBorders>
            <w:vAlign w:val="center"/>
          </w:tcPr>
          <w:p w14:paraId="4BC86CA9"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Canada</w:t>
            </w:r>
          </w:p>
        </w:tc>
        <w:tc>
          <w:tcPr>
            <w:tcW w:w="1842" w:type="dxa"/>
            <w:tcBorders>
              <w:top w:val="nil"/>
              <w:left w:val="nil"/>
              <w:bottom w:val="nil"/>
              <w:right w:val="nil"/>
            </w:tcBorders>
            <w:vAlign w:val="bottom"/>
          </w:tcPr>
          <w:p w14:paraId="4BC86CAA"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2.984</w:t>
            </w:r>
          </w:p>
        </w:tc>
        <w:tc>
          <w:tcPr>
            <w:tcW w:w="1701" w:type="dxa"/>
            <w:tcBorders>
              <w:top w:val="nil"/>
              <w:left w:val="nil"/>
              <w:bottom w:val="nil"/>
              <w:right w:val="nil"/>
            </w:tcBorders>
            <w:vAlign w:val="bottom"/>
          </w:tcPr>
          <w:p w14:paraId="4BC86CA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2.909</w:t>
            </w:r>
          </w:p>
        </w:tc>
        <w:tc>
          <w:tcPr>
            <w:tcW w:w="1983" w:type="dxa"/>
            <w:tcBorders>
              <w:top w:val="nil"/>
              <w:left w:val="nil"/>
              <w:bottom w:val="nil"/>
              <w:right w:val="nil"/>
            </w:tcBorders>
            <w:vAlign w:val="bottom"/>
          </w:tcPr>
          <w:p w14:paraId="4BC86CA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2.909</w:t>
            </w:r>
          </w:p>
        </w:tc>
      </w:tr>
      <w:tr w:rsidR="005140C3" w:rsidRPr="00A82BE5" w14:paraId="4BC86CB2" w14:textId="77777777" w:rsidTr="009F3C26">
        <w:trPr>
          <w:trHeight w:val="248"/>
          <w:jc w:val="center"/>
        </w:trPr>
        <w:tc>
          <w:tcPr>
            <w:tcW w:w="4113" w:type="dxa"/>
            <w:tcBorders>
              <w:top w:val="nil"/>
              <w:left w:val="nil"/>
              <w:bottom w:val="nil"/>
              <w:right w:val="nil"/>
            </w:tcBorders>
            <w:vAlign w:val="center"/>
          </w:tcPr>
          <w:p w14:paraId="4BC86CAE"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Central African Republic</w:t>
            </w:r>
          </w:p>
        </w:tc>
        <w:tc>
          <w:tcPr>
            <w:tcW w:w="1842" w:type="dxa"/>
            <w:tcBorders>
              <w:top w:val="nil"/>
              <w:left w:val="nil"/>
              <w:bottom w:val="nil"/>
              <w:right w:val="nil"/>
            </w:tcBorders>
            <w:vAlign w:val="bottom"/>
          </w:tcPr>
          <w:p w14:paraId="4BC86CAF"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CB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CB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CB7" w14:textId="77777777" w:rsidTr="009F3C26">
        <w:trPr>
          <w:trHeight w:val="248"/>
          <w:jc w:val="center"/>
        </w:trPr>
        <w:tc>
          <w:tcPr>
            <w:tcW w:w="4113" w:type="dxa"/>
            <w:tcBorders>
              <w:top w:val="nil"/>
              <w:left w:val="nil"/>
              <w:bottom w:val="nil"/>
              <w:right w:val="nil"/>
            </w:tcBorders>
            <w:vAlign w:val="center"/>
          </w:tcPr>
          <w:p w14:paraId="4BC86CB3"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Chad</w:t>
            </w:r>
          </w:p>
        </w:tc>
        <w:tc>
          <w:tcPr>
            <w:tcW w:w="1842" w:type="dxa"/>
            <w:tcBorders>
              <w:top w:val="nil"/>
              <w:left w:val="nil"/>
              <w:bottom w:val="nil"/>
              <w:right w:val="nil"/>
            </w:tcBorders>
            <w:vAlign w:val="bottom"/>
          </w:tcPr>
          <w:p w14:paraId="4BC86CB4"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0.002</w:t>
            </w:r>
          </w:p>
        </w:tc>
        <w:tc>
          <w:tcPr>
            <w:tcW w:w="1701" w:type="dxa"/>
            <w:tcBorders>
              <w:top w:val="nil"/>
              <w:left w:val="nil"/>
              <w:bottom w:val="nil"/>
              <w:right w:val="nil"/>
            </w:tcBorders>
            <w:vAlign w:val="bottom"/>
          </w:tcPr>
          <w:p w14:paraId="4BC86CB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c>
          <w:tcPr>
            <w:tcW w:w="1983" w:type="dxa"/>
            <w:tcBorders>
              <w:top w:val="nil"/>
              <w:left w:val="nil"/>
              <w:bottom w:val="nil"/>
              <w:right w:val="nil"/>
            </w:tcBorders>
            <w:vAlign w:val="bottom"/>
          </w:tcPr>
          <w:p w14:paraId="4BC86CB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r>
      <w:tr w:rsidR="005140C3" w:rsidRPr="00A82BE5" w14:paraId="4BC86CBC" w14:textId="77777777" w:rsidTr="009F3C26">
        <w:trPr>
          <w:trHeight w:val="248"/>
          <w:jc w:val="center"/>
        </w:trPr>
        <w:tc>
          <w:tcPr>
            <w:tcW w:w="4113" w:type="dxa"/>
            <w:tcBorders>
              <w:top w:val="nil"/>
              <w:left w:val="nil"/>
              <w:bottom w:val="nil"/>
              <w:right w:val="nil"/>
            </w:tcBorders>
            <w:vAlign w:val="center"/>
          </w:tcPr>
          <w:p w14:paraId="4BC86CB8"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Chile</w:t>
            </w:r>
          </w:p>
        </w:tc>
        <w:tc>
          <w:tcPr>
            <w:tcW w:w="1842" w:type="dxa"/>
            <w:tcBorders>
              <w:top w:val="nil"/>
              <w:left w:val="nil"/>
              <w:bottom w:val="nil"/>
              <w:right w:val="nil"/>
            </w:tcBorders>
            <w:vAlign w:val="bottom"/>
          </w:tcPr>
          <w:p w14:paraId="4BC86CB9"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0.334</w:t>
            </w:r>
          </w:p>
        </w:tc>
        <w:tc>
          <w:tcPr>
            <w:tcW w:w="1701" w:type="dxa"/>
            <w:tcBorders>
              <w:top w:val="nil"/>
              <w:left w:val="nil"/>
              <w:bottom w:val="nil"/>
              <w:right w:val="nil"/>
            </w:tcBorders>
            <w:vAlign w:val="bottom"/>
          </w:tcPr>
          <w:p w14:paraId="4BC86CB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0.326</w:t>
            </w:r>
          </w:p>
        </w:tc>
        <w:tc>
          <w:tcPr>
            <w:tcW w:w="1983" w:type="dxa"/>
            <w:tcBorders>
              <w:top w:val="nil"/>
              <w:left w:val="nil"/>
              <w:bottom w:val="nil"/>
              <w:right w:val="nil"/>
            </w:tcBorders>
            <w:vAlign w:val="bottom"/>
          </w:tcPr>
          <w:p w14:paraId="4BC86CB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0.326</w:t>
            </w:r>
          </w:p>
        </w:tc>
      </w:tr>
      <w:tr w:rsidR="005140C3" w:rsidRPr="00A82BE5" w14:paraId="4BC86CC1" w14:textId="77777777" w:rsidTr="009F3C26">
        <w:trPr>
          <w:trHeight w:val="248"/>
          <w:jc w:val="center"/>
        </w:trPr>
        <w:tc>
          <w:tcPr>
            <w:tcW w:w="4113" w:type="dxa"/>
            <w:tcBorders>
              <w:top w:val="nil"/>
              <w:left w:val="nil"/>
              <w:bottom w:val="nil"/>
              <w:right w:val="nil"/>
            </w:tcBorders>
            <w:vAlign w:val="center"/>
          </w:tcPr>
          <w:p w14:paraId="4BC86CBD"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China</w:t>
            </w:r>
          </w:p>
        </w:tc>
        <w:tc>
          <w:tcPr>
            <w:tcW w:w="1842" w:type="dxa"/>
            <w:tcBorders>
              <w:top w:val="nil"/>
              <w:left w:val="nil"/>
              <w:bottom w:val="nil"/>
              <w:right w:val="nil"/>
            </w:tcBorders>
            <w:vAlign w:val="bottom"/>
          </w:tcPr>
          <w:p w14:paraId="4BC86CBE"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5.148</w:t>
            </w:r>
          </w:p>
        </w:tc>
        <w:tc>
          <w:tcPr>
            <w:tcW w:w="1701" w:type="dxa"/>
            <w:tcBorders>
              <w:top w:val="nil"/>
              <w:left w:val="nil"/>
              <w:bottom w:val="nil"/>
              <w:right w:val="nil"/>
            </w:tcBorders>
            <w:vAlign w:val="bottom"/>
          </w:tcPr>
          <w:p w14:paraId="4BC86CB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5.019</w:t>
            </w:r>
          </w:p>
        </w:tc>
        <w:tc>
          <w:tcPr>
            <w:tcW w:w="1983" w:type="dxa"/>
            <w:tcBorders>
              <w:top w:val="nil"/>
              <w:left w:val="nil"/>
              <w:bottom w:val="nil"/>
              <w:right w:val="nil"/>
            </w:tcBorders>
            <w:vAlign w:val="bottom"/>
          </w:tcPr>
          <w:p w14:paraId="4BC86CC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5.019</w:t>
            </w:r>
          </w:p>
        </w:tc>
      </w:tr>
      <w:tr w:rsidR="005140C3" w:rsidRPr="00A82BE5" w14:paraId="4BC86CC6" w14:textId="77777777" w:rsidTr="009F3C26">
        <w:trPr>
          <w:trHeight w:val="248"/>
          <w:jc w:val="center"/>
        </w:trPr>
        <w:tc>
          <w:tcPr>
            <w:tcW w:w="4113" w:type="dxa"/>
            <w:tcBorders>
              <w:top w:val="nil"/>
              <w:left w:val="nil"/>
              <w:bottom w:val="nil"/>
              <w:right w:val="nil"/>
            </w:tcBorders>
            <w:vAlign w:val="center"/>
          </w:tcPr>
          <w:p w14:paraId="4BC86CC2"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Colombia</w:t>
            </w:r>
          </w:p>
        </w:tc>
        <w:tc>
          <w:tcPr>
            <w:tcW w:w="1842" w:type="dxa"/>
            <w:tcBorders>
              <w:top w:val="nil"/>
              <w:left w:val="nil"/>
              <w:bottom w:val="nil"/>
              <w:right w:val="nil"/>
            </w:tcBorders>
            <w:vAlign w:val="bottom"/>
          </w:tcPr>
          <w:p w14:paraId="4BC86CC3"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0.259</w:t>
            </w:r>
          </w:p>
        </w:tc>
        <w:tc>
          <w:tcPr>
            <w:tcW w:w="1701" w:type="dxa"/>
            <w:tcBorders>
              <w:top w:val="nil"/>
              <w:left w:val="nil"/>
              <w:bottom w:val="nil"/>
              <w:right w:val="nil"/>
            </w:tcBorders>
            <w:vAlign w:val="bottom"/>
          </w:tcPr>
          <w:p w14:paraId="4BC86CC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0.253</w:t>
            </w:r>
          </w:p>
        </w:tc>
        <w:tc>
          <w:tcPr>
            <w:tcW w:w="1983" w:type="dxa"/>
            <w:tcBorders>
              <w:top w:val="nil"/>
              <w:left w:val="nil"/>
              <w:bottom w:val="nil"/>
              <w:right w:val="nil"/>
            </w:tcBorders>
            <w:vAlign w:val="bottom"/>
          </w:tcPr>
          <w:p w14:paraId="4BC86CC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0.253</w:t>
            </w:r>
          </w:p>
        </w:tc>
      </w:tr>
      <w:tr w:rsidR="005140C3" w:rsidRPr="00A82BE5" w14:paraId="4BC86CCB" w14:textId="77777777" w:rsidTr="009F3C26">
        <w:trPr>
          <w:trHeight w:val="248"/>
          <w:jc w:val="center"/>
        </w:trPr>
        <w:tc>
          <w:tcPr>
            <w:tcW w:w="4113" w:type="dxa"/>
            <w:tcBorders>
              <w:top w:val="nil"/>
              <w:left w:val="nil"/>
              <w:bottom w:val="nil"/>
              <w:right w:val="nil"/>
            </w:tcBorders>
            <w:vAlign w:val="center"/>
          </w:tcPr>
          <w:p w14:paraId="4BC86CC7"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Comoros</w:t>
            </w:r>
          </w:p>
        </w:tc>
        <w:tc>
          <w:tcPr>
            <w:tcW w:w="1842" w:type="dxa"/>
            <w:tcBorders>
              <w:top w:val="nil"/>
              <w:left w:val="nil"/>
              <w:bottom w:val="nil"/>
              <w:right w:val="nil"/>
            </w:tcBorders>
            <w:vAlign w:val="bottom"/>
          </w:tcPr>
          <w:p w14:paraId="4BC86CC8"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CC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CC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CD0" w14:textId="77777777" w:rsidTr="009F3C26">
        <w:trPr>
          <w:trHeight w:val="248"/>
          <w:jc w:val="center"/>
        </w:trPr>
        <w:tc>
          <w:tcPr>
            <w:tcW w:w="4113" w:type="dxa"/>
            <w:tcBorders>
              <w:top w:val="nil"/>
              <w:left w:val="nil"/>
              <w:bottom w:val="nil"/>
              <w:right w:val="nil"/>
            </w:tcBorders>
            <w:vAlign w:val="center"/>
          </w:tcPr>
          <w:p w14:paraId="4BC86CCC"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Congo</w:t>
            </w:r>
          </w:p>
        </w:tc>
        <w:tc>
          <w:tcPr>
            <w:tcW w:w="1842" w:type="dxa"/>
            <w:tcBorders>
              <w:top w:val="nil"/>
              <w:left w:val="nil"/>
              <w:bottom w:val="nil"/>
              <w:right w:val="nil"/>
            </w:tcBorders>
            <w:vAlign w:val="bottom"/>
          </w:tcPr>
          <w:p w14:paraId="4BC86CCD"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0.005</w:t>
            </w:r>
          </w:p>
        </w:tc>
        <w:tc>
          <w:tcPr>
            <w:tcW w:w="1701" w:type="dxa"/>
            <w:tcBorders>
              <w:top w:val="nil"/>
              <w:left w:val="nil"/>
              <w:bottom w:val="nil"/>
              <w:right w:val="nil"/>
            </w:tcBorders>
            <w:vAlign w:val="bottom"/>
          </w:tcPr>
          <w:p w14:paraId="4BC86CC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0.005</w:t>
            </w:r>
          </w:p>
        </w:tc>
        <w:tc>
          <w:tcPr>
            <w:tcW w:w="1983" w:type="dxa"/>
            <w:tcBorders>
              <w:top w:val="nil"/>
              <w:left w:val="nil"/>
              <w:bottom w:val="nil"/>
              <w:right w:val="nil"/>
            </w:tcBorders>
            <w:vAlign w:val="bottom"/>
          </w:tcPr>
          <w:p w14:paraId="4BC86CC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0.005</w:t>
            </w:r>
          </w:p>
        </w:tc>
      </w:tr>
      <w:tr w:rsidR="005140C3" w:rsidRPr="00A82BE5" w14:paraId="4BC86CD5" w14:textId="77777777" w:rsidTr="009F3C26">
        <w:trPr>
          <w:trHeight w:val="248"/>
          <w:jc w:val="center"/>
        </w:trPr>
        <w:tc>
          <w:tcPr>
            <w:tcW w:w="4113" w:type="dxa"/>
            <w:tcBorders>
              <w:top w:val="nil"/>
              <w:left w:val="nil"/>
              <w:bottom w:val="nil"/>
              <w:right w:val="nil"/>
            </w:tcBorders>
            <w:vAlign w:val="center"/>
          </w:tcPr>
          <w:p w14:paraId="4BC86CD1"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Cook Islands</w:t>
            </w:r>
          </w:p>
        </w:tc>
        <w:tc>
          <w:tcPr>
            <w:tcW w:w="1842" w:type="dxa"/>
            <w:tcBorders>
              <w:top w:val="nil"/>
              <w:left w:val="nil"/>
              <w:bottom w:val="nil"/>
              <w:right w:val="nil"/>
            </w:tcBorders>
            <w:vAlign w:val="bottom"/>
          </w:tcPr>
          <w:p w14:paraId="4BC86CD2" w14:textId="77777777" w:rsidR="005140C3" w:rsidRPr="00A82BE5" w:rsidRDefault="005140C3" w:rsidP="0078185A">
            <w:pPr>
              <w:suppressAutoHyphens w:val="0"/>
              <w:spacing w:line="240" w:lineRule="auto"/>
              <w:ind w:right="31"/>
              <w:jc w:val="right"/>
              <w:rPr>
                <w:rFonts w:eastAsia="MS Mincho"/>
                <w:color w:val="000000"/>
                <w:sz w:val="18"/>
                <w:szCs w:val="18"/>
                <w:lang w:eastAsia="de-DE"/>
              </w:rPr>
            </w:pPr>
            <w:r w:rsidRPr="00A82BE5">
              <w:rPr>
                <w:rFonts w:eastAsia="MS Mincho"/>
                <w:color w:val="000000"/>
                <w:sz w:val="18"/>
                <w:szCs w:val="18"/>
                <w:lang w:eastAsia="de-DE"/>
              </w:rPr>
              <w:t>0.001</w:t>
            </w:r>
          </w:p>
        </w:tc>
        <w:tc>
          <w:tcPr>
            <w:tcW w:w="1701" w:type="dxa"/>
            <w:tcBorders>
              <w:top w:val="nil"/>
              <w:left w:val="nil"/>
              <w:bottom w:val="nil"/>
              <w:right w:val="nil"/>
            </w:tcBorders>
            <w:vAlign w:val="bottom"/>
          </w:tcPr>
          <w:p w14:paraId="4BC86CD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CD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CDA" w14:textId="77777777" w:rsidTr="009F3C26">
        <w:trPr>
          <w:trHeight w:val="248"/>
          <w:jc w:val="center"/>
        </w:trPr>
        <w:tc>
          <w:tcPr>
            <w:tcW w:w="4113" w:type="dxa"/>
            <w:tcBorders>
              <w:top w:val="nil"/>
              <w:left w:val="nil"/>
              <w:bottom w:val="nil"/>
              <w:right w:val="nil"/>
            </w:tcBorders>
            <w:vAlign w:val="center"/>
          </w:tcPr>
          <w:p w14:paraId="4BC86CD6"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Costa Rica</w:t>
            </w:r>
          </w:p>
        </w:tc>
        <w:tc>
          <w:tcPr>
            <w:tcW w:w="1842" w:type="dxa"/>
            <w:tcBorders>
              <w:top w:val="nil"/>
              <w:left w:val="nil"/>
              <w:bottom w:val="nil"/>
              <w:right w:val="nil"/>
            </w:tcBorders>
            <w:vAlign w:val="bottom"/>
          </w:tcPr>
          <w:p w14:paraId="4BC86CD7"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0.038</w:t>
            </w:r>
          </w:p>
        </w:tc>
        <w:tc>
          <w:tcPr>
            <w:tcW w:w="1701" w:type="dxa"/>
            <w:tcBorders>
              <w:top w:val="nil"/>
              <w:left w:val="nil"/>
              <w:bottom w:val="nil"/>
              <w:right w:val="nil"/>
            </w:tcBorders>
            <w:vAlign w:val="bottom"/>
          </w:tcPr>
          <w:p w14:paraId="4BC86CD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0.037</w:t>
            </w:r>
          </w:p>
        </w:tc>
        <w:tc>
          <w:tcPr>
            <w:tcW w:w="1983" w:type="dxa"/>
            <w:tcBorders>
              <w:top w:val="nil"/>
              <w:left w:val="nil"/>
              <w:bottom w:val="nil"/>
              <w:right w:val="nil"/>
            </w:tcBorders>
            <w:vAlign w:val="bottom"/>
          </w:tcPr>
          <w:p w14:paraId="4BC86CD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0.037</w:t>
            </w:r>
          </w:p>
        </w:tc>
      </w:tr>
      <w:tr w:rsidR="005140C3" w:rsidRPr="00A82BE5" w14:paraId="4BC86CDF" w14:textId="77777777" w:rsidTr="009F3C26">
        <w:trPr>
          <w:trHeight w:val="248"/>
          <w:jc w:val="center"/>
        </w:trPr>
        <w:tc>
          <w:tcPr>
            <w:tcW w:w="4113" w:type="dxa"/>
            <w:tcBorders>
              <w:top w:val="nil"/>
              <w:left w:val="nil"/>
              <w:bottom w:val="nil"/>
              <w:right w:val="nil"/>
            </w:tcBorders>
            <w:vAlign w:val="center"/>
          </w:tcPr>
          <w:p w14:paraId="4BC86CDB"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lastRenderedPageBreak/>
              <w:t>Côte d’Ivoire</w:t>
            </w:r>
          </w:p>
        </w:tc>
        <w:tc>
          <w:tcPr>
            <w:tcW w:w="1842" w:type="dxa"/>
            <w:tcBorders>
              <w:top w:val="nil"/>
              <w:left w:val="nil"/>
              <w:bottom w:val="nil"/>
              <w:right w:val="nil"/>
            </w:tcBorders>
            <w:vAlign w:val="bottom"/>
          </w:tcPr>
          <w:p w14:paraId="4BC86CDC"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0.011</w:t>
            </w:r>
          </w:p>
        </w:tc>
        <w:tc>
          <w:tcPr>
            <w:tcW w:w="1701" w:type="dxa"/>
            <w:tcBorders>
              <w:top w:val="nil"/>
              <w:left w:val="nil"/>
              <w:bottom w:val="nil"/>
              <w:right w:val="nil"/>
            </w:tcBorders>
            <w:vAlign w:val="bottom"/>
          </w:tcPr>
          <w:p w14:paraId="4BC86CD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0.011</w:t>
            </w:r>
          </w:p>
        </w:tc>
        <w:tc>
          <w:tcPr>
            <w:tcW w:w="1983" w:type="dxa"/>
            <w:tcBorders>
              <w:top w:val="nil"/>
              <w:left w:val="nil"/>
              <w:bottom w:val="nil"/>
              <w:right w:val="nil"/>
            </w:tcBorders>
            <w:vAlign w:val="bottom"/>
          </w:tcPr>
          <w:p w14:paraId="4BC86CD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0.011</w:t>
            </w:r>
          </w:p>
        </w:tc>
      </w:tr>
      <w:tr w:rsidR="005140C3" w:rsidRPr="00A82BE5" w14:paraId="4BC86CE4" w14:textId="77777777" w:rsidTr="009F3C26">
        <w:trPr>
          <w:trHeight w:val="248"/>
          <w:jc w:val="center"/>
        </w:trPr>
        <w:tc>
          <w:tcPr>
            <w:tcW w:w="4113" w:type="dxa"/>
            <w:tcBorders>
              <w:top w:val="nil"/>
              <w:left w:val="nil"/>
              <w:bottom w:val="nil"/>
              <w:right w:val="nil"/>
            </w:tcBorders>
            <w:vAlign w:val="center"/>
          </w:tcPr>
          <w:p w14:paraId="4BC86CE0"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Croatia</w:t>
            </w:r>
          </w:p>
        </w:tc>
        <w:tc>
          <w:tcPr>
            <w:tcW w:w="1842" w:type="dxa"/>
            <w:tcBorders>
              <w:top w:val="nil"/>
              <w:left w:val="nil"/>
              <w:bottom w:val="nil"/>
              <w:right w:val="nil"/>
            </w:tcBorders>
            <w:vAlign w:val="bottom"/>
          </w:tcPr>
          <w:p w14:paraId="4BC86CE1"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0.126</w:t>
            </w:r>
          </w:p>
        </w:tc>
        <w:tc>
          <w:tcPr>
            <w:tcW w:w="1701" w:type="dxa"/>
            <w:tcBorders>
              <w:top w:val="nil"/>
              <w:left w:val="nil"/>
              <w:bottom w:val="nil"/>
              <w:right w:val="nil"/>
            </w:tcBorders>
            <w:vAlign w:val="bottom"/>
          </w:tcPr>
          <w:p w14:paraId="4BC86CE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0.123</w:t>
            </w:r>
          </w:p>
        </w:tc>
        <w:tc>
          <w:tcPr>
            <w:tcW w:w="1983" w:type="dxa"/>
            <w:tcBorders>
              <w:top w:val="nil"/>
              <w:left w:val="nil"/>
              <w:bottom w:val="nil"/>
              <w:right w:val="nil"/>
            </w:tcBorders>
            <w:vAlign w:val="bottom"/>
          </w:tcPr>
          <w:p w14:paraId="4BC86CE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0.123</w:t>
            </w:r>
          </w:p>
        </w:tc>
      </w:tr>
      <w:tr w:rsidR="005140C3" w:rsidRPr="00A82BE5" w14:paraId="4BC86CE9" w14:textId="77777777" w:rsidTr="009F3C26">
        <w:trPr>
          <w:trHeight w:val="248"/>
          <w:jc w:val="center"/>
        </w:trPr>
        <w:tc>
          <w:tcPr>
            <w:tcW w:w="4113" w:type="dxa"/>
            <w:tcBorders>
              <w:top w:val="nil"/>
              <w:left w:val="nil"/>
              <w:bottom w:val="nil"/>
              <w:right w:val="nil"/>
            </w:tcBorders>
            <w:vAlign w:val="center"/>
          </w:tcPr>
          <w:p w14:paraId="4BC86CE5"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Cuba</w:t>
            </w:r>
          </w:p>
        </w:tc>
        <w:tc>
          <w:tcPr>
            <w:tcW w:w="1842" w:type="dxa"/>
            <w:tcBorders>
              <w:top w:val="nil"/>
              <w:left w:val="nil"/>
              <w:bottom w:val="nil"/>
              <w:right w:val="nil"/>
            </w:tcBorders>
            <w:vAlign w:val="bottom"/>
          </w:tcPr>
          <w:p w14:paraId="4BC86CE6"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0.069</w:t>
            </w:r>
          </w:p>
        </w:tc>
        <w:tc>
          <w:tcPr>
            <w:tcW w:w="1701" w:type="dxa"/>
            <w:tcBorders>
              <w:top w:val="nil"/>
              <w:left w:val="nil"/>
              <w:bottom w:val="nil"/>
              <w:right w:val="nil"/>
            </w:tcBorders>
            <w:vAlign w:val="bottom"/>
          </w:tcPr>
          <w:p w14:paraId="4BC86CE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0.067</w:t>
            </w:r>
          </w:p>
        </w:tc>
        <w:tc>
          <w:tcPr>
            <w:tcW w:w="1983" w:type="dxa"/>
            <w:tcBorders>
              <w:top w:val="nil"/>
              <w:left w:val="nil"/>
              <w:bottom w:val="nil"/>
              <w:right w:val="nil"/>
            </w:tcBorders>
            <w:vAlign w:val="bottom"/>
          </w:tcPr>
          <w:p w14:paraId="4BC86CE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0.067</w:t>
            </w:r>
          </w:p>
        </w:tc>
      </w:tr>
      <w:tr w:rsidR="005140C3" w:rsidRPr="00A82BE5" w14:paraId="4BC86CEE" w14:textId="77777777" w:rsidTr="009F3C26">
        <w:trPr>
          <w:trHeight w:val="248"/>
          <w:jc w:val="center"/>
        </w:trPr>
        <w:tc>
          <w:tcPr>
            <w:tcW w:w="4113" w:type="dxa"/>
            <w:tcBorders>
              <w:top w:val="nil"/>
              <w:left w:val="nil"/>
              <w:bottom w:val="nil"/>
              <w:right w:val="nil"/>
            </w:tcBorders>
            <w:vAlign w:val="center"/>
          </w:tcPr>
          <w:p w14:paraId="4BC86CEA"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Cyprus</w:t>
            </w:r>
          </w:p>
        </w:tc>
        <w:tc>
          <w:tcPr>
            <w:tcW w:w="1842" w:type="dxa"/>
            <w:tcBorders>
              <w:top w:val="nil"/>
              <w:left w:val="nil"/>
              <w:bottom w:val="nil"/>
              <w:right w:val="nil"/>
            </w:tcBorders>
            <w:vAlign w:val="bottom"/>
          </w:tcPr>
          <w:p w14:paraId="4BC86CEB"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0.047</w:t>
            </w:r>
          </w:p>
        </w:tc>
        <w:tc>
          <w:tcPr>
            <w:tcW w:w="1701" w:type="dxa"/>
            <w:tcBorders>
              <w:top w:val="nil"/>
              <w:left w:val="nil"/>
              <w:bottom w:val="nil"/>
              <w:right w:val="nil"/>
            </w:tcBorders>
            <w:vAlign w:val="bottom"/>
          </w:tcPr>
          <w:p w14:paraId="4BC86CE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0.046</w:t>
            </w:r>
          </w:p>
        </w:tc>
        <w:tc>
          <w:tcPr>
            <w:tcW w:w="1983" w:type="dxa"/>
            <w:tcBorders>
              <w:top w:val="nil"/>
              <w:left w:val="nil"/>
              <w:bottom w:val="nil"/>
              <w:right w:val="nil"/>
            </w:tcBorders>
            <w:vAlign w:val="bottom"/>
          </w:tcPr>
          <w:p w14:paraId="4BC86CE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0.046</w:t>
            </w:r>
          </w:p>
        </w:tc>
      </w:tr>
      <w:tr w:rsidR="005140C3" w:rsidRPr="00A82BE5" w14:paraId="4BC86CF3" w14:textId="77777777" w:rsidTr="009F3C26">
        <w:trPr>
          <w:trHeight w:val="248"/>
          <w:jc w:val="center"/>
        </w:trPr>
        <w:tc>
          <w:tcPr>
            <w:tcW w:w="4113" w:type="dxa"/>
            <w:tcBorders>
              <w:top w:val="nil"/>
              <w:left w:val="nil"/>
              <w:bottom w:val="nil"/>
              <w:right w:val="nil"/>
            </w:tcBorders>
            <w:vAlign w:val="center"/>
          </w:tcPr>
          <w:p w14:paraId="4BC86CEF"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Czech Republic</w:t>
            </w:r>
          </w:p>
        </w:tc>
        <w:tc>
          <w:tcPr>
            <w:tcW w:w="1842" w:type="dxa"/>
            <w:tcBorders>
              <w:top w:val="nil"/>
              <w:left w:val="nil"/>
              <w:bottom w:val="nil"/>
              <w:right w:val="nil"/>
            </w:tcBorders>
            <w:vAlign w:val="bottom"/>
          </w:tcPr>
          <w:p w14:paraId="4BC86CF0"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0.386</w:t>
            </w:r>
          </w:p>
        </w:tc>
        <w:tc>
          <w:tcPr>
            <w:tcW w:w="1701" w:type="dxa"/>
            <w:tcBorders>
              <w:top w:val="nil"/>
              <w:left w:val="nil"/>
              <w:bottom w:val="nil"/>
              <w:right w:val="nil"/>
            </w:tcBorders>
            <w:vAlign w:val="bottom"/>
          </w:tcPr>
          <w:p w14:paraId="4BC86CF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0.376</w:t>
            </w:r>
          </w:p>
        </w:tc>
        <w:tc>
          <w:tcPr>
            <w:tcW w:w="1983" w:type="dxa"/>
            <w:tcBorders>
              <w:top w:val="nil"/>
              <w:left w:val="nil"/>
              <w:bottom w:val="nil"/>
              <w:right w:val="nil"/>
            </w:tcBorders>
            <w:vAlign w:val="bottom"/>
          </w:tcPr>
          <w:p w14:paraId="4BC86CF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0.376</w:t>
            </w:r>
          </w:p>
        </w:tc>
      </w:tr>
      <w:tr w:rsidR="005140C3" w:rsidRPr="00A82BE5" w14:paraId="4BC86CF8" w14:textId="77777777" w:rsidTr="009F3C26">
        <w:trPr>
          <w:trHeight w:val="248"/>
          <w:jc w:val="center"/>
        </w:trPr>
        <w:tc>
          <w:tcPr>
            <w:tcW w:w="4113" w:type="dxa"/>
            <w:tcBorders>
              <w:top w:val="nil"/>
              <w:left w:val="nil"/>
              <w:bottom w:val="nil"/>
              <w:right w:val="nil"/>
            </w:tcBorders>
            <w:vAlign w:val="center"/>
          </w:tcPr>
          <w:p w14:paraId="4BC86CF4"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Democratic People’s Republic of Korea</w:t>
            </w:r>
          </w:p>
        </w:tc>
        <w:tc>
          <w:tcPr>
            <w:tcW w:w="1842" w:type="dxa"/>
            <w:tcBorders>
              <w:top w:val="nil"/>
              <w:left w:val="nil"/>
              <w:bottom w:val="nil"/>
              <w:right w:val="nil"/>
            </w:tcBorders>
            <w:vAlign w:val="bottom"/>
          </w:tcPr>
          <w:p w14:paraId="4BC86CF5"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0.006</w:t>
            </w:r>
          </w:p>
        </w:tc>
        <w:tc>
          <w:tcPr>
            <w:tcW w:w="1701" w:type="dxa"/>
            <w:tcBorders>
              <w:top w:val="nil"/>
              <w:left w:val="nil"/>
              <w:bottom w:val="nil"/>
              <w:right w:val="nil"/>
            </w:tcBorders>
            <w:vAlign w:val="bottom"/>
          </w:tcPr>
          <w:p w14:paraId="4BC86CF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0.006</w:t>
            </w:r>
          </w:p>
        </w:tc>
        <w:tc>
          <w:tcPr>
            <w:tcW w:w="1983" w:type="dxa"/>
            <w:tcBorders>
              <w:top w:val="nil"/>
              <w:left w:val="nil"/>
              <w:bottom w:val="nil"/>
              <w:right w:val="nil"/>
            </w:tcBorders>
            <w:vAlign w:val="bottom"/>
          </w:tcPr>
          <w:p w14:paraId="4BC86CF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0.006</w:t>
            </w:r>
          </w:p>
        </w:tc>
      </w:tr>
      <w:tr w:rsidR="005140C3" w:rsidRPr="00A82BE5" w14:paraId="4BC86CFD" w14:textId="77777777" w:rsidTr="009F3C26">
        <w:trPr>
          <w:trHeight w:val="248"/>
          <w:jc w:val="center"/>
        </w:trPr>
        <w:tc>
          <w:tcPr>
            <w:tcW w:w="4113" w:type="dxa"/>
            <w:tcBorders>
              <w:top w:val="nil"/>
              <w:left w:val="nil"/>
              <w:bottom w:val="nil"/>
              <w:right w:val="nil"/>
            </w:tcBorders>
            <w:vAlign w:val="center"/>
          </w:tcPr>
          <w:p w14:paraId="4BC86CF9"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Democratic Republic of the Congo</w:t>
            </w:r>
          </w:p>
        </w:tc>
        <w:tc>
          <w:tcPr>
            <w:tcW w:w="1842" w:type="dxa"/>
            <w:tcBorders>
              <w:top w:val="nil"/>
              <w:left w:val="nil"/>
              <w:bottom w:val="nil"/>
              <w:right w:val="nil"/>
            </w:tcBorders>
            <w:vAlign w:val="bottom"/>
          </w:tcPr>
          <w:p w14:paraId="4BC86CFA"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0.003</w:t>
            </w:r>
          </w:p>
        </w:tc>
        <w:tc>
          <w:tcPr>
            <w:tcW w:w="1701" w:type="dxa"/>
            <w:tcBorders>
              <w:top w:val="nil"/>
              <w:left w:val="nil"/>
              <w:bottom w:val="nil"/>
              <w:right w:val="nil"/>
            </w:tcBorders>
            <w:vAlign w:val="bottom"/>
          </w:tcPr>
          <w:p w14:paraId="4BC86CF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c>
          <w:tcPr>
            <w:tcW w:w="1983" w:type="dxa"/>
            <w:tcBorders>
              <w:top w:val="nil"/>
              <w:left w:val="nil"/>
              <w:bottom w:val="nil"/>
              <w:right w:val="nil"/>
            </w:tcBorders>
            <w:vAlign w:val="bottom"/>
          </w:tcPr>
          <w:p w14:paraId="4BC86CF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r>
      <w:tr w:rsidR="005140C3" w:rsidRPr="00A82BE5" w14:paraId="4BC86D02" w14:textId="77777777" w:rsidTr="009F3C26">
        <w:trPr>
          <w:trHeight w:val="248"/>
          <w:jc w:val="center"/>
        </w:trPr>
        <w:tc>
          <w:tcPr>
            <w:tcW w:w="4113" w:type="dxa"/>
            <w:tcBorders>
              <w:top w:val="nil"/>
              <w:left w:val="nil"/>
              <w:bottom w:val="nil"/>
              <w:right w:val="nil"/>
            </w:tcBorders>
            <w:vAlign w:val="center"/>
          </w:tcPr>
          <w:p w14:paraId="4BC86CFE"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Denmark</w:t>
            </w:r>
          </w:p>
        </w:tc>
        <w:tc>
          <w:tcPr>
            <w:tcW w:w="1842" w:type="dxa"/>
            <w:tcBorders>
              <w:top w:val="nil"/>
              <w:left w:val="nil"/>
              <w:bottom w:val="nil"/>
              <w:right w:val="nil"/>
            </w:tcBorders>
            <w:vAlign w:val="bottom"/>
          </w:tcPr>
          <w:p w14:paraId="4BC86CFF"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0.675</w:t>
            </w:r>
          </w:p>
        </w:tc>
        <w:tc>
          <w:tcPr>
            <w:tcW w:w="1701" w:type="dxa"/>
            <w:tcBorders>
              <w:top w:val="nil"/>
              <w:left w:val="nil"/>
              <w:bottom w:val="nil"/>
              <w:right w:val="nil"/>
            </w:tcBorders>
            <w:vAlign w:val="bottom"/>
          </w:tcPr>
          <w:p w14:paraId="4BC86D0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0.658</w:t>
            </w:r>
          </w:p>
        </w:tc>
        <w:tc>
          <w:tcPr>
            <w:tcW w:w="1983" w:type="dxa"/>
            <w:tcBorders>
              <w:top w:val="nil"/>
              <w:left w:val="nil"/>
              <w:bottom w:val="nil"/>
              <w:right w:val="nil"/>
            </w:tcBorders>
            <w:vAlign w:val="bottom"/>
          </w:tcPr>
          <w:p w14:paraId="4BC86D0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0.658</w:t>
            </w:r>
          </w:p>
        </w:tc>
      </w:tr>
      <w:tr w:rsidR="005140C3" w:rsidRPr="00A82BE5" w14:paraId="4BC86D07" w14:textId="77777777" w:rsidTr="009F3C26">
        <w:trPr>
          <w:trHeight w:val="248"/>
          <w:jc w:val="center"/>
        </w:trPr>
        <w:tc>
          <w:tcPr>
            <w:tcW w:w="4113" w:type="dxa"/>
            <w:tcBorders>
              <w:top w:val="nil"/>
              <w:left w:val="nil"/>
              <w:bottom w:val="nil"/>
              <w:right w:val="nil"/>
            </w:tcBorders>
            <w:vAlign w:val="center"/>
          </w:tcPr>
          <w:p w14:paraId="4BC86D03"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Djibouti</w:t>
            </w:r>
          </w:p>
        </w:tc>
        <w:tc>
          <w:tcPr>
            <w:tcW w:w="1842" w:type="dxa"/>
            <w:tcBorders>
              <w:top w:val="nil"/>
              <w:left w:val="nil"/>
              <w:bottom w:val="nil"/>
              <w:right w:val="nil"/>
            </w:tcBorders>
            <w:vAlign w:val="bottom"/>
          </w:tcPr>
          <w:p w14:paraId="4BC86D04"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D0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D0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D0C" w14:textId="77777777" w:rsidTr="009F3C26">
        <w:trPr>
          <w:trHeight w:val="248"/>
          <w:jc w:val="center"/>
        </w:trPr>
        <w:tc>
          <w:tcPr>
            <w:tcW w:w="4113" w:type="dxa"/>
            <w:tcBorders>
              <w:top w:val="nil"/>
              <w:left w:val="nil"/>
              <w:bottom w:val="nil"/>
              <w:right w:val="nil"/>
            </w:tcBorders>
            <w:vAlign w:val="center"/>
          </w:tcPr>
          <w:p w14:paraId="4BC86D08"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Dominica</w:t>
            </w:r>
          </w:p>
        </w:tc>
        <w:tc>
          <w:tcPr>
            <w:tcW w:w="1842" w:type="dxa"/>
            <w:tcBorders>
              <w:top w:val="nil"/>
              <w:left w:val="nil"/>
              <w:bottom w:val="nil"/>
              <w:right w:val="nil"/>
            </w:tcBorders>
            <w:vAlign w:val="bottom"/>
          </w:tcPr>
          <w:p w14:paraId="4BC86D09"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D0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D0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D11" w14:textId="77777777" w:rsidTr="009F3C26">
        <w:trPr>
          <w:trHeight w:val="248"/>
          <w:jc w:val="center"/>
        </w:trPr>
        <w:tc>
          <w:tcPr>
            <w:tcW w:w="4113" w:type="dxa"/>
            <w:tcBorders>
              <w:top w:val="nil"/>
              <w:left w:val="nil"/>
              <w:bottom w:val="nil"/>
              <w:right w:val="nil"/>
            </w:tcBorders>
            <w:vAlign w:val="center"/>
          </w:tcPr>
          <w:p w14:paraId="4BC86D0D"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Dominican Republic</w:t>
            </w:r>
          </w:p>
        </w:tc>
        <w:tc>
          <w:tcPr>
            <w:tcW w:w="1842" w:type="dxa"/>
            <w:tcBorders>
              <w:top w:val="nil"/>
              <w:left w:val="nil"/>
              <w:bottom w:val="nil"/>
              <w:right w:val="nil"/>
            </w:tcBorders>
            <w:vAlign w:val="bottom"/>
          </w:tcPr>
          <w:p w14:paraId="4BC86D0E"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0.045</w:t>
            </w:r>
          </w:p>
        </w:tc>
        <w:tc>
          <w:tcPr>
            <w:tcW w:w="1701" w:type="dxa"/>
            <w:tcBorders>
              <w:top w:val="nil"/>
              <w:left w:val="nil"/>
              <w:bottom w:val="nil"/>
              <w:right w:val="nil"/>
            </w:tcBorders>
            <w:vAlign w:val="bottom"/>
          </w:tcPr>
          <w:p w14:paraId="4BC86D0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0.044</w:t>
            </w:r>
          </w:p>
        </w:tc>
        <w:tc>
          <w:tcPr>
            <w:tcW w:w="1983" w:type="dxa"/>
            <w:tcBorders>
              <w:top w:val="nil"/>
              <w:left w:val="nil"/>
              <w:bottom w:val="nil"/>
              <w:right w:val="nil"/>
            </w:tcBorders>
            <w:vAlign w:val="bottom"/>
          </w:tcPr>
          <w:p w14:paraId="4BC86D1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0.044</w:t>
            </w:r>
          </w:p>
        </w:tc>
      </w:tr>
      <w:tr w:rsidR="005140C3" w:rsidRPr="00A82BE5" w14:paraId="4BC86D16" w14:textId="77777777" w:rsidTr="009F3C26">
        <w:trPr>
          <w:trHeight w:val="248"/>
          <w:jc w:val="center"/>
        </w:trPr>
        <w:tc>
          <w:tcPr>
            <w:tcW w:w="4113" w:type="dxa"/>
            <w:tcBorders>
              <w:top w:val="nil"/>
              <w:left w:val="nil"/>
              <w:bottom w:val="nil"/>
              <w:right w:val="nil"/>
            </w:tcBorders>
            <w:vAlign w:val="center"/>
          </w:tcPr>
          <w:p w14:paraId="4BC86D12"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Ecuador</w:t>
            </w:r>
          </w:p>
        </w:tc>
        <w:tc>
          <w:tcPr>
            <w:tcW w:w="1842" w:type="dxa"/>
            <w:tcBorders>
              <w:top w:val="nil"/>
              <w:left w:val="nil"/>
              <w:bottom w:val="nil"/>
              <w:right w:val="nil"/>
            </w:tcBorders>
            <w:vAlign w:val="bottom"/>
          </w:tcPr>
          <w:p w14:paraId="4BC86D13"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0.044</w:t>
            </w:r>
          </w:p>
        </w:tc>
        <w:tc>
          <w:tcPr>
            <w:tcW w:w="1701" w:type="dxa"/>
            <w:tcBorders>
              <w:top w:val="nil"/>
              <w:left w:val="nil"/>
              <w:bottom w:val="nil"/>
              <w:right w:val="nil"/>
            </w:tcBorders>
            <w:vAlign w:val="bottom"/>
          </w:tcPr>
          <w:p w14:paraId="4BC86D1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0.043</w:t>
            </w:r>
          </w:p>
        </w:tc>
        <w:tc>
          <w:tcPr>
            <w:tcW w:w="1983" w:type="dxa"/>
            <w:tcBorders>
              <w:top w:val="nil"/>
              <w:left w:val="nil"/>
              <w:bottom w:val="nil"/>
              <w:right w:val="nil"/>
            </w:tcBorders>
            <w:vAlign w:val="bottom"/>
          </w:tcPr>
          <w:p w14:paraId="4BC86D1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0.043</w:t>
            </w:r>
          </w:p>
        </w:tc>
      </w:tr>
      <w:tr w:rsidR="005140C3" w:rsidRPr="00A82BE5" w14:paraId="4BC86D1B" w14:textId="77777777" w:rsidTr="009F3C26">
        <w:trPr>
          <w:trHeight w:val="248"/>
          <w:jc w:val="center"/>
        </w:trPr>
        <w:tc>
          <w:tcPr>
            <w:tcW w:w="4113" w:type="dxa"/>
            <w:tcBorders>
              <w:top w:val="nil"/>
              <w:left w:val="nil"/>
              <w:bottom w:val="nil"/>
              <w:right w:val="nil"/>
            </w:tcBorders>
            <w:vAlign w:val="center"/>
          </w:tcPr>
          <w:p w14:paraId="4BC86D17"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Egypt</w:t>
            </w:r>
          </w:p>
        </w:tc>
        <w:tc>
          <w:tcPr>
            <w:tcW w:w="1842" w:type="dxa"/>
            <w:tcBorders>
              <w:top w:val="nil"/>
              <w:left w:val="nil"/>
              <w:bottom w:val="nil"/>
              <w:right w:val="nil"/>
            </w:tcBorders>
            <w:vAlign w:val="bottom"/>
          </w:tcPr>
          <w:p w14:paraId="4BC86D18"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0.134</w:t>
            </w:r>
          </w:p>
        </w:tc>
        <w:tc>
          <w:tcPr>
            <w:tcW w:w="1701" w:type="dxa"/>
            <w:tcBorders>
              <w:top w:val="nil"/>
              <w:left w:val="nil"/>
              <w:bottom w:val="nil"/>
              <w:right w:val="nil"/>
            </w:tcBorders>
            <w:vAlign w:val="bottom"/>
          </w:tcPr>
          <w:p w14:paraId="4BC86D1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0.131</w:t>
            </w:r>
          </w:p>
        </w:tc>
        <w:tc>
          <w:tcPr>
            <w:tcW w:w="1983" w:type="dxa"/>
            <w:tcBorders>
              <w:top w:val="nil"/>
              <w:left w:val="nil"/>
              <w:bottom w:val="nil"/>
              <w:right w:val="nil"/>
            </w:tcBorders>
            <w:vAlign w:val="bottom"/>
          </w:tcPr>
          <w:p w14:paraId="4BC86D1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0.131</w:t>
            </w:r>
          </w:p>
        </w:tc>
      </w:tr>
      <w:tr w:rsidR="005140C3" w:rsidRPr="00A82BE5" w14:paraId="4BC86D20" w14:textId="77777777" w:rsidTr="009F3C26">
        <w:trPr>
          <w:trHeight w:val="248"/>
          <w:jc w:val="center"/>
        </w:trPr>
        <w:tc>
          <w:tcPr>
            <w:tcW w:w="4113" w:type="dxa"/>
            <w:tcBorders>
              <w:top w:val="nil"/>
              <w:left w:val="nil"/>
              <w:bottom w:val="nil"/>
              <w:right w:val="nil"/>
            </w:tcBorders>
            <w:vAlign w:val="center"/>
          </w:tcPr>
          <w:p w14:paraId="4BC86D1C"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El Salvador</w:t>
            </w:r>
          </w:p>
        </w:tc>
        <w:tc>
          <w:tcPr>
            <w:tcW w:w="1842" w:type="dxa"/>
            <w:tcBorders>
              <w:top w:val="nil"/>
              <w:left w:val="nil"/>
              <w:bottom w:val="nil"/>
              <w:right w:val="nil"/>
            </w:tcBorders>
            <w:vAlign w:val="bottom"/>
          </w:tcPr>
          <w:p w14:paraId="4BC86D1D"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0.016</w:t>
            </w:r>
          </w:p>
        </w:tc>
        <w:tc>
          <w:tcPr>
            <w:tcW w:w="1701" w:type="dxa"/>
            <w:tcBorders>
              <w:top w:val="nil"/>
              <w:left w:val="nil"/>
              <w:bottom w:val="nil"/>
              <w:right w:val="nil"/>
            </w:tcBorders>
            <w:vAlign w:val="bottom"/>
          </w:tcPr>
          <w:p w14:paraId="4BC86D1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0.016</w:t>
            </w:r>
          </w:p>
        </w:tc>
        <w:tc>
          <w:tcPr>
            <w:tcW w:w="1983" w:type="dxa"/>
            <w:tcBorders>
              <w:top w:val="nil"/>
              <w:left w:val="nil"/>
              <w:bottom w:val="nil"/>
              <w:right w:val="nil"/>
            </w:tcBorders>
            <w:vAlign w:val="bottom"/>
          </w:tcPr>
          <w:p w14:paraId="4BC86D1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0.016</w:t>
            </w:r>
          </w:p>
        </w:tc>
      </w:tr>
      <w:tr w:rsidR="005140C3" w:rsidRPr="00A82BE5" w14:paraId="4BC86D25" w14:textId="77777777" w:rsidTr="009F3C26">
        <w:trPr>
          <w:trHeight w:val="248"/>
          <w:jc w:val="center"/>
        </w:trPr>
        <w:tc>
          <w:tcPr>
            <w:tcW w:w="4113" w:type="dxa"/>
            <w:tcBorders>
              <w:top w:val="nil"/>
              <w:left w:val="nil"/>
              <w:bottom w:val="nil"/>
              <w:right w:val="nil"/>
            </w:tcBorders>
            <w:vAlign w:val="center"/>
          </w:tcPr>
          <w:p w14:paraId="4BC86D21"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Equatorial Guinea</w:t>
            </w:r>
          </w:p>
        </w:tc>
        <w:tc>
          <w:tcPr>
            <w:tcW w:w="1842" w:type="dxa"/>
            <w:tcBorders>
              <w:top w:val="nil"/>
              <w:left w:val="nil"/>
              <w:bottom w:val="nil"/>
              <w:right w:val="nil"/>
            </w:tcBorders>
            <w:vAlign w:val="bottom"/>
          </w:tcPr>
          <w:p w14:paraId="4BC86D22"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0.010</w:t>
            </w:r>
          </w:p>
        </w:tc>
        <w:tc>
          <w:tcPr>
            <w:tcW w:w="1701" w:type="dxa"/>
            <w:tcBorders>
              <w:top w:val="nil"/>
              <w:left w:val="nil"/>
              <w:bottom w:val="nil"/>
              <w:right w:val="nil"/>
            </w:tcBorders>
            <w:vAlign w:val="bottom"/>
          </w:tcPr>
          <w:p w14:paraId="4BC86D2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c>
          <w:tcPr>
            <w:tcW w:w="1983" w:type="dxa"/>
            <w:tcBorders>
              <w:top w:val="nil"/>
              <w:left w:val="nil"/>
              <w:bottom w:val="nil"/>
              <w:right w:val="nil"/>
            </w:tcBorders>
            <w:vAlign w:val="bottom"/>
          </w:tcPr>
          <w:p w14:paraId="4BC86D2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r>
      <w:tr w:rsidR="005140C3" w:rsidRPr="00A82BE5" w14:paraId="4BC86D2A" w14:textId="77777777" w:rsidTr="009F3C26">
        <w:trPr>
          <w:trHeight w:val="248"/>
          <w:jc w:val="center"/>
        </w:trPr>
        <w:tc>
          <w:tcPr>
            <w:tcW w:w="4113" w:type="dxa"/>
            <w:tcBorders>
              <w:top w:val="nil"/>
              <w:left w:val="nil"/>
              <w:bottom w:val="nil"/>
              <w:right w:val="nil"/>
            </w:tcBorders>
            <w:vAlign w:val="center"/>
          </w:tcPr>
          <w:p w14:paraId="4BC86D26"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Eritrea</w:t>
            </w:r>
          </w:p>
        </w:tc>
        <w:tc>
          <w:tcPr>
            <w:tcW w:w="1842" w:type="dxa"/>
            <w:tcBorders>
              <w:top w:val="nil"/>
              <w:left w:val="nil"/>
              <w:bottom w:val="nil"/>
              <w:right w:val="nil"/>
            </w:tcBorders>
            <w:vAlign w:val="bottom"/>
          </w:tcPr>
          <w:p w14:paraId="4BC86D27"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D2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D2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D2F" w14:textId="77777777" w:rsidTr="009F3C26">
        <w:trPr>
          <w:trHeight w:val="248"/>
          <w:jc w:val="center"/>
        </w:trPr>
        <w:tc>
          <w:tcPr>
            <w:tcW w:w="4113" w:type="dxa"/>
            <w:tcBorders>
              <w:top w:val="nil"/>
              <w:left w:val="nil"/>
              <w:bottom w:val="nil"/>
              <w:right w:val="nil"/>
            </w:tcBorders>
            <w:vAlign w:val="center"/>
          </w:tcPr>
          <w:p w14:paraId="4BC86D2B"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Estonia</w:t>
            </w:r>
          </w:p>
        </w:tc>
        <w:tc>
          <w:tcPr>
            <w:tcW w:w="1842" w:type="dxa"/>
            <w:tcBorders>
              <w:top w:val="nil"/>
              <w:left w:val="nil"/>
              <w:bottom w:val="nil"/>
              <w:right w:val="nil"/>
            </w:tcBorders>
            <w:vAlign w:val="bottom"/>
          </w:tcPr>
          <w:p w14:paraId="4BC86D2C"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0.040</w:t>
            </w:r>
          </w:p>
        </w:tc>
        <w:tc>
          <w:tcPr>
            <w:tcW w:w="1701" w:type="dxa"/>
            <w:tcBorders>
              <w:top w:val="nil"/>
              <w:left w:val="nil"/>
              <w:bottom w:val="nil"/>
              <w:right w:val="nil"/>
            </w:tcBorders>
            <w:vAlign w:val="bottom"/>
          </w:tcPr>
          <w:p w14:paraId="4BC86D2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0.039</w:t>
            </w:r>
          </w:p>
        </w:tc>
        <w:tc>
          <w:tcPr>
            <w:tcW w:w="1983" w:type="dxa"/>
            <w:tcBorders>
              <w:top w:val="nil"/>
              <w:left w:val="nil"/>
              <w:bottom w:val="nil"/>
              <w:right w:val="nil"/>
            </w:tcBorders>
            <w:vAlign w:val="bottom"/>
          </w:tcPr>
          <w:p w14:paraId="4BC86D2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0.039</w:t>
            </w:r>
          </w:p>
        </w:tc>
      </w:tr>
      <w:tr w:rsidR="005140C3" w:rsidRPr="00A82BE5" w14:paraId="4BC86D34" w14:textId="77777777" w:rsidTr="009F3C26">
        <w:trPr>
          <w:trHeight w:val="248"/>
          <w:jc w:val="center"/>
        </w:trPr>
        <w:tc>
          <w:tcPr>
            <w:tcW w:w="4113" w:type="dxa"/>
            <w:tcBorders>
              <w:top w:val="nil"/>
              <w:left w:val="nil"/>
              <w:bottom w:val="nil"/>
              <w:right w:val="nil"/>
            </w:tcBorders>
            <w:vAlign w:val="center"/>
          </w:tcPr>
          <w:p w14:paraId="4BC86D30"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Ethiopia</w:t>
            </w:r>
          </w:p>
        </w:tc>
        <w:tc>
          <w:tcPr>
            <w:tcW w:w="1842" w:type="dxa"/>
            <w:tcBorders>
              <w:top w:val="nil"/>
              <w:left w:val="nil"/>
              <w:bottom w:val="nil"/>
              <w:right w:val="nil"/>
            </w:tcBorders>
            <w:vAlign w:val="bottom"/>
          </w:tcPr>
          <w:p w14:paraId="4BC86D31"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0.010</w:t>
            </w:r>
          </w:p>
        </w:tc>
        <w:tc>
          <w:tcPr>
            <w:tcW w:w="1701" w:type="dxa"/>
            <w:tcBorders>
              <w:top w:val="nil"/>
              <w:left w:val="nil"/>
              <w:bottom w:val="nil"/>
              <w:right w:val="nil"/>
            </w:tcBorders>
            <w:vAlign w:val="bottom"/>
          </w:tcPr>
          <w:p w14:paraId="4BC86D3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c>
          <w:tcPr>
            <w:tcW w:w="1983" w:type="dxa"/>
            <w:tcBorders>
              <w:top w:val="nil"/>
              <w:left w:val="nil"/>
              <w:bottom w:val="nil"/>
              <w:right w:val="nil"/>
            </w:tcBorders>
            <w:vAlign w:val="bottom"/>
          </w:tcPr>
          <w:p w14:paraId="4BC86D3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r>
      <w:tr w:rsidR="005140C3" w:rsidRPr="00A82BE5" w14:paraId="4BC86D39" w14:textId="77777777" w:rsidTr="009F3C26">
        <w:trPr>
          <w:trHeight w:val="248"/>
          <w:jc w:val="center"/>
        </w:trPr>
        <w:tc>
          <w:tcPr>
            <w:tcW w:w="4113" w:type="dxa"/>
            <w:tcBorders>
              <w:top w:val="nil"/>
              <w:left w:val="nil"/>
              <w:bottom w:val="nil"/>
              <w:right w:val="nil"/>
            </w:tcBorders>
            <w:vAlign w:val="center"/>
          </w:tcPr>
          <w:p w14:paraId="4BC86D35"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European Union</w:t>
            </w:r>
          </w:p>
        </w:tc>
        <w:tc>
          <w:tcPr>
            <w:tcW w:w="1842" w:type="dxa"/>
            <w:tcBorders>
              <w:top w:val="nil"/>
              <w:left w:val="nil"/>
              <w:bottom w:val="nil"/>
              <w:right w:val="nil"/>
            </w:tcBorders>
            <w:vAlign w:val="bottom"/>
          </w:tcPr>
          <w:p w14:paraId="4BC86D36"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2.500</w:t>
            </w:r>
          </w:p>
        </w:tc>
        <w:tc>
          <w:tcPr>
            <w:tcW w:w="1701" w:type="dxa"/>
            <w:tcBorders>
              <w:top w:val="nil"/>
              <w:left w:val="nil"/>
              <w:bottom w:val="nil"/>
              <w:right w:val="nil"/>
            </w:tcBorders>
            <w:vAlign w:val="bottom"/>
          </w:tcPr>
          <w:p w14:paraId="4BC86D3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2.500</w:t>
            </w:r>
          </w:p>
        </w:tc>
        <w:tc>
          <w:tcPr>
            <w:tcW w:w="1983" w:type="dxa"/>
            <w:tcBorders>
              <w:top w:val="nil"/>
              <w:left w:val="nil"/>
              <w:bottom w:val="nil"/>
              <w:right w:val="nil"/>
            </w:tcBorders>
            <w:vAlign w:val="bottom"/>
          </w:tcPr>
          <w:p w14:paraId="4BC86D3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2.500</w:t>
            </w:r>
          </w:p>
        </w:tc>
      </w:tr>
      <w:tr w:rsidR="005140C3" w:rsidRPr="00A82BE5" w14:paraId="4BC86D3E" w14:textId="77777777" w:rsidTr="009F3C26">
        <w:trPr>
          <w:trHeight w:val="248"/>
          <w:jc w:val="center"/>
        </w:trPr>
        <w:tc>
          <w:tcPr>
            <w:tcW w:w="4113" w:type="dxa"/>
            <w:tcBorders>
              <w:top w:val="nil"/>
              <w:left w:val="nil"/>
              <w:bottom w:val="nil"/>
              <w:right w:val="nil"/>
            </w:tcBorders>
            <w:vAlign w:val="center"/>
          </w:tcPr>
          <w:p w14:paraId="4BC86D3A"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Fiji</w:t>
            </w:r>
          </w:p>
        </w:tc>
        <w:tc>
          <w:tcPr>
            <w:tcW w:w="1842" w:type="dxa"/>
            <w:tcBorders>
              <w:top w:val="nil"/>
              <w:left w:val="nil"/>
              <w:bottom w:val="nil"/>
              <w:right w:val="nil"/>
            </w:tcBorders>
            <w:vAlign w:val="bottom"/>
          </w:tcPr>
          <w:p w14:paraId="4BC86D3B"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0.003</w:t>
            </w:r>
          </w:p>
        </w:tc>
        <w:tc>
          <w:tcPr>
            <w:tcW w:w="1701" w:type="dxa"/>
            <w:tcBorders>
              <w:top w:val="nil"/>
              <w:left w:val="nil"/>
              <w:bottom w:val="nil"/>
              <w:right w:val="nil"/>
            </w:tcBorders>
            <w:vAlign w:val="bottom"/>
          </w:tcPr>
          <w:p w14:paraId="4BC86D3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c>
          <w:tcPr>
            <w:tcW w:w="1983" w:type="dxa"/>
            <w:tcBorders>
              <w:top w:val="nil"/>
              <w:left w:val="nil"/>
              <w:bottom w:val="nil"/>
              <w:right w:val="nil"/>
            </w:tcBorders>
            <w:vAlign w:val="bottom"/>
          </w:tcPr>
          <w:p w14:paraId="4BC86D3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r>
      <w:tr w:rsidR="005140C3" w:rsidRPr="00A82BE5" w14:paraId="4BC86D43" w14:textId="77777777" w:rsidTr="009F3C26">
        <w:trPr>
          <w:trHeight w:val="248"/>
          <w:jc w:val="center"/>
        </w:trPr>
        <w:tc>
          <w:tcPr>
            <w:tcW w:w="4113" w:type="dxa"/>
            <w:tcBorders>
              <w:top w:val="nil"/>
              <w:left w:val="nil"/>
              <w:bottom w:val="nil"/>
              <w:right w:val="nil"/>
            </w:tcBorders>
            <w:vAlign w:val="center"/>
          </w:tcPr>
          <w:p w14:paraId="4BC86D3F"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Finland</w:t>
            </w:r>
          </w:p>
        </w:tc>
        <w:tc>
          <w:tcPr>
            <w:tcW w:w="1842" w:type="dxa"/>
            <w:tcBorders>
              <w:top w:val="nil"/>
              <w:left w:val="nil"/>
              <w:bottom w:val="nil"/>
              <w:right w:val="nil"/>
            </w:tcBorders>
            <w:vAlign w:val="bottom"/>
          </w:tcPr>
          <w:p w14:paraId="4BC86D40"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0.519</w:t>
            </w:r>
          </w:p>
        </w:tc>
        <w:tc>
          <w:tcPr>
            <w:tcW w:w="1701" w:type="dxa"/>
            <w:tcBorders>
              <w:top w:val="nil"/>
              <w:left w:val="nil"/>
              <w:bottom w:val="nil"/>
              <w:right w:val="nil"/>
            </w:tcBorders>
            <w:vAlign w:val="bottom"/>
          </w:tcPr>
          <w:p w14:paraId="4BC86D4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0.506</w:t>
            </w:r>
          </w:p>
        </w:tc>
        <w:tc>
          <w:tcPr>
            <w:tcW w:w="1983" w:type="dxa"/>
            <w:tcBorders>
              <w:top w:val="nil"/>
              <w:left w:val="nil"/>
              <w:bottom w:val="nil"/>
              <w:right w:val="nil"/>
            </w:tcBorders>
            <w:vAlign w:val="bottom"/>
          </w:tcPr>
          <w:p w14:paraId="4BC86D4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0.506</w:t>
            </w:r>
          </w:p>
        </w:tc>
      </w:tr>
      <w:tr w:rsidR="005140C3" w:rsidRPr="00A82BE5" w14:paraId="4BC86D48" w14:textId="77777777" w:rsidTr="009F3C26">
        <w:trPr>
          <w:trHeight w:val="248"/>
          <w:jc w:val="center"/>
        </w:trPr>
        <w:tc>
          <w:tcPr>
            <w:tcW w:w="4113" w:type="dxa"/>
            <w:tcBorders>
              <w:top w:val="nil"/>
              <w:left w:val="nil"/>
              <w:bottom w:val="nil"/>
              <w:right w:val="nil"/>
            </w:tcBorders>
            <w:vAlign w:val="center"/>
          </w:tcPr>
          <w:p w14:paraId="4BC86D44"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France</w:t>
            </w:r>
          </w:p>
        </w:tc>
        <w:tc>
          <w:tcPr>
            <w:tcW w:w="1842" w:type="dxa"/>
            <w:tcBorders>
              <w:top w:val="nil"/>
              <w:left w:val="nil"/>
              <w:bottom w:val="nil"/>
              <w:right w:val="nil"/>
            </w:tcBorders>
            <w:vAlign w:val="bottom"/>
          </w:tcPr>
          <w:p w14:paraId="4BC86D45"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5.593</w:t>
            </w:r>
          </w:p>
        </w:tc>
        <w:tc>
          <w:tcPr>
            <w:tcW w:w="1701" w:type="dxa"/>
            <w:tcBorders>
              <w:top w:val="nil"/>
              <w:left w:val="nil"/>
              <w:bottom w:val="nil"/>
              <w:right w:val="nil"/>
            </w:tcBorders>
            <w:vAlign w:val="bottom"/>
          </w:tcPr>
          <w:p w14:paraId="4BC86D4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5.453</w:t>
            </w:r>
          </w:p>
        </w:tc>
        <w:tc>
          <w:tcPr>
            <w:tcW w:w="1983" w:type="dxa"/>
            <w:tcBorders>
              <w:top w:val="nil"/>
              <w:left w:val="nil"/>
              <w:bottom w:val="nil"/>
              <w:right w:val="nil"/>
            </w:tcBorders>
            <w:vAlign w:val="bottom"/>
          </w:tcPr>
          <w:p w14:paraId="4BC86D4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5.453</w:t>
            </w:r>
          </w:p>
        </w:tc>
      </w:tr>
      <w:tr w:rsidR="005140C3" w:rsidRPr="00A82BE5" w14:paraId="4BC86D4D" w14:textId="77777777" w:rsidTr="009F3C26">
        <w:trPr>
          <w:trHeight w:val="248"/>
          <w:jc w:val="center"/>
        </w:trPr>
        <w:tc>
          <w:tcPr>
            <w:tcW w:w="4113" w:type="dxa"/>
            <w:tcBorders>
              <w:top w:val="nil"/>
              <w:left w:val="nil"/>
              <w:bottom w:val="nil"/>
              <w:right w:val="nil"/>
            </w:tcBorders>
            <w:vAlign w:val="center"/>
          </w:tcPr>
          <w:p w14:paraId="4BC86D49"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Gabon</w:t>
            </w:r>
          </w:p>
        </w:tc>
        <w:tc>
          <w:tcPr>
            <w:tcW w:w="1842" w:type="dxa"/>
            <w:tcBorders>
              <w:top w:val="nil"/>
              <w:left w:val="nil"/>
              <w:bottom w:val="nil"/>
              <w:right w:val="nil"/>
            </w:tcBorders>
            <w:vAlign w:val="bottom"/>
          </w:tcPr>
          <w:p w14:paraId="4BC86D4A"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0.020</w:t>
            </w:r>
          </w:p>
        </w:tc>
        <w:tc>
          <w:tcPr>
            <w:tcW w:w="1701" w:type="dxa"/>
            <w:tcBorders>
              <w:top w:val="nil"/>
              <w:left w:val="nil"/>
              <w:bottom w:val="nil"/>
              <w:right w:val="nil"/>
            </w:tcBorders>
            <w:vAlign w:val="bottom"/>
          </w:tcPr>
          <w:p w14:paraId="4BC86D4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0.019</w:t>
            </w:r>
          </w:p>
        </w:tc>
        <w:tc>
          <w:tcPr>
            <w:tcW w:w="1983" w:type="dxa"/>
            <w:tcBorders>
              <w:top w:val="nil"/>
              <w:left w:val="nil"/>
              <w:bottom w:val="nil"/>
              <w:right w:val="nil"/>
            </w:tcBorders>
            <w:vAlign w:val="bottom"/>
          </w:tcPr>
          <w:p w14:paraId="4BC86D4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0.019</w:t>
            </w:r>
          </w:p>
        </w:tc>
      </w:tr>
      <w:tr w:rsidR="005140C3" w:rsidRPr="00A82BE5" w14:paraId="4BC86D52" w14:textId="77777777" w:rsidTr="009F3C26">
        <w:trPr>
          <w:trHeight w:val="248"/>
          <w:jc w:val="center"/>
        </w:trPr>
        <w:tc>
          <w:tcPr>
            <w:tcW w:w="4113" w:type="dxa"/>
            <w:tcBorders>
              <w:top w:val="nil"/>
              <w:left w:val="nil"/>
              <w:bottom w:val="nil"/>
              <w:right w:val="nil"/>
            </w:tcBorders>
            <w:vAlign w:val="center"/>
          </w:tcPr>
          <w:p w14:paraId="4BC86D4E"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Gambia</w:t>
            </w:r>
          </w:p>
        </w:tc>
        <w:tc>
          <w:tcPr>
            <w:tcW w:w="1842" w:type="dxa"/>
            <w:tcBorders>
              <w:top w:val="nil"/>
              <w:left w:val="nil"/>
              <w:bottom w:val="nil"/>
              <w:right w:val="nil"/>
            </w:tcBorders>
            <w:vAlign w:val="bottom"/>
          </w:tcPr>
          <w:p w14:paraId="4BC86D4F"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D5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D5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D57" w14:textId="77777777" w:rsidTr="009F3C26">
        <w:trPr>
          <w:trHeight w:val="248"/>
          <w:jc w:val="center"/>
        </w:trPr>
        <w:tc>
          <w:tcPr>
            <w:tcW w:w="4113" w:type="dxa"/>
            <w:tcBorders>
              <w:top w:val="nil"/>
              <w:left w:val="nil"/>
              <w:bottom w:val="nil"/>
              <w:right w:val="nil"/>
            </w:tcBorders>
            <w:vAlign w:val="center"/>
          </w:tcPr>
          <w:p w14:paraId="4BC86D53"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Georgia</w:t>
            </w:r>
          </w:p>
        </w:tc>
        <w:tc>
          <w:tcPr>
            <w:tcW w:w="1842" w:type="dxa"/>
            <w:tcBorders>
              <w:top w:val="nil"/>
              <w:left w:val="nil"/>
              <w:bottom w:val="nil"/>
              <w:right w:val="nil"/>
            </w:tcBorders>
            <w:vAlign w:val="bottom"/>
          </w:tcPr>
          <w:p w14:paraId="4BC86D54"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0.007</w:t>
            </w:r>
          </w:p>
        </w:tc>
        <w:tc>
          <w:tcPr>
            <w:tcW w:w="1701" w:type="dxa"/>
            <w:tcBorders>
              <w:top w:val="nil"/>
              <w:left w:val="nil"/>
              <w:bottom w:val="nil"/>
              <w:right w:val="nil"/>
            </w:tcBorders>
            <w:vAlign w:val="bottom"/>
          </w:tcPr>
          <w:p w14:paraId="4BC86D5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0.007</w:t>
            </w:r>
          </w:p>
        </w:tc>
        <w:tc>
          <w:tcPr>
            <w:tcW w:w="1983" w:type="dxa"/>
            <w:tcBorders>
              <w:top w:val="nil"/>
              <w:left w:val="nil"/>
              <w:bottom w:val="nil"/>
              <w:right w:val="nil"/>
            </w:tcBorders>
            <w:vAlign w:val="bottom"/>
          </w:tcPr>
          <w:p w14:paraId="4BC86D5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0.007</w:t>
            </w:r>
          </w:p>
        </w:tc>
      </w:tr>
      <w:tr w:rsidR="005140C3" w:rsidRPr="00A82BE5" w14:paraId="4BC86D5C" w14:textId="77777777" w:rsidTr="009F3C26">
        <w:trPr>
          <w:trHeight w:val="248"/>
          <w:jc w:val="center"/>
        </w:trPr>
        <w:tc>
          <w:tcPr>
            <w:tcW w:w="4113" w:type="dxa"/>
            <w:tcBorders>
              <w:top w:val="nil"/>
              <w:left w:val="nil"/>
              <w:bottom w:val="nil"/>
              <w:right w:val="nil"/>
            </w:tcBorders>
            <w:vAlign w:val="center"/>
          </w:tcPr>
          <w:p w14:paraId="4BC86D58"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Germany</w:t>
            </w:r>
          </w:p>
        </w:tc>
        <w:tc>
          <w:tcPr>
            <w:tcW w:w="1842" w:type="dxa"/>
            <w:tcBorders>
              <w:top w:val="nil"/>
              <w:left w:val="nil"/>
              <w:bottom w:val="nil"/>
              <w:right w:val="nil"/>
            </w:tcBorders>
            <w:vAlign w:val="bottom"/>
          </w:tcPr>
          <w:p w14:paraId="4BC86D59"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7.141</w:t>
            </w:r>
          </w:p>
        </w:tc>
        <w:tc>
          <w:tcPr>
            <w:tcW w:w="1701" w:type="dxa"/>
            <w:tcBorders>
              <w:top w:val="nil"/>
              <w:left w:val="nil"/>
              <w:bottom w:val="nil"/>
              <w:right w:val="nil"/>
            </w:tcBorders>
            <w:vAlign w:val="bottom"/>
          </w:tcPr>
          <w:p w14:paraId="4BC86D5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6.962</w:t>
            </w:r>
          </w:p>
        </w:tc>
        <w:tc>
          <w:tcPr>
            <w:tcW w:w="1983" w:type="dxa"/>
            <w:tcBorders>
              <w:top w:val="nil"/>
              <w:left w:val="nil"/>
              <w:bottom w:val="nil"/>
              <w:right w:val="nil"/>
            </w:tcBorders>
            <w:vAlign w:val="bottom"/>
          </w:tcPr>
          <w:p w14:paraId="4BC86D5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6.962</w:t>
            </w:r>
          </w:p>
        </w:tc>
      </w:tr>
      <w:tr w:rsidR="005140C3" w:rsidRPr="00A82BE5" w14:paraId="4BC86D61" w14:textId="77777777" w:rsidTr="009F3C26">
        <w:trPr>
          <w:trHeight w:val="248"/>
          <w:jc w:val="center"/>
        </w:trPr>
        <w:tc>
          <w:tcPr>
            <w:tcW w:w="4113" w:type="dxa"/>
            <w:tcBorders>
              <w:top w:val="nil"/>
              <w:left w:val="nil"/>
              <w:bottom w:val="nil"/>
              <w:right w:val="nil"/>
            </w:tcBorders>
            <w:vAlign w:val="center"/>
          </w:tcPr>
          <w:p w14:paraId="4BC86D5D"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Ghana</w:t>
            </w:r>
          </w:p>
        </w:tc>
        <w:tc>
          <w:tcPr>
            <w:tcW w:w="1842" w:type="dxa"/>
            <w:tcBorders>
              <w:top w:val="nil"/>
              <w:left w:val="nil"/>
              <w:bottom w:val="nil"/>
              <w:right w:val="nil"/>
            </w:tcBorders>
            <w:vAlign w:val="bottom"/>
          </w:tcPr>
          <w:p w14:paraId="4BC86D5E"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0.014</w:t>
            </w:r>
          </w:p>
        </w:tc>
        <w:tc>
          <w:tcPr>
            <w:tcW w:w="1701" w:type="dxa"/>
            <w:tcBorders>
              <w:top w:val="nil"/>
              <w:left w:val="nil"/>
              <w:bottom w:val="nil"/>
              <w:right w:val="nil"/>
            </w:tcBorders>
            <w:vAlign w:val="bottom"/>
          </w:tcPr>
          <w:p w14:paraId="4BC86D5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0.014</w:t>
            </w:r>
          </w:p>
        </w:tc>
        <w:tc>
          <w:tcPr>
            <w:tcW w:w="1983" w:type="dxa"/>
            <w:tcBorders>
              <w:top w:val="nil"/>
              <w:left w:val="nil"/>
              <w:bottom w:val="nil"/>
              <w:right w:val="nil"/>
            </w:tcBorders>
            <w:vAlign w:val="bottom"/>
          </w:tcPr>
          <w:p w14:paraId="4BC86D6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0.014</w:t>
            </w:r>
          </w:p>
        </w:tc>
      </w:tr>
      <w:tr w:rsidR="005140C3" w:rsidRPr="00A82BE5" w14:paraId="4BC86D66" w14:textId="77777777" w:rsidTr="009F3C26">
        <w:trPr>
          <w:trHeight w:val="248"/>
          <w:jc w:val="center"/>
        </w:trPr>
        <w:tc>
          <w:tcPr>
            <w:tcW w:w="4113" w:type="dxa"/>
            <w:tcBorders>
              <w:top w:val="nil"/>
              <w:left w:val="nil"/>
              <w:bottom w:val="nil"/>
              <w:right w:val="nil"/>
            </w:tcBorders>
            <w:vAlign w:val="center"/>
          </w:tcPr>
          <w:p w14:paraId="4BC86D62"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Greece</w:t>
            </w:r>
          </w:p>
        </w:tc>
        <w:tc>
          <w:tcPr>
            <w:tcW w:w="1842" w:type="dxa"/>
            <w:tcBorders>
              <w:top w:val="nil"/>
              <w:left w:val="nil"/>
              <w:bottom w:val="nil"/>
              <w:right w:val="nil"/>
            </w:tcBorders>
            <w:vAlign w:val="bottom"/>
          </w:tcPr>
          <w:p w14:paraId="4BC86D63"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0.638</w:t>
            </w:r>
          </w:p>
        </w:tc>
        <w:tc>
          <w:tcPr>
            <w:tcW w:w="1701" w:type="dxa"/>
            <w:tcBorders>
              <w:top w:val="nil"/>
              <w:left w:val="nil"/>
              <w:bottom w:val="nil"/>
              <w:right w:val="nil"/>
            </w:tcBorders>
            <w:vAlign w:val="bottom"/>
          </w:tcPr>
          <w:p w14:paraId="4BC86D6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0.622</w:t>
            </w:r>
          </w:p>
        </w:tc>
        <w:tc>
          <w:tcPr>
            <w:tcW w:w="1983" w:type="dxa"/>
            <w:tcBorders>
              <w:top w:val="nil"/>
              <w:left w:val="nil"/>
              <w:bottom w:val="nil"/>
              <w:right w:val="nil"/>
            </w:tcBorders>
            <w:vAlign w:val="bottom"/>
          </w:tcPr>
          <w:p w14:paraId="4BC86D6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0.622</w:t>
            </w:r>
          </w:p>
        </w:tc>
      </w:tr>
      <w:tr w:rsidR="005140C3" w:rsidRPr="00A82BE5" w14:paraId="4BC86D6B" w14:textId="77777777" w:rsidTr="009F3C26">
        <w:trPr>
          <w:trHeight w:val="248"/>
          <w:jc w:val="center"/>
        </w:trPr>
        <w:tc>
          <w:tcPr>
            <w:tcW w:w="4113" w:type="dxa"/>
            <w:tcBorders>
              <w:top w:val="nil"/>
              <w:left w:val="nil"/>
              <w:bottom w:val="nil"/>
              <w:right w:val="nil"/>
            </w:tcBorders>
            <w:vAlign w:val="center"/>
          </w:tcPr>
          <w:p w14:paraId="4BC86D67"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Grenada</w:t>
            </w:r>
          </w:p>
        </w:tc>
        <w:tc>
          <w:tcPr>
            <w:tcW w:w="1842" w:type="dxa"/>
            <w:tcBorders>
              <w:top w:val="nil"/>
              <w:left w:val="nil"/>
              <w:bottom w:val="nil"/>
              <w:right w:val="nil"/>
            </w:tcBorders>
            <w:vAlign w:val="bottom"/>
          </w:tcPr>
          <w:p w14:paraId="4BC86D68"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D6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D6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D70" w14:textId="77777777" w:rsidTr="009F3C26">
        <w:trPr>
          <w:trHeight w:val="248"/>
          <w:jc w:val="center"/>
        </w:trPr>
        <w:tc>
          <w:tcPr>
            <w:tcW w:w="4113" w:type="dxa"/>
            <w:tcBorders>
              <w:top w:val="nil"/>
              <w:left w:val="nil"/>
              <w:bottom w:val="nil"/>
              <w:right w:val="nil"/>
            </w:tcBorders>
            <w:vAlign w:val="center"/>
          </w:tcPr>
          <w:p w14:paraId="4BC86D6C"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Guatemala</w:t>
            </w:r>
          </w:p>
        </w:tc>
        <w:tc>
          <w:tcPr>
            <w:tcW w:w="1842" w:type="dxa"/>
            <w:tcBorders>
              <w:top w:val="nil"/>
              <w:left w:val="nil"/>
              <w:bottom w:val="nil"/>
              <w:right w:val="nil"/>
            </w:tcBorders>
            <w:vAlign w:val="bottom"/>
          </w:tcPr>
          <w:p w14:paraId="4BC86D6D"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0.027</w:t>
            </w:r>
          </w:p>
        </w:tc>
        <w:tc>
          <w:tcPr>
            <w:tcW w:w="1701" w:type="dxa"/>
            <w:tcBorders>
              <w:top w:val="nil"/>
              <w:left w:val="nil"/>
              <w:bottom w:val="nil"/>
              <w:right w:val="nil"/>
            </w:tcBorders>
            <w:vAlign w:val="bottom"/>
          </w:tcPr>
          <w:p w14:paraId="4BC86D6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0.026</w:t>
            </w:r>
          </w:p>
        </w:tc>
        <w:tc>
          <w:tcPr>
            <w:tcW w:w="1983" w:type="dxa"/>
            <w:tcBorders>
              <w:top w:val="nil"/>
              <w:left w:val="nil"/>
              <w:bottom w:val="nil"/>
              <w:right w:val="nil"/>
            </w:tcBorders>
            <w:vAlign w:val="bottom"/>
          </w:tcPr>
          <w:p w14:paraId="4BC86D6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0.026</w:t>
            </w:r>
          </w:p>
        </w:tc>
      </w:tr>
      <w:tr w:rsidR="005140C3" w:rsidRPr="00A82BE5" w14:paraId="4BC86D75" w14:textId="77777777" w:rsidTr="009F3C26">
        <w:trPr>
          <w:trHeight w:val="248"/>
          <w:jc w:val="center"/>
        </w:trPr>
        <w:tc>
          <w:tcPr>
            <w:tcW w:w="4113" w:type="dxa"/>
            <w:tcBorders>
              <w:top w:val="nil"/>
              <w:left w:val="nil"/>
              <w:bottom w:val="nil"/>
              <w:right w:val="nil"/>
            </w:tcBorders>
            <w:vAlign w:val="center"/>
          </w:tcPr>
          <w:p w14:paraId="4BC86D71"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Guinea</w:t>
            </w:r>
          </w:p>
        </w:tc>
        <w:tc>
          <w:tcPr>
            <w:tcW w:w="1842" w:type="dxa"/>
            <w:tcBorders>
              <w:top w:val="nil"/>
              <w:left w:val="nil"/>
              <w:bottom w:val="nil"/>
              <w:right w:val="nil"/>
            </w:tcBorders>
            <w:vAlign w:val="bottom"/>
          </w:tcPr>
          <w:p w14:paraId="4BC86D72"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D7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D7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D7A" w14:textId="77777777" w:rsidTr="009F3C26">
        <w:trPr>
          <w:trHeight w:val="248"/>
          <w:jc w:val="center"/>
        </w:trPr>
        <w:tc>
          <w:tcPr>
            <w:tcW w:w="4113" w:type="dxa"/>
            <w:tcBorders>
              <w:top w:val="nil"/>
              <w:left w:val="nil"/>
              <w:bottom w:val="nil"/>
              <w:right w:val="nil"/>
            </w:tcBorders>
            <w:vAlign w:val="center"/>
          </w:tcPr>
          <w:p w14:paraId="4BC86D76"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Guinea-Bissau</w:t>
            </w:r>
          </w:p>
        </w:tc>
        <w:tc>
          <w:tcPr>
            <w:tcW w:w="1842" w:type="dxa"/>
            <w:tcBorders>
              <w:top w:val="nil"/>
              <w:left w:val="nil"/>
              <w:bottom w:val="nil"/>
              <w:right w:val="nil"/>
            </w:tcBorders>
            <w:vAlign w:val="bottom"/>
          </w:tcPr>
          <w:p w14:paraId="4BC86D77"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D7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D7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D7F" w14:textId="77777777" w:rsidTr="009F3C26">
        <w:trPr>
          <w:trHeight w:val="248"/>
          <w:jc w:val="center"/>
        </w:trPr>
        <w:tc>
          <w:tcPr>
            <w:tcW w:w="4113" w:type="dxa"/>
            <w:tcBorders>
              <w:top w:val="nil"/>
              <w:left w:val="nil"/>
              <w:bottom w:val="nil"/>
              <w:right w:val="nil"/>
            </w:tcBorders>
            <w:vAlign w:val="center"/>
          </w:tcPr>
          <w:p w14:paraId="4BC86D7B"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Guyana</w:t>
            </w:r>
          </w:p>
        </w:tc>
        <w:tc>
          <w:tcPr>
            <w:tcW w:w="1842" w:type="dxa"/>
            <w:tcBorders>
              <w:top w:val="nil"/>
              <w:left w:val="nil"/>
              <w:bottom w:val="nil"/>
              <w:right w:val="nil"/>
            </w:tcBorders>
            <w:vAlign w:val="bottom"/>
          </w:tcPr>
          <w:p w14:paraId="4BC86D7C"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D7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D7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D84" w14:textId="77777777" w:rsidTr="009F3C26">
        <w:trPr>
          <w:trHeight w:val="248"/>
          <w:jc w:val="center"/>
        </w:trPr>
        <w:tc>
          <w:tcPr>
            <w:tcW w:w="4113" w:type="dxa"/>
            <w:tcBorders>
              <w:top w:val="nil"/>
              <w:left w:val="nil"/>
              <w:bottom w:val="nil"/>
              <w:right w:val="nil"/>
            </w:tcBorders>
            <w:vAlign w:val="center"/>
          </w:tcPr>
          <w:p w14:paraId="4BC86D80"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Haiti</w:t>
            </w:r>
          </w:p>
        </w:tc>
        <w:tc>
          <w:tcPr>
            <w:tcW w:w="1842" w:type="dxa"/>
            <w:tcBorders>
              <w:top w:val="nil"/>
              <w:left w:val="nil"/>
              <w:bottom w:val="nil"/>
              <w:right w:val="nil"/>
            </w:tcBorders>
            <w:vAlign w:val="bottom"/>
          </w:tcPr>
          <w:p w14:paraId="4BC86D81"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0.003</w:t>
            </w:r>
          </w:p>
        </w:tc>
        <w:tc>
          <w:tcPr>
            <w:tcW w:w="1701" w:type="dxa"/>
            <w:tcBorders>
              <w:top w:val="nil"/>
              <w:left w:val="nil"/>
              <w:bottom w:val="nil"/>
              <w:right w:val="nil"/>
            </w:tcBorders>
            <w:vAlign w:val="bottom"/>
          </w:tcPr>
          <w:p w14:paraId="4BC86D8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c>
          <w:tcPr>
            <w:tcW w:w="1983" w:type="dxa"/>
            <w:tcBorders>
              <w:top w:val="nil"/>
              <w:left w:val="nil"/>
              <w:bottom w:val="nil"/>
              <w:right w:val="nil"/>
            </w:tcBorders>
            <w:vAlign w:val="bottom"/>
          </w:tcPr>
          <w:p w14:paraId="4BC86D8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r>
      <w:tr w:rsidR="005140C3" w:rsidRPr="00A82BE5" w14:paraId="4BC86D89" w14:textId="77777777" w:rsidTr="009F3C26">
        <w:trPr>
          <w:trHeight w:val="248"/>
          <w:jc w:val="center"/>
        </w:trPr>
        <w:tc>
          <w:tcPr>
            <w:tcW w:w="4113" w:type="dxa"/>
            <w:tcBorders>
              <w:top w:val="nil"/>
              <w:left w:val="nil"/>
              <w:bottom w:val="nil"/>
              <w:right w:val="nil"/>
            </w:tcBorders>
            <w:vAlign w:val="center"/>
          </w:tcPr>
          <w:p w14:paraId="4BC86D85"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Honduras</w:t>
            </w:r>
          </w:p>
        </w:tc>
        <w:tc>
          <w:tcPr>
            <w:tcW w:w="1842" w:type="dxa"/>
            <w:tcBorders>
              <w:top w:val="nil"/>
              <w:left w:val="nil"/>
              <w:bottom w:val="nil"/>
              <w:right w:val="nil"/>
            </w:tcBorders>
            <w:vAlign w:val="bottom"/>
          </w:tcPr>
          <w:p w14:paraId="4BC86D86"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0.008</w:t>
            </w:r>
          </w:p>
        </w:tc>
        <w:tc>
          <w:tcPr>
            <w:tcW w:w="1701" w:type="dxa"/>
            <w:tcBorders>
              <w:top w:val="nil"/>
              <w:left w:val="nil"/>
              <w:bottom w:val="nil"/>
              <w:right w:val="nil"/>
            </w:tcBorders>
            <w:vAlign w:val="bottom"/>
          </w:tcPr>
          <w:p w14:paraId="4BC86D8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0.008</w:t>
            </w:r>
          </w:p>
        </w:tc>
        <w:tc>
          <w:tcPr>
            <w:tcW w:w="1983" w:type="dxa"/>
            <w:tcBorders>
              <w:top w:val="nil"/>
              <w:left w:val="nil"/>
              <w:bottom w:val="nil"/>
              <w:right w:val="nil"/>
            </w:tcBorders>
            <w:vAlign w:val="bottom"/>
          </w:tcPr>
          <w:p w14:paraId="4BC86D8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0.008</w:t>
            </w:r>
          </w:p>
        </w:tc>
      </w:tr>
      <w:tr w:rsidR="005140C3" w:rsidRPr="00A82BE5" w14:paraId="4BC86D8E" w14:textId="77777777" w:rsidTr="009F3C26">
        <w:trPr>
          <w:trHeight w:val="248"/>
          <w:jc w:val="center"/>
        </w:trPr>
        <w:tc>
          <w:tcPr>
            <w:tcW w:w="4113" w:type="dxa"/>
            <w:tcBorders>
              <w:top w:val="nil"/>
              <w:left w:val="nil"/>
              <w:bottom w:val="nil"/>
              <w:right w:val="nil"/>
            </w:tcBorders>
            <w:vAlign w:val="center"/>
          </w:tcPr>
          <w:p w14:paraId="4BC86D8A"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Hungary</w:t>
            </w:r>
          </w:p>
        </w:tc>
        <w:tc>
          <w:tcPr>
            <w:tcW w:w="1842" w:type="dxa"/>
            <w:tcBorders>
              <w:top w:val="nil"/>
              <w:left w:val="nil"/>
              <w:bottom w:val="nil"/>
              <w:right w:val="nil"/>
            </w:tcBorders>
            <w:vAlign w:val="bottom"/>
          </w:tcPr>
          <w:p w14:paraId="4BC86D8B"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0.266</w:t>
            </w:r>
          </w:p>
        </w:tc>
        <w:tc>
          <w:tcPr>
            <w:tcW w:w="1701" w:type="dxa"/>
            <w:tcBorders>
              <w:top w:val="nil"/>
              <w:left w:val="nil"/>
              <w:bottom w:val="nil"/>
              <w:right w:val="nil"/>
            </w:tcBorders>
            <w:vAlign w:val="bottom"/>
          </w:tcPr>
          <w:p w14:paraId="4BC86D8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0.259</w:t>
            </w:r>
          </w:p>
        </w:tc>
        <w:tc>
          <w:tcPr>
            <w:tcW w:w="1983" w:type="dxa"/>
            <w:tcBorders>
              <w:top w:val="nil"/>
              <w:left w:val="nil"/>
              <w:bottom w:val="nil"/>
              <w:right w:val="nil"/>
            </w:tcBorders>
            <w:vAlign w:val="bottom"/>
          </w:tcPr>
          <w:p w14:paraId="4BC86D8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0.259</w:t>
            </w:r>
          </w:p>
        </w:tc>
      </w:tr>
      <w:tr w:rsidR="005140C3" w:rsidRPr="00A82BE5" w14:paraId="4BC86D93" w14:textId="77777777" w:rsidTr="009F3C26">
        <w:trPr>
          <w:trHeight w:val="248"/>
          <w:jc w:val="center"/>
        </w:trPr>
        <w:tc>
          <w:tcPr>
            <w:tcW w:w="4113" w:type="dxa"/>
            <w:tcBorders>
              <w:top w:val="nil"/>
              <w:left w:val="nil"/>
              <w:bottom w:val="nil"/>
              <w:right w:val="nil"/>
            </w:tcBorders>
            <w:vAlign w:val="center"/>
          </w:tcPr>
          <w:p w14:paraId="4BC86D8F"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Iceland</w:t>
            </w:r>
          </w:p>
        </w:tc>
        <w:tc>
          <w:tcPr>
            <w:tcW w:w="1842" w:type="dxa"/>
            <w:tcBorders>
              <w:top w:val="nil"/>
              <w:left w:val="nil"/>
              <w:bottom w:val="nil"/>
              <w:right w:val="nil"/>
            </w:tcBorders>
            <w:vAlign w:val="bottom"/>
          </w:tcPr>
          <w:p w14:paraId="4BC86D90"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0.027</w:t>
            </w:r>
          </w:p>
        </w:tc>
        <w:tc>
          <w:tcPr>
            <w:tcW w:w="1701" w:type="dxa"/>
            <w:tcBorders>
              <w:top w:val="nil"/>
              <w:left w:val="nil"/>
              <w:bottom w:val="nil"/>
              <w:right w:val="nil"/>
            </w:tcBorders>
            <w:vAlign w:val="bottom"/>
          </w:tcPr>
          <w:p w14:paraId="4BC86D9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0.026</w:t>
            </w:r>
          </w:p>
        </w:tc>
        <w:tc>
          <w:tcPr>
            <w:tcW w:w="1983" w:type="dxa"/>
            <w:tcBorders>
              <w:top w:val="nil"/>
              <w:left w:val="nil"/>
              <w:bottom w:val="nil"/>
              <w:right w:val="nil"/>
            </w:tcBorders>
            <w:vAlign w:val="bottom"/>
          </w:tcPr>
          <w:p w14:paraId="4BC86D9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0.026</w:t>
            </w:r>
          </w:p>
        </w:tc>
      </w:tr>
      <w:tr w:rsidR="005140C3" w:rsidRPr="00A82BE5" w14:paraId="4BC86D98" w14:textId="77777777" w:rsidTr="009F3C26">
        <w:trPr>
          <w:trHeight w:val="248"/>
          <w:jc w:val="center"/>
        </w:trPr>
        <w:tc>
          <w:tcPr>
            <w:tcW w:w="4113" w:type="dxa"/>
            <w:tcBorders>
              <w:top w:val="nil"/>
              <w:left w:val="nil"/>
              <w:bottom w:val="nil"/>
              <w:right w:val="nil"/>
            </w:tcBorders>
            <w:vAlign w:val="center"/>
          </w:tcPr>
          <w:p w14:paraId="4BC86D94"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India</w:t>
            </w:r>
          </w:p>
        </w:tc>
        <w:tc>
          <w:tcPr>
            <w:tcW w:w="1842" w:type="dxa"/>
            <w:tcBorders>
              <w:top w:val="nil"/>
              <w:left w:val="nil"/>
              <w:bottom w:val="nil"/>
              <w:right w:val="nil"/>
            </w:tcBorders>
            <w:vAlign w:val="bottom"/>
          </w:tcPr>
          <w:p w14:paraId="4BC86D95"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0.666</w:t>
            </w:r>
          </w:p>
        </w:tc>
        <w:tc>
          <w:tcPr>
            <w:tcW w:w="1701" w:type="dxa"/>
            <w:tcBorders>
              <w:top w:val="nil"/>
              <w:left w:val="nil"/>
              <w:bottom w:val="nil"/>
              <w:right w:val="nil"/>
            </w:tcBorders>
            <w:vAlign w:val="bottom"/>
          </w:tcPr>
          <w:p w14:paraId="4BC86D9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0.649</w:t>
            </w:r>
          </w:p>
        </w:tc>
        <w:tc>
          <w:tcPr>
            <w:tcW w:w="1983" w:type="dxa"/>
            <w:tcBorders>
              <w:top w:val="nil"/>
              <w:left w:val="nil"/>
              <w:bottom w:val="nil"/>
              <w:right w:val="nil"/>
            </w:tcBorders>
            <w:vAlign w:val="bottom"/>
          </w:tcPr>
          <w:p w14:paraId="4BC86D9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0.649</w:t>
            </w:r>
          </w:p>
        </w:tc>
      </w:tr>
      <w:tr w:rsidR="005140C3" w:rsidRPr="00A82BE5" w14:paraId="4BC86D9D" w14:textId="77777777" w:rsidTr="009F3C26">
        <w:trPr>
          <w:trHeight w:val="248"/>
          <w:jc w:val="center"/>
        </w:trPr>
        <w:tc>
          <w:tcPr>
            <w:tcW w:w="4113" w:type="dxa"/>
            <w:tcBorders>
              <w:top w:val="nil"/>
              <w:left w:val="nil"/>
              <w:bottom w:val="nil"/>
              <w:right w:val="nil"/>
            </w:tcBorders>
            <w:vAlign w:val="center"/>
          </w:tcPr>
          <w:p w14:paraId="4BC86D99"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Indonesia</w:t>
            </w:r>
          </w:p>
        </w:tc>
        <w:tc>
          <w:tcPr>
            <w:tcW w:w="1842" w:type="dxa"/>
            <w:tcBorders>
              <w:top w:val="nil"/>
              <w:left w:val="nil"/>
              <w:bottom w:val="nil"/>
              <w:right w:val="nil"/>
            </w:tcBorders>
            <w:vAlign w:val="bottom"/>
          </w:tcPr>
          <w:p w14:paraId="4BC86D9A"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0.346</w:t>
            </w:r>
          </w:p>
        </w:tc>
        <w:tc>
          <w:tcPr>
            <w:tcW w:w="1701" w:type="dxa"/>
            <w:tcBorders>
              <w:top w:val="nil"/>
              <w:left w:val="nil"/>
              <w:bottom w:val="nil"/>
              <w:right w:val="nil"/>
            </w:tcBorders>
            <w:vAlign w:val="bottom"/>
          </w:tcPr>
          <w:p w14:paraId="4BC86D9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0.337</w:t>
            </w:r>
          </w:p>
        </w:tc>
        <w:tc>
          <w:tcPr>
            <w:tcW w:w="1983" w:type="dxa"/>
            <w:tcBorders>
              <w:top w:val="nil"/>
              <w:left w:val="nil"/>
              <w:bottom w:val="nil"/>
              <w:right w:val="nil"/>
            </w:tcBorders>
            <w:vAlign w:val="bottom"/>
          </w:tcPr>
          <w:p w14:paraId="4BC86D9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0.337</w:t>
            </w:r>
          </w:p>
        </w:tc>
      </w:tr>
      <w:tr w:rsidR="005140C3" w:rsidRPr="00A82BE5" w14:paraId="4BC86DA2" w14:textId="77777777" w:rsidTr="009F3C26">
        <w:trPr>
          <w:trHeight w:val="248"/>
          <w:jc w:val="center"/>
        </w:trPr>
        <w:tc>
          <w:tcPr>
            <w:tcW w:w="4113" w:type="dxa"/>
            <w:tcBorders>
              <w:top w:val="nil"/>
              <w:left w:val="nil"/>
              <w:bottom w:val="nil"/>
              <w:right w:val="nil"/>
            </w:tcBorders>
            <w:vAlign w:val="center"/>
          </w:tcPr>
          <w:p w14:paraId="4BC86D9E"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Iran (Islamic Republic of)</w:t>
            </w:r>
          </w:p>
        </w:tc>
        <w:tc>
          <w:tcPr>
            <w:tcW w:w="1842" w:type="dxa"/>
            <w:tcBorders>
              <w:top w:val="nil"/>
              <w:left w:val="nil"/>
              <w:bottom w:val="nil"/>
              <w:right w:val="nil"/>
            </w:tcBorders>
            <w:vAlign w:val="bottom"/>
          </w:tcPr>
          <w:p w14:paraId="4BC86D9F"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0.356</w:t>
            </w:r>
          </w:p>
        </w:tc>
        <w:tc>
          <w:tcPr>
            <w:tcW w:w="1701" w:type="dxa"/>
            <w:tcBorders>
              <w:top w:val="nil"/>
              <w:left w:val="nil"/>
              <w:bottom w:val="nil"/>
              <w:right w:val="nil"/>
            </w:tcBorders>
            <w:vAlign w:val="bottom"/>
          </w:tcPr>
          <w:p w14:paraId="4BC86DA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0.347</w:t>
            </w:r>
          </w:p>
        </w:tc>
        <w:tc>
          <w:tcPr>
            <w:tcW w:w="1983" w:type="dxa"/>
            <w:tcBorders>
              <w:top w:val="nil"/>
              <w:left w:val="nil"/>
              <w:bottom w:val="nil"/>
              <w:right w:val="nil"/>
            </w:tcBorders>
            <w:vAlign w:val="bottom"/>
          </w:tcPr>
          <w:p w14:paraId="4BC86DA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0.347</w:t>
            </w:r>
          </w:p>
        </w:tc>
      </w:tr>
      <w:tr w:rsidR="005140C3" w:rsidRPr="00A82BE5" w14:paraId="4BC86DA7" w14:textId="77777777" w:rsidTr="009F3C26">
        <w:trPr>
          <w:trHeight w:val="248"/>
          <w:jc w:val="center"/>
        </w:trPr>
        <w:tc>
          <w:tcPr>
            <w:tcW w:w="4113" w:type="dxa"/>
            <w:tcBorders>
              <w:top w:val="nil"/>
              <w:left w:val="nil"/>
              <w:bottom w:val="nil"/>
              <w:right w:val="nil"/>
            </w:tcBorders>
            <w:vAlign w:val="center"/>
          </w:tcPr>
          <w:p w14:paraId="4BC86DA3" w14:textId="77777777" w:rsidR="005140C3" w:rsidRPr="00A82BE5" w:rsidRDefault="005140C3" w:rsidP="009F3C26">
            <w:pPr>
              <w:suppressAutoHyphens w:val="0"/>
              <w:spacing w:line="240" w:lineRule="auto"/>
              <w:ind w:left="360" w:hanging="360"/>
              <w:rPr>
                <w:rFonts w:eastAsia="MS Mincho"/>
                <w:color w:val="000000"/>
                <w:sz w:val="18"/>
                <w:szCs w:val="18"/>
                <w:lang w:eastAsia="de-DE"/>
              </w:rPr>
            </w:pPr>
            <w:r w:rsidRPr="00A82BE5">
              <w:rPr>
                <w:rFonts w:eastAsia="MS Mincho"/>
                <w:color w:val="000000"/>
                <w:sz w:val="18"/>
                <w:szCs w:val="18"/>
                <w:lang w:eastAsia="de-DE"/>
              </w:rPr>
              <w:t>Iraq</w:t>
            </w:r>
          </w:p>
        </w:tc>
        <w:tc>
          <w:tcPr>
            <w:tcW w:w="1842" w:type="dxa"/>
            <w:tcBorders>
              <w:top w:val="nil"/>
              <w:left w:val="nil"/>
              <w:bottom w:val="nil"/>
              <w:right w:val="nil"/>
            </w:tcBorders>
            <w:vAlign w:val="bottom"/>
          </w:tcPr>
          <w:p w14:paraId="4BC86DA4"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0.068</w:t>
            </w:r>
          </w:p>
        </w:tc>
        <w:tc>
          <w:tcPr>
            <w:tcW w:w="1701" w:type="dxa"/>
            <w:tcBorders>
              <w:top w:val="nil"/>
              <w:left w:val="nil"/>
              <w:bottom w:val="nil"/>
              <w:right w:val="nil"/>
            </w:tcBorders>
            <w:vAlign w:val="bottom"/>
          </w:tcPr>
          <w:p w14:paraId="4BC86DA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0.066</w:t>
            </w:r>
          </w:p>
        </w:tc>
        <w:tc>
          <w:tcPr>
            <w:tcW w:w="1983" w:type="dxa"/>
            <w:tcBorders>
              <w:top w:val="nil"/>
              <w:left w:val="nil"/>
              <w:bottom w:val="nil"/>
              <w:right w:val="nil"/>
            </w:tcBorders>
            <w:vAlign w:val="bottom"/>
          </w:tcPr>
          <w:p w14:paraId="4BC86DA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0.066</w:t>
            </w:r>
          </w:p>
        </w:tc>
      </w:tr>
      <w:tr w:rsidR="005140C3" w:rsidRPr="00A82BE5" w14:paraId="4BC86DAC" w14:textId="77777777" w:rsidTr="009F3C26">
        <w:trPr>
          <w:trHeight w:val="248"/>
          <w:jc w:val="center"/>
        </w:trPr>
        <w:tc>
          <w:tcPr>
            <w:tcW w:w="4113" w:type="dxa"/>
            <w:tcBorders>
              <w:top w:val="nil"/>
              <w:left w:val="nil"/>
              <w:bottom w:val="nil"/>
              <w:right w:val="nil"/>
            </w:tcBorders>
            <w:vAlign w:val="center"/>
          </w:tcPr>
          <w:p w14:paraId="4BC86DA8"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Ireland</w:t>
            </w:r>
          </w:p>
        </w:tc>
        <w:tc>
          <w:tcPr>
            <w:tcW w:w="1842" w:type="dxa"/>
            <w:tcBorders>
              <w:top w:val="nil"/>
              <w:left w:val="nil"/>
              <w:bottom w:val="nil"/>
              <w:right w:val="nil"/>
            </w:tcBorders>
            <w:vAlign w:val="bottom"/>
          </w:tcPr>
          <w:p w14:paraId="4BC86DA9"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0.418</w:t>
            </w:r>
          </w:p>
        </w:tc>
        <w:tc>
          <w:tcPr>
            <w:tcW w:w="1701" w:type="dxa"/>
            <w:tcBorders>
              <w:top w:val="nil"/>
              <w:left w:val="nil"/>
              <w:bottom w:val="nil"/>
              <w:right w:val="nil"/>
            </w:tcBorders>
            <w:vAlign w:val="bottom"/>
          </w:tcPr>
          <w:p w14:paraId="4BC86DA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0.408</w:t>
            </w:r>
          </w:p>
        </w:tc>
        <w:tc>
          <w:tcPr>
            <w:tcW w:w="1983" w:type="dxa"/>
            <w:tcBorders>
              <w:top w:val="nil"/>
              <w:left w:val="nil"/>
              <w:bottom w:val="nil"/>
              <w:right w:val="nil"/>
            </w:tcBorders>
            <w:vAlign w:val="bottom"/>
          </w:tcPr>
          <w:p w14:paraId="4BC86DA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0.408</w:t>
            </w:r>
          </w:p>
        </w:tc>
      </w:tr>
      <w:tr w:rsidR="005140C3" w:rsidRPr="00A82BE5" w14:paraId="4BC86DB1" w14:textId="77777777" w:rsidTr="009F3C26">
        <w:trPr>
          <w:trHeight w:val="248"/>
          <w:jc w:val="center"/>
        </w:trPr>
        <w:tc>
          <w:tcPr>
            <w:tcW w:w="4113" w:type="dxa"/>
            <w:tcBorders>
              <w:top w:val="nil"/>
              <w:left w:val="nil"/>
              <w:bottom w:val="nil"/>
              <w:right w:val="nil"/>
            </w:tcBorders>
            <w:vAlign w:val="center"/>
          </w:tcPr>
          <w:p w14:paraId="4BC86DAD"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Israel</w:t>
            </w:r>
          </w:p>
        </w:tc>
        <w:tc>
          <w:tcPr>
            <w:tcW w:w="1842" w:type="dxa"/>
            <w:tcBorders>
              <w:top w:val="nil"/>
              <w:left w:val="nil"/>
              <w:bottom w:val="nil"/>
              <w:right w:val="nil"/>
            </w:tcBorders>
            <w:vAlign w:val="bottom"/>
          </w:tcPr>
          <w:p w14:paraId="4BC86DAE"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0.396</w:t>
            </w:r>
          </w:p>
        </w:tc>
        <w:tc>
          <w:tcPr>
            <w:tcW w:w="1701" w:type="dxa"/>
            <w:tcBorders>
              <w:top w:val="nil"/>
              <w:left w:val="nil"/>
              <w:bottom w:val="nil"/>
              <w:right w:val="nil"/>
            </w:tcBorders>
            <w:vAlign w:val="bottom"/>
          </w:tcPr>
          <w:p w14:paraId="4BC86DA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0.386</w:t>
            </w:r>
          </w:p>
        </w:tc>
        <w:tc>
          <w:tcPr>
            <w:tcW w:w="1983" w:type="dxa"/>
            <w:tcBorders>
              <w:top w:val="nil"/>
              <w:left w:val="nil"/>
              <w:bottom w:val="nil"/>
              <w:right w:val="nil"/>
            </w:tcBorders>
            <w:vAlign w:val="bottom"/>
          </w:tcPr>
          <w:p w14:paraId="4BC86DB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0.386</w:t>
            </w:r>
          </w:p>
        </w:tc>
      </w:tr>
      <w:tr w:rsidR="005140C3" w:rsidRPr="00A82BE5" w14:paraId="4BC86DB6" w14:textId="77777777" w:rsidTr="009F3C26">
        <w:trPr>
          <w:trHeight w:val="248"/>
          <w:jc w:val="center"/>
        </w:trPr>
        <w:tc>
          <w:tcPr>
            <w:tcW w:w="4113" w:type="dxa"/>
            <w:tcBorders>
              <w:top w:val="nil"/>
              <w:left w:val="nil"/>
              <w:bottom w:val="nil"/>
              <w:right w:val="nil"/>
            </w:tcBorders>
            <w:vAlign w:val="center"/>
          </w:tcPr>
          <w:p w14:paraId="4BC86DB2"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Italy</w:t>
            </w:r>
          </w:p>
        </w:tc>
        <w:tc>
          <w:tcPr>
            <w:tcW w:w="1842" w:type="dxa"/>
            <w:tcBorders>
              <w:top w:val="nil"/>
              <w:left w:val="nil"/>
              <w:bottom w:val="nil"/>
              <w:right w:val="nil"/>
            </w:tcBorders>
            <w:vAlign w:val="bottom"/>
          </w:tcPr>
          <w:p w14:paraId="4BC86DB3"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4.448</w:t>
            </w:r>
          </w:p>
        </w:tc>
        <w:tc>
          <w:tcPr>
            <w:tcW w:w="1701" w:type="dxa"/>
            <w:tcBorders>
              <w:top w:val="nil"/>
              <w:left w:val="nil"/>
              <w:bottom w:val="nil"/>
              <w:right w:val="nil"/>
            </w:tcBorders>
            <w:vAlign w:val="bottom"/>
          </w:tcPr>
          <w:p w14:paraId="4BC86DB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4.337</w:t>
            </w:r>
          </w:p>
        </w:tc>
        <w:tc>
          <w:tcPr>
            <w:tcW w:w="1983" w:type="dxa"/>
            <w:tcBorders>
              <w:top w:val="nil"/>
              <w:left w:val="nil"/>
              <w:bottom w:val="nil"/>
              <w:right w:val="nil"/>
            </w:tcBorders>
            <w:vAlign w:val="bottom"/>
          </w:tcPr>
          <w:p w14:paraId="4BC86DB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4.337</w:t>
            </w:r>
          </w:p>
        </w:tc>
      </w:tr>
      <w:tr w:rsidR="005140C3" w:rsidRPr="00A82BE5" w14:paraId="4BC86DBB" w14:textId="77777777" w:rsidTr="009F3C26">
        <w:trPr>
          <w:trHeight w:val="248"/>
          <w:jc w:val="center"/>
        </w:trPr>
        <w:tc>
          <w:tcPr>
            <w:tcW w:w="4113" w:type="dxa"/>
            <w:tcBorders>
              <w:top w:val="nil"/>
              <w:left w:val="nil"/>
              <w:bottom w:val="nil"/>
              <w:right w:val="nil"/>
            </w:tcBorders>
            <w:vAlign w:val="center"/>
          </w:tcPr>
          <w:p w14:paraId="4BC86DB7"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Jamaica</w:t>
            </w:r>
          </w:p>
        </w:tc>
        <w:tc>
          <w:tcPr>
            <w:tcW w:w="1842" w:type="dxa"/>
            <w:tcBorders>
              <w:top w:val="nil"/>
              <w:left w:val="nil"/>
              <w:bottom w:val="nil"/>
              <w:right w:val="nil"/>
            </w:tcBorders>
            <w:vAlign w:val="bottom"/>
          </w:tcPr>
          <w:p w14:paraId="4BC86DB8"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0.011</w:t>
            </w:r>
          </w:p>
        </w:tc>
        <w:tc>
          <w:tcPr>
            <w:tcW w:w="1701" w:type="dxa"/>
            <w:tcBorders>
              <w:top w:val="nil"/>
              <w:left w:val="nil"/>
              <w:bottom w:val="nil"/>
              <w:right w:val="nil"/>
            </w:tcBorders>
            <w:vAlign w:val="bottom"/>
          </w:tcPr>
          <w:p w14:paraId="4BC86DB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0.011</w:t>
            </w:r>
          </w:p>
        </w:tc>
        <w:tc>
          <w:tcPr>
            <w:tcW w:w="1983" w:type="dxa"/>
            <w:tcBorders>
              <w:top w:val="nil"/>
              <w:left w:val="nil"/>
              <w:bottom w:val="nil"/>
              <w:right w:val="nil"/>
            </w:tcBorders>
            <w:vAlign w:val="bottom"/>
          </w:tcPr>
          <w:p w14:paraId="4BC86DB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0.011</w:t>
            </w:r>
          </w:p>
        </w:tc>
      </w:tr>
      <w:tr w:rsidR="005140C3" w:rsidRPr="00A82BE5" w14:paraId="4BC86DC0" w14:textId="77777777" w:rsidTr="009F3C26">
        <w:trPr>
          <w:trHeight w:val="248"/>
          <w:jc w:val="center"/>
        </w:trPr>
        <w:tc>
          <w:tcPr>
            <w:tcW w:w="4113" w:type="dxa"/>
            <w:tcBorders>
              <w:top w:val="nil"/>
              <w:left w:val="nil"/>
              <w:bottom w:val="nil"/>
              <w:right w:val="nil"/>
            </w:tcBorders>
            <w:vAlign w:val="center"/>
          </w:tcPr>
          <w:p w14:paraId="4BC86DBC"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Japan</w:t>
            </w:r>
          </w:p>
        </w:tc>
        <w:tc>
          <w:tcPr>
            <w:tcW w:w="1842" w:type="dxa"/>
            <w:tcBorders>
              <w:top w:val="nil"/>
              <w:left w:val="nil"/>
              <w:bottom w:val="nil"/>
              <w:right w:val="nil"/>
            </w:tcBorders>
            <w:vAlign w:val="bottom"/>
          </w:tcPr>
          <w:p w14:paraId="4BC86DBD"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10.833</w:t>
            </w:r>
          </w:p>
        </w:tc>
        <w:tc>
          <w:tcPr>
            <w:tcW w:w="1701" w:type="dxa"/>
            <w:tcBorders>
              <w:top w:val="nil"/>
              <w:left w:val="nil"/>
              <w:bottom w:val="nil"/>
              <w:right w:val="nil"/>
            </w:tcBorders>
            <w:vAlign w:val="bottom"/>
          </w:tcPr>
          <w:p w14:paraId="4BC86DB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10.562</w:t>
            </w:r>
          </w:p>
        </w:tc>
        <w:tc>
          <w:tcPr>
            <w:tcW w:w="1983" w:type="dxa"/>
            <w:tcBorders>
              <w:top w:val="nil"/>
              <w:left w:val="nil"/>
              <w:bottom w:val="nil"/>
              <w:right w:val="nil"/>
            </w:tcBorders>
            <w:vAlign w:val="bottom"/>
          </w:tcPr>
          <w:p w14:paraId="4BC86DB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10.562</w:t>
            </w:r>
          </w:p>
        </w:tc>
      </w:tr>
      <w:tr w:rsidR="005140C3" w:rsidRPr="00A82BE5" w14:paraId="4BC86DC5" w14:textId="77777777" w:rsidTr="009F3C26">
        <w:trPr>
          <w:trHeight w:val="248"/>
          <w:jc w:val="center"/>
        </w:trPr>
        <w:tc>
          <w:tcPr>
            <w:tcW w:w="4113" w:type="dxa"/>
            <w:tcBorders>
              <w:top w:val="nil"/>
              <w:left w:val="nil"/>
              <w:bottom w:val="nil"/>
              <w:right w:val="nil"/>
            </w:tcBorders>
            <w:vAlign w:val="center"/>
          </w:tcPr>
          <w:p w14:paraId="4BC86DC1"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Jordan</w:t>
            </w:r>
          </w:p>
        </w:tc>
        <w:tc>
          <w:tcPr>
            <w:tcW w:w="1842" w:type="dxa"/>
            <w:tcBorders>
              <w:top w:val="nil"/>
              <w:left w:val="nil"/>
              <w:bottom w:val="nil"/>
              <w:right w:val="nil"/>
            </w:tcBorders>
            <w:vAlign w:val="bottom"/>
          </w:tcPr>
          <w:p w14:paraId="4BC86DC2"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0.022</w:t>
            </w:r>
          </w:p>
        </w:tc>
        <w:tc>
          <w:tcPr>
            <w:tcW w:w="1701" w:type="dxa"/>
            <w:tcBorders>
              <w:top w:val="nil"/>
              <w:left w:val="nil"/>
              <w:bottom w:val="nil"/>
              <w:right w:val="nil"/>
            </w:tcBorders>
            <w:vAlign w:val="bottom"/>
          </w:tcPr>
          <w:p w14:paraId="4BC86DC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0.021</w:t>
            </w:r>
          </w:p>
        </w:tc>
        <w:tc>
          <w:tcPr>
            <w:tcW w:w="1983" w:type="dxa"/>
            <w:tcBorders>
              <w:top w:val="nil"/>
              <w:left w:val="nil"/>
              <w:bottom w:val="nil"/>
              <w:right w:val="nil"/>
            </w:tcBorders>
            <w:vAlign w:val="bottom"/>
          </w:tcPr>
          <w:p w14:paraId="4BC86DC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0.021</w:t>
            </w:r>
          </w:p>
        </w:tc>
      </w:tr>
      <w:tr w:rsidR="005140C3" w:rsidRPr="00A82BE5" w14:paraId="4BC86DCA" w14:textId="77777777" w:rsidTr="009F3C26">
        <w:trPr>
          <w:trHeight w:val="248"/>
          <w:jc w:val="center"/>
        </w:trPr>
        <w:tc>
          <w:tcPr>
            <w:tcW w:w="4113" w:type="dxa"/>
            <w:tcBorders>
              <w:top w:val="nil"/>
              <w:left w:val="nil"/>
              <w:bottom w:val="nil"/>
              <w:right w:val="nil"/>
            </w:tcBorders>
            <w:vAlign w:val="center"/>
          </w:tcPr>
          <w:p w14:paraId="4BC86DC6"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Kazakhstan</w:t>
            </w:r>
          </w:p>
        </w:tc>
        <w:tc>
          <w:tcPr>
            <w:tcW w:w="1842" w:type="dxa"/>
            <w:tcBorders>
              <w:top w:val="nil"/>
              <w:left w:val="nil"/>
              <w:bottom w:val="nil"/>
              <w:right w:val="nil"/>
            </w:tcBorders>
            <w:vAlign w:val="bottom"/>
          </w:tcPr>
          <w:p w14:paraId="4BC86DC7"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0.121</w:t>
            </w:r>
          </w:p>
        </w:tc>
        <w:tc>
          <w:tcPr>
            <w:tcW w:w="1701" w:type="dxa"/>
            <w:tcBorders>
              <w:top w:val="nil"/>
              <w:left w:val="nil"/>
              <w:bottom w:val="nil"/>
              <w:right w:val="nil"/>
            </w:tcBorders>
            <w:vAlign w:val="bottom"/>
          </w:tcPr>
          <w:p w14:paraId="4BC86DC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0.118</w:t>
            </w:r>
          </w:p>
        </w:tc>
        <w:tc>
          <w:tcPr>
            <w:tcW w:w="1983" w:type="dxa"/>
            <w:tcBorders>
              <w:top w:val="nil"/>
              <w:left w:val="nil"/>
              <w:bottom w:val="nil"/>
              <w:right w:val="nil"/>
            </w:tcBorders>
            <w:vAlign w:val="bottom"/>
          </w:tcPr>
          <w:p w14:paraId="4BC86DC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0.118</w:t>
            </w:r>
          </w:p>
        </w:tc>
      </w:tr>
      <w:tr w:rsidR="005140C3" w:rsidRPr="00A82BE5" w14:paraId="4BC86DCF" w14:textId="77777777" w:rsidTr="009F3C26">
        <w:trPr>
          <w:trHeight w:val="248"/>
          <w:jc w:val="center"/>
        </w:trPr>
        <w:tc>
          <w:tcPr>
            <w:tcW w:w="4113" w:type="dxa"/>
            <w:tcBorders>
              <w:top w:val="nil"/>
              <w:left w:val="nil"/>
              <w:bottom w:val="nil"/>
              <w:right w:val="nil"/>
            </w:tcBorders>
            <w:vAlign w:val="center"/>
          </w:tcPr>
          <w:p w14:paraId="4BC86DCB"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Kenya</w:t>
            </w:r>
          </w:p>
        </w:tc>
        <w:tc>
          <w:tcPr>
            <w:tcW w:w="1842" w:type="dxa"/>
            <w:tcBorders>
              <w:top w:val="nil"/>
              <w:left w:val="nil"/>
              <w:bottom w:val="nil"/>
              <w:right w:val="nil"/>
            </w:tcBorders>
            <w:vAlign w:val="bottom"/>
          </w:tcPr>
          <w:p w14:paraId="4BC86DCC"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0.013</w:t>
            </w:r>
          </w:p>
        </w:tc>
        <w:tc>
          <w:tcPr>
            <w:tcW w:w="1701" w:type="dxa"/>
            <w:tcBorders>
              <w:top w:val="nil"/>
              <w:left w:val="nil"/>
              <w:bottom w:val="nil"/>
              <w:right w:val="nil"/>
            </w:tcBorders>
            <w:vAlign w:val="bottom"/>
          </w:tcPr>
          <w:p w14:paraId="4BC86DC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0.013</w:t>
            </w:r>
          </w:p>
        </w:tc>
        <w:tc>
          <w:tcPr>
            <w:tcW w:w="1983" w:type="dxa"/>
            <w:tcBorders>
              <w:top w:val="nil"/>
              <w:left w:val="nil"/>
              <w:bottom w:val="nil"/>
              <w:right w:val="nil"/>
            </w:tcBorders>
            <w:vAlign w:val="bottom"/>
          </w:tcPr>
          <w:p w14:paraId="4BC86DC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0.013</w:t>
            </w:r>
          </w:p>
        </w:tc>
      </w:tr>
      <w:tr w:rsidR="005140C3" w:rsidRPr="00A82BE5" w14:paraId="4BC86DD4" w14:textId="77777777" w:rsidTr="009F3C26">
        <w:trPr>
          <w:trHeight w:val="248"/>
          <w:jc w:val="center"/>
        </w:trPr>
        <w:tc>
          <w:tcPr>
            <w:tcW w:w="4113" w:type="dxa"/>
            <w:tcBorders>
              <w:top w:val="nil"/>
              <w:left w:val="nil"/>
              <w:bottom w:val="nil"/>
              <w:right w:val="nil"/>
            </w:tcBorders>
            <w:vAlign w:val="center"/>
          </w:tcPr>
          <w:p w14:paraId="4BC86DD0"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lastRenderedPageBreak/>
              <w:t>Kiribati</w:t>
            </w:r>
          </w:p>
        </w:tc>
        <w:tc>
          <w:tcPr>
            <w:tcW w:w="1842" w:type="dxa"/>
            <w:tcBorders>
              <w:top w:val="nil"/>
              <w:left w:val="nil"/>
              <w:bottom w:val="nil"/>
              <w:right w:val="nil"/>
            </w:tcBorders>
            <w:vAlign w:val="bottom"/>
          </w:tcPr>
          <w:p w14:paraId="4BC86DD1" w14:textId="77777777" w:rsidR="005140C3" w:rsidRPr="00A82BE5" w:rsidRDefault="005140C3" w:rsidP="0078185A">
            <w:pPr>
              <w:suppressAutoHyphens w:val="0"/>
              <w:spacing w:line="240" w:lineRule="auto"/>
              <w:ind w:right="31"/>
              <w:jc w:val="right"/>
              <w:rPr>
                <w:rFonts w:eastAsia="MS Mincho"/>
                <w:color w:val="000000"/>
                <w:sz w:val="18"/>
                <w:szCs w:val="18"/>
                <w:lang w:eastAsia="de-DE"/>
              </w:rPr>
            </w:pPr>
            <w:r w:rsidRPr="00A82BE5">
              <w:rPr>
                <w:rFonts w:eastAsia="MS Mincho"/>
                <w:color w:val="000000"/>
                <w:sz w:val="18"/>
                <w:szCs w:val="18"/>
                <w:lang w:eastAsia="de-DE"/>
              </w:rPr>
              <w:t>0.001</w:t>
            </w:r>
          </w:p>
        </w:tc>
        <w:tc>
          <w:tcPr>
            <w:tcW w:w="1701" w:type="dxa"/>
            <w:tcBorders>
              <w:top w:val="nil"/>
              <w:left w:val="nil"/>
              <w:bottom w:val="nil"/>
              <w:right w:val="nil"/>
            </w:tcBorders>
            <w:vAlign w:val="bottom"/>
          </w:tcPr>
          <w:p w14:paraId="4BC86DD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DD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DD9" w14:textId="77777777" w:rsidTr="009F3C26">
        <w:trPr>
          <w:trHeight w:val="248"/>
          <w:jc w:val="center"/>
        </w:trPr>
        <w:tc>
          <w:tcPr>
            <w:tcW w:w="4113" w:type="dxa"/>
            <w:tcBorders>
              <w:top w:val="nil"/>
              <w:left w:val="nil"/>
              <w:bottom w:val="nil"/>
              <w:right w:val="nil"/>
            </w:tcBorders>
            <w:vAlign w:val="center"/>
          </w:tcPr>
          <w:p w14:paraId="4BC86DD5"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Kuwait</w:t>
            </w:r>
          </w:p>
        </w:tc>
        <w:tc>
          <w:tcPr>
            <w:tcW w:w="1842" w:type="dxa"/>
            <w:tcBorders>
              <w:top w:val="nil"/>
              <w:left w:val="nil"/>
              <w:bottom w:val="nil"/>
              <w:right w:val="nil"/>
            </w:tcBorders>
            <w:vAlign w:val="bottom"/>
          </w:tcPr>
          <w:p w14:paraId="4BC86DD6"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0.273</w:t>
            </w:r>
          </w:p>
        </w:tc>
        <w:tc>
          <w:tcPr>
            <w:tcW w:w="1701" w:type="dxa"/>
            <w:tcBorders>
              <w:top w:val="nil"/>
              <w:left w:val="nil"/>
              <w:bottom w:val="nil"/>
              <w:right w:val="nil"/>
            </w:tcBorders>
            <w:vAlign w:val="bottom"/>
          </w:tcPr>
          <w:p w14:paraId="4BC86DD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0.266</w:t>
            </w:r>
          </w:p>
        </w:tc>
        <w:tc>
          <w:tcPr>
            <w:tcW w:w="1983" w:type="dxa"/>
            <w:tcBorders>
              <w:top w:val="nil"/>
              <w:left w:val="nil"/>
              <w:bottom w:val="nil"/>
              <w:right w:val="nil"/>
            </w:tcBorders>
            <w:vAlign w:val="bottom"/>
          </w:tcPr>
          <w:p w14:paraId="4BC86DD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0.266</w:t>
            </w:r>
          </w:p>
        </w:tc>
      </w:tr>
      <w:tr w:rsidR="005140C3" w:rsidRPr="00A82BE5" w14:paraId="4BC86DDE" w14:textId="77777777" w:rsidTr="009F3C26">
        <w:trPr>
          <w:trHeight w:val="248"/>
          <w:jc w:val="center"/>
        </w:trPr>
        <w:tc>
          <w:tcPr>
            <w:tcW w:w="4113" w:type="dxa"/>
            <w:tcBorders>
              <w:top w:val="nil"/>
              <w:left w:val="nil"/>
              <w:bottom w:val="nil"/>
              <w:right w:val="nil"/>
            </w:tcBorders>
            <w:vAlign w:val="center"/>
          </w:tcPr>
          <w:p w14:paraId="4BC86DDA"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Kyrgyzstan</w:t>
            </w:r>
          </w:p>
        </w:tc>
        <w:tc>
          <w:tcPr>
            <w:tcW w:w="1842" w:type="dxa"/>
            <w:tcBorders>
              <w:top w:val="nil"/>
              <w:left w:val="nil"/>
              <w:bottom w:val="nil"/>
              <w:right w:val="nil"/>
            </w:tcBorders>
            <w:vAlign w:val="bottom"/>
          </w:tcPr>
          <w:p w14:paraId="4BC86DDB"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0.002</w:t>
            </w:r>
          </w:p>
        </w:tc>
        <w:tc>
          <w:tcPr>
            <w:tcW w:w="1701" w:type="dxa"/>
            <w:tcBorders>
              <w:top w:val="nil"/>
              <w:left w:val="nil"/>
              <w:bottom w:val="nil"/>
              <w:right w:val="nil"/>
            </w:tcBorders>
            <w:vAlign w:val="bottom"/>
          </w:tcPr>
          <w:p w14:paraId="4BC86DD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c>
          <w:tcPr>
            <w:tcW w:w="1983" w:type="dxa"/>
            <w:tcBorders>
              <w:top w:val="nil"/>
              <w:left w:val="nil"/>
              <w:bottom w:val="nil"/>
              <w:right w:val="nil"/>
            </w:tcBorders>
            <w:vAlign w:val="bottom"/>
          </w:tcPr>
          <w:p w14:paraId="4BC86DD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r>
      <w:tr w:rsidR="005140C3" w:rsidRPr="00A82BE5" w14:paraId="4BC86DE3" w14:textId="77777777" w:rsidTr="009F3C26">
        <w:trPr>
          <w:trHeight w:val="248"/>
          <w:jc w:val="center"/>
        </w:trPr>
        <w:tc>
          <w:tcPr>
            <w:tcW w:w="4113" w:type="dxa"/>
            <w:tcBorders>
              <w:top w:val="nil"/>
              <w:left w:val="nil"/>
              <w:bottom w:val="nil"/>
              <w:right w:val="nil"/>
            </w:tcBorders>
            <w:vAlign w:val="center"/>
          </w:tcPr>
          <w:p w14:paraId="4BC86DDF"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Lao People’s Democratic Republic</w:t>
            </w:r>
          </w:p>
        </w:tc>
        <w:tc>
          <w:tcPr>
            <w:tcW w:w="1842" w:type="dxa"/>
            <w:tcBorders>
              <w:top w:val="nil"/>
              <w:left w:val="nil"/>
              <w:bottom w:val="nil"/>
              <w:right w:val="nil"/>
            </w:tcBorders>
            <w:vAlign w:val="bottom"/>
          </w:tcPr>
          <w:p w14:paraId="4BC86DE0"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0.002</w:t>
            </w:r>
          </w:p>
        </w:tc>
        <w:tc>
          <w:tcPr>
            <w:tcW w:w="1701" w:type="dxa"/>
            <w:tcBorders>
              <w:top w:val="nil"/>
              <w:left w:val="nil"/>
              <w:bottom w:val="nil"/>
              <w:right w:val="nil"/>
            </w:tcBorders>
            <w:vAlign w:val="bottom"/>
          </w:tcPr>
          <w:p w14:paraId="4BC86DE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c>
          <w:tcPr>
            <w:tcW w:w="1983" w:type="dxa"/>
            <w:tcBorders>
              <w:top w:val="nil"/>
              <w:left w:val="nil"/>
              <w:bottom w:val="nil"/>
              <w:right w:val="nil"/>
            </w:tcBorders>
            <w:vAlign w:val="bottom"/>
          </w:tcPr>
          <w:p w14:paraId="4BC86DE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r>
      <w:tr w:rsidR="005140C3" w:rsidRPr="00A82BE5" w14:paraId="4BC86DE8" w14:textId="77777777" w:rsidTr="009F3C26">
        <w:trPr>
          <w:trHeight w:val="248"/>
          <w:jc w:val="center"/>
        </w:trPr>
        <w:tc>
          <w:tcPr>
            <w:tcW w:w="4113" w:type="dxa"/>
            <w:tcBorders>
              <w:top w:val="nil"/>
              <w:left w:val="nil"/>
              <w:bottom w:val="nil"/>
              <w:right w:val="nil"/>
            </w:tcBorders>
            <w:vAlign w:val="center"/>
          </w:tcPr>
          <w:p w14:paraId="4BC86DE4"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Latvia</w:t>
            </w:r>
          </w:p>
        </w:tc>
        <w:tc>
          <w:tcPr>
            <w:tcW w:w="1842" w:type="dxa"/>
            <w:tcBorders>
              <w:top w:val="nil"/>
              <w:left w:val="nil"/>
              <w:bottom w:val="nil"/>
              <w:right w:val="nil"/>
            </w:tcBorders>
            <w:vAlign w:val="bottom"/>
          </w:tcPr>
          <w:p w14:paraId="4BC86DE5"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0.047</w:t>
            </w:r>
          </w:p>
        </w:tc>
        <w:tc>
          <w:tcPr>
            <w:tcW w:w="1701" w:type="dxa"/>
            <w:tcBorders>
              <w:top w:val="nil"/>
              <w:left w:val="nil"/>
              <w:bottom w:val="nil"/>
              <w:right w:val="nil"/>
            </w:tcBorders>
            <w:vAlign w:val="bottom"/>
          </w:tcPr>
          <w:p w14:paraId="4BC86DE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0.046</w:t>
            </w:r>
          </w:p>
        </w:tc>
        <w:tc>
          <w:tcPr>
            <w:tcW w:w="1983" w:type="dxa"/>
            <w:tcBorders>
              <w:top w:val="nil"/>
              <w:left w:val="nil"/>
              <w:bottom w:val="nil"/>
              <w:right w:val="nil"/>
            </w:tcBorders>
            <w:vAlign w:val="bottom"/>
          </w:tcPr>
          <w:p w14:paraId="4BC86DE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0.046</w:t>
            </w:r>
          </w:p>
        </w:tc>
      </w:tr>
      <w:tr w:rsidR="005140C3" w:rsidRPr="00A82BE5" w14:paraId="4BC86DED" w14:textId="77777777" w:rsidTr="009F3C26">
        <w:trPr>
          <w:trHeight w:val="248"/>
          <w:jc w:val="center"/>
        </w:trPr>
        <w:tc>
          <w:tcPr>
            <w:tcW w:w="4113" w:type="dxa"/>
            <w:tcBorders>
              <w:top w:val="nil"/>
              <w:left w:val="nil"/>
              <w:bottom w:val="nil"/>
              <w:right w:val="nil"/>
            </w:tcBorders>
            <w:vAlign w:val="center"/>
          </w:tcPr>
          <w:p w14:paraId="4BC86DE9"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Lebanon</w:t>
            </w:r>
          </w:p>
        </w:tc>
        <w:tc>
          <w:tcPr>
            <w:tcW w:w="1842" w:type="dxa"/>
            <w:tcBorders>
              <w:top w:val="nil"/>
              <w:left w:val="nil"/>
              <w:bottom w:val="nil"/>
              <w:right w:val="nil"/>
            </w:tcBorders>
            <w:vAlign w:val="bottom"/>
          </w:tcPr>
          <w:p w14:paraId="4BC86DEA"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0.042</w:t>
            </w:r>
          </w:p>
        </w:tc>
        <w:tc>
          <w:tcPr>
            <w:tcW w:w="1701" w:type="dxa"/>
            <w:tcBorders>
              <w:top w:val="nil"/>
              <w:left w:val="nil"/>
              <w:bottom w:val="nil"/>
              <w:right w:val="nil"/>
            </w:tcBorders>
            <w:vAlign w:val="bottom"/>
          </w:tcPr>
          <w:p w14:paraId="4BC86DE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0.041</w:t>
            </w:r>
          </w:p>
        </w:tc>
        <w:tc>
          <w:tcPr>
            <w:tcW w:w="1983" w:type="dxa"/>
            <w:tcBorders>
              <w:top w:val="nil"/>
              <w:left w:val="nil"/>
              <w:bottom w:val="nil"/>
              <w:right w:val="nil"/>
            </w:tcBorders>
            <w:vAlign w:val="bottom"/>
          </w:tcPr>
          <w:p w14:paraId="4BC86DE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0.041</w:t>
            </w:r>
          </w:p>
        </w:tc>
      </w:tr>
      <w:tr w:rsidR="005140C3" w:rsidRPr="00A82BE5" w14:paraId="4BC86DF2" w14:textId="77777777" w:rsidTr="009F3C26">
        <w:trPr>
          <w:trHeight w:val="248"/>
          <w:jc w:val="center"/>
        </w:trPr>
        <w:tc>
          <w:tcPr>
            <w:tcW w:w="4113" w:type="dxa"/>
            <w:tcBorders>
              <w:top w:val="nil"/>
              <w:left w:val="nil"/>
              <w:bottom w:val="nil"/>
              <w:right w:val="nil"/>
            </w:tcBorders>
            <w:vAlign w:val="center"/>
          </w:tcPr>
          <w:p w14:paraId="4BC86DEE"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Lesotho</w:t>
            </w:r>
          </w:p>
        </w:tc>
        <w:tc>
          <w:tcPr>
            <w:tcW w:w="1842" w:type="dxa"/>
            <w:tcBorders>
              <w:top w:val="nil"/>
              <w:left w:val="nil"/>
              <w:bottom w:val="nil"/>
              <w:right w:val="nil"/>
            </w:tcBorders>
            <w:vAlign w:val="bottom"/>
          </w:tcPr>
          <w:p w14:paraId="4BC86DEF"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DF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DF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DF7" w14:textId="77777777" w:rsidTr="009F3C26">
        <w:trPr>
          <w:trHeight w:val="248"/>
          <w:jc w:val="center"/>
        </w:trPr>
        <w:tc>
          <w:tcPr>
            <w:tcW w:w="4113" w:type="dxa"/>
            <w:tcBorders>
              <w:top w:val="nil"/>
              <w:left w:val="nil"/>
              <w:bottom w:val="nil"/>
              <w:right w:val="nil"/>
            </w:tcBorders>
            <w:vAlign w:val="center"/>
          </w:tcPr>
          <w:p w14:paraId="4BC86DF3"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Liberia</w:t>
            </w:r>
          </w:p>
        </w:tc>
        <w:tc>
          <w:tcPr>
            <w:tcW w:w="1842" w:type="dxa"/>
            <w:tcBorders>
              <w:top w:val="nil"/>
              <w:left w:val="nil"/>
              <w:bottom w:val="nil"/>
              <w:right w:val="nil"/>
            </w:tcBorders>
            <w:vAlign w:val="bottom"/>
          </w:tcPr>
          <w:p w14:paraId="4BC86DF4"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DF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DF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DFC" w14:textId="77777777" w:rsidTr="009F3C26">
        <w:trPr>
          <w:trHeight w:val="248"/>
          <w:jc w:val="center"/>
        </w:trPr>
        <w:tc>
          <w:tcPr>
            <w:tcW w:w="4113" w:type="dxa"/>
            <w:tcBorders>
              <w:top w:val="nil"/>
              <w:left w:val="nil"/>
              <w:bottom w:val="nil"/>
              <w:right w:val="nil"/>
            </w:tcBorders>
            <w:vAlign w:val="center"/>
          </w:tcPr>
          <w:p w14:paraId="4BC86DF8"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Libya</w:t>
            </w:r>
          </w:p>
        </w:tc>
        <w:tc>
          <w:tcPr>
            <w:tcW w:w="1842" w:type="dxa"/>
            <w:tcBorders>
              <w:top w:val="nil"/>
              <w:left w:val="nil"/>
              <w:bottom w:val="nil"/>
              <w:right w:val="nil"/>
            </w:tcBorders>
            <w:vAlign w:val="bottom"/>
          </w:tcPr>
          <w:p w14:paraId="4BC86DF9"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0.142</w:t>
            </w:r>
          </w:p>
        </w:tc>
        <w:tc>
          <w:tcPr>
            <w:tcW w:w="1701" w:type="dxa"/>
            <w:tcBorders>
              <w:top w:val="nil"/>
              <w:left w:val="nil"/>
              <w:bottom w:val="nil"/>
              <w:right w:val="nil"/>
            </w:tcBorders>
            <w:vAlign w:val="bottom"/>
          </w:tcPr>
          <w:p w14:paraId="4BC86DF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0.138</w:t>
            </w:r>
          </w:p>
        </w:tc>
        <w:tc>
          <w:tcPr>
            <w:tcW w:w="1983" w:type="dxa"/>
            <w:tcBorders>
              <w:top w:val="nil"/>
              <w:left w:val="nil"/>
              <w:bottom w:val="nil"/>
              <w:right w:val="nil"/>
            </w:tcBorders>
            <w:vAlign w:val="bottom"/>
          </w:tcPr>
          <w:p w14:paraId="4BC86DF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0.138</w:t>
            </w:r>
          </w:p>
        </w:tc>
      </w:tr>
      <w:tr w:rsidR="005140C3" w:rsidRPr="00A82BE5" w14:paraId="4BC86E01" w14:textId="77777777" w:rsidTr="009F3C26">
        <w:trPr>
          <w:trHeight w:val="248"/>
          <w:jc w:val="center"/>
        </w:trPr>
        <w:tc>
          <w:tcPr>
            <w:tcW w:w="4113" w:type="dxa"/>
            <w:tcBorders>
              <w:top w:val="nil"/>
              <w:left w:val="nil"/>
              <w:bottom w:val="nil"/>
              <w:right w:val="nil"/>
            </w:tcBorders>
            <w:vAlign w:val="center"/>
          </w:tcPr>
          <w:p w14:paraId="4BC86DFD"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Liechtenstein</w:t>
            </w:r>
          </w:p>
        </w:tc>
        <w:tc>
          <w:tcPr>
            <w:tcW w:w="1842" w:type="dxa"/>
            <w:tcBorders>
              <w:top w:val="nil"/>
              <w:left w:val="nil"/>
              <w:bottom w:val="nil"/>
              <w:right w:val="nil"/>
            </w:tcBorders>
            <w:vAlign w:val="bottom"/>
          </w:tcPr>
          <w:p w14:paraId="4BC86DFE"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0.009</w:t>
            </w:r>
          </w:p>
        </w:tc>
        <w:tc>
          <w:tcPr>
            <w:tcW w:w="1701" w:type="dxa"/>
            <w:tcBorders>
              <w:top w:val="nil"/>
              <w:left w:val="nil"/>
              <w:bottom w:val="nil"/>
              <w:right w:val="nil"/>
            </w:tcBorders>
            <w:vAlign w:val="bottom"/>
          </w:tcPr>
          <w:p w14:paraId="4BC86DF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0.009</w:t>
            </w:r>
          </w:p>
        </w:tc>
        <w:tc>
          <w:tcPr>
            <w:tcW w:w="1983" w:type="dxa"/>
            <w:tcBorders>
              <w:top w:val="nil"/>
              <w:left w:val="nil"/>
              <w:bottom w:val="nil"/>
              <w:right w:val="nil"/>
            </w:tcBorders>
            <w:vAlign w:val="bottom"/>
          </w:tcPr>
          <w:p w14:paraId="4BC86E0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0.009</w:t>
            </w:r>
          </w:p>
        </w:tc>
      </w:tr>
      <w:tr w:rsidR="005140C3" w:rsidRPr="00A82BE5" w14:paraId="4BC86E06" w14:textId="77777777" w:rsidTr="009F3C26">
        <w:trPr>
          <w:trHeight w:val="248"/>
          <w:jc w:val="center"/>
        </w:trPr>
        <w:tc>
          <w:tcPr>
            <w:tcW w:w="4113" w:type="dxa"/>
            <w:tcBorders>
              <w:top w:val="nil"/>
              <w:left w:val="nil"/>
              <w:bottom w:val="nil"/>
              <w:right w:val="nil"/>
            </w:tcBorders>
            <w:vAlign w:val="center"/>
          </w:tcPr>
          <w:p w14:paraId="4BC86E02"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Lithuania</w:t>
            </w:r>
          </w:p>
        </w:tc>
        <w:tc>
          <w:tcPr>
            <w:tcW w:w="1842" w:type="dxa"/>
            <w:tcBorders>
              <w:top w:val="nil"/>
              <w:left w:val="nil"/>
              <w:bottom w:val="nil"/>
              <w:right w:val="nil"/>
            </w:tcBorders>
            <w:vAlign w:val="bottom"/>
          </w:tcPr>
          <w:p w14:paraId="4BC86E03"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0.073</w:t>
            </w:r>
          </w:p>
        </w:tc>
        <w:tc>
          <w:tcPr>
            <w:tcW w:w="1701" w:type="dxa"/>
            <w:tcBorders>
              <w:top w:val="nil"/>
              <w:left w:val="nil"/>
              <w:bottom w:val="nil"/>
              <w:right w:val="nil"/>
            </w:tcBorders>
            <w:vAlign w:val="bottom"/>
          </w:tcPr>
          <w:p w14:paraId="4BC86E0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0.071</w:t>
            </w:r>
          </w:p>
        </w:tc>
        <w:tc>
          <w:tcPr>
            <w:tcW w:w="1983" w:type="dxa"/>
            <w:tcBorders>
              <w:top w:val="nil"/>
              <w:left w:val="nil"/>
              <w:bottom w:val="nil"/>
              <w:right w:val="nil"/>
            </w:tcBorders>
            <w:vAlign w:val="bottom"/>
          </w:tcPr>
          <w:p w14:paraId="4BC86E0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0.071</w:t>
            </w:r>
          </w:p>
        </w:tc>
      </w:tr>
      <w:tr w:rsidR="005140C3" w:rsidRPr="00A82BE5" w14:paraId="4BC86E0B" w14:textId="77777777" w:rsidTr="009F3C26">
        <w:trPr>
          <w:trHeight w:val="248"/>
          <w:jc w:val="center"/>
        </w:trPr>
        <w:tc>
          <w:tcPr>
            <w:tcW w:w="4113" w:type="dxa"/>
            <w:tcBorders>
              <w:top w:val="nil"/>
              <w:left w:val="nil"/>
              <w:bottom w:val="nil"/>
              <w:right w:val="nil"/>
            </w:tcBorders>
            <w:vAlign w:val="center"/>
          </w:tcPr>
          <w:p w14:paraId="4BC86E07"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Luxembourg</w:t>
            </w:r>
          </w:p>
        </w:tc>
        <w:tc>
          <w:tcPr>
            <w:tcW w:w="1842" w:type="dxa"/>
            <w:tcBorders>
              <w:top w:val="nil"/>
              <w:left w:val="nil"/>
              <w:bottom w:val="nil"/>
              <w:right w:val="nil"/>
            </w:tcBorders>
            <w:vAlign w:val="bottom"/>
          </w:tcPr>
          <w:p w14:paraId="4BC86E08"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0.081</w:t>
            </w:r>
          </w:p>
        </w:tc>
        <w:tc>
          <w:tcPr>
            <w:tcW w:w="1701" w:type="dxa"/>
            <w:tcBorders>
              <w:top w:val="nil"/>
              <w:left w:val="nil"/>
              <w:bottom w:val="nil"/>
              <w:right w:val="nil"/>
            </w:tcBorders>
            <w:vAlign w:val="bottom"/>
          </w:tcPr>
          <w:p w14:paraId="4BC86E0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0.079</w:t>
            </w:r>
          </w:p>
        </w:tc>
        <w:tc>
          <w:tcPr>
            <w:tcW w:w="1983" w:type="dxa"/>
            <w:tcBorders>
              <w:top w:val="nil"/>
              <w:left w:val="nil"/>
              <w:bottom w:val="nil"/>
              <w:right w:val="nil"/>
            </w:tcBorders>
            <w:vAlign w:val="bottom"/>
          </w:tcPr>
          <w:p w14:paraId="4BC86E0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0.079</w:t>
            </w:r>
          </w:p>
        </w:tc>
      </w:tr>
      <w:tr w:rsidR="005140C3" w:rsidRPr="00A82BE5" w14:paraId="4BC86E10" w14:textId="77777777" w:rsidTr="009F3C26">
        <w:trPr>
          <w:trHeight w:val="248"/>
          <w:jc w:val="center"/>
        </w:trPr>
        <w:tc>
          <w:tcPr>
            <w:tcW w:w="4113" w:type="dxa"/>
            <w:tcBorders>
              <w:top w:val="nil"/>
              <w:left w:val="nil"/>
              <w:bottom w:val="nil"/>
              <w:right w:val="nil"/>
            </w:tcBorders>
            <w:vAlign w:val="center"/>
          </w:tcPr>
          <w:p w14:paraId="4BC86E0C"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Madagascar</w:t>
            </w:r>
          </w:p>
        </w:tc>
        <w:tc>
          <w:tcPr>
            <w:tcW w:w="1842" w:type="dxa"/>
            <w:tcBorders>
              <w:top w:val="nil"/>
              <w:left w:val="nil"/>
              <w:bottom w:val="nil"/>
              <w:right w:val="nil"/>
            </w:tcBorders>
            <w:vAlign w:val="bottom"/>
          </w:tcPr>
          <w:p w14:paraId="4BC86E0D"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0.003</w:t>
            </w:r>
          </w:p>
        </w:tc>
        <w:tc>
          <w:tcPr>
            <w:tcW w:w="1701" w:type="dxa"/>
            <w:tcBorders>
              <w:top w:val="nil"/>
              <w:left w:val="nil"/>
              <w:bottom w:val="nil"/>
              <w:right w:val="nil"/>
            </w:tcBorders>
            <w:vAlign w:val="bottom"/>
          </w:tcPr>
          <w:p w14:paraId="4BC86E0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c>
          <w:tcPr>
            <w:tcW w:w="1983" w:type="dxa"/>
            <w:tcBorders>
              <w:top w:val="nil"/>
              <w:left w:val="nil"/>
              <w:bottom w:val="nil"/>
              <w:right w:val="nil"/>
            </w:tcBorders>
            <w:vAlign w:val="bottom"/>
          </w:tcPr>
          <w:p w14:paraId="4BC86E0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r>
      <w:tr w:rsidR="005140C3" w:rsidRPr="00A82BE5" w14:paraId="4BC86E15" w14:textId="77777777" w:rsidTr="009F3C26">
        <w:trPr>
          <w:trHeight w:val="248"/>
          <w:jc w:val="center"/>
        </w:trPr>
        <w:tc>
          <w:tcPr>
            <w:tcW w:w="4113" w:type="dxa"/>
            <w:tcBorders>
              <w:top w:val="nil"/>
              <w:left w:val="nil"/>
              <w:bottom w:val="nil"/>
              <w:right w:val="nil"/>
            </w:tcBorders>
            <w:vAlign w:val="center"/>
          </w:tcPr>
          <w:p w14:paraId="4BC86E11"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Malawi</w:t>
            </w:r>
          </w:p>
        </w:tc>
        <w:tc>
          <w:tcPr>
            <w:tcW w:w="1842" w:type="dxa"/>
            <w:tcBorders>
              <w:top w:val="nil"/>
              <w:left w:val="nil"/>
              <w:bottom w:val="nil"/>
              <w:right w:val="nil"/>
            </w:tcBorders>
            <w:vAlign w:val="bottom"/>
          </w:tcPr>
          <w:p w14:paraId="4BC86E12"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0.002</w:t>
            </w:r>
          </w:p>
        </w:tc>
        <w:tc>
          <w:tcPr>
            <w:tcW w:w="1701" w:type="dxa"/>
            <w:tcBorders>
              <w:top w:val="nil"/>
              <w:left w:val="nil"/>
              <w:bottom w:val="nil"/>
              <w:right w:val="nil"/>
            </w:tcBorders>
            <w:vAlign w:val="bottom"/>
          </w:tcPr>
          <w:p w14:paraId="4BC86E1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c>
          <w:tcPr>
            <w:tcW w:w="1983" w:type="dxa"/>
            <w:tcBorders>
              <w:top w:val="nil"/>
              <w:left w:val="nil"/>
              <w:bottom w:val="nil"/>
              <w:right w:val="nil"/>
            </w:tcBorders>
            <w:vAlign w:val="bottom"/>
          </w:tcPr>
          <w:p w14:paraId="4BC86E1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r>
      <w:tr w:rsidR="005140C3" w:rsidRPr="00A82BE5" w14:paraId="4BC86E1A" w14:textId="77777777" w:rsidTr="009F3C26">
        <w:trPr>
          <w:trHeight w:val="248"/>
          <w:jc w:val="center"/>
        </w:trPr>
        <w:tc>
          <w:tcPr>
            <w:tcW w:w="4113" w:type="dxa"/>
            <w:tcBorders>
              <w:top w:val="nil"/>
              <w:left w:val="nil"/>
              <w:bottom w:val="nil"/>
              <w:right w:val="nil"/>
            </w:tcBorders>
            <w:vAlign w:val="center"/>
          </w:tcPr>
          <w:p w14:paraId="4BC86E16"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Malaysia</w:t>
            </w:r>
          </w:p>
        </w:tc>
        <w:tc>
          <w:tcPr>
            <w:tcW w:w="1842" w:type="dxa"/>
            <w:tcBorders>
              <w:top w:val="nil"/>
              <w:left w:val="nil"/>
              <w:bottom w:val="nil"/>
              <w:right w:val="nil"/>
            </w:tcBorders>
            <w:vAlign w:val="bottom"/>
          </w:tcPr>
          <w:p w14:paraId="4BC86E17"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0.281</w:t>
            </w:r>
          </w:p>
        </w:tc>
        <w:tc>
          <w:tcPr>
            <w:tcW w:w="1701" w:type="dxa"/>
            <w:tcBorders>
              <w:top w:val="nil"/>
              <w:left w:val="nil"/>
              <w:bottom w:val="nil"/>
              <w:right w:val="nil"/>
            </w:tcBorders>
            <w:vAlign w:val="bottom"/>
          </w:tcPr>
          <w:p w14:paraId="4BC86E1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0.274</w:t>
            </w:r>
          </w:p>
        </w:tc>
        <w:tc>
          <w:tcPr>
            <w:tcW w:w="1983" w:type="dxa"/>
            <w:tcBorders>
              <w:top w:val="nil"/>
              <w:left w:val="nil"/>
              <w:bottom w:val="nil"/>
              <w:right w:val="nil"/>
            </w:tcBorders>
            <w:vAlign w:val="bottom"/>
          </w:tcPr>
          <w:p w14:paraId="4BC86E1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0.274</w:t>
            </w:r>
          </w:p>
        </w:tc>
      </w:tr>
      <w:tr w:rsidR="005140C3" w:rsidRPr="00A82BE5" w14:paraId="4BC86E1F" w14:textId="77777777" w:rsidTr="009F3C26">
        <w:trPr>
          <w:trHeight w:val="248"/>
          <w:jc w:val="center"/>
        </w:trPr>
        <w:tc>
          <w:tcPr>
            <w:tcW w:w="4113" w:type="dxa"/>
            <w:tcBorders>
              <w:top w:val="nil"/>
              <w:left w:val="nil"/>
              <w:bottom w:val="nil"/>
              <w:right w:val="nil"/>
            </w:tcBorders>
            <w:vAlign w:val="center"/>
          </w:tcPr>
          <w:p w14:paraId="4BC86E1B"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Maldives</w:t>
            </w:r>
          </w:p>
        </w:tc>
        <w:tc>
          <w:tcPr>
            <w:tcW w:w="1842" w:type="dxa"/>
            <w:tcBorders>
              <w:top w:val="nil"/>
              <w:left w:val="nil"/>
              <w:bottom w:val="nil"/>
              <w:right w:val="nil"/>
            </w:tcBorders>
            <w:vAlign w:val="bottom"/>
          </w:tcPr>
          <w:p w14:paraId="4BC86E1C"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E1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E1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E24" w14:textId="77777777" w:rsidTr="009F3C26">
        <w:trPr>
          <w:trHeight w:val="248"/>
          <w:jc w:val="center"/>
        </w:trPr>
        <w:tc>
          <w:tcPr>
            <w:tcW w:w="4113" w:type="dxa"/>
            <w:tcBorders>
              <w:top w:val="nil"/>
              <w:left w:val="nil"/>
              <w:bottom w:val="nil"/>
              <w:right w:val="nil"/>
            </w:tcBorders>
            <w:vAlign w:val="center"/>
          </w:tcPr>
          <w:p w14:paraId="4BC86E20"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Mali</w:t>
            </w:r>
          </w:p>
        </w:tc>
        <w:tc>
          <w:tcPr>
            <w:tcW w:w="1842" w:type="dxa"/>
            <w:tcBorders>
              <w:top w:val="nil"/>
              <w:left w:val="nil"/>
              <w:bottom w:val="nil"/>
              <w:right w:val="nil"/>
            </w:tcBorders>
            <w:vAlign w:val="bottom"/>
          </w:tcPr>
          <w:p w14:paraId="4BC86E21"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0.004</w:t>
            </w:r>
          </w:p>
        </w:tc>
        <w:tc>
          <w:tcPr>
            <w:tcW w:w="1701" w:type="dxa"/>
            <w:tcBorders>
              <w:top w:val="nil"/>
              <w:left w:val="nil"/>
              <w:bottom w:val="nil"/>
              <w:right w:val="nil"/>
            </w:tcBorders>
            <w:vAlign w:val="bottom"/>
          </w:tcPr>
          <w:p w14:paraId="4BC86E2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0.004</w:t>
            </w:r>
          </w:p>
        </w:tc>
        <w:tc>
          <w:tcPr>
            <w:tcW w:w="1983" w:type="dxa"/>
            <w:tcBorders>
              <w:top w:val="nil"/>
              <w:left w:val="nil"/>
              <w:bottom w:val="nil"/>
              <w:right w:val="nil"/>
            </w:tcBorders>
            <w:vAlign w:val="bottom"/>
          </w:tcPr>
          <w:p w14:paraId="4BC86E2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0.004</w:t>
            </w:r>
          </w:p>
        </w:tc>
      </w:tr>
      <w:tr w:rsidR="005140C3" w:rsidRPr="00A82BE5" w14:paraId="4BC86E29" w14:textId="77777777" w:rsidTr="009F3C26">
        <w:trPr>
          <w:trHeight w:val="248"/>
          <w:jc w:val="center"/>
        </w:trPr>
        <w:tc>
          <w:tcPr>
            <w:tcW w:w="4113" w:type="dxa"/>
            <w:tcBorders>
              <w:top w:val="nil"/>
              <w:left w:val="nil"/>
              <w:bottom w:val="nil"/>
              <w:right w:val="nil"/>
            </w:tcBorders>
            <w:vAlign w:val="center"/>
          </w:tcPr>
          <w:p w14:paraId="4BC86E25"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Malta</w:t>
            </w:r>
          </w:p>
        </w:tc>
        <w:tc>
          <w:tcPr>
            <w:tcW w:w="1842" w:type="dxa"/>
            <w:tcBorders>
              <w:top w:val="nil"/>
              <w:left w:val="nil"/>
              <w:bottom w:val="nil"/>
              <w:right w:val="nil"/>
            </w:tcBorders>
            <w:vAlign w:val="bottom"/>
          </w:tcPr>
          <w:p w14:paraId="4BC86E26"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0.016</w:t>
            </w:r>
          </w:p>
        </w:tc>
        <w:tc>
          <w:tcPr>
            <w:tcW w:w="1701" w:type="dxa"/>
            <w:tcBorders>
              <w:top w:val="nil"/>
              <w:left w:val="nil"/>
              <w:bottom w:val="nil"/>
              <w:right w:val="nil"/>
            </w:tcBorders>
            <w:vAlign w:val="bottom"/>
          </w:tcPr>
          <w:p w14:paraId="4BC86E2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0.016</w:t>
            </w:r>
          </w:p>
        </w:tc>
        <w:tc>
          <w:tcPr>
            <w:tcW w:w="1983" w:type="dxa"/>
            <w:tcBorders>
              <w:top w:val="nil"/>
              <w:left w:val="nil"/>
              <w:bottom w:val="nil"/>
              <w:right w:val="nil"/>
            </w:tcBorders>
            <w:vAlign w:val="bottom"/>
          </w:tcPr>
          <w:p w14:paraId="4BC86E2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0.016</w:t>
            </w:r>
          </w:p>
        </w:tc>
      </w:tr>
      <w:tr w:rsidR="005140C3" w:rsidRPr="00A82BE5" w14:paraId="4BC86E2E" w14:textId="77777777" w:rsidTr="009F3C26">
        <w:trPr>
          <w:trHeight w:val="248"/>
          <w:jc w:val="center"/>
        </w:trPr>
        <w:tc>
          <w:tcPr>
            <w:tcW w:w="4113" w:type="dxa"/>
            <w:tcBorders>
              <w:top w:val="nil"/>
              <w:left w:val="nil"/>
              <w:bottom w:val="nil"/>
              <w:right w:val="nil"/>
            </w:tcBorders>
            <w:vAlign w:val="center"/>
          </w:tcPr>
          <w:p w14:paraId="4BC86E2A"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Marshall Islands</w:t>
            </w:r>
          </w:p>
        </w:tc>
        <w:tc>
          <w:tcPr>
            <w:tcW w:w="1842" w:type="dxa"/>
            <w:tcBorders>
              <w:top w:val="nil"/>
              <w:left w:val="nil"/>
              <w:bottom w:val="nil"/>
              <w:right w:val="nil"/>
            </w:tcBorders>
            <w:vAlign w:val="bottom"/>
          </w:tcPr>
          <w:p w14:paraId="4BC86E2B"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E2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E2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E33" w14:textId="77777777" w:rsidTr="009F3C26">
        <w:trPr>
          <w:trHeight w:val="248"/>
          <w:jc w:val="center"/>
        </w:trPr>
        <w:tc>
          <w:tcPr>
            <w:tcW w:w="4113" w:type="dxa"/>
            <w:tcBorders>
              <w:top w:val="nil"/>
              <w:left w:val="nil"/>
              <w:bottom w:val="nil"/>
              <w:right w:val="nil"/>
            </w:tcBorders>
            <w:vAlign w:val="center"/>
          </w:tcPr>
          <w:p w14:paraId="4BC86E2F"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Mauritania</w:t>
            </w:r>
          </w:p>
        </w:tc>
        <w:tc>
          <w:tcPr>
            <w:tcW w:w="1842" w:type="dxa"/>
            <w:tcBorders>
              <w:top w:val="nil"/>
              <w:left w:val="nil"/>
              <w:bottom w:val="nil"/>
              <w:right w:val="nil"/>
            </w:tcBorders>
            <w:vAlign w:val="bottom"/>
          </w:tcPr>
          <w:p w14:paraId="4BC86E30"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0.002</w:t>
            </w:r>
          </w:p>
        </w:tc>
        <w:tc>
          <w:tcPr>
            <w:tcW w:w="1701" w:type="dxa"/>
            <w:tcBorders>
              <w:top w:val="nil"/>
              <w:left w:val="nil"/>
              <w:bottom w:val="nil"/>
              <w:right w:val="nil"/>
            </w:tcBorders>
            <w:vAlign w:val="bottom"/>
          </w:tcPr>
          <w:p w14:paraId="4BC86E3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c>
          <w:tcPr>
            <w:tcW w:w="1983" w:type="dxa"/>
            <w:tcBorders>
              <w:top w:val="nil"/>
              <w:left w:val="nil"/>
              <w:bottom w:val="nil"/>
              <w:right w:val="nil"/>
            </w:tcBorders>
            <w:vAlign w:val="bottom"/>
          </w:tcPr>
          <w:p w14:paraId="4BC86E3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r>
      <w:tr w:rsidR="005140C3" w:rsidRPr="00A82BE5" w14:paraId="4BC86E38" w14:textId="77777777" w:rsidTr="009F3C26">
        <w:trPr>
          <w:trHeight w:val="248"/>
          <w:jc w:val="center"/>
        </w:trPr>
        <w:tc>
          <w:tcPr>
            <w:tcW w:w="4113" w:type="dxa"/>
            <w:tcBorders>
              <w:top w:val="nil"/>
              <w:left w:val="nil"/>
              <w:bottom w:val="nil"/>
              <w:right w:val="nil"/>
            </w:tcBorders>
            <w:vAlign w:val="center"/>
          </w:tcPr>
          <w:p w14:paraId="4BC86E34"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Mauritius</w:t>
            </w:r>
          </w:p>
        </w:tc>
        <w:tc>
          <w:tcPr>
            <w:tcW w:w="1842" w:type="dxa"/>
            <w:tcBorders>
              <w:top w:val="nil"/>
              <w:left w:val="nil"/>
              <w:bottom w:val="nil"/>
              <w:right w:val="nil"/>
            </w:tcBorders>
            <w:vAlign w:val="bottom"/>
          </w:tcPr>
          <w:p w14:paraId="4BC86E35"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0.013</w:t>
            </w:r>
          </w:p>
        </w:tc>
        <w:tc>
          <w:tcPr>
            <w:tcW w:w="1701" w:type="dxa"/>
            <w:tcBorders>
              <w:top w:val="nil"/>
              <w:left w:val="nil"/>
              <w:bottom w:val="nil"/>
              <w:right w:val="nil"/>
            </w:tcBorders>
            <w:vAlign w:val="bottom"/>
          </w:tcPr>
          <w:p w14:paraId="4BC86E3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0.013</w:t>
            </w:r>
          </w:p>
        </w:tc>
        <w:tc>
          <w:tcPr>
            <w:tcW w:w="1983" w:type="dxa"/>
            <w:tcBorders>
              <w:top w:val="nil"/>
              <w:left w:val="nil"/>
              <w:bottom w:val="nil"/>
              <w:right w:val="nil"/>
            </w:tcBorders>
            <w:vAlign w:val="bottom"/>
          </w:tcPr>
          <w:p w14:paraId="4BC86E3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0.013</w:t>
            </w:r>
          </w:p>
        </w:tc>
      </w:tr>
      <w:tr w:rsidR="005140C3" w:rsidRPr="00A82BE5" w14:paraId="4BC86E3D" w14:textId="77777777" w:rsidTr="009F3C26">
        <w:trPr>
          <w:trHeight w:val="248"/>
          <w:jc w:val="center"/>
        </w:trPr>
        <w:tc>
          <w:tcPr>
            <w:tcW w:w="4113" w:type="dxa"/>
            <w:tcBorders>
              <w:top w:val="nil"/>
              <w:left w:val="nil"/>
              <w:bottom w:val="nil"/>
              <w:right w:val="nil"/>
            </w:tcBorders>
            <w:vAlign w:val="center"/>
          </w:tcPr>
          <w:p w14:paraId="4BC86E39"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Mexico</w:t>
            </w:r>
          </w:p>
        </w:tc>
        <w:tc>
          <w:tcPr>
            <w:tcW w:w="1842" w:type="dxa"/>
            <w:tcBorders>
              <w:top w:val="nil"/>
              <w:left w:val="nil"/>
              <w:bottom w:val="nil"/>
              <w:right w:val="nil"/>
            </w:tcBorders>
            <w:vAlign w:val="bottom"/>
          </w:tcPr>
          <w:p w14:paraId="4BC86E3A"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1.842</w:t>
            </w:r>
          </w:p>
        </w:tc>
        <w:tc>
          <w:tcPr>
            <w:tcW w:w="1701" w:type="dxa"/>
            <w:tcBorders>
              <w:top w:val="nil"/>
              <w:left w:val="nil"/>
              <w:bottom w:val="nil"/>
              <w:right w:val="nil"/>
            </w:tcBorders>
            <w:vAlign w:val="bottom"/>
          </w:tcPr>
          <w:p w14:paraId="4BC86E3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1.796</w:t>
            </w:r>
          </w:p>
        </w:tc>
        <w:tc>
          <w:tcPr>
            <w:tcW w:w="1983" w:type="dxa"/>
            <w:tcBorders>
              <w:top w:val="nil"/>
              <w:left w:val="nil"/>
              <w:bottom w:val="nil"/>
              <w:right w:val="nil"/>
            </w:tcBorders>
            <w:vAlign w:val="bottom"/>
          </w:tcPr>
          <w:p w14:paraId="4BC86E3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1.796</w:t>
            </w:r>
          </w:p>
        </w:tc>
      </w:tr>
      <w:tr w:rsidR="005140C3" w:rsidRPr="00A82BE5" w14:paraId="4BC86E42" w14:textId="77777777" w:rsidTr="009F3C26">
        <w:trPr>
          <w:trHeight w:val="248"/>
          <w:jc w:val="center"/>
        </w:trPr>
        <w:tc>
          <w:tcPr>
            <w:tcW w:w="4113" w:type="dxa"/>
            <w:tcBorders>
              <w:top w:val="nil"/>
              <w:left w:val="nil"/>
              <w:bottom w:val="nil"/>
              <w:right w:val="nil"/>
            </w:tcBorders>
            <w:vAlign w:val="center"/>
          </w:tcPr>
          <w:p w14:paraId="4BC86E3E"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Micronesia (Federated States of)</w:t>
            </w:r>
          </w:p>
        </w:tc>
        <w:tc>
          <w:tcPr>
            <w:tcW w:w="1842" w:type="dxa"/>
            <w:tcBorders>
              <w:top w:val="nil"/>
              <w:left w:val="nil"/>
              <w:bottom w:val="nil"/>
              <w:right w:val="nil"/>
            </w:tcBorders>
            <w:vAlign w:val="bottom"/>
          </w:tcPr>
          <w:p w14:paraId="4BC86E3F"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E4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E4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E47" w14:textId="77777777" w:rsidTr="009F3C26">
        <w:trPr>
          <w:trHeight w:val="248"/>
          <w:jc w:val="center"/>
        </w:trPr>
        <w:tc>
          <w:tcPr>
            <w:tcW w:w="4113" w:type="dxa"/>
            <w:tcBorders>
              <w:top w:val="nil"/>
              <w:left w:val="nil"/>
              <w:bottom w:val="nil"/>
              <w:right w:val="nil"/>
            </w:tcBorders>
            <w:vAlign w:val="center"/>
          </w:tcPr>
          <w:p w14:paraId="4BC86E43"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Monaco</w:t>
            </w:r>
          </w:p>
        </w:tc>
        <w:tc>
          <w:tcPr>
            <w:tcW w:w="1842" w:type="dxa"/>
            <w:tcBorders>
              <w:top w:val="nil"/>
              <w:left w:val="nil"/>
              <w:bottom w:val="nil"/>
              <w:right w:val="nil"/>
            </w:tcBorders>
            <w:vAlign w:val="bottom"/>
          </w:tcPr>
          <w:p w14:paraId="4BC86E44"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0.012</w:t>
            </w:r>
          </w:p>
        </w:tc>
        <w:tc>
          <w:tcPr>
            <w:tcW w:w="1701" w:type="dxa"/>
            <w:tcBorders>
              <w:top w:val="nil"/>
              <w:left w:val="nil"/>
              <w:bottom w:val="nil"/>
              <w:right w:val="nil"/>
            </w:tcBorders>
            <w:vAlign w:val="bottom"/>
          </w:tcPr>
          <w:p w14:paraId="4BC86E4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0.012</w:t>
            </w:r>
          </w:p>
        </w:tc>
        <w:tc>
          <w:tcPr>
            <w:tcW w:w="1983" w:type="dxa"/>
            <w:tcBorders>
              <w:top w:val="nil"/>
              <w:left w:val="nil"/>
              <w:bottom w:val="nil"/>
              <w:right w:val="nil"/>
            </w:tcBorders>
            <w:vAlign w:val="bottom"/>
          </w:tcPr>
          <w:p w14:paraId="4BC86E4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0.012</w:t>
            </w:r>
          </w:p>
        </w:tc>
      </w:tr>
      <w:tr w:rsidR="005140C3" w:rsidRPr="00A82BE5" w14:paraId="4BC86E4C" w14:textId="77777777" w:rsidTr="009F3C26">
        <w:trPr>
          <w:trHeight w:val="248"/>
          <w:jc w:val="center"/>
        </w:trPr>
        <w:tc>
          <w:tcPr>
            <w:tcW w:w="4113" w:type="dxa"/>
            <w:tcBorders>
              <w:top w:val="nil"/>
              <w:left w:val="nil"/>
              <w:bottom w:val="nil"/>
              <w:right w:val="nil"/>
            </w:tcBorders>
            <w:vAlign w:val="center"/>
          </w:tcPr>
          <w:p w14:paraId="4BC86E48"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Mongolia</w:t>
            </w:r>
          </w:p>
        </w:tc>
        <w:tc>
          <w:tcPr>
            <w:tcW w:w="1842" w:type="dxa"/>
            <w:tcBorders>
              <w:top w:val="nil"/>
              <w:left w:val="nil"/>
              <w:bottom w:val="nil"/>
              <w:right w:val="nil"/>
            </w:tcBorders>
            <w:vAlign w:val="bottom"/>
          </w:tcPr>
          <w:p w14:paraId="4BC86E49"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0.003</w:t>
            </w:r>
          </w:p>
        </w:tc>
        <w:tc>
          <w:tcPr>
            <w:tcW w:w="1701" w:type="dxa"/>
            <w:tcBorders>
              <w:top w:val="nil"/>
              <w:left w:val="nil"/>
              <w:bottom w:val="nil"/>
              <w:right w:val="nil"/>
            </w:tcBorders>
            <w:vAlign w:val="bottom"/>
          </w:tcPr>
          <w:p w14:paraId="4BC86E4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c>
          <w:tcPr>
            <w:tcW w:w="1983" w:type="dxa"/>
            <w:tcBorders>
              <w:top w:val="nil"/>
              <w:left w:val="nil"/>
              <w:bottom w:val="nil"/>
              <w:right w:val="nil"/>
            </w:tcBorders>
            <w:vAlign w:val="bottom"/>
          </w:tcPr>
          <w:p w14:paraId="4BC86E4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r>
      <w:tr w:rsidR="005140C3" w:rsidRPr="00A82BE5" w14:paraId="4BC86E51" w14:textId="77777777" w:rsidTr="009F3C26">
        <w:trPr>
          <w:trHeight w:val="248"/>
          <w:jc w:val="center"/>
        </w:trPr>
        <w:tc>
          <w:tcPr>
            <w:tcW w:w="4113" w:type="dxa"/>
            <w:tcBorders>
              <w:top w:val="nil"/>
              <w:left w:val="nil"/>
              <w:bottom w:val="nil"/>
              <w:right w:val="nil"/>
            </w:tcBorders>
            <w:vAlign w:val="center"/>
          </w:tcPr>
          <w:p w14:paraId="4BC86E4D"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Montenegro</w:t>
            </w:r>
          </w:p>
        </w:tc>
        <w:tc>
          <w:tcPr>
            <w:tcW w:w="1842" w:type="dxa"/>
            <w:tcBorders>
              <w:top w:val="nil"/>
              <w:left w:val="nil"/>
              <w:bottom w:val="nil"/>
              <w:right w:val="nil"/>
            </w:tcBorders>
            <w:vAlign w:val="bottom"/>
          </w:tcPr>
          <w:p w14:paraId="4BC86E4E"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0.005</w:t>
            </w:r>
          </w:p>
        </w:tc>
        <w:tc>
          <w:tcPr>
            <w:tcW w:w="1701" w:type="dxa"/>
            <w:tcBorders>
              <w:top w:val="nil"/>
              <w:left w:val="nil"/>
              <w:bottom w:val="nil"/>
              <w:right w:val="nil"/>
            </w:tcBorders>
            <w:vAlign w:val="bottom"/>
          </w:tcPr>
          <w:p w14:paraId="4BC86E4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0.005</w:t>
            </w:r>
          </w:p>
        </w:tc>
        <w:tc>
          <w:tcPr>
            <w:tcW w:w="1983" w:type="dxa"/>
            <w:tcBorders>
              <w:top w:val="nil"/>
              <w:left w:val="nil"/>
              <w:bottom w:val="nil"/>
              <w:right w:val="nil"/>
            </w:tcBorders>
            <w:vAlign w:val="bottom"/>
          </w:tcPr>
          <w:p w14:paraId="4BC86E5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0.005</w:t>
            </w:r>
          </w:p>
        </w:tc>
      </w:tr>
      <w:tr w:rsidR="005140C3" w:rsidRPr="00A82BE5" w14:paraId="4BC86E56" w14:textId="77777777" w:rsidTr="009F3C26">
        <w:trPr>
          <w:trHeight w:val="248"/>
          <w:jc w:val="center"/>
        </w:trPr>
        <w:tc>
          <w:tcPr>
            <w:tcW w:w="4113" w:type="dxa"/>
            <w:tcBorders>
              <w:top w:val="nil"/>
              <w:left w:val="nil"/>
              <w:bottom w:val="nil"/>
              <w:right w:val="nil"/>
            </w:tcBorders>
            <w:vAlign w:val="center"/>
          </w:tcPr>
          <w:p w14:paraId="4BC86E52"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Morocco</w:t>
            </w:r>
          </w:p>
        </w:tc>
        <w:tc>
          <w:tcPr>
            <w:tcW w:w="1842" w:type="dxa"/>
            <w:tcBorders>
              <w:top w:val="nil"/>
              <w:left w:val="nil"/>
              <w:bottom w:val="nil"/>
              <w:right w:val="nil"/>
            </w:tcBorders>
            <w:vAlign w:val="bottom"/>
          </w:tcPr>
          <w:p w14:paraId="4BC86E53"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0.062</w:t>
            </w:r>
          </w:p>
        </w:tc>
        <w:tc>
          <w:tcPr>
            <w:tcW w:w="1701" w:type="dxa"/>
            <w:tcBorders>
              <w:top w:val="nil"/>
              <w:left w:val="nil"/>
              <w:bottom w:val="nil"/>
              <w:right w:val="nil"/>
            </w:tcBorders>
            <w:vAlign w:val="bottom"/>
          </w:tcPr>
          <w:p w14:paraId="4BC86E5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0.060</w:t>
            </w:r>
          </w:p>
        </w:tc>
        <w:tc>
          <w:tcPr>
            <w:tcW w:w="1983" w:type="dxa"/>
            <w:tcBorders>
              <w:top w:val="nil"/>
              <w:left w:val="nil"/>
              <w:bottom w:val="nil"/>
              <w:right w:val="nil"/>
            </w:tcBorders>
            <w:vAlign w:val="bottom"/>
          </w:tcPr>
          <w:p w14:paraId="4BC86E5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0.060</w:t>
            </w:r>
          </w:p>
        </w:tc>
      </w:tr>
      <w:tr w:rsidR="005140C3" w:rsidRPr="00A82BE5" w14:paraId="4BC86E5B" w14:textId="77777777" w:rsidTr="009F3C26">
        <w:trPr>
          <w:trHeight w:val="248"/>
          <w:jc w:val="center"/>
        </w:trPr>
        <w:tc>
          <w:tcPr>
            <w:tcW w:w="4113" w:type="dxa"/>
            <w:tcBorders>
              <w:top w:val="nil"/>
              <w:left w:val="nil"/>
              <w:bottom w:val="nil"/>
              <w:right w:val="nil"/>
            </w:tcBorders>
            <w:vAlign w:val="center"/>
          </w:tcPr>
          <w:p w14:paraId="4BC86E57"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Mozambique</w:t>
            </w:r>
          </w:p>
        </w:tc>
        <w:tc>
          <w:tcPr>
            <w:tcW w:w="1842" w:type="dxa"/>
            <w:tcBorders>
              <w:top w:val="nil"/>
              <w:left w:val="nil"/>
              <w:bottom w:val="nil"/>
              <w:right w:val="nil"/>
            </w:tcBorders>
            <w:vAlign w:val="bottom"/>
          </w:tcPr>
          <w:p w14:paraId="4BC86E58"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0.003</w:t>
            </w:r>
          </w:p>
        </w:tc>
        <w:tc>
          <w:tcPr>
            <w:tcW w:w="1701" w:type="dxa"/>
            <w:tcBorders>
              <w:top w:val="nil"/>
              <w:left w:val="nil"/>
              <w:bottom w:val="nil"/>
              <w:right w:val="nil"/>
            </w:tcBorders>
            <w:vAlign w:val="bottom"/>
          </w:tcPr>
          <w:p w14:paraId="4BC86E5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c>
          <w:tcPr>
            <w:tcW w:w="1983" w:type="dxa"/>
            <w:tcBorders>
              <w:top w:val="nil"/>
              <w:left w:val="nil"/>
              <w:bottom w:val="nil"/>
              <w:right w:val="nil"/>
            </w:tcBorders>
            <w:vAlign w:val="bottom"/>
          </w:tcPr>
          <w:p w14:paraId="4BC86E5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r>
      <w:tr w:rsidR="005140C3" w:rsidRPr="00A82BE5" w14:paraId="4BC86E60" w14:textId="77777777" w:rsidTr="009F3C26">
        <w:trPr>
          <w:trHeight w:val="248"/>
          <w:jc w:val="center"/>
        </w:trPr>
        <w:tc>
          <w:tcPr>
            <w:tcW w:w="4113" w:type="dxa"/>
            <w:tcBorders>
              <w:top w:val="nil"/>
              <w:left w:val="nil"/>
              <w:bottom w:val="nil"/>
              <w:right w:val="nil"/>
            </w:tcBorders>
            <w:vAlign w:val="center"/>
          </w:tcPr>
          <w:p w14:paraId="4BC86E5C"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Myanmar</w:t>
            </w:r>
          </w:p>
        </w:tc>
        <w:tc>
          <w:tcPr>
            <w:tcW w:w="1842" w:type="dxa"/>
            <w:tcBorders>
              <w:top w:val="nil"/>
              <w:left w:val="nil"/>
              <w:bottom w:val="nil"/>
              <w:right w:val="nil"/>
            </w:tcBorders>
            <w:vAlign w:val="bottom"/>
          </w:tcPr>
          <w:p w14:paraId="4BC86E5D"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0.010</w:t>
            </w:r>
          </w:p>
        </w:tc>
        <w:tc>
          <w:tcPr>
            <w:tcW w:w="1701" w:type="dxa"/>
            <w:tcBorders>
              <w:top w:val="nil"/>
              <w:left w:val="nil"/>
              <w:bottom w:val="nil"/>
              <w:right w:val="nil"/>
            </w:tcBorders>
            <w:vAlign w:val="bottom"/>
          </w:tcPr>
          <w:p w14:paraId="4BC86E5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c>
          <w:tcPr>
            <w:tcW w:w="1983" w:type="dxa"/>
            <w:tcBorders>
              <w:top w:val="nil"/>
              <w:left w:val="nil"/>
              <w:bottom w:val="nil"/>
              <w:right w:val="nil"/>
            </w:tcBorders>
            <w:vAlign w:val="bottom"/>
          </w:tcPr>
          <w:p w14:paraId="4BC86E5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r>
      <w:tr w:rsidR="005140C3" w:rsidRPr="00A82BE5" w14:paraId="4BC86E65" w14:textId="77777777" w:rsidTr="009F3C26">
        <w:trPr>
          <w:trHeight w:val="248"/>
          <w:jc w:val="center"/>
        </w:trPr>
        <w:tc>
          <w:tcPr>
            <w:tcW w:w="4113" w:type="dxa"/>
            <w:tcBorders>
              <w:top w:val="nil"/>
              <w:left w:val="nil"/>
              <w:bottom w:val="nil"/>
              <w:right w:val="nil"/>
            </w:tcBorders>
            <w:vAlign w:val="center"/>
          </w:tcPr>
          <w:p w14:paraId="4BC86E61"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Namibia</w:t>
            </w:r>
          </w:p>
        </w:tc>
        <w:tc>
          <w:tcPr>
            <w:tcW w:w="1842" w:type="dxa"/>
            <w:tcBorders>
              <w:top w:val="nil"/>
              <w:left w:val="nil"/>
              <w:bottom w:val="nil"/>
              <w:right w:val="nil"/>
            </w:tcBorders>
            <w:vAlign w:val="bottom"/>
          </w:tcPr>
          <w:p w14:paraId="4BC86E62"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0.010</w:t>
            </w:r>
          </w:p>
        </w:tc>
        <w:tc>
          <w:tcPr>
            <w:tcW w:w="1701" w:type="dxa"/>
            <w:tcBorders>
              <w:top w:val="nil"/>
              <w:left w:val="nil"/>
              <w:bottom w:val="nil"/>
              <w:right w:val="nil"/>
            </w:tcBorders>
            <w:vAlign w:val="bottom"/>
          </w:tcPr>
          <w:p w14:paraId="4BC86E6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c>
          <w:tcPr>
            <w:tcW w:w="1983" w:type="dxa"/>
            <w:tcBorders>
              <w:top w:val="nil"/>
              <w:left w:val="nil"/>
              <w:bottom w:val="nil"/>
              <w:right w:val="nil"/>
            </w:tcBorders>
            <w:vAlign w:val="bottom"/>
          </w:tcPr>
          <w:p w14:paraId="4BC86E6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r>
      <w:tr w:rsidR="005140C3" w:rsidRPr="00A82BE5" w14:paraId="4BC86E6A" w14:textId="77777777" w:rsidTr="009F3C26">
        <w:trPr>
          <w:trHeight w:val="248"/>
          <w:jc w:val="center"/>
        </w:trPr>
        <w:tc>
          <w:tcPr>
            <w:tcW w:w="4113" w:type="dxa"/>
            <w:tcBorders>
              <w:top w:val="nil"/>
              <w:left w:val="nil"/>
              <w:bottom w:val="nil"/>
              <w:right w:val="nil"/>
            </w:tcBorders>
            <w:vAlign w:val="center"/>
          </w:tcPr>
          <w:p w14:paraId="4BC86E66"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Nauru</w:t>
            </w:r>
          </w:p>
        </w:tc>
        <w:tc>
          <w:tcPr>
            <w:tcW w:w="1842" w:type="dxa"/>
            <w:tcBorders>
              <w:top w:val="nil"/>
              <w:left w:val="nil"/>
              <w:bottom w:val="nil"/>
              <w:right w:val="nil"/>
            </w:tcBorders>
            <w:vAlign w:val="bottom"/>
          </w:tcPr>
          <w:p w14:paraId="4BC86E67" w14:textId="77777777" w:rsidR="005140C3" w:rsidRPr="00A82BE5" w:rsidRDefault="005140C3" w:rsidP="0078185A">
            <w:pPr>
              <w:suppressAutoHyphens w:val="0"/>
              <w:spacing w:line="240" w:lineRule="auto"/>
              <w:ind w:right="31"/>
              <w:jc w:val="right"/>
              <w:rPr>
                <w:rFonts w:eastAsia="MS Mincho"/>
                <w:color w:val="000000"/>
                <w:sz w:val="18"/>
                <w:szCs w:val="18"/>
                <w:lang w:eastAsia="de-DE"/>
              </w:rPr>
            </w:pPr>
            <w:r w:rsidRPr="00A82BE5">
              <w:rPr>
                <w:rFonts w:eastAsia="MS Mincho"/>
                <w:color w:val="000000"/>
                <w:sz w:val="18"/>
                <w:szCs w:val="18"/>
                <w:lang w:eastAsia="de-DE"/>
              </w:rPr>
              <w:t>0.001</w:t>
            </w:r>
          </w:p>
        </w:tc>
        <w:tc>
          <w:tcPr>
            <w:tcW w:w="1701" w:type="dxa"/>
            <w:tcBorders>
              <w:top w:val="nil"/>
              <w:left w:val="nil"/>
              <w:bottom w:val="nil"/>
              <w:right w:val="nil"/>
            </w:tcBorders>
            <w:vAlign w:val="bottom"/>
          </w:tcPr>
          <w:p w14:paraId="4BC86E6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E6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E6F" w14:textId="77777777" w:rsidTr="009F3C26">
        <w:trPr>
          <w:trHeight w:val="248"/>
          <w:jc w:val="center"/>
        </w:trPr>
        <w:tc>
          <w:tcPr>
            <w:tcW w:w="4113" w:type="dxa"/>
            <w:tcBorders>
              <w:top w:val="nil"/>
              <w:left w:val="nil"/>
              <w:bottom w:val="nil"/>
              <w:right w:val="nil"/>
            </w:tcBorders>
            <w:vAlign w:val="center"/>
          </w:tcPr>
          <w:p w14:paraId="4BC86E6B"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Nepal</w:t>
            </w:r>
          </w:p>
        </w:tc>
        <w:tc>
          <w:tcPr>
            <w:tcW w:w="1842" w:type="dxa"/>
            <w:tcBorders>
              <w:top w:val="nil"/>
              <w:left w:val="nil"/>
              <w:bottom w:val="nil"/>
              <w:right w:val="nil"/>
            </w:tcBorders>
            <w:vAlign w:val="bottom"/>
          </w:tcPr>
          <w:p w14:paraId="4BC86E6C"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0.006</w:t>
            </w:r>
          </w:p>
        </w:tc>
        <w:tc>
          <w:tcPr>
            <w:tcW w:w="1701" w:type="dxa"/>
            <w:tcBorders>
              <w:top w:val="nil"/>
              <w:left w:val="nil"/>
              <w:bottom w:val="nil"/>
              <w:right w:val="nil"/>
            </w:tcBorders>
            <w:vAlign w:val="bottom"/>
          </w:tcPr>
          <w:p w14:paraId="4BC86E6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0.006</w:t>
            </w:r>
          </w:p>
        </w:tc>
        <w:tc>
          <w:tcPr>
            <w:tcW w:w="1983" w:type="dxa"/>
            <w:tcBorders>
              <w:top w:val="nil"/>
              <w:left w:val="nil"/>
              <w:bottom w:val="nil"/>
              <w:right w:val="nil"/>
            </w:tcBorders>
            <w:vAlign w:val="bottom"/>
          </w:tcPr>
          <w:p w14:paraId="4BC86E6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0.006</w:t>
            </w:r>
          </w:p>
        </w:tc>
      </w:tr>
      <w:tr w:rsidR="005140C3" w:rsidRPr="00A82BE5" w14:paraId="4BC86E74" w14:textId="77777777" w:rsidTr="009F3C26">
        <w:trPr>
          <w:trHeight w:val="248"/>
          <w:jc w:val="center"/>
        </w:trPr>
        <w:tc>
          <w:tcPr>
            <w:tcW w:w="4113" w:type="dxa"/>
            <w:tcBorders>
              <w:top w:val="nil"/>
              <w:left w:val="nil"/>
              <w:bottom w:val="nil"/>
              <w:right w:val="nil"/>
            </w:tcBorders>
            <w:vAlign w:val="center"/>
          </w:tcPr>
          <w:p w14:paraId="4BC86E70"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Netherlands</w:t>
            </w:r>
          </w:p>
        </w:tc>
        <w:tc>
          <w:tcPr>
            <w:tcW w:w="1842" w:type="dxa"/>
            <w:tcBorders>
              <w:top w:val="nil"/>
              <w:left w:val="nil"/>
              <w:bottom w:val="nil"/>
              <w:right w:val="nil"/>
            </w:tcBorders>
            <w:vAlign w:val="bottom"/>
          </w:tcPr>
          <w:p w14:paraId="4BC86E71"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1.654</w:t>
            </w:r>
          </w:p>
        </w:tc>
        <w:tc>
          <w:tcPr>
            <w:tcW w:w="1701" w:type="dxa"/>
            <w:tcBorders>
              <w:top w:val="nil"/>
              <w:left w:val="nil"/>
              <w:bottom w:val="nil"/>
              <w:right w:val="nil"/>
            </w:tcBorders>
            <w:vAlign w:val="bottom"/>
          </w:tcPr>
          <w:p w14:paraId="4BC86E7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1.613</w:t>
            </w:r>
          </w:p>
        </w:tc>
        <w:tc>
          <w:tcPr>
            <w:tcW w:w="1983" w:type="dxa"/>
            <w:tcBorders>
              <w:top w:val="nil"/>
              <w:left w:val="nil"/>
              <w:bottom w:val="nil"/>
              <w:right w:val="nil"/>
            </w:tcBorders>
            <w:vAlign w:val="bottom"/>
          </w:tcPr>
          <w:p w14:paraId="4BC86E7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1.613</w:t>
            </w:r>
          </w:p>
        </w:tc>
      </w:tr>
      <w:tr w:rsidR="005140C3" w:rsidRPr="00A82BE5" w14:paraId="4BC86E79" w14:textId="77777777" w:rsidTr="009F3C26">
        <w:trPr>
          <w:trHeight w:val="248"/>
          <w:jc w:val="center"/>
        </w:trPr>
        <w:tc>
          <w:tcPr>
            <w:tcW w:w="4113" w:type="dxa"/>
            <w:tcBorders>
              <w:top w:val="nil"/>
              <w:left w:val="nil"/>
              <w:bottom w:val="nil"/>
              <w:right w:val="nil"/>
            </w:tcBorders>
            <w:vAlign w:val="center"/>
          </w:tcPr>
          <w:p w14:paraId="4BC86E75"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New Zealand</w:t>
            </w:r>
          </w:p>
        </w:tc>
        <w:tc>
          <w:tcPr>
            <w:tcW w:w="1842" w:type="dxa"/>
            <w:tcBorders>
              <w:top w:val="nil"/>
              <w:left w:val="nil"/>
              <w:bottom w:val="nil"/>
              <w:right w:val="nil"/>
            </w:tcBorders>
            <w:vAlign w:val="bottom"/>
          </w:tcPr>
          <w:p w14:paraId="4BC86E76"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0.253</w:t>
            </w:r>
          </w:p>
        </w:tc>
        <w:tc>
          <w:tcPr>
            <w:tcW w:w="1701" w:type="dxa"/>
            <w:tcBorders>
              <w:top w:val="nil"/>
              <w:left w:val="nil"/>
              <w:bottom w:val="nil"/>
              <w:right w:val="nil"/>
            </w:tcBorders>
            <w:vAlign w:val="bottom"/>
          </w:tcPr>
          <w:p w14:paraId="4BC86E7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0.247</w:t>
            </w:r>
          </w:p>
        </w:tc>
        <w:tc>
          <w:tcPr>
            <w:tcW w:w="1983" w:type="dxa"/>
            <w:tcBorders>
              <w:top w:val="nil"/>
              <w:left w:val="nil"/>
              <w:bottom w:val="nil"/>
              <w:right w:val="nil"/>
            </w:tcBorders>
            <w:vAlign w:val="bottom"/>
          </w:tcPr>
          <w:p w14:paraId="4BC86E7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0.247</w:t>
            </w:r>
          </w:p>
        </w:tc>
      </w:tr>
      <w:tr w:rsidR="005140C3" w:rsidRPr="00A82BE5" w14:paraId="4BC86E7E" w14:textId="77777777" w:rsidTr="009F3C26">
        <w:trPr>
          <w:trHeight w:val="248"/>
          <w:jc w:val="center"/>
        </w:trPr>
        <w:tc>
          <w:tcPr>
            <w:tcW w:w="4113" w:type="dxa"/>
            <w:tcBorders>
              <w:top w:val="nil"/>
              <w:left w:val="nil"/>
              <w:bottom w:val="nil"/>
              <w:right w:val="nil"/>
            </w:tcBorders>
            <w:vAlign w:val="center"/>
          </w:tcPr>
          <w:p w14:paraId="4BC86E7A"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Nicaragua</w:t>
            </w:r>
          </w:p>
        </w:tc>
        <w:tc>
          <w:tcPr>
            <w:tcW w:w="1842" w:type="dxa"/>
            <w:tcBorders>
              <w:top w:val="nil"/>
              <w:left w:val="nil"/>
              <w:bottom w:val="nil"/>
              <w:right w:val="nil"/>
            </w:tcBorders>
            <w:vAlign w:val="bottom"/>
          </w:tcPr>
          <w:p w14:paraId="4BC86E7B"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0.003</w:t>
            </w:r>
          </w:p>
        </w:tc>
        <w:tc>
          <w:tcPr>
            <w:tcW w:w="1701" w:type="dxa"/>
            <w:tcBorders>
              <w:top w:val="nil"/>
              <w:left w:val="nil"/>
              <w:bottom w:val="nil"/>
              <w:right w:val="nil"/>
            </w:tcBorders>
            <w:vAlign w:val="bottom"/>
          </w:tcPr>
          <w:p w14:paraId="4BC86E7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c>
          <w:tcPr>
            <w:tcW w:w="1983" w:type="dxa"/>
            <w:tcBorders>
              <w:top w:val="nil"/>
              <w:left w:val="nil"/>
              <w:bottom w:val="nil"/>
              <w:right w:val="nil"/>
            </w:tcBorders>
            <w:vAlign w:val="bottom"/>
          </w:tcPr>
          <w:p w14:paraId="4BC86E7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r>
      <w:tr w:rsidR="005140C3" w:rsidRPr="00A82BE5" w14:paraId="4BC86E83" w14:textId="77777777" w:rsidTr="009F3C26">
        <w:trPr>
          <w:trHeight w:val="248"/>
          <w:jc w:val="center"/>
        </w:trPr>
        <w:tc>
          <w:tcPr>
            <w:tcW w:w="4113" w:type="dxa"/>
            <w:tcBorders>
              <w:top w:val="nil"/>
              <w:left w:val="nil"/>
              <w:bottom w:val="nil"/>
              <w:right w:val="nil"/>
            </w:tcBorders>
            <w:vAlign w:val="center"/>
          </w:tcPr>
          <w:p w14:paraId="4BC86E7F"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Niger</w:t>
            </w:r>
          </w:p>
        </w:tc>
        <w:tc>
          <w:tcPr>
            <w:tcW w:w="1842" w:type="dxa"/>
            <w:tcBorders>
              <w:top w:val="nil"/>
              <w:left w:val="nil"/>
              <w:bottom w:val="nil"/>
              <w:right w:val="nil"/>
            </w:tcBorders>
            <w:vAlign w:val="bottom"/>
          </w:tcPr>
          <w:p w14:paraId="4BC86E80"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0.002</w:t>
            </w:r>
          </w:p>
        </w:tc>
        <w:tc>
          <w:tcPr>
            <w:tcW w:w="1701" w:type="dxa"/>
            <w:tcBorders>
              <w:top w:val="nil"/>
              <w:left w:val="nil"/>
              <w:bottom w:val="nil"/>
              <w:right w:val="nil"/>
            </w:tcBorders>
            <w:vAlign w:val="bottom"/>
          </w:tcPr>
          <w:p w14:paraId="4BC86E8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c>
          <w:tcPr>
            <w:tcW w:w="1983" w:type="dxa"/>
            <w:tcBorders>
              <w:top w:val="nil"/>
              <w:left w:val="nil"/>
              <w:bottom w:val="nil"/>
              <w:right w:val="nil"/>
            </w:tcBorders>
            <w:vAlign w:val="bottom"/>
          </w:tcPr>
          <w:p w14:paraId="4BC86E8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r>
      <w:tr w:rsidR="005140C3" w:rsidRPr="00A82BE5" w14:paraId="4BC86E88" w14:textId="77777777" w:rsidTr="009F3C26">
        <w:trPr>
          <w:trHeight w:val="248"/>
          <w:jc w:val="center"/>
        </w:trPr>
        <w:tc>
          <w:tcPr>
            <w:tcW w:w="4113" w:type="dxa"/>
            <w:tcBorders>
              <w:top w:val="nil"/>
              <w:left w:val="nil"/>
              <w:bottom w:val="nil"/>
              <w:right w:val="nil"/>
            </w:tcBorders>
            <w:vAlign w:val="center"/>
          </w:tcPr>
          <w:p w14:paraId="4BC86E84"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Nigeria</w:t>
            </w:r>
          </w:p>
        </w:tc>
        <w:tc>
          <w:tcPr>
            <w:tcW w:w="1842" w:type="dxa"/>
            <w:tcBorders>
              <w:top w:val="nil"/>
              <w:left w:val="nil"/>
              <w:bottom w:val="nil"/>
              <w:right w:val="nil"/>
            </w:tcBorders>
            <w:vAlign w:val="bottom"/>
          </w:tcPr>
          <w:p w14:paraId="4BC86E85"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0.090</w:t>
            </w:r>
          </w:p>
        </w:tc>
        <w:tc>
          <w:tcPr>
            <w:tcW w:w="1701" w:type="dxa"/>
            <w:tcBorders>
              <w:top w:val="nil"/>
              <w:left w:val="nil"/>
              <w:bottom w:val="nil"/>
              <w:right w:val="nil"/>
            </w:tcBorders>
            <w:vAlign w:val="bottom"/>
          </w:tcPr>
          <w:p w14:paraId="4BC86E8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0.088</w:t>
            </w:r>
          </w:p>
        </w:tc>
        <w:tc>
          <w:tcPr>
            <w:tcW w:w="1983" w:type="dxa"/>
            <w:tcBorders>
              <w:top w:val="nil"/>
              <w:left w:val="nil"/>
              <w:bottom w:val="nil"/>
              <w:right w:val="nil"/>
            </w:tcBorders>
            <w:vAlign w:val="bottom"/>
          </w:tcPr>
          <w:p w14:paraId="4BC86E8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0.088</w:t>
            </w:r>
          </w:p>
        </w:tc>
      </w:tr>
      <w:tr w:rsidR="005140C3" w:rsidRPr="00A82BE5" w14:paraId="4BC86E8D" w14:textId="77777777" w:rsidTr="009F3C26">
        <w:trPr>
          <w:trHeight w:val="248"/>
          <w:jc w:val="center"/>
        </w:trPr>
        <w:tc>
          <w:tcPr>
            <w:tcW w:w="4113" w:type="dxa"/>
            <w:tcBorders>
              <w:top w:val="nil"/>
              <w:left w:val="nil"/>
              <w:bottom w:val="nil"/>
              <w:right w:val="nil"/>
            </w:tcBorders>
            <w:vAlign w:val="center"/>
          </w:tcPr>
          <w:p w14:paraId="4BC86E89"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Niue</w:t>
            </w:r>
          </w:p>
        </w:tc>
        <w:tc>
          <w:tcPr>
            <w:tcW w:w="1842" w:type="dxa"/>
            <w:tcBorders>
              <w:top w:val="nil"/>
              <w:left w:val="nil"/>
              <w:bottom w:val="nil"/>
              <w:right w:val="nil"/>
            </w:tcBorders>
            <w:vAlign w:val="bottom"/>
          </w:tcPr>
          <w:p w14:paraId="4BC86E8A" w14:textId="77777777" w:rsidR="005140C3" w:rsidRPr="00A82BE5" w:rsidRDefault="005140C3" w:rsidP="0078185A">
            <w:pPr>
              <w:suppressAutoHyphens w:val="0"/>
              <w:spacing w:line="240" w:lineRule="auto"/>
              <w:ind w:right="31"/>
              <w:jc w:val="right"/>
              <w:rPr>
                <w:rFonts w:eastAsia="MS Mincho"/>
                <w:color w:val="000000"/>
                <w:sz w:val="18"/>
                <w:szCs w:val="18"/>
                <w:lang w:eastAsia="de-DE"/>
              </w:rPr>
            </w:pPr>
            <w:r w:rsidRPr="00A82BE5">
              <w:rPr>
                <w:rFonts w:eastAsia="MS Mincho"/>
                <w:color w:val="000000"/>
                <w:sz w:val="18"/>
                <w:szCs w:val="18"/>
                <w:lang w:eastAsia="de-DE"/>
              </w:rPr>
              <w:t>0.001</w:t>
            </w:r>
          </w:p>
        </w:tc>
        <w:tc>
          <w:tcPr>
            <w:tcW w:w="1701" w:type="dxa"/>
            <w:tcBorders>
              <w:top w:val="nil"/>
              <w:left w:val="nil"/>
              <w:bottom w:val="nil"/>
              <w:right w:val="nil"/>
            </w:tcBorders>
            <w:vAlign w:val="bottom"/>
          </w:tcPr>
          <w:p w14:paraId="4BC86E8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E8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E92" w14:textId="77777777" w:rsidTr="009F3C26">
        <w:trPr>
          <w:trHeight w:val="248"/>
          <w:jc w:val="center"/>
        </w:trPr>
        <w:tc>
          <w:tcPr>
            <w:tcW w:w="4113" w:type="dxa"/>
            <w:tcBorders>
              <w:top w:val="nil"/>
              <w:left w:val="nil"/>
              <w:bottom w:val="nil"/>
              <w:right w:val="nil"/>
            </w:tcBorders>
            <w:vAlign w:val="center"/>
          </w:tcPr>
          <w:p w14:paraId="4BC86E8E"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Norway</w:t>
            </w:r>
          </w:p>
        </w:tc>
        <w:tc>
          <w:tcPr>
            <w:tcW w:w="1842" w:type="dxa"/>
            <w:tcBorders>
              <w:top w:val="nil"/>
              <w:left w:val="nil"/>
              <w:bottom w:val="nil"/>
              <w:right w:val="nil"/>
            </w:tcBorders>
            <w:vAlign w:val="bottom"/>
          </w:tcPr>
          <w:p w14:paraId="4BC86E8F"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0.851</w:t>
            </w:r>
          </w:p>
        </w:tc>
        <w:tc>
          <w:tcPr>
            <w:tcW w:w="1701" w:type="dxa"/>
            <w:tcBorders>
              <w:top w:val="nil"/>
              <w:left w:val="nil"/>
              <w:bottom w:val="nil"/>
              <w:right w:val="nil"/>
            </w:tcBorders>
            <w:vAlign w:val="bottom"/>
          </w:tcPr>
          <w:p w14:paraId="4BC86E9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0.830</w:t>
            </w:r>
          </w:p>
        </w:tc>
        <w:tc>
          <w:tcPr>
            <w:tcW w:w="1983" w:type="dxa"/>
            <w:tcBorders>
              <w:top w:val="nil"/>
              <w:left w:val="nil"/>
              <w:bottom w:val="nil"/>
              <w:right w:val="nil"/>
            </w:tcBorders>
            <w:vAlign w:val="bottom"/>
          </w:tcPr>
          <w:p w14:paraId="4BC86E9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0.830</w:t>
            </w:r>
          </w:p>
        </w:tc>
      </w:tr>
      <w:tr w:rsidR="005140C3" w:rsidRPr="00A82BE5" w14:paraId="4BC86E97" w14:textId="77777777" w:rsidTr="009F3C26">
        <w:trPr>
          <w:trHeight w:val="248"/>
          <w:jc w:val="center"/>
        </w:trPr>
        <w:tc>
          <w:tcPr>
            <w:tcW w:w="4113" w:type="dxa"/>
            <w:tcBorders>
              <w:top w:val="nil"/>
              <w:left w:val="nil"/>
              <w:bottom w:val="nil"/>
              <w:right w:val="nil"/>
            </w:tcBorders>
            <w:vAlign w:val="center"/>
          </w:tcPr>
          <w:p w14:paraId="4BC86E93"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Oman</w:t>
            </w:r>
          </w:p>
        </w:tc>
        <w:tc>
          <w:tcPr>
            <w:tcW w:w="1842" w:type="dxa"/>
            <w:tcBorders>
              <w:top w:val="nil"/>
              <w:left w:val="nil"/>
              <w:bottom w:val="nil"/>
              <w:right w:val="nil"/>
            </w:tcBorders>
            <w:vAlign w:val="bottom"/>
          </w:tcPr>
          <w:p w14:paraId="4BC86E94"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0.102</w:t>
            </w:r>
          </w:p>
        </w:tc>
        <w:tc>
          <w:tcPr>
            <w:tcW w:w="1701" w:type="dxa"/>
            <w:tcBorders>
              <w:top w:val="nil"/>
              <w:left w:val="nil"/>
              <w:bottom w:val="nil"/>
              <w:right w:val="nil"/>
            </w:tcBorders>
            <w:vAlign w:val="bottom"/>
          </w:tcPr>
          <w:p w14:paraId="4BC86E9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0.099</w:t>
            </w:r>
          </w:p>
        </w:tc>
        <w:tc>
          <w:tcPr>
            <w:tcW w:w="1983" w:type="dxa"/>
            <w:tcBorders>
              <w:top w:val="nil"/>
              <w:left w:val="nil"/>
              <w:bottom w:val="nil"/>
              <w:right w:val="nil"/>
            </w:tcBorders>
            <w:vAlign w:val="bottom"/>
          </w:tcPr>
          <w:p w14:paraId="4BC86E9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0.099</w:t>
            </w:r>
          </w:p>
        </w:tc>
      </w:tr>
      <w:tr w:rsidR="005140C3" w:rsidRPr="00A82BE5" w14:paraId="4BC86E9C" w14:textId="77777777" w:rsidTr="009F3C26">
        <w:trPr>
          <w:trHeight w:val="248"/>
          <w:jc w:val="center"/>
        </w:trPr>
        <w:tc>
          <w:tcPr>
            <w:tcW w:w="4113" w:type="dxa"/>
            <w:tcBorders>
              <w:top w:val="nil"/>
              <w:left w:val="nil"/>
              <w:bottom w:val="nil"/>
              <w:right w:val="nil"/>
            </w:tcBorders>
            <w:vAlign w:val="center"/>
          </w:tcPr>
          <w:p w14:paraId="4BC86E98"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Pakistan</w:t>
            </w:r>
          </w:p>
        </w:tc>
        <w:tc>
          <w:tcPr>
            <w:tcW w:w="1842" w:type="dxa"/>
            <w:tcBorders>
              <w:top w:val="nil"/>
              <w:left w:val="nil"/>
              <w:bottom w:val="nil"/>
              <w:right w:val="nil"/>
            </w:tcBorders>
            <w:vAlign w:val="bottom"/>
          </w:tcPr>
          <w:p w14:paraId="4BC86E99"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0.085</w:t>
            </w:r>
          </w:p>
        </w:tc>
        <w:tc>
          <w:tcPr>
            <w:tcW w:w="1701" w:type="dxa"/>
            <w:tcBorders>
              <w:top w:val="nil"/>
              <w:left w:val="nil"/>
              <w:bottom w:val="nil"/>
              <w:right w:val="nil"/>
            </w:tcBorders>
            <w:vAlign w:val="bottom"/>
          </w:tcPr>
          <w:p w14:paraId="4BC86E9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0.083</w:t>
            </w:r>
          </w:p>
        </w:tc>
        <w:tc>
          <w:tcPr>
            <w:tcW w:w="1983" w:type="dxa"/>
            <w:tcBorders>
              <w:top w:val="nil"/>
              <w:left w:val="nil"/>
              <w:bottom w:val="nil"/>
              <w:right w:val="nil"/>
            </w:tcBorders>
            <w:vAlign w:val="bottom"/>
          </w:tcPr>
          <w:p w14:paraId="4BC86E9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0.083</w:t>
            </w:r>
          </w:p>
        </w:tc>
      </w:tr>
      <w:tr w:rsidR="005140C3" w:rsidRPr="00A82BE5" w14:paraId="4BC86EA1" w14:textId="77777777" w:rsidTr="009F3C26">
        <w:trPr>
          <w:trHeight w:val="248"/>
          <w:jc w:val="center"/>
        </w:trPr>
        <w:tc>
          <w:tcPr>
            <w:tcW w:w="4113" w:type="dxa"/>
            <w:tcBorders>
              <w:top w:val="nil"/>
              <w:left w:val="nil"/>
              <w:bottom w:val="nil"/>
              <w:right w:val="nil"/>
            </w:tcBorders>
            <w:vAlign w:val="center"/>
          </w:tcPr>
          <w:p w14:paraId="4BC86E9D"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Palau</w:t>
            </w:r>
          </w:p>
        </w:tc>
        <w:tc>
          <w:tcPr>
            <w:tcW w:w="1842" w:type="dxa"/>
            <w:tcBorders>
              <w:top w:val="nil"/>
              <w:left w:val="nil"/>
              <w:bottom w:val="nil"/>
              <w:right w:val="nil"/>
            </w:tcBorders>
            <w:vAlign w:val="bottom"/>
          </w:tcPr>
          <w:p w14:paraId="4BC86E9E"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E9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EA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EA6" w14:textId="77777777" w:rsidTr="009F3C26">
        <w:trPr>
          <w:trHeight w:val="248"/>
          <w:jc w:val="center"/>
        </w:trPr>
        <w:tc>
          <w:tcPr>
            <w:tcW w:w="4113" w:type="dxa"/>
            <w:tcBorders>
              <w:top w:val="nil"/>
              <w:left w:val="nil"/>
              <w:bottom w:val="nil"/>
              <w:right w:val="nil"/>
            </w:tcBorders>
            <w:vAlign w:val="center"/>
          </w:tcPr>
          <w:p w14:paraId="4BC86EA2"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Panama</w:t>
            </w:r>
          </w:p>
        </w:tc>
        <w:tc>
          <w:tcPr>
            <w:tcW w:w="1842" w:type="dxa"/>
            <w:tcBorders>
              <w:top w:val="nil"/>
              <w:left w:val="nil"/>
              <w:bottom w:val="nil"/>
              <w:right w:val="nil"/>
            </w:tcBorders>
            <w:vAlign w:val="bottom"/>
          </w:tcPr>
          <w:p w14:paraId="4BC86EA3"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0.026</w:t>
            </w:r>
          </w:p>
        </w:tc>
        <w:tc>
          <w:tcPr>
            <w:tcW w:w="1701" w:type="dxa"/>
            <w:tcBorders>
              <w:top w:val="nil"/>
              <w:left w:val="nil"/>
              <w:bottom w:val="nil"/>
              <w:right w:val="nil"/>
            </w:tcBorders>
            <w:vAlign w:val="bottom"/>
          </w:tcPr>
          <w:p w14:paraId="4BC86EA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0.025</w:t>
            </w:r>
          </w:p>
        </w:tc>
        <w:tc>
          <w:tcPr>
            <w:tcW w:w="1983" w:type="dxa"/>
            <w:tcBorders>
              <w:top w:val="nil"/>
              <w:left w:val="nil"/>
              <w:bottom w:val="nil"/>
              <w:right w:val="nil"/>
            </w:tcBorders>
            <w:vAlign w:val="bottom"/>
          </w:tcPr>
          <w:p w14:paraId="4BC86EA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0.025</w:t>
            </w:r>
          </w:p>
        </w:tc>
      </w:tr>
      <w:tr w:rsidR="005140C3" w:rsidRPr="00A82BE5" w14:paraId="4BC86EAB" w14:textId="77777777" w:rsidTr="009F3C26">
        <w:trPr>
          <w:trHeight w:val="248"/>
          <w:jc w:val="center"/>
        </w:trPr>
        <w:tc>
          <w:tcPr>
            <w:tcW w:w="4113" w:type="dxa"/>
            <w:tcBorders>
              <w:top w:val="nil"/>
              <w:left w:val="nil"/>
              <w:bottom w:val="nil"/>
              <w:right w:val="nil"/>
            </w:tcBorders>
            <w:vAlign w:val="center"/>
          </w:tcPr>
          <w:p w14:paraId="4BC86EA7"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Papua New Guinea</w:t>
            </w:r>
          </w:p>
        </w:tc>
        <w:tc>
          <w:tcPr>
            <w:tcW w:w="1842" w:type="dxa"/>
            <w:tcBorders>
              <w:top w:val="nil"/>
              <w:left w:val="nil"/>
              <w:bottom w:val="nil"/>
              <w:right w:val="nil"/>
            </w:tcBorders>
            <w:vAlign w:val="bottom"/>
          </w:tcPr>
          <w:p w14:paraId="4BC86EA8"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0.004</w:t>
            </w:r>
          </w:p>
        </w:tc>
        <w:tc>
          <w:tcPr>
            <w:tcW w:w="1701" w:type="dxa"/>
            <w:tcBorders>
              <w:top w:val="nil"/>
              <w:left w:val="nil"/>
              <w:bottom w:val="nil"/>
              <w:right w:val="nil"/>
            </w:tcBorders>
            <w:vAlign w:val="bottom"/>
          </w:tcPr>
          <w:p w14:paraId="4BC86EA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0.004</w:t>
            </w:r>
          </w:p>
        </w:tc>
        <w:tc>
          <w:tcPr>
            <w:tcW w:w="1983" w:type="dxa"/>
            <w:tcBorders>
              <w:top w:val="nil"/>
              <w:left w:val="nil"/>
              <w:bottom w:val="nil"/>
              <w:right w:val="nil"/>
            </w:tcBorders>
            <w:vAlign w:val="bottom"/>
          </w:tcPr>
          <w:p w14:paraId="4BC86EA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0.004</w:t>
            </w:r>
          </w:p>
        </w:tc>
      </w:tr>
      <w:tr w:rsidR="005140C3" w:rsidRPr="00A82BE5" w14:paraId="4BC86EB0" w14:textId="77777777" w:rsidTr="009F3C26">
        <w:trPr>
          <w:trHeight w:val="248"/>
          <w:jc w:val="center"/>
        </w:trPr>
        <w:tc>
          <w:tcPr>
            <w:tcW w:w="4113" w:type="dxa"/>
            <w:tcBorders>
              <w:top w:val="nil"/>
              <w:left w:val="nil"/>
              <w:bottom w:val="nil"/>
              <w:right w:val="nil"/>
            </w:tcBorders>
            <w:vAlign w:val="center"/>
          </w:tcPr>
          <w:p w14:paraId="4BC86EAC"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Paraguay</w:t>
            </w:r>
          </w:p>
        </w:tc>
        <w:tc>
          <w:tcPr>
            <w:tcW w:w="1842" w:type="dxa"/>
            <w:tcBorders>
              <w:top w:val="nil"/>
              <w:left w:val="nil"/>
              <w:bottom w:val="nil"/>
              <w:right w:val="nil"/>
            </w:tcBorders>
            <w:vAlign w:val="bottom"/>
          </w:tcPr>
          <w:p w14:paraId="4BC86EAD"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0.010</w:t>
            </w:r>
          </w:p>
        </w:tc>
        <w:tc>
          <w:tcPr>
            <w:tcW w:w="1701" w:type="dxa"/>
            <w:tcBorders>
              <w:top w:val="nil"/>
              <w:left w:val="nil"/>
              <w:bottom w:val="nil"/>
              <w:right w:val="nil"/>
            </w:tcBorders>
            <w:vAlign w:val="bottom"/>
          </w:tcPr>
          <w:p w14:paraId="4BC86EA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c>
          <w:tcPr>
            <w:tcW w:w="1983" w:type="dxa"/>
            <w:tcBorders>
              <w:top w:val="nil"/>
              <w:left w:val="nil"/>
              <w:bottom w:val="nil"/>
              <w:right w:val="nil"/>
            </w:tcBorders>
            <w:vAlign w:val="bottom"/>
          </w:tcPr>
          <w:p w14:paraId="4BC86EA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r>
      <w:tr w:rsidR="005140C3" w:rsidRPr="00A82BE5" w14:paraId="4BC86EB5" w14:textId="77777777" w:rsidTr="009F3C26">
        <w:trPr>
          <w:trHeight w:val="248"/>
          <w:jc w:val="center"/>
        </w:trPr>
        <w:tc>
          <w:tcPr>
            <w:tcW w:w="4113" w:type="dxa"/>
            <w:tcBorders>
              <w:top w:val="nil"/>
              <w:left w:val="nil"/>
              <w:bottom w:val="nil"/>
              <w:right w:val="nil"/>
            </w:tcBorders>
            <w:vAlign w:val="center"/>
          </w:tcPr>
          <w:p w14:paraId="4BC86EB1"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Peru</w:t>
            </w:r>
          </w:p>
        </w:tc>
        <w:tc>
          <w:tcPr>
            <w:tcW w:w="1842" w:type="dxa"/>
            <w:tcBorders>
              <w:top w:val="nil"/>
              <w:left w:val="nil"/>
              <w:bottom w:val="nil"/>
              <w:right w:val="nil"/>
            </w:tcBorders>
            <w:vAlign w:val="bottom"/>
          </w:tcPr>
          <w:p w14:paraId="4BC86EB2"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0.117</w:t>
            </w:r>
          </w:p>
        </w:tc>
        <w:tc>
          <w:tcPr>
            <w:tcW w:w="1701" w:type="dxa"/>
            <w:tcBorders>
              <w:top w:val="nil"/>
              <w:left w:val="nil"/>
              <w:bottom w:val="nil"/>
              <w:right w:val="nil"/>
            </w:tcBorders>
            <w:vAlign w:val="bottom"/>
          </w:tcPr>
          <w:p w14:paraId="4BC86EB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0.114</w:t>
            </w:r>
          </w:p>
        </w:tc>
        <w:tc>
          <w:tcPr>
            <w:tcW w:w="1983" w:type="dxa"/>
            <w:tcBorders>
              <w:top w:val="nil"/>
              <w:left w:val="nil"/>
              <w:bottom w:val="nil"/>
              <w:right w:val="nil"/>
            </w:tcBorders>
            <w:vAlign w:val="bottom"/>
          </w:tcPr>
          <w:p w14:paraId="4BC86EB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0.114</w:t>
            </w:r>
          </w:p>
        </w:tc>
      </w:tr>
      <w:tr w:rsidR="005140C3" w:rsidRPr="00A82BE5" w14:paraId="4BC86EBA" w14:textId="77777777" w:rsidTr="009F3C26">
        <w:trPr>
          <w:trHeight w:val="248"/>
          <w:jc w:val="center"/>
        </w:trPr>
        <w:tc>
          <w:tcPr>
            <w:tcW w:w="4113" w:type="dxa"/>
            <w:tcBorders>
              <w:top w:val="nil"/>
              <w:left w:val="nil"/>
              <w:bottom w:val="nil"/>
              <w:right w:val="nil"/>
            </w:tcBorders>
            <w:vAlign w:val="center"/>
          </w:tcPr>
          <w:p w14:paraId="4BC86EB6"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Philippines</w:t>
            </w:r>
          </w:p>
        </w:tc>
        <w:tc>
          <w:tcPr>
            <w:tcW w:w="1842" w:type="dxa"/>
            <w:tcBorders>
              <w:top w:val="nil"/>
              <w:left w:val="nil"/>
              <w:bottom w:val="nil"/>
              <w:right w:val="nil"/>
            </w:tcBorders>
            <w:vAlign w:val="bottom"/>
          </w:tcPr>
          <w:p w14:paraId="4BC86EB7"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0.154</w:t>
            </w:r>
          </w:p>
        </w:tc>
        <w:tc>
          <w:tcPr>
            <w:tcW w:w="1701" w:type="dxa"/>
            <w:tcBorders>
              <w:top w:val="nil"/>
              <w:left w:val="nil"/>
              <w:bottom w:val="nil"/>
              <w:right w:val="nil"/>
            </w:tcBorders>
            <w:vAlign w:val="bottom"/>
          </w:tcPr>
          <w:p w14:paraId="4BC86EB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0.150</w:t>
            </w:r>
          </w:p>
        </w:tc>
        <w:tc>
          <w:tcPr>
            <w:tcW w:w="1983" w:type="dxa"/>
            <w:tcBorders>
              <w:top w:val="nil"/>
              <w:left w:val="nil"/>
              <w:bottom w:val="nil"/>
              <w:right w:val="nil"/>
            </w:tcBorders>
            <w:vAlign w:val="bottom"/>
          </w:tcPr>
          <w:p w14:paraId="4BC86EB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0.150</w:t>
            </w:r>
          </w:p>
        </w:tc>
      </w:tr>
      <w:tr w:rsidR="005140C3" w:rsidRPr="00A82BE5" w14:paraId="4BC86EBF" w14:textId="77777777" w:rsidTr="009F3C26">
        <w:trPr>
          <w:trHeight w:val="248"/>
          <w:jc w:val="center"/>
        </w:trPr>
        <w:tc>
          <w:tcPr>
            <w:tcW w:w="4113" w:type="dxa"/>
            <w:tcBorders>
              <w:top w:val="nil"/>
              <w:left w:val="nil"/>
              <w:bottom w:val="nil"/>
              <w:right w:val="nil"/>
            </w:tcBorders>
            <w:vAlign w:val="center"/>
          </w:tcPr>
          <w:p w14:paraId="4BC86EBB"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Poland</w:t>
            </w:r>
          </w:p>
        </w:tc>
        <w:tc>
          <w:tcPr>
            <w:tcW w:w="1842" w:type="dxa"/>
            <w:tcBorders>
              <w:top w:val="nil"/>
              <w:left w:val="nil"/>
              <w:bottom w:val="nil"/>
              <w:right w:val="nil"/>
            </w:tcBorders>
            <w:vAlign w:val="bottom"/>
          </w:tcPr>
          <w:p w14:paraId="4BC86EBC"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0.921</w:t>
            </w:r>
          </w:p>
        </w:tc>
        <w:tc>
          <w:tcPr>
            <w:tcW w:w="1701" w:type="dxa"/>
            <w:tcBorders>
              <w:top w:val="nil"/>
              <w:left w:val="nil"/>
              <w:bottom w:val="nil"/>
              <w:right w:val="nil"/>
            </w:tcBorders>
            <w:vAlign w:val="bottom"/>
          </w:tcPr>
          <w:p w14:paraId="4BC86EB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0.898</w:t>
            </w:r>
          </w:p>
        </w:tc>
        <w:tc>
          <w:tcPr>
            <w:tcW w:w="1983" w:type="dxa"/>
            <w:tcBorders>
              <w:top w:val="nil"/>
              <w:left w:val="nil"/>
              <w:bottom w:val="nil"/>
              <w:right w:val="nil"/>
            </w:tcBorders>
            <w:vAlign w:val="bottom"/>
          </w:tcPr>
          <w:p w14:paraId="4BC86EB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0.898</w:t>
            </w:r>
          </w:p>
        </w:tc>
      </w:tr>
      <w:tr w:rsidR="005140C3" w:rsidRPr="00A82BE5" w14:paraId="4BC86EC4" w14:textId="77777777" w:rsidTr="009F3C26">
        <w:trPr>
          <w:trHeight w:val="248"/>
          <w:jc w:val="center"/>
        </w:trPr>
        <w:tc>
          <w:tcPr>
            <w:tcW w:w="4113" w:type="dxa"/>
            <w:tcBorders>
              <w:top w:val="nil"/>
              <w:left w:val="nil"/>
              <w:bottom w:val="nil"/>
              <w:right w:val="nil"/>
            </w:tcBorders>
            <w:vAlign w:val="center"/>
          </w:tcPr>
          <w:p w14:paraId="4BC86EC0"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Portugal</w:t>
            </w:r>
          </w:p>
        </w:tc>
        <w:tc>
          <w:tcPr>
            <w:tcW w:w="1842" w:type="dxa"/>
            <w:tcBorders>
              <w:top w:val="nil"/>
              <w:left w:val="nil"/>
              <w:bottom w:val="nil"/>
              <w:right w:val="nil"/>
            </w:tcBorders>
            <w:vAlign w:val="bottom"/>
          </w:tcPr>
          <w:p w14:paraId="4BC86EC1"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0.474</w:t>
            </w:r>
          </w:p>
        </w:tc>
        <w:tc>
          <w:tcPr>
            <w:tcW w:w="1701" w:type="dxa"/>
            <w:tcBorders>
              <w:top w:val="nil"/>
              <w:left w:val="nil"/>
              <w:bottom w:val="nil"/>
              <w:right w:val="nil"/>
            </w:tcBorders>
            <w:vAlign w:val="bottom"/>
          </w:tcPr>
          <w:p w14:paraId="4BC86EC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0.462</w:t>
            </w:r>
          </w:p>
        </w:tc>
        <w:tc>
          <w:tcPr>
            <w:tcW w:w="1983" w:type="dxa"/>
            <w:tcBorders>
              <w:top w:val="nil"/>
              <w:left w:val="nil"/>
              <w:bottom w:val="nil"/>
              <w:right w:val="nil"/>
            </w:tcBorders>
            <w:vAlign w:val="bottom"/>
          </w:tcPr>
          <w:p w14:paraId="4BC86EC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0.462</w:t>
            </w:r>
          </w:p>
        </w:tc>
      </w:tr>
      <w:tr w:rsidR="005140C3" w:rsidRPr="00A82BE5" w14:paraId="4BC86EC9" w14:textId="77777777" w:rsidTr="009F3C26">
        <w:trPr>
          <w:trHeight w:val="248"/>
          <w:jc w:val="center"/>
        </w:trPr>
        <w:tc>
          <w:tcPr>
            <w:tcW w:w="4113" w:type="dxa"/>
            <w:tcBorders>
              <w:top w:val="nil"/>
              <w:left w:val="nil"/>
              <w:bottom w:val="nil"/>
              <w:right w:val="nil"/>
            </w:tcBorders>
            <w:vAlign w:val="center"/>
          </w:tcPr>
          <w:p w14:paraId="4BC86EC5"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lastRenderedPageBreak/>
              <w:t>Qatar</w:t>
            </w:r>
          </w:p>
        </w:tc>
        <w:tc>
          <w:tcPr>
            <w:tcW w:w="1842" w:type="dxa"/>
            <w:tcBorders>
              <w:top w:val="nil"/>
              <w:left w:val="nil"/>
              <w:bottom w:val="nil"/>
              <w:right w:val="nil"/>
            </w:tcBorders>
            <w:vAlign w:val="bottom"/>
          </w:tcPr>
          <w:p w14:paraId="4BC86EC6"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0.209</w:t>
            </w:r>
          </w:p>
        </w:tc>
        <w:tc>
          <w:tcPr>
            <w:tcW w:w="1701" w:type="dxa"/>
            <w:tcBorders>
              <w:top w:val="nil"/>
              <w:left w:val="nil"/>
              <w:bottom w:val="nil"/>
              <w:right w:val="nil"/>
            </w:tcBorders>
            <w:vAlign w:val="bottom"/>
          </w:tcPr>
          <w:p w14:paraId="4BC86EC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0.204</w:t>
            </w:r>
          </w:p>
        </w:tc>
        <w:tc>
          <w:tcPr>
            <w:tcW w:w="1983" w:type="dxa"/>
            <w:tcBorders>
              <w:top w:val="nil"/>
              <w:left w:val="nil"/>
              <w:bottom w:val="nil"/>
              <w:right w:val="nil"/>
            </w:tcBorders>
            <w:vAlign w:val="bottom"/>
          </w:tcPr>
          <w:p w14:paraId="4BC86EC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0.204</w:t>
            </w:r>
          </w:p>
        </w:tc>
      </w:tr>
      <w:tr w:rsidR="005140C3" w:rsidRPr="00A82BE5" w14:paraId="4BC86ECE" w14:textId="77777777" w:rsidTr="009F3C26">
        <w:trPr>
          <w:trHeight w:val="248"/>
          <w:jc w:val="center"/>
        </w:trPr>
        <w:tc>
          <w:tcPr>
            <w:tcW w:w="4113" w:type="dxa"/>
            <w:tcBorders>
              <w:top w:val="nil"/>
              <w:left w:val="nil"/>
              <w:bottom w:val="nil"/>
              <w:right w:val="nil"/>
            </w:tcBorders>
            <w:vAlign w:val="center"/>
          </w:tcPr>
          <w:p w14:paraId="4BC86ECA"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Republic of Korea</w:t>
            </w:r>
          </w:p>
        </w:tc>
        <w:tc>
          <w:tcPr>
            <w:tcW w:w="1842" w:type="dxa"/>
            <w:tcBorders>
              <w:top w:val="nil"/>
              <w:left w:val="nil"/>
              <w:bottom w:val="nil"/>
              <w:right w:val="nil"/>
            </w:tcBorders>
            <w:vAlign w:val="bottom"/>
          </w:tcPr>
          <w:p w14:paraId="4BC86ECB"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1.994</w:t>
            </w:r>
          </w:p>
        </w:tc>
        <w:tc>
          <w:tcPr>
            <w:tcW w:w="1701" w:type="dxa"/>
            <w:tcBorders>
              <w:top w:val="nil"/>
              <w:left w:val="nil"/>
              <w:bottom w:val="nil"/>
              <w:right w:val="nil"/>
            </w:tcBorders>
            <w:vAlign w:val="bottom"/>
          </w:tcPr>
          <w:p w14:paraId="4BC86EC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1.944</w:t>
            </w:r>
          </w:p>
        </w:tc>
        <w:tc>
          <w:tcPr>
            <w:tcW w:w="1983" w:type="dxa"/>
            <w:tcBorders>
              <w:top w:val="nil"/>
              <w:left w:val="nil"/>
              <w:bottom w:val="nil"/>
              <w:right w:val="nil"/>
            </w:tcBorders>
            <w:vAlign w:val="bottom"/>
          </w:tcPr>
          <w:p w14:paraId="4BC86EC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1.944</w:t>
            </w:r>
          </w:p>
        </w:tc>
      </w:tr>
      <w:tr w:rsidR="005140C3" w:rsidRPr="00A82BE5" w14:paraId="4BC86ED3" w14:textId="77777777" w:rsidTr="009F3C26">
        <w:trPr>
          <w:trHeight w:val="248"/>
          <w:jc w:val="center"/>
        </w:trPr>
        <w:tc>
          <w:tcPr>
            <w:tcW w:w="4113" w:type="dxa"/>
            <w:tcBorders>
              <w:top w:val="nil"/>
              <w:left w:val="nil"/>
              <w:bottom w:val="nil"/>
              <w:right w:val="nil"/>
            </w:tcBorders>
            <w:vAlign w:val="center"/>
          </w:tcPr>
          <w:p w14:paraId="4BC86ECF" w14:textId="77777777" w:rsidR="005140C3" w:rsidRPr="00A82BE5" w:rsidRDefault="005140C3" w:rsidP="009F3C26">
            <w:pPr>
              <w:suppressAutoHyphens w:val="0"/>
              <w:spacing w:line="240" w:lineRule="auto"/>
              <w:ind w:left="360" w:hanging="360"/>
              <w:rPr>
                <w:rFonts w:eastAsia="MS Mincho"/>
                <w:color w:val="000000"/>
                <w:sz w:val="18"/>
                <w:szCs w:val="18"/>
                <w:lang w:eastAsia="de-DE"/>
              </w:rPr>
            </w:pPr>
            <w:r w:rsidRPr="00A82BE5">
              <w:rPr>
                <w:rFonts w:eastAsia="MS Mincho"/>
                <w:color w:val="000000"/>
                <w:sz w:val="18"/>
                <w:szCs w:val="18"/>
                <w:lang w:eastAsia="de-DE"/>
              </w:rPr>
              <w:t>Republic of Moldova</w:t>
            </w:r>
          </w:p>
        </w:tc>
        <w:tc>
          <w:tcPr>
            <w:tcW w:w="1842" w:type="dxa"/>
            <w:tcBorders>
              <w:top w:val="nil"/>
              <w:left w:val="nil"/>
              <w:bottom w:val="nil"/>
              <w:right w:val="nil"/>
            </w:tcBorders>
            <w:vAlign w:val="bottom"/>
          </w:tcPr>
          <w:p w14:paraId="4BC86ED0"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0.003</w:t>
            </w:r>
          </w:p>
        </w:tc>
        <w:tc>
          <w:tcPr>
            <w:tcW w:w="1701" w:type="dxa"/>
            <w:tcBorders>
              <w:top w:val="nil"/>
              <w:left w:val="nil"/>
              <w:bottom w:val="nil"/>
              <w:right w:val="nil"/>
            </w:tcBorders>
            <w:vAlign w:val="bottom"/>
          </w:tcPr>
          <w:p w14:paraId="4BC86ED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c>
          <w:tcPr>
            <w:tcW w:w="1983" w:type="dxa"/>
            <w:tcBorders>
              <w:top w:val="nil"/>
              <w:left w:val="nil"/>
              <w:bottom w:val="nil"/>
              <w:right w:val="nil"/>
            </w:tcBorders>
            <w:vAlign w:val="bottom"/>
          </w:tcPr>
          <w:p w14:paraId="4BC86ED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r>
      <w:tr w:rsidR="005140C3" w:rsidRPr="00A82BE5" w14:paraId="4BC86ED8" w14:textId="77777777" w:rsidTr="009F3C26">
        <w:trPr>
          <w:trHeight w:val="248"/>
          <w:jc w:val="center"/>
        </w:trPr>
        <w:tc>
          <w:tcPr>
            <w:tcW w:w="4113" w:type="dxa"/>
            <w:tcBorders>
              <w:top w:val="nil"/>
              <w:left w:val="nil"/>
              <w:bottom w:val="nil"/>
              <w:right w:val="nil"/>
            </w:tcBorders>
            <w:vAlign w:val="center"/>
          </w:tcPr>
          <w:p w14:paraId="4BC86ED4"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Romania</w:t>
            </w:r>
          </w:p>
        </w:tc>
        <w:tc>
          <w:tcPr>
            <w:tcW w:w="1842" w:type="dxa"/>
            <w:tcBorders>
              <w:top w:val="nil"/>
              <w:left w:val="nil"/>
              <w:bottom w:val="nil"/>
              <w:right w:val="nil"/>
            </w:tcBorders>
            <w:vAlign w:val="bottom"/>
          </w:tcPr>
          <w:p w14:paraId="4BC86ED5"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0.226</w:t>
            </w:r>
          </w:p>
        </w:tc>
        <w:tc>
          <w:tcPr>
            <w:tcW w:w="1701" w:type="dxa"/>
            <w:tcBorders>
              <w:top w:val="nil"/>
              <w:left w:val="nil"/>
              <w:bottom w:val="nil"/>
              <w:right w:val="nil"/>
            </w:tcBorders>
            <w:vAlign w:val="bottom"/>
          </w:tcPr>
          <w:p w14:paraId="4BC86ED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0.220</w:t>
            </w:r>
          </w:p>
        </w:tc>
        <w:tc>
          <w:tcPr>
            <w:tcW w:w="1983" w:type="dxa"/>
            <w:tcBorders>
              <w:top w:val="nil"/>
              <w:left w:val="nil"/>
              <w:bottom w:val="nil"/>
              <w:right w:val="nil"/>
            </w:tcBorders>
            <w:vAlign w:val="bottom"/>
          </w:tcPr>
          <w:p w14:paraId="4BC86ED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0.220</w:t>
            </w:r>
          </w:p>
        </w:tc>
      </w:tr>
      <w:tr w:rsidR="005140C3" w:rsidRPr="00A82BE5" w14:paraId="4BC86EDD" w14:textId="77777777" w:rsidTr="009F3C26">
        <w:trPr>
          <w:trHeight w:val="248"/>
          <w:jc w:val="center"/>
        </w:trPr>
        <w:tc>
          <w:tcPr>
            <w:tcW w:w="4113" w:type="dxa"/>
            <w:tcBorders>
              <w:top w:val="nil"/>
              <w:left w:val="nil"/>
              <w:bottom w:val="nil"/>
              <w:right w:val="nil"/>
            </w:tcBorders>
            <w:vAlign w:val="center"/>
          </w:tcPr>
          <w:p w14:paraId="4BC86ED9"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Russian Federation</w:t>
            </w:r>
          </w:p>
        </w:tc>
        <w:tc>
          <w:tcPr>
            <w:tcW w:w="1842" w:type="dxa"/>
            <w:tcBorders>
              <w:top w:val="nil"/>
              <w:left w:val="nil"/>
              <w:bottom w:val="nil"/>
              <w:right w:val="nil"/>
            </w:tcBorders>
            <w:vAlign w:val="bottom"/>
          </w:tcPr>
          <w:p w14:paraId="4BC86EDA"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2.438</w:t>
            </w:r>
          </w:p>
        </w:tc>
        <w:tc>
          <w:tcPr>
            <w:tcW w:w="1701" w:type="dxa"/>
            <w:tcBorders>
              <w:top w:val="nil"/>
              <w:left w:val="nil"/>
              <w:bottom w:val="nil"/>
              <w:right w:val="nil"/>
            </w:tcBorders>
            <w:vAlign w:val="bottom"/>
          </w:tcPr>
          <w:p w14:paraId="4BC86ED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2.377</w:t>
            </w:r>
          </w:p>
        </w:tc>
        <w:tc>
          <w:tcPr>
            <w:tcW w:w="1983" w:type="dxa"/>
            <w:tcBorders>
              <w:top w:val="nil"/>
              <w:left w:val="nil"/>
              <w:bottom w:val="nil"/>
              <w:right w:val="nil"/>
            </w:tcBorders>
            <w:vAlign w:val="bottom"/>
          </w:tcPr>
          <w:p w14:paraId="4BC86ED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2.377</w:t>
            </w:r>
          </w:p>
        </w:tc>
      </w:tr>
      <w:tr w:rsidR="005140C3" w:rsidRPr="00A82BE5" w14:paraId="4BC86EE2" w14:textId="77777777" w:rsidTr="009F3C26">
        <w:trPr>
          <w:trHeight w:val="248"/>
          <w:jc w:val="center"/>
        </w:trPr>
        <w:tc>
          <w:tcPr>
            <w:tcW w:w="4113" w:type="dxa"/>
            <w:tcBorders>
              <w:top w:val="nil"/>
              <w:left w:val="nil"/>
              <w:bottom w:val="nil"/>
              <w:right w:val="nil"/>
            </w:tcBorders>
            <w:vAlign w:val="center"/>
          </w:tcPr>
          <w:p w14:paraId="4BC86EDE"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Rwanda</w:t>
            </w:r>
          </w:p>
        </w:tc>
        <w:tc>
          <w:tcPr>
            <w:tcW w:w="1842" w:type="dxa"/>
            <w:tcBorders>
              <w:top w:val="nil"/>
              <w:left w:val="nil"/>
              <w:bottom w:val="nil"/>
              <w:right w:val="nil"/>
            </w:tcBorders>
            <w:vAlign w:val="bottom"/>
          </w:tcPr>
          <w:p w14:paraId="4BC86EDF"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0.002</w:t>
            </w:r>
          </w:p>
        </w:tc>
        <w:tc>
          <w:tcPr>
            <w:tcW w:w="1701" w:type="dxa"/>
            <w:tcBorders>
              <w:top w:val="nil"/>
              <w:left w:val="nil"/>
              <w:bottom w:val="nil"/>
              <w:right w:val="nil"/>
            </w:tcBorders>
            <w:vAlign w:val="bottom"/>
          </w:tcPr>
          <w:p w14:paraId="4BC86EE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c>
          <w:tcPr>
            <w:tcW w:w="1983" w:type="dxa"/>
            <w:tcBorders>
              <w:top w:val="nil"/>
              <w:left w:val="nil"/>
              <w:bottom w:val="nil"/>
              <w:right w:val="nil"/>
            </w:tcBorders>
            <w:vAlign w:val="bottom"/>
          </w:tcPr>
          <w:p w14:paraId="4BC86EE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r>
      <w:tr w:rsidR="005140C3" w:rsidRPr="00A82BE5" w14:paraId="4BC86EE7" w14:textId="77777777" w:rsidTr="009F3C26">
        <w:trPr>
          <w:trHeight w:val="248"/>
          <w:jc w:val="center"/>
        </w:trPr>
        <w:tc>
          <w:tcPr>
            <w:tcW w:w="4113" w:type="dxa"/>
            <w:tcBorders>
              <w:top w:val="nil"/>
              <w:left w:val="nil"/>
              <w:bottom w:val="nil"/>
              <w:right w:val="nil"/>
            </w:tcBorders>
            <w:vAlign w:val="center"/>
          </w:tcPr>
          <w:p w14:paraId="4BC86EE3"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Saint Kitts and Nevis</w:t>
            </w:r>
          </w:p>
        </w:tc>
        <w:tc>
          <w:tcPr>
            <w:tcW w:w="1842" w:type="dxa"/>
            <w:tcBorders>
              <w:top w:val="nil"/>
              <w:left w:val="nil"/>
              <w:bottom w:val="nil"/>
              <w:right w:val="nil"/>
            </w:tcBorders>
            <w:vAlign w:val="bottom"/>
          </w:tcPr>
          <w:p w14:paraId="4BC86EE4"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EE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EE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EEC" w14:textId="77777777" w:rsidTr="009F3C26">
        <w:trPr>
          <w:trHeight w:val="248"/>
          <w:jc w:val="center"/>
        </w:trPr>
        <w:tc>
          <w:tcPr>
            <w:tcW w:w="4113" w:type="dxa"/>
            <w:tcBorders>
              <w:top w:val="nil"/>
              <w:left w:val="nil"/>
              <w:bottom w:val="nil"/>
              <w:right w:val="nil"/>
            </w:tcBorders>
            <w:vAlign w:val="center"/>
          </w:tcPr>
          <w:p w14:paraId="4BC86EE8"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Saint Lucia</w:t>
            </w:r>
          </w:p>
        </w:tc>
        <w:tc>
          <w:tcPr>
            <w:tcW w:w="1842" w:type="dxa"/>
            <w:tcBorders>
              <w:top w:val="nil"/>
              <w:left w:val="nil"/>
              <w:bottom w:val="nil"/>
              <w:right w:val="nil"/>
            </w:tcBorders>
            <w:vAlign w:val="bottom"/>
          </w:tcPr>
          <w:p w14:paraId="4BC86EE9"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EE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EE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EF1" w14:textId="77777777" w:rsidTr="009F3C26">
        <w:trPr>
          <w:trHeight w:val="248"/>
          <w:jc w:val="center"/>
        </w:trPr>
        <w:tc>
          <w:tcPr>
            <w:tcW w:w="4113" w:type="dxa"/>
            <w:tcBorders>
              <w:top w:val="nil"/>
              <w:left w:val="nil"/>
              <w:bottom w:val="nil"/>
              <w:right w:val="nil"/>
            </w:tcBorders>
            <w:vAlign w:val="center"/>
          </w:tcPr>
          <w:p w14:paraId="4BC86EED"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Saint Vincent and the Grenadines</w:t>
            </w:r>
          </w:p>
        </w:tc>
        <w:tc>
          <w:tcPr>
            <w:tcW w:w="1842" w:type="dxa"/>
            <w:tcBorders>
              <w:top w:val="nil"/>
              <w:left w:val="nil"/>
              <w:bottom w:val="nil"/>
              <w:right w:val="nil"/>
            </w:tcBorders>
            <w:vAlign w:val="bottom"/>
          </w:tcPr>
          <w:p w14:paraId="4BC86EEE"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EE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EF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EF6" w14:textId="77777777" w:rsidTr="009F3C26">
        <w:trPr>
          <w:trHeight w:val="248"/>
          <w:jc w:val="center"/>
        </w:trPr>
        <w:tc>
          <w:tcPr>
            <w:tcW w:w="4113" w:type="dxa"/>
            <w:tcBorders>
              <w:top w:val="nil"/>
              <w:left w:val="nil"/>
              <w:bottom w:val="nil"/>
              <w:right w:val="nil"/>
            </w:tcBorders>
            <w:vAlign w:val="center"/>
          </w:tcPr>
          <w:p w14:paraId="4BC86EF2"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Samoa</w:t>
            </w:r>
          </w:p>
        </w:tc>
        <w:tc>
          <w:tcPr>
            <w:tcW w:w="1842" w:type="dxa"/>
            <w:tcBorders>
              <w:top w:val="nil"/>
              <w:left w:val="nil"/>
              <w:bottom w:val="nil"/>
              <w:right w:val="nil"/>
            </w:tcBorders>
            <w:vAlign w:val="bottom"/>
          </w:tcPr>
          <w:p w14:paraId="4BC86EF3"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EF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EF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EFB" w14:textId="77777777" w:rsidTr="009F3C26">
        <w:trPr>
          <w:trHeight w:val="248"/>
          <w:jc w:val="center"/>
        </w:trPr>
        <w:tc>
          <w:tcPr>
            <w:tcW w:w="4113" w:type="dxa"/>
            <w:tcBorders>
              <w:top w:val="nil"/>
              <w:left w:val="nil"/>
              <w:bottom w:val="nil"/>
              <w:right w:val="nil"/>
            </w:tcBorders>
            <w:vAlign w:val="center"/>
          </w:tcPr>
          <w:p w14:paraId="4BC86EF7"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San Marino</w:t>
            </w:r>
          </w:p>
        </w:tc>
        <w:tc>
          <w:tcPr>
            <w:tcW w:w="1842" w:type="dxa"/>
            <w:tcBorders>
              <w:top w:val="nil"/>
              <w:left w:val="nil"/>
              <w:bottom w:val="nil"/>
              <w:right w:val="nil"/>
            </w:tcBorders>
            <w:vAlign w:val="bottom"/>
          </w:tcPr>
          <w:p w14:paraId="4BC86EF8"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0.003</w:t>
            </w:r>
          </w:p>
        </w:tc>
        <w:tc>
          <w:tcPr>
            <w:tcW w:w="1701" w:type="dxa"/>
            <w:tcBorders>
              <w:top w:val="nil"/>
              <w:left w:val="nil"/>
              <w:bottom w:val="nil"/>
              <w:right w:val="nil"/>
            </w:tcBorders>
            <w:vAlign w:val="bottom"/>
          </w:tcPr>
          <w:p w14:paraId="4BC86EF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c>
          <w:tcPr>
            <w:tcW w:w="1983" w:type="dxa"/>
            <w:tcBorders>
              <w:top w:val="nil"/>
              <w:left w:val="nil"/>
              <w:bottom w:val="nil"/>
              <w:right w:val="nil"/>
            </w:tcBorders>
            <w:vAlign w:val="bottom"/>
          </w:tcPr>
          <w:p w14:paraId="4BC86EF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r>
      <w:tr w:rsidR="005140C3" w:rsidRPr="00A82BE5" w14:paraId="4BC86F00" w14:textId="77777777" w:rsidTr="009F3C26">
        <w:trPr>
          <w:trHeight w:val="248"/>
          <w:jc w:val="center"/>
        </w:trPr>
        <w:tc>
          <w:tcPr>
            <w:tcW w:w="4113" w:type="dxa"/>
            <w:tcBorders>
              <w:top w:val="nil"/>
              <w:left w:val="nil"/>
              <w:bottom w:val="nil"/>
              <w:right w:val="nil"/>
            </w:tcBorders>
            <w:vAlign w:val="center"/>
          </w:tcPr>
          <w:p w14:paraId="4BC86EFC"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Sao Tome and Principe</w:t>
            </w:r>
          </w:p>
        </w:tc>
        <w:tc>
          <w:tcPr>
            <w:tcW w:w="1842" w:type="dxa"/>
            <w:tcBorders>
              <w:top w:val="nil"/>
              <w:left w:val="nil"/>
              <w:bottom w:val="nil"/>
              <w:right w:val="nil"/>
            </w:tcBorders>
            <w:vAlign w:val="bottom"/>
          </w:tcPr>
          <w:p w14:paraId="4BC86EFD"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EF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EF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F05" w14:textId="77777777" w:rsidTr="009F3C26">
        <w:trPr>
          <w:trHeight w:val="248"/>
          <w:jc w:val="center"/>
        </w:trPr>
        <w:tc>
          <w:tcPr>
            <w:tcW w:w="4113" w:type="dxa"/>
            <w:tcBorders>
              <w:top w:val="nil"/>
              <w:left w:val="nil"/>
              <w:bottom w:val="nil"/>
              <w:right w:val="nil"/>
            </w:tcBorders>
            <w:vAlign w:val="center"/>
          </w:tcPr>
          <w:p w14:paraId="4BC86F01"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Saudi Arabia</w:t>
            </w:r>
          </w:p>
        </w:tc>
        <w:tc>
          <w:tcPr>
            <w:tcW w:w="1842" w:type="dxa"/>
            <w:tcBorders>
              <w:top w:val="nil"/>
              <w:left w:val="nil"/>
              <w:bottom w:val="nil"/>
              <w:right w:val="nil"/>
            </w:tcBorders>
            <w:vAlign w:val="bottom"/>
          </w:tcPr>
          <w:p w14:paraId="4BC86F02"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0.864</w:t>
            </w:r>
          </w:p>
        </w:tc>
        <w:tc>
          <w:tcPr>
            <w:tcW w:w="1701" w:type="dxa"/>
            <w:tcBorders>
              <w:top w:val="nil"/>
              <w:left w:val="nil"/>
              <w:bottom w:val="nil"/>
              <w:right w:val="nil"/>
            </w:tcBorders>
            <w:vAlign w:val="bottom"/>
          </w:tcPr>
          <w:p w14:paraId="4BC86F0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0.842</w:t>
            </w:r>
          </w:p>
        </w:tc>
        <w:tc>
          <w:tcPr>
            <w:tcW w:w="1983" w:type="dxa"/>
            <w:tcBorders>
              <w:top w:val="nil"/>
              <w:left w:val="nil"/>
              <w:bottom w:val="nil"/>
              <w:right w:val="nil"/>
            </w:tcBorders>
            <w:vAlign w:val="bottom"/>
          </w:tcPr>
          <w:p w14:paraId="4BC86F0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0.842</w:t>
            </w:r>
          </w:p>
        </w:tc>
      </w:tr>
      <w:tr w:rsidR="005140C3" w:rsidRPr="00A82BE5" w14:paraId="4BC86F0A" w14:textId="77777777" w:rsidTr="009F3C26">
        <w:trPr>
          <w:trHeight w:val="248"/>
          <w:jc w:val="center"/>
        </w:trPr>
        <w:tc>
          <w:tcPr>
            <w:tcW w:w="4113" w:type="dxa"/>
            <w:tcBorders>
              <w:top w:val="nil"/>
              <w:left w:val="nil"/>
              <w:bottom w:val="nil"/>
              <w:right w:val="nil"/>
            </w:tcBorders>
            <w:vAlign w:val="center"/>
          </w:tcPr>
          <w:p w14:paraId="4BC86F06"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Senegal</w:t>
            </w:r>
          </w:p>
        </w:tc>
        <w:tc>
          <w:tcPr>
            <w:tcW w:w="1842" w:type="dxa"/>
            <w:tcBorders>
              <w:top w:val="nil"/>
              <w:left w:val="nil"/>
              <w:bottom w:val="nil"/>
              <w:right w:val="nil"/>
            </w:tcBorders>
            <w:vAlign w:val="bottom"/>
          </w:tcPr>
          <w:p w14:paraId="4BC86F07"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0.006</w:t>
            </w:r>
          </w:p>
        </w:tc>
        <w:tc>
          <w:tcPr>
            <w:tcW w:w="1701" w:type="dxa"/>
            <w:tcBorders>
              <w:top w:val="nil"/>
              <w:left w:val="nil"/>
              <w:bottom w:val="nil"/>
              <w:right w:val="nil"/>
            </w:tcBorders>
            <w:vAlign w:val="bottom"/>
          </w:tcPr>
          <w:p w14:paraId="4BC86F0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0.006</w:t>
            </w:r>
          </w:p>
        </w:tc>
        <w:tc>
          <w:tcPr>
            <w:tcW w:w="1983" w:type="dxa"/>
            <w:tcBorders>
              <w:top w:val="nil"/>
              <w:left w:val="nil"/>
              <w:bottom w:val="nil"/>
              <w:right w:val="nil"/>
            </w:tcBorders>
            <w:vAlign w:val="bottom"/>
          </w:tcPr>
          <w:p w14:paraId="4BC86F0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0.006</w:t>
            </w:r>
          </w:p>
        </w:tc>
      </w:tr>
      <w:tr w:rsidR="005140C3" w:rsidRPr="00A82BE5" w14:paraId="4BC86F0F" w14:textId="77777777" w:rsidTr="009F3C26">
        <w:trPr>
          <w:trHeight w:val="248"/>
          <w:jc w:val="center"/>
        </w:trPr>
        <w:tc>
          <w:tcPr>
            <w:tcW w:w="4113" w:type="dxa"/>
            <w:tcBorders>
              <w:top w:val="nil"/>
              <w:left w:val="nil"/>
              <w:bottom w:val="nil"/>
              <w:right w:val="nil"/>
            </w:tcBorders>
            <w:vAlign w:val="center"/>
          </w:tcPr>
          <w:p w14:paraId="4BC86F0B"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Serbia</w:t>
            </w:r>
          </w:p>
        </w:tc>
        <w:tc>
          <w:tcPr>
            <w:tcW w:w="1842" w:type="dxa"/>
            <w:tcBorders>
              <w:top w:val="nil"/>
              <w:left w:val="nil"/>
              <w:bottom w:val="nil"/>
              <w:right w:val="nil"/>
            </w:tcBorders>
            <w:vAlign w:val="bottom"/>
          </w:tcPr>
          <w:p w14:paraId="4BC86F0C"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0.040</w:t>
            </w:r>
          </w:p>
        </w:tc>
        <w:tc>
          <w:tcPr>
            <w:tcW w:w="1701" w:type="dxa"/>
            <w:tcBorders>
              <w:top w:val="nil"/>
              <w:left w:val="nil"/>
              <w:bottom w:val="nil"/>
              <w:right w:val="nil"/>
            </w:tcBorders>
            <w:vAlign w:val="bottom"/>
          </w:tcPr>
          <w:p w14:paraId="4BC86F0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0.039</w:t>
            </w:r>
          </w:p>
        </w:tc>
        <w:tc>
          <w:tcPr>
            <w:tcW w:w="1983" w:type="dxa"/>
            <w:tcBorders>
              <w:top w:val="nil"/>
              <w:left w:val="nil"/>
              <w:bottom w:val="nil"/>
              <w:right w:val="nil"/>
            </w:tcBorders>
            <w:vAlign w:val="bottom"/>
          </w:tcPr>
          <w:p w14:paraId="4BC86F0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0.039</w:t>
            </w:r>
          </w:p>
        </w:tc>
      </w:tr>
      <w:tr w:rsidR="005140C3" w:rsidRPr="00A82BE5" w14:paraId="4BC86F14" w14:textId="77777777" w:rsidTr="009F3C26">
        <w:trPr>
          <w:trHeight w:val="248"/>
          <w:jc w:val="center"/>
        </w:trPr>
        <w:tc>
          <w:tcPr>
            <w:tcW w:w="4113" w:type="dxa"/>
            <w:tcBorders>
              <w:top w:val="nil"/>
              <w:left w:val="nil"/>
              <w:bottom w:val="nil"/>
              <w:right w:val="nil"/>
            </w:tcBorders>
            <w:vAlign w:val="center"/>
          </w:tcPr>
          <w:p w14:paraId="4BC86F10"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Seychelles</w:t>
            </w:r>
          </w:p>
        </w:tc>
        <w:tc>
          <w:tcPr>
            <w:tcW w:w="1842" w:type="dxa"/>
            <w:tcBorders>
              <w:top w:val="nil"/>
              <w:left w:val="nil"/>
              <w:bottom w:val="nil"/>
              <w:right w:val="nil"/>
            </w:tcBorders>
            <w:vAlign w:val="bottom"/>
          </w:tcPr>
          <w:p w14:paraId="4BC86F11"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F1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F1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F19" w14:textId="77777777" w:rsidTr="009F3C26">
        <w:trPr>
          <w:trHeight w:val="248"/>
          <w:jc w:val="center"/>
        </w:trPr>
        <w:tc>
          <w:tcPr>
            <w:tcW w:w="4113" w:type="dxa"/>
            <w:tcBorders>
              <w:top w:val="nil"/>
              <w:left w:val="nil"/>
              <w:bottom w:val="nil"/>
              <w:right w:val="nil"/>
            </w:tcBorders>
            <w:vAlign w:val="center"/>
          </w:tcPr>
          <w:p w14:paraId="4BC86F15"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Sierra Leone</w:t>
            </w:r>
          </w:p>
        </w:tc>
        <w:tc>
          <w:tcPr>
            <w:tcW w:w="1842" w:type="dxa"/>
            <w:tcBorders>
              <w:top w:val="nil"/>
              <w:left w:val="nil"/>
              <w:bottom w:val="nil"/>
              <w:right w:val="nil"/>
            </w:tcBorders>
            <w:vAlign w:val="bottom"/>
          </w:tcPr>
          <w:p w14:paraId="4BC86F16"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F1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F1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F1E" w14:textId="77777777" w:rsidTr="009F3C26">
        <w:trPr>
          <w:trHeight w:val="248"/>
          <w:jc w:val="center"/>
        </w:trPr>
        <w:tc>
          <w:tcPr>
            <w:tcW w:w="4113" w:type="dxa"/>
            <w:tcBorders>
              <w:top w:val="nil"/>
              <w:left w:val="nil"/>
              <w:bottom w:val="nil"/>
              <w:right w:val="nil"/>
            </w:tcBorders>
            <w:vAlign w:val="center"/>
          </w:tcPr>
          <w:p w14:paraId="4BC86F1A"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Singapore</w:t>
            </w:r>
          </w:p>
        </w:tc>
        <w:tc>
          <w:tcPr>
            <w:tcW w:w="1842" w:type="dxa"/>
            <w:tcBorders>
              <w:top w:val="nil"/>
              <w:left w:val="nil"/>
              <w:bottom w:val="nil"/>
              <w:right w:val="nil"/>
            </w:tcBorders>
            <w:vAlign w:val="bottom"/>
          </w:tcPr>
          <w:p w14:paraId="4BC86F1B"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0.384</w:t>
            </w:r>
          </w:p>
        </w:tc>
        <w:tc>
          <w:tcPr>
            <w:tcW w:w="1701" w:type="dxa"/>
            <w:tcBorders>
              <w:top w:val="nil"/>
              <w:left w:val="nil"/>
              <w:bottom w:val="nil"/>
              <w:right w:val="nil"/>
            </w:tcBorders>
            <w:vAlign w:val="bottom"/>
          </w:tcPr>
          <w:p w14:paraId="4BC86F1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0.374</w:t>
            </w:r>
          </w:p>
        </w:tc>
        <w:tc>
          <w:tcPr>
            <w:tcW w:w="1983" w:type="dxa"/>
            <w:tcBorders>
              <w:top w:val="nil"/>
              <w:left w:val="nil"/>
              <w:bottom w:val="nil"/>
              <w:right w:val="nil"/>
            </w:tcBorders>
            <w:vAlign w:val="bottom"/>
          </w:tcPr>
          <w:p w14:paraId="4BC86F1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0.374</w:t>
            </w:r>
          </w:p>
        </w:tc>
      </w:tr>
      <w:tr w:rsidR="005140C3" w:rsidRPr="00A82BE5" w14:paraId="4BC86F23" w14:textId="77777777" w:rsidTr="009F3C26">
        <w:trPr>
          <w:trHeight w:val="248"/>
          <w:jc w:val="center"/>
        </w:trPr>
        <w:tc>
          <w:tcPr>
            <w:tcW w:w="4113" w:type="dxa"/>
            <w:tcBorders>
              <w:top w:val="nil"/>
              <w:left w:val="nil"/>
              <w:bottom w:val="nil"/>
              <w:right w:val="nil"/>
            </w:tcBorders>
            <w:vAlign w:val="center"/>
          </w:tcPr>
          <w:p w14:paraId="4BC86F1F"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Slovakia</w:t>
            </w:r>
          </w:p>
        </w:tc>
        <w:tc>
          <w:tcPr>
            <w:tcW w:w="1842" w:type="dxa"/>
            <w:tcBorders>
              <w:top w:val="nil"/>
              <w:left w:val="nil"/>
              <w:bottom w:val="nil"/>
              <w:right w:val="nil"/>
            </w:tcBorders>
            <w:vAlign w:val="bottom"/>
          </w:tcPr>
          <w:p w14:paraId="4BC86F20"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0.171</w:t>
            </w:r>
          </w:p>
        </w:tc>
        <w:tc>
          <w:tcPr>
            <w:tcW w:w="1701" w:type="dxa"/>
            <w:tcBorders>
              <w:top w:val="nil"/>
              <w:left w:val="nil"/>
              <w:bottom w:val="nil"/>
              <w:right w:val="nil"/>
            </w:tcBorders>
            <w:vAlign w:val="bottom"/>
          </w:tcPr>
          <w:p w14:paraId="4BC86F2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0.167</w:t>
            </w:r>
          </w:p>
        </w:tc>
        <w:tc>
          <w:tcPr>
            <w:tcW w:w="1983" w:type="dxa"/>
            <w:tcBorders>
              <w:top w:val="nil"/>
              <w:left w:val="nil"/>
              <w:bottom w:val="nil"/>
              <w:right w:val="nil"/>
            </w:tcBorders>
            <w:vAlign w:val="bottom"/>
          </w:tcPr>
          <w:p w14:paraId="4BC86F2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0.167</w:t>
            </w:r>
          </w:p>
        </w:tc>
      </w:tr>
      <w:tr w:rsidR="005140C3" w:rsidRPr="00A82BE5" w14:paraId="4BC86F28" w14:textId="77777777" w:rsidTr="009F3C26">
        <w:trPr>
          <w:trHeight w:val="248"/>
          <w:jc w:val="center"/>
        </w:trPr>
        <w:tc>
          <w:tcPr>
            <w:tcW w:w="4113" w:type="dxa"/>
            <w:tcBorders>
              <w:top w:val="nil"/>
              <w:left w:val="nil"/>
              <w:bottom w:val="nil"/>
              <w:right w:val="nil"/>
            </w:tcBorders>
            <w:vAlign w:val="center"/>
          </w:tcPr>
          <w:p w14:paraId="4BC86F24"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Slovenia</w:t>
            </w:r>
          </w:p>
        </w:tc>
        <w:tc>
          <w:tcPr>
            <w:tcW w:w="1842" w:type="dxa"/>
            <w:tcBorders>
              <w:top w:val="nil"/>
              <w:left w:val="nil"/>
              <w:bottom w:val="nil"/>
              <w:right w:val="nil"/>
            </w:tcBorders>
            <w:vAlign w:val="bottom"/>
          </w:tcPr>
          <w:p w14:paraId="4BC86F25"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0.100</w:t>
            </w:r>
          </w:p>
        </w:tc>
        <w:tc>
          <w:tcPr>
            <w:tcW w:w="1701" w:type="dxa"/>
            <w:tcBorders>
              <w:top w:val="nil"/>
              <w:left w:val="nil"/>
              <w:bottom w:val="nil"/>
              <w:right w:val="nil"/>
            </w:tcBorders>
            <w:vAlign w:val="bottom"/>
          </w:tcPr>
          <w:p w14:paraId="4BC86F2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0.097</w:t>
            </w:r>
          </w:p>
        </w:tc>
        <w:tc>
          <w:tcPr>
            <w:tcW w:w="1983" w:type="dxa"/>
            <w:tcBorders>
              <w:top w:val="nil"/>
              <w:left w:val="nil"/>
              <w:bottom w:val="nil"/>
              <w:right w:val="nil"/>
            </w:tcBorders>
            <w:vAlign w:val="bottom"/>
          </w:tcPr>
          <w:p w14:paraId="4BC86F2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0.097</w:t>
            </w:r>
          </w:p>
        </w:tc>
      </w:tr>
      <w:tr w:rsidR="005140C3" w:rsidRPr="00A82BE5" w14:paraId="4BC86F2D" w14:textId="77777777" w:rsidTr="009F3C26">
        <w:trPr>
          <w:trHeight w:val="248"/>
          <w:jc w:val="center"/>
        </w:trPr>
        <w:tc>
          <w:tcPr>
            <w:tcW w:w="4113" w:type="dxa"/>
            <w:tcBorders>
              <w:top w:val="nil"/>
              <w:left w:val="nil"/>
              <w:bottom w:val="nil"/>
              <w:right w:val="nil"/>
            </w:tcBorders>
            <w:vAlign w:val="center"/>
          </w:tcPr>
          <w:p w14:paraId="4BC86F29"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Solomon Islands</w:t>
            </w:r>
          </w:p>
        </w:tc>
        <w:tc>
          <w:tcPr>
            <w:tcW w:w="1842" w:type="dxa"/>
            <w:tcBorders>
              <w:top w:val="nil"/>
              <w:left w:val="nil"/>
              <w:bottom w:val="nil"/>
              <w:right w:val="nil"/>
            </w:tcBorders>
            <w:vAlign w:val="bottom"/>
          </w:tcPr>
          <w:p w14:paraId="4BC86F2A"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F2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F2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F32" w14:textId="77777777" w:rsidTr="009F3C26">
        <w:trPr>
          <w:trHeight w:val="248"/>
          <w:jc w:val="center"/>
        </w:trPr>
        <w:tc>
          <w:tcPr>
            <w:tcW w:w="4113" w:type="dxa"/>
            <w:tcBorders>
              <w:top w:val="nil"/>
              <w:left w:val="nil"/>
              <w:bottom w:val="nil"/>
              <w:right w:val="nil"/>
            </w:tcBorders>
            <w:vAlign w:val="center"/>
          </w:tcPr>
          <w:p w14:paraId="4BC86F2E" w14:textId="77777777" w:rsidR="005140C3" w:rsidRPr="00A82BE5" w:rsidRDefault="005140C3" w:rsidP="009F3C26">
            <w:pPr>
              <w:suppressAutoHyphens w:val="0"/>
              <w:spacing w:line="240" w:lineRule="auto"/>
              <w:ind w:left="360" w:hanging="360"/>
              <w:rPr>
                <w:rFonts w:eastAsia="MS Mincho"/>
                <w:color w:val="000000"/>
                <w:sz w:val="18"/>
                <w:szCs w:val="18"/>
                <w:lang w:eastAsia="de-DE"/>
              </w:rPr>
            </w:pPr>
            <w:r w:rsidRPr="00A82BE5">
              <w:rPr>
                <w:rFonts w:eastAsia="MS Mincho"/>
                <w:color w:val="000000"/>
                <w:sz w:val="18"/>
                <w:szCs w:val="18"/>
                <w:lang w:eastAsia="de-DE"/>
              </w:rPr>
              <w:t>Somalia</w:t>
            </w:r>
          </w:p>
        </w:tc>
        <w:tc>
          <w:tcPr>
            <w:tcW w:w="1842" w:type="dxa"/>
            <w:tcBorders>
              <w:top w:val="nil"/>
              <w:left w:val="nil"/>
              <w:bottom w:val="nil"/>
              <w:right w:val="nil"/>
            </w:tcBorders>
            <w:vAlign w:val="bottom"/>
          </w:tcPr>
          <w:p w14:paraId="4BC86F2F"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F3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F3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F37" w14:textId="77777777" w:rsidTr="009F3C26">
        <w:trPr>
          <w:trHeight w:val="248"/>
          <w:jc w:val="center"/>
        </w:trPr>
        <w:tc>
          <w:tcPr>
            <w:tcW w:w="4113" w:type="dxa"/>
            <w:tcBorders>
              <w:top w:val="nil"/>
              <w:left w:val="nil"/>
              <w:bottom w:val="nil"/>
              <w:right w:val="nil"/>
            </w:tcBorders>
            <w:vAlign w:val="center"/>
          </w:tcPr>
          <w:p w14:paraId="4BC86F33"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South Africa</w:t>
            </w:r>
          </w:p>
        </w:tc>
        <w:tc>
          <w:tcPr>
            <w:tcW w:w="1842" w:type="dxa"/>
            <w:tcBorders>
              <w:top w:val="nil"/>
              <w:left w:val="nil"/>
              <w:bottom w:val="nil"/>
              <w:right w:val="nil"/>
            </w:tcBorders>
            <w:vAlign w:val="bottom"/>
          </w:tcPr>
          <w:p w14:paraId="4BC86F34"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0.372</w:t>
            </w:r>
          </w:p>
        </w:tc>
        <w:tc>
          <w:tcPr>
            <w:tcW w:w="1701" w:type="dxa"/>
            <w:tcBorders>
              <w:top w:val="nil"/>
              <w:left w:val="nil"/>
              <w:bottom w:val="nil"/>
              <w:right w:val="nil"/>
            </w:tcBorders>
            <w:vAlign w:val="bottom"/>
          </w:tcPr>
          <w:p w14:paraId="4BC86F3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0.363</w:t>
            </w:r>
          </w:p>
        </w:tc>
        <w:tc>
          <w:tcPr>
            <w:tcW w:w="1983" w:type="dxa"/>
            <w:tcBorders>
              <w:top w:val="nil"/>
              <w:left w:val="nil"/>
              <w:bottom w:val="nil"/>
              <w:right w:val="nil"/>
            </w:tcBorders>
            <w:vAlign w:val="bottom"/>
          </w:tcPr>
          <w:p w14:paraId="4BC86F3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0.363</w:t>
            </w:r>
          </w:p>
        </w:tc>
      </w:tr>
      <w:tr w:rsidR="005140C3" w:rsidRPr="00A82BE5" w14:paraId="4BC86F3C" w14:textId="77777777" w:rsidTr="009F3C26">
        <w:trPr>
          <w:trHeight w:val="248"/>
          <w:jc w:val="center"/>
        </w:trPr>
        <w:tc>
          <w:tcPr>
            <w:tcW w:w="4113" w:type="dxa"/>
            <w:tcBorders>
              <w:top w:val="nil"/>
              <w:left w:val="nil"/>
              <w:bottom w:val="nil"/>
              <w:right w:val="nil"/>
            </w:tcBorders>
            <w:vAlign w:val="center"/>
          </w:tcPr>
          <w:p w14:paraId="4BC86F38" w14:textId="77777777" w:rsidR="005140C3" w:rsidRPr="00A82BE5" w:rsidRDefault="005140C3" w:rsidP="009F3C26">
            <w:pPr>
              <w:suppressAutoHyphens w:val="0"/>
              <w:spacing w:line="240" w:lineRule="auto"/>
              <w:ind w:left="360" w:hanging="360"/>
              <w:rPr>
                <w:rFonts w:eastAsia="MS Mincho"/>
                <w:color w:val="000000"/>
                <w:sz w:val="18"/>
                <w:szCs w:val="18"/>
                <w:lang w:eastAsia="de-DE"/>
              </w:rPr>
            </w:pPr>
            <w:r w:rsidRPr="00A82BE5">
              <w:rPr>
                <w:rFonts w:eastAsia="MS Mincho"/>
                <w:color w:val="000000"/>
                <w:sz w:val="18"/>
                <w:szCs w:val="18"/>
                <w:lang w:eastAsia="de-DE"/>
              </w:rPr>
              <w:t>South Sudan</w:t>
            </w:r>
          </w:p>
        </w:tc>
        <w:tc>
          <w:tcPr>
            <w:tcW w:w="1842" w:type="dxa"/>
            <w:tcBorders>
              <w:top w:val="nil"/>
              <w:left w:val="nil"/>
              <w:bottom w:val="nil"/>
              <w:right w:val="nil"/>
            </w:tcBorders>
            <w:vAlign w:val="bottom"/>
          </w:tcPr>
          <w:p w14:paraId="4BC86F39"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0.004</w:t>
            </w:r>
          </w:p>
        </w:tc>
        <w:tc>
          <w:tcPr>
            <w:tcW w:w="1701" w:type="dxa"/>
            <w:tcBorders>
              <w:top w:val="nil"/>
              <w:left w:val="nil"/>
              <w:bottom w:val="nil"/>
              <w:right w:val="nil"/>
            </w:tcBorders>
            <w:vAlign w:val="bottom"/>
          </w:tcPr>
          <w:p w14:paraId="4BC86F3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0.004</w:t>
            </w:r>
          </w:p>
        </w:tc>
        <w:tc>
          <w:tcPr>
            <w:tcW w:w="1983" w:type="dxa"/>
            <w:tcBorders>
              <w:top w:val="nil"/>
              <w:left w:val="nil"/>
              <w:bottom w:val="nil"/>
              <w:right w:val="nil"/>
            </w:tcBorders>
            <w:vAlign w:val="bottom"/>
          </w:tcPr>
          <w:p w14:paraId="4BC86F3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0.004</w:t>
            </w:r>
          </w:p>
        </w:tc>
      </w:tr>
      <w:tr w:rsidR="005140C3" w:rsidRPr="00A82BE5" w14:paraId="4BC86F41" w14:textId="77777777" w:rsidTr="009F3C26">
        <w:trPr>
          <w:trHeight w:val="248"/>
          <w:jc w:val="center"/>
        </w:trPr>
        <w:tc>
          <w:tcPr>
            <w:tcW w:w="4113" w:type="dxa"/>
            <w:tcBorders>
              <w:top w:val="nil"/>
              <w:left w:val="nil"/>
              <w:bottom w:val="nil"/>
              <w:right w:val="nil"/>
            </w:tcBorders>
            <w:vAlign w:val="center"/>
          </w:tcPr>
          <w:p w14:paraId="4BC86F3D"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Spain</w:t>
            </w:r>
          </w:p>
        </w:tc>
        <w:tc>
          <w:tcPr>
            <w:tcW w:w="1842" w:type="dxa"/>
            <w:tcBorders>
              <w:top w:val="nil"/>
              <w:left w:val="nil"/>
              <w:bottom w:val="nil"/>
              <w:right w:val="nil"/>
            </w:tcBorders>
            <w:vAlign w:val="bottom"/>
          </w:tcPr>
          <w:p w14:paraId="4BC86F3E"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2.973</w:t>
            </w:r>
          </w:p>
        </w:tc>
        <w:tc>
          <w:tcPr>
            <w:tcW w:w="1701" w:type="dxa"/>
            <w:tcBorders>
              <w:top w:val="nil"/>
              <w:left w:val="nil"/>
              <w:bottom w:val="nil"/>
              <w:right w:val="nil"/>
            </w:tcBorders>
            <w:vAlign w:val="bottom"/>
          </w:tcPr>
          <w:p w14:paraId="4BC86F3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2.899</w:t>
            </w:r>
          </w:p>
        </w:tc>
        <w:tc>
          <w:tcPr>
            <w:tcW w:w="1983" w:type="dxa"/>
            <w:tcBorders>
              <w:top w:val="nil"/>
              <w:left w:val="nil"/>
              <w:bottom w:val="nil"/>
              <w:right w:val="nil"/>
            </w:tcBorders>
            <w:vAlign w:val="bottom"/>
          </w:tcPr>
          <w:p w14:paraId="4BC86F4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2.899</w:t>
            </w:r>
          </w:p>
        </w:tc>
      </w:tr>
      <w:tr w:rsidR="005140C3" w:rsidRPr="00A82BE5" w14:paraId="4BC86F46" w14:textId="77777777" w:rsidTr="009F3C26">
        <w:trPr>
          <w:trHeight w:val="248"/>
          <w:jc w:val="center"/>
        </w:trPr>
        <w:tc>
          <w:tcPr>
            <w:tcW w:w="4113" w:type="dxa"/>
            <w:tcBorders>
              <w:top w:val="nil"/>
              <w:left w:val="nil"/>
              <w:bottom w:val="nil"/>
              <w:right w:val="nil"/>
            </w:tcBorders>
            <w:vAlign w:val="center"/>
          </w:tcPr>
          <w:p w14:paraId="4BC86F42"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Sri Lanka</w:t>
            </w:r>
          </w:p>
        </w:tc>
        <w:tc>
          <w:tcPr>
            <w:tcW w:w="1842" w:type="dxa"/>
            <w:tcBorders>
              <w:top w:val="nil"/>
              <w:left w:val="nil"/>
              <w:bottom w:val="nil"/>
              <w:right w:val="nil"/>
            </w:tcBorders>
            <w:vAlign w:val="bottom"/>
          </w:tcPr>
          <w:p w14:paraId="4BC86F43"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0.025</w:t>
            </w:r>
          </w:p>
        </w:tc>
        <w:tc>
          <w:tcPr>
            <w:tcW w:w="1701" w:type="dxa"/>
            <w:tcBorders>
              <w:top w:val="nil"/>
              <w:left w:val="nil"/>
              <w:bottom w:val="nil"/>
              <w:right w:val="nil"/>
            </w:tcBorders>
            <w:vAlign w:val="bottom"/>
          </w:tcPr>
          <w:p w14:paraId="4BC86F4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0.024</w:t>
            </w:r>
          </w:p>
        </w:tc>
        <w:tc>
          <w:tcPr>
            <w:tcW w:w="1983" w:type="dxa"/>
            <w:tcBorders>
              <w:top w:val="nil"/>
              <w:left w:val="nil"/>
              <w:bottom w:val="nil"/>
              <w:right w:val="nil"/>
            </w:tcBorders>
            <w:vAlign w:val="bottom"/>
          </w:tcPr>
          <w:p w14:paraId="4BC86F4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0.024</w:t>
            </w:r>
          </w:p>
        </w:tc>
      </w:tr>
      <w:tr w:rsidR="005140C3" w:rsidRPr="00A82BE5" w14:paraId="4BC86F4B" w14:textId="77777777" w:rsidTr="009F3C26">
        <w:trPr>
          <w:trHeight w:val="248"/>
          <w:jc w:val="center"/>
        </w:trPr>
        <w:tc>
          <w:tcPr>
            <w:tcW w:w="4113" w:type="dxa"/>
            <w:tcBorders>
              <w:top w:val="nil"/>
              <w:left w:val="nil"/>
              <w:bottom w:val="nil"/>
              <w:right w:val="nil"/>
            </w:tcBorders>
            <w:vAlign w:val="center"/>
          </w:tcPr>
          <w:p w14:paraId="4BC86F47"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Sudan</w:t>
            </w:r>
          </w:p>
        </w:tc>
        <w:tc>
          <w:tcPr>
            <w:tcW w:w="1842" w:type="dxa"/>
            <w:tcBorders>
              <w:top w:val="nil"/>
              <w:left w:val="nil"/>
              <w:bottom w:val="nil"/>
              <w:right w:val="nil"/>
            </w:tcBorders>
            <w:vAlign w:val="bottom"/>
          </w:tcPr>
          <w:p w14:paraId="4BC86F48"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0.010</w:t>
            </w:r>
          </w:p>
        </w:tc>
        <w:tc>
          <w:tcPr>
            <w:tcW w:w="1701" w:type="dxa"/>
            <w:tcBorders>
              <w:top w:val="nil"/>
              <w:left w:val="nil"/>
              <w:bottom w:val="nil"/>
              <w:right w:val="nil"/>
            </w:tcBorders>
            <w:vAlign w:val="bottom"/>
          </w:tcPr>
          <w:p w14:paraId="4BC86F4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c>
          <w:tcPr>
            <w:tcW w:w="1983" w:type="dxa"/>
            <w:tcBorders>
              <w:top w:val="nil"/>
              <w:left w:val="nil"/>
              <w:bottom w:val="nil"/>
              <w:right w:val="nil"/>
            </w:tcBorders>
            <w:vAlign w:val="bottom"/>
          </w:tcPr>
          <w:p w14:paraId="4BC86F4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r>
      <w:tr w:rsidR="005140C3" w:rsidRPr="00A82BE5" w14:paraId="4BC86F50" w14:textId="77777777" w:rsidTr="009F3C26">
        <w:trPr>
          <w:trHeight w:val="248"/>
          <w:jc w:val="center"/>
        </w:trPr>
        <w:tc>
          <w:tcPr>
            <w:tcW w:w="4113" w:type="dxa"/>
            <w:tcBorders>
              <w:top w:val="nil"/>
              <w:left w:val="nil"/>
              <w:bottom w:val="nil"/>
              <w:right w:val="nil"/>
            </w:tcBorders>
            <w:vAlign w:val="center"/>
          </w:tcPr>
          <w:p w14:paraId="4BC86F4C"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Suriname</w:t>
            </w:r>
          </w:p>
        </w:tc>
        <w:tc>
          <w:tcPr>
            <w:tcW w:w="1842" w:type="dxa"/>
            <w:tcBorders>
              <w:top w:val="nil"/>
              <w:left w:val="nil"/>
              <w:bottom w:val="nil"/>
              <w:right w:val="nil"/>
            </w:tcBorders>
            <w:vAlign w:val="bottom"/>
          </w:tcPr>
          <w:p w14:paraId="4BC86F4D"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0.004</w:t>
            </w:r>
          </w:p>
        </w:tc>
        <w:tc>
          <w:tcPr>
            <w:tcW w:w="1701" w:type="dxa"/>
            <w:tcBorders>
              <w:top w:val="nil"/>
              <w:left w:val="nil"/>
              <w:bottom w:val="nil"/>
              <w:right w:val="nil"/>
            </w:tcBorders>
            <w:vAlign w:val="bottom"/>
          </w:tcPr>
          <w:p w14:paraId="4BC86F4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0.004</w:t>
            </w:r>
          </w:p>
        </w:tc>
        <w:tc>
          <w:tcPr>
            <w:tcW w:w="1983" w:type="dxa"/>
            <w:tcBorders>
              <w:top w:val="nil"/>
              <w:left w:val="nil"/>
              <w:bottom w:val="nil"/>
              <w:right w:val="nil"/>
            </w:tcBorders>
            <w:vAlign w:val="bottom"/>
          </w:tcPr>
          <w:p w14:paraId="4BC86F4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0.004</w:t>
            </w:r>
          </w:p>
        </w:tc>
      </w:tr>
      <w:tr w:rsidR="005140C3" w:rsidRPr="00A82BE5" w14:paraId="4BC86F55" w14:textId="77777777" w:rsidTr="009F3C26">
        <w:trPr>
          <w:trHeight w:val="248"/>
          <w:jc w:val="center"/>
        </w:trPr>
        <w:tc>
          <w:tcPr>
            <w:tcW w:w="4113" w:type="dxa"/>
            <w:tcBorders>
              <w:top w:val="nil"/>
              <w:left w:val="nil"/>
              <w:bottom w:val="nil"/>
              <w:right w:val="nil"/>
            </w:tcBorders>
            <w:vAlign w:val="center"/>
          </w:tcPr>
          <w:p w14:paraId="4BC86F51"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Swaziland</w:t>
            </w:r>
          </w:p>
        </w:tc>
        <w:tc>
          <w:tcPr>
            <w:tcW w:w="1842" w:type="dxa"/>
            <w:tcBorders>
              <w:top w:val="nil"/>
              <w:left w:val="nil"/>
              <w:bottom w:val="nil"/>
              <w:right w:val="nil"/>
            </w:tcBorders>
            <w:vAlign w:val="bottom"/>
          </w:tcPr>
          <w:p w14:paraId="4BC86F52"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0.003</w:t>
            </w:r>
          </w:p>
        </w:tc>
        <w:tc>
          <w:tcPr>
            <w:tcW w:w="1701" w:type="dxa"/>
            <w:tcBorders>
              <w:top w:val="nil"/>
              <w:left w:val="nil"/>
              <w:bottom w:val="nil"/>
              <w:right w:val="nil"/>
            </w:tcBorders>
            <w:vAlign w:val="bottom"/>
          </w:tcPr>
          <w:p w14:paraId="4BC86F5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c>
          <w:tcPr>
            <w:tcW w:w="1983" w:type="dxa"/>
            <w:tcBorders>
              <w:top w:val="nil"/>
              <w:left w:val="nil"/>
              <w:bottom w:val="nil"/>
              <w:right w:val="nil"/>
            </w:tcBorders>
            <w:vAlign w:val="bottom"/>
          </w:tcPr>
          <w:p w14:paraId="4BC86F5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r>
      <w:tr w:rsidR="005140C3" w:rsidRPr="00A82BE5" w14:paraId="4BC86F5A" w14:textId="77777777" w:rsidTr="009F3C26">
        <w:trPr>
          <w:trHeight w:val="248"/>
          <w:jc w:val="center"/>
        </w:trPr>
        <w:tc>
          <w:tcPr>
            <w:tcW w:w="4113" w:type="dxa"/>
            <w:tcBorders>
              <w:top w:val="nil"/>
              <w:left w:val="nil"/>
              <w:bottom w:val="nil"/>
              <w:right w:val="nil"/>
            </w:tcBorders>
            <w:vAlign w:val="center"/>
          </w:tcPr>
          <w:p w14:paraId="4BC86F56"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Sweden</w:t>
            </w:r>
          </w:p>
        </w:tc>
        <w:tc>
          <w:tcPr>
            <w:tcW w:w="1842" w:type="dxa"/>
            <w:tcBorders>
              <w:top w:val="nil"/>
              <w:left w:val="nil"/>
              <w:bottom w:val="nil"/>
              <w:right w:val="nil"/>
            </w:tcBorders>
            <w:vAlign w:val="bottom"/>
          </w:tcPr>
          <w:p w14:paraId="4BC86F57"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0.960</w:t>
            </w:r>
          </w:p>
        </w:tc>
        <w:tc>
          <w:tcPr>
            <w:tcW w:w="1701" w:type="dxa"/>
            <w:tcBorders>
              <w:top w:val="nil"/>
              <w:left w:val="nil"/>
              <w:bottom w:val="nil"/>
              <w:right w:val="nil"/>
            </w:tcBorders>
            <w:vAlign w:val="bottom"/>
          </w:tcPr>
          <w:p w14:paraId="4BC86F5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0.936</w:t>
            </w:r>
          </w:p>
        </w:tc>
        <w:tc>
          <w:tcPr>
            <w:tcW w:w="1983" w:type="dxa"/>
            <w:tcBorders>
              <w:top w:val="nil"/>
              <w:left w:val="nil"/>
              <w:bottom w:val="nil"/>
              <w:right w:val="nil"/>
            </w:tcBorders>
            <w:vAlign w:val="bottom"/>
          </w:tcPr>
          <w:p w14:paraId="4BC86F5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0.936</w:t>
            </w:r>
          </w:p>
        </w:tc>
      </w:tr>
      <w:tr w:rsidR="005140C3" w:rsidRPr="00A82BE5" w14:paraId="4BC86F5F" w14:textId="77777777" w:rsidTr="009F3C26">
        <w:trPr>
          <w:trHeight w:val="248"/>
          <w:jc w:val="center"/>
        </w:trPr>
        <w:tc>
          <w:tcPr>
            <w:tcW w:w="4113" w:type="dxa"/>
            <w:tcBorders>
              <w:top w:val="nil"/>
              <w:left w:val="nil"/>
              <w:bottom w:val="nil"/>
              <w:right w:val="nil"/>
            </w:tcBorders>
            <w:vAlign w:val="center"/>
          </w:tcPr>
          <w:p w14:paraId="4BC86F5B"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Switzerland</w:t>
            </w:r>
          </w:p>
        </w:tc>
        <w:tc>
          <w:tcPr>
            <w:tcW w:w="1842" w:type="dxa"/>
            <w:tcBorders>
              <w:top w:val="nil"/>
              <w:left w:val="nil"/>
              <w:bottom w:val="nil"/>
              <w:right w:val="nil"/>
            </w:tcBorders>
            <w:vAlign w:val="bottom"/>
          </w:tcPr>
          <w:p w14:paraId="4BC86F5C" w14:textId="77777777" w:rsidR="005140C3" w:rsidRPr="00A82BE5" w:rsidRDefault="005140C3" w:rsidP="0078185A">
            <w:pPr>
              <w:suppressAutoHyphens w:val="0"/>
              <w:spacing w:line="240" w:lineRule="auto"/>
              <w:ind w:right="31"/>
              <w:jc w:val="right"/>
              <w:rPr>
                <w:rFonts w:eastAsia="MS Mincho"/>
                <w:color w:val="000000"/>
                <w:sz w:val="18"/>
                <w:szCs w:val="18"/>
                <w:lang w:eastAsia="de-DE"/>
              </w:rPr>
            </w:pPr>
            <w:r w:rsidRPr="00A82BE5">
              <w:rPr>
                <w:rFonts w:eastAsia="MS Mincho"/>
                <w:color w:val="000000"/>
                <w:sz w:val="18"/>
                <w:szCs w:val="18"/>
                <w:lang w:eastAsia="de-DE"/>
              </w:rPr>
              <w:t>1.047</w:t>
            </w:r>
          </w:p>
        </w:tc>
        <w:tc>
          <w:tcPr>
            <w:tcW w:w="1701" w:type="dxa"/>
            <w:tcBorders>
              <w:top w:val="nil"/>
              <w:left w:val="nil"/>
              <w:bottom w:val="nil"/>
              <w:right w:val="nil"/>
            </w:tcBorders>
            <w:vAlign w:val="bottom"/>
          </w:tcPr>
          <w:p w14:paraId="4BC86F5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1.021</w:t>
            </w:r>
          </w:p>
        </w:tc>
        <w:tc>
          <w:tcPr>
            <w:tcW w:w="1983" w:type="dxa"/>
            <w:tcBorders>
              <w:top w:val="nil"/>
              <w:left w:val="nil"/>
              <w:bottom w:val="nil"/>
              <w:right w:val="nil"/>
            </w:tcBorders>
            <w:vAlign w:val="bottom"/>
          </w:tcPr>
          <w:p w14:paraId="4BC86F5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1.021</w:t>
            </w:r>
          </w:p>
        </w:tc>
      </w:tr>
      <w:tr w:rsidR="005140C3" w:rsidRPr="00A82BE5" w14:paraId="4BC86F64" w14:textId="77777777" w:rsidTr="009F3C26">
        <w:trPr>
          <w:trHeight w:val="248"/>
          <w:jc w:val="center"/>
        </w:trPr>
        <w:tc>
          <w:tcPr>
            <w:tcW w:w="4113" w:type="dxa"/>
            <w:tcBorders>
              <w:top w:val="nil"/>
              <w:left w:val="nil"/>
              <w:bottom w:val="nil"/>
              <w:right w:val="nil"/>
            </w:tcBorders>
            <w:vAlign w:val="center"/>
          </w:tcPr>
          <w:p w14:paraId="4BC86F60"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Syrian Arab Republic</w:t>
            </w:r>
          </w:p>
        </w:tc>
        <w:tc>
          <w:tcPr>
            <w:tcW w:w="1842" w:type="dxa"/>
            <w:tcBorders>
              <w:top w:val="nil"/>
              <w:left w:val="nil"/>
              <w:bottom w:val="nil"/>
              <w:right w:val="nil"/>
            </w:tcBorders>
            <w:vAlign w:val="bottom"/>
          </w:tcPr>
          <w:p w14:paraId="4BC86F61"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0.036</w:t>
            </w:r>
          </w:p>
        </w:tc>
        <w:tc>
          <w:tcPr>
            <w:tcW w:w="1701" w:type="dxa"/>
            <w:tcBorders>
              <w:top w:val="nil"/>
              <w:left w:val="nil"/>
              <w:bottom w:val="nil"/>
              <w:right w:val="nil"/>
            </w:tcBorders>
            <w:vAlign w:val="bottom"/>
          </w:tcPr>
          <w:p w14:paraId="4BC86F6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0.035</w:t>
            </w:r>
          </w:p>
        </w:tc>
        <w:tc>
          <w:tcPr>
            <w:tcW w:w="1983" w:type="dxa"/>
            <w:tcBorders>
              <w:top w:val="nil"/>
              <w:left w:val="nil"/>
              <w:bottom w:val="nil"/>
              <w:right w:val="nil"/>
            </w:tcBorders>
            <w:vAlign w:val="bottom"/>
          </w:tcPr>
          <w:p w14:paraId="4BC86F6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0.035</w:t>
            </w:r>
          </w:p>
        </w:tc>
      </w:tr>
      <w:tr w:rsidR="005140C3" w:rsidRPr="00A82BE5" w14:paraId="4BC86F69" w14:textId="77777777" w:rsidTr="009F3C26">
        <w:trPr>
          <w:trHeight w:val="248"/>
          <w:jc w:val="center"/>
        </w:trPr>
        <w:tc>
          <w:tcPr>
            <w:tcW w:w="4113" w:type="dxa"/>
            <w:tcBorders>
              <w:top w:val="nil"/>
              <w:left w:val="nil"/>
              <w:bottom w:val="nil"/>
              <w:right w:val="nil"/>
            </w:tcBorders>
            <w:vAlign w:val="center"/>
          </w:tcPr>
          <w:p w14:paraId="4BC86F65"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Tajikistan</w:t>
            </w:r>
          </w:p>
        </w:tc>
        <w:tc>
          <w:tcPr>
            <w:tcW w:w="1842" w:type="dxa"/>
            <w:tcBorders>
              <w:top w:val="nil"/>
              <w:left w:val="nil"/>
              <w:bottom w:val="nil"/>
              <w:right w:val="nil"/>
            </w:tcBorders>
            <w:vAlign w:val="bottom"/>
          </w:tcPr>
          <w:p w14:paraId="4BC86F66"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0.003</w:t>
            </w:r>
          </w:p>
        </w:tc>
        <w:tc>
          <w:tcPr>
            <w:tcW w:w="1701" w:type="dxa"/>
            <w:tcBorders>
              <w:top w:val="nil"/>
              <w:left w:val="nil"/>
              <w:bottom w:val="nil"/>
              <w:right w:val="nil"/>
            </w:tcBorders>
            <w:vAlign w:val="bottom"/>
          </w:tcPr>
          <w:p w14:paraId="4BC86F6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c>
          <w:tcPr>
            <w:tcW w:w="1983" w:type="dxa"/>
            <w:tcBorders>
              <w:top w:val="nil"/>
              <w:left w:val="nil"/>
              <w:bottom w:val="nil"/>
              <w:right w:val="nil"/>
            </w:tcBorders>
            <w:vAlign w:val="bottom"/>
          </w:tcPr>
          <w:p w14:paraId="4BC86F6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0.003</w:t>
            </w:r>
          </w:p>
        </w:tc>
      </w:tr>
      <w:tr w:rsidR="005140C3" w:rsidRPr="00A82BE5" w14:paraId="4BC86F6E" w14:textId="77777777" w:rsidTr="009F3C26">
        <w:trPr>
          <w:trHeight w:val="248"/>
          <w:jc w:val="center"/>
        </w:trPr>
        <w:tc>
          <w:tcPr>
            <w:tcW w:w="4113" w:type="dxa"/>
            <w:tcBorders>
              <w:top w:val="nil"/>
              <w:left w:val="nil"/>
              <w:bottom w:val="nil"/>
              <w:right w:val="nil"/>
            </w:tcBorders>
            <w:vAlign w:val="center"/>
          </w:tcPr>
          <w:p w14:paraId="4BC86F6A"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Thailand</w:t>
            </w:r>
          </w:p>
        </w:tc>
        <w:tc>
          <w:tcPr>
            <w:tcW w:w="1842" w:type="dxa"/>
            <w:tcBorders>
              <w:top w:val="nil"/>
              <w:left w:val="nil"/>
              <w:bottom w:val="nil"/>
              <w:right w:val="nil"/>
            </w:tcBorders>
            <w:vAlign w:val="bottom"/>
          </w:tcPr>
          <w:p w14:paraId="4BC86F6B"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0.239</w:t>
            </w:r>
          </w:p>
        </w:tc>
        <w:tc>
          <w:tcPr>
            <w:tcW w:w="1701" w:type="dxa"/>
            <w:tcBorders>
              <w:top w:val="nil"/>
              <w:left w:val="nil"/>
              <w:bottom w:val="nil"/>
              <w:right w:val="nil"/>
            </w:tcBorders>
            <w:vAlign w:val="bottom"/>
          </w:tcPr>
          <w:p w14:paraId="4BC86F6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0.233</w:t>
            </w:r>
          </w:p>
        </w:tc>
        <w:tc>
          <w:tcPr>
            <w:tcW w:w="1983" w:type="dxa"/>
            <w:tcBorders>
              <w:top w:val="nil"/>
              <w:left w:val="nil"/>
              <w:bottom w:val="nil"/>
              <w:right w:val="nil"/>
            </w:tcBorders>
            <w:vAlign w:val="bottom"/>
          </w:tcPr>
          <w:p w14:paraId="4BC86F6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0.233</w:t>
            </w:r>
          </w:p>
        </w:tc>
      </w:tr>
      <w:tr w:rsidR="005140C3" w:rsidRPr="00A82BE5" w14:paraId="4BC86F73" w14:textId="77777777" w:rsidTr="009F3C26">
        <w:trPr>
          <w:trHeight w:val="248"/>
          <w:jc w:val="center"/>
        </w:trPr>
        <w:tc>
          <w:tcPr>
            <w:tcW w:w="4113" w:type="dxa"/>
            <w:tcBorders>
              <w:top w:val="nil"/>
              <w:left w:val="nil"/>
              <w:bottom w:val="nil"/>
              <w:right w:val="nil"/>
            </w:tcBorders>
            <w:vAlign w:val="center"/>
          </w:tcPr>
          <w:p w14:paraId="4BC86F6F" w14:textId="608E0F7E" w:rsidR="005140C3" w:rsidRPr="00A82BE5" w:rsidRDefault="005140C3" w:rsidP="009F3C26">
            <w:pPr>
              <w:suppressAutoHyphens w:val="0"/>
              <w:spacing w:line="240" w:lineRule="auto"/>
              <w:rPr>
                <w:rFonts w:eastAsia="Arial Unicode MS"/>
                <w:color w:val="000000"/>
                <w:sz w:val="18"/>
                <w:szCs w:val="18"/>
                <w:lang w:eastAsia="de-DE"/>
              </w:rPr>
            </w:pPr>
            <w:r w:rsidRPr="00A82BE5">
              <w:rPr>
                <w:rFonts w:eastAsia="MS Mincho"/>
                <w:color w:val="000000"/>
                <w:sz w:val="18"/>
                <w:szCs w:val="18"/>
                <w:lang w:eastAsia="de-DE"/>
              </w:rPr>
              <w:t>The former Yugoslav Republic of Macedonia</w:t>
            </w:r>
          </w:p>
        </w:tc>
        <w:tc>
          <w:tcPr>
            <w:tcW w:w="1842" w:type="dxa"/>
            <w:tcBorders>
              <w:top w:val="nil"/>
              <w:left w:val="nil"/>
              <w:bottom w:val="nil"/>
              <w:right w:val="nil"/>
            </w:tcBorders>
            <w:vAlign w:val="bottom"/>
          </w:tcPr>
          <w:p w14:paraId="4BC86F70"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0.008</w:t>
            </w:r>
          </w:p>
        </w:tc>
        <w:tc>
          <w:tcPr>
            <w:tcW w:w="1701" w:type="dxa"/>
            <w:tcBorders>
              <w:top w:val="nil"/>
              <w:left w:val="nil"/>
              <w:bottom w:val="nil"/>
              <w:right w:val="nil"/>
            </w:tcBorders>
            <w:vAlign w:val="bottom"/>
          </w:tcPr>
          <w:p w14:paraId="4BC86F7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0.008</w:t>
            </w:r>
          </w:p>
        </w:tc>
        <w:tc>
          <w:tcPr>
            <w:tcW w:w="1983" w:type="dxa"/>
            <w:tcBorders>
              <w:top w:val="nil"/>
              <w:left w:val="nil"/>
              <w:bottom w:val="nil"/>
              <w:right w:val="nil"/>
            </w:tcBorders>
            <w:vAlign w:val="bottom"/>
          </w:tcPr>
          <w:p w14:paraId="4BC86F7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0.008</w:t>
            </w:r>
          </w:p>
        </w:tc>
      </w:tr>
      <w:tr w:rsidR="005140C3" w:rsidRPr="00A82BE5" w14:paraId="4BC86F78" w14:textId="77777777" w:rsidTr="009F3C26">
        <w:trPr>
          <w:trHeight w:val="248"/>
          <w:jc w:val="center"/>
        </w:trPr>
        <w:tc>
          <w:tcPr>
            <w:tcW w:w="4113" w:type="dxa"/>
            <w:tcBorders>
              <w:top w:val="nil"/>
              <w:left w:val="nil"/>
              <w:bottom w:val="nil"/>
              <w:right w:val="nil"/>
            </w:tcBorders>
            <w:vAlign w:val="center"/>
          </w:tcPr>
          <w:p w14:paraId="4BC86F74"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Timor-Leste</w:t>
            </w:r>
          </w:p>
        </w:tc>
        <w:tc>
          <w:tcPr>
            <w:tcW w:w="1842" w:type="dxa"/>
            <w:tcBorders>
              <w:top w:val="nil"/>
              <w:left w:val="nil"/>
              <w:bottom w:val="nil"/>
              <w:right w:val="nil"/>
            </w:tcBorders>
            <w:vAlign w:val="bottom"/>
          </w:tcPr>
          <w:p w14:paraId="4BC86F75"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0.002</w:t>
            </w:r>
          </w:p>
        </w:tc>
        <w:tc>
          <w:tcPr>
            <w:tcW w:w="1701" w:type="dxa"/>
            <w:tcBorders>
              <w:top w:val="nil"/>
              <w:left w:val="nil"/>
              <w:bottom w:val="nil"/>
              <w:right w:val="nil"/>
            </w:tcBorders>
            <w:vAlign w:val="bottom"/>
          </w:tcPr>
          <w:p w14:paraId="4BC86F7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c>
          <w:tcPr>
            <w:tcW w:w="1983" w:type="dxa"/>
            <w:tcBorders>
              <w:top w:val="nil"/>
              <w:left w:val="nil"/>
              <w:bottom w:val="nil"/>
              <w:right w:val="nil"/>
            </w:tcBorders>
            <w:vAlign w:val="bottom"/>
          </w:tcPr>
          <w:p w14:paraId="4BC86F7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r>
      <w:tr w:rsidR="005140C3" w:rsidRPr="00A82BE5" w14:paraId="4BC86F7D" w14:textId="77777777" w:rsidTr="009F3C26">
        <w:trPr>
          <w:trHeight w:val="248"/>
          <w:jc w:val="center"/>
        </w:trPr>
        <w:tc>
          <w:tcPr>
            <w:tcW w:w="4113" w:type="dxa"/>
            <w:tcBorders>
              <w:top w:val="nil"/>
              <w:left w:val="nil"/>
              <w:bottom w:val="nil"/>
              <w:right w:val="nil"/>
            </w:tcBorders>
            <w:vAlign w:val="center"/>
          </w:tcPr>
          <w:p w14:paraId="4BC86F79"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Togo</w:t>
            </w:r>
          </w:p>
        </w:tc>
        <w:tc>
          <w:tcPr>
            <w:tcW w:w="1842" w:type="dxa"/>
            <w:tcBorders>
              <w:top w:val="nil"/>
              <w:left w:val="nil"/>
              <w:bottom w:val="nil"/>
              <w:right w:val="nil"/>
            </w:tcBorders>
            <w:vAlign w:val="bottom"/>
          </w:tcPr>
          <w:p w14:paraId="4BC86F7A"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F7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F7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F82" w14:textId="77777777" w:rsidTr="009F3C26">
        <w:trPr>
          <w:trHeight w:val="248"/>
          <w:jc w:val="center"/>
        </w:trPr>
        <w:tc>
          <w:tcPr>
            <w:tcW w:w="4113" w:type="dxa"/>
            <w:tcBorders>
              <w:top w:val="nil"/>
              <w:left w:val="nil"/>
              <w:bottom w:val="nil"/>
              <w:right w:val="nil"/>
            </w:tcBorders>
            <w:vAlign w:val="center"/>
          </w:tcPr>
          <w:p w14:paraId="4BC86F7E"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Tonga</w:t>
            </w:r>
          </w:p>
        </w:tc>
        <w:tc>
          <w:tcPr>
            <w:tcW w:w="1842" w:type="dxa"/>
            <w:tcBorders>
              <w:top w:val="nil"/>
              <w:left w:val="nil"/>
              <w:bottom w:val="nil"/>
              <w:right w:val="nil"/>
            </w:tcBorders>
            <w:vAlign w:val="bottom"/>
          </w:tcPr>
          <w:p w14:paraId="4BC86F7F"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F8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F8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F87" w14:textId="77777777" w:rsidTr="009F3C26">
        <w:trPr>
          <w:trHeight w:val="248"/>
          <w:jc w:val="center"/>
        </w:trPr>
        <w:tc>
          <w:tcPr>
            <w:tcW w:w="4113" w:type="dxa"/>
            <w:tcBorders>
              <w:top w:val="nil"/>
              <w:left w:val="nil"/>
              <w:bottom w:val="nil"/>
              <w:right w:val="nil"/>
            </w:tcBorders>
            <w:vAlign w:val="center"/>
          </w:tcPr>
          <w:p w14:paraId="4BC86F83"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Trinidad and Tobago</w:t>
            </w:r>
          </w:p>
        </w:tc>
        <w:tc>
          <w:tcPr>
            <w:tcW w:w="1842" w:type="dxa"/>
            <w:tcBorders>
              <w:top w:val="nil"/>
              <w:left w:val="nil"/>
              <w:bottom w:val="nil"/>
              <w:right w:val="nil"/>
            </w:tcBorders>
            <w:vAlign w:val="bottom"/>
          </w:tcPr>
          <w:p w14:paraId="4BC86F84"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0.044</w:t>
            </w:r>
          </w:p>
        </w:tc>
        <w:tc>
          <w:tcPr>
            <w:tcW w:w="1701" w:type="dxa"/>
            <w:tcBorders>
              <w:top w:val="nil"/>
              <w:left w:val="nil"/>
              <w:bottom w:val="nil"/>
              <w:right w:val="nil"/>
            </w:tcBorders>
            <w:vAlign w:val="bottom"/>
          </w:tcPr>
          <w:p w14:paraId="4BC86F8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0.043</w:t>
            </w:r>
          </w:p>
        </w:tc>
        <w:tc>
          <w:tcPr>
            <w:tcW w:w="1983" w:type="dxa"/>
            <w:tcBorders>
              <w:top w:val="nil"/>
              <w:left w:val="nil"/>
              <w:bottom w:val="nil"/>
              <w:right w:val="nil"/>
            </w:tcBorders>
            <w:vAlign w:val="bottom"/>
          </w:tcPr>
          <w:p w14:paraId="4BC86F8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0.043</w:t>
            </w:r>
          </w:p>
        </w:tc>
      </w:tr>
      <w:tr w:rsidR="005140C3" w:rsidRPr="00A82BE5" w14:paraId="4BC86F8C" w14:textId="77777777" w:rsidTr="009F3C26">
        <w:trPr>
          <w:trHeight w:val="248"/>
          <w:jc w:val="center"/>
        </w:trPr>
        <w:tc>
          <w:tcPr>
            <w:tcW w:w="4113" w:type="dxa"/>
            <w:tcBorders>
              <w:top w:val="nil"/>
              <w:left w:val="nil"/>
              <w:bottom w:val="nil"/>
              <w:right w:val="nil"/>
            </w:tcBorders>
            <w:vAlign w:val="center"/>
          </w:tcPr>
          <w:p w14:paraId="4BC86F88"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Tunisia</w:t>
            </w:r>
          </w:p>
        </w:tc>
        <w:tc>
          <w:tcPr>
            <w:tcW w:w="1842" w:type="dxa"/>
            <w:tcBorders>
              <w:top w:val="nil"/>
              <w:left w:val="nil"/>
              <w:bottom w:val="nil"/>
              <w:right w:val="nil"/>
            </w:tcBorders>
            <w:vAlign w:val="bottom"/>
          </w:tcPr>
          <w:p w14:paraId="4BC86F89"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0.036</w:t>
            </w:r>
          </w:p>
        </w:tc>
        <w:tc>
          <w:tcPr>
            <w:tcW w:w="1701" w:type="dxa"/>
            <w:tcBorders>
              <w:top w:val="nil"/>
              <w:left w:val="nil"/>
              <w:bottom w:val="nil"/>
              <w:right w:val="nil"/>
            </w:tcBorders>
            <w:vAlign w:val="bottom"/>
          </w:tcPr>
          <w:p w14:paraId="4BC86F8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0.035</w:t>
            </w:r>
          </w:p>
        </w:tc>
        <w:tc>
          <w:tcPr>
            <w:tcW w:w="1983" w:type="dxa"/>
            <w:tcBorders>
              <w:top w:val="nil"/>
              <w:left w:val="nil"/>
              <w:bottom w:val="nil"/>
              <w:right w:val="nil"/>
            </w:tcBorders>
            <w:vAlign w:val="bottom"/>
          </w:tcPr>
          <w:p w14:paraId="4BC86F8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0.035</w:t>
            </w:r>
          </w:p>
        </w:tc>
      </w:tr>
      <w:tr w:rsidR="005140C3" w:rsidRPr="00A82BE5" w14:paraId="4BC86F91" w14:textId="77777777" w:rsidTr="009F3C26">
        <w:trPr>
          <w:trHeight w:val="248"/>
          <w:jc w:val="center"/>
        </w:trPr>
        <w:tc>
          <w:tcPr>
            <w:tcW w:w="4113" w:type="dxa"/>
            <w:tcBorders>
              <w:top w:val="nil"/>
              <w:left w:val="nil"/>
              <w:bottom w:val="nil"/>
              <w:right w:val="nil"/>
            </w:tcBorders>
            <w:vAlign w:val="center"/>
          </w:tcPr>
          <w:p w14:paraId="4BC86F8D"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Turkey</w:t>
            </w:r>
          </w:p>
        </w:tc>
        <w:tc>
          <w:tcPr>
            <w:tcW w:w="1842" w:type="dxa"/>
            <w:tcBorders>
              <w:top w:val="nil"/>
              <w:left w:val="nil"/>
              <w:bottom w:val="nil"/>
              <w:right w:val="nil"/>
            </w:tcBorders>
            <w:vAlign w:val="bottom"/>
          </w:tcPr>
          <w:p w14:paraId="4BC86F8E"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1.328</w:t>
            </w:r>
          </w:p>
        </w:tc>
        <w:tc>
          <w:tcPr>
            <w:tcW w:w="1701" w:type="dxa"/>
            <w:tcBorders>
              <w:top w:val="nil"/>
              <w:left w:val="nil"/>
              <w:bottom w:val="nil"/>
              <w:right w:val="nil"/>
            </w:tcBorders>
            <w:vAlign w:val="bottom"/>
          </w:tcPr>
          <w:p w14:paraId="4BC86F8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1.295</w:t>
            </w:r>
          </w:p>
        </w:tc>
        <w:tc>
          <w:tcPr>
            <w:tcW w:w="1983" w:type="dxa"/>
            <w:tcBorders>
              <w:top w:val="nil"/>
              <w:left w:val="nil"/>
              <w:bottom w:val="nil"/>
              <w:right w:val="nil"/>
            </w:tcBorders>
            <w:vAlign w:val="bottom"/>
          </w:tcPr>
          <w:p w14:paraId="4BC86F9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1.295</w:t>
            </w:r>
          </w:p>
        </w:tc>
      </w:tr>
      <w:tr w:rsidR="005140C3" w:rsidRPr="00A82BE5" w14:paraId="4BC86F96" w14:textId="77777777" w:rsidTr="009F3C26">
        <w:trPr>
          <w:trHeight w:val="248"/>
          <w:jc w:val="center"/>
        </w:trPr>
        <w:tc>
          <w:tcPr>
            <w:tcW w:w="4113" w:type="dxa"/>
            <w:tcBorders>
              <w:top w:val="nil"/>
              <w:left w:val="nil"/>
              <w:bottom w:val="nil"/>
              <w:right w:val="nil"/>
            </w:tcBorders>
            <w:vAlign w:val="center"/>
          </w:tcPr>
          <w:p w14:paraId="4BC86F92"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Turkmenistan</w:t>
            </w:r>
          </w:p>
        </w:tc>
        <w:tc>
          <w:tcPr>
            <w:tcW w:w="1842" w:type="dxa"/>
            <w:tcBorders>
              <w:top w:val="nil"/>
              <w:left w:val="nil"/>
              <w:bottom w:val="nil"/>
              <w:right w:val="nil"/>
            </w:tcBorders>
            <w:vAlign w:val="bottom"/>
          </w:tcPr>
          <w:p w14:paraId="4BC86F93"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0.019</w:t>
            </w:r>
          </w:p>
        </w:tc>
        <w:tc>
          <w:tcPr>
            <w:tcW w:w="1701" w:type="dxa"/>
            <w:tcBorders>
              <w:top w:val="nil"/>
              <w:left w:val="nil"/>
              <w:bottom w:val="nil"/>
              <w:right w:val="nil"/>
            </w:tcBorders>
            <w:vAlign w:val="bottom"/>
          </w:tcPr>
          <w:p w14:paraId="4BC86F9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0.019</w:t>
            </w:r>
          </w:p>
        </w:tc>
        <w:tc>
          <w:tcPr>
            <w:tcW w:w="1983" w:type="dxa"/>
            <w:tcBorders>
              <w:top w:val="nil"/>
              <w:left w:val="nil"/>
              <w:bottom w:val="nil"/>
              <w:right w:val="nil"/>
            </w:tcBorders>
            <w:vAlign w:val="bottom"/>
          </w:tcPr>
          <w:p w14:paraId="4BC86F9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0.019</w:t>
            </w:r>
          </w:p>
        </w:tc>
      </w:tr>
      <w:tr w:rsidR="005140C3" w:rsidRPr="00A82BE5" w14:paraId="4BC86F9B" w14:textId="77777777" w:rsidTr="009F3C26">
        <w:trPr>
          <w:trHeight w:val="248"/>
          <w:jc w:val="center"/>
        </w:trPr>
        <w:tc>
          <w:tcPr>
            <w:tcW w:w="4113" w:type="dxa"/>
            <w:tcBorders>
              <w:top w:val="nil"/>
              <w:left w:val="nil"/>
              <w:bottom w:val="nil"/>
              <w:right w:val="nil"/>
            </w:tcBorders>
            <w:vAlign w:val="center"/>
          </w:tcPr>
          <w:p w14:paraId="4BC86F97"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Tuvalu</w:t>
            </w:r>
          </w:p>
        </w:tc>
        <w:tc>
          <w:tcPr>
            <w:tcW w:w="1842" w:type="dxa"/>
            <w:tcBorders>
              <w:top w:val="nil"/>
              <w:left w:val="nil"/>
              <w:bottom w:val="nil"/>
              <w:right w:val="nil"/>
            </w:tcBorders>
            <w:vAlign w:val="bottom"/>
          </w:tcPr>
          <w:p w14:paraId="4BC86F98" w14:textId="77777777" w:rsidR="005140C3" w:rsidRPr="00A82BE5" w:rsidRDefault="005140C3" w:rsidP="0078185A">
            <w:pPr>
              <w:suppressAutoHyphens w:val="0"/>
              <w:spacing w:line="240" w:lineRule="auto"/>
              <w:ind w:right="31"/>
              <w:jc w:val="right"/>
              <w:rPr>
                <w:rFonts w:eastAsia="MS Mincho"/>
                <w:color w:val="000000"/>
                <w:sz w:val="18"/>
                <w:szCs w:val="18"/>
                <w:lang w:eastAsia="de-DE"/>
              </w:rPr>
            </w:pPr>
            <w:r w:rsidRPr="00A82BE5">
              <w:rPr>
                <w:rFonts w:eastAsia="MS Mincho"/>
                <w:color w:val="000000"/>
                <w:sz w:val="18"/>
                <w:szCs w:val="18"/>
                <w:lang w:eastAsia="de-DE"/>
              </w:rPr>
              <w:t>0.001</w:t>
            </w:r>
          </w:p>
        </w:tc>
        <w:tc>
          <w:tcPr>
            <w:tcW w:w="1701" w:type="dxa"/>
            <w:tcBorders>
              <w:top w:val="nil"/>
              <w:left w:val="nil"/>
              <w:bottom w:val="nil"/>
              <w:right w:val="nil"/>
            </w:tcBorders>
            <w:vAlign w:val="bottom"/>
          </w:tcPr>
          <w:p w14:paraId="4BC86F9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F9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FA0" w14:textId="77777777" w:rsidTr="009F3C26">
        <w:trPr>
          <w:trHeight w:val="248"/>
          <w:jc w:val="center"/>
        </w:trPr>
        <w:tc>
          <w:tcPr>
            <w:tcW w:w="4113" w:type="dxa"/>
            <w:tcBorders>
              <w:top w:val="nil"/>
              <w:left w:val="nil"/>
              <w:bottom w:val="nil"/>
              <w:right w:val="nil"/>
            </w:tcBorders>
            <w:vAlign w:val="center"/>
          </w:tcPr>
          <w:p w14:paraId="4BC86F9C"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Uganda</w:t>
            </w:r>
          </w:p>
        </w:tc>
        <w:tc>
          <w:tcPr>
            <w:tcW w:w="1842" w:type="dxa"/>
            <w:tcBorders>
              <w:top w:val="nil"/>
              <w:left w:val="nil"/>
              <w:bottom w:val="nil"/>
              <w:right w:val="nil"/>
            </w:tcBorders>
            <w:vAlign w:val="bottom"/>
          </w:tcPr>
          <w:p w14:paraId="4BC86F9D"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0.006</w:t>
            </w:r>
          </w:p>
        </w:tc>
        <w:tc>
          <w:tcPr>
            <w:tcW w:w="1701" w:type="dxa"/>
            <w:tcBorders>
              <w:top w:val="nil"/>
              <w:left w:val="nil"/>
              <w:bottom w:val="nil"/>
              <w:right w:val="nil"/>
            </w:tcBorders>
            <w:vAlign w:val="bottom"/>
          </w:tcPr>
          <w:p w14:paraId="4BC86F9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0.006</w:t>
            </w:r>
          </w:p>
        </w:tc>
        <w:tc>
          <w:tcPr>
            <w:tcW w:w="1983" w:type="dxa"/>
            <w:tcBorders>
              <w:top w:val="nil"/>
              <w:left w:val="nil"/>
              <w:bottom w:val="nil"/>
              <w:right w:val="nil"/>
            </w:tcBorders>
            <w:vAlign w:val="bottom"/>
          </w:tcPr>
          <w:p w14:paraId="4BC86F9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0.006</w:t>
            </w:r>
          </w:p>
        </w:tc>
      </w:tr>
      <w:tr w:rsidR="005140C3" w:rsidRPr="00A82BE5" w14:paraId="4BC86FA5" w14:textId="77777777" w:rsidTr="009F3C26">
        <w:trPr>
          <w:trHeight w:val="248"/>
          <w:jc w:val="center"/>
        </w:trPr>
        <w:tc>
          <w:tcPr>
            <w:tcW w:w="4113" w:type="dxa"/>
            <w:tcBorders>
              <w:top w:val="nil"/>
              <w:left w:val="nil"/>
              <w:bottom w:val="nil"/>
              <w:right w:val="nil"/>
            </w:tcBorders>
            <w:vAlign w:val="center"/>
          </w:tcPr>
          <w:p w14:paraId="4BC86FA1"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Ukraine</w:t>
            </w:r>
          </w:p>
        </w:tc>
        <w:tc>
          <w:tcPr>
            <w:tcW w:w="1842" w:type="dxa"/>
            <w:tcBorders>
              <w:top w:val="nil"/>
              <w:left w:val="nil"/>
              <w:bottom w:val="nil"/>
              <w:right w:val="nil"/>
            </w:tcBorders>
            <w:vAlign w:val="bottom"/>
          </w:tcPr>
          <w:p w14:paraId="4BC86FA2"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0.099</w:t>
            </w:r>
          </w:p>
        </w:tc>
        <w:tc>
          <w:tcPr>
            <w:tcW w:w="1701" w:type="dxa"/>
            <w:tcBorders>
              <w:top w:val="nil"/>
              <w:left w:val="nil"/>
              <w:bottom w:val="nil"/>
              <w:right w:val="nil"/>
            </w:tcBorders>
            <w:vAlign w:val="bottom"/>
          </w:tcPr>
          <w:p w14:paraId="4BC86FA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0.097</w:t>
            </w:r>
          </w:p>
        </w:tc>
        <w:tc>
          <w:tcPr>
            <w:tcW w:w="1983" w:type="dxa"/>
            <w:tcBorders>
              <w:top w:val="nil"/>
              <w:left w:val="nil"/>
              <w:bottom w:val="nil"/>
              <w:right w:val="nil"/>
            </w:tcBorders>
            <w:vAlign w:val="bottom"/>
          </w:tcPr>
          <w:p w14:paraId="4BC86FA4"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0.097</w:t>
            </w:r>
          </w:p>
        </w:tc>
      </w:tr>
      <w:tr w:rsidR="005140C3" w:rsidRPr="00A82BE5" w14:paraId="4BC86FAA" w14:textId="77777777" w:rsidTr="009F3C26">
        <w:trPr>
          <w:trHeight w:val="248"/>
          <w:jc w:val="center"/>
        </w:trPr>
        <w:tc>
          <w:tcPr>
            <w:tcW w:w="4113" w:type="dxa"/>
            <w:tcBorders>
              <w:top w:val="nil"/>
              <w:left w:val="nil"/>
              <w:bottom w:val="nil"/>
              <w:right w:val="nil"/>
            </w:tcBorders>
            <w:vAlign w:val="center"/>
          </w:tcPr>
          <w:p w14:paraId="4BC86FA6"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United Arab Emirates</w:t>
            </w:r>
          </w:p>
        </w:tc>
        <w:tc>
          <w:tcPr>
            <w:tcW w:w="1842" w:type="dxa"/>
            <w:tcBorders>
              <w:top w:val="nil"/>
              <w:left w:val="nil"/>
              <w:bottom w:val="nil"/>
              <w:right w:val="nil"/>
            </w:tcBorders>
            <w:vAlign w:val="bottom"/>
          </w:tcPr>
          <w:p w14:paraId="4BC86FA7"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0.595</w:t>
            </w:r>
          </w:p>
        </w:tc>
        <w:tc>
          <w:tcPr>
            <w:tcW w:w="1701" w:type="dxa"/>
            <w:tcBorders>
              <w:top w:val="nil"/>
              <w:left w:val="nil"/>
              <w:bottom w:val="nil"/>
              <w:right w:val="nil"/>
            </w:tcBorders>
            <w:vAlign w:val="bottom"/>
          </w:tcPr>
          <w:p w14:paraId="4BC86FA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0.580</w:t>
            </w:r>
          </w:p>
        </w:tc>
        <w:tc>
          <w:tcPr>
            <w:tcW w:w="1983" w:type="dxa"/>
            <w:tcBorders>
              <w:top w:val="nil"/>
              <w:left w:val="nil"/>
              <w:bottom w:val="nil"/>
              <w:right w:val="nil"/>
            </w:tcBorders>
            <w:vAlign w:val="bottom"/>
          </w:tcPr>
          <w:p w14:paraId="4BC86FA9"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0.580</w:t>
            </w:r>
          </w:p>
        </w:tc>
      </w:tr>
      <w:tr w:rsidR="005140C3" w:rsidRPr="00A82BE5" w14:paraId="4BC86FAF" w14:textId="77777777" w:rsidTr="009F3C26">
        <w:trPr>
          <w:trHeight w:val="248"/>
          <w:jc w:val="center"/>
        </w:trPr>
        <w:tc>
          <w:tcPr>
            <w:tcW w:w="4113" w:type="dxa"/>
            <w:tcBorders>
              <w:top w:val="nil"/>
              <w:left w:val="nil"/>
              <w:bottom w:val="nil"/>
              <w:right w:val="nil"/>
            </w:tcBorders>
            <w:vAlign w:val="center"/>
          </w:tcPr>
          <w:p w14:paraId="4BC86FAB" w14:textId="77777777" w:rsidR="005140C3" w:rsidRPr="00A82BE5" w:rsidRDefault="005140C3" w:rsidP="009F3C26">
            <w:pPr>
              <w:suppressAutoHyphens w:val="0"/>
              <w:spacing w:line="240" w:lineRule="auto"/>
              <w:rPr>
                <w:rFonts w:eastAsia="Arial Unicode MS"/>
                <w:color w:val="000000"/>
                <w:sz w:val="18"/>
                <w:szCs w:val="18"/>
                <w:lang w:eastAsia="de-DE"/>
              </w:rPr>
            </w:pPr>
            <w:r w:rsidRPr="00A82BE5">
              <w:rPr>
                <w:rFonts w:eastAsia="MS Mincho"/>
                <w:color w:val="000000"/>
                <w:sz w:val="18"/>
                <w:szCs w:val="18"/>
                <w:lang w:eastAsia="de-DE"/>
              </w:rPr>
              <w:t>United Kingdom of Great Britain and Northern Ireland</w:t>
            </w:r>
          </w:p>
        </w:tc>
        <w:tc>
          <w:tcPr>
            <w:tcW w:w="1842" w:type="dxa"/>
            <w:tcBorders>
              <w:top w:val="nil"/>
              <w:left w:val="nil"/>
              <w:bottom w:val="nil"/>
              <w:right w:val="nil"/>
            </w:tcBorders>
            <w:vAlign w:val="bottom"/>
          </w:tcPr>
          <w:p w14:paraId="4BC86FAC"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5.179</w:t>
            </w:r>
          </w:p>
        </w:tc>
        <w:tc>
          <w:tcPr>
            <w:tcW w:w="1701" w:type="dxa"/>
            <w:tcBorders>
              <w:top w:val="nil"/>
              <w:left w:val="nil"/>
              <w:bottom w:val="nil"/>
              <w:right w:val="nil"/>
            </w:tcBorders>
            <w:vAlign w:val="bottom"/>
          </w:tcPr>
          <w:p w14:paraId="4BC86FA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5.049</w:t>
            </w:r>
          </w:p>
        </w:tc>
        <w:tc>
          <w:tcPr>
            <w:tcW w:w="1983" w:type="dxa"/>
            <w:tcBorders>
              <w:top w:val="nil"/>
              <w:left w:val="nil"/>
              <w:bottom w:val="nil"/>
              <w:right w:val="nil"/>
            </w:tcBorders>
            <w:vAlign w:val="bottom"/>
          </w:tcPr>
          <w:p w14:paraId="4BC86FAE"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5.049</w:t>
            </w:r>
          </w:p>
        </w:tc>
      </w:tr>
      <w:tr w:rsidR="005140C3" w:rsidRPr="00A82BE5" w14:paraId="4BC86FB4" w14:textId="77777777" w:rsidTr="009F3C26">
        <w:trPr>
          <w:trHeight w:val="248"/>
          <w:jc w:val="center"/>
        </w:trPr>
        <w:tc>
          <w:tcPr>
            <w:tcW w:w="4113" w:type="dxa"/>
            <w:tcBorders>
              <w:top w:val="nil"/>
              <w:left w:val="nil"/>
              <w:bottom w:val="nil"/>
              <w:right w:val="nil"/>
            </w:tcBorders>
            <w:vAlign w:val="center"/>
          </w:tcPr>
          <w:p w14:paraId="4BC86FB0"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United Republic of Tanzania</w:t>
            </w:r>
          </w:p>
        </w:tc>
        <w:tc>
          <w:tcPr>
            <w:tcW w:w="1842" w:type="dxa"/>
            <w:tcBorders>
              <w:top w:val="nil"/>
              <w:left w:val="nil"/>
              <w:bottom w:val="nil"/>
              <w:right w:val="nil"/>
            </w:tcBorders>
            <w:vAlign w:val="bottom"/>
          </w:tcPr>
          <w:p w14:paraId="4BC86FB1"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0.009</w:t>
            </w:r>
          </w:p>
        </w:tc>
        <w:tc>
          <w:tcPr>
            <w:tcW w:w="1701" w:type="dxa"/>
            <w:tcBorders>
              <w:top w:val="nil"/>
              <w:left w:val="nil"/>
              <w:bottom w:val="nil"/>
              <w:right w:val="nil"/>
            </w:tcBorders>
            <w:vAlign w:val="bottom"/>
          </w:tcPr>
          <w:p w14:paraId="4BC86FB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0.009</w:t>
            </w:r>
          </w:p>
        </w:tc>
        <w:tc>
          <w:tcPr>
            <w:tcW w:w="1983" w:type="dxa"/>
            <w:tcBorders>
              <w:top w:val="nil"/>
              <w:left w:val="nil"/>
              <w:bottom w:val="nil"/>
              <w:right w:val="nil"/>
            </w:tcBorders>
            <w:vAlign w:val="bottom"/>
          </w:tcPr>
          <w:p w14:paraId="4BC86FB3"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0.009</w:t>
            </w:r>
          </w:p>
        </w:tc>
      </w:tr>
      <w:tr w:rsidR="005140C3" w:rsidRPr="00A82BE5" w14:paraId="4BC86FB9" w14:textId="77777777" w:rsidTr="009F3C26">
        <w:trPr>
          <w:trHeight w:val="248"/>
          <w:jc w:val="center"/>
        </w:trPr>
        <w:tc>
          <w:tcPr>
            <w:tcW w:w="4113" w:type="dxa"/>
            <w:tcBorders>
              <w:top w:val="nil"/>
              <w:left w:val="nil"/>
              <w:bottom w:val="nil"/>
              <w:right w:val="nil"/>
            </w:tcBorders>
            <w:vAlign w:val="center"/>
          </w:tcPr>
          <w:p w14:paraId="4BC86FB5"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United States of America</w:t>
            </w:r>
          </w:p>
        </w:tc>
        <w:tc>
          <w:tcPr>
            <w:tcW w:w="1842" w:type="dxa"/>
            <w:tcBorders>
              <w:top w:val="nil"/>
              <w:left w:val="nil"/>
              <w:bottom w:val="nil"/>
              <w:right w:val="nil"/>
            </w:tcBorders>
            <w:vAlign w:val="bottom"/>
          </w:tcPr>
          <w:p w14:paraId="4BC86FB6"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22.000</w:t>
            </w:r>
          </w:p>
        </w:tc>
        <w:tc>
          <w:tcPr>
            <w:tcW w:w="1701" w:type="dxa"/>
            <w:tcBorders>
              <w:top w:val="nil"/>
              <w:left w:val="nil"/>
              <w:bottom w:val="nil"/>
              <w:right w:val="nil"/>
            </w:tcBorders>
            <w:vAlign w:val="bottom"/>
          </w:tcPr>
          <w:p w14:paraId="4BC86FB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21.449</w:t>
            </w:r>
          </w:p>
        </w:tc>
        <w:tc>
          <w:tcPr>
            <w:tcW w:w="1983" w:type="dxa"/>
            <w:tcBorders>
              <w:top w:val="nil"/>
              <w:left w:val="nil"/>
              <w:bottom w:val="nil"/>
              <w:right w:val="nil"/>
            </w:tcBorders>
            <w:vAlign w:val="bottom"/>
          </w:tcPr>
          <w:p w14:paraId="4BC86FB8"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21.449</w:t>
            </w:r>
          </w:p>
        </w:tc>
      </w:tr>
      <w:tr w:rsidR="005140C3" w:rsidRPr="00A82BE5" w14:paraId="4BC86FBE" w14:textId="77777777" w:rsidTr="009F3C26">
        <w:trPr>
          <w:trHeight w:val="248"/>
          <w:jc w:val="center"/>
        </w:trPr>
        <w:tc>
          <w:tcPr>
            <w:tcW w:w="4113" w:type="dxa"/>
            <w:tcBorders>
              <w:top w:val="nil"/>
              <w:left w:val="nil"/>
              <w:bottom w:val="nil"/>
              <w:right w:val="nil"/>
            </w:tcBorders>
            <w:vAlign w:val="center"/>
          </w:tcPr>
          <w:p w14:paraId="4BC86FBA"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lastRenderedPageBreak/>
              <w:t>Uruguay</w:t>
            </w:r>
          </w:p>
        </w:tc>
        <w:tc>
          <w:tcPr>
            <w:tcW w:w="1842" w:type="dxa"/>
            <w:tcBorders>
              <w:top w:val="nil"/>
              <w:left w:val="nil"/>
              <w:bottom w:val="nil"/>
              <w:right w:val="nil"/>
            </w:tcBorders>
            <w:vAlign w:val="bottom"/>
          </w:tcPr>
          <w:p w14:paraId="4BC86FBB"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0.052</w:t>
            </w:r>
          </w:p>
        </w:tc>
        <w:tc>
          <w:tcPr>
            <w:tcW w:w="1701" w:type="dxa"/>
            <w:tcBorders>
              <w:top w:val="nil"/>
              <w:left w:val="nil"/>
              <w:bottom w:val="nil"/>
              <w:right w:val="nil"/>
            </w:tcBorders>
            <w:vAlign w:val="bottom"/>
          </w:tcPr>
          <w:p w14:paraId="4BC86FB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0.051</w:t>
            </w:r>
          </w:p>
        </w:tc>
        <w:tc>
          <w:tcPr>
            <w:tcW w:w="1983" w:type="dxa"/>
            <w:tcBorders>
              <w:top w:val="nil"/>
              <w:left w:val="nil"/>
              <w:bottom w:val="nil"/>
              <w:right w:val="nil"/>
            </w:tcBorders>
            <w:vAlign w:val="bottom"/>
          </w:tcPr>
          <w:p w14:paraId="4BC86FBD"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0.051</w:t>
            </w:r>
          </w:p>
        </w:tc>
      </w:tr>
      <w:tr w:rsidR="005140C3" w:rsidRPr="00A82BE5" w14:paraId="4BC86FC3" w14:textId="77777777" w:rsidTr="009F3C26">
        <w:trPr>
          <w:trHeight w:val="248"/>
          <w:jc w:val="center"/>
        </w:trPr>
        <w:tc>
          <w:tcPr>
            <w:tcW w:w="4113" w:type="dxa"/>
            <w:tcBorders>
              <w:top w:val="nil"/>
              <w:left w:val="nil"/>
              <w:bottom w:val="nil"/>
              <w:right w:val="nil"/>
            </w:tcBorders>
            <w:vAlign w:val="center"/>
          </w:tcPr>
          <w:p w14:paraId="4BC86FBF"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Uzbekistan</w:t>
            </w:r>
          </w:p>
        </w:tc>
        <w:tc>
          <w:tcPr>
            <w:tcW w:w="1842" w:type="dxa"/>
            <w:tcBorders>
              <w:top w:val="nil"/>
              <w:left w:val="nil"/>
              <w:bottom w:val="nil"/>
              <w:right w:val="nil"/>
            </w:tcBorders>
            <w:vAlign w:val="bottom"/>
          </w:tcPr>
          <w:p w14:paraId="4BC86FC0"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0.015</w:t>
            </w:r>
          </w:p>
        </w:tc>
        <w:tc>
          <w:tcPr>
            <w:tcW w:w="1701" w:type="dxa"/>
            <w:tcBorders>
              <w:top w:val="nil"/>
              <w:left w:val="nil"/>
              <w:bottom w:val="nil"/>
              <w:right w:val="nil"/>
            </w:tcBorders>
            <w:vAlign w:val="bottom"/>
          </w:tcPr>
          <w:p w14:paraId="4BC86FC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0.015</w:t>
            </w:r>
          </w:p>
        </w:tc>
        <w:tc>
          <w:tcPr>
            <w:tcW w:w="1983" w:type="dxa"/>
            <w:tcBorders>
              <w:top w:val="nil"/>
              <w:left w:val="nil"/>
              <w:bottom w:val="nil"/>
              <w:right w:val="nil"/>
            </w:tcBorders>
            <w:vAlign w:val="bottom"/>
          </w:tcPr>
          <w:p w14:paraId="4BC86FC2"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0.015</w:t>
            </w:r>
          </w:p>
        </w:tc>
      </w:tr>
      <w:tr w:rsidR="005140C3" w:rsidRPr="00A82BE5" w14:paraId="4BC86FC8" w14:textId="77777777" w:rsidTr="009F3C26">
        <w:trPr>
          <w:trHeight w:val="248"/>
          <w:jc w:val="center"/>
        </w:trPr>
        <w:tc>
          <w:tcPr>
            <w:tcW w:w="4113" w:type="dxa"/>
            <w:tcBorders>
              <w:top w:val="nil"/>
              <w:left w:val="nil"/>
              <w:bottom w:val="nil"/>
              <w:right w:val="nil"/>
            </w:tcBorders>
            <w:vAlign w:val="center"/>
          </w:tcPr>
          <w:p w14:paraId="4BC86FC4"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Vanuatu</w:t>
            </w:r>
          </w:p>
        </w:tc>
        <w:tc>
          <w:tcPr>
            <w:tcW w:w="1842" w:type="dxa"/>
            <w:tcBorders>
              <w:top w:val="nil"/>
              <w:left w:val="nil"/>
              <w:bottom w:val="nil"/>
              <w:right w:val="nil"/>
            </w:tcBorders>
            <w:vAlign w:val="bottom"/>
          </w:tcPr>
          <w:p w14:paraId="4BC86FC5"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0.001</w:t>
            </w:r>
          </w:p>
        </w:tc>
        <w:tc>
          <w:tcPr>
            <w:tcW w:w="1701" w:type="dxa"/>
            <w:tcBorders>
              <w:top w:val="nil"/>
              <w:left w:val="nil"/>
              <w:bottom w:val="nil"/>
              <w:right w:val="nil"/>
            </w:tcBorders>
            <w:vAlign w:val="bottom"/>
          </w:tcPr>
          <w:p w14:paraId="4BC86FC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c>
          <w:tcPr>
            <w:tcW w:w="1983" w:type="dxa"/>
            <w:tcBorders>
              <w:top w:val="nil"/>
              <w:left w:val="nil"/>
              <w:bottom w:val="nil"/>
              <w:right w:val="nil"/>
            </w:tcBorders>
            <w:vAlign w:val="bottom"/>
          </w:tcPr>
          <w:p w14:paraId="4BC86FC7"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0.001</w:t>
            </w:r>
          </w:p>
        </w:tc>
      </w:tr>
      <w:tr w:rsidR="005140C3" w:rsidRPr="00A82BE5" w14:paraId="4BC86FCD" w14:textId="77777777" w:rsidTr="009F3C26">
        <w:trPr>
          <w:trHeight w:val="248"/>
          <w:jc w:val="center"/>
        </w:trPr>
        <w:tc>
          <w:tcPr>
            <w:tcW w:w="4113" w:type="dxa"/>
            <w:tcBorders>
              <w:top w:val="nil"/>
              <w:left w:val="nil"/>
              <w:bottom w:val="nil"/>
              <w:right w:val="nil"/>
            </w:tcBorders>
            <w:vAlign w:val="center"/>
          </w:tcPr>
          <w:p w14:paraId="4BC86FC9"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Venezuela (Bolivarian Republic of)</w:t>
            </w:r>
          </w:p>
        </w:tc>
        <w:tc>
          <w:tcPr>
            <w:tcW w:w="1842" w:type="dxa"/>
            <w:tcBorders>
              <w:top w:val="nil"/>
              <w:left w:val="nil"/>
              <w:bottom w:val="nil"/>
              <w:right w:val="nil"/>
            </w:tcBorders>
            <w:vAlign w:val="bottom"/>
          </w:tcPr>
          <w:p w14:paraId="4BC86FCA"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0.627</w:t>
            </w:r>
          </w:p>
        </w:tc>
        <w:tc>
          <w:tcPr>
            <w:tcW w:w="1701" w:type="dxa"/>
            <w:tcBorders>
              <w:top w:val="nil"/>
              <w:left w:val="nil"/>
              <w:bottom w:val="nil"/>
              <w:right w:val="nil"/>
            </w:tcBorders>
            <w:vAlign w:val="bottom"/>
          </w:tcPr>
          <w:p w14:paraId="4BC86FC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0.611</w:t>
            </w:r>
          </w:p>
        </w:tc>
        <w:tc>
          <w:tcPr>
            <w:tcW w:w="1983" w:type="dxa"/>
            <w:tcBorders>
              <w:top w:val="nil"/>
              <w:left w:val="nil"/>
              <w:bottom w:val="nil"/>
              <w:right w:val="nil"/>
            </w:tcBorders>
            <w:vAlign w:val="bottom"/>
          </w:tcPr>
          <w:p w14:paraId="4BC86FCC"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0.611</w:t>
            </w:r>
          </w:p>
        </w:tc>
      </w:tr>
      <w:tr w:rsidR="005140C3" w:rsidRPr="00A82BE5" w14:paraId="4BC86FD2" w14:textId="77777777" w:rsidTr="009F3C26">
        <w:trPr>
          <w:trHeight w:val="248"/>
          <w:jc w:val="center"/>
        </w:trPr>
        <w:tc>
          <w:tcPr>
            <w:tcW w:w="4113" w:type="dxa"/>
            <w:tcBorders>
              <w:top w:val="nil"/>
              <w:left w:val="nil"/>
              <w:bottom w:val="nil"/>
              <w:right w:val="nil"/>
            </w:tcBorders>
            <w:vAlign w:val="center"/>
          </w:tcPr>
          <w:p w14:paraId="4BC86FCE"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Viet Nam</w:t>
            </w:r>
          </w:p>
        </w:tc>
        <w:tc>
          <w:tcPr>
            <w:tcW w:w="1842" w:type="dxa"/>
            <w:tcBorders>
              <w:top w:val="nil"/>
              <w:left w:val="nil"/>
              <w:bottom w:val="nil"/>
              <w:right w:val="nil"/>
            </w:tcBorders>
            <w:vAlign w:val="bottom"/>
          </w:tcPr>
          <w:p w14:paraId="4BC86FCF"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0.042</w:t>
            </w:r>
          </w:p>
        </w:tc>
        <w:tc>
          <w:tcPr>
            <w:tcW w:w="1701" w:type="dxa"/>
            <w:tcBorders>
              <w:top w:val="nil"/>
              <w:left w:val="nil"/>
              <w:bottom w:val="nil"/>
              <w:right w:val="nil"/>
            </w:tcBorders>
            <w:vAlign w:val="bottom"/>
          </w:tcPr>
          <w:p w14:paraId="4BC86FD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0.041</w:t>
            </w:r>
          </w:p>
        </w:tc>
        <w:tc>
          <w:tcPr>
            <w:tcW w:w="1983" w:type="dxa"/>
            <w:tcBorders>
              <w:top w:val="nil"/>
              <w:left w:val="nil"/>
              <w:bottom w:val="nil"/>
              <w:right w:val="nil"/>
            </w:tcBorders>
            <w:vAlign w:val="bottom"/>
          </w:tcPr>
          <w:p w14:paraId="4BC86FD1"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0.041</w:t>
            </w:r>
          </w:p>
        </w:tc>
      </w:tr>
      <w:tr w:rsidR="005140C3" w:rsidRPr="00A82BE5" w14:paraId="4BC86FD7" w14:textId="77777777" w:rsidTr="009F3C26">
        <w:trPr>
          <w:trHeight w:val="248"/>
          <w:jc w:val="center"/>
        </w:trPr>
        <w:tc>
          <w:tcPr>
            <w:tcW w:w="4113" w:type="dxa"/>
            <w:tcBorders>
              <w:top w:val="nil"/>
              <w:left w:val="nil"/>
              <w:bottom w:val="nil"/>
              <w:right w:val="nil"/>
            </w:tcBorders>
            <w:vAlign w:val="center"/>
          </w:tcPr>
          <w:p w14:paraId="4BC86FD3"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Yemen</w:t>
            </w:r>
          </w:p>
        </w:tc>
        <w:tc>
          <w:tcPr>
            <w:tcW w:w="1842" w:type="dxa"/>
            <w:tcBorders>
              <w:top w:val="nil"/>
              <w:left w:val="nil"/>
              <w:bottom w:val="nil"/>
              <w:right w:val="nil"/>
            </w:tcBorders>
            <w:vAlign w:val="bottom"/>
          </w:tcPr>
          <w:p w14:paraId="4BC86FD4"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0.010</w:t>
            </w:r>
          </w:p>
        </w:tc>
        <w:tc>
          <w:tcPr>
            <w:tcW w:w="1701" w:type="dxa"/>
            <w:tcBorders>
              <w:top w:val="nil"/>
              <w:left w:val="nil"/>
              <w:bottom w:val="nil"/>
              <w:right w:val="nil"/>
            </w:tcBorders>
            <w:vAlign w:val="bottom"/>
          </w:tcPr>
          <w:p w14:paraId="4BC86FD5"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c>
          <w:tcPr>
            <w:tcW w:w="1983" w:type="dxa"/>
            <w:tcBorders>
              <w:top w:val="nil"/>
              <w:left w:val="nil"/>
              <w:bottom w:val="nil"/>
              <w:right w:val="nil"/>
            </w:tcBorders>
            <w:vAlign w:val="bottom"/>
          </w:tcPr>
          <w:p w14:paraId="4BC86FD6"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0.010</w:t>
            </w:r>
          </w:p>
        </w:tc>
      </w:tr>
      <w:tr w:rsidR="005140C3" w:rsidRPr="00A82BE5" w14:paraId="4BC86FDC" w14:textId="77777777" w:rsidTr="009F3C26">
        <w:trPr>
          <w:trHeight w:val="248"/>
          <w:jc w:val="center"/>
        </w:trPr>
        <w:tc>
          <w:tcPr>
            <w:tcW w:w="4113" w:type="dxa"/>
            <w:tcBorders>
              <w:top w:val="nil"/>
              <w:left w:val="nil"/>
              <w:bottom w:val="nil"/>
              <w:right w:val="nil"/>
            </w:tcBorders>
            <w:vAlign w:val="center"/>
          </w:tcPr>
          <w:p w14:paraId="4BC86FD8"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Zambia</w:t>
            </w:r>
          </w:p>
        </w:tc>
        <w:tc>
          <w:tcPr>
            <w:tcW w:w="1842" w:type="dxa"/>
            <w:tcBorders>
              <w:top w:val="nil"/>
              <w:left w:val="nil"/>
              <w:bottom w:val="nil"/>
              <w:right w:val="nil"/>
            </w:tcBorders>
            <w:vAlign w:val="bottom"/>
          </w:tcPr>
          <w:p w14:paraId="4BC86FD9"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0.006</w:t>
            </w:r>
          </w:p>
        </w:tc>
        <w:tc>
          <w:tcPr>
            <w:tcW w:w="1701" w:type="dxa"/>
            <w:tcBorders>
              <w:top w:val="nil"/>
              <w:left w:val="nil"/>
              <w:bottom w:val="nil"/>
              <w:right w:val="nil"/>
            </w:tcBorders>
            <w:vAlign w:val="bottom"/>
          </w:tcPr>
          <w:p w14:paraId="4BC86FDA"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0.006</w:t>
            </w:r>
          </w:p>
        </w:tc>
        <w:tc>
          <w:tcPr>
            <w:tcW w:w="1983" w:type="dxa"/>
            <w:tcBorders>
              <w:top w:val="nil"/>
              <w:left w:val="nil"/>
              <w:bottom w:val="nil"/>
              <w:right w:val="nil"/>
            </w:tcBorders>
            <w:vAlign w:val="bottom"/>
          </w:tcPr>
          <w:p w14:paraId="4BC86FDB"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0.006</w:t>
            </w:r>
          </w:p>
        </w:tc>
      </w:tr>
      <w:tr w:rsidR="005140C3" w:rsidRPr="00A82BE5" w14:paraId="4BC86FE1" w14:textId="77777777" w:rsidTr="009F3C26">
        <w:trPr>
          <w:trHeight w:val="263"/>
          <w:jc w:val="center"/>
        </w:trPr>
        <w:tc>
          <w:tcPr>
            <w:tcW w:w="4113" w:type="dxa"/>
            <w:tcBorders>
              <w:top w:val="nil"/>
              <w:left w:val="nil"/>
              <w:bottom w:val="single" w:sz="4" w:space="0" w:color="auto"/>
              <w:right w:val="nil"/>
            </w:tcBorders>
            <w:vAlign w:val="center"/>
          </w:tcPr>
          <w:p w14:paraId="4BC86FDD" w14:textId="77777777" w:rsidR="005140C3" w:rsidRPr="00A82BE5" w:rsidRDefault="005140C3" w:rsidP="009F3C26">
            <w:pPr>
              <w:suppressAutoHyphens w:val="0"/>
              <w:spacing w:line="240" w:lineRule="auto"/>
              <w:ind w:left="360" w:hanging="360"/>
              <w:rPr>
                <w:rFonts w:eastAsia="Arial Unicode MS"/>
                <w:color w:val="000000"/>
                <w:sz w:val="18"/>
                <w:szCs w:val="18"/>
                <w:lang w:eastAsia="de-DE"/>
              </w:rPr>
            </w:pPr>
            <w:r w:rsidRPr="00A82BE5">
              <w:rPr>
                <w:rFonts w:eastAsia="MS Mincho"/>
                <w:color w:val="000000"/>
                <w:sz w:val="18"/>
                <w:szCs w:val="18"/>
                <w:lang w:eastAsia="de-DE"/>
              </w:rPr>
              <w:t>Zimbabwe</w:t>
            </w:r>
          </w:p>
        </w:tc>
        <w:tc>
          <w:tcPr>
            <w:tcW w:w="1842" w:type="dxa"/>
            <w:tcBorders>
              <w:top w:val="nil"/>
              <w:left w:val="nil"/>
              <w:bottom w:val="single" w:sz="4" w:space="0" w:color="auto"/>
              <w:right w:val="nil"/>
            </w:tcBorders>
            <w:vAlign w:val="bottom"/>
          </w:tcPr>
          <w:p w14:paraId="4BC86FDE" w14:textId="77777777" w:rsidR="005140C3" w:rsidRPr="00A82BE5" w:rsidRDefault="005140C3" w:rsidP="0078185A">
            <w:pPr>
              <w:suppressAutoHyphens w:val="0"/>
              <w:spacing w:line="240" w:lineRule="auto"/>
              <w:ind w:right="31"/>
              <w:jc w:val="right"/>
              <w:rPr>
                <w:rFonts w:eastAsia="MS Mincho"/>
                <w:sz w:val="18"/>
                <w:szCs w:val="18"/>
                <w:lang w:eastAsia="de-DE"/>
              </w:rPr>
            </w:pPr>
            <w:r w:rsidRPr="00A82BE5">
              <w:rPr>
                <w:rFonts w:eastAsia="MS Mincho"/>
                <w:sz w:val="18"/>
                <w:szCs w:val="18"/>
                <w:lang w:eastAsia="de-DE"/>
              </w:rPr>
              <w:t>0.002</w:t>
            </w:r>
          </w:p>
        </w:tc>
        <w:tc>
          <w:tcPr>
            <w:tcW w:w="1701" w:type="dxa"/>
            <w:tcBorders>
              <w:top w:val="nil"/>
              <w:left w:val="nil"/>
              <w:bottom w:val="single" w:sz="4" w:space="0" w:color="auto"/>
              <w:right w:val="nil"/>
            </w:tcBorders>
            <w:vAlign w:val="bottom"/>
          </w:tcPr>
          <w:p w14:paraId="4BC86FDF"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c>
          <w:tcPr>
            <w:tcW w:w="1983" w:type="dxa"/>
            <w:tcBorders>
              <w:top w:val="nil"/>
              <w:left w:val="nil"/>
              <w:bottom w:val="single" w:sz="4" w:space="0" w:color="auto"/>
              <w:right w:val="nil"/>
            </w:tcBorders>
            <w:vAlign w:val="bottom"/>
          </w:tcPr>
          <w:p w14:paraId="4BC86FE0" w14:textId="77777777" w:rsidR="005140C3" w:rsidRPr="00A82BE5" w:rsidRDefault="005140C3" w:rsidP="009F3C26">
            <w:pPr>
              <w:suppressAutoHyphens w:val="0"/>
              <w:spacing w:line="240" w:lineRule="auto"/>
              <w:jc w:val="right"/>
              <w:rPr>
                <w:rFonts w:eastAsia="MS Mincho"/>
                <w:sz w:val="18"/>
                <w:szCs w:val="18"/>
                <w:lang w:eastAsia="de-DE"/>
              </w:rPr>
            </w:pPr>
            <w:r w:rsidRPr="00A82BE5">
              <w:rPr>
                <w:rFonts w:eastAsia="MS Mincho"/>
                <w:sz w:val="18"/>
                <w:szCs w:val="18"/>
                <w:lang w:eastAsia="de-DE"/>
              </w:rPr>
              <w:t>0.002</w:t>
            </w:r>
          </w:p>
        </w:tc>
      </w:tr>
      <w:tr w:rsidR="005140C3" w:rsidRPr="00A82BE5" w14:paraId="4BC86FE6" w14:textId="77777777" w:rsidTr="009F3C26">
        <w:trPr>
          <w:trHeight w:val="263"/>
          <w:jc w:val="center"/>
        </w:trPr>
        <w:tc>
          <w:tcPr>
            <w:tcW w:w="4113" w:type="dxa"/>
            <w:tcBorders>
              <w:top w:val="single" w:sz="4" w:space="0" w:color="auto"/>
              <w:left w:val="nil"/>
              <w:bottom w:val="single" w:sz="12" w:space="0" w:color="auto"/>
              <w:right w:val="nil"/>
            </w:tcBorders>
            <w:vAlign w:val="center"/>
          </w:tcPr>
          <w:p w14:paraId="4BC86FE2" w14:textId="77777777" w:rsidR="005140C3" w:rsidRPr="00A82BE5" w:rsidRDefault="005140C3" w:rsidP="009F3C26">
            <w:pPr>
              <w:suppressAutoHyphens w:val="0"/>
              <w:autoSpaceDE w:val="0"/>
              <w:autoSpaceDN w:val="0"/>
              <w:adjustRightInd w:val="0"/>
              <w:spacing w:line="240" w:lineRule="auto"/>
              <w:ind w:left="187"/>
              <w:rPr>
                <w:rFonts w:eastAsia="MS Mincho"/>
                <w:b/>
                <w:bCs/>
                <w:color w:val="000000"/>
                <w:sz w:val="18"/>
                <w:szCs w:val="18"/>
                <w:lang w:eastAsia="de-DE"/>
              </w:rPr>
            </w:pPr>
            <w:r w:rsidRPr="00A82BE5">
              <w:rPr>
                <w:rFonts w:eastAsia="MS Mincho"/>
                <w:b/>
                <w:bCs/>
                <w:color w:val="000000"/>
                <w:sz w:val="18"/>
                <w:szCs w:val="18"/>
                <w:lang w:eastAsia="de-DE"/>
              </w:rPr>
              <w:t>Total</w:t>
            </w:r>
          </w:p>
        </w:tc>
        <w:tc>
          <w:tcPr>
            <w:tcW w:w="1842" w:type="dxa"/>
            <w:tcBorders>
              <w:top w:val="single" w:sz="4" w:space="0" w:color="auto"/>
              <w:left w:val="nil"/>
              <w:bottom w:val="single" w:sz="12" w:space="0" w:color="auto"/>
              <w:right w:val="nil"/>
            </w:tcBorders>
            <w:vAlign w:val="bottom"/>
          </w:tcPr>
          <w:p w14:paraId="4BC86FE3" w14:textId="77777777" w:rsidR="005140C3" w:rsidRPr="00A82BE5" w:rsidRDefault="005140C3" w:rsidP="0078185A">
            <w:pPr>
              <w:suppressAutoHyphens w:val="0"/>
              <w:spacing w:line="240" w:lineRule="auto"/>
              <w:ind w:right="31"/>
              <w:jc w:val="right"/>
              <w:rPr>
                <w:rFonts w:eastAsia="Arial Unicode MS"/>
                <w:b/>
                <w:bCs/>
                <w:sz w:val="18"/>
                <w:szCs w:val="18"/>
                <w:lang w:eastAsia="de-DE"/>
              </w:rPr>
            </w:pPr>
            <w:r w:rsidRPr="00A82BE5">
              <w:rPr>
                <w:rFonts w:eastAsia="Arial Unicode MS"/>
                <w:b/>
                <w:bCs/>
                <w:sz w:val="18"/>
                <w:szCs w:val="18"/>
                <w:lang w:eastAsia="de-DE"/>
              </w:rPr>
              <w:t>102.502</w:t>
            </w:r>
          </w:p>
        </w:tc>
        <w:tc>
          <w:tcPr>
            <w:tcW w:w="1701" w:type="dxa"/>
            <w:tcBorders>
              <w:top w:val="single" w:sz="4" w:space="0" w:color="auto"/>
              <w:left w:val="nil"/>
              <w:bottom w:val="single" w:sz="12" w:space="0" w:color="auto"/>
              <w:right w:val="nil"/>
            </w:tcBorders>
            <w:vAlign w:val="bottom"/>
          </w:tcPr>
          <w:p w14:paraId="4BC86FE4" w14:textId="77777777" w:rsidR="005140C3" w:rsidRPr="00A82BE5" w:rsidRDefault="005140C3" w:rsidP="009F3C26">
            <w:pPr>
              <w:suppressAutoHyphens w:val="0"/>
              <w:spacing w:line="240" w:lineRule="auto"/>
              <w:jc w:val="right"/>
              <w:rPr>
                <w:rFonts w:eastAsia="Arial Unicode MS"/>
                <w:b/>
                <w:bCs/>
                <w:sz w:val="18"/>
                <w:szCs w:val="18"/>
                <w:lang w:eastAsia="de-DE"/>
              </w:rPr>
            </w:pPr>
            <w:r w:rsidRPr="00A82BE5">
              <w:rPr>
                <w:rFonts w:eastAsia="Arial Unicode MS"/>
                <w:b/>
                <w:bCs/>
                <w:sz w:val="18"/>
                <w:szCs w:val="18"/>
                <w:lang w:eastAsia="de-DE"/>
              </w:rPr>
              <w:t>100.000</w:t>
            </w:r>
          </w:p>
        </w:tc>
        <w:tc>
          <w:tcPr>
            <w:tcW w:w="1983" w:type="dxa"/>
            <w:tcBorders>
              <w:top w:val="single" w:sz="4" w:space="0" w:color="auto"/>
              <w:left w:val="nil"/>
              <w:bottom w:val="single" w:sz="12" w:space="0" w:color="auto"/>
              <w:right w:val="nil"/>
            </w:tcBorders>
            <w:vAlign w:val="bottom"/>
          </w:tcPr>
          <w:p w14:paraId="4BC86FE5" w14:textId="77777777" w:rsidR="005140C3" w:rsidRPr="00A82BE5" w:rsidRDefault="005140C3" w:rsidP="009F3C26">
            <w:pPr>
              <w:suppressAutoHyphens w:val="0"/>
              <w:spacing w:line="240" w:lineRule="auto"/>
              <w:jc w:val="right"/>
              <w:rPr>
                <w:rFonts w:eastAsia="Arial Unicode MS"/>
                <w:b/>
                <w:bCs/>
                <w:sz w:val="18"/>
                <w:szCs w:val="18"/>
                <w:lang w:eastAsia="de-DE"/>
              </w:rPr>
            </w:pPr>
            <w:r w:rsidRPr="00A82BE5">
              <w:rPr>
                <w:rFonts w:eastAsia="Arial Unicode MS"/>
                <w:b/>
                <w:bCs/>
                <w:sz w:val="18"/>
                <w:szCs w:val="18"/>
                <w:lang w:eastAsia="de-DE"/>
              </w:rPr>
              <w:t>100.000</w:t>
            </w:r>
          </w:p>
        </w:tc>
      </w:tr>
    </w:tbl>
    <w:p w14:paraId="4BC86FE8" w14:textId="77777777" w:rsidR="005140C3" w:rsidRDefault="005140C3" w:rsidP="008E62D1">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p>
    <w:p w14:paraId="4BC86FE9" w14:textId="77777777" w:rsidR="008E62D1" w:rsidRDefault="007C0FEC" w:rsidP="008E62D1">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8E62D1">
        <w:rPr>
          <w:i/>
          <w:vertAlign w:val="superscript"/>
          <w:lang w:val="en-US" w:eastAsia="en-US"/>
        </w:rPr>
        <w:t>th</w:t>
      </w:r>
      <w:r w:rsidR="008E62D1">
        <w:rPr>
          <w:i/>
          <w:lang w:val="en-US" w:eastAsia="en-US"/>
        </w:rPr>
        <w:t xml:space="preserve"> plenary meeting</w:t>
      </w:r>
    </w:p>
    <w:p w14:paraId="4BC86FEA" w14:textId="77777777" w:rsidR="008E62D1" w:rsidRDefault="007C0FEC" w:rsidP="008E62D1">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8E62D1">
        <w:rPr>
          <w:i/>
          <w:lang w:val="en-US" w:eastAsia="en-US"/>
        </w:rPr>
        <w:t xml:space="preserve"> December 2015</w:t>
      </w:r>
    </w:p>
    <w:p w14:paraId="4BC86FEB" w14:textId="77777777" w:rsidR="008E62D1" w:rsidRDefault="008E62D1" w:rsidP="008E62D1">
      <w:pPr>
        <w:sectPr w:rsidR="008E62D1" w:rsidSect="00877754">
          <w:footnotePr>
            <w:numRestart w:val="eachSect"/>
          </w:footnotePr>
          <w:pgSz w:w="11906" w:h="16838" w:code="9"/>
          <w:pgMar w:top="1701" w:right="1134" w:bottom="2268" w:left="1134" w:header="1134" w:footer="1701" w:gutter="0"/>
          <w:cols w:space="708"/>
          <w:docGrid w:linePitch="360"/>
        </w:sectPr>
      </w:pPr>
    </w:p>
    <w:p w14:paraId="4BC86FEC" w14:textId="77777777" w:rsidR="008E62D1" w:rsidRDefault="008E62D1" w:rsidP="008E62D1">
      <w:pPr>
        <w:pStyle w:val="HChG"/>
        <w:ind w:firstLine="0"/>
        <w:rPr>
          <w:bCs/>
        </w:rPr>
      </w:pPr>
      <w:r>
        <w:rPr>
          <w:bCs/>
        </w:rPr>
        <w:lastRenderedPageBreak/>
        <w:t>Decision 2</w:t>
      </w:r>
      <w:r w:rsidR="002E0E55">
        <w:rPr>
          <w:bCs/>
        </w:rPr>
        <w:t>3</w:t>
      </w:r>
      <w:r>
        <w:rPr>
          <w:bCs/>
        </w:rPr>
        <w:t>/CP.21</w:t>
      </w:r>
    </w:p>
    <w:p w14:paraId="4BC86FED" w14:textId="119EF261" w:rsidR="008E62D1" w:rsidRDefault="008E62D1" w:rsidP="008E62D1">
      <w:pPr>
        <w:pStyle w:val="HChG"/>
      </w:pPr>
      <w:r>
        <w:tab/>
      </w:r>
      <w:r>
        <w:tab/>
        <w:t xml:space="preserve">Dates and venues </w:t>
      </w:r>
      <w:r w:rsidR="00801070">
        <w:t>of</w:t>
      </w:r>
      <w:r>
        <w:t xml:space="preserve"> future sessions</w:t>
      </w:r>
    </w:p>
    <w:p w14:paraId="4BC86FEE" w14:textId="77777777" w:rsidR="00E271AE" w:rsidRPr="00B57296" w:rsidRDefault="00E271AE" w:rsidP="00130746">
      <w:pPr>
        <w:pStyle w:val="RegSingleTxtG"/>
        <w:numPr>
          <w:ilvl w:val="0"/>
          <w:numId w:val="0"/>
        </w:numPr>
        <w:ind w:left="1135"/>
        <w:rPr>
          <w:b/>
          <w:lang w:val="en-US"/>
        </w:rPr>
      </w:pPr>
      <w:r>
        <w:rPr>
          <w:lang w:val="en-US"/>
        </w:rPr>
        <w:tab/>
      </w:r>
      <w:r w:rsidRPr="00130746">
        <w:rPr>
          <w:i/>
          <w:lang w:val="en-US"/>
        </w:rPr>
        <w:t>The Conference of the Parties</w:t>
      </w:r>
      <w:r w:rsidRPr="00B57296">
        <w:rPr>
          <w:lang w:val="en-US"/>
        </w:rPr>
        <w:t xml:space="preserve">, </w:t>
      </w:r>
    </w:p>
    <w:p w14:paraId="4BC86FEF" w14:textId="77777777" w:rsidR="00E271AE" w:rsidRPr="007D4CE1" w:rsidRDefault="00E271AE" w:rsidP="00E271AE">
      <w:pPr>
        <w:pStyle w:val="SingleTxtG"/>
        <w:rPr>
          <w:lang w:val="en-US"/>
        </w:rPr>
      </w:pPr>
      <w:r>
        <w:rPr>
          <w:lang w:val="en-US"/>
        </w:rPr>
        <w:tab/>
      </w:r>
      <w:r w:rsidRPr="008926FB">
        <w:rPr>
          <w:i/>
          <w:lang w:val="en-US"/>
        </w:rPr>
        <w:t>Recalling</w:t>
      </w:r>
      <w:r w:rsidRPr="007D4CE1">
        <w:rPr>
          <w:lang w:val="en-US"/>
        </w:rPr>
        <w:t xml:space="preserve"> </w:t>
      </w:r>
      <w:r w:rsidRPr="002A56C9">
        <w:t>Article 7, paragraph 4, of the Convention</w:t>
      </w:r>
      <w:r>
        <w:t>,</w:t>
      </w:r>
    </w:p>
    <w:p w14:paraId="4BC86FF0" w14:textId="77777777" w:rsidR="00E271AE" w:rsidRDefault="00E271AE" w:rsidP="00E271AE">
      <w:pPr>
        <w:spacing w:before="120"/>
        <w:ind w:left="1134" w:right="1174" w:firstLine="567"/>
      </w:pPr>
      <w:r w:rsidRPr="002A56C9">
        <w:rPr>
          <w:i/>
        </w:rPr>
        <w:t xml:space="preserve">Also recalling </w:t>
      </w:r>
      <w:r w:rsidRPr="001E0E20">
        <w:t>United Nations General Assembly resolution 40/243 of 18 December 1985 on the pattern of conferences,</w:t>
      </w:r>
    </w:p>
    <w:p w14:paraId="4BC86FF1" w14:textId="77777777" w:rsidR="00E271AE" w:rsidRDefault="00E271AE" w:rsidP="00E271AE">
      <w:pPr>
        <w:spacing w:before="120"/>
        <w:ind w:left="1134" w:right="1174" w:firstLine="567"/>
      </w:pPr>
      <w:r w:rsidRPr="002A56C9">
        <w:rPr>
          <w:i/>
        </w:rPr>
        <w:t xml:space="preserve">Further recalling </w:t>
      </w:r>
      <w:r w:rsidRPr="001E0E20">
        <w:t>rule 22, paragraph 1, of the draft rules of procedure being applied regarding the rotation of the office of President among the five regional groups,</w:t>
      </w:r>
      <w:r>
        <w:t xml:space="preserve"> </w:t>
      </w:r>
    </w:p>
    <w:p w14:paraId="4BC86FF2" w14:textId="1618A303" w:rsidR="00E271AE" w:rsidRDefault="00C421F9" w:rsidP="00C421F9">
      <w:pPr>
        <w:pStyle w:val="RegHChG"/>
        <w:numPr>
          <w:ilvl w:val="0"/>
          <w:numId w:val="0"/>
        </w:numPr>
        <w:tabs>
          <w:tab w:val="left" w:pos="1135"/>
        </w:tabs>
        <w:ind w:left="1135" w:hanging="454"/>
      </w:pPr>
      <w:r>
        <w:t>I.</w:t>
      </w:r>
      <w:r>
        <w:tab/>
      </w:r>
      <w:r w:rsidR="00E271AE">
        <w:t>Dates and venues of future sessions</w:t>
      </w:r>
    </w:p>
    <w:p w14:paraId="4BC86FF3" w14:textId="2A4E3A20" w:rsidR="00E271AE" w:rsidRDefault="00C421F9" w:rsidP="00C421F9">
      <w:pPr>
        <w:pStyle w:val="RegH1G"/>
        <w:numPr>
          <w:ilvl w:val="0"/>
          <w:numId w:val="0"/>
        </w:numPr>
        <w:tabs>
          <w:tab w:val="left" w:pos="1135"/>
        </w:tabs>
        <w:ind w:left="1135" w:hanging="454"/>
      </w:pPr>
      <w:r>
        <w:t>A.</w:t>
      </w:r>
      <w:r>
        <w:tab/>
      </w:r>
      <w:r w:rsidR="00E271AE">
        <w:t>T</w:t>
      </w:r>
      <w:r w:rsidR="00E271AE" w:rsidRPr="005173BA">
        <w:t>wenty-second session of the Conference of the Parties and twelfth session of the Conference of the Parties serving as the meeting of the Parties to the Kyoto Protocol</w:t>
      </w:r>
    </w:p>
    <w:p w14:paraId="4BC86FF4" w14:textId="4DFAD1C4" w:rsidR="00E271AE" w:rsidRDefault="00C421F9" w:rsidP="00C421F9">
      <w:pPr>
        <w:pStyle w:val="RegSingleTxtG"/>
        <w:numPr>
          <w:ilvl w:val="0"/>
          <w:numId w:val="0"/>
        </w:numPr>
        <w:tabs>
          <w:tab w:val="left" w:pos="568"/>
        </w:tabs>
        <w:ind w:left="1135"/>
      </w:pPr>
      <w:r>
        <w:t>1.</w:t>
      </w:r>
      <w:r>
        <w:tab/>
      </w:r>
      <w:r w:rsidR="00E271AE" w:rsidRPr="00130746">
        <w:rPr>
          <w:i/>
        </w:rPr>
        <w:t>Decides</w:t>
      </w:r>
      <w:r w:rsidR="00E271AE" w:rsidRPr="009F7CBD">
        <w:t xml:space="preserve"> to accept with appreciation the offer by the </w:t>
      </w:r>
      <w:r w:rsidR="00E271AE">
        <w:t xml:space="preserve">Kingdom </w:t>
      </w:r>
      <w:r w:rsidR="00E271AE" w:rsidRPr="009F7CBD">
        <w:t xml:space="preserve">of Morocco to host the twenty-second session of the Conference of the Parties and the twelfth session of the Conference of the Parties serving as the meeting of the Parties to the Kyoto Protocol in Marrakesh, Morocco, from </w:t>
      </w:r>
      <w:r w:rsidR="00E271AE">
        <w:t xml:space="preserve">Monday, </w:t>
      </w:r>
      <w:r w:rsidR="00E271AE" w:rsidRPr="009F7CBD">
        <w:t>7 November</w:t>
      </w:r>
      <w:r w:rsidR="00DB26E0">
        <w:t>,</w:t>
      </w:r>
      <w:r w:rsidR="00E271AE" w:rsidRPr="009F7CBD">
        <w:t xml:space="preserve"> to </w:t>
      </w:r>
      <w:r w:rsidR="00E271AE">
        <w:t xml:space="preserve">Friday, </w:t>
      </w:r>
      <w:r w:rsidR="00E271AE" w:rsidRPr="009F7CBD">
        <w:t>18 November 2016, in conformity with United Nations General Assembly resolution 40/243, and subject to the successful conclusion of a Host Country Agreement;</w:t>
      </w:r>
    </w:p>
    <w:p w14:paraId="4BC86FF5" w14:textId="6D82CCE1" w:rsidR="00E271AE" w:rsidRPr="00AD0080" w:rsidRDefault="00C421F9" w:rsidP="00C421F9">
      <w:pPr>
        <w:pStyle w:val="RegSingleTxtG"/>
        <w:numPr>
          <w:ilvl w:val="0"/>
          <w:numId w:val="0"/>
        </w:numPr>
        <w:tabs>
          <w:tab w:val="left" w:pos="568"/>
        </w:tabs>
        <w:ind w:left="1135"/>
      </w:pPr>
      <w:r w:rsidRPr="00AD0080">
        <w:t>2.</w:t>
      </w:r>
      <w:r w:rsidRPr="00AD0080">
        <w:tab/>
      </w:r>
      <w:r w:rsidR="00E271AE" w:rsidRPr="009F7CBD">
        <w:rPr>
          <w:i/>
        </w:rPr>
        <w:t>Re</w:t>
      </w:r>
      <w:r w:rsidR="00E271AE">
        <w:rPr>
          <w:i/>
        </w:rPr>
        <w:t>quests</w:t>
      </w:r>
      <w:r w:rsidR="00E271AE" w:rsidRPr="009F7CBD">
        <w:t xml:space="preserve"> the Executive Secretary to continue consultations with the </w:t>
      </w:r>
      <w:r w:rsidR="00E271AE">
        <w:t>Kingdom</w:t>
      </w:r>
      <w:r w:rsidR="00E271AE" w:rsidRPr="009F7CBD">
        <w:t xml:space="preserve"> of Morocco and to negotiate </w:t>
      </w:r>
      <w:r w:rsidR="00E271AE">
        <w:t xml:space="preserve">and finalize </w:t>
      </w:r>
      <w:r w:rsidR="00E271AE" w:rsidRPr="009F7CBD">
        <w:t>a Host Country Agreement for convening the sessions that complies with the provisions of the United Nations administrative instruction ST/AI/342, with a view to concluding and signing the Host Country Agreement not later than the forty-fourth sessions of the Subsidiary Body for Scientific and Technological Advice and the Subsidiary Body for Implementation;</w:t>
      </w:r>
    </w:p>
    <w:p w14:paraId="4BC86FF6" w14:textId="68786335" w:rsidR="00E271AE" w:rsidRPr="00B93A7F" w:rsidRDefault="00C421F9" w:rsidP="00C421F9">
      <w:pPr>
        <w:pStyle w:val="RegH1G"/>
        <w:numPr>
          <w:ilvl w:val="0"/>
          <w:numId w:val="0"/>
        </w:numPr>
        <w:tabs>
          <w:tab w:val="left" w:pos="1135"/>
        </w:tabs>
        <w:ind w:left="1135" w:hanging="454"/>
      </w:pPr>
      <w:r w:rsidRPr="00B93A7F">
        <w:t>B.</w:t>
      </w:r>
      <w:r w:rsidRPr="00B93A7F">
        <w:tab/>
      </w:r>
      <w:r w:rsidR="00E271AE" w:rsidRPr="00B93A7F">
        <w:t>Twenty-</w:t>
      </w:r>
      <w:r w:rsidR="00E271AE">
        <w:t>third</w:t>
      </w:r>
      <w:r w:rsidR="00E271AE" w:rsidRPr="00B93A7F">
        <w:t xml:space="preserve"> session of the Conference of the Parties and </w:t>
      </w:r>
      <w:r w:rsidR="00E271AE">
        <w:t>thirteen</w:t>
      </w:r>
      <w:r w:rsidR="00E271AE" w:rsidRPr="00B93A7F">
        <w:t>th session of the Conference of the Parties serving as the meeting of the Parties to the Kyoto Protocol</w:t>
      </w:r>
    </w:p>
    <w:p w14:paraId="4BC86FF7" w14:textId="6391B923" w:rsidR="00E271AE" w:rsidRPr="003C7011" w:rsidRDefault="00C421F9" w:rsidP="00C421F9">
      <w:pPr>
        <w:pStyle w:val="RegSingleTxtG"/>
        <w:numPr>
          <w:ilvl w:val="0"/>
          <w:numId w:val="0"/>
        </w:numPr>
        <w:tabs>
          <w:tab w:val="left" w:pos="568"/>
        </w:tabs>
        <w:ind w:left="1135"/>
      </w:pPr>
      <w:r w:rsidRPr="003C7011">
        <w:t>3.</w:t>
      </w:r>
      <w:r w:rsidRPr="003C7011">
        <w:tab/>
      </w:r>
      <w:r w:rsidR="00E271AE" w:rsidRPr="003C7011">
        <w:rPr>
          <w:i/>
        </w:rPr>
        <w:t>Notes</w:t>
      </w:r>
      <w:r w:rsidR="00E271AE" w:rsidRPr="003C7011">
        <w:t xml:space="preserve"> that, in keeping with the principle of rotation among regional groups, the President of the twenty-third session of the Conference of the Parties and the thirteenth session of the Conference of the Parties serving as the meeting of the Parties to the Kyoto Protocol would come from the Asia-Pacific States;</w:t>
      </w:r>
    </w:p>
    <w:p w14:paraId="4BC86FF8" w14:textId="2CEEE346" w:rsidR="00E271AE" w:rsidRPr="003C7011" w:rsidRDefault="00C421F9" w:rsidP="00C421F9">
      <w:pPr>
        <w:pStyle w:val="RegSingleTxtG"/>
        <w:numPr>
          <w:ilvl w:val="0"/>
          <w:numId w:val="0"/>
        </w:numPr>
        <w:tabs>
          <w:tab w:val="left" w:pos="568"/>
        </w:tabs>
        <w:ind w:left="1135"/>
      </w:pPr>
      <w:r w:rsidRPr="003C7011">
        <w:t>4.</w:t>
      </w:r>
      <w:r w:rsidRPr="003C7011">
        <w:tab/>
      </w:r>
      <w:r w:rsidR="00E271AE" w:rsidRPr="003C7011">
        <w:rPr>
          <w:i/>
        </w:rPr>
        <w:t>Invites</w:t>
      </w:r>
      <w:r w:rsidR="00E271AE" w:rsidRPr="003C7011">
        <w:t xml:space="preserve"> Parties to undertake further consultations on the hosting of those sessions, which will be held from Monday, 6 November</w:t>
      </w:r>
      <w:r w:rsidR="00DB26E0">
        <w:t>,</w:t>
      </w:r>
      <w:r w:rsidR="00E271AE" w:rsidRPr="003C7011">
        <w:t xml:space="preserve"> to Friday, 17 November 2017;</w:t>
      </w:r>
    </w:p>
    <w:p w14:paraId="4BC86FF9" w14:textId="43AF08BC" w:rsidR="00E271AE" w:rsidRPr="00F835C1" w:rsidRDefault="00C421F9" w:rsidP="00C421F9">
      <w:pPr>
        <w:pStyle w:val="RegSingleTxtG"/>
        <w:numPr>
          <w:ilvl w:val="0"/>
          <w:numId w:val="0"/>
        </w:numPr>
        <w:tabs>
          <w:tab w:val="left" w:pos="568"/>
        </w:tabs>
        <w:ind w:left="1135"/>
      </w:pPr>
      <w:r w:rsidRPr="00F835C1">
        <w:t>5.</w:t>
      </w:r>
      <w:r w:rsidRPr="00F835C1">
        <w:tab/>
      </w:r>
      <w:r w:rsidR="00E271AE" w:rsidRPr="000405AB">
        <w:rPr>
          <w:i/>
        </w:rPr>
        <w:t>Requests</w:t>
      </w:r>
      <w:r w:rsidR="00E271AE" w:rsidRPr="000405AB">
        <w:t xml:space="preserve"> the Subsidiary Body for Implementation, at its forty-fourth session, to consider the issue o</w:t>
      </w:r>
      <w:r w:rsidR="00E271AE" w:rsidRPr="000A1AF0">
        <w:t>f the host of the twenty-third session of the Conference of the Parties and the thirteenth session of the Conference of the Parties serving as the meeting of the Parties to the Kyoto Protocol and to recommend a draft decision on this matter for consideration and adoption by the Conference of the Parties at its twenty-second session;</w:t>
      </w:r>
    </w:p>
    <w:p w14:paraId="4BC86FFA" w14:textId="6A11B08D" w:rsidR="00E271AE" w:rsidRDefault="00C421F9" w:rsidP="00C421F9">
      <w:pPr>
        <w:pStyle w:val="RegH1G"/>
        <w:numPr>
          <w:ilvl w:val="0"/>
          <w:numId w:val="0"/>
        </w:numPr>
        <w:tabs>
          <w:tab w:val="left" w:pos="1135"/>
        </w:tabs>
        <w:ind w:left="1135" w:hanging="454"/>
      </w:pPr>
      <w:r>
        <w:lastRenderedPageBreak/>
        <w:t>C.</w:t>
      </w:r>
      <w:r>
        <w:tab/>
      </w:r>
      <w:r w:rsidR="00E271AE" w:rsidRPr="005C31B6">
        <w:t>Twenty-fourth</w:t>
      </w:r>
      <w:r w:rsidR="00E271AE">
        <w:t xml:space="preserve"> session of the Conference of the Parties and </w:t>
      </w:r>
      <w:r w:rsidR="00E271AE" w:rsidRPr="005C31B6">
        <w:t>fourteenth</w:t>
      </w:r>
      <w:r w:rsidR="00E271AE">
        <w:t xml:space="preserve"> session of the Conference of the Parties serving as the meeting of the Parties to the Kyoto Protocol</w:t>
      </w:r>
    </w:p>
    <w:p w14:paraId="4BC86FFB" w14:textId="62AEE19A" w:rsidR="00E271AE" w:rsidRPr="00B93A7F" w:rsidRDefault="00C421F9" w:rsidP="00C421F9">
      <w:pPr>
        <w:pStyle w:val="RegSingleTxtG"/>
        <w:numPr>
          <w:ilvl w:val="0"/>
          <w:numId w:val="0"/>
        </w:numPr>
        <w:tabs>
          <w:tab w:val="left" w:pos="568"/>
        </w:tabs>
        <w:ind w:left="1135"/>
      </w:pPr>
      <w:r w:rsidRPr="00B93A7F">
        <w:t>6.</w:t>
      </w:r>
      <w:r w:rsidRPr="00B93A7F">
        <w:tab/>
      </w:r>
      <w:r w:rsidR="00E271AE" w:rsidRPr="006E3266">
        <w:rPr>
          <w:i/>
          <w:iCs/>
          <w:lang w:val="en-US"/>
        </w:rPr>
        <w:t>Notes</w:t>
      </w:r>
      <w:r w:rsidR="00E271AE" w:rsidRPr="006E3266">
        <w:rPr>
          <w:lang w:val="en-US"/>
        </w:rPr>
        <w:t xml:space="preserve"> that</w:t>
      </w:r>
      <w:r w:rsidR="00E271AE">
        <w:rPr>
          <w:lang w:val="en-US"/>
        </w:rPr>
        <w:t>,</w:t>
      </w:r>
      <w:r w:rsidR="00E271AE" w:rsidRPr="006E3266">
        <w:rPr>
          <w:lang w:val="en-US"/>
        </w:rPr>
        <w:t xml:space="preserve"> in keeping with the principle of rotation among regional groups</w:t>
      </w:r>
      <w:r w:rsidR="00E271AE">
        <w:rPr>
          <w:lang w:val="en-US"/>
        </w:rPr>
        <w:t xml:space="preserve">, the President of </w:t>
      </w:r>
      <w:r w:rsidR="00E271AE">
        <w:t xml:space="preserve">the </w:t>
      </w:r>
      <w:r w:rsidR="00E271AE" w:rsidRPr="001D50EE">
        <w:t>twenty-fourth</w:t>
      </w:r>
      <w:r w:rsidR="00E271AE">
        <w:t xml:space="preserve"> session of the Conference of the Parties and the </w:t>
      </w:r>
      <w:r w:rsidR="00E271AE" w:rsidRPr="001D50EE">
        <w:t>fourteenth</w:t>
      </w:r>
      <w:r w:rsidR="00E271AE">
        <w:t xml:space="preserve"> session of the Conference of the Parties serving as the meeting of the Parties to the Kyoto Protocol</w:t>
      </w:r>
      <w:r w:rsidR="00E271AE">
        <w:rPr>
          <w:lang w:val="en-US"/>
        </w:rPr>
        <w:t xml:space="preserve"> </w:t>
      </w:r>
      <w:r w:rsidR="00E271AE" w:rsidRPr="006E3266">
        <w:rPr>
          <w:lang w:val="en-US"/>
        </w:rPr>
        <w:t xml:space="preserve">would come from the </w:t>
      </w:r>
      <w:r w:rsidR="00E271AE" w:rsidRPr="00C83F16">
        <w:rPr>
          <w:lang w:val="en-US"/>
        </w:rPr>
        <w:t>Eastern European</w:t>
      </w:r>
      <w:r w:rsidR="00E271AE">
        <w:rPr>
          <w:lang w:val="en-US"/>
        </w:rPr>
        <w:t xml:space="preserve"> States;</w:t>
      </w:r>
    </w:p>
    <w:p w14:paraId="4BC86FFC" w14:textId="06A0D242" w:rsidR="00E271AE" w:rsidRDefault="00C421F9" w:rsidP="00C421F9">
      <w:pPr>
        <w:pStyle w:val="RegSingleTxtG"/>
        <w:numPr>
          <w:ilvl w:val="0"/>
          <w:numId w:val="0"/>
        </w:numPr>
        <w:tabs>
          <w:tab w:val="left" w:pos="568"/>
        </w:tabs>
        <w:ind w:left="1135"/>
      </w:pPr>
      <w:r>
        <w:t>7.</w:t>
      </w:r>
      <w:r>
        <w:tab/>
      </w:r>
      <w:r w:rsidR="00E271AE" w:rsidRPr="00F822DB">
        <w:rPr>
          <w:i/>
          <w:lang w:val="en-US"/>
        </w:rPr>
        <w:t xml:space="preserve">Invites </w:t>
      </w:r>
      <w:r w:rsidR="00E271AE" w:rsidRPr="00F822DB">
        <w:rPr>
          <w:lang w:val="en-US"/>
        </w:rPr>
        <w:t xml:space="preserve">Parties to </w:t>
      </w:r>
      <w:r w:rsidR="00E271AE">
        <w:rPr>
          <w:lang w:val="en-US"/>
        </w:rPr>
        <w:t xml:space="preserve">undertake further </w:t>
      </w:r>
      <w:r w:rsidR="00E271AE" w:rsidRPr="00F822DB">
        <w:rPr>
          <w:lang w:val="en-US"/>
        </w:rPr>
        <w:t>consult</w:t>
      </w:r>
      <w:r w:rsidR="00E271AE">
        <w:rPr>
          <w:lang w:val="en-US"/>
        </w:rPr>
        <w:t>ations</w:t>
      </w:r>
      <w:r w:rsidR="00E271AE" w:rsidRPr="00F822DB">
        <w:rPr>
          <w:lang w:val="en-US"/>
        </w:rPr>
        <w:t xml:space="preserve"> on the hosting of </w:t>
      </w:r>
      <w:r w:rsidR="00E271AE">
        <w:rPr>
          <w:lang w:val="en-US"/>
        </w:rPr>
        <w:t>those sessions, which will be held</w:t>
      </w:r>
      <w:r w:rsidR="00E271AE" w:rsidRPr="00F822DB">
        <w:rPr>
          <w:lang w:val="en-US"/>
        </w:rPr>
        <w:t xml:space="preserve"> </w:t>
      </w:r>
      <w:r w:rsidR="00E271AE" w:rsidRPr="00F822DB">
        <w:t xml:space="preserve">from </w:t>
      </w:r>
      <w:r w:rsidR="00E271AE" w:rsidRPr="008D4C9A">
        <w:t>Monday, 5 November</w:t>
      </w:r>
      <w:r w:rsidR="00A52116">
        <w:t>,</w:t>
      </w:r>
      <w:r w:rsidR="00E271AE" w:rsidRPr="008D4C9A">
        <w:t xml:space="preserve"> to Friday, 16 November</w:t>
      </w:r>
      <w:r w:rsidR="00E271AE" w:rsidRPr="00F822DB">
        <w:t xml:space="preserve"> 201</w:t>
      </w:r>
      <w:r w:rsidR="00E271AE">
        <w:t>8</w:t>
      </w:r>
      <w:r w:rsidR="00E271AE" w:rsidRPr="00F822DB">
        <w:t>;</w:t>
      </w:r>
    </w:p>
    <w:p w14:paraId="4BC86FFD" w14:textId="2469B711" w:rsidR="00E271AE" w:rsidRPr="00B93A7F" w:rsidRDefault="00C421F9" w:rsidP="00C421F9">
      <w:pPr>
        <w:pStyle w:val="RegSingleTxtG"/>
        <w:numPr>
          <w:ilvl w:val="0"/>
          <w:numId w:val="0"/>
        </w:numPr>
        <w:tabs>
          <w:tab w:val="left" w:pos="568"/>
        </w:tabs>
        <w:ind w:left="1135"/>
      </w:pPr>
      <w:r w:rsidRPr="00B93A7F">
        <w:t>8.</w:t>
      </w:r>
      <w:r w:rsidRPr="00B93A7F">
        <w:tab/>
      </w:r>
      <w:r w:rsidR="00E271AE" w:rsidRPr="001D61A1">
        <w:rPr>
          <w:i/>
          <w:lang w:val="en-US"/>
        </w:rPr>
        <w:t>Requests</w:t>
      </w:r>
      <w:r w:rsidR="00E271AE" w:rsidRPr="001D61A1">
        <w:rPr>
          <w:lang w:val="en-US"/>
        </w:rPr>
        <w:t xml:space="preserve"> the </w:t>
      </w:r>
      <w:r w:rsidR="00E271AE">
        <w:t>Subsidiary Body for Implementation</w:t>
      </w:r>
      <w:r w:rsidR="00E271AE" w:rsidRPr="001D61A1">
        <w:rPr>
          <w:lang w:val="en-US"/>
        </w:rPr>
        <w:t xml:space="preserve">, at its </w:t>
      </w:r>
      <w:r w:rsidR="00E271AE" w:rsidRPr="000F2F54">
        <w:t>forty-fourth</w:t>
      </w:r>
      <w:r w:rsidR="00E271AE">
        <w:t xml:space="preserve"> session</w:t>
      </w:r>
      <w:r w:rsidR="00E271AE" w:rsidRPr="001D61A1">
        <w:rPr>
          <w:lang w:val="en-US"/>
        </w:rPr>
        <w:t xml:space="preserve">, to consider the issue of the host of </w:t>
      </w:r>
      <w:r w:rsidR="00E271AE">
        <w:t xml:space="preserve">the </w:t>
      </w:r>
      <w:r w:rsidR="00E271AE" w:rsidRPr="000F2F54">
        <w:t>twenty-fourth</w:t>
      </w:r>
      <w:r w:rsidR="00E271AE">
        <w:t xml:space="preserve"> session of the Conference of the Parties and the </w:t>
      </w:r>
      <w:r w:rsidR="00E271AE" w:rsidRPr="000F2F54">
        <w:t>fourteenth</w:t>
      </w:r>
      <w:r w:rsidR="00E271AE">
        <w:t xml:space="preserve"> session of the Conference of the Parties serving as the meeting of the Parties to the Kyoto Protocol</w:t>
      </w:r>
      <w:r w:rsidR="00E271AE" w:rsidRPr="001D61A1">
        <w:rPr>
          <w:lang w:val="en-US"/>
        </w:rPr>
        <w:t xml:space="preserve"> and </w:t>
      </w:r>
      <w:r w:rsidR="00E271AE">
        <w:t xml:space="preserve">to recommend a draft decision on this matter </w:t>
      </w:r>
      <w:r w:rsidR="00E271AE" w:rsidRPr="001D61A1">
        <w:rPr>
          <w:lang w:val="en-US" w:eastAsia="en-US"/>
        </w:rPr>
        <w:t xml:space="preserve">for </w:t>
      </w:r>
      <w:r w:rsidR="00E271AE">
        <w:rPr>
          <w:lang w:val="en-US" w:eastAsia="en-US"/>
        </w:rPr>
        <w:t xml:space="preserve">consideration and </w:t>
      </w:r>
      <w:r w:rsidR="00E271AE" w:rsidRPr="001D61A1">
        <w:rPr>
          <w:lang w:val="en-US" w:eastAsia="en-US"/>
        </w:rPr>
        <w:t xml:space="preserve">adoption </w:t>
      </w:r>
      <w:r w:rsidR="00E271AE">
        <w:rPr>
          <w:lang w:val="en-US" w:eastAsia="en-US"/>
        </w:rPr>
        <w:t xml:space="preserve">by the </w:t>
      </w:r>
      <w:r w:rsidR="00E271AE" w:rsidRPr="001D61A1">
        <w:rPr>
          <w:lang w:val="en-US" w:eastAsia="en-US"/>
        </w:rPr>
        <w:t xml:space="preserve">Conference of the Parties at </w:t>
      </w:r>
      <w:r w:rsidR="00E271AE">
        <w:rPr>
          <w:lang w:val="en-US" w:eastAsia="en-US"/>
        </w:rPr>
        <w:t xml:space="preserve">its </w:t>
      </w:r>
      <w:r w:rsidR="00E271AE" w:rsidRPr="000F2F54">
        <w:rPr>
          <w:lang w:val="en-US" w:eastAsia="en-US"/>
        </w:rPr>
        <w:t>twenty-second</w:t>
      </w:r>
      <w:r w:rsidR="00E271AE">
        <w:rPr>
          <w:lang w:val="en-US" w:eastAsia="en-US"/>
        </w:rPr>
        <w:t xml:space="preserve"> </w:t>
      </w:r>
      <w:r w:rsidR="00E271AE" w:rsidRPr="001D61A1">
        <w:rPr>
          <w:lang w:val="en-US" w:eastAsia="en-US"/>
        </w:rPr>
        <w:t>session;</w:t>
      </w:r>
    </w:p>
    <w:p w14:paraId="4BC86FFE" w14:textId="4869F85C" w:rsidR="00E271AE" w:rsidRDefault="00C421F9" w:rsidP="00C421F9">
      <w:pPr>
        <w:pStyle w:val="RegHChG"/>
        <w:numPr>
          <w:ilvl w:val="0"/>
          <w:numId w:val="0"/>
        </w:numPr>
        <w:tabs>
          <w:tab w:val="left" w:pos="1135"/>
        </w:tabs>
        <w:ind w:left="1135" w:hanging="454"/>
      </w:pPr>
      <w:r>
        <w:t>II.</w:t>
      </w:r>
      <w:r>
        <w:tab/>
      </w:r>
      <w:r w:rsidR="00E271AE" w:rsidRPr="006E3266">
        <w:t>Calendar of meet</w:t>
      </w:r>
      <w:r w:rsidR="00E271AE" w:rsidRPr="0067681F">
        <w:t xml:space="preserve">ings of </w:t>
      </w:r>
      <w:r w:rsidR="00E271AE">
        <w:t xml:space="preserve">the </w:t>
      </w:r>
      <w:r w:rsidR="00E271AE" w:rsidRPr="0067681F">
        <w:t xml:space="preserve">Convention </w:t>
      </w:r>
      <w:r w:rsidR="00E271AE">
        <w:t xml:space="preserve">and Kyoto Protocol </w:t>
      </w:r>
      <w:r w:rsidR="00E271AE" w:rsidRPr="0067681F">
        <w:t>bodies</w:t>
      </w:r>
    </w:p>
    <w:p w14:paraId="4BC86FFF" w14:textId="070AE7C4" w:rsidR="00E271AE" w:rsidRDefault="00C421F9" w:rsidP="00C421F9">
      <w:pPr>
        <w:pStyle w:val="RegSingleTxtG"/>
        <w:numPr>
          <w:ilvl w:val="0"/>
          <w:numId w:val="0"/>
        </w:numPr>
        <w:tabs>
          <w:tab w:val="left" w:pos="568"/>
        </w:tabs>
        <w:ind w:left="1135"/>
      </w:pPr>
      <w:r>
        <w:t>9.</w:t>
      </w:r>
      <w:r>
        <w:tab/>
      </w:r>
      <w:r w:rsidR="00E271AE">
        <w:rPr>
          <w:i/>
          <w:iCs/>
        </w:rPr>
        <w:t xml:space="preserve">Takes note </w:t>
      </w:r>
      <w:r w:rsidR="00E271AE">
        <w:t>that, as recommended by the Subsidiary Body for Implementation at its fortieth session,</w:t>
      </w:r>
      <w:r w:rsidR="00E271AE">
        <w:rPr>
          <w:rStyle w:val="FootnoteReference"/>
        </w:rPr>
        <w:footnoteReference w:id="35"/>
      </w:r>
      <w:r w:rsidR="00E271AE">
        <w:t xml:space="preserve"> </w:t>
      </w:r>
      <w:r w:rsidR="00E271AE" w:rsidRPr="00C44077">
        <w:t>future May/June sessions of the subsidiary bodies should commence on a Monday</w:t>
      </w:r>
      <w:r w:rsidR="00E271AE">
        <w:t>,</w:t>
      </w:r>
      <w:r w:rsidR="00E271AE" w:rsidRPr="00C44077">
        <w:t xml:space="preserve"> and that, in order to enhance efficiency and time management, work should be completed one day earlier </w:t>
      </w:r>
      <w:r w:rsidR="00E271AE">
        <w:t xml:space="preserve">than previously, </w:t>
      </w:r>
      <w:r w:rsidR="00E271AE" w:rsidRPr="00C44077">
        <w:t xml:space="preserve">so as to finish </w:t>
      </w:r>
      <w:r w:rsidR="00E271AE">
        <w:t xml:space="preserve">the sessions </w:t>
      </w:r>
      <w:r w:rsidR="00E271AE" w:rsidRPr="00C44077">
        <w:t>on t</w:t>
      </w:r>
      <w:r w:rsidR="00E271AE">
        <w:t xml:space="preserve">he Thursday of the second week, and that </w:t>
      </w:r>
      <w:r w:rsidR="00E271AE" w:rsidRPr="00C44077">
        <w:t>all meetings at</w:t>
      </w:r>
      <w:r w:rsidR="00E271AE">
        <w:t xml:space="preserve"> those</w:t>
      </w:r>
      <w:r w:rsidR="00E271AE" w:rsidRPr="00C44077">
        <w:t xml:space="preserve"> sessions taking place on </w:t>
      </w:r>
      <w:r w:rsidR="00E271AE">
        <w:t>the</w:t>
      </w:r>
      <w:r w:rsidR="00E271AE" w:rsidRPr="00C44077">
        <w:t xml:space="preserve"> Saturday </w:t>
      </w:r>
      <w:r w:rsidR="00E271AE">
        <w:t xml:space="preserve">should </w:t>
      </w:r>
      <w:r w:rsidR="00E271AE" w:rsidRPr="00C44077">
        <w:t>be completed by midday in order to enhance the efficiency, time</w:t>
      </w:r>
      <w:r w:rsidR="00E271AE">
        <w:t>liness and transparency of the work;</w:t>
      </w:r>
    </w:p>
    <w:p w14:paraId="4BC87000" w14:textId="4E305513" w:rsidR="00E271AE" w:rsidRDefault="00C421F9" w:rsidP="00C421F9">
      <w:pPr>
        <w:pStyle w:val="RegSingleTxtG"/>
        <w:numPr>
          <w:ilvl w:val="0"/>
          <w:numId w:val="0"/>
        </w:numPr>
        <w:tabs>
          <w:tab w:val="left" w:pos="568"/>
        </w:tabs>
        <w:ind w:left="1135"/>
      </w:pPr>
      <w:r>
        <w:t>10.</w:t>
      </w:r>
      <w:r>
        <w:tab/>
      </w:r>
      <w:r w:rsidR="00E271AE" w:rsidRPr="00002226">
        <w:rPr>
          <w:i/>
        </w:rPr>
        <w:t>Decides</w:t>
      </w:r>
      <w:r w:rsidR="00E271AE" w:rsidRPr="00002226">
        <w:t xml:space="preserve"> to adopt the following dates for the sessional periods in </w:t>
      </w:r>
      <w:r w:rsidR="00E271AE">
        <w:t>2020</w:t>
      </w:r>
      <w:r w:rsidR="00E271AE" w:rsidRPr="00002226">
        <w:t xml:space="preserve">: </w:t>
      </w:r>
    </w:p>
    <w:p w14:paraId="4BC87001" w14:textId="59F60525" w:rsidR="00E271AE" w:rsidRDefault="00C421F9" w:rsidP="00C421F9">
      <w:pPr>
        <w:pStyle w:val="RegSingleTxtG"/>
        <w:numPr>
          <w:ilvl w:val="0"/>
          <w:numId w:val="0"/>
        </w:numPr>
        <w:tabs>
          <w:tab w:val="left" w:pos="2269"/>
        </w:tabs>
        <w:ind w:left="1135" w:firstLine="567"/>
      </w:pPr>
      <w:r>
        <w:t>(a)</w:t>
      </w:r>
      <w:r>
        <w:tab/>
      </w:r>
      <w:r w:rsidR="00E271AE">
        <w:t>First sessional period: Monday, 1 June</w:t>
      </w:r>
      <w:r w:rsidR="00A52116">
        <w:t>,</w:t>
      </w:r>
      <w:r w:rsidR="00E271AE">
        <w:t xml:space="preserve"> to Thursday, 11 June; </w:t>
      </w:r>
    </w:p>
    <w:p w14:paraId="4BC87002" w14:textId="46482D13" w:rsidR="00E271AE" w:rsidRDefault="00C421F9" w:rsidP="00C421F9">
      <w:pPr>
        <w:pStyle w:val="RegSingleTxtG"/>
        <w:numPr>
          <w:ilvl w:val="0"/>
          <w:numId w:val="0"/>
        </w:numPr>
        <w:tabs>
          <w:tab w:val="left" w:pos="2269"/>
        </w:tabs>
        <w:ind w:left="1135" w:firstLine="567"/>
      </w:pPr>
      <w:r>
        <w:t>(b)</w:t>
      </w:r>
      <w:r>
        <w:tab/>
      </w:r>
      <w:r w:rsidR="00E271AE">
        <w:t>Second sessional period: Monday, 9 November</w:t>
      </w:r>
      <w:r w:rsidR="00A52116">
        <w:t>,</w:t>
      </w:r>
      <w:r w:rsidR="00E271AE">
        <w:t xml:space="preserve"> to Friday, 20 November.</w:t>
      </w:r>
    </w:p>
    <w:p w14:paraId="4BC87004" w14:textId="77777777" w:rsidR="008E62D1" w:rsidRDefault="007C0FEC" w:rsidP="008E62D1">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8E62D1">
        <w:rPr>
          <w:i/>
          <w:vertAlign w:val="superscript"/>
          <w:lang w:val="en-US" w:eastAsia="en-US"/>
        </w:rPr>
        <w:t>th</w:t>
      </w:r>
      <w:r w:rsidR="008E62D1">
        <w:rPr>
          <w:i/>
          <w:lang w:val="en-US" w:eastAsia="en-US"/>
        </w:rPr>
        <w:t xml:space="preserve"> plenary meeting</w:t>
      </w:r>
    </w:p>
    <w:p w14:paraId="4BC87005" w14:textId="77777777" w:rsidR="008E62D1" w:rsidRDefault="007C0FEC" w:rsidP="008E62D1">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Pr>
          <w:i/>
          <w:lang w:val="en-US" w:eastAsia="en-US"/>
        </w:rPr>
        <w:t>10</w:t>
      </w:r>
      <w:r w:rsidR="008E62D1">
        <w:rPr>
          <w:i/>
          <w:lang w:val="en-US" w:eastAsia="en-US"/>
        </w:rPr>
        <w:t xml:space="preserve"> December 2015</w:t>
      </w:r>
    </w:p>
    <w:p w14:paraId="4BC87006" w14:textId="77777777" w:rsidR="008E62D1" w:rsidRDefault="008E62D1" w:rsidP="008E62D1">
      <w:pPr>
        <w:sectPr w:rsidR="008E62D1" w:rsidSect="00877754">
          <w:headerReference w:type="even" r:id="rId54"/>
          <w:headerReference w:type="default" r:id="rId55"/>
          <w:footerReference w:type="even" r:id="rId56"/>
          <w:footerReference w:type="default" r:id="rId57"/>
          <w:footnotePr>
            <w:numRestart w:val="eachSect"/>
          </w:footnotePr>
          <w:pgSz w:w="11906" w:h="16838" w:code="9"/>
          <w:pgMar w:top="1701" w:right="1134" w:bottom="2268" w:left="1134" w:header="1134" w:footer="1701" w:gutter="0"/>
          <w:cols w:space="708"/>
          <w:docGrid w:linePitch="360"/>
        </w:sectPr>
      </w:pPr>
    </w:p>
    <w:p w14:paraId="4BC87007" w14:textId="77777777" w:rsidR="008E62D1" w:rsidRDefault="008E62D1" w:rsidP="008E62D1">
      <w:pPr>
        <w:pStyle w:val="HChG"/>
        <w:ind w:firstLine="0"/>
        <w:rPr>
          <w:bCs/>
        </w:rPr>
      </w:pPr>
      <w:r>
        <w:rPr>
          <w:bCs/>
        </w:rPr>
        <w:lastRenderedPageBreak/>
        <w:t>Resolution 1/CP.21</w:t>
      </w:r>
    </w:p>
    <w:p w14:paraId="4BC87008" w14:textId="77777777" w:rsidR="008E62D1" w:rsidRDefault="008E62D1" w:rsidP="008E62D1">
      <w:pPr>
        <w:pStyle w:val="HChG"/>
      </w:pPr>
      <w:r>
        <w:tab/>
      </w:r>
      <w:r>
        <w:tab/>
        <w:t xml:space="preserve">Expression of gratitude to the Government of </w:t>
      </w:r>
      <w:r w:rsidR="00995076">
        <w:t xml:space="preserve">the </w:t>
      </w:r>
      <w:r>
        <w:t>F</w:t>
      </w:r>
      <w:r w:rsidR="00995076">
        <w:t>rench Republic</w:t>
      </w:r>
      <w:r>
        <w:t xml:space="preserve"> and the people of the city of Paris</w:t>
      </w:r>
    </w:p>
    <w:p w14:paraId="4BC87009" w14:textId="339EB7CD" w:rsidR="00995076" w:rsidRDefault="00995076" w:rsidP="00C421F9">
      <w:pPr>
        <w:pStyle w:val="RegH1G"/>
        <w:numPr>
          <w:ilvl w:val="0"/>
          <w:numId w:val="0"/>
        </w:numPr>
        <w:ind w:left="1135" w:hanging="454"/>
      </w:pPr>
      <w:r w:rsidRPr="00F311DE">
        <w:t xml:space="preserve">Draft resolution submitted by </w:t>
      </w:r>
      <w:r w:rsidRPr="00F72408">
        <w:t>Morocco</w:t>
      </w:r>
    </w:p>
    <w:p w14:paraId="4BC8700A" w14:textId="77777777" w:rsidR="00995076" w:rsidRPr="00A87F2F" w:rsidRDefault="00995076" w:rsidP="00995076">
      <w:pPr>
        <w:spacing w:before="120"/>
        <w:ind w:left="1134" w:right="1174" w:firstLine="567"/>
      </w:pPr>
      <w:r w:rsidRPr="005558D6">
        <w:rPr>
          <w:i/>
        </w:rPr>
        <w:t>The Conference of the Parties and the Conference of the Parties serving as the meeting of the Parties to the Kyoto Protocol</w:t>
      </w:r>
      <w:r>
        <w:t>,</w:t>
      </w:r>
    </w:p>
    <w:p w14:paraId="4BC8700B" w14:textId="77777777" w:rsidR="00995076" w:rsidRDefault="00995076" w:rsidP="00995076">
      <w:pPr>
        <w:spacing w:before="120"/>
        <w:ind w:left="1134" w:right="1174" w:firstLine="567"/>
      </w:pPr>
      <w:r w:rsidRPr="005558D6">
        <w:rPr>
          <w:i/>
        </w:rPr>
        <w:t>Having met</w:t>
      </w:r>
      <w:r>
        <w:t xml:space="preserve"> in Paris from 30 </w:t>
      </w:r>
      <w:r w:rsidRPr="001B14A6">
        <w:t>November to 11 December 2015 at</w:t>
      </w:r>
      <w:r>
        <w:t xml:space="preserve"> the invitation of the </w:t>
      </w:r>
      <w:r w:rsidRPr="00932AB2">
        <w:t xml:space="preserve">Government of </w:t>
      </w:r>
      <w:r>
        <w:t>the French Republic,</w:t>
      </w:r>
    </w:p>
    <w:p w14:paraId="4BC8700C" w14:textId="722E3496" w:rsidR="00995076" w:rsidRDefault="00C421F9" w:rsidP="00C421F9">
      <w:pPr>
        <w:pStyle w:val="RegSingleTxtG"/>
        <w:numPr>
          <w:ilvl w:val="0"/>
          <w:numId w:val="0"/>
        </w:numPr>
        <w:tabs>
          <w:tab w:val="left" w:pos="568"/>
        </w:tabs>
        <w:spacing w:before="120"/>
        <w:ind w:left="1135"/>
      </w:pPr>
      <w:r>
        <w:t>1.</w:t>
      </w:r>
      <w:r>
        <w:tab/>
      </w:r>
      <w:r w:rsidR="00995076" w:rsidRPr="00995076">
        <w:rPr>
          <w:i/>
        </w:rPr>
        <w:t>Express</w:t>
      </w:r>
      <w:r w:rsidR="00995076" w:rsidRPr="00932AB2">
        <w:t xml:space="preserve"> </w:t>
      </w:r>
      <w:r w:rsidR="00995076" w:rsidRPr="00995076">
        <w:rPr>
          <w:i/>
        </w:rPr>
        <w:t>their profound gratitude</w:t>
      </w:r>
      <w:r w:rsidR="00995076" w:rsidRPr="00932AB2">
        <w:t xml:space="preserve"> to the Government of </w:t>
      </w:r>
      <w:r w:rsidR="00995076">
        <w:t>the French Republic</w:t>
      </w:r>
      <w:r w:rsidR="00995076" w:rsidRPr="00932AB2">
        <w:t xml:space="preserve"> for having made it possible for the twenty-first session of the Conference of the Parties and the eleventh session of the Conference of the Parties serving as the meeting of the Parties to the Kyoto Protocol to be held in Paris;</w:t>
      </w:r>
    </w:p>
    <w:p w14:paraId="4BC8700D" w14:textId="6543B972" w:rsidR="00995076" w:rsidRDefault="00C421F9" w:rsidP="00C421F9">
      <w:pPr>
        <w:pStyle w:val="RegSingleTxtG"/>
        <w:numPr>
          <w:ilvl w:val="0"/>
          <w:numId w:val="0"/>
        </w:numPr>
        <w:tabs>
          <w:tab w:val="left" w:pos="568"/>
        </w:tabs>
        <w:ind w:left="1135"/>
      </w:pPr>
      <w:r>
        <w:t>2.</w:t>
      </w:r>
      <w:r>
        <w:tab/>
      </w:r>
      <w:r w:rsidR="00995076" w:rsidRPr="00932AB2">
        <w:rPr>
          <w:i/>
        </w:rPr>
        <w:t>Request</w:t>
      </w:r>
      <w:r w:rsidR="00995076" w:rsidRPr="00932AB2">
        <w:t xml:space="preserve"> the Government of </w:t>
      </w:r>
      <w:r w:rsidR="00995076">
        <w:t>the French Republic</w:t>
      </w:r>
      <w:r w:rsidR="00995076" w:rsidRPr="00932AB2">
        <w:t xml:space="preserve"> to convey to the city and people of Paris the gratitude of the Conference of the Parties and the Conference of the Parties serving as the meeting of the Parties to the Kyoto Protocol for the hospitality and warmth extended to the participants.</w:t>
      </w:r>
    </w:p>
    <w:p w14:paraId="4BC8700F" w14:textId="77777777" w:rsidR="008E62D1" w:rsidRPr="00556872" w:rsidRDefault="00556872" w:rsidP="008E62D1">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sidRPr="00556872">
        <w:rPr>
          <w:i/>
          <w:lang w:val="en-US" w:eastAsia="en-US"/>
        </w:rPr>
        <w:t>11</w:t>
      </w:r>
      <w:r w:rsidR="008E62D1" w:rsidRPr="00556872">
        <w:rPr>
          <w:i/>
          <w:vertAlign w:val="superscript"/>
          <w:lang w:val="en-US" w:eastAsia="en-US"/>
        </w:rPr>
        <w:t>th</w:t>
      </w:r>
      <w:r w:rsidR="008E62D1" w:rsidRPr="00556872">
        <w:rPr>
          <w:i/>
          <w:lang w:val="en-US" w:eastAsia="en-US"/>
        </w:rPr>
        <w:t xml:space="preserve"> plenary meeting</w:t>
      </w:r>
    </w:p>
    <w:p w14:paraId="4BC87010" w14:textId="6E248F93" w:rsidR="008E62D1" w:rsidRDefault="0061458D" w:rsidP="008E62D1">
      <w:pPr>
        <w:pStyle w:val="RegSingleTxtG"/>
        <w:numPr>
          <w:ilvl w:val="0"/>
          <w:numId w:val="0"/>
        </w:numPr>
        <w:suppressAutoHyphens w:val="0"/>
        <w:autoSpaceDE w:val="0"/>
        <w:autoSpaceDN w:val="0"/>
        <w:adjustRightInd w:val="0"/>
        <w:spacing w:after="0" w:line="240" w:lineRule="auto"/>
        <w:ind w:left="1134" w:right="-1"/>
        <w:jc w:val="right"/>
        <w:rPr>
          <w:i/>
          <w:lang w:val="en-US" w:eastAsia="en-US"/>
        </w:rPr>
      </w:pPr>
      <w:r w:rsidRPr="001B14A6">
        <w:rPr>
          <w:i/>
          <w:lang w:val="en-US" w:eastAsia="en-US"/>
        </w:rPr>
        <w:t>1</w:t>
      </w:r>
      <w:r>
        <w:rPr>
          <w:i/>
          <w:lang w:val="en-US" w:eastAsia="en-US"/>
        </w:rPr>
        <w:t>3</w:t>
      </w:r>
      <w:r w:rsidRPr="001B14A6">
        <w:rPr>
          <w:i/>
          <w:lang w:val="en-US" w:eastAsia="en-US"/>
        </w:rPr>
        <w:t xml:space="preserve"> </w:t>
      </w:r>
      <w:r w:rsidR="008E62D1" w:rsidRPr="001B14A6">
        <w:rPr>
          <w:i/>
          <w:lang w:val="en-US" w:eastAsia="en-US"/>
        </w:rPr>
        <w:t>December 2015</w:t>
      </w:r>
    </w:p>
    <w:p w14:paraId="0FC37AB0" w14:textId="79C20AB7" w:rsidR="008E62D1" w:rsidRPr="001C15FF" w:rsidRDefault="008E62D1" w:rsidP="008E62D1">
      <w:pPr>
        <w:pStyle w:val="RegSingleTxtG"/>
        <w:numPr>
          <w:ilvl w:val="0"/>
          <w:numId w:val="0"/>
        </w:numPr>
        <w:autoSpaceDE w:val="0"/>
        <w:autoSpaceDN w:val="0"/>
        <w:adjustRightInd w:val="0"/>
        <w:spacing w:before="240" w:after="0"/>
        <w:ind w:left="1134"/>
        <w:jc w:val="center"/>
      </w:pPr>
      <w:r w:rsidRPr="001C15FF">
        <w:rPr>
          <w:sz w:val="24"/>
          <w:u w:val="single"/>
          <w:lang w:val="en-US" w:eastAsia="en-US"/>
        </w:rPr>
        <w:tab/>
      </w:r>
      <w:r w:rsidRPr="001C15FF">
        <w:rPr>
          <w:sz w:val="24"/>
          <w:u w:val="single"/>
          <w:lang w:val="en-US" w:eastAsia="en-US"/>
        </w:rPr>
        <w:tab/>
      </w:r>
      <w:r w:rsidRPr="001C15FF">
        <w:rPr>
          <w:sz w:val="24"/>
          <w:u w:val="single"/>
          <w:lang w:val="en-US" w:eastAsia="en-US"/>
        </w:rPr>
        <w:tab/>
      </w:r>
    </w:p>
    <w:sectPr w:rsidR="008E62D1" w:rsidRPr="001C15FF" w:rsidSect="00877754">
      <w:headerReference w:type="default" r:id="rId58"/>
      <w:footerReference w:type="default" r:id="rId59"/>
      <w:footnotePr>
        <w:numRestart w:val="eachSect"/>
      </w:footnotePr>
      <w:pgSz w:w="11906" w:h="16838" w:code="9"/>
      <w:pgMar w:top="1701" w:right="1134" w:bottom="2268" w:left="1134" w:header="1134"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AF3A6" w14:textId="77777777" w:rsidR="004E0088" w:rsidRDefault="004E0088">
      <w:r>
        <w:separator/>
      </w:r>
    </w:p>
  </w:endnote>
  <w:endnote w:type="continuationSeparator" w:id="0">
    <w:p w14:paraId="74CA03DE" w14:textId="77777777" w:rsidR="004E0088" w:rsidRDefault="004E0088">
      <w:r>
        <w:continuationSeparator/>
      </w:r>
    </w:p>
  </w:endnote>
  <w:endnote w:type="continuationNotice" w:id="1">
    <w:p w14:paraId="2ECDA803" w14:textId="77777777" w:rsidR="004E0088" w:rsidRDefault="004E00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Kozuka Gothic Pro L">
    <w:altName w:val="MS Gothic"/>
    <w:panose1 w:val="00000000000000000000"/>
    <w:charset w:val="80"/>
    <w:family w:val="swiss"/>
    <w:notTrueType/>
    <w:pitch w:val="variable"/>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8701E" w14:textId="15E3B18E" w:rsidR="004E0088" w:rsidRPr="00FF3388" w:rsidRDefault="004E0088" w:rsidP="00FF3388">
    <w:pPr>
      <w:pStyle w:val="Footer"/>
      <w:tabs>
        <w:tab w:val="right" w:pos="9638"/>
      </w:tabs>
    </w:pPr>
    <w:r w:rsidRPr="00FF3388">
      <w:rPr>
        <w:b/>
        <w:sz w:val="18"/>
      </w:rPr>
      <w:fldChar w:fldCharType="begin"/>
    </w:r>
    <w:r w:rsidRPr="00FF3388">
      <w:rPr>
        <w:b/>
        <w:sz w:val="18"/>
      </w:rPr>
      <w:instrText xml:space="preserve"> PAGE  \* MERGEFORMAT </w:instrText>
    </w:r>
    <w:r w:rsidRPr="00FF3388">
      <w:rPr>
        <w:b/>
        <w:sz w:val="18"/>
      </w:rPr>
      <w:fldChar w:fldCharType="separate"/>
    </w:r>
    <w:r>
      <w:rPr>
        <w:b/>
        <w:noProof/>
        <w:sz w:val="18"/>
      </w:rPr>
      <w:t>2</w:t>
    </w:r>
    <w:r w:rsidRPr="00FF3388">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80F88" w14:textId="220983E9" w:rsidR="004E0088" w:rsidRPr="00FF3388" w:rsidRDefault="004E0088" w:rsidP="00FF3388">
    <w:pPr>
      <w:pStyle w:val="Footer"/>
      <w:tabs>
        <w:tab w:val="right" w:pos="9638"/>
      </w:tabs>
      <w:rPr>
        <w:b/>
        <w:sz w:val="18"/>
      </w:rPr>
    </w:pPr>
    <w:r>
      <w:tab/>
    </w: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11</w:t>
    </w:r>
    <w:r w:rsidRPr="00FF3388">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707A8" w14:textId="48FE83D8" w:rsidR="004E0088" w:rsidRPr="00FF3388" w:rsidRDefault="004E0088" w:rsidP="00FF3388">
    <w:pPr>
      <w:pStyle w:val="Footer"/>
      <w:tabs>
        <w:tab w:val="right" w:pos="9638"/>
      </w:tabs>
    </w:pP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14</w:t>
    </w:r>
    <w:r w:rsidRPr="00FF3388">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43174" w14:textId="238A5089" w:rsidR="004E0088" w:rsidRPr="00FF3388" w:rsidRDefault="004E0088" w:rsidP="00FF3388">
    <w:pPr>
      <w:pStyle w:val="Footer"/>
      <w:tabs>
        <w:tab w:val="right" w:pos="9638"/>
      </w:tabs>
      <w:rPr>
        <w:b/>
        <w:sz w:val="18"/>
      </w:rPr>
    </w:pPr>
    <w:r>
      <w:tab/>
    </w: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15</w:t>
    </w:r>
    <w:r w:rsidRPr="00FF3388">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C66E" w14:textId="106CA375" w:rsidR="004E0088" w:rsidRPr="00FF3388" w:rsidRDefault="004E0088" w:rsidP="00FF3388">
    <w:pPr>
      <w:pStyle w:val="Footer"/>
      <w:tabs>
        <w:tab w:val="right" w:pos="9638"/>
      </w:tabs>
    </w:pPr>
    <w:r w:rsidRPr="00FF3388">
      <w:rPr>
        <w:b/>
        <w:sz w:val="18"/>
      </w:rPr>
      <w:fldChar w:fldCharType="begin"/>
    </w:r>
    <w:r w:rsidRPr="00FF3388">
      <w:rPr>
        <w:b/>
        <w:sz w:val="18"/>
      </w:rPr>
      <w:instrText xml:space="preserve"> PAGE  \* MERGEFORMAT </w:instrText>
    </w:r>
    <w:r w:rsidRPr="00FF3388">
      <w:rPr>
        <w:b/>
        <w:sz w:val="18"/>
      </w:rPr>
      <w:fldChar w:fldCharType="separate"/>
    </w:r>
    <w:r>
      <w:rPr>
        <w:b/>
        <w:noProof/>
        <w:sz w:val="18"/>
      </w:rPr>
      <w:t>16</w:t>
    </w:r>
    <w:r w:rsidRPr="00FF3388">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2CD11" w14:textId="1AEDBE4A" w:rsidR="004E0088" w:rsidRPr="00FF3388" w:rsidRDefault="004E0088" w:rsidP="00FF3388">
    <w:pPr>
      <w:pStyle w:val="Footer"/>
      <w:tabs>
        <w:tab w:val="right" w:pos="9638"/>
      </w:tabs>
    </w:pP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18</w:t>
    </w:r>
    <w:r w:rsidRPr="00FF3388">
      <w:rPr>
        <w:b/>
        <w:sz w:val="18"/>
      </w:rPr>
      <w:fldChar w:fldCharType="end"/>
    </w:r>
    <w:r>
      <w:rPr>
        <w:sz w:val="18"/>
      </w:rP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41286" w14:textId="4ABB029D" w:rsidR="004E0088" w:rsidRPr="00FF3388" w:rsidRDefault="004E0088" w:rsidP="00FF3388">
    <w:pPr>
      <w:pStyle w:val="Footer"/>
      <w:tabs>
        <w:tab w:val="right" w:pos="9638"/>
      </w:tabs>
      <w:rPr>
        <w:b/>
        <w:sz w:val="18"/>
      </w:rPr>
    </w:pPr>
    <w:r>
      <w:tab/>
    </w: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17</w:t>
    </w:r>
    <w:r w:rsidRPr="00FF3388">
      <w:rPr>
        <w:b/>
        <w:sz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87027" w14:textId="3DBF6F4B" w:rsidR="004E0088" w:rsidRPr="00FF3388" w:rsidRDefault="004E0088" w:rsidP="00FF3388">
    <w:pPr>
      <w:pStyle w:val="Footer"/>
      <w:tabs>
        <w:tab w:val="right" w:pos="9638"/>
      </w:tabs>
    </w:pPr>
    <w:r w:rsidRPr="00FF3388">
      <w:rPr>
        <w:b/>
        <w:sz w:val="18"/>
      </w:rPr>
      <w:fldChar w:fldCharType="begin"/>
    </w:r>
    <w:r w:rsidRPr="00FF3388">
      <w:rPr>
        <w:b/>
        <w:sz w:val="18"/>
      </w:rPr>
      <w:instrText xml:space="preserve"> PAGE  \* MERGEFORMAT </w:instrText>
    </w:r>
    <w:r w:rsidRPr="00FF3388">
      <w:rPr>
        <w:b/>
        <w:sz w:val="18"/>
      </w:rPr>
      <w:fldChar w:fldCharType="separate"/>
    </w:r>
    <w:r>
      <w:rPr>
        <w:b/>
        <w:noProof/>
        <w:sz w:val="18"/>
      </w:rPr>
      <w:t>20</w:t>
    </w:r>
    <w:r w:rsidRPr="00FF3388">
      <w:rPr>
        <w:b/>
        <w:sz w:val="18"/>
      </w:rPr>
      <w:fldChar w:fldCharType="end"/>
    </w:r>
    <w:r>
      <w:rPr>
        <w:sz w:val="18"/>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87028" w14:textId="33E46453" w:rsidR="004E0088" w:rsidRPr="00FF3388" w:rsidRDefault="004E0088" w:rsidP="00FF3388">
    <w:pPr>
      <w:pStyle w:val="Footer"/>
      <w:tabs>
        <w:tab w:val="right" w:pos="9638"/>
      </w:tabs>
      <w:rPr>
        <w:b/>
        <w:sz w:val="18"/>
      </w:rPr>
    </w:pPr>
    <w:r>
      <w:tab/>
    </w: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21</w:t>
    </w:r>
    <w:r w:rsidRPr="00FF3388">
      <w:rPr>
        <w:b/>
        <w:sz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52292" w14:textId="7B9F55E9" w:rsidR="004E0088" w:rsidRPr="00FF3388" w:rsidRDefault="004E0088" w:rsidP="00FF3388">
    <w:pPr>
      <w:pStyle w:val="Footer"/>
      <w:tabs>
        <w:tab w:val="right" w:pos="9638"/>
      </w:tabs>
    </w:pP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20</w:t>
    </w:r>
    <w:r w:rsidRPr="00FF3388">
      <w:rPr>
        <w:b/>
        <w:sz w:val="18"/>
      </w:rPr>
      <w:fldChar w:fldCharType="end"/>
    </w:r>
    <w:r>
      <w:rPr>
        <w:sz w:val="18"/>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7EEDB" w14:textId="26573FB2" w:rsidR="004E0088" w:rsidRPr="00FF3388" w:rsidRDefault="004E0088" w:rsidP="00FF3388">
    <w:pPr>
      <w:pStyle w:val="Footer"/>
      <w:tabs>
        <w:tab w:val="right" w:pos="9638"/>
      </w:tabs>
    </w:pP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22</w:t>
    </w:r>
    <w:r w:rsidRPr="00FF3388">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8701F" w14:textId="77777777" w:rsidR="004E0088" w:rsidRPr="009C178C" w:rsidRDefault="004E0088" w:rsidP="009C178C">
    <w:pPr>
      <w:pStyle w:val="Footer"/>
      <w:tabs>
        <w:tab w:val="right" w:pos="9638"/>
      </w:tabs>
      <w:rPr>
        <w:b/>
        <w:sz w:val="18"/>
      </w:rPr>
    </w:pPr>
    <w:r>
      <w:tab/>
    </w:r>
    <w:r w:rsidRPr="009C178C">
      <w:rPr>
        <w:b/>
        <w:sz w:val="18"/>
      </w:rPr>
      <w:fldChar w:fldCharType="begin"/>
    </w:r>
    <w:r w:rsidRPr="009C178C">
      <w:rPr>
        <w:b/>
        <w:sz w:val="18"/>
      </w:rPr>
      <w:instrText xml:space="preserve"> PAGE  \* MERGEFORMAT </w:instrText>
    </w:r>
    <w:r w:rsidRPr="009C178C">
      <w:rPr>
        <w:b/>
        <w:sz w:val="18"/>
      </w:rPr>
      <w:fldChar w:fldCharType="separate"/>
    </w:r>
    <w:r>
      <w:rPr>
        <w:b/>
        <w:noProof/>
        <w:sz w:val="18"/>
      </w:rPr>
      <w:t>3</w:t>
    </w:r>
    <w:r w:rsidRPr="009C178C">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9A3DF" w14:textId="1182388F" w:rsidR="004E0088" w:rsidRPr="00FF3388" w:rsidRDefault="004E0088" w:rsidP="00FF3388">
    <w:pPr>
      <w:pStyle w:val="Footer"/>
      <w:tabs>
        <w:tab w:val="right" w:pos="9638"/>
      </w:tabs>
      <w:rPr>
        <w:b/>
        <w:sz w:val="18"/>
      </w:rPr>
    </w:pPr>
    <w:r>
      <w:tab/>
    </w: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23</w:t>
    </w:r>
    <w:r w:rsidRPr="00FF3388">
      <w:rPr>
        <w:b/>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F5DAF" w14:textId="618E384E" w:rsidR="004E0088" w:rsidRPr="00FF3388" w:rsidRDefault="004E0088" w:rsidP="00FF3388">
    <w:pPr>
      <w:pStyle w:val="Footer"/>
      <w:tabs>
        <w:tab w:val="right" w:pos="9638"/>
      </w:tabs>
    </w:pP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34</w:t>
    </w:r>
    <w:r w:rsidRPr="00FF3388">
      <w:rPr>
        <w:b/>
        <w:sz w:val="18"/>
      </w:rPr>
      <w:fldChar w:fldCharType="end"/>
    </w:r>
    <w:r>
      <w:rPr>
        <w:sz w:val="18"/>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B843D" w14:textId="484E6247" w:rsidR="004E0088" w:rsidRPr="00FF3388" w:rsidRDefault="004E0088" w:rsidP="00FF3388">
    <w:pPr>
      <w:pStyle w:val="Footer"/>
      <w:tabs>
        <w:tab w:val="right" w:pos="9638"/>
      </w:tabs>
      <w:rPr>
        <w:b/>
        <w:sz w:val="18"/>
      </w:rPr>
    </w:pPr>
    <w:r>
      <w:tab/>
    </w: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33</w:t>
    </w:r>
    <w:r w:rsidRPr="00FF3388">
      <w:rPr>
        <w:b/>
        <w:sz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B69AD" w14:textId="4A411DA3" w:rsidR="004E0088" w:rsidRPr="00FF3388" w:rsidRDefault="004E0088" w:rsidP="00FF3388">
    <w:pPr>
      <w:pStyle w:val="Footer"/>
      <w:tabs>
        <w:tab w:val="right" w:pos="9638"/>
      </w:tabs>
      <w:rPr>
        <w:b/>
        <w:sz w:val="18"/>
      </w:rPr>
    </w:pPr>
    <w:r>
      <w:tab/>
    </w: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35</w:t>
    </w:r>
    <w:r w:rsidRPr="00FF3388">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87022" w14:textId="2903719E" w:rsidR="004E0088" w:rsidRPr="00FF3388" w:rsidRDefault="004E0088" w:rsidP="00FF3388">
    <w:pPr>
      <w:pStyle w:val="Footer"/>
      <w:tabs>
        <w:tab w:val="right" w:pos="9638"/>
      </w:tabs>
    </w:pP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2</w:t>
    </w:r>
    <w:r w:rsidRPr="00FF3388">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87023" w14:textId="3F6FD5D7" w:rsidR="004E0088" w:rsidRPr="00FF3388" w:rsidRDefault="004E0088" w:rsidP="00FF3388">
    <w:pPr>
      <w:pStyle w:val="Footer"/>
      <w:tabs>
        <w:tab w:val="right" w:pos="9638"/>
      </w:tabs>
      <w:rPr>
        <w:b/>
        <w:sz w:val="18"/>
      </w:rPr>
    </w:pPr>
    <w:r>
      <w:tab/>
    </w: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3</w:t>
    </w:r>
    <w:r w:rsidRPr="00FF3388">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29886" w14:textId="03C178C3" w:rsidR="004E0088" w:rsidRPr="00FF3388" w:rsidRDefault="004E0088" w:rsidP="00FF3388">
    <w:pPr>
      <w:pStyle w:val="Footer"/>
      <w:tabs>
        <w:tab w:val="right" w:pos="9638"/>
      </w:tabs>
    </w:pP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6</w:t>
    </w:r>
    <w:r w:rsidRPr="00FF3388">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B369" w14:textId="5339567E" w:rsidR="004E0088" w:rsidRPr="00FF3388" w:rsidRDefault="004E0088" w:rsidP="00FF3388">
    <w:pPr>
      <w:pStyle w:val="Footer"/>
      <w:tabs>
        <w:tab w:val="right" w:pos="9638"/>
      </w:tabs>
      <w:rPr>
        <w:b/>
        <w:sz w:val="18"/>
      </w:rPr>
    </w:pPr>
    <w:r>
      <w:tab/>
    </w: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5</w:t>
    </w:r>
    <w:r w:rsidRPr="00FF3388">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79D46" w14:textId="475AC287" w:rsidR="004E0088" w:rsidRDefault="004E0088" w:rsidP="003458DC">
    <w:pPr>
      <w:pStyle w:val="Footer"/>
      <w:tabs>
        <w:tab w:val="right" w:pos="9638"/>
      </w:tabs>
    </w:pP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10</w:t>
    </w:r>
    <w:r w:rsidRPr="00FF3388">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D4B80" w14:textId="7132540A" w:rsidR="004E0088" w:rsidRPr="003458DC" w:rsidRDefault="004E0088" w:rsidP="003458DC">
    <w:pPr>
      <w:pStyle w:val="Footer"/>
      <w:tabs>
        <w:tab w:val="right" w:pos="9638"/>
      </w:tabs>
      <w:rPr>
        <w:b/>
        <w:sz w:val="18"/>
      </w:rPr>
    </w:pPr>
    <w:r>
      <w:tab/>
    </w: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9</w:t>
    </w:r>
    <w:r w:rsidRPr="00FF3388">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68AD7" w14:textId="091D76A5" w:rsidR="004E0088" w:rsidRPr="00FF3388" w:rsidRDefault="004E0088" w:rsidP="00FF3388">
    <w:pPr>
      <w:pStyle w:val="Footer"/>
      <w:tabs>
        <w:tab w:val="right" w:pos="9638"/>
      </w:tabs>
    </w:pPr>
    <w:r w:rsidRPr="00FF3388">
      <w:rPr>
        <w:b/>
        <w:sz w:val="18"/>
      </w:rPr>
      <w:fldChar w:fldCharType="begin"/>
    </w:r>
    <w:r w:rsidRPr="00FF3388">
      <w:rPr>
        <w:b/>
        <w:sz w:val="18"/>
      </w:rPr>
      <w:instrText xml:space="preserve"> PAGE  \* MERGEFORMAT </w:instrText>
    </w:r>
    <w:r w:rsidRPr="00FF3388">
      <w:rPr>
        <w:b/>
        <w:sz w:val="18"/>
      </w:rPr>
      <w:fldChar w:fldCharType="separate"/>
    </w:r>
    <w:r w:rsidR="00C421F9">
      <w:rPr>
        <w:b/>
        <w:noProof/>
        <w:sz w:val="18"/>
      </w:rPr>
      <w:t>12</w:t>
    </w:r>
    <w:r w:rsidRPr="00FF3388">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1E0F4" w14:textId="77777777" w:rsidR="004E0088" w:rsidRDefault="004E0088">
      <w:r>
        <w:separator/>
      </w:r>
    </w:p>
  </w:footnote>
  <w:footnote w:type="continuationSeparator" w:id="0">
    <w:p w14:paraId="10DBD828" w14:textId="77777777" w:rsidR="004E0088" w:rsidRDefault="004E0088">
      <w:r>
        <w:continuationSeparator/>
      </w:r>
    </w:p>
  </w:footnote>
  <w:footnote w:type="continuationNotice" w:id="1">
    <w:p w14:paraId="5817F213" w14:textId="77777777" w:rsidR="004E0088" w:rsidRDefault="004E0088">
      <w:pPr>
        <w:spacing w:line="240" w:lineRule="auto"/>
      </w:pPr>
    </w:p>
  </w:footnote>
  <w:footnote w:id="2">
    <w:p w14:paraId="4BC87029" w14:textId="77777777" w:rsidR="004E0088" w:rsidRPr="00E04ACA" w:rsidRDefault="004E0088" w:rsidP="002E0E55">
      <w:pPr>
        <w:pStyle w:val="FootnoteText"/>
        <w:rPr>
          <w:rFonts w:eastAsia="Malgun Gothic"/>
          <w:color w:val="000000" w:themeColor="text1"/>
          <w:szCs w:val="18"/>
          <w:lang w:eastAsia="ko-KR"/>
        </w:rPr>
      </w:pPr>
      <w:r>
        <w:rPr>
          <w:rFonts w:eastAsia="Malgun Gothic" w:hint="eastAsia"/>
          <w:lang w:eastAsia="ko-KR"/>
        </w:rPr>
        <w:tab/>
      </w:r>
      <w:r>
        <w:rPr>
          <w:rStyle w:val="FootnoteReference"/>
        </w:rPr>
        <w:footnoteRef/>
      </w:r>
      <w:r>
        <w:t xml:space="preserve"> </w:t>
      </w:r>
      <w:r w:rsidRPr="00E04ACA">
        <w:rPr>
          <w:szCs w:val="18"/>
        </w:rPr>
        <w:tab/>
      </w:r>
      <w:r w:rsidRPr="00E04ACA">
        <w:rPr>
          <w:color w:val="000000"/>
          <w:szCs w:val="18"/>
          <w:lang w:val="en-US"/>
        </w:rPr>
        <w:t xml:space="preserve">Parties should submit their views via the submissions portal </w:t>
      </w:r>
      <w:r w:rsidRPr="00E04ACA">
        <w:rPr>
          <w:color w:val="000000" w:themeColor="text1"/>
          <w:szCs w:val="18"/>
          <w:lang w:val="en-US"/>
        </w:rPr>
        <w:t>at &lt;</w:t>
      </w:r>
      <w:r w:rsidRPr="00E04ACA">
        <w:rPr>
          <w:szCs w:val="18"/>
        </w:rPr>
        <w:t>http://www.unfccc.int/5900</w:t>
      </w:r>
      <w:r w:rsidRPr="00E04ACA">
        <w:rPr>
          <w:color w:val="000000" w:themeColor="text1"/>
          <w:szCs w:val="18"/>
          <w:lang w:val="en-US"/>
        </w:rPr>
        <w:t>&gt;. Observer organizations should e-mail their submissions to &lt;</w:t>
      </w:r>
      <w:r w:rsidRPr="00E04ACA">
        <w:rPr>
          <w:szCs w:val="18"/>
        </w:rPr>
        <w:t>secretariat@unfccc.int</w:t>
      </w:r>
      <w:r w:rsidRPr="00E04ACA">
        <w:rPr>
          <w:color w:val="000000" w:themeColor="text1"/>
          <w:szCs w:val="18"/>
          <w:lang w:val="en-US"/>
        </w:rPr>
        <w:t>&gt;.</w:t>
      </w:r>
    </w:p>
  </w:footnote>
  <w:footnote w:id="3">
    <w:p w14:paraId="7C9CB604" w14:textId="7CBCC874" w:rsidR="004E0088" w:rsidRPr="002B371E" w:rsidRDefault="004E0088" w:rsidP="002B371E">
      <w:pPr>
        <w:pStyle w:val="FootnoteText"/>
        <w:widowControl w:val="0"/>
        <w:rPr>
          <w:lang w:val="en-US"/>
        </w:rPr>
      </w:pPr>
      <w:r>
        <w:tab/>
      </w:r>
      <w:r>
        <w:rPr>
          <w:rStyle w:val="FootnoteReference"/>
        </w:rPr>
        <w:footnoteRef/>
      </w:r>
      <w:r>
        <w:tab/>
        <w:t>&lt;</w:t>
      </w:r>
      <w:r w:rsidRPr="009845C7">
        <w:t>http://unfccc.int/capacitybuilding/core/activities.html</w:t>
      </w:r>
      <w:r>
        <w:t>&gt;</w:t>
      </w:r>
      <w:r w:rsidRPr="00EE717C">
        <w:t>.</w:t>
      </w:r>
    </w:p>
  </w:footnote>
  <w:footnote w:id="4">
    <w:p w14:paraId="665B49BF" w14:textId="77777777" w:rsidR="004E0088" w:rsidRPr="004F4ADF" w:rsidRDefault="004E0088" w:rsidP="00656405">
      <w:pPr>
        <w:pStyle w:val="FootnoteText"/>
        <w:rPr>
          <w:rFonts w:eastAsia="Malgun Gothic"/>
          <w:color w:val="000000" w:themeColor="text1"/>
          <w:lang w:eastAsia="ko-KR"/>
        </w:rPr>
      </w:pPr>
      <w:r>
        <w:rPr>
          <w:rFonts w:eastAsia="Malgun Gothic" w:hint="eastAsia"/>
          <w:lang w:eastAsia="ko-KR"/>
        </w:rPr>
        <w:tab/>
      </w:r>
      <w:r w:rsidRPr="004F4ADF">
        <w:rPr>
          <w:rStyle w:val="FootnoteReference"/>
          <w:color w:val="000000" w:themeColor="text1"/>
        </w:rPr>
        <w:footnoteRef/>
      </w:r>
      <w:r w:rsidRPr="004F4ADF">
        <w:rPr>
          <w:color w:val="000000" w:themeColor="text1"/>
        </w:rPr>
        <w:t xml:space="preserve"> </w:t>
      </w:r>
      <w:r w:rsidRPr="004F4ADF">
        <w:rPr>
          <w:color w:val="000000" w:themeColor="text1"/>
        </w:rPr>
        <w:tab/>
      </w:r>
      <w:r w:rsidRPr="004F4ADF">
        <w:rPr>
          <w:color w:val="000000" w:themeColor="text1"/>
          <w:lang w:val="en-US"/>
        </w:rPr>
        <w:t>&lt;</w:t>
      </w:r>
      <w:r w:rsidRPr="00EB1903">
        <w:t>http://www.unfccc.int/5900</w:t>
      </w:r>
      <w:r w:rsidRPr="004F4ADF">
        <w:rPr>
          <w:color w:val="000000" w:themeColor="text1"/>
          <w:lang w:val="en-US"/>
        </w:rPr>
        <w:t>&gt;.</w:t>
      </w:r>
      <w:r w:rsidRPr="004F4ADF">
        <w:rPr>
          <w:rFonts w:eastAsia="Malgun Gothic" w:hint="eastAsia"/>
          <w:color w:val="000000" w:themeColor="text1"/>
          <w:lang w:val="en-US" w:eastAsia="ko-KR"/>
        </w:rPr>
        <w:t xml:space="preserve"> </w:t>
      </w:r>
    </w:p>
  </w:footnote>
  <w:footnote w:id="5">
    <w:p w14:paraId="4BC8702B" w14:textId="77777777" w:rsidR="004E0088" w:rsidRPr="00872188" w:rsidRDefault="004E0088" w:rsidP="002E0E55">
      <w:pPr>
        <w:pStyle w:val="FootnoteText"/>
        <w:rPr>
          <w:lang w:val="en-US"/>
        </w:rPr>
      </w:pPr>
      <w:r>
        <w:tab/>
      </w:r>
      <w:r w:rsidRPr="00872188">
        <w:rPr>
          <w:rStyle w:val="FootnoteReference"/>
        </w:rPr>
        <w:footnoteRef/>
      </w:r>
      <w:r>
        <w:tab/>
      </w:r>
      <w:r w:rsidRPr="00471564">
        <w:rPr>
          <w:lang w:val="en-US"/>
        </w:rPr>
        <w:t>Decision 13/CP.17, paragraph 7.</w:t>
      </w:r>
    </w:p>
  </w:footnote>
  <w:footnote w:id="6">
    <w:p w14:paraId="4BC8702C" w14:textId="77777777" w:rsidR="004E0088" w:rsidRPr="0008223D" w:rsidRDefault="004E0088" w:rsidP="002E0E55">
      <w:pPr>
        <w:pStyle w:val="FootnoteText"/>
        <w:rPr>
          <w:lang w:val="en-US"/>
        </w:rPr>
      </w:pPr>
      <w:r>
        <w:tab/>
      </w:r>
      <w:r w:rsidRPr="00872188">
        <w:rPr>
          <w:rStyle w:val="FootnoteReference"/>
        </w:rPr>
        <w:footnoteRef/>
      </w:r>
      <w:r>
        <w:tab/>
      </w:r>
      <w:r w:rsidRPr="00471564">
        <w:rPr>
          <w:lang w:val="en-US"/>
        </w:rPr>
        <w:t>Decision 15/CMP.7, paragraph 8.</w:t>
      </w:r>
    </w:p>
  </w:footnote>
  <w:footnote w:id="7">
    <w:p w14:paraId="4BC8702D" w14:textId="77777777" w:rsidR="004E0088" w:rsidRPr="00595036" w:rsidRDefault="004E0088" w:rsidP="002E0E55">
      <w:pPr>
        <w:pStyle w:val="FootnoteText"/>
      </w:pPr>
      <w:r>
        <w:tab/>
      </w:r>
      <w:r>
        <w:rPr>
          <w:rStyle w:val="FootnoteReference"/>
        </w:rPr>
        <w:footnoteRef/>
      </w:r>
      <w:r>
        <w:tab/>
      </w:r>
      <w:r w:rsidRPr="00471564">
        <w:t>Decision 2/CP.10.</w:t>
      </w:r>
    </w:p>
  </w:footnote>
  <w:footnote w:id="8">
    <w:p w14:paraId="4BC8702E" w14:textId="77777777" w:rsidR="004E0088" w:rsidRPr="00757949" w:rsidRDefault="004E0088" w:rsidP="002E0E55">
      <w:pPr>
        <w:pStyle w:val="FootnoteText"/>
        <w:rPr>
          <w:rFonts w:eastAsia="Malgun Gothic"/>
          <w:lang w:val="en-US" w:eastAsia="ko-KR"/>
        </w:rPr>
      </w:pPr>
      <w:r>
        <w:tab/>
      </w:r>
      <w:r>
        <w:rPr>
          <w:rStyle w:val="FootnoteReference"/>
        </w:rPr>
        <w:footnoteRef/>
      </w:r>
      <w:r>
        <w:tab/>
      </w:r>
      <w:r w:rsidRPr="00471564">
        <w:t>Decisions 13/CP.17 and 15/CMP.7</w:t>
      </w:r>
      <w:r w:rsidRPr="00471564">
        <w:rPr>
          <w:rFonts w:eastAsia="Malgun Gothic"/>
          <w:lang w:eastAsia="ko-KR"/>
        </w:rPr>
        <w:t>.</w:t>
      </w:r>
    </w:p>
  </w:footnote>
  <w:footnote w:id="9">
    <w:p w14:paraId="4BC8702F" w14:textId="77777777" w:rsidR="004E0088" w:rsidRPr="006C38E4" w:rsidRDefault="004E0088" w:rsidP="002E0E55">
      <w:pPr>
        <w:pStyle w:val="FootnoteText"/>
        <w:rPr>
          <w:lang w:val="en-US"/>
        </w:rPr>
      </w:pPr>
      <w:r>
        <w:tab/>
      </w:r>
      <w:r>
        <w:rPr>
          <w:rStyle w:val="FootnoteReference"/>
        </w:rPr>
        <w:footnoteRef/>
      </w:r>
      <w:r>
        <w:tab/>
      </w:r>
      <w:r w:rsidRPr="00183F19">
        <w:t>Decisions 4/CP.9, 9/CP.9, 2/CP.10, 4/CP.12, 6/CP.14, 10/CP.16, 1/CP.16, 2/CP.17, 13/CP.17 and 1/CP.18.</w:t>
      </w:r>
    </w:p>
  </w:footnote>
  <w:footnote w:id="10">
    <w:p w14:paraId="4BC87030" w14:textId="77777777" w:rsidR="004E0088" w:rsidRPr="006C38E4" w:rsidRDefault="004E0088" w:rsidP="002E0E55">
      <w:pPr>
        <w:pStyle w:val="FootnoteText"/>
      </w:pPr>
      <w:r>
        <w:tab/>
      </w:r>
      <w:r>
        <w:rPr>
          <w:rStyle w:val="FootnoteReference"/>
        </w:rPr>
        <w:footnoteRef/>
      </w:r>
      <w:r>
        <w:tab/>
      </w:r>
      <w:r w:rsidRPr="00183F19">
        <w:t>Decisions 7/CMP.1, 29/CMP.1, 6/CMP.2, 6/CMP.4, 11/CMP.6, 15/CMP.7 and 10/CMP.8.</w:t>
      </w:r>
    </w:p>
  </w:footnote>
  <w:footnote w:id="11">
    <w:p w14:paraId="4BC87031" w14:textId="77777777" w:rsidR="004E0088" w:rsidRPr="00595036" w:rsidRDefault="004E0088" w:rsidP="002E0E55">
      <w:pPr>
        <w:pStyle w:val="FootnoteText"/>
        <w:rPr>
          <w:lang w:val="en-US"/>
        </w:rPr>
      </w:pPr>
      <w:r>
        <w:tab/>
      </w:r>
      <w:r>
        <w:rPr>
          <w:rStyle w:val="FootnoteReference"/>
        </w:rPr>
        <w:footnoteRef/>
      </w:r>
      <w:r>
        <w:tab/>
        <w:t>Decision 2/CP.10.</w:t>
      </w:r>
    </w:p>
  </w:footnote>
  <w:footnote w:id="12">
    <w:p w14:paraId="4BC87032" w14:textId="77777777" w:rsidR="004E0088" w:rsidRPr="00595036" w:rsidRDefault="004E0088" w:rsidP="002E0E55">
      <w:pPr>
        <w:pStyle w:val="FootnoteText"/>
        <w:rPr>
          <w:lang w:val="en-US"/>
        </w:rPr>
      </w:pPr>
      <w:r>
        <w:tab/>
      </w:r>
      <w:r>
        <w:rPr>
          <w:rStyle w:val="FootnoteReference"/>
        </w:rPr>
        <w:footnoteRef/>
      </w:r>
      <w:r>
        <w:tab/>
        <w:t>Decisions 13/CP.17 and 15/CMP.7.</w:t>
      </w:r>
    </w:p>
  </w:footnote>
  <w:footnote w:id="13">
    <w:p w14:paraId="39BC3397" w14:textId="71630E50" w:rsidR="004E0088" w:rsidRPr="002B371E" w:rsidRDefault="004E0088" w:rsidP="002B371E">
      <w:pPr>
        <w:pStyle w:val="FootnoteText"/>
        <w:widowControl w:val="0"/>
        <w:rPr>
          <w:lang w:val="en-US"/>
        </w:rPr>
      </w:pPr>
      <w:r>
        <w:tab/>
      </w:r>
      <w:r>
        <w:rPr>
          <w:rStyle w:val="FootnoteReference"/>
        </w:rPr>
        <w:footnoteRef/>
      </w:r>
      <w:r>
        <w:tab/>
        <w:t>&lt;</w:t>
      </w:r>
      <w:r w:rsidRPr="009845C7">
        <w:t>http://unfccc.int/capacitybuilding/core/activities.html</w:t>
      </w:r>
      <w:r>
        <w:t>&gt;.</w:t>
      </w:r>
    </w:p>
  </w:footnote>
  <w:footnote w:id="14">
    <w:p w14:paraId="7C892AF8" w14:textId="77777777" w:rsidR="004E0088" w:rsidRPr="00B06611" w:rsidRDefault="004E0088" w:rsidP="001419F6">
      <w:pPr>
        <w:pStyle w:val="FootnoteText"/>
      </w:pPr>
      <w:r>
        <w:tab/>
      </w:r>
      <w:r w:rsidRPr="00B06611">
        <w:rPr>
          <w:rStyle w:val="FootnoteReference"/>
        </w:rPr>
        <w:footnoteRef/>
      </w:r>
      <w:r w:rsidRPr="00B06611">
        <w:t xml:space="preserve"> </w:t>
      </w:r>
      <w:r w:rsidRPr="00B06611">
        <w:tab/>
        <w:t>Decision 19/CP.20.</w:t>
      </w:r>
    </w:p>
  </w:footnote>
  <w:footnote w:id="15">
    <w:p w14:paraId="3542707E" w14:textId="77777777" w:rsidR="004E0088" w:rsidRPr="00FB0274" w:rsidRDefault="004E0088" w:rsidP="001419F6">
      <w:pPr>
        <w:pStyle w:val="FootnoteText"/>
        <w:rPr>
          <w:szCs w:val="18"/>
        </w:rPr>
      </w:pPr>
      <w:r w:rsidRPr="004945DA">
        <w:tab/>
      </w:r>
      <w:r w:rsidRPr="00FB0274">
        <w:rPr>
          <w:rStyle w:val="FootnoteReference"/>
          <w:szCs w:val="18"/>
        </w:rPr>
        <w:footnoteRef/>
      </w:r>
      <w:r w:rsidRPr="00FB0274">
        <w:rPr>
          <w:szCs w:val="18"/>
        </w:rPr>
        <w:tab/>
        <w:t xml:space="preserve">Decision 15/CP.18, paragraphs 1 and 2. </w:t>
      </w:r>
    </w:p>
  </w:footnote>
  <w:footnote w:id="16">
    <w:p w14:paraId="50E26A1D" w14:textId="77777777" w:rsidR="004E0088" w:rsidRPr="00FB0274" w:rsidRDefault="004E0088" w:rsidP="001419F6">
      <w:pPr>
        <w:pStyle w:val="FootnoteText"/>
        <w:rPr>
          <w:szCs w:val="18"/>
          <w:lang w:val="it-IT"/>
        </w:rPr>
      </w:pPr>
      <w:r w:rsidRPr="00CC65E2">
        <w:rPr>
          <w:sz w:val="16"/>
          <w:szCs w:val="16"/>
        </w:rPr>
        <w:tab/>
      </w:r>
      <w:r w:rsidRPr="00FB0274">
        <w:rPr>
          <w:rStyle w:val="FootnoteReference"/>
          <w:szCs w:val="18"/>
        </w:rPr>
        <w:footnoteRef/>
      </w:r>
      <w:r w:rsidRPr="00FB0274">
        <w:rPr>
          <w:szCs w:val="18"/>
          <w:lang w:val="it-IT"/>
        </w:rPr>
        <w:tab/>
        <w:t>Decision 15/CP.18, annex, paragraph 35(a).</w:t>
      </w:r>
    </w:p>
  </w:footnote>
  <w:footnote w:id="17">
    <w:p w14:paraId="190DBA4C" w14:textId="77777777" w:rsidR="004E0088" w:rsidRPr="00F84200" w:rsidRDefault="004E0088" w:rsidP="001419F6">
      <w:pPr>
        <w:pStyle w:val="FootnoteText"/>
        <w:rPr>
          <w:lang w:val="it-IT"/>
        </w:rPr>
      </w:pPr>
      <w:r>
        <w:rPr>
          <w:lang w:val="it-IT"/>
        </w:rPr>
        <w:tab/>
      </w:r>
      <w:r>
        <w:rPr>
          <w:rStyle w:val="FootnoteReference"/>
        </w:rPr>
        <w:footnoteRef/>
      </w:r>
      <w:r>
        <w:rPr>
          <w:lang w:val="it-IT"/>
        </w:rPr>
        <w:tab/>
      </w:r>
      <w:r w:rsidRPr="00F84200">
        <w:rPr>
          <w:lang w:val="it-IT"/>
        </w:rPr>
        <w:t>FCCC/SBI/2014/3.</w:t>
      </w:r>
    </w:p>
  </w:footnote>
  <w:footnote w:id="18">
    <w:p w14:paraId="3EB0AE55" w14:textId="77777777" w:rsidR="004E0088" w:rsidRPr="00975044" w:rsidRDefault="004E0088" w:rsidP="001419F6">
      <w:pPr>
        <w:pStyle w:val="FootnoteText"/>
        <w:rPr>
          <w:lang w:val="it-IT"/>
        </w:rPr>
      </w:pPr>
      <w:r w:rsidRPr="00975044">
        <w:rPr>
          <w:lang w:val="it-IT"/>
        </w:rPr>
        <w:tab/>
      </w:r>
      <w:r>
        <w:rPr>
          <w:rStyle w:val="FootnoteReference"/>
        </w:rPr>
        <w:footnoteRef/>
      </w:r>
      <w:r w:rsidRPr="00975044">
        <w:rPr>
          <w:lang w:val="it-IT"/>
        </w:rPr>
        <w:t xml:space="preserve"> </w:t>
      </w:r>
      <w:r w:rsidRPr="00975044">
        <w:rPr>
          <w:lang w:val="it-IT"/>
        </w:rPr>
        <w:tab/>
        <w:t>FCCC/SBI/2014/8, paragraphs 169–173.</w:t>
      </w:r>
    </w:p>
  </w:footnote>
  <w:footnote w:id="19">
    <w:p w14:paraId="4BC87037" w14:textId="77777777" w:rsidR="004E0088" w:rsidRPr="000A3202" w:rsidRDefault="004E0088" w:rsidP="00E146AF">
      <w:pPr>
        <w:pStyle w:val="FootnoteText"/>
        <w:widowControl w:val="0"/>
        <w:tabs>
          <w:tab w:val="clear" w:pos="1021"/>
          <w:tab w:val="right" w:pos="1020"/>
        </w:tabs>
        <w:rPr>
          <w:lang w:val="en-US"/>
        </w:rPr>
      </w:pPr>
      <w:r>
        <w:tab/>
      </w:r>
      <w:r>
        <w:rPr>
          <w:rStyle w:val="FootnoteReference"/>
        </w:rPr>
        <w:footnoteRef/>
      </w:r>
      <w:r>
        <w:tab/>
        <w:t>&lt;</w:t>
      </w:r>
      <w:r w:rsidRPr="000A3202">
        <w:t>http:</w:t>
      </w:r>
      <w:r>
        <w:t xml:space="preserve">//unfccc.int/4531&gt;. </w:t>
      </w:r>
    </w:p>
  </w:footnote>
  <w:footnote w:id="20">
    <w:p w14:paraId="4BC87038" w14:textId="77777777" w:rsidR="004E0088" w:rsidRPr="00CF1649" w:rsidRDefault="004E0088" w:rsidP="001D4A38">
      <w:pPr>
        <w:pStyle w:val="FootnoteText"/>
        <w:widowControl w:val="0"/>
        <w:tabs>
          <w:tab w:val="clear" w:pos="1021"/>
          <w:tab w:val="right" w:pos="1020"/>
        </w:tabs>
        <w:rPr>
          <w:lang w:val="en-US"/>
        </w:rPr>
      </w:pPr>
      <w:r>
        <w:tab/>
      </w:r>
      <w:r>
        <w:rPr>
          <w:rStyle w:val="FootnoteReference"/>
        </w:rPr>
        <w:footnoteRef/>
      </w:r>
      <w:r>
        <w:tab/>
        <w:t>&lt;http://unfccc.int/4531&gt;.</w:t>
      </w:r>
    </w:p>
  </w:footnote>
  <w:footnote w:id="21">
    <w:p w14:paraId="4BC87039" w14:textId="4A831F18" w:rsidR="004E0088" w:rsidRPr="00EE71D8" w:rsidRDefault="004E0088" w:rsidP="00964DCB">
      <w:pPr>
        <w:pStyle w:val="FootnoteText"/>
        <w:widowControl w:val="0"/>
        <w:tabs>
          <w:tab w:val="clear" w:pos="1021"/>
          <w:tab w:val="right" w:pos="1020"/>
        </w:tabs>
      </w:pPr>
      <w:r w:rsidRPr="00D43943">
        <w:tab/>
      </w:r>
      <w:r w:rsidRPr="00D43943">
        <w:rPr>
          <w:rStyle w:val="FootnoteReference"/>
        </w:rPr>
        <w:footnoteRef/>
      </w:r>
      <w:r w:rsidRPr="007207B1">
        <w:tab/>
      </w:r>
      <w:r>
        <w:t xml:space="preserve">Documents </w:t>
      </w:r>
      <w:r w:rsidRPr="00886B02">
        <w:t>FCCC/SBI/2015/7, FCCC/SBI/2015/MISC.2, FCCC/SBI/2015/8 and FCCC/SBI/2015/6, respectively.</w:t>
      </w:r>
    </w:p>
  </w:footnote>
  <w:footnote w:id="22">
    <w:p w14:paraId="4BC8703A" w14:textId="77777777" w:rsidR="004E0088" w:rsidRPr="00EE71D8" w:rsidRDefault="004E0088" w:rsidP="00964DCB">
      <w:pPr>
        <w:pStyle w:val="FootnoteText"/>
      </w:pPr>
      <w:r w:rsidRPr="00D43943">
        <w:tab/>
      </w:r>
      <w:r w:rsidRPr="00D43943">
        <w:rPr>
          <w:rStyle w:val="FootnoteReference"/>
        </w:rPr>
        <w:footnoteRef/>
      </w:r>
      <w:r w:rsidRPr="007207B1">
        <w:tab/>
      </w:r>
      <w:r w:rsidRPr="00886B02">
        <w:t>Decisions 29/CP.7, 7/CP.9, 4/CP.11, 8/CP.13, 6/CP.16, 5/CP.17, 12/CP.18 and 3/CP.20.</w:t>
      </w:r>
    </w:p>
  </w:footnote>
  <w:footnote w:id="23">
    <w:p w14:paraId="4BC8703B" w14:textId="77777777" w:rsidR="004E0088" w:rsidRPr="00EE71D8" w:rsidRDefault="004E0088" w:rsidP="00964DCB">
      <w:pPr>
        <w:pStyle w:val="FootnoteText"/>
        <w:widowControl w:val="0"/>
        <w:tabs>
          <w:tab w:val="clear" w:pos="1021"/>
          <w:tab w:val="right" w:pos="1020"/>
        </w:tabs>
      </w:pPr>
      <w:r w:rsidRPr="00D43943">
        <w:tab/>
      </w:r>
      <w:r w:rsidRPr="00D43943">
        <w:rPr>
          <w:rStyle w:val="FootnoteReference"/>
        </w:rPr>
        <w:footnoteRef/>
      </w:r>
      <w:r w:rsidRPr="007207B1">
        <w:tab/>
      </w:r>
      <w:r w:rsidRPr="00886B02">
        <w:t>See document FCCC/SBI/2015/8.</w:t>
      </w:r>
      <w:r w:rsidRPr="00D43943">
        <w:t xml:space="preserve"> </w:t>
      </w:r>
    </w:p>
  </w:footnote>
  <w:footnote w:id="24">
    <w:p w14:paraId="4BC8703C" w14:textId="4B74513B" w:rsidR="004E0088" w:rsidRPr="00B26719" w:rsidRDefault="004E0088" w:rsidP="00964DCB">
      <w:pPr>
        <w:pStyle w:val="FootnoteText"/>
        <w:widowControl w:val="0"/>
        <w:tabs>
          <w:tab w:val="clear" w:pos="1021"/>
          <w:tab w:val="right" w:pos="1020"/>
        </w:tabs>
      </w:pPr>
      <w:r w:rsidRPr="00D43943">
        <w:tab/>
      </w:r>
      <w:r w:rsidRPr="00D43943">
        <w:rPr>
          <w:rStyle w:val="FootnoteReference"/>
        </w:rPr>
        <w:footnoteRef/>
      </w:r>
      <w:r w:rsidRPr="007207B1">
        <w:tab/>
      </w:r>
      <w:r>
        <w:t xml:space="preserve">See documents </w:t>
      </w:r>
      <w:r w:rsidRPr="00886B02">
        <w:t>FCCC/SBI/2015/6, FCCC/SBI/2015/7, FCCC/SBI/2015/8, FCCC/SBI/2015/INF.6 and FCCC/SBI/2015/INF.14</w:t>
      </w:r>
      <w:r w:rsidRPr="00B26719">
        <w:t>.</w:t>
      </w:r>
      <w:r w:rsidRPr="00D43943">
        <w:t xml:space="preserve"> </w:t>
      </w:r>
    </w:p>
  </w:footnote>
  <w:footnote w:id="25">
    <w:p w14:paraId="4BC8703D" w14:textId="77777777" w:rsidR="004E0088" w:rsidRDefault="004E0088" w:rsidP="00964DCB">
      <w:pPr>
        <w:pStyle w:val="FootnoteText"/>
      </w:pPr>
      <w:r>
        <w:tab/>
      </w:r>
      <w:r>
        <w:rPr>
          <w:rStyle w:val="FootnoteReference"/>
        </w:rPr>
        <w:footnoteRef/>
      </w:r>
      <w:r>
        <w:t xml:space="preserve"> </w:t>
      </w:r>
      <w:r>
        <w:tab/>
      </w:r>
      <w:r w:rsidRPr="00151F53">
        <w:rPr>
          <w:lang w:val="en-US"/>
        </w:rPr>
        <w:t>&lt;</w:t>
      </w:r>
      <w:r w:rsidRPr="00977B61">
        <w:rPr>
          <w:lang w:val="en-US"/>
        </w:rPr>
        <w:t>http://www.unfccc.int/5900</w:t>
      </w:r>
      <w:r w:rsidRPr="00151F53">
        <w:rPr>
          <w:lang w:val="en-US"/>
        </w:rPr>
        <w:t>&gt;.</w:t>
      </w:r>
    </w:p>
  </w:footnote>
  <w:footnote w:id="26">
    <w:p w14:paraId="4BC8703E" w14:textId="77777777" w:rsidR="004E0088" w:rsidRPr="006F7625" w:rsidRDefault="004E0088" w:rsidP="005140C3">
      <w:pPr>
        <w:pStyle w:val="FootnoteText"/>
        <w:widowControl w:val="0"/>
        <w:tabs>
          <w:tab w:val="clear" w:pos="1021"/>
          <w:tab w:val="right" w:pos="1020"/>
        </w:tabs>
        <w:rPr>
          <w:lang w:val="en-US"/>
        </w:rPr>
      </w:pPr>
      <w:r>
        <w:tab/>
      </w:r>
      <w:r>
        <w:rPr>
          <w:rStyle w:val="FootnoteReference"/>
        </w:rPr>
        <w:footnoteRef/>
      </w:r>
      <w:r>
        <w:tab/>
      </w:r>
      <w:r w:rsidRPr="006F7625">
        <w:t>Decision 15/CP.1, annex I, as revised by decision 23/CP.20.</w:t>
      </w:r>
    </w:p>
  </w:footnote>
  <w:footnote w:id="27">
    <w:p w14:paraId="4BC8703F" w14:textId="77777777" w:rsidR="004E0088" w:rsidRPr="006F7625" w:rsidRDefault="004E0088" w:rsidP="005140C3">
      <w:pPr>
        <w:pStyle w:val="FootnoteText"/>
        <w:widowControl w:val="0"/>
        <w:tabs>
          <w:tab w:val="clear" w:pos="1021"/>
          <w:tab w:val="right" w:pos="1020"/>
        </w:tabs>
        <w:rPr>
          <w:lang w:val="en-US"/>
        </w:rPr>
      </w:pPr>
      <w:r w:rsidRPr="006F7625">
        <w:tab/>
      </w:r>
      <w:r w:rsidRPr="006F7625">
        <w:rPr>
          <w:rStyle w:val="FootnoteReference"/>
        </w:rPr>
        <w:footnoteRef/>
      </w:r>
      <w:r w:rsidRPr="006F7625">
        <w:tab/>
        <w:t>FCCC/SBI/2015/13, FCCC/SBI/2015/INF.10 and FCCC/SBI/2015/INF.17.</w:t>
      </w:r>
    </w:p>
  </w:footnote>
  <w:footnote w:id="28">
    <w:p w14:paraId="4BC87040" w14:textId="77777777" w:rsidR="004E0088" w:rsidRPr="006F7625" w:rsidRDefault="004E0088" w:rsidP="005140C3">
      <w:pPr>
        <w:pStyle w:val="FootnoteText"/>
        <w:widowControl w:val="0"/>
        <w:tabs>
          <w:tab w:val="clear" w:pos="1021"/>
          <w:tab w:val="right" w:pos="1020"/>
        </w:tabs>
        <w:rPr>
          <w:lang w:val="fr-FR"/>
        </w:rPr>
      </w:pPr>
      <w:r w:rsidRPr="006F7625">
        <w:tab/>
      </w:r>
      <w:r w:rsidRPr="006F7625">
        <w:rPr>
          <w:rStyle w:val="FootnoteReference"/>
        </w:rPr>
        <w:footnoteRef/>
      </w:r>
      <w:r w:rsidRPr="006F7625">
        <w:rPr>
          <w:lang w:val="fr-FR"/>
        </w:rPr>
        <w:tab/>
        <w:t>FCCC/SBI/2015/13.</w:t>
      </w:r>
    </w:p>
  </w:footnote>
  <w:footnote w:id="29">
    <w:p w14:paraId="4BC87041" w14:textId="77777777" w:rsidR="004E0088" w:rsidRPr="00B24189" w:rsidRDefault="004E0088" w:rsidP="005140C3">
      <w:pPr>
        <w:pStyle w:val="FootnoteText"/>
        <w:widowControl w:val="0"/>
        <w:tabs>
          <w:tab w:val="clear" w:pos="1021"/>
          <w:tab w:val="right" w:pos="1020"/>
        </w:tabs>
        <w:rPr>
          <w:lang w:val="fr-FR"/>
        </w:rPr>
      </w:pPr>
      <w:r w:rsidRPr="006F7625">
        <w:rPr>
          <w:lang w:val="fr-FR"/>
        </w:rPr>
        <w:tab/>
      </w:r>
      <w:r w:rsidRPr="006F7625">
        <w:rPr>
          <w:rStyle w:val="FootnoteReference"/>
        </w:rPr>
        <w:footnoteRef/>
      </w:r>
      <w:r w:rsidRPr="006F7625">
        <w:rPr>
          <w:lang w:val="fr-FR"/>
        </w:rPr>
        <w:tab/>
        <w:t>FCCC/SBI/2015/INF.17.</w:t>
      </w:r>
    </w:p>
  </w:footnote>
  <w:footnote w:id="30">
    <w:p w14:paraId="4BC87042" w14:textId="77777777" w:rsidR="004E0088" w:rsidRPr="003C3C75" w:rsidRDefault="004E0088" w:rsidP="005140C3">
      <w:pPr>
        <w:pStyle w:val="FootnoteText"/>
        <w:widowControl w:val="0"/>
        <w:tabs>
          <w:tab w:val="clear" w:pos="1021"/>
          <w:tab w:val="right" w:pos="1020"/>
        </w:tabs>
        <w:rPr>
          <w:lang w:val="en-US"/>
        </w:rPr>
      </w:pPr>
      <w:r w:rsidRPr="003C3C75">
        <w:rPr>
          <w:lang w:val="fr-FR"/>
        </w:rPr>
        <w:tab/>
      </w:r>
      <w:r>
        <w:rPr>
          <w:rStyle w:val="FootnoteReference"/>
        </w:rPr>
        <w:footnoteRef/>
      </w:r>
      <w:r w:rsidRPr="003C3C75">
        <w:rPr>
          <w:lang w:val="en-US"/>
        </w:rPr>
        <w:tab/>
      </w:r>
      <w:r w:rsidRPr="00A028E1">
        <w:rPr>
          <w:lang w:val="en-US"/>
        </w:rPr>
        <w:t>FCCC/SBI/2015/INF.10.</w:t>
      </w:r>
    </w:p>
  </w:footnote>
  <w:footnote w:id="31">
    <w:p w14:paraId="4BC87043" w14:textId="77777777" w:rsidR="004E0088" w:rsidRPr="006F7625" w:rsidRDefault="004E0088" w:rsidP="005140C3">
      <w:pPr>
        <w:pStyle w:val="FootnoteText"/>
        <w:widowControl w:val="0"/>
        <w:tabs>
          <w:tab w:val="clear" w:pos="1021"/>
          <w:tab w:val="right" w:pos="1020"/>
        </w:tabs>
      </w:pPr>
      <w:r w:rsidRPr="00D41C73">
        <w:tab/>
      </w:r>
      <w:r w:rsidRPr="00D41C73">
        <w:rPr>
          <w:rStyle w:val="FootnoteReference"/>
        </w:rPr>
        <w:footnoteRef/>
      </w:r>
      <w:r w:rsidRPr="00D41C73">
        <w:tab/>
      </w:r>
      <w:r w:rsidRPr="006F7625">
        <w:t>Decision 15/CP.1, annex I, as revised by decision 23/CP.20.</w:t>
      </w:r>
    </w:p>
  </w:footnote>
  <w:footnote w:id="32">
    <w:p w14:paraId="4BC87044" w14:textId="77777777" w:rsidR="004E0088" w:rsidRPr="00D41C73" w:rsidRDefault="004E0088" w:rsidP="005140C3">
      <w:pPr>
        <w:pStyle w:val="FootnoteText"/>
        <w:widowControl w:val="0"/>
        <w:tabs>
          <w:tab w:val="clear" w:pos="1021"/>
          <w:tab w:val="right" w:pos="1020"/>
        </w:tabs>
      </w:pPr>
      <w:r w:rsidRPr="006F7625">
        <w:tab/>
      </w:r>
      <w:r w:rsidRPr="006F7625">
        <w:rPr>
          <w:rStyle w:val="FootnoteReference"/>
        </w:rPr>
        <w:footnoteRef/>
      </w:r>
      <w:r w:rsidRPr="006F7625">
        <w:tab/>
      </w:r>
      <w:r w:rsidRPr="00A028E1">
        <w:t>FCCC/SBI/2015/3 and Add.1–3</w:t>
      </w:r>
      <w:r w:rsidRPr="006F7625">
        <w:t>.</w:t>
      </w:r>
    </w:p>
  </w:footnote>
  <w:footnote w:id="33">
    <w:p w14:paraId="4BC87045" w14:textId="5978412C" w:rsidR="004E0088" w:rsidRPr="00D41C73" w:rsidRDefault="004E0088" w:rsidP="005140C3">
      <w:pPr>
        <w:pStyle w:val="FootnoteText"/>
        <w:widowControl w:val="0"/>
        <w:tabs>
          <w:tab w:val="clear" w:pos="1021"/>
          <w:tab w:val="right" w:pos="1020"/>
        </w:tabs>
      </w:pPr>
      <w:r w:rsidRPr="00D41C73">
        <w:tab/>
      </w:r>
      <w:r w:rsidRPr="00D41C73">
        <w:rPr>
          <w:rStyle w:val="FootnoteReference"/>
        </w:rPr>
        <w:footnoteRef/>
      </w:r>
      <w:r w:rsidRPr="00D41C73">
        <w:tab/>
        <w:t xml:space="preserve">Recognizes that, in accordance with </w:t>
      </w:r>
      <w:r w:rsidRPr="00A028E1">
        <w:t>decision 13/CP.20</w:t>
      </w:r>
      <w:r w:rsidRPr="00D41C73">
        <w:t xml:space="preserve">, three operational approaches may be used for implementing the technical review of the greenhouse gas inventories of Parties included in Annex I to the Convention, namely desk reviews, centralized reviews and in-country reviews, assuming available resources, and recognizes that the secretariat may implement such reviews according to decision 13/CP.20 in 2016–2017, taking into account the programme budget and supplementary resources provided for under this decision. </w:t>
      </w:r>
    </w:p>
  </w:footnote>
  <w:footnote w:id="34">
    <w:p w14:paraId="4BC87046" w14:textId="5728AF83" w:rsidR="004E0088" w:rsidRPr="00D41C73" w:rsidRDefault="004E0088" w:rsidP="005140C3">
      <w:pPr>
        <w:pStyle w:val="FootnoteText"/>
        <w:widowControl w:val="0"/>
        <w:tabs>
          <w:tab w:val="clear" w:pos="1021"/>
          <w:tab w:val="right" w:pos="1020"/>
        </w:tabs>
      </w:pPr>
      <w:r w:rsidRPr="00D41C73">
        <w:tab/>
      </w:r>
      <w:r w:rsidRPr="00D41C73">
        <w:rPr>
          <w:rStyle w:val="FootnoteReference"/>
        </w:rPr>
        <w:footnoteRef/>
      </w:r>
      <w:r w:rsidRPr="00D41C73">
        <w:tab/>
      </w:r>
      <w:r>
        <w:t xml:space="preserve">United Nations Secretariat document </w:t>
      </w:r>
      <w:r w:rsidRPr="004D6C3E">
        <w:t>ST/SGB/2013/4.</w:t>
      </w:r>
    </w:p>
  </w:footnote>
  <w:footnote w:id="35">
    <w:p w14:paraId="4BC87047" w14:textId="77777777" w:rsidR="004E0088" w:rsidRPr="00102E19" w:rsidRDefault="004E0088" w:rsidP="00E271AE">
      <w:pPr>
        <w:pStyle w:val="FootnoteText"/>
        <w:rPr>
          <w:lang w:val="en-US"/>
        </w:rPr>
      </w:pPr>
      <w:r>
        <w:tab/>
      </w:r>
      <w:r>
        <w:rPr>
          <w:rStyle w:val="FootnoteReference"/>
        </w:rPr>
        <w:footnoteRef/>
      </w:r>
      <w:r>
        <w:tab/>
        <w:t xml:space="preserve">FCCC/SBI/2014/8, paragraphs 212 and 213.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8701C" w14:textId="7FEDB16C" w:rsidR="004E0088" w:rsidRPr="00FF3388" w:rsidRDefault="004E0088" w:rsidP="00FF3388">
    <w:pPr>
      <w:pStyle w:val="Header"/>
    </w:pPr>
    <w:r>
      <w:t>FCCC/CP/2015/10/Add.3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AFB88" w14:textId="681D4513" w:rsidR="004E0088" w:rsidRPr="00FF3388" w:rsidRDefault="004E0088" w:rsidP="00FF3388">
    <w:pPr>
      <w:pStyle w:val="Header"/>
    </w:pPr>
    <w:r>
      <w:t>FCCC/CP/2015/10/Add.3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029BA" w14:textId="18D3BCD1" w:rsidR="004E0088" w:rsidRPr="00FF3388" w:rsidRDefault="004E0088" w:rsidP="00FF3388">
    <w:pPr>
      <w:pStyle w:val="Header"/>
      <w:jc w:val="right"/>
    </w:pPr>
    <w:r>
      <w:t>FCCC/CP/2015/10/Add.3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CB36D" w14:textId="109ACC7B" w:rsidR="004E0088" w:rsidRPr="00FF3388" w:rsidRDefault="004E0088" w:rsidP="00FF3388">
    <w:pPr>
      <w:pStyle w:val="Header"/>
    </w:pPr>
    <w:r>
      <w:t>FCCC/CP/2015/10/Add.3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C55F7" w14:textId="4957065D" w:rsidR="004E0088" w:rsidRPr="00FF3388" w:rsidRDefault="004E0088" w:rsidP="00FF3388">
    <w:pPr>
      <w:pStyle w:val="Header"/>
      <w:jc w:val="right"/>
    </w:pPr>
    <w:r>
      <w:t>FCCC/CP/2015/10/Add.3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9D99C" w14:textId="3DF6CA37" w:rsidR="004E0088" w:rsidRPr="00FF3388" w:rsidRDefault="004E0088" w:rsidP="00FF3388">
    <w:pPr>
      <w:pStyle w:val="Header"/>
    </w:pPr>
    <w:r>
      <w:t>FCCC/CP/2015/10/Add.3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5A00E" w14:textId="794D19B4" w:rsidR="004E0088" w:rsidRPr="00FF3388" w:rsidRDefault="004E0088" w:rsidP="00FF3388">
    <w:pPr>
      <w:pStyle w:val="Header"/>
    </w:pPr>
    <w:r>
      <w:t>FCCC/CP/2015/10/Add.3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79E" w14:textId="0F37FAB8" w:rsidR="004E0088" w:rsidRPr="00FF3388" w:rsidRDefault="004E0088" w:rsidP="00FF3388">
    <w:pPr>
      <w:pStyle w:val="Header"/>
      <w:jc w:val="right"/>
    </w:pPr>
    <w:r>
      <w:t>FCCC/CP/2015/10/Add.3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87025" w14:textId="4DAC1429" w:rsidR="004E0088" w:rsidRPr="00FF3388" w:rsidRDefault="004E0088" w:rsidP="00FF3388">
    <w:pPr>
      <w:pStyle w:val="Header"/>
    </w:pPr>
    <w:r>
      <w:t>FCCC/CP/2015/10/Add.3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D6B42" w14:textId="6FE0DC03" w:rsidR="004E0088" w:rsidRPr="00FF3388" w:rsidRDefault="004E0088" w:rsidP="00FF3388">
    <w:pPr>
      <w:pStyle w:val="Header"/>
    </w:pPr>
    <w:r>
      <w:t>FCCC/CP/2015/10/Add.3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4AFC4" w14:textId="587CBC30" w:rsidR="004E0088" w:rsidRPr="00FF3388" w:rsidRDefault="004E0088" w:rsidP="00FF3388">
    <w:pPr>
      <w:pStyle w:val="Header"/>
      <w:jc w:val="right"/>
    </w:pPr>
    <w:r>
      <w:t>FCCC/CP/2015/10/Add.3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8701D" w14:textId="77777777" w:rsidR="004E0088" w:rsidRPr="009C178C" w:rsidRDefault="004E0088" w:rsidP="009C178C">
    <w:pPr>
      <w:pStyle w:val="Header"/>
      <w:jc w:val="right"/>
    </w:pPr>
    <w:r>
      <w:t>FCCC/CP/2015/X/Add.3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6C6FC" w14:textId="275AFEE7" w:rsidR="004E0088" w:rsidRPr="00FF3388" w:rsidRDefault="004E0088" w:rsidP="00FF3388">
    <w:pPr>
      <w:pStyle w:val="Header"/>
    </w:pPr>
    <w:r>
      <w:t>FCCC/CP/2015/10/Add.3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70C13" w14:textId="5E6C4B73" w:rsidR="004E0088" w:rsidRPr="00FF3388" w:rsidRDefault="004E0088" w:rsidP="00FF3388">
    <w:pPr>
      <w:pStyle w:val="Header"/>
      <w:jc w:val="right"/>
    </w:pPr>
    <w:r>
      <w:t>FCCC/CP/2015/10/Add.3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51566" w14:textId="68A93B0B" w:rsidR="004E0088" w:rsidRPr="00FF3388" w:rsidRDefault="004E0088" w:rsidP="00FF3388">
    <w:pPr>
      <w:pStyle w:val="Header"/>
    </w:pPr>
    <w:r>
      <w:t>FCCC/CP/2015/10/Add.3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3B838" w14:textId="02C4A0C1" w:rsidR="004E0088" w:rsidRPr="00FF3388" w:rsidRDefault="004E0088" w:rsidP="00FF3388">
    <w:pPr>
      <w:pStyle w:val="Header"/>
      <w:jc w:val="right"/>
    </w:pPr>
    <w:r>
      <w:t>FCCC/CP/2015/10/Add.3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47D2A" w14:textId="77777777" w:rsidR="004E0088" w:rsidRPr="00FF3388" w:rsidRDefault="004E0088" w:rsidP="00FF3388">
    <w:pPr>
      <w:pStyle w:val="Header"/>
      <w:jc w:val="right"/>
    </w:pPr>
    <w:r>
      <w:t>FCCC/CP/2015/10/Add.3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AEB74" w14:textId="77777777" w:rsidR="004E0088" w:rsidRDefault="004E0088" w:rsidP="003458D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87020" w14:textId="2A2B5E70" w:rsidR="004E0088" w:rsidRPr="00FF3388" w:rsidRDefault="004E0088" w:rsidP="00FF3388">
    <w:pPr>
      <w:pStyle w:val="Header"/>
    </w:pPr>
    <w:r>
      <w:t>FCCC/CP/2015/10/Add.3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87021" w14:textId="69200A71" w:rsidR="004E0088" w:rsidRPr="00FF3388" w:rsidRDefault="004E0088" w:rsidP="00FF3388">
    <w:pPr>
      <w:pStyle w:val="Header"/>
      <w:jc w:val="right"/>
    </w:pPr>
    <w:r>
      <w:t>FCCC/CP/2015/10/Add.3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D1E91" w14:textId="5D4344C5" w:rsidR="004E0088" w:rsidRPr="00FF3388" w:rsidRDefault="004E0088" w:rsidP="00FF3388">
    <w:pPr>
      <w:pStyle w:val="Header"/>
    </w:pPr>
    <w:r>
      <w:t>FCCC/CP/2015/10/Add.3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CE145" w14:textId="604E5CC3" w:rsidR="004E0088" w:rsidRPr="00FF3388" w:rsidRDefault="004E0088" w:rsidP="00FF3388">
    <w:pPr>
      <w:pStyle w:val="Header"/>
      <w:jc w:val="right"/>
    </w:pPr>
    <w:r>
      <w:t>FCCC/CP/2015/10/Add.3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5A5A5" w14:textId="7139ADEA" w:rsidR="004E0088" w:rsidRPr="00FF3388" w:rsidRDefault="004E0088" w:rsidP="00FF3388">
    <w:pPr>
      <w:pStyle w:val="Header"/>
    </w:pPr>
    <w:r>
      <w:t>FCCC/CP/2015/10/Add.3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A074D" w14:textId="5EDF46A6" w:rsidR="004E0088" w:rsidRPr="00FF3388" w:rsidRDefault="004E0088" w:rsidP="00FF3388">
    <w:pPr>
      <w:pStyle w:val="Header"/>
      <w:jc w:val="right"/>
    </w:pPr>
    <w:r>
      <w:t>FCCC/CP/2015/10/Add.3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322EE"/>
    <w:multiLevelType w:val="multilevel"/>
    <w:tmpl w:val="80362D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upperRoman"/>
      <w:lvlText w:val="%3."/>
      <w:lvlJc w:val="right"/>
      <w:pPr>
        <w:tabs>
          <w:tab w:val="num" w:pos="1135"/>
        </w:tabs>
        <w:ind w:left="1135" w:hanging="284"/>
      </w:pPr>
      <w:rPr>
        <w:rFonts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 w15:restartNumberingAfterBreak="0">
    <w:nsid w:val="07AA23AD"/>
    <w:multiLevelType w:val="multilevel"/>
    <w:tmpl w:val="B54EE174"/>
    <w:lvl w:ilvl="0">
      <w:start w:val="1"/>
      <w:numFmt w:val="none"/>
      <w:pStyle w:val="TOC5"/>
      <w:suff w:val="space"/>
      <w:lvlText w:val=""/>
      <w:lvlJc w:val="center"/>
      <w:pPr>
        <w:ind w:left="0" w:firstLine="0"/>
      </w:pPr>
      <w:rPr>
        <w:rFonts w:hint="default"/>
        <w:sz w:val="28"/>
      </w:rPr>
    </w:lvl>
    <w:lvl w:ilvl="1">
      <w:start w:val="1"/>
      <w:numFmt w:val="upperLetter"/>
      <w:pStyle w:val="TOC6"/>
      <w:suff w:val="space"/>
      <w:lvlText w:val="%2. "/>
      <w:lvlJc w:val="center"/>
      <w:pPr>
        <w:ind w:left="0" w:firstLine="0"/>
      </w:pPr>
      <w:rPr>
        <w:rFonts w:hint="default"/>
        <w:b/>
        <w:sz w:val="22"/>
        <w:u w:val="none"/>
      </w:rPr>
    </w:lvl>
    <w:lvl w:ilvl="2">
      <w:start w:val="1"/>
      <w:numFmt w:val="decimal"/>
      <w:pStyle w:val="TOC7"/>
      <w:suff w:val="space"/>
      <w:lvlText w:val="%3. "/>
      <w:lvlJc w:val="center"/>
      <w:pPr>
        <w:ind w:left="0" w:firstLine="0"/>
      </w:pPr>
      <w:rPr>
        <w:rFonts w:hint="default"/>
        <w:b w:val="0"/>
        <w:sz w:val="22"/>
        <w:u w:val="none"/>
      </w:rPr>
    </w:lvl>
    <w:lvl w:ilvl="3">
      <w:start w:val="1"/>
      <w:numFmt w:val="decimal"/>
      <w:lvlRestart w:val="0"/>
      <w:pStyle w:val="TOC8"/>
      <w:lvlText w:val="%4."/>
      <w:lvlJc w:val="left"/>
      <w:pPr>
        <w:tabs>
          <w:tab w:val="num" w:pos="720"/>
        </w:tabs>
        <w:ind w:left="0" w:firstLine="0"/>
      </w:pPr>
      <w:rPr>
        <w:rFonts w:hint="default"/>
        <w:b w:val="0"/>
        <w:sz w:val="22"/>
      </w:rPr>
    </w:lvl>
    <w:lvl w:ilvl="4">
      <w:start w:val="1"/>
      <w:numFmt w:val="lowerLetter"/>
      <w:lvlText w:val="(%5)"/>
      <w:lvlJc w:val="left"/>
      <w:pPr>
        <w:tabs>
          <w:tab w:val="num" w:pos="1440"/>
        </w:tabs>
        <w:ind w:left="1440" w:hanging="720"/>
      </w:pPr>
      <w:rPr>
        <w:rFonts w:hint="default"/>
        <w:b w:val="0"/>
        <w:sz w:val="22"/>
      </w:rPr>
    </w:lvl>
    <w:lvl w:ilvl="5">
      <w:start w:val="1"/>
      <w:numFmt w:val="lowerRoman"/>
      <w:lvlText w:val="(%6)"/>
      <w:lvlJc w:val="right"/>
      <w:pPr>
        <w:tabs>
          <w:tab w:val="num" w:pos="2160"/>
        </w:tabs>
        <w:ind w:left="2160" w:hanging="573"/>
      </w:pPr>
      <w:rPr>
        <w:rFonts w:hint="default"/>
      </w:r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rPr>
        <w:rFonts w:hint="default"/>
      </w:rPr>
    </w:lvl>
    <w:lvl w:ilvl="8">
      <w:start w:val="1"/>
      <w:numFmt w:val="none"/>
      <w:lvlText w:val="[(%5)%9"/>
      <w:lvlJc w:val="left"/>
      <w:pPr>
        <w:tabs>
          <w:tab w:val="num" w:pos="1440"/>
        </w:tabs>
        <w:ind w:left="1440" w:hanging="720"/>
      </w:pPr>
      <w:rPr>
        <w:rFonts w:hint="default"/>
      </w:rPr>
    </w:lvl>
  </w:abstractNum>
  <w:abstractNum w:abstractNumId="3"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 w15:restartNumberingAfterBreak="0">
    <w:nsid w:val="0A6D2084"/>
    <w:multiLevelType w:val="multilevel"/>
    <w:tmpl w:val="3BA21030"/>
    <w:lvl w:ilvl="0">
      <w:start w:val="1"/>
      <w:numFmt w:val="bullet"/>
      <w:lvlText w:val=""/>
      <w:lvlJc w:val="left"/>
      <w:pPr>
        <w:tabs>
          <w:tab w:val="num" w:pos="585"/>
        </w:tabs>
        <w:ind w:left="585" w:hanging="360"/>
      </w:pPr>
      <w:rPr>
        <w:rFonts w:ascii="Symbol" w:hAnsi="Symbol" w:hint="default"/>
      </w:rPr>
    </w:lvl>
    <w:lvl w:ilvl="1">
      <w:start w:val="1"/>
      <w:numFmt w:val="lowerLetter"/>
      <w:lvlRestart w:val="0"/>
      <w:suff w:val="space"/>
      <w:lvlText w:val="%2  "/>
      <w:lvlJc w:val="left"/>
      <w:pPr>
        <w:tabs>
          <w:tab w:val="num" w:pos="721"/>
        </w:tabs>
        <w:ind w:left="1135" w:firstLine="170"/>
      </w:pPr>
      <w:rPr>
        <w:rFonts w:hint="default"/>
        <w:i/>
        <w:sz w:val="18"/>
        <w:vertAlign w:val="superscript"/>
      </w:rPr>
    </w:lvl>
    <w:lvl w:ilvl="2">
      <w:start w:val="1"/>
      <w:numFmt w:val="bullet"/>
      <w:lvlText w:val=""/>
      <w:lvlJc w:val="left"/>
      <w:pPr>
        <w:tabs>
          <w:tab w:val="num" w:pos="2385"/>
        </w:tabs>
        <w:ind w:left="2385" w:hanging="360"/>
      </w:pPr>
      <w:rPr>
        <w:rFonts w:ascii="Wingdings" w:hAnsi="Wingdings" w:hint="default"/>
      </w:rPr>
    </w:lvl>
    <w:lvl w:ilvl="3" w:tentative="1">
      <w:start w:val="1"/>
      <w:numFmt w:val="bullet"/>
      <w:lvlText w:val=""/>
      <w:lvlJc w:val="left"/>
      <w:pPr>
        <w:tabs>
          <w:tab w:val="num" w:pos="3105"/>
        </w:tabs>
        <w:ind w:left="3105" w:hanging="360"/>
      </w:pPr>
      <w:rPr>
        <w:rFonts w:ascii="Symbol" w:hAnsi="Symbol" w:hint="default"/>
      </w:rPr>
    </w:lvl>
    <w:lvl w:ilvl="4" w:tentative="1">
      <w:start w:val="1"/>
      <w:numFmt w:val="bullet"/>
      <w:lvlText w:val="o"/>
      <w:lvlJc w:val="left"/>
      <w:pPr>
        <w:tabs>
          <w:tab w:val="num" w:pos="3825"/>
        </w:tabs>
        <w:ind w:left="3825" w:hanging="360"/>
      </w:pPr>
      <w:rPr>
        <w:rFonts w:ascii="Courier New" w:hAnsi="Courier New" w:hint="default"/>
      </w:rPr>
    </w:lvl>
    <w:lvl w:ilvl="5" w:tentative="1">
      <w:start w:val="1"/>
      <w:numFmt w:val="bullet"/>
      <w:lvlText w:val=""/>
      <w:lvlJc w:val="left"/>
      <w:pPr>
        <w:tabs>
          <w:tab w:val="num" w:pos="4545"/>
        </w:tabs>
        <w:ind w:left="4545" w:hanging="360"/>
      </w:pPr>
      <w:rPr>
        <w:rFonts w:ascii="Wingdings" w:hAnsi="Wingdings" w:hint="default"/>
      </w:rPr>
    </w:lvl>
    <w:lvl w:ilvl="6" w:tentative="1">
      <w:start w:val="1"/>
      <w:numFmt w:val="bullet"/>
      <w:lvlText w:val=""/>
      <w:lvlJc w:val="left"/>
      <w:pPr>
        <w:tabs>
          <w:tab w:val="num" w:pos="5265"/>
        </w:tabs>
        <w:ind w:left="5265" w:hanging="360"/>
      </w:pPr>
      <w:rPr>
        <w:rFonts w:ascii="Symbol" w:hAnsi="Symbol" w:hint="default"/>
      </w:rPr>
    </w:lvl>
    <w:lvl w:ilvl="7" w:tentative="1">
      <w:start w:val="1"/>
      <w:numFmt w:val="bullet"/>
      <w:lvlText w:val="o"/>
      <w:lvlJc w:val="left"/>
      <w:pPr>
        <w:tabs>
          <w:tab w:val="num" w:pos="5985"/>
        </w:tabs>
        <w:ind w:left="5985" w:hanging="360"/>
      </w:pPr>
      <w:rPr>
        <w:rFonts w:ascii="Courier New" w:hAnsi="Courier New" w:hint="default"/>
      </w:rPr>
    </w:lvl>
    <w:lvl w:ilvl="8" w:tentative="1">
      <w:start w:val="1"/>
      <w:numFmt w:val="bullet"/>
      <w:lvlText w:val=""/>
      <w:lvlJc w:val="left"/>
      <w:pPr>
        <w:tabs>
          <w:tab w:val="num" w:pos="6705"/>
        </w:tabs>
        <w:ind w:left="6705" w:hanging="360"/>
      </w:pPr>
      <w:rPr>
        <w:rFonts w:ascii="Wingdings" w:hAnsi="Wingdings" w:hint="default"/>
      </w:rPr>
    </w:lvl>
  </w:abstractNum>
  <w:abstractNum w:abstractNumId="5" w15:restartNumberingAfterBreak="0">
    <w:nsid w:val="0D761BA9"/>
    <w:multiLevelType w:val="hybridMultilevel"/>
    <w:tmpl w:val="D608ABF8"/>
    <w:lvl w:ilvl="0" w:tplc="4DB6C1DE">
      <w:start w:val="1"/>
      <w:numFmt w:val="lowerLetter"/>
      <w:lvlRestart w:val="0"/>
      <w:suff w:val="space"/>
      <w:lvlText w:val="%1  "/>
      <w:lvlJc w:val="left"/>
      <w:pPr>
        <w:ind w:left="0" w:firstLine="170"/>
      </w:pPr>
      <w:rPr>
        <w:i/>
        <w:sz w:val="18"/>
        <w:vertAlign w:val="superscript"/>
      </w:r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6" w15:restartNumberingAfterBreak="0">
    <w:nsid w:val="1023354E"/>
    <w:multiLevelType w:val="multilevel"/>
    <w:tmpl w:val="9B024144"/>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7" w15:restartNumberingAfterBreak="0">
    <w:nsid w:val="11A9360A"/>
    <w:multiLevelType w:val="multilevel"/>
    <w:tmpl w:val="FD843F1A"/>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8" w15:restartNumberingAfterBreak="0">
    <w:nsid w:val="15F2229D"/>
    <w:multiLevelType w:val="hybridMultilevel"/>
    <w:tmpl w:val="393C3B0A"/>
    <w:lvl w:ilvl="0" w:tplc="A7DAD502">
      <w:start w:val="1"/>
      <w:numFmt w:val="lowerLetter"/>
      <w:lvlRestart w:val="0"/>
      <w:suff w:val="space"/>
      <w:lvlText w:val="%1  "/>
      <w:lvlJc w:val="left"/>
      <w:pPr>
        <w:ind w:left="1134" w:firstLine="170"/>
      </w:pPr>
      <w:rPr>
        <w:i/>
        <w:sz w:val="18"/>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50370D"/>
    <w:multiLevelType w:val="multilevel"/>
    <w:tmpl w:val="1BE2FFB2"/>
    <w:lvl w:ilvl="0">
      <w:start w:val="1"/>
      <w:numFmt w:val="upperRoman"/>
      <w:suff w:val="space"/>
      <w:lvlText w:val="%1. "/>
      <w:lvlJc w:val="right"/>
      <w:pPr>
        <w:ind w:left="0" w:firstLine="244"/>
      </w:pPr>
      <w:rPr>
        <w:rFonts w:hint="default"/>
        <w:sz w:val="28"/>
      </w:rPr>
    </w:lvl>
    <w:lvl w:ilvl="1">
      <w:start w:val="1"/>
      <w:numFmt w:val="decimal"/>
      <w:suff w:val="space"/>
      <w:lvlText w:val="%2. "/>
      <w:lvlJc w:val="left"/>
      <w:pPr>
        <w:ind w:left="0" w:firstLine="0"/>
      </w:pPr>
      <w:rPr>
        <w:rFonts w:hint="default"/>
        <w:b/>
        <w:sz w:val="22"/>
        <w:u w:val="none"/>
      </w:rPr>
    </w:lvl>
    <w:lvl w:ilvl="2">
      <w:start w:val="1"/>
      <w:numFmt w:val="lowerLetter"/>
      <w:pStyle w:val="AnnoHead2"/>
      <w:lvlText w:val="(%3)"/>
      <w:lvlJc w:val="left"/>
      <w:pPr>
        <w:tabs>
          <w:tab w:val="num" w:pos="720"/>
        </w:tabs>
        <w:ind w:left="720" w:hanging="720"/>
      </w:pPr>
      <w:rPr>
        <w:rFonts w:ascii="Times New Roman" w:hAnsi="Times New Roman" w:hint="default"/>
        <w:b w:val="0"/>
        <w:sz w:val="22"/>
        <w:u w:val="none"/>
      </w:rPr>
    </w:lvl>
    <w:lvl w:ilvl="3">
      <w:start w:val="1"/>
      <w:numFmt w:val="lowerRoman"/>
      <w:lvlText w:val="(%4)"/>
      <w:lvlJc w:val="right"/>
      <w:pPr>
        <w:tabs>
          <w:tab w:val="num" w:pos="1440"/>
        </w:tabs>
        <w:ind w:left="1440" w:hanging="533"/>
      </w:pPr>
      <w:rPr>
        <w:rFonts w:ascii="Times New Roman" w:hAnsi="Times New Roman" w:hint="default"/>
        <w:b w:val="0"/>
        <w:sz w:val="22"/>
        <w:u w:val="none"/>
      </w:rPr>
    </w:lvl>
    <w:lvl w:ilvl="4">
      <w:start w:val="1"/>
      <w:numFmt w:val="decimal"/>
      <w:pStyle w:val="AnnoHead2"/>
      <w:lvlText w:val="%5."/>
      <w:lvlJc w:val="left"/>
      <w:pPr>
        <w:tabs>
          <w:tab w:val="num" w:pos="360"/>
        </w:tabs>
        <w:ind w:left="0" w:firstLine="0"/>
      </w:pPr>
      <w:rPr>
        <w:rFonts w:ascii="Times New Roman" w:hAnsi="Times New Roman" w:hint="default"/>
        <w:b w:val="0"/>
        <w:sz w:val="22"/>
        <w:u w:val="none"/>
      </w:rPr>
    </w:lvl>
    <w:lvl w:ilvl="5">
      <w:start w:val="1"/>
      <w:numFmt w:val="lowerLetter"/>
      <w:lvlText w:val="(%6)"/>
      <w:lvlJc w:val="left"/>
      <w:pPr>
        <w:tabs>
          <w:tab w:val="num" w:pos="1440"/>
        </w:tabs>
        <w:ind w:left="1440" w:hanging="720"/>
      </w:pPr>
      <w:rPr>
        <w:rFonts w:hint="default"/>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rFonts w:hint="default"/>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10" w15:restartNumberingAfterBreak="0">
    <w:nsid w:val="1BEC5A93"/>
    <w:multiLevelType w:val="multilevel"/>
    <w:tmpl w:val="6CAEB67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1"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2" w15:restartNumberingAfterBreak="0">
    <w:nsid w:val="39B51457"/>
    <w:multiLevelType w:val="multilevel"/>
    <w:tmpl w:val="3BA21030"/>
    <w:name w:val="Reg59232"/>
    <w:lvl w:ilvl="0">
      <w:start w:val="1"/>
      <w:numFmt w:val="bullet"/>
      <w:lvlText w:val=""/>
      <w:lvlJc w:val="left"/>
      <w:pPr>
        <w:tabs>
          <w:tab w:val="num" w:pos="585"/>
        </w:tabs>
        <w:ind w:left="585" w:hanging="360"/>
      </w:pPr>
      <w:rPr>
        <w:rFonts w:ascii="Symbol" w:hAnsi="Symbol" w:hint="default"/>
      </w:rPr>
    </w:lvl>
    <w:lvl w:ilvl="1">
      <w:start w:val="1"/>
      <w:numFmt w:val="lowerLetter"/>
      <w:lvlRestart w:val="0"/>
      <w:suff w:val="space"/>
      <w:lvlText w:val="%2  "/>
      <w:lvlJc w:val="left"/>
      <w:pPr>
        <w:tabs>
          <w:tab w:val="num" w:pos="721"/>
        </w:tabs>
        <w:ind w:left="1135" w:firstLine="170"/>
      </w:pPr>
      <w:rPr>
        <w:rFonts w:hint="default"/>
        <w:i/>
        <w:sz w:val="18"/>
        <w:vertAlign w:val="superscript"/>
      </w:rPr>
    </w:lvl>
    <w:lvl w:ilvl="2" w:tentative="1">
      <w:start w:val="1"/>
      <w:numFmt w:val="bullet"/>
      <w:lvlText w:val=""/>
      <w:lvlJc w:val="left"/>
      <w:pPr>
        <w:tabs>
          <w:tab w:val="num" w:pos="2385"/>
        </w:tabs>
        <w:ind w:left="2385" w:hanging="360"/>
      </w:pPr>
      <w:rPr>
        <w:rFonts w:ascii="Wingdings" w:hAnsi="Wingdings" w:hint="default"/>
      </w:rPr>
    </w:lvl>
    <w:lvl w:ilvl="3" w:tentative="1">
      <w:start w:val="1"/>
      <w:numFmt w:val="bullet"/>
      <w:lvlText w:val=""/>
      <w:lvlJc w:val="left"/>
      <w:pPr>
        <w:tabs>
          <w:tab w:val="num" w:pos="3105"/>
        </w:tabs>
        <w:ind w:left="3105" w:hanging="360"/>
      </w:pPr>
      <w:rPr>
        <w:rFonts w:ascii="Symbol" w:hAnsi="Symbol" w:hint="default"/>
      </w:rPr>
    </w:lvl>
    <w:lvl w:ilvl="4" w:tentative="1">
      <w:start w:val="1"/>
      <w:numFmt w:val="bullet"/>
      <w:lvlText w:val="o"/>
      <w:lvlJc w:val="left"/>
      <w:pPr>
        <w:tabs>
          <w:tab w:val="num" w:pos="3825"/>
        </w:tabs>
        <w:ind w:left="3825" w:hanging="360"/>
      </w:pPr>
      <w:rPr>
        <w:rFonts w:ascii="Courier New" w:hAnsi="Courier New" w:hint="default"/>
      </w:rPr>
    </w:lvl>
    <w:lvl w:ilvl="5" w:tentative="1">
      <w:start w:val="1"/>
      <w:numFmt w:val="bullet"/>
      <w:lvlText w:val=""/>
      <w:lvlJc w:val="left"/>
      <w:pPr>
        <w:tabs>
          <w:tab w:val="num" w:pos="4545"/>
        </w:tabs>
        <w:ind w:left="4545" w:hanging="360"/>
      </w:pPr>
      <w:rPr>
        <w:rFonts w:ascii="Wingdings" w:hAnsi="Wingdings" w:hint="default"/>
      </w:rPr>
    </w:lvl>
    <w:lvl w:ilvl="6" w:tentative="1">
      <w:start w:val="1"/>
      <w:numFmt w:val="bullet"/>
      <w:lvlText w:val=""/>
      <w:lvlJc w:val="left"/>
      <w:pPr>
        <w:tabs>
          <w:tab w:val="num" w:pos="5265"/>
        </w:tabs>
        <w:ind w:left="5265" w:hanging="360"/>
      </w:pPr>
      <w:rPr>
        <w:rFonts w:ascii="Symbol" w:hAnsi="Symbol" w:hint="default"/>
      </w:rPr>
    </w:lvl>
    <w:lvl w:ilvl="7" w:tentative="1">
      <w:start w:val="1"/>
      <w:numFmt w:val="bullet"/>
      <w:lvlText w:val="o"/>
      <w:lvlJc w:val="left"/>
      <w:pPr>
        <w:tabs>
          <w:tab w:val="num" w:pos="5985"/>
        </w:tabs>
        <w:ind w:left="5985" w:hanging="360"/>
      </w:pPr>
      <w:rPr>
        <w:rFonts w:ascii="Courier New" w:hAnsi="Courier New" w:hint="default"/>
      </w:rPr>
    </w:lvl>
    <w:lvl w:ilvl="8" w:tentative="1">
      <w:start w:val="1"/>
      <w:numFmt w:val="bullet"/>
      <w:lvlText w:val=""/>
      <w:lvlJc w:val="left"/>
      <w:pPr>
        <w:tabs>
          <w:tab w:val="num" w:pos="6705"/>
        </w:tabs>
        <w:ind w:left="6705" w:hanging="360"/>
      </w:pPr>
      <w:rPr>
        <w:rFonts w:ascii="Wingdings" w:hAnsi="Wingdings" w:hint="default"/>
      </w:rPr>
    </w:lvl>
  </w:abstractNum>
  <w:abstractNum w:abstractNumId="13" w15:restartNumberingAfterBreak="0">
    <w:nsid w:val="42C966C7"/>
    <w:multiLevelType w:val="multilevel"/>
    <w:tmpl w:val="009C9844"/>
    <w:name w:val="Reg69"/>
    <w:lvl w:ilvl="0">
      <w:start w:val="1"/>
      <w:numFmt w:val="decimal"/>
      <w:pStyle w:val="DecPara"/>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43AB2E11"/>
    <w:multiLevelType w:val="hybridMultilevel"/>
    <w:tmpl w:val="9DD2F9BC"/>
    <w:lvl w:ilvl="0" w:tplc="608437A8">
      <w:start w:val="1"/>
      <w:numFmt w:val="upperLetter"/>
      <w:lvlText w:val="%1."/>
      <w:lvlJc w:val="left"/>
      <w:pPr>
        <w:ind w:left="720" w:hanging="360"/>
      </w:pPr>
      <w:rPr>
        <w:rFonts w:eastAsia="SimSu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40117F"/>
    <w:multiLevelType w:val="multilevel"/>
    <w:tmpl w:val="6CAEB67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6" w15:restartNumberingAfterBreak="0">
    <w:nsid w:val="5F7E2ABE"/>
    <w:multiLevelType w:val="hybridMultilevel"/>
    <w:tmpl w:val="08F4C30A"/>
    <w:name w:val="Reg19"/>
    <w:lvl w:ilvl="0" w:tplc="B1D48E78">
      <w:start w:val="1"/>
      <w:numFmt w:val="bullet"/>
      <w:lvlText w:val=""/>
      <w:lvlJc w:val="left"/>
      <w:pPr>
        <w:tabs>
          <w:tab w:val="num" w:pos="1560"/>
        </w:tabs>
        <w:ind w:left="1560" w:hanging="360"/>
      </w:pPr>
      <w:rPr>
        <w:rFonts w:ascii="Symbol" w:hAnsi="Symbol" w:hint="default"/>
      </w:rPr>
    </w:lvl>
    <w:lvl w:ilvl="1" w:tplc="26E6A2A6" w:tentative="1">
      <w:start w:val="1"/>
      <w:numFmt w:val="bullet"/>
      <w:lvlText w:val="o"/>
      <w:lvlJc w:val="left"/>
      <w:pPr>
        <w:tabs>
          <w:tab w:val="num" w:pos="2280"/>
        </w:tabs>
        <w:ind w:left="2280" w:hanging="360"/>
      </w:pPr>
      <w:rPr>
        <w:rFonts w:ascii="Courier New" w:hAnsi="Courier New" w:hint="default"/>
      </w:rPr>
    </w:lvl>
    <w:lvl w:ilvl="2" w:tplc="63FE85DE" w:tentative="1">
      <w:start w:val="1"/>
      <w:numFmt w:val="bullet"/>
      <w:lvlText w:val=""/>
      <w:lvlJc w:val="left"/>
      <w:pPr>
        <w:tabs>
          <w:tab w:val="num" w:pos="3000"/>
        </w:tabs>
        <w:ind w:left="3000" w:hanging="360"/>
      </w:pPr>
      <w:rPr>
        <w:rFonts w:ascii="Wingdings" w:hAnsi="Wingdings" w:hint="default"/>
      </w:rPr>
    </w:lvl>
    <w:lvl w:ilvl="3" w:tplc="35B84AA6" w:tentative="1">
      <w:start w:val="1"/>
      <w:numFmt w:val="bullet"/>
      <w:lvlText w:val=""/>
      <w:lvlJc w:val="left"/>
      <w:pPr>
        <w:tabs>
          <w:tab w:val="num" w:pos="3720"/>
        </w:tabs>
        <w:ind w:left="3720" w:hanging="360"/>
      </w:pPr>
      <w:rPr>
        <w:rFonts w:ascii="Symbol" w:hAnsi="Symbol" w:hint="default"/>
      </w:rPr>
    </w:lvl>
    <w:lvl w:ilvl="4" w:tplc="45A42BC8" w:tentative="1">
      <w:start w:val="1"/>
      <w:numFmt w:val="bullet"/>
      <w:lvlText w:val="o"/>
      <w:lvlJc w:val="left"/>
      <w:pPr>
        <w:tabs>
          <w:tab w:val="num" w:pos="4440"/>
        </w:tabs>
        <w:ind w:left="4440" w:hanging="360"/>
      </w:pPr>
      <w:rPr>
        <w:rFonts w:ascii="Courier New" w:hAnsi="Courier New" w:hint="default"/>
      </w:rPr>
    </w:lvl>
    <w:lvl w:ilvl="5" w:tplc="FBAEF6B0" w:tentative="1">
      <w:start w:val="1"/>
      <w:numFmt w:val="bullet"/>
      <w:lvlText w:val=""/>
      <w:lvlJc w:val="left"/>
      <w:pPr>
        <w:tabs>
          <w:tab w:val="num" w:pos="5160"/>
        </w:tabs>
        <w:ind w:left="5160" w:hanging="360"/>
      </w:pPr>
      <w:rPr>
        <w:rFonts w:ascii="Wingdings" w:hAnsi="Wingdings" w:hint="default"/>
      </w:rPr>
    </w:lvl>
    <w:lvl w:ilvl="6" w:tplc="49EC341E" w:tentative="1">
      <w:start w:val="1"/>
      <w:numFmt w:val="bullet"/>
      <w:lvlText w:val=""/>
      <w:lvlJc w:val="left"/>
      <w:pPr>
        <w:tabs>
          <w:tab w:val="num" w:pos="5880"/>
        </w:tabs>
        <w:ind w:left="5880" w:hanging="360"/>
      </w:pPr>
      <w:rPr>
        <w:rFonts w:ascii="Symbol" w:hAnsi="Symbol" w:hint="default"/>
      </w:rPr>
    </w:lvl>
    <w:lvl w:ilvl="7" w:tplc="C98C9D24" w:tentative="1">
      <w:start w:val="1"/>
      <w:numFmt w:val="bullet"/>
      <w:lvlText w:val="o"/>
      <w:lvlJc w:val="left"/>
      <w:pPr>
        <w:tabs>
          <w:tab w:val="num" w:pos="6600"/>
        </w:tabs>
        <w:ind w:left="6600" w:hanging="360"/>
      </w:pPr>
      <w:rPr>
        <w:rFonts w:ascii="Courier New" w:hAnsi="Courier New" w:hint="default"/>
      </w:rPr>
    </w:lvl>
    <w:lvl w:ilvl="8" w:tplc="1D88402E" w:tentative="1">
      <w:start w:val="1"/>
      <w:numFmt w:val="bullet"/>
      <w:lvlText w:val=""/>
      <w:lvlJc w:val="left"/>
      <w:pPr>
        <w:tabs>
          <w:tab w:val="num" w:pos="7320"/>
        </w:tabs>
        <w:ind w:left="7320" w:hanging="360"/>
      </w:pPr>
      <w:rPr>
        <w:rFonts w:ascii="Wingdings" w:hAnsi="Wingdings" w:hint="default"/>
      </w:rPr>
    </w:lvl>
  </w:abstractNum>
  <w:abstractNum w:abstractNumId="17"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AC7F11"/>
    <w:multiLevelType w:val="multilevel"/>
    <w:tmpl w:val="3BA21030"/>
    <w:lvl w:ilvl="0">
      <w:start w:val="1"/>
      <w:numFmt w:val="bullet"/>
      <w:lvlText w:val=""/>
      <w:lvlJc w:val="left"/>
      <w:pPr>
        <w:tabs>
          <w:tab w:val="num" w:pos="585"/>
        </w:tabs>
        <w:ind w:left="585" w:hanging="360"/>
      </w:pPr>
      <w:rPr>
        <w:rFonts w:ascii="Symbol" w:hAnsi="Symbol" w:hint="default"/>
      </w:rPr>
    </w:lvl>
    <w:lvl w:ilvl="1">
      <w:start w:val="1"/>
      <w:numFmt w:val="lowerLetter"/>
      <w:lvlRestart w:val="0"/>
      <w:suff w:val="space"/>
      <w:lvlText w:val="%2  "/>
      <w:lvlJc w:val="left"/>
      <w:pPr>
        <w:tabs>
          <w:tab w:val="num" w:pos="721"/>
        </w:tabs>
        <w:ind w:left="1135" w:firstLine="170"/>
      </w:pPr>
      <w:rPr>
        <w:rFonts w:cs="Times New Roman" w:hint="default"/>
        <w:i/>
        <w:sz w:val="18"/>
        <w:vertAlign w:val="superscript"/>
      </w:rPr>
    </w:lvl>
    <w:lvl w:ilvl="2" w:tentative="1">
      <w:start w:val="1"/>
      <w:numFmt w:val="bullet"/>
      <w:lvlText w:val=""/>
      <w:lvlJc w:val="left"/>
      <w:pPr>
        <w:tabs>
          <w:tab w:val="num" w:pos="2385"/>
        </w:tabs>
        <w:ind w:left="2385" w:hanging="360"/>
      </w:pPr>
      <w:rPr>
        <w:rFonts w:ascii="Wingdings" w:hAnsi="Wingdings" w:hint="default"/>
      </w:rPr>
    </w:lvl>
    <w:lvl w:ilvl="3" w:tentative="1">
      <w:start w:val="1"/>
      <w:numFmt w:val="bullet"/>
      <w:lvlText w:val=""/>
      <w:lvlJc w:val="left"/>
      <w:pPr>
        <w:tabs>
          <w:tab w:val="num" w:pos="3105"/>
        </w:tabs>
        <w:ind w:left="3105" w:hanging="360"/>
      </w:pPr>
      <w:rPr>
        <w:rFonts w:ascii="Symbol" w:hAnsi="Symbol" w:hint="default"/>
      </w:rPr>
    </w:lvl>
    <w:lvl w:ilvl="4" w:tentative="1">
      <w:start w:val="1"/>
      <w:numFmt w:val="bullet"/>
      <w:lvlText w:val="o"/>
      <w:lvlJc w:val="left"/>
      <w:pPr>
        <w:tabs>
          <w:tab w:val="num" w:pos="3825"/>
        </w:tabs>
        <w:ind w:left="3825" w:hanging="360"/>
      </w:pPr>
      <w:rPr>
        <w:rFonts w:ascii="Courier New" w:hAnsi="Courier New" w:hint="default"/>
      </w:rPr>
    </w:lvl>
    <w:lvl w:ilvl="5" w:tentative="1">
      <w:start w:val="1"/>
      <w:numFmt w:val="bullet"/>
      <w:lvlText w:val=""/>
      <w:lvlJc w:val="left"/>
      <w:pPr>
        <w:tabs>
          <w:tab w:val="num" w:pos="4545"/>
        </w:tabs>
        <w:ind w:left="4545" w:hanging="360"/>
      </w:pPr>
      <w:rPr>
        <w:rFonts w:ascii="Wingdings" w:hAnsi="Wingdings" w:hint="default"/>
      </w:rPr>
    </w:lvl>
    <w:lvl w:ilvl="6" w:tentative="1">
      <w:start w:val="1"/>
      <w:numFmt w:val="bullet"/>
      <w:lvlText w:val=""/>
      <w:lvlJc w:val="left"/>
      <w:pPr>
        <w:tabs>
          <w:tab w:val="num" w:pos="5265"/>
        </w:tabs>
        <w:ind w:left="5265" w:hanging="360"/>
      </w:pPr>
      <w:rPr>
        <w:rFonts w:ascii="Symbol" w:hAnsi="Symbol" w:hint="default"/>
      </w:rPr>
    </w:lvl>
    <w:lvl w:ilvl="7" w:tentative="1">
      <w:start w:val="1"/>
      <w:numFmt w:val="bullet"/>
      <w:lvlText w:val="o"/>
      <w:lvlJc w:val="left"/>
      <w:pPr>
        <w:tabs>
          <w:tab w:val="num" w:pos="5985"/>
        </w:tabs>
        <w:ind w:left="5985" w:hanging="360"/>
      </w:pPr>
      <w:rPr>
        <w:rFonts w:ascii="Courier New" w:hAnsi="Courier New" w:hint="default"/>
      </w:rPr>
    </w:lvl>
    <w:lvl w:ilvl="8" w:tentative="1">
      <w:start w:val="1"/>
      <w:numFmt w:val="bullet"/>
      <w:lvlText w:val=""/>
      <w:lvlJc w:val="left"/>
      <w:pPr>
        <w:tabs>
          <w:tab w:val="num" w:pos="6705"/>
        </w:tabs>
        <w:ind w:left="6705" w:hanging="360"/>
      </w:pPr>
      <w:rPr>
        <w:rFonts w:ascii="Wingdings" w:hAnsi="Wingdings" w:hint="default"/>
      </w:rPr>
    </w:lvl>
  </w:abstractNum>
  <w:num w:numId="1">
    <w:abstractNumId w:val="0"/>
  </w:num>
  <w:num w:numId="2">
    <w:abstractNumId w:val="17"/>
  </w:num>
  <w:num w:numId="3">
    <w:abstractNumId w:val="11"/>
  </w:num>
  <w:num w:numId="4">
    <w:abstractNumId w:val="6"/>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3"/>
  </w:num>
  <w:num w:numId="14">
    <w:abstractNumId w:val="4"/>
  </w:num>
  <w:num w:numId="15">
    <w:abstractNumId w:val="12"/>
  </w:num>
  <w:num w:numId="16">
    <w:abstractNumId w:val="14"/>
  </w:num>
  <w:num w:numId="17">
    <w:abstractNumId w:val="18"/>
  </w:num>
  <w:num w:numId="18">
    <w:abstractNumId w:val="16"/>
  </w:num>
  <w:num w:numId="19">
    <w:abstractNumId w:val="8"/>
  </w:num>
  <w:num w:numId="20">
    <w:abstractNumId w:val="5"/>
  </w:num>
  <w:num w:numId="21">
    <w:abstractNumId w:val="2"/>
  </w:num>
  <w:num w:numId="22">
    <w:abstractNumId w:val="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noPunctuationKerning/>
  <w:characterSpacingControl w:val="doNotCompress"/>
  <w:hdrShapeDefaults>
    <o:shapedefaults v:ext="edit" spidmax="71681"/>
  </w:hdrShapeDefaults>
  <w:footnotePr>
    <w:numRestart w:val="eachSect"/>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78C"/>
    <w:rsid w:val="0000310E"/>
    <w:rsid w:val="00004A30"/>
    <w:rsid w:val="00021BB6"/>
    <w:rsid w:val="00032DDE"/>
    <w:rsid w:val="000405AB"/>
    <w:rsid w:val="00041B07"/>
    <w:rsid w:val="000423A6"/>
    <w:rsid w:val="0004356D"/>
    <w:rsid w:val="000555B3"/>
    <w:rsid w:val="000561BD"/>
    <w:rsid w:val="000623B0"/>
    <w:rsid w:val="00074855"/>
    <w:rsid w:val="00076113"/>
    <w:rsid w:val="000913E6"/>
    <w:rsid w:val="00093044"/>
    <w:rsid w:val="000A1AF0"/>
    <w:rsid w:val="000A399F"/>
    <w:rsid w:val="000A50A0"/>
    <w:rsid w:val="000A566F"/>
    <w:rsid w:val="000B1FD0"/>
    <w:rsid w:val="000B7A28"/>
    <w:rsid w:val="000C24E3"/>
    <w:rsid w:val="000C5173"/>
    <w:rsid w:val="000D5DED"/>
    <w:rsid w:val="000D600D"/>
    <w:rsid w:val="000D6D4A"/>
    <w:rsid w:val="000E2EA3"/>
    <w:rsid w:val="000E5A58"/>
    <w:rsid w:val="000E7C0D"/>
    <w:rsid w:val="001007C9"/>
    <w:rsid w:val="00100A9D"/>
    <w:rsid w:val="00106384"/>
    <w:rsid w:val="0011781E"/>
    <w:rsid w:val="00120E84"/>
    <w:rsid w:val="00123C52"/>
    <w:rsid w:val="00127311"/>
    <w:rsid w:val="00130746"/>
    <w:rsid w:val="001328F9"/>
    <w:rsid w:val="0013577A"/>
    <w:rsid w:val="001419F6"/>
    <w:rsid w:val="00152A6E"/>
    <w:rsid w:val="001600D9"/>
    <w:rsid w:val="00163AF8"/>
    <w:rsid w:val="00170309"/>
    <w:rsid w:val="00172CF0"/>
    <w:rsid w:val="001738F1"/>
    <w:rsid w:val="0017411B"/>
    <w:rsid w:val="00174A05"/>
    <w:rsid w:val="00175525"/>
    <w:rsid w:val="00177074"/>
    <w:rsid w:val="00177836"/>
    <w:rsid w:val="00183F19"/>
    <w:rsid w:val="00184C03"/>
    <w:rsid w:val="001862E8"/>
    <w:rsid w:val="00186A4F"/>
    <w:rsid w:val="001906D0"/>
    <w:rsid w:val="0019430F"/>
    <w:rsid w:val="001945C7"/>
    <w:rsid w:val="001A594B"/>
    <w:rsid w:val="001B085A"/>
    <w:rsid w:val="001B1483"/>
    <w:rsid w:val="001B14A6"/>
    <w:rsid w:val="001B25D3"/>
    <w:rsid w:val="001C15FF"/>
    <w:rsid w:val="001D4A38"/>
    <w:rsid w:val="002008AA"/>
    <w:rsid w:val="002025E1"/>
    <w:rsid w:val="002050C8"/>
    <w:rsid w:val="002104A8"/>
    <w:rsid w:val="00217D48"/>
    <w:rsid w:val="00223453"/>
    <w:rsid w:val="00230D0F"/>
    <w:rsid w:val="00231FB5"/>
    <w:rsid w:val="00232479"/>
    <w:rsid w:val="0024447B"/>
    <w:rsid w:val="00246888"/>
    <w:rsid w:val="00250037"/>
    <w:rsid w:val="00251FF9"/>
    <w:rsid w:val="00256CFB"/>
    <w:rsid w:val="0025769D"/>
    <w:rsid w:val="00257AA3"/>
    <w:rsid w:val="00264F17"/>
    <w:rsid w:val="00273E8E"/>
    <w:rsid w:val="00276A17"/>
    <w:rsid w:val="002779EB"/>
    <w:rsid w:val="002859C9"/>
    <w:rsid w:val="0029007C"/>
    <w:rsid w:val="00292DC3"/>
    <w:rsid w:val="00293343"/>
    <w:rsid w:val="00295866"/>
    <w:rsid w:val="0029733B"/>
    <w:rsid w:val="00297C1E"/>
    <w:rsid w:val="002B0283"/>
    <w:rsid w:val="002B371E"/>
    <w:rsid w:val="002B446B"/>
    <w:rsid w:val="002B72CE"/>
    <w:rsid w:val="002B7532"/>
    <w:rsid w:val="002C051E"/>
    <w:rsid w:val="002C11F7"/>
    <w:rsid w:val="002C52A6"/>
    <w:rsid w:val="002D6545"/>
    <w:rsid w:val="002E0E55"/>
    <w:rsid w:val="002F304A"/>
    <w:rsid w:val="002F60E8"/>
    <w:rsid w:val="003012AF"/>
    <w:rsid w:val="00306423"/>
    <w:rsid w:val="003147E4"/>
    <w:rsid w:val="0031720C"/>
    <w:rsid w:val="00327575"/>
    <w:rsid w:val="00327B89"/>
    <w:rsid w:val="00335877"/>
    <w:rsid w:val="00336DC3"/>
    <w:rsid w:val="003415A2"/>
    <w:rsid w:val="00344AD3"/>
    <w:rsid w:val="003458DC"/>
    <w:rsid w:val="00361821"/>
    <w:rsid w:val="00364B85"/>
    <w:rsid w:val="00375F53"/>
    <w:rsid w:val="00381632"/>
    <w:rsid w:val="00383494"/>
    <w:rsid w:val="00392C3B"/>
    <w:rsid w:val="003A107D"/>
    <w:rsid w:val="003A4936"/>
    <w:rsid w:val="003B2C11"/>
    <w:rsid w:val="003C3854"/>
    <w:rsid w:val="003C3C75"/>
    <w:rsid w:val="003C75B9"/>
    <w:rsid w:val="003D1A53"/>
    <w:rsid w:val="003D6B47"/>
    <w:rsid w:val="003E1D36"/>
    <w:rsid w:val="003F038E"/>
    <w:rsid w:val="003F7301"/>
    <w:rsid w:val="0040352E"/>
    <w:rsid w:val="004061BF"/>
    <w:rsid w:val="00410508"/>
    <w:rsid w:val="00417292"/>
    <w:rsid w:val="00422A55"/>
    <w:rsid w:val="00427DA2"/>
    <w:rsid w:val="0043729E"/>
    <w:rsid w:val="00455ED0"/>
    <w:rsid w:val="004578AD"/>
    <w:rsid w:val="00471564"/>
    <w:rsid w:val="0048097B"/>
    <w:rsid w:val="004812E6"/>
    <w:rsid w:val="0048523B"/>
    <w:rsid w:val="00485971"/>
    <w:rsid w:val="00487DED"/>
    <w:rsid w:val="00491B95"/>
    <w:rsid w:val="004977C3"/>
    <w:rsid w:val="004A361A"/>
    <w:rsid w:val="004A67DD"/>
    <w:rsid w:val="004A7425"/>
    <w:rsid w:val="004B2869"/>
    <w:rsid w:val="004B501A"/>
    <w:rsid w:val="004C1052"/>
    <w:rsid w:val="004D6C3E"/>
    <w:rsid w:val="004D72AF"/>
    <w:rsid w:val="004E0088"/>
    <w:rsid w:val="004E2287"/>
    <w:rsid w:val="004E2B40"/>
    <w:rsid w:val="004F0D45"/>
    <w:rsid w:val="004F4741"/>
    <w:rsid w:val="004F615A"/>
    <w:rsid w:val="005030B1"/>
    <w:rsid w:val="00503373"/>
    <w:rsid w:val="00503ED7"/>
    <w:rsid w:val="005140C3"/>
    <w:rsid w:val="0052313D"/>
    <w:rsid w:val="005255F0"/>
    <w:rsid w:val="005324FA"/>
    <w:rsid w:val="005416D2"/>
    <w:rsid w:val="005464AA"/>
    <w:rsid w:val="00546735"/>
    <w:rsid w:val="005474C8"/>
    <w:rsid w:val="005549B8"/>
    <w:rsid w:val="00556872"/>
    <w:rsid w:val="005627AB"/>
    <w:rsid w:val="00565AF2"/>
    <w:rsid w:val="00573130"/>
    <w:rsid w:val="00574834"/>
    <w:rsid w:val="00576132"/>
    <w:rsid w:val="00576F19"/>
    <w:rsid w:val="00580960"/>
    <w:rsid w:val="0058203C"/>
    <w:rsid w:val="005919E9"/>
    <w:rsid w:val="00592405"/>
    <w:rsid w:val="005979FB"/>
    <w:rsid w:val="005A0171"/>
    <w:rsid w:val="005A1844"/>
    <w:rsid w:val="005A54BA"/>
    <w:rsid w:val="005C08EC"/>
    <w:rsid w:val="005E690B"/>
    <w:rsid w:val="006002E5"/>
    <w:rsid w:val="00601526"/>
    <w:rsid w:val="00603D73"/>
    <w:rsid w:val="00611E89"/>
    <w:rsid w:val="0061458D"/>
    <w:rsid w:val="00617B57"/>
    <w:rsid w:val="00631EE2"/>
    <w:rsid w:val="00633BF3"/>
    <w:rsid w:val="00634DBB"/>
    <w:rsid w:val="0063667C"/>
    <w:rsid w:val="006379C7"/>
    <w:rsid w:val="00637DEF"/>
    <w:rsid w:val="00641F29"/>
    <w:rsid w:val="00645102"/>
    <w:rsid w:val="00655F79"/>
    <w:rsid w:val="00656405"/>
    <w:rsid w:val="0066159F"/>
    <w:rsid w:val="00677FCB"/>
    <w:rsid w:val="006810D8"/>
    <w:rsid w:val="00687740"/>
    <w:rsid w:val="006903B3"/>
    <w:rsid w:val="00693901"/>
    <w:rsid w:val="006973FA"/>
    <w:rsid w:val="006A3385"/>
    <w:rsid w:val="006A56FD"/>
    <w:rsid w:val="006A63F7"/>
    <w:rsid w:val="006B06DB"/>
    <w:rsid w:val="006B13CC"/>
    <w:rsid w:val="006B62F2"/>
    <w:rsid w:val="006B6D3A"/>
    <w:rsid w:val="006D0BDC"/>
    <w:rsid w:val="006D40B0"/>
    <w:rsid w:val="006E2336"/>
    <w:rsid w:val="006E451C"/>
    <w:rsid w:val="006E6852"/>
    <w:rsid w:val="006F1BFA"/>
    <w:rsid w:val="006F2373"/>
    <w:rsid w:val="006F7625"/>
    <w:rsid w:val="00700EEF"/>
    <w:rsid w:val="00706ACC"/>
    <w:rsid w:val="007112BE"/>
    <w:rsid w:val="0071428F"/>
    <w:rsid w:val="00716E73"/>
    <w:rsid w:val="00717BC5"/>
    <w:rsid w:val="00726562"/>
    <w:rsid w:val="00726CCC"/>
    <w:rsid w:val="007334B2"/>
    <w:rsid w:val="007334C8"/>
    <w:rsid w:val="00733560"/>
    <w:rsid w:val="00741FEC"/>
    <w:rsid w:val="00742F78"/>
    <w:rsid w:val="00750AE3"/>
    <w:rsid w:val="00752275"/>
    <w:rsid w:val="00752FEF"/>
    <w:rsid w:val="00754145"/>
    <w:rsid w:val="00760433"/>
    <w:rsid w:val="007626E6"/>
    <w:rsid w:val="007644B0"/>
    <w:rsid w:val="007658FD"/>
    <w:rsid w:val="007662FB"/>
    <w:rsid w:val="007712B0"/>
    <w:rsid w:val="007719B7"/>
    <w:rsid w:val="007760E2"/>
    <w:rsid w:val="0077665B"/>
    <w:rsid w:val="0078185A"/>
    <w:rsid w:val="007917A9"/>
    <w:rsid w:val="007A5967"/>
    <w:rsid w:val="007B0DFC"/>
    <w:rsid w:val="007B12DF"/>
    <w:rsid w:val="007B282F"/>
    <w:rsid w:val="007C0FEC"/>
    <w:rsid w:val="007C4282"/>
    <w:rsid w:val="007C43B0"/>
    <w:rsid w:val="007C7D9D"/>
    <w:rsid w:val="007D0DEF"/>
    <w:rsid w:val="007D3A77"/>
    <w:rsid w:val="007D46D9"/>
    <w:rsid w:val="007E22BD"/>
    <w:rsid w:val="007E2A04"/>
    <w:rsid w:val="007E5A0D"/>
    <w:rsid w:val="007F11A7"/>
    <w:rsid w:val="007F5855"/>
    <w:rsid w:val="007F6C8A"/>
    <w:rsid w:val="00801070"/>
    <w:rsid w:val="00802646"/>
    <w:rsid w:val="00804B29"/>
    <w:rsid w:val="00805529"/>
    <w:rsid w:val="008071D5"/>
    <w:rsid w:val="00810726"/>
    <w:rsid w:val="0081743A"/>
    <w:rsid w:val="00821927"/>
    <w:rsid w:val="00822406"/>
    <w:rsid w:val="00824785"/>
    <w:rsid w:val="00824D92"/>
    <w:rsid w:val="008263F2"/>
    <w:rsid w:val="0083172F"/>
    <w:rsid w:val="008320C0"/>
    <w:rsid w:val="008370E0"/>
    <w:rsid w:val="0084026C"/>
    <w:rsid w:val="008419FD"/>
    <w:rsid w:val="00841F6A"/>
    <w:rsid w:val="00847A56"/>
    <w:rsid w:val="00850BA0"/>
    <w:rsid w:val="0085475D"/>
    <w:rsid w:val="00854F81"/>
    <w:rsid w:val="00857A55"/>
    <w:rsid w:val="0086015C"/>
    <w:rsid w:val="00873FF2"/>
    <w:rsid w:val="00874A24"/>
    <w:rsid w:val="00877754"/>
    <w:rsid w:val="00885EE0"/>
    <w:rsid w:val="00886B02"/>
    <w:rsid w:val="00887CBF"/>
    <w:rsid w:val="00892DEC"/>
    <w:rsid w:val="008A7864"/>
    <w:rsid w:val="008B0BDE"/>
    <w:rsid w:val="008B17FB"/>
    <w:rsid w:val="008B2230"/>
    <w:rsid w:val="008B4372"/>
    <w:rsid w:val="008C3312"/>
    <w:rsid w:val="008C42B4"/>
    <w:rsid w:val="008C577B"/>
    <w:rsid w:val="008C5FF4"/>
    <w:rsid w:val="008C7809"/>
    <w:rsid w:val="008D3EE8"/>
    <w:rsid w:val="008D7CC1"/>
    <w:rsid w:val="008E4889"/>
    <w:rsid w:val="008E4AAA"/>
    <w:rsid w:val="008E62D1"/>
    <w:rsid w:val="008F19BE"/>
    <w:rsid w:val="008F4C57"/>
    <w:rsid w:val="008F6651"/>
    <w:rsid w:val="008F7B36"/>
    <w:rsid w:val="009034BB"/>
    <w:rsid w:val="0091113E"/>
    <w:rsid w:val="009137D2"/>
    <w:rsid w:val="00917213"/>
    <w:rsid w:val="00921DB5"/>
    <w:rsid w:val="009230A8"/>
    <w:rsid w:val="00933228"/>
    <w:rsid w:val="0094334C"/>
    <w:rsid w:val="00960298"/>
    <w:rsid w:val="009617EB"/>
    <w:rsid w:val="00963690"/>
    <w:rsid w:val="009638AC"/>
    <w:rsid w:val="00964DCB"/>
    <w:rsid w:val="00965737"/>
    <w:rsid w:val="00970F53"/>
    <w:rsid w:val="00980E44"/>
    <w:rsid w:val="00985592"/>
    <w:rsid w:val="009929D4"/>
    <w:rsid w:val="00994788"/>
    <w:rsid w:val="00995076"/>
    <w:rsid w:val="00996312"/>
    <w:rsid w:val="009979A7"/>
    <w:rsid w:val="009A180C"/>
    <w:rsid w:val="009A1EFD"/>
    <w:rsid w:val="009A2813"/>
    <w:rsid w:val="009A38FD"/>
    <w:rsid w:val="009A71AA"/>
    <w:rsid w:val="009B064C"/>
    <w:rsid w:val="009B1CB9"/>
    <w:rsid w:val="009C0AA8"/>
    <w:rsid w:val="009C178C"/>
    <w:rsid w:val="009D186B"/>
    <w:rsid w:val="009D7644"/>
    <w:rsid w:val="009F1061"/>
    <w:rsid w:val="009F3514"/>
    <w:rsid w:val="009F3A00"/>
    <w:rsid w:val="009F3C26"/>
    <w:rsid w:val="009F65C0"/>
    <w:rsid w:val="009F7619"/>
    <w:rsid w:val="00A028E1"/>
    <w:rsid w:val="00A02E12"/>
    <w:rsid w:val="00A0753F"/>
    <w:rsid w:val="00A078E1"/>
    <w:rsid w:val="00A10FFD"/>
    <w:rsid w:val="00A11347"/>
    <w:rsid w:val="00A2454F"/>
    <w:rsid w:val="00A32408"/>
    <w:rsid w:val="00A35DA3"/>
    <w:rsid w:val="00A375F4"/>
    <w:rsid w:val="00A4469C"/>
    <w:rsid w:val="00A46476"/>
    <w:rsid w:val="00A52116"/>
    <w:rsid w:val="00A55AAA"/>
    <w:rsid w:val="00A60752"/>
    <w:rsid w:val="00A6200C"/>
    <w:rsid w:val="00A63C00"/>
    <w:rsid w:val="00A708FB"/>
    <w:rsid w:val="00A71AF4"/>
    <w:rsid w:val="00A72AC5"/>
    <w:rsid w:val="00A72B5C"/>
    <w:rsid w:val="00A76791"/>
    <w:rsid w:val="00A7768C"/>
    <w:rsid w:val="00A77BFF"/>
    <w:rsid w:val="00A85038"/>
    <w:rsid w:val="00A866D7"/>
    <w:rsid w:val="00A9001C"/>
    <w:rsid w:val="00A9402E"/>
    <w:rsid w:val="00A951EA"/>
    <w:rsid w:val="00AA06F3"/>
    <w:rsid w:val="00AA79D8"/>
    <w:rsid w:val="00AB1658"/>
    <w:rsid w:val="00AB2E3D"/>
    <w:rsid w:val="00AD0064"/>
    <w:rsid w:val="00AD40C4"/>
    <w:rsid w:val="00AD4D69"/>
    <w:rsid w:val="00AE03E0"/>
    <w:rsid w:val="00AE2D80"/>
    <w:rsid w:val="00AE4296"/>
    <w:rsid w:val="00AF45B0"/>
    <w:rsid w:val="00B13218"/>
    <w:rsid w:val="00B217B4"/>
    <w:rsid w:val="00B23951"/>
    <w:rsid w:val="00B27F33"/>
    <w:rsid w:val="00B33E91"/>
    <w:rsid w:val="00B37C98"/>
    <w:rsid w:val="00B465AB"/>
    <w:rsid w:val="00B57702"/>
    <w:rsid w:val="00B57E56"/>
    <w:rsid w:val="00B62A21"/>
    <w:rsid w:val="00B64FBF"/>
    <w:rsid w:val="00B7094F"/>
    <w:rsid w:val="00B73ACE"/>
    <w:rsid w:val="00B82BB6"/>
    <w:rsid w:val="00B86FF5"/>
    <w:rsid w:val="00B90526"/>
    <w:rsid w:val="00B946F3"/>
    <w:rsid w:val="00B94CB1"/>
    <w:rsid w:val="00B961E8"/>
    <w:rsid w:val="00BA0BF9"/>
    <w:rsid w:val="00BA5F8A"/>
    <w:rsid w:val="00BA707B"/>
    <w:rsid w:val="00BB243B"/>
    <w:rsid w:val="00BB4988"/>
    <w:rsid w:val="00BB7CEE"/>
    <w:rsid w:val="00BC43C0"/>
    <w:rsid w:val="00BD4436"/>
    <w:rsid w:val="00BD7715"/>
    <w:rsid w:val="00BE0EAC"/>
    <w:rsid w:val="00BE3A3A"/>
    <w:rsid w:val="00BE6757"/>
    <w:rsid w:val="00BF0EE6"/>
    <w:rsid w:val="00BF2BD5"/>
    <w:rsid w:val="00BF3B1E"/>
    <w:rsid w:val="00C0105B"/>
    <w:rsid w:val="00C120C7"/>
    <w:rsid w:val="00C12D57"/>
    <w:rsid w:val="00C15F23"/>
    <w:rsid w:val="00C200A6"/>
    <w:rsid w:val="00C20DA0"/>
    <w:rsid w:val="00C238D6"/>
    <w:rsid w:val="00C24427"/>
    <w:rsid w:val="00C251F3"/>
    <w:rsid w:val="00C3075C"/>
    <w:rsid w:val="00C33E96"/>
    <w:rsid w:val="00C34D9C"/>
    <w:rsid w:val="00C420CB"/>
    <w:rsid w:val="00C421F9"/>
    <w:rsid w:val="00C54200"/>
    <w:rsid w:val="00C631AC"/>
    <w:rsid w:val="00C632AD"/>
    <w:rsid w:val="00C644F6"/>
    <w:rsid w:val="00C67050"/>
    <w:rsid w:val="00C72C22"/>
    <w:rsid w:val="00C77A2E"/>
    <w:rsid w:val="00C80E9D"/>
    <w:rsid w:val="00C83DFC"/>
    <w:rsid w:val="00CA64BF"/>
    <w:rsid w:val="00CB5ECE"/>
    <w:rsid w:val="00CB6A6E"/>
    <w:rsid w:val="00CC0264"/>
    <w:rsid w:val="00CC7923"/>
    <w:rsid w:val="00CD2376"/>
    <w:rsid w:val="00CD310E"/>
    <w:rsid w:val="00CD41F3"/>
    <w:rsid w:val="00CF07DD"/>
    <w:rsid w:val="00CF0A1D"/>
    <w:rsid w:val="00CF170E"/>
    <w:rsid w:val="00CF2F0B"/>
    <w:rsid w:val="00CF3297"/>
    <w:rsid w:val="00CF3733"/>
    <w:rsid w:val="00D01EC6"/>
    <w:rsid w:val="00D02BFB"/>
    <w:rsid w:val="00D02E98"/>
    <w:rsid w:val="00D21910"/>
    <w:rsid w:val="00D33395"/>
    <w:rsid w:val="00D3426A"/>
    <w:rsid w:val="00D3548D"/>
    <w:rsid w:val="00D41489"/>
    <w:rsid w:val="00D44A37"/>
    <w:rsid w:val="00D50E2F"/>
    <w:rsid w:val="00D54D60"/>
    <w:rsid w:val="00D56153"/>
    <w:rsid w:val="00D61765"/>
    <w:rsid w:val="00D7598E"/>
    <w:rsid w:val="00D85EA8"/>
    <w:rsid w:val="00D87C8B"/>
    <w:rsid w:val="00D94CD8"/>
    <w:rsid w:val="00D96472"/>
    <w:rsid w:val="00D97990"/>
    <w:rsid w:val="00DA0633"/>
    <w:rsid w:val="00DA167D"/>
    <w:rsid w:val="00DA31E9"/>
    <w:rsid w:val="00DA5A75"/>
    <w:rsid w:val="00DA6A25"/>
    <w:rsid w:val="00DB26E0"/>
    <w:rsid w:val="00DB3143"/>
    <w:rsid w:val="00DB41D1"/>
    <w:rsid w:val="00DB7EA6"/>
    <w:rsid w:val="00DC6DE6"/>
    <w:rsid w:val="00DE0F91"/>
    <w:rsid w:val="00DE2BF4"/>
    <w:rsid w:val="00E02F00"/>
    <w:rsid w:val="00E04ACA"/>
    <w:rsid w:val="00E10A1A"/>
    <w:rsid w:val="00E146AF"/>
    <w:rsid w:val="00E21A8F"/>
    <w:rsid w:val="00E21DBF"/>
    <w:rsid w:val="00E26BE6"/>
    <w:rsid w:val="00E271AE"/>
    <w:rsid w:val="00E30D48"/>
    <w:rsid w:val="00E34EE4"/>
    <w:rsid w:val="00E37825"/>
    <w:rsid w:val="00E37CB8"/>
    <w:rsid w:val="00E42908"/>
    <w:rsid w:val="00E42EA9"/>
    <w:rsid w:val="00E43076"/>
    <w:rsid w:val="00E466BB"/>
    <w:rsid w:val="00E57B62"/>
    <w:rsid w:val="00E6392A"/>
    <w:rsid w:val="00E6745D"/>
    <w:rsid w:val="00E702C1"/>
    <w:rsid w:val="00E731A7"/>
    <w:rsid w:val="00E75D67"/>
    <w:rsid w:val="00E8410C"/>
    <w:rsid w:val="00E847EA"/>
    <w:rsid w:val="00E848B3"/>
    <w:rsid w:val="00E85D4E"/>
    <w:rsid w:val="00E87FC3"/>
    <w:rsid w:val="00E950C6"/>
    <w:rsid w:val="00E967CB"/>
    <w:rsid w:val="00EA3D09"/>
    <w:rsid w:val="00EC1E2B"/>
    <w:rsid w:val="00EC3A3D"/>
    <w:rsid w:val="00EC3BBD"/>
    <w:rsid w:val="00EC6DB3"/>
    <w:rsid w:val="00ED0910"/>
    <w:rsid w:val="00ED2F8E"/>
    <w:rsid w:val="00EE4AD5"/>
    <w:rsid w:val="00EE7958"/>
    <w:rsid w:val="00EF28C1"/>
    <w:rsid w:val="00EF3D5F"/>
    <w:rsid w:val="00EF6F93"/>
    <w:rsid w:val="00F01E34"/>
    <w:rsid w:val="00F03595"/>
    <w:rsid w:val="00F0685E"/>
    <w:rsid w:val="00F2727C"/>
    <w:rsid w:val="00F3393A"/>
    <w:rsid w:val="00F44C6A"/>
    <w:rsid w:val="00F51990"/>
    <w:rsid w:val="00F533F8"/>
    <w:rsid w:val="00F548DC"/>
    <w:rsid w:val="00F54973"/>
    <w:rsid w:val="00F5595C"/>
    <w:rsid w:val="00F62419"/>
    <w:rsid w:val="00F650DD"/>
    <w:rsid w:val="00F6546F"/>
    <w:rsid w:val="00F71D7E"/>
    <w:rsid w:val="00F71FB8"/>
    <w:rsid w:val="00F73B1E"/>
    <w:rsid w:val="00F74E04"/>
    <w:rsid w:val="00F82445"/>
    <w:rsid w:val="00F835C1"/>
    <w:rsid w:val="00F87B82"/>
    <w:rsid w:val="00F93E30"/>
    <w:rsid w:val="00F9629C"/>
    <w:rsid w:val="00FA4306"/>
    <w:rsid w:val="00FB16CF"/>
    <w:rsid w:val="00FC481C"/>
    <w:rsid w:val="00FC7B0B"/>
    <w:rsid w:val="00FC7C1D"/>
    <w:rsid w:val="00FD1D7B"/>
    <w:rsid w:val="00FD3B5A"/>
    <w:rsid w:val="00FD4BA4"/>
    <w:rsid w:val="00FE11D1"/>
    <w:rsid w:val="00FE447E"/>
    <w:rsid w:val="00FE7456"/>
    <w:rsid w:val="00FE746E"/>
    <w:rsid w:val="00FF21B8"/>
    <w:rsid w:val="00FF2D2B"/>
    <w:rsid w:val="00FF3388"/>
    <w:rsid w:val="00FF5D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4BC868EB"/>
  <w15:docId w15:val="{AF8523F8-016F-4627-8EF6-DB163764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D41F3"/>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963690"/>
    <w:pPr>
      <w:ind w:left="1134"/>
      <w:outlineLvl w:val="0"/>
    </w:pPr>
  </w:style>
  <w:style w:type="paragraph" w:styleId="Heading2">
    <w:name w:val="heading 2"/>
    <w:basedOn w:val="Normal"/>
    <w:next w:val="Normal"/>
    <w:link w:val="Heading2Char"/>
    <w:qFormat/>
    <w:rsid w:val="00963690"/>
    <w:pPr>
      <w:keepNext/>
      <w:keepLines/>
      <w:spacing w:before="200"/>
      <w:outlineLvl w:val="1"/>
    </w:pPr>
    <w:rPr>
      <w:rFonts w:ascii="Cambria" w:eastAsia="Times New Roman" w:hAnsi="Cambria"/>
      <w:b/>
      <w:bCs/>
      <w:color w:val="4F81BD"/>
      <w:sz w:val="26"/>
      <w:szCs w:val="26"/>
    </w:rPr>
  </w:style>
  <w:style w:type="paragraph" w:styleId="Heading3">
    <w:name w:val="heading 3"/>
    <w:basedOn w:val="Normal"/>
    <w:link w:val="Heading3Char"/>
    <w:qFormat/>
    <w:rsid w:val="005140C3"/>
    <w:pPr>
      <w:tabs>
        <w:tab w:val="left" w:pos="720"/>
      </w:tabs>
      <w:suppressAutoHyphens w:val="0"/>
      <w:spacing w:after="240" w:line="240" w:lineRule="auto"/>
      <w:outlineLvl w:val="2"/>
    </w:pPr>
    <w:rPr>
      <w:rFonts w:eastAsia="Times New Roman"/>
      <w:sz w:val="22"/>
      <w:u w:val="dotDotDash"/>
      <w:lang w:eastAsia="de-DE"/>
    </w:rPr>
  </w:style>
  <w:style w:type="paragraph" w:styleId="Heading4">
    <w:name w:val="heading 4"/>
    <w:basedOn w:val="Normal"/>
    <w:next w:val="Normal"/>
    <w:link w:val="Heading4Char"/>
    <w:qFormat/>
    <w:rsid w:val="0096369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963690"/>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5140C3"/>
    <w:pPr>
      <w:suppressAutoHyphens w:val="0"/>
      <w:spacing w:before="240" w:after="60" w:line="240" w:lineRule="auto"/>
      <w:outlineLvl w:val="5"/>
    </w:pPr>
    <w:rPr>
      <w:rFonts w:eastAsia="Times New Roman"/>
      <w:b/>
      <w:bCs/>
      <w:sz w:val="22"/>
      <w:szCs w:val="22"/>
      <w:u w:val="dotDotDash"/>
      <w:lang w:eastAsia="de-DE"/>
    </w:rPr>
  </w:style>
  <w:style w:type="paragraph" w:styleId="Heading7">
    <w:name w:val="heading 7"/>
    <w:basedOn w:val="Normal"/>
    <w:next w:val="Normal"/>
    <w:link w:val="Heading7Char"/>
    <w:qFormat/>
    <w:rsid w:val="005140C3"/>
    <w:pPr>
      <w:suppressAutoHyphens w:val="0"/>
      <w:spacing w:before="240" w:after="60" w:line="240" w:lineRule="auto"/>
      <w:outlineLvl w:val="6"/>
    </w:pPr>
    <w:rPr>
      <w:rFonts w:eastAsia="Times New Roman"/>
      <w:sz w:val="24"/>
      <w:szCs w:val="24"/>
      <w:u w:val="dotDotDash"/>
      <w:lang w:eastAsia="de-DE"/>
    </w:rPr>
  </w:style>
  <w:style w:type="paragraph" w:styleId="Heading8">
    <w:name w:val="heading 8"/>
    <w:basedOn w:val="Normal"/>
    <w:next w:val="Normal"/>
    <w:link w:val="Heading8Char"/>
    <w:qFormat/>
    <w:rsid w:val="005140C3"/>
    <w:pPr>
      <w:suppressAutoHyphens w:val="0"/>
      <w:spacing w:before="240" w:after="60" w:line="240" w:lineRule="auto"/>
      <w:outlineLvl w:val="7"/>
    </w:pPr>
    <w:rPr>
      <w:rFonts w:eastAsia="Times New Roman"/>
      <w:i/>
      <w:iCs/>
      <w:sz w:val="24"/>
      <w:szCs w:val="24"/>
      <w:u w:val="dotDotDash"/>
      <w:lang w:eastAsia="de-DE"/>
    </w:rPr>
  </w:style>
  <w:style w:type="paragraph" w:styleId="Heading9">
    <w:name w:val="heading 9"/>
    <w:basedOn w:val="Normal"/>
    <w:next w:val="Normal"/>
    <w:link w:val="Heading9Char"/>
    <w:qFormat/>
    <w:rsid w:val="005140C3"/>
    <w:pPr>
      <w:suppressAutoHyphens w:val="0"/>
      <w:spacing w:before="240" w:after="60" w:line="240" w:lineRule="auto"/>
      <w:outlineLvl w:val="8"/>
    </w:pPr>
    <w:rPr>
      <w:rFonts w:ascii="Arial" w:eastAsia="Times New Roman" w:hAnsi="Arial" w:cs="Arial"/>
      <w:sz w:val="22"/>
      <w:szCs w:val="22"/>
      <w:u w:val="dotDotDash"/>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96369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963690"/>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963690"/>
    <w:pPr>
      <w:keepNext/>
      <w:keepLines/>
      <w:spacing w:before="360" w:after="240" w:line="270" w:lineRule="exact"/>
      <w:ind w:left="1134" w:right="1134" w:hanging="1134"/>
    </w:pPr>
    <w:rPr>
      <w:b/>
      <w:sz w:val="24"/>
    </w:rPr>
  </w:style>
  <w:style w:type="paragraph" w:customStyle="1" w:styleId="H23G">
    <w:name w:val="_ H_2/3_G"/>
    <w:basedOn w:val="Normal"/>
    <w:next w:val="Normal"/>
    <w:rsid w:val="0096369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963690"/>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963690"/>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963690"/>
    <w:pPr>
      <w:spacing w:after="120"/>
      <w:ind w:left="1134" w:right="1134"/>
      <w:jc w:val="both"/>
    </w:pPr>
    <w:rPr>
      <w:rFonts w:eastAsia="Times New Roman"/>
      <w:lang w:eastAsia="en-US"/>
    </w:rPr>
  </w:style>
  <w:style w:type="paragraph" w:customStyle="1" w:styleId="SLG">
    <w:name w:val="__S_L_G"/>
    <w:basedOn w:val="Normal"/>
    <w:next w:val="Normal"/>
    <w:rsid w:val="00963690"/>
    <w:pPr>
      <w:keepNext/>
      <w:keepLines/>
      <w:spacing w:before="240" w:after="240" w:line="580" w:lineRule="exact"/>
      <w:ind w:left="1134" w:right="1134"/>
    </w:pPr>
    <w:rPr>
      <w:b/>
      <w:sz w:val="56"/>
    </w:rPr>
  </w:style>
  <w:style w:type="paragraph" w:customStyle="1" w:styleId="SMG">
    <w:name w:val="__S_M_G"/>
    <w:basedOn w:val="Normal"/>
    <w:next w:val="Normal"/>
    <w:rsid w:val="00963690"/>
    <w:pPr>
      <w:keepNext/>
      <w:keepLines/>
      <w:spacing w:before="240" w:after="240" w:line="420" w:lineRule="exact"/>
      <w:ind w:left="1134" w:right="1134"/>
    </w:pPr>
    <w:rPr>
      <w:b/>
      <w:sz w:val="40"/>
    </w:rPr>
  </w:style>
  <w:style w:type="paragraph" w:customStyle="1" w:styleId="SSG">
    <w:name w:val="__S_S_G"/>
    <w:basedOn w:val="Normal"/>
    <w:next w:val="Normal"/>
    <w:rsid w:val="00963690"/>
    <w:pPr>
      <w:keepNext/>
      <w:keepLines/>
      <w:spacing w:before="240" w:after="240" w:line="300" w:lineRule="exact"/>
      <w:ind w:left="1134" w:right="1134"/>
    </w:pPr>
    <w:rPr>
      <w:b/>
      <w:sz w:val="28"/>
    </w:rPr>
  </w:style>
  <w:style w:type="paragraph" w:customStyle="1" w:styleId="XLargeG">
    <w:name w:val="__XLarge_G"/>
    <w:basedOn w:val="Normal"/>
    <w:next w:val="Normal"/>
    <w:rsid w:val="00963690"/>
    <w:pPr>
      <w:keepNext/>
      <w:keepLines/>
      <w:spacing w:before="240" w:after="240" w:line="420" w:lineRule="exact"/>
      <w:ind w:left="1134" w:right="1134"/>
    </w:pPr>
    <w:rPr>
      <w:b/>
      <w:sz w:val="40"/>
    </w:rPr>
  </w:style>
  <w:style w:type="paragraph" w:customStyle="1" w:styleId="Bullet1G">
    <w:name w:val="_Bullet 1_G"/>
    <w:basedOn w:val="Normal"/>
    <w:rsid w:val="00963690"/>
    <w:pPr>
      <w:numPr>
        <w:numId w:val="1"/>
      </w:numPr>
      <w:spacing w:after="120"/>
      <w:ind w:right="1134"/>
      <w:jc w:val="both"/>
    </w:pPr>
  </w:style>
  <w:style w:type="paragraph" w:customStyle="1" w:styleId="Bullet2G">
    <w:name w:val="_Bullet 2_G"/>
    <w:basedOn w:val="Normal"/>
    <w:rsid w:val="00963690"/>
    <w:pPr>
      <w:numPr>
        <w:numId w:val="2"/>
      </w:numPr>
      <w:spacing w:after="120"/>
      <w:ind w:right="1134"/>
      <w:jc w:val="both"/>
    </w:pPr>
  </w:style>
  <w:style w:type="paragraph" w:customStyle="1" w:styleId="AnnoHCHG">
    <w:name w:val="Anno _ H_CH_G"/>
    <w:basedOn w:val="Normal"/>
    <w:next w:val="AnnoH1G"/>
    <w:rsid w:val="00963690"/>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963690"/>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CD41F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rsid w:val="00C12D57"/>
    <w:pPr>
      <w:numPr>
        <w:ilvl w:val="3"/>
        <w:numId w:val="3"/>
      </w:numPr>
      <w:spacing w:after="120"/>
      <w:ind w:left="1134" w:right="1134" w:firstLine="0"/>
      <w:jc w:val="both"/>
    </w:pPr>
  </w:style>
  <w:style w:type="character" w:styleId="FootnoteReference">
    <w:name w:val="footnote reference"/>
    <w:aliases w:val="4_G,16 Point,Superscript 6 Point,Ref,de nota al pie,number,Footnote text,Footnote reference number,Footnote symbol,note TESI,-E Fußnotenzeichen,SUPERS,stylish,ftref,Footnote Text1,Footnote Text Char2 Char,Footnote Text Char1 Char Char"/>
    <w:rsid w:val="00963690"/>
    <w:rPr>
      <w:rFonts w:ascii="Times New Roman" w:hAnsi="Times New Roman"/>
      <w:sz w:val="18"/>
      <w:vertAlign w:val="superscript"/>
    </w:rPr>
  </w:style>
  <w:style w:type="character" w:styleId="EndnoteReference">
    <w:name w:val="endnote reference"/>
    <w:aliases w:val="1_G"/>
    <w:rsid w:val="00963690"/>
    <w:rPr>
      <w:rFonts w:ascii="Times New Roman" w:hAnsi="Times New Roman"/>
      <w:sz w:val="18"/>
      <w:vertAlign w:val="superscript"/>
    </w:rPr>
  </w:style>
  <w:style w:type="paragraph" w:styleId="EndnoteText">
    <w:name w:val="endnote text"/>
    <w:aliases w:val="2_G"/>
    <w:basedOn w:val="FootnoteText"/>
    <w:link w:val="EndnoteTextChar"/>
    <w:rsid w:val="00963690"/>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963690"/>
    <w:pPr>
      <w:tabs>
        <w:tab w:val="right" w:pos="1021"/>
      </w:tabs>
      <w:spacing w:line="220" w:lineRule="exact"/>
      <w:ind w:left="1134" w:right="1134" w:hanging="1134"/>
    </w:pPr>
    <w:rPr>
      <w:sz w:val="18"/>
    </w:rPr>
  </w:style>
  <w:style w:type="paragraph" w:styleId="Footer">
    <w:name w:val="footer"/>
    <w:aliases w:val="3_G"/>
    <w:basedOn w:val="Normal"/>
    <w:link w:val="FooterChar"/>
    <w:rsid w:val="00963690"/>
    <w:rPr>
      <w:sz w:val="16"/>
    </w:rPr>
  </w:style>
  <w:style w:type="paragraph" w:customStyle="1" w:styleId="FootnoteTable">
    <w:name w:val="Footnote Table"/>
    <w:basedOn w:val="Normal"/>
    <w:rsid w:val="00963690"/>
    <w:pPr>
      <w:spacing w:line="220" w:lineRule="exact"/>
      <w:jc w:val="both"/>
    </w:pPr>
    <w:rPr>
      <w:sz w:val="18"/>
    </w:rPr>
  </w:style>
  <w:style w:type="paragraph" w:styleId="Header">
    <w:name w:val="header"/>
    <w:aliases w:val="6_G"/>
    <w:basedOn w:val="Normal"/>
    <w:link w:val="HeaderChar"/>
    <w:uiPriority w:val="99"/>
    <w:rsid w:val="00963690"/>
    <w:pPr>
      <w:pBdr>
        <w:bottom w:val="single" w:sz="4" w:space="4" w:color="auto"/>
      </w:pBdr>
    </w:pPr>
    <w:rPr>
      <w:b/>
      <w:sz w:val="18"/>
    </w:rPr>
  </w:style>
  <w:style w:type="character" w:styleId="PageNumber">
    <w:name w:val="page number"/>
    <w:aliases w:val="7_G"/>
    <w:rsid w:val="00963690"/>
    <w:rPr>
      <w:rFonts w:ascii="Times New Roman" w:hAnsi="Times New Roman"/>
      <w:b/>
      <w:sz w:val="18"/>
    </w:rPr>
  </w:style>
  <w:style w:type="paragraph" w:customStyle="1" w:styleId="RegHChG">
    <w:name w:val="Reg_H__Ch_G"/>
    <w:basedOn w:val="Normal"/>
    <w:next w:val="RegH1G"/>
    <w:link w:val="RegHChGCharChar"/>
    <w:rsid w:val="00963690"/>
    <w:pPr>
      <w:keepNext/>
      <w:keepLines/>
      <w:numPr>
        <w:numId w:val="4"/>
      </w:numPr>
      <w:spacing w:before="360" w:after="240" w:line="300" w:lineRule="exact"/>
      <w:ind w:right="1134"/>
    </w:pPr>
    <w:rPr>
      <w:b/>
      <w:sz w:val="28"/>
    </w:rPr>
  </w:style>
  <w:style w:type="paragraph" w:customStyle="1" w:styleId="RegH1G">
    <w:name w:val="Reg_H_1_G"/>
    <w:basedOn w:val="Normal"/>
    <w:next w:val="RegH23G"/>
    <w:link w:val="RegH1GChar"/>
    <w:rsid w:val="00963690"/>
    <w:pPr>
      <w:keepNext/>
      <w:keepLines/>
      <w:numPr>
        <w:ilvl w:val="1"/>
        <w:numId w:val="4"/>
      </w:numPr>
      <w:spacing w:before="360" w:after="240" w:line="270" w:lineRule="exact"/>
      <w:ind w:right="1134"/>
    </w:pPr>
    <w:rPr>
      <w:b/>
      <w:sz w:val="24"/>
    </w:rPr>
  </w:style>
  <w:style w:type="paragraph" w:customStyle="1" w:styleId="RegH23G">
    <w:name w:val="Reg_H_2/3_G"/>
    <w:basedOn w:val="Normal"/>
    <w:next w:val="RegSingleTxtG"/>
    <w:rsid w:val="00963690"/>
    <w:pPr>
      <w:keepNext/>
      <w:keepLines/>
      <w:numPr>
        <w:ilvl w:val="2"/>
        <w:numId w:val="4"/>
      </w:numPr>
      <w:spacing w:before="240" w:after="120" w:line="240" w:lineRule="exact"/>
      <w:ind w:right="1134"/>
    </w:pPr>
    <w:rPr>
      <w:b/>
    </w:rPr>
  </w:style>
  <w:style w:type="paragraph" w:customStyle="1" w:styleId="RegSingleTxtG">
    <w:name w:val="Reg_Single Txt_G"/>
    <w:basedOn w:val="Normal"/>
    <w:link w:val="RegSingleTxtGChar"/>
    <w:rsid w:val="00963690"/>
    <w:pPr>
      <w:numPr>
        <w:ilvl w:val="3"/>
        <w:numId w:val="4"/>
      </w:numPr>
      <w:tabs>
        <w:tab w:val="left" w:pos="1701"/>
      </w:tabs>
      <w:spacing w:after="120"/>
      <w:ind w:right="1134"/>
      <w:jc w:val="both"/>
    </w:pPr>
  </w:style>
  <w:style w:type="paragraph" w:styleId="TOC1">
    <w:name w:val="toc 1"/>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963690"/>
    <w:pPr>
      <w:spacing w:line="240" w:lineRule="auto"/>
    </w:pPr>
    <w:rPr>
      <w:rFonts w:ascii="Tahoma" w:hAnsi="Tahoma" w:cs="Tahoma"/>
      <w:sz w:val="16"/>
      <w:szCs w:val="16"/>
    </w:rPr>
  </w:style>
  <w:style w:type="character" w:customStyle="1" w:styleId="BalloonTextChar">
    <w:name w:val="Balloon Text Char"/>
    <w:link w:val="BalloonText"/>
    <w:rsid w:val="00963690"/>
    <w:rPr>
      <w:rFonts w:ascii="Tahoma" w:eastAsia="SimSun" w:hAnsi="Tahoma" w:cs="Tahoma"/>
      <w:sz w:val="16"/>
      <w:szCs w:val="16"/>
      <w:lang w:val="en-GB" w:eastAsia="zh-CN"/>
    </w:rPr>
  </w:style>
  <w:style w:type="paragraph" w:styleId="ListParagraph">
    <w:name w:val="List Paragraph"/>
    <w:basedOn w:val="Normal"/>
    <w:uiPriority w:val="34"/>
    <w:qFormat/>
    <w:rsid w:val="00963690"/>
    <w:pPr>
      <w:ind w:left="720"/>
      <w:contextualSpacing/>
    </w:pPr>
  </w:style>
  <w:style w:type="character" w:customStyle="1" w:styleId="Heading2Char">
    <w:name w:val="Heading 2 Char"/>
    <w:link w:val="Heading2"/>
    <w:rsid w:val="00963690"/>
    <w:rPr>
      <w:rFonts w:ascii="Cambria" w:eastAsia="Times New Roman" w:hAnsi="Cambria" w:cs="Times New Roman"/>
      <w:b/>
      <w:bCs/>
      <w:color w:val="4F81BD"/>
      <w:sz w:val="26"/>
      <w:szCs w:val="26"/>
      <w:lang w:val="en-GB" w:eastAsia="zh-CN"/>
    </w:rPr>
  </w:style>
  <w:style w:type="character" w:customStyle="1" w:styleId="Heading4Char">
    <w:name w:val="Heading 4 Char"/>
    <w:link w:val="Heading4"/>
    <w:rsid w:val="00963690"/>
    <w:rPr>
      <w:rFonts w:ascii="Cambria" w:eastAsia="Times New Roman" w:hAnsi="Cambria" w:cs="Times New Roman"/>
      <w:b/>
      <w:bCs/>
      <w:i/>
      <w:iCs/>
      <w:color w:val="4F81BD"/>
      <w:lang w:val="en-GB" w:eastAsia="zh-CN"/>
    </w:rPr>
  </w:style>
  <w:style w:type="character" w:customStyle="1" w:styleId="Heading5Char">
    <w:name w:val="Heading 5 Char"/>
    <w:link w:val="Heading5"/>
    <w:rsid w:val="00963690"/>
    <w:rPr>
      <w:rFonts w:ascii="Cambria" w:eastAsia="Times New Roman" w:hAnsi="Cambria" w:cs="Times New Roman"/>
      <w:color w:val="243F60"/>
      <w:lang w:val="en-GB" w:eastAsia="zh-CN"/>
    </w:rPr>
  </w:style>
  <w:style w:type="paragraph" w:customStyle="1" w:styleId="ListParagraphforAnnexes">
    <w:name w:val="List Paragraph for Annexes"/>
    <w:basedOn w:val="ListParagraph"/>
    <w:qFormat/>
    <w:rsid w:val="001007C9"/>
    <w:pPr>
      <w:spacing w:before="120" w:after="120" w:line="240" w:lineRule="exact"/>
      <w:contextualSpacing w:val="0"/>
    </w:pPr>
  </w:style>
  <w:style w:type="character" w:customStyle="1" w:styleId="RegSingleTxtGChar">
    <w:name w:val="Reg_Single Txt_G Char"/>
    <w:link w:val="RegSingleTxtG"/>
    <w:rsid w:val="00964DCB"/>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locked/>
    <w:rsid w:val="00964DCB"/>
    <w:rPr>
      <w:rFonts w:eastAsia="SimSun"/>
      <w:sz w:val="18"/>
      <w:lang w:val="en-GB" w:eastAsia="zh-CN"/>
    </w:rPr>
  </w:style>
  <w:style w:type="paragraph" w:customStyle="1" w:styleId="RegHead1">
    <w:name w:val="RegHead1"/>
    <w:basedOn w:val="Normal"/>
    <w:next w:val="RegHead2"/>
    <w:rsid w:val="00964DCB"/>
    <w:pPr>
      <w:keepNext/>
      <w:numPr>
        <w:numId w:val="5"/>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964DCB"/>
    <w:pPr>
      <w:keepNext/>
      <w:numPr>
        <w:ilvl w:val="1"/>
        <w:numId w:val="5"/>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964DCB"/>
    <w:pPr>
      <w:numPr>
        <w:ilvl w:val="2"/>
        <w:numId w:val="5"/>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link w:val="RegParaChar"/>
    <w:rsid w:val="00964DCB"/>
    <w:pPr>
      <w:numPr>
        <w:ilvl w:val="3"/>
        <w:numId w:val="5"/>
      </w:numPr>
      <w:suppressAutoHyphens w:val="0"/>
      <w:spacing w:before="180" w:line="240" w:lineRule="auto"/>
    </w:pPr>
    <w:rPr>
      <w:rFonts w:eastAsia="Times New Roman"/>
      <w:sz w:val="22"/>
      <w:lang w:eastAsia="de-DE"/>
    </w:rPr>
  </w:style>
  <w:style w:type="character" w:customStyle="1" w:styleId="FooterChar">
    <w:name w:val="Footer Char"/>
    <w:aliases w:val="3_G Char"/>
    <w:basedOn w:val="DefaultParagraphFont"/>
    <w:link w:val="Footer"/>
    <w:rsid w:val="00E271AE"/>
    <w:rPr>
      <w:rFonts w:eastAsia="SimSun"/>
      <w:sz w:val="16"/>
      <w:lang w:val="en-GB" w:eastAsia="zh-CN"/>
    </w:rPr>
  </w:style>
  <w:style w:type="character" w:customStyle="1" w:styleId="HeaderChar">
    <w:name w:val="Header Char"/>
    <w:aliases w:val="6_G Char"/>
    <w:basedOn w:val="DefaultParagraphFont"/>
    <w:link w:val="Header"/>
    <w:uiPriority w:val="99"/>
    <w:rsid w:val="00E271AE"/>
    <w:rPr>
      <w:rFonts w:eastAsia="SimSun"/>
      <w:b/>
      <w:sz w:val="18"/>
      <w:lang w:val="en-GB" w:eastAsia="zh-CN"/>
    </w:rPr>
  </w:style>
  <w:style w:type="character" w:customStyle="1" w:styleId="RegHChGCharChar">
    <w:name w:val="Reg_H__Ch_G Char Char"/>
    <w:link w:val="RegHChG"/>
    <w:rsid w:val="00E146AF"/>
    <w:rPr>
      <w:rFonts w:eastAsia="SimSun"/>
      <w:b/>
      <w:sz w:val="28"/>
      <w:lang w:val="en-GB" w:eastAsia="zh-CN"/>
    </w:rPr>
  </w:style>
  <w:style w:type="character" w:customStyle="1" w:styleId="Heading3Char">
    <w:name w:val="Heading 3 Char"/>
    <w:basedOn w:val="DefaultParagraphFont"/>
    <w:link w:val="Heading3"/>
    <w:rsid w:val="005140C3"/>
    <w:rPr>
      <w:sz w:val="22"/>
      <w:u w:val="dotDotDash"/>
      <w:lang w:val="en-GB" w:eastAsia="de-DE"/>
    </w:rPr>
  </w:style>
  <w:style w:type="character" w:customStyle="1" w:styleId="Heading6Char">
    <w:name w:val="Heading 6 Char"/>
    <w:basedOn w:val="DefaultParagraphFont"/>
    <w:link w:val="Heading6"/>
    <w:rsid w:val="005140C3"/>
    <w:rPr>
      <w:b/>
      <w:bCs/>
      <w:sz w:val="22"/>
      <w:szCs w:val="22"/>
      <w:u w:val="dotDotDash"/>
      <w:lang w:val="en-GB" w:eastAsia="de-DE"/>
    </w:rPr>
  </w:style>
  <w:style w:type="character" w:customStyle="1" w:styleId="Heading7Char">
    <w:name w:val="Heading 7 Char"/>
    <w:basedOn w:val="DefaultParagraphFont"/>
    <w:link w:val="Heading7"/>
    <w:rsid w:val="005140C3"/>
    <w:rPr>
      <w:sz w:val="24"/>
      <w:szCs w:val="24"/>
      <w:u w:val="dotDotDash"/>
      <w:lang w:val="en-GB" w:eastAsia="de-DE"/>
    </w:rPr>
  </w:style>
  <w:style w:type="character" w:customStyle="1" w:styleId="Heading8Char">
    <w:name w:val="Heading 8 Char"/>
    <w:basedOn w:val="DefaultParagraphFont"/>
    <w:link w:val="Heading8"/>
    <w:rsid w:val="005140C3"/>
    <w:rPr>
      <w:i/>
      <w:iCs/>
      <w:sz w:val="24"/>
      <w:szCs w:val="24"/>
      <w:u w:val="dotDotDash"/>
      <w:lang w:val="en-GB" w:eastAsia="de-DE"/>
    </w:rPr>
  </w:style>
  <w:style w:type="character" w:customStyle="1" w:styleId="Heading9Char">
    <w:name w:val="Heading 9 Char"/>
    <w:basedOn w:val="DefaultParagraphFont"/>
    <w:link w:val="Heading9"/>
    <w:rsid w:val="005140C3"/>
    <w:rPr>
      <w:rFonts w:ascii="Arial" w:hAnsi="Arial" w:cs="Arial"/>
      <w:sz w:val="22"/>
      <w:szCs w:val="22"/>
      <w:u w:val="dotDotDash"/>
      <w:lang w:val="en-GB" w:eastAsia="de-DE"/>
    </w:rPr>
  </w:style>
  <w:style w:type="paragraph" w:customStyle="1" w:styleId="DecPara">
    <w:name w:val="DecPara"/>
    <w:basedOn w:val="Normal"/>
    <w:rsid w:val="005140C3"/>
    <w:pPr>
      <w:numPr>
        <w:numId w:val="13"/>
      </w:numPr>
      <w:suppressAutoHyphens w:val="0"/>
      <w:spacing w:before="180" w:line="240" w:lineRule="auto"/>
    </w:pPr>
    <w:rPr>
      <w:rFonts w:eastAsia="Times New Roman"/>
      <w:sz w:val="22"/>
      <w:lang w:eastAsia="de-DE"/>
    </w:rPr>
  </w:style>
  <w:style w:type="numbering" w:customStyle="1" w:styleId="NoList1">
    <w:name w:val="No List1"/>
    <w:next w:val="NoList"/>
    <w:uiPriority w:val="99"/>
    <w:semiHidden/>
    <w:unhideWhenUsed/>
    <w:rsid w:val="005140C3"/>
  </w:style>
  <w:style w:type="character" w:styleId="CommentReference">
    <w:name w:val="annotation reference"/>
    <w:rsid w:val="005140C3"/>
    <w:rPr>
      <w:sz w:val="16"/>
      <w:szCs w:val="16"/>
    </w:rPr>
  </w:style>
  <w:style w:type="paragraph" w:styleId="CommentText">
    <w:name w:val="annotation text"/>
    <w:basedOn w:val="Normal"/>
    <w:link w:val="CommentTextChar"/>
    <w:rsid w:val="005140C3"/>
    <w:pPr>
      <w:suppressAutoHyphens w:val="0"/>
      <w:spacing w:line="240" w:lineRule="auto"/>
    </w:pPr>
    <w:rPr>
      <w:rFonts w:eastAsia="MS Mincho"/>
      <w:lang w:eastAsia="de-DE"/>
    </w:rPr>
  </w:style>
  <w:style w:type="character" w:customStyle="1" w:styleId="CommentTextChar">
    <w:name w:val="Comment Text Char"/>
    <w:basedOn w:val="DefaultParagraphFont"/>
    <w:link w:val="CommentText"/>
    <w:rsid w:val="005140C3"/>
    <w:rPr>
      <w:rFonts w:eastAsia="MS Mincho"/>
      <w:lang w:val="en-GB" w:eastAsia="de-DE"/>
    </w:rPr>
  </w:style>
  <w:style w:type="paragraph" w:styleId="CommentSubject">
    <w:name w:val="annotation subject"/>
    <w:basedOn w:val="CommentText"/>
    <w:next w:val="CommentText"/>
    <w:link w:val="CommentSubjectChar"/>
    <w:rsid w:val="005140C3"/>
    <w:rPr>
      <w:b/>
      <w:bCs/>
    </w:rPr>
  </w:style>
  <w:style w:type="character" w:customStyle="1" w:styleId="CommentSubjectChar">
    <w:name w:val="Comment Subject Char"/>
    <w:basedOn w:val="CommentTextChar"/>
    <w:link w:val="CommentSubject"/>
    <w:rsid w:val="005140C3"/>
    <w:rPr>
      <w:rFonts w:eastAsia="MS Mincho"/>
      <w:b/>
      <w:bCs/>
      <w:lang w:val="en-GB" w:eastAsia="de-DE"/>
    </w:rPr>
  </w:style>
  <w:style w:type="character" w:customStyle="1" w:styleId="SingleTxtGChar">
    <w:name w:val="_ Single Txt_G Char"/>
    <w:link w:val="SingleTxtG"/>
    <w:rsid w:val="005140C3"/>
    <w:rPr>
      <w:lang w:val="en-GB" w:eastAsia="en-US"/>
    </w:rPr>
  </w:style>
  <w:style w:type="character" w:customStyle="1" w:styleId="HChGChar">
    <w:name w:val="_ H _Ch_G Char"/>
    <w:link w:val="HChG"/>
    <w:rsid w:val="005140C3"/>
    <w:rPr>
      <w:rFonts w:eastAsia="SimSun"/>
      <w:b/>
      <w:sz w:val="28"/>
      <w:lang w:val="en-GB" w:eastAsia="zh-CN"/>
    </w:rPr>
  </w:style>
  <w:style w:type="character" w:customStyle="1" w:styleId="Heading1Char">
    <w:name w:val="Heading 1 Char"/>
    <w:aliases w:val="Table_G Char"/>
    <w:link w:val="Heading1"/>
    <w:rsid w:val="005140C3"/>
    <w:rPr>
      <w:rFonts w:eastAsia="SimSun"/>
      <w:lang w:val="en-GB" w:eastAsia="zh-CN"/>
    </w:rPr>
  </w:style>
  <w:style w:type="character" w:customStyle="1" w:styleId="H1GChar">
    <w:name w:val="_ H_1_G Char"/>
    <w:link w:val="H1G"/>
    <w:locked/>
    <w:rsid w:val="005140C3"/>
    <w:rPr>
      <w:rFonts w:eastAsia="SimSun"/>
      <w:b/>
      <w:sz w:val="24"/>
      <w:lang w:val="en-GB" w:eastAsia="zh-CN"/>
    </w:rPr>
  </w:style>
  <w:style w:type="character" w:customStyle="1" w:styleId="EndnoteTextChar">
    <w:name w:val="Endnote Text Char"/>
    <w:aliases w:val="2_G Char"/>
    <w:link w:val="EndnoteText"/>
    <w:rsid w:val="005140C3"/>
    <w:rPr>
      <w:rFonts w:eastAsia="SimSun"/>
      <w:sz w:val="18"/>
      <w:lang w:val="en-GB" w:eastAsia="zh-CN"/>
    </w:rPr>
  </w:style>
  <w:style w:type="character" w:customStyle="1" w:styleId="RegH1GChar">
    <w:name w:val="Reg_H_1_G Char"/>
    <w:link w:val="RegH1G"/>
    <w:rsid w:val="005140C3"/>
    <w:rPr>
      <w:rFonts w:eastAsia="SimSun"/>
      <w:b/>
      <w:sz w:val="24"/>
      <w:lang w:val="en-GB" w:eastAsia="zh-CN"/>
    </w:rPr>
  </w:style>
  <w:style w:type="character" w:customStyle="1" w:styleId="RegHChGChar">
    <w:name w:val="Reg_H__Ch_G Char"/>
    <w:rsid w:val="005140C3"/>
    <w:rPr>
      <w:rFonts w:eastAsia="SimSun"/>
      <w:b/>
      <w:sz w:val="28"/>
      <w:lang w:eastAsia="zh-CN"/>
    </w:rPr>
  </w:style>
  <w:style w:type="paragraph" w:styleId="TOC4">
    <w:name w:val="toc 4"/>
    <w:basedOn w:val="Normal"/>
    <w:next w:val="Normal"/>
    <w:autoRedefine/>
    <w:rsid w:val="005140C3"/>
    <w:pPr>
      <w:ind w:left="600"/>
    </w:pPr>
  </w:style>
  <w:style w:type="paragraph" w:styleId="TOC5">
    <w:name w:val="toc 5"/>
    <w:basedOn w:val="Normal"/>
    <w:next w:val="Normal"/>
    <w:autoRedefine/>
    <w:rsid w:val="005140C3"/>
    <w:pPr>
      <w:numPr>
        <w:numId w:val="21"/>
      </w:numPr>
      <w:ind w:left="800"/>
    </w:pPr>
  </w:style>
  <w:style w:type="paragraph" w:styleId="TOC6">
    <w:name w:val="toc 6"/>
    <w:basedOn w:val="Normal"/>
    <w:next w:val="Normal"/>
    <w:autoRedefine/>
    <w:rsid w:val="005140C3"/>
    <w:pPr>
      <w:numPr>
        <w:ilvl w:val="1"/>
        <w:numId w:val="21"/>
      </w:numPr>
      <w:ind w:left="1000"/>
    </w:pPr>
  </w:style>
  <w:style w:type="paragraph" w:styleId="TOC7">
    <w:name w:val="toc 7"/>
    <w:basedOn w:val="Normal"/>
    <w:next w:val="Normal"/>
    <w:autoRedefine/>
    <w:rsid w:val="005140C3"/>
    <w:pPr>
      <w:numPr>
        <w:ilvl w:val="2"/>
        <w:numId w:val="21"/>
      </w:numPr>
      <w:ind w:left="1200"/>
    </w:pPr>
  </w:style>
  <w:style w:type="paragraph" w:styleId="TOC8">
    <w:name w:val="toc 8"/>
    <w:basedOn w:val="Normal"/>
    <w:next w:val="Normal"/>
    <w:autoRedefine/>
    <w:rsid w:val="005140C3"/>
    <w:pPr>
      <w:numPr>
        <w:ilvl w:val="3"/>
        <w:numId w:val="21"/>
      </w:numPr>
      <w:tabs>
        <w:tab w:val="clear" w:pos="720"/>
      </w:tabs>
      <w:ind w:left="1400"/>
    </w:pPr>
  </w:style>
  <w:style w:type="paragraph" w:styleId="TOC9">
    <w:name w:val="toc 9"/>
    <w:basedOn w:val="Normal"/>
    <w:next w:val="Normal"/>
    <w:autoRedefine/>
    <w:rsid w:val="005140C3"/>
    <w:pPr>
      <w:ind w:left="1600"/>
    </w:pPr>
  </w:style>
  <w:style w:type="paragraph" w:customStyle="1" w:styleId="MainTitle">
    <w:name w:val="MainTitle"/>
    <w:basedOn w:val="Normal"/>
    <w:rsid w:val="005140C3"/>
    <w:pPr>
      <w:suppressAutoHyphens w:val="0"/>
      <w:spacing w:line="240" w:lineRule="auto"/>
      <w:jc w:val="center"/>
    </w:pPr>
    <w:rPr>
      <w:rFonts w:eastAsia="Times New Roman"/>
      <w:b/>
      <w:sz w:val="28"/>
      <w:lang w:eastAsia="de-DE"/>
    </w:rPr>
  </w:style>
  <w:style w:type="character" w:customStyle="1" w:styleId="RegParaChar">
    <w:name w:val="RegPara Char"/>
    <w:link w:val="RegPara"/>
    <w:locked/>
    <w:rsid w:val="005140C3"/>
    <w:rPr>
      <w:sz w:val="22"/>
      <w:lang w:val="en-GB" w:eastAsia="de-DE"/>
    </w:rPr>
  </w:style>
  <w:style w:type="character" w:customStyle="1" w:styleId="ft2">
    <w:name w:val="ft2"/>
    <w:rsid w:val="005140C3"/>
  </w:style>
  <w:style w:type="character" w:customStyle="1" w:styleId="ft0">
    <w:name w:val="ft0"/>
    <w:rsid w:val="005140C3"/>
  </w:style>
  <w:style w:type="character" w:customStyle="1" w:styleId="Caractresdenotedebasdepage">
    <w:name w:val="Caractères de note de bas de page"/>
    <w:rsid w:val="005140C3"/>
    <w:rPr>
      <w:rFonts w:ascii="Times New Roman" w:hAnsi="Times New Roman"/>
      <w:sz w:val="18"/>
      <w:vertAlign w:val="superscript"/>
    </w:rPr>
  </w:style>
  <w:style w:type="paragraph" w:customStyle="1" w:styleId="AnnoHead1">
    <w:name w:val="AnnoHead1"/>
    <w:basedOn w:val="Normal"/>
    <w:next w:val="AnnoHead2"/>
    <w:rsid w:val="005140C3"/>
    <w:pPr>
      <w:suppressAutoHyphens w:val="0"/>
      <w:spacing w:before="180" w:line="240" w:lineRule="auto"/>
      <w:ind w:firstLine="244"/>
      <w:jc w:val="center"/>
    </w:pPr>
    <w:rPr>
      <w:rFonts w:eastAsia="Times New Roman"/>
      <w:b/>
      <w:sz w:val="28"/>
      <w:lang w:eastAsia="de-DE"/>
    </w:rPr>
  </w:style>
  <w:style w:type="paragraph" w:customStyle="1" w:styleId="AnnoHead2">
    <w:name w:val="AnnoHead2"/>
    <w:basedOn w:val="Normal"/>
    <w:next w:val="AnnoHead3"/>
    <w:rsid w:val="005140C3"/>
    <w:pPr>
      <w:numPr>
        <w:ilvl w:val="4"/>
        <w:numId w:val="22"/>
      </w:numPr>
      <w:tabs>
        <w:tab w:val="clear" w:pos="360"/>
      </w:tabs>
      <w:suppressAutoHyphens w:val="0"/>
      <w:spacing w:before="180" w:line="240" w:lineRule="auto"/>
      <w:jc w:val="center"/>
    </w:pPr>
    <w:rPr>
      <w:rFonts w:eastAsia="Times New Roman"/>
      <w:b/>
      <w:sz w:val="22"/>
      <w:lang w:eastAsia="de-DE"/>
    </w:rPr>
  </w:style>
  <w:style w:type="paragraph" w:customStyle="1" w:styleId="AnnoHead3">
    <w:name w:val="AnnoHead3"/>
    <w:basedOn w:val="Normal"/>
    <w:next w:val="AnnoPara"/>
    <w:rsid w:val="005140C3"/>
    <w:pPr>
      <w:tabs>
        <w:tab w:val="num" w:pos="1135"/>
      </w:tabs>
      <w:suppressAutoHyphens w:val="0"/>
      <w:spacing w:before="180" w:line="240" w:lineRule="auto"/>
      <w:ind w:left="1135" w:hanging="284"/>
    </w:pPr>
    <w:rPr>
      <w:rFonts w:eastAsia="Times New Roman"/>
      <w:sz w:val="22"/>
      <w:u w:val="single"/>
      <w:lang w:eastAsia="de-DE"/>
    </w:rPr>
  </w:style>
  <w:style w:type="paragraph" w:customStyle="1" w:styleId="AnnoPara">
    <w:name w:val="AnnoPara"/>
    <w:basedOn w:val="Normal"/>
    <w:rsid w:val="005140C3"/>
    <w:pPr>
      <w:tabs>
        <w:tab w:val="num" w:pos="2269"/>
      </w:tabs>
      <w:suppressAutoHyphens w:val="0"/>
      <w:spacing w:before="180" w:line="240" w:lineRule="auto"/>
      <w:ind w:left="1135" w:firstLine="567"/>
    </w:pPr>
    <w:rPr>
      <w:rFonts w:eastAsia="Times New Roman"/>
      <w:sz w:val="22"/>
      <w:lang w:eastAsia="de-DE"/>
    </w:rPr>
  </w:style>
  <w:style w:type="paragraph" w:customStyle="1" w:styleId="AnnexHead1">
    <w:name w:val="AnnexHead1"/>
    <w:basedOn w:val="Normal"/>
    <w:next w:val="Normal"/>
    <w:autoRedefine/>
    <w:rsid w:val="005140C3"/>
    <w:pPr>
      <w:suppressAutoHyphens w:val="0"/>
      <w:spacing w:before="180" w:after="180" w:line="240" w:lineRule="auto"/>
      <w:jc w:val="center"/>
    </w:pPr>
    <w:rPr>
      <w:rFonts w:eastAsia="Times New Roman"/>
      <w:sz w:val="22"/>
      <w:u w:val="single"/>
      <w:lang w:val="en-US" w:eastAsia="en-US"/>
    </w:rPr>
  </w:style>
  <w:style w:type="paragraph" w:customStyle="1" w:styleId="StyleTOC5Before136cm">
    <w:name w:val="Style TOC 5 + Before:  1.36 cm"/>
    <w:basedOn w:val="TOC5"/>
    <w:rsid w:val="005140C3"/>
    <w:pPr>
      <w:numPr>
        <w:numId w:val="0"/>
      </w:numPr>
      <w:tabs>
        <w:tab w:val="left" w:leader="dot" w:pos="6803"/>
        <w:tab w:val="center" w:pos="7795"/>
        <w:tab w:val="center" w:pos="9071"/>
      </w:tabs>
      <w:suppressAutoHyphens w:val="0"/>
      <w:spacing w:before="180" w:line="240" w:lineRule="auto"/>
      <w:ind w:left="720"/>
    </w:pPr>
    <w:rPr>
      <w:rFonts w:eastAsia="Times New Roman"/>
      <w:sz w:val="22"/>
      <w:lang w:eastAsia="de-DE"/>
    </w:rPr>
  </w:style>
  <w:style w:type="paragraph" w:customStyle="1" w:styleId="ProvHead1">
    <w:name w:val="ProvHead1"/>
    <w:basedOn w:val="Normal"/>
    <w:next w:val="ProvHead2"/>
    <w:rsid w:val="005140C3"/>
    <w:pPr>
      <w:suppressAutoHyphens w:val="0"/>
      <w:spacing w:before="180" w:line="240" w:lineRule="auto"/>
      <w:jc w:val="center"/>
    </w:pPr>
    <w:rPr>
      <w:rFonts w:eastAsia="Times New Roman"/>
      <w:b/>
      <w:caps/>
      <w:sz w:val="22"/>
      <w:lang w:eastAsia="de-DE"/>
    </w:rPr>
  </w:style>
  <w:style w:type="paragraph" w:customStyle="1" w:styleId="ProvHead2">
    <w:name w:val="ProvHead2"/>
    <w:basedOn w:val="Normal"/>
    <w:next w:val="ProvHead3"/>
    <w:rsid w:val="005140C3"/>
    <w:pPr>
      <w:suppressAutoHyphens w:val="0"/>
      <w:spacing w:before="180" w:line="240" w:lineRule="auto"/>
      <w:jc w:val="center"/>
    </w:pPr>
    <w:rPr>
      <w:rFonts w:eastAsia="Times New Roman"/>
      <w:b/>
      <w:sz w:val="22"/>
      <w:u w:val="single"/>
      <w:lang w:eastAsia="de-DE"/>
    </w:rPr>
  </w:style>
  <w:style w:type="paragraph" w:customStyle="1" w:styleId="ProvHead3">
    <w:name w:val="ProvHead3"/>
    <w:basedOn w:val="Normal"/>
    <w:next w:val="ProvPara"/>
    <w:rsid w:val="005140C3"/>
    <w:pPr>
      <w:tabs>
        <w:tab w:val="num" w:pos="1135"/>
      </w:tabs>
      <w:suppressAutoHyphens w:val="0"/>
      <w:spacing w:before="180" w:line="240" w:lineRule="auto"/>
      <w:ind w:left="1135" w:hanging="284"/>
    </w:pPr>
    <w:rPr>
      <w:rFonts w:eastAsia="Times New Roman"/>
      <w:b/>
      <w:sz w:val="22"/>
      <w:u w:val="single"/>
      <w:lang w:eastAsia="de-DE"/>
    </w:rPr>
  </w:style>
  <w:style w:type="paragraph" w:customStyle="1" w:styleId="ProvPara">
    <w:name w:val="ProvPara"/>
    <w:basedOn w:val="Normal"/>
    <w:rsid w:val="005140C3"/>
    <w:pPr>
      <w:tabs>
        <w:tab w:val="num" w:pos="568"/>
      </w:tabs>
      <w:suppressAutoHyphens w:val="0"/>
      <w:spacing w:before="180" w:line="240" w:lineRule="auto"/>
      <w:ind w:left="1135"/>
    </w:pPr>
    <w:rPr>
      <w:rFonts w:eastAsia="Times New Roman"/>
      <w:sz w:val="22"/>
      <w:lang w:eastAsia="de-DE"/>
    </w:rPr>
  </w:style>
  <w:style w:type="paragraph" w:customStyle="1" w:styleId="CUB">
    <w:name w:val="CUB"/>
    <w:basedOn w:val="Normal"/>
    <w:rsid w:val="005140C3"/>
    <w:pPr>
      <w:suppressAutoHyphens w:val="0"/>
      <w:spacing w:line="240" w:lineRule="auto"/>
      <w:jc w:val="center"/>
    </w:pPr>
    <w:rPr>
      <w:rFonts w:eastAsia="Times New Roman"/>
      <w:b/>
      <w:sz w:val="22"/>
      <w:u w:val="single"/>
      <w:lang w:eastAsia="de-DE"/>
    </w:rPr>
  </w:style>
  <w:style w:type="paragraph" w:customStyle="1" w:styleId="NoteSecretariat">
    <w:name w:val="NoteSecretariat"/>
    <w:basedOn w:val="Normal"/>
    <w:rsid w:val="005140C3"/>
    <w:pPr>
      <w:suppressAutoHyphens w:val="0"/>
      <w:spacing w:line="240" w:lineRule="auto"/>
      <w:jc w:val="center"/>
    </w:pPr>
    <w:rPr>
      <w:rFonts w:eastAsia="Times New Roman"/>
      <w:b/>
      <w:sz w:val="22"/>
      <w:lang w:eastAsia="de-DE"/>
    </w:rPr>
  </w:style>
  <w:style w:type="paragraph" w:customStyle="1" w:styleId="FootnoteTable0">
    <w:name w:val="FootnoteTable"/>
    <w:locked/>
    <w:rsid w:val="005140C3"/>
    <w:rPr>
      <w:sz w:val="16"/>
      <w:lang w:val="en-GB" w:eastAsia="en-US"/>
    </w:rPr>
  </w:style>
  <w:style w:type="paragraph" w:customStyle="1" w:styleId="TableandFigure">
    <w:name w:val="Table and Figure"/>
    <w:basedOn w:val="Normal"/>
    <w:rsid w:val="005140C3"/>
    <w:pPr>
      <w:suppressAutoHyphens w:val="0"/>
      <w:spacing w:before="180" w:after="120" w:line="240" w:lineRule="auto"/>
      <w:jc w:val="center"/>
    </w:pPr>
    <w:rPr>
      <w:rFonts w:eastAsia="Times New Roman"/>
      <w:b/>
      <w:sz w:val="22"/>
      <w:lang w:eastAsia="de-DE"/>
    </w:rPr>
  </w:style>
  <w:style w:type="paragraph" w:customStyle="1" w:styleId="AtxtChemicals">
    <w:name w:val="Atxt_Chemicals"/>
    <w:basedOn w:val="Normal"/>
    <w:rsid w:val="005140C3"/>
    <w:pPr>
      <w:suppressAutoHyphens w:val="0"/>
      <w:spacing w:line="240" w:lineRule="auto"/>
    </w:pPr>
    <w:rPr>
      <w:rFonts w:eastAsia="Times New Roman"/>
      <w:sz w:val="24"/>
      <w:lang w:eastAsia="de-DE"/>
    </w:rPr>
  </w:style>
  <w:style w:type="paragraph" w:styleId="BodyText">
    <w:name w:val="Body Text"/>
    <w:basedOn w:val="Normal"/>
    <w:link w:val="BodyTextChar"/>
    <w:rsid w:val="005140C3"/>
    <w:pPr>
      <w:suppressAutoHyphens w:val="0"/>
      <w:spacing w:line="240" w:lineRule="auto"/>
      <w:jc w:val="center"/>
    </w:pPr>
    <w:rPr>
      <w:rFonts w:eastAsia="Times New Roman"/>
      <w:b/>
      <w:bCs/>
      <w:color w:val="C0C0C0"/>
      <w:spacing w:val="22"/>
      <w:sz w:val="40"/>
      <w:lang w:eastAsia="en-US"/>
    </w:rPr>
  </w:style>
  <w:style w:type="character" w:customStyle="1" w:styleId="BodyTextChar">
    <w:name w:val="Body Text Char"/>
    <w:basedOn w:val="DefaultParagraphFont"/>
    <w:link w:val="BodyText"/>
    <w:rsid w:val="005140C3"/>
    <w:rPr>
      <w:b/>
      <w:bCs/>
      <w:color w:val="C0C0C0"/>
      <w:spacing w:val="22"/>
      <w:sz w:val="40"/>
      <w:lang w:val="en-GB" w:eastAsia="en-US"/>
    </w:rPr>
  </w:style>
  <w:style w:type="paragraph" w:customStyle="1" w:styleId="TableHead">
    <w:name w:val="Table Head"/>
    <w:basedOn w:val="Footer"/>
    <w:rsid w:val="005140C3"/>
    <w:pPr>
      <w:suppressAutoHyphens w:val="0"/>
      <w:spacing w:before="40" w:after="40" w:line="240" w:lineRule="auto"/>
      <w:jc w:val="center"/>
    </w:pPr>
    <w:rPr>
      <w:rFonts w:eastAsia="Times New Roman"/>
      <w:b/>
      <w:sz w:val="24"/>
      <w:szCs w:val="24"/>
      <w:lang w:val="en-US" w:eastAsia="en-US"/>
    </w:rPr>
  </w:style>
  <w:style w:type="character" w:styleId="Hyperlink">
    <w:name w:val="Hyperlink"/>
    <w:rsid w:val="005140C3"/>
    <w:rPr>
      <w:color w:val="0000FF"/>
      <w:u w:val="single"/>
    </w:rPr>
  </w:style>
  <w:style w:type="paragraph" w:customStyle="1" w:styleId="AtxtHdgs">
    <w:name w:val="Atxt_Hdgs"/>
    <w:basedOn w:val="Normal"/>
    <w:rsid w:val="005140C3"/>
    <w:pPr>
      <w:suppressAutoHyphens w:val="0"/>
      <w:spacing w:line="240" w:lineRule="auto"/>
      <w:jc w:val="center"/>
    </w:pPr>
    <w:rPr>
      <w:rFonts w:eastAsia="Times New Roman"/>
      <w:sz w:val="24"/>
      <w:lang w:eastAsia="en-US"/>
    </w:rPr>
  </w:style>
  <w:style w:type="paragraph" w:styleId="Title">
    <w:name w:val="Title"/>
    <w:basedOn w:val="Normal"/>
    <w:link w:val="TitleChar"/>
    <w:qFormat/>
    <w:rsid w:val="005140C3"/>
    <w:pPr>
      <w:suppressAutoHyphens w:val="0"/>
      <w:spacing w:line="240" w:lineRule="auto"/>
      <w:jc w:val="center"/>
    </w:pPr>
    <w:rPr>
      <w:rFonts w:eastAsia="Times New Roman"/>
      <w:b/>
      <w:sz w:val="22"/>
      <w:lang w:eastAsia="en-US"/>
    </w:rPr>
  </w:style>
  <w:style w:type="character" w:customStyle="1" w:styleId="TitleChar">
    <w:name w:val="Title Char"/>
    <w:basedOn w:val="DefaultParagraphFont"/>
    <w:link w:val="Title"/>
    <w:rsid w:val="005140C3"/>
    <w:rPr>
      <w:b/>
      <w:sz w:val="22"/>
      <w:lang w:val="en-GB" w:eastAsia="en-US"/>
    </w:rPr>
  </w:style>
  <w:style w:type="paragraph" w:customStyle="1" w:styleId="singleTxtG0">
    <w:name w:val="_single Txt_G"/>
    <w:basedOn w:val="Heading1"/>
    <w:rsid w:val="005140C3"/>
    <w:pPr>
      <w:spacing w:after="120"/>
      <w:ind w:left="1100"/>
    </w:pPr>
    <w:rPr>
      <w:b/>
    </w:rPr>
  </w:style>
  <w:style w:type="paragraph" w:customStyle="1" w:styleId="HeadLevel3">
    <w:name w:val="HeadLevel3"/>
    <w:basedOn w:val="Normal"/>
    <w:autoRedefine/>
    <w:rsid w:val="005140C3"/>
    <w:pPr>
      <w:suppressAutoHyphens w:val="0"/>
      <w:spacing w:line="240" w:lineRule="auto"/>
    </w:pPr>
    <w:rPr>
      <w:rFonts w:eastAsia="Times New Roman"/>
      <w:sz w:val="22"/>
      <w:lang w:eastAsia="de-DE"/>
    </w:rPr>
  </w:style>
  <w:style w:type="paragraph" w:customStyle="1" w:styleId="AgendaItem">
    <w:name w:val="AgendaItem"/>
    <w:basedOn w:val="Normal"/>
    <w:autoRedefine/>
    <w:rsid w:val="005140C3"/>
    <w:pPr>
      <w:suppressAutoHyphens w:val="0"/>
      <w:spacing w:line="240" w:lineRule="auto"/>
    </w:pPr>
    <w:rPr>
      <w:rFonts w:eastAsia="Times New Roman"/>
      <w:b/>
      <w:lang w:eastAsia="de-DE"/>
    </w:rPr>
  </w:style>
  <w:style w:type="paragraph" w:styleId="BodyText2">
    <w:name w:val="Body Text 2"/>
    <w:basedOn w:val="Normal"/>
    <w:link w:val="BodyText2Char"/>
    <w:rsid w:val="005140C3"/>
    <w:pPr>
      <w:suppressAutoHyphens w:val="0"/>
      <w:spacing w:line="240" w:lineRule="auto"/>
    </w:pPr>
    <w:rPr>
      <w:rFonts w:eastAsia="Times New Roman"/>
      <w:b/>
      <w:bCs/>
      <w:i/>
      <w:iCs/>
      <w:sz w:val="22"/>
      <w:szCs w:val="24"/>
      <w:lang w:val="en-US" w:eastAsia="en-US"/>
    </w:rPr>
  </w:style>
  <w:style w:type="character" w:customStyle="1" w:styleId="BodyText2Char">
    <w:name w:val="Body Text 2 Char"/>
    <w:basedOn w:val="DefaultParagraphFont"/>
    <w:link w:val="BodyText2"/>
    <w:rsid w:val="005140C3"/>
    <w:rPr>
      <w:b/>
      <w:bCs/>
      <w:i/>
      <w:iCs/>
      <w:sz w:val="22"/>
      <w:szCs w:val="24"/>
      <w:lang w:val="en-US" w:eastAsia="en-US"/>
    </w:rPr>
  </w:style>
  <w:style w:type="paragraph" w:customStyle="1" w:styleId="xl27">
    <w:name w:val="xl27"/>
    <w:basedOn w:val="Normal"/>
    <w:rsid w:val="005140C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28">
    <w:name w:val="xl28"/>
    <w:basedOn w:val="Normal"/>
    <w:rsid w:val="005140C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customStyle="1" w:styleId="xl29">
    <w:name w:val="xl29"/>
    <w:basedOn w:val="Normal"/>
    <w:rsid w:val="005140C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customStyle="1" w:styleId="xl30">
    <w:name w:val="xl30"/>
    <w:basedOn w:val="Normal"/>
    <w:rsid w:val="005140C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1">
    <w:name w:val="xl31"/>
    <w:basedOn w:val="Normal"/>
    <w:rsid w:val="005140C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2">
    <w:name w:val="xl32"/>
    <w:basedOn w:val="Normal"/>
    <w:rsid w:val="005140C3"/>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3">
    <w:name w:val="xl33"/>
    <w:basedOn w:val="Normal"/>
    <w:rsid w:val="005140C3"/>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4">
    <w:name w:val="xl34"/>
    <w:basedOn w:val="Normal"/>
    <w:rsid w:val="005140C3"/>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5">
    <w:name w:val="xl35"/>
    <w:basedOn w:val="Normal"/>
    <w:rsid w:val="005140C3"/>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6">
    <w:name w:val="xl36"/>
    <w:basedOn w:val="Normal"/>
    <w:rsid w:val="005140C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7">
    <w:name w:val="xl37"/>
    <w:basedOn w:val="Normal"/>
    <w:rsid w:val="005140C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8">
    <w:name w:val="xl38"/>
    <w:basedOn w:val="Normal"/>
    <w:rsid w:val="005140C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color w:val="800080"/>
      <w:sz w:val="24"/>
      <w:szCs w:val="24"/>
      <w:lang w:eastAsia="en-US"/>
    </w:rPr>
  </w:style>
  <w:style w:type="paragraph" w:customStyle="1" w:styleId="xl39">
    <w:name w:val="xl39"/>
    <w:basedOn w:val="Normal"/>
    <w:rsid w:val="005140C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textAlignment w:val="center"/>
    </w:pPr>
    <w:rPr>
      <w:rFonts w:eastAsia="Arial Unicode MS"/>
      <w:b/>
      <w:bCs/>
      <w:color w:val="800080"/>
      <w:sz w:val="24"/>
      <w:szCs w:val="24"/>
      <w:lang w:eastAsia="en-US"/>
    </w:rPr>
  </w:style>
  <w:style w:type="paragraph" w:customStyle="1" w:styleId="xl40">
    <w:name w:val="xl40"/>
    <w:basedOn w:val="Normal"/>
    <w:rsid w:val="005140C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color w:val="800080"/>
      <w:sz w:val="24"/>
      <w:szCs w:val="24"/>
      <w:lang w:eastAsia="en-US"/>
    </w:rPr>
  </w:style>
  <w:style w:type="paragraph" w:customStyle="1" w:styleId="xl41">
    <w:name w:val="xl41"/>
    <w:basedOn w:val="Normal"/>
    <w:rsid w:val="005140C3"/>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color w:val="800080"/>
      <w:sz w:val="24"/>
      <w:szCs w:val="24"/>
      <w:lang w:eastAsia="en-US"/>
    </w:rPr>
  </w:style>
  <w:style w:type="paragraph" w:customStyle="1" w:styleId="xl42">
    <w:name w:val="xl42"/>
    <w:basedOn w:val="Normal"/>
    <w:rsid w:val="005140C3"/>
    <w:pPr>
      <w:pBdr>
        <w:top w:val="single" w:sz="4" w:space="0" w:color="auto"/>
        <w:left w:val="single" w:sz="4" w:space="0" w:color="auto"/>
        <w:bottom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43">
    <w:name w:val="xl43"/>
    <w:basedOn w:val="Normal"/>
    <w:rsid w:val="005140C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right"/>
      <w:textAlignment w:val="center"/>
    </w:pPr>
    <w:rPr>
      <w:rFonts w:eastAsia="Arial Unicode MS"/>
      <w:color w:val="800080"/>
      <w:sz w:val="24"/>
      <w:szCs w:val="24"/>
      <w:lang w:eastAsia="en-US"/>
    </w:rPr>
  </w:style>
  <w:style w:type="paragraph" w:customStyle="1" w:styleId="xl44">
    <w:name w:val="xl44"/>
    <w:basedOn w:val="Normal"/>
    <w:rsid w:val="005140C3"/>
    <w:pPr>
      <w:pBdr>
        <w:top w:val="single" w:sz="4" w:space="0" w:color="auto"/>
        <w:left w:val="single" w:sz="4" w:space="0" w:color="auto"/>
        <w:bottom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45">
    <w:name w:val="xl45"/>
    <w:basedOn w:val="Normal"/>
    <w:rsid w:val="005140C3"/>
    <w:pPr>
      <w:pBdr>
        <w:top w:val="single" w:sz="4" w:space="0" w:color="auto"/>
        <w:left w:val="single" w:sz="4" w:space="0" w:color="auto"/>
        <w:bottom w:val="single" w:sz="4" w:space="0" w:color="auto"/>
      </w:pBdr>
      <w:suppressAutoHyphens w:val="0"/>
      <w:spacing w:before="100" w:beforeAutospacing="1" w:after="100" w:afterAutospacing="1" w:line="240" w:lineRule="auto"/>
      <w:jc w:val="center"/>
      <w:textAlignment w:val="center"/>
    </w:pPr>
    <w:rPr>
      <w:rFonts w:eastAsia="Arial Unicode MS"/>
      <w:sz w:val="24"/>
      <w:szCs w:val="24"/>
      <w:lang w:eastAsia="en-US"/>
    </w:rPr>
  </w:style>
  <w:style w:type="paragraph" w:customStyle="1" w:styleId="xl46">
    <w:name w:val="xl46"/>
    <w:basedOn w:val="Normal"/>
    <w:rsid w:val="005140C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47">
    <w:name w:val="xl47"/>
    <w:basedOn w:val="Normal"/>
    <w:rsid w:val="005140C3"/>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48">
    <w:name w:val="xl48"/>
    <w:basedOn w:val="Normal"/>
    <w:rsid w:val="005140C3"/>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49">
    <w:name w:val="xl49"/>
    <w:basedOn w:val="Normal"/>
    <w:rsid w:val="005140C3"/>
    <w:pPr>
      <w:pBdr>
        <w:top w:val="single" w:sz="4" w:space="0" w:color="auto"/>
        <w:left w:val="single" w:sz="4" w:space="0" w:color="auto"/>
      </w:pBdr>
      <w:suppressAutoHyphens w:val="0"/>
      <w:spacing w:before="100" w:beforeAutospacing="1" w:after="100" w:afterAutospacing="1" w:line="240" w:lineRule="auto"/>
      <w:jc w:val="center"/>
      <w:textAlignment w:val="top"/>
    </w:pPr>
    <w:rPr>
      <w:rFonts w:eastAsia="Arial Unicode MS"/>
      <w:b/>
      <w:bCs/>
      <w:sz w:val="24"/>
      <w:szCs w:val="24"/>
      <w:lang w:eastAsia="en-US"/>
    </w:rPr>
  </w:style>
  <w:style w:type="paragraph" w:customStyle="1" w:styleId="xl50">
    <w:name w:val="xl50"/>
    <w:basedOn w:val="Normal"/>
    <w:rsid w:val="005140C3"/>
    <w:pPr>
      <w:pBdr>
        <w:top w:val="single" w:sz="4" w:space="0" w:color="auto"/>
        <w:left w:val="single" w:sz="4" w:space="0" w:color="auto"/>
        <w:bottom w:val="single" w:sz="4"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customStyle="1" w:styleId="xl51">
    <w:name w:val="xl51"/>
    <w:basedOn w:val="Normal"/>
    <w:rsid w:val="005140C3"/>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52">
    <w:name w:val="xl52"/>
    <w:basedOn w:val="Normal"/>
    <w:rsid w:val="005140C3"/>
    <w:pPr>
      <w:pBdr>
        <w:top w:val="single" w:sz="4" w:space="0" w:color="auto"/>
        <w:left w:val="single" w:sz="4" w:space="0" w:color="auto"/>
      </w:pBdr>
      <w:suppressAutoHyphens w:val="0"/>
      <w:spacing w:before="100" w:beforeAutospacing="1" w:after="100" w:afterAutospacing="1" w:line="240" w:lineRule="auto"/>
      <w:jc w:val="center"/>
      <w:textAlignment w:val="center"/>
    </w:pPr>
    <w:rPr>
      <w:rFonts w:eastAsia="Arial Unicode MS"/>
      <w:sz w:val="24"/>
      <w:szCs w:val="24"/>
      <w:lang w:eastAsia="en-US"/>
    </w:rPr>
  </w:style>
  <w:style w:type="paragraph" w:customStyle="1" w:styleId="xl53">
    <w:name w:val="xl53"/>
    <w:basedOn w:val="Normal"/>
    <w:rsid w:val="005140C3"/>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character" w:styleId="Strong">
    <w:name w:val="Strong"/>
    <w:qFormat/>
    <w:rsid w:val="005140C3"/>
    <w:rPr>
      <w:b/>
      <w:bCs/>
    </w:rPr>
  </w:style>
  <w:style w:type="paragraph" w:styleId="BodyText3">
    <w:name w:val="Body Text 3"/>
    <w:basedOn w:val="Normal"/>
    <w:link w:val="BodyText3Char"/>
    <w:rsid w:val="005140C3"/>
    <w:pPr>
      <w:suppressAutoHyphens w:val="0"/>
      <w:spacing w:line="240" w:lineRule="auto"/>
    </w:pPr>
    <w:rPr>
      <w:rFonts w:eastAsia="Times New Roman"/>
      <w:i/>
      <w:iCs/>
      <w:sz w:val="22"/>
      <w:lang w:val="en-US" w:eastAsia="de-DE"/>
    </w:rPr>
  </w:style>
  <w:style w:type="character" w:customStyle="1" w:styleId="BodyText3Char">
    <w:name w:val="Body Text 3 Char"/>
    <w:basedOn w:val="DefaultParagraphFont"/>
    <w:link w:val="BodyText3"/>
    <w:rsid w:val="005140C3"/>
    <w:rPr>
      <w:i/>
      <w:iCs/>
      <w:sz w:val="22"/>
      <w:lang w:val="en-US" w:eastAsia="de-DE"/>
    </w:rPr>
  </w:style>
  <w:style w:type="paragraph" w:customStyle="1" w:styleId="xl24">
    <w:name w:val="xl24"/>
    <w:basedOn w:val="Normal"/>
    <w:rsid w:val="005140C3"/>
    <w:pPr>
      <w:pBdr>
        <w:top w:val="double" w:sz="6" w:space="0" w:color="auto"/>
        <w:bottom w:val="single" w:sz="4" w:space="0" w:color="auto"/>
      </w:pBdr>
      <w:suppressAutoHyphens w:val="0"/>
      <w:spacing w:before="100" w:beforeAutospacing="1" w:after="100" w:afterAutospacing="1" w:line="240" w:lineRule="auto"/>
      <w:jc w:val="center"/>
    </w:pPr>
    <w:rPr>
      <w:rFonts w:eastAsia="Arial Unicode MS"/>
      <w:b/>
      <w:bCs/>
      <w:color w:val="000000"/>
      <w:sz w:val="24"/>
      <w:szCs w:val="24"/>
      <w:lang w:eastAsia="en-US"/>
    </w:rPr>
  </w:style>
  <w:style w:type="paragraph" w:customStyle="1" w:styleId="xl25">
    <w:name w:val="xl25"/>
    <w:basedOn w:val="Normal"/>
    <w:rsid w:val="005140C3"/>
    <w:pPr>
      <w:pBdr>
        <w:top w:val="double" w:sz="6" w:space="0" w:color="auto"/>
        <w:bottom w:val="single" w:sz="4" w:space="0" w:color="auto"/>
        <w:right w:val="single" w:sz="4" w:space="0" w:color="000000"/>
      </w:pBdr>
      <w:suppressAutoHyphens w:val="0"/>
      <w:spacing w:before="100" w:beforeAutospacing="1" w:after="100" w:afterAutospacing="1" w:line="240" w:lineRule="auto"/>
      <w:jc w:val="center"/>
    </w:pPr>
    <w:rPr>
      <w:rFonts w:eastAsia="Arial Unicode MS"/>
      <w:b/>
      <w:bCs/>
      <w:color w:val="000000"/>
      <w:sz w:val="24"/>
      <w:szCs w:val="24"/>
      <w:lang w:eastAsia="en-US"/>
    </w:rPr>
  </w:style>
  <w:style w:type="paragraph" w:customStyle="1" w:styleId="xl26">
    <w:name w:val="xl26"/>
    <w:basedOn w:val="Normal"/>
    <w:rsid w:val="005140C3"/>
    <w:pPr>
      <w:suppressAutoHyphens w:val="0"/>
      <w:spacing w:before="100" w:beforeAutospacing="1" w:after="100" w:afterAutospacing="1" w:line="240" w:lineRule="auto"/>
      <w:jc w:val="center"/>
    </w:pPr>
    <w:rPr>
      <w:rFonts w:eastAsia="Arial Unicode MS"/>
      <w:sz w:val="24"/>
      <w:szCs w:val="24"/>
      <w:lang w:eastAsia="en-US"/>
    </w:rPr>
  </w:style>
  <w:style w:type="paragraph" w:customStyle="1" w:styleId="xl54">
    <w:name w:val="xl54"/>
    <w:basedOn w:val="Normal"/>
    <w:rsid w:val="005140C3"/>
    <w:pPr>
      <w:pBdr>
        <w:left w:val="double" w:sz="6" w:space="0" w:color="auto"/>
        <w:bottom w:val="single" w:sz="4" w:space="0" w:color="000000"/>
      </w:pBdr>
      <w:suppressAutoHyphens w:val="0"/>
      <w:spacing w:before="100" w:beforeAutospacing="1" w:after="100" w:afterAutospacing="1" w:line="240" w:lineRule="auto"/>
    </w:pPr>
    <w:rPr>
      <w:rFonts w:eastAsia="Arial Unicode MS"/>
      <w:b/>
      <w:bCs/>
      <w:color w:val="000000"/>
      <w:sz w:val="24"/>
      <w:szCs w:val="24"/>
      <w:lang w:eastAsia="en-US"/>
    </w:rPr>
  </w:style>
  <w:style w:type="paragraph" w:customStyle="1" w:styleId="xl55">
    <w:name w:val="xl55"/>
    <w:basedOn w:val="Normal"/>
    <w:rsid w:val="005140C3"/>
    <w:pPr>
      <w:pBdr>
        <w:left w:val="double" w:sz="6" w:space="0" w:color="auto"/>
      </w:pBdr>
      <w:suppressAutoHyphens w:val="0"/>
      <w:spacing w:before="100" w:beforeAutospacing="1" w:after="100" w:afterAutospacing="1" w:line="240" w:lineRule="auto"/>
    </w:pPr>
    <w:rPr>
      <w:rFonts w:eastAsia="Arial Unicode MS"/>
      <w:b/>
      <w:bCs/>
      <w:sz w:val="19"/>
      <w:szCs w:val="19"/>
      <w:lang w:eastAsia="en-US"/>
    </w:rPr>
  </w:style>
  <w:style w:type="paragraph" w:customStyle="1" w:styleId="xl56">
    <w:name w:val="xl56"/>
    <w:basedOn w:val="Normal"/>
    <w:rsid w:val="005140C3"/>
    <w:pPr>
      <w:pBdr>
        <w:left w:val="double" w:sz="6" w:space="0" w:color="auto"/>
        <w:bottom w:val="double" w:sz="6" w:space="0" w:color="auto"/>
      </w:pBdr>
      <w:suppressAutoHyphens w:val="0"/>
      <w:spacing w:before="100" w:beforeAutospacing="1" w:after="100" w:afterAutospacing="1" w:line="240" w:lineRule="auto"/>
    </w:pPr>
    <w:rPr>
      <w:rFonts w:eastAsia="Arial Unicode MS"/>
      <w:b/>
      <w:bCs/>
      <w:sz w:val="19"/>
      <w:szCs w:val="19"/>
      <w:lang w:eastAsia="en-US"/>
    </w:rPr>
  </w:style>
  <w:style w:type="paragraph" w:customStyle="1" w:styleId="xl57">
    <w:name w:val="xl57"/>
    <w:basedOn w:val="Normal"/>
    <w:rsid w:val="005140C3"/>
    <w:pPr>
      <w:pBdr>
        <w:right w:val="double" w:sz="6"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58">
    <w:name w:val="xl58"/>
    <w:basedOn w:val="Normal"/>
    <w:rsid w:val="005140C3"/>
    <w:pPr>
      <w:pBdr>
        <w:left w:val="single" w:sz="4" w:space="0" w:color="000000"/>
        <w:bottom w:val="single" w:sz="4" w:space="0" w:color="auto"/>
        <w:right w:val="double" w:sz="6"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59">
    <w:name w:val="xl59"/>
    <w:basedOn w:val="Normal"/>
    <w:rsid w:val="005140C3"/>
    <w:pPr>
      <w:pBdr>
        <w:right w:val="single" w:sz="4"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60">
    <w:name w:val="xl60"/>
    <w:basedOn w:val="Normal"/>
    <w:rsid w:val="005140C3"/>
    <w:pPr>
      <w:pBdr>
        <w:left w:val="single" w:sz="4" w:space="0" w:color="auto"/>
        <w:right w:val="double" w:sz="6"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61">
    <w:name w:val="xl61"/>
    <w:basedOn w:val="Normal"/>
    <w:rsid w:val="005140C3"/>
    <w:pPr>
      <w:pBdr>
        <w:top w:val="single" w:sz="4" w:space="0" w:color="000000"/>
        <w:left w:val="single" w:sz="4" w:space="0" w:color="000000"/>
        <w:bottom w:val="single" w:sz="4" w:space="0" w:color="000000"/>
        <w:right w:val="double" w:sz="6" w:space="0" w:color="000000"/>
      </w:pBdr>
      <w:suppressAutoHyphens w:val="0"/>
      <w:spacing w:before="100" w:beforeAutospacing="1" w:after="100" w:afterAutospacing="1" w:line="240" w:lineRule="auto"/>
      <w:jc w:val="right"/>
    </w:pPr>
    <w:rPr>
      <w:rFonts w:eastAsia="Arial Unicode MS"/>
      <w:b/>
      <w:bCs/>
      <w:sz w:val="24"/>
      <w:szCs w:val="24"/>
      <w:lang w:eastAsia="en-US"/>
    </w:rPr>
  </w:style>
  <w:style w:type="paragraph" w:customStyle="1" w:styleId="MMTopic1">
    <w:name w:val="MM Topic 1"/>
    <w:basedOn w:val="Normal"/>
    <w:rsid w:val="005140C3"/>
    <w:pPr>
      <w:suppressAutoHyphens w:val="0"/>
      <w:spacing w:line="240" w:lineRule="auto"/>
    </w:pPr>
    <w:rPr>
      <w:rFonts w:eastAsia="Times New Roman"/>
      <w:sz w:val="24"/>
      <w:szCs w:val="24"/>
      <w:lang w:eastAsia="en-US"/>
    </w:rPr>
  </w:style>
  <w:style w:type="paragraph" w:customStyle="1" w:styleId="MMTopic2">
    <w:name w:val="MM Topic 2"/>
    <w:basedOn w:val="Normal"/>
    <w:rsid w:val="005140C3"/>
    <w:pPr>
      <w:suppressAutoHyphens w:val="0"/>
      <w:spacing w:line="240" w:lineRule="auto"/>
    </w:pPr>
    <w:rPr>
      <w:rFonts w:eastAsia="Times New Roman"/>
      <w:sz w:val="24"/>
      <w:szCs w:val="24"/>
      <w:lang w:eastAsia="en-US"/>
    </w:rPr>
  </w:style>
  <w:style w:type="paragraph" w:customStyle="1" w:styleId="MMTopic3">
    <w:name w:val="MM Topic 3"/>
    <w:basedOn w:val="Normal"/>
    <w:rsid w:val="005140C3"/>
    <w:pPr>
      <w:suppressAutoHyphens w:val="0"/>
      <w:spacing w:line="240" w:lineRule="auto"/>
    </w:pPr>
    <w:rPr>
      <w:rFonts w:eastAsia="Times New Roman"/>
      <w:sz w:val="24"/>
      <w:szCs w:val="24"/>
      <w:lang w:eastAsia="en-US"/>
    </w:rPr>
  </w:style>
  <w:style w:type="paragraph" w:customStyle="1" w:styleId="MMTopic4">
    <w:name w:val="MM Topic 4"/>
    <w:basedOn w:val="Normal"/>
    <w:rsid w:val="005140C3"/>
    <w:pPr>
      <w:suppressAutoHyphens w:val="0"/>
      <w:spacing w:line="240" w:lineRule="auto"/>
      <w:ind w:left="1440" w:hanging="533"/>
    </w:pPr>
    <w:rPr>
      <w:rFonts w:eastAsia="Times New Roman"/>
      <w:sz w:val="24"/>
      <w:szCs w:val="24"/>
      <w:lang w:eastAsia="en-US"/>
    </w:rPr>
  </w:style>
  <w:style w:type="paragraph" w:customStyle="1" w:styleId="MMTopic5">
    <w:name w:val="MM Topic 5"/>
    <w:basedOn w:val="Normal"/>
    <w:rsid w:val="005140C3"/>
    <w:pPr>
      <w:suppressAutoHyphens w:val="0"/>
      <w:spacing w:line="240" w:lineRule="auto"/>
    </w:pPr>
    <w:rPr>
      <w:rFonts w:eastAsia="Times New Roman"/>
      <w:sz w:val="24"/>
      <w:szCs w:val="24"/>
      <w:lang w:eastAsia="en-US"/>
    </w:rPr>
  </w:style>
  <w:style w:type="character" w:styleId="FollowedHyperlink">
    <w:name w:val="FollowedHyperlink"/>
    <w:rsid w:val="005140C3"/>
    <w:rPr>
      <w:color w:val="800080"/>
      <w:u w:val="single"/>
    </w:rPr>
  </w:style>
  <w:style w:type="paragraph" w:styleId="Revision">
    <w:name w:val="Revision"/>
    <w:hidden/>
    <w:uiPriority w:val="99"/>
    <w:semiHidden/>
    <w:rsid w:val="005140C3"/>
    <w:rPr>
      <w:rFonts w:eastAsia="MS Mincho"/>
      <w:sz w:val="22"/>
      <w:lang w:val="en-GB" w:eastAsia="de-DE"/>
    </w:rPr>
  </w:style>
  <w:style w:type="character" w:customStyle="1" w:styleId="left">
    <w:name w:val="left"/>
    <w:basedOn w:val="DefaultParagraphFont"/>
    <w:rsid w:val="00514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19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footer" Target="footer13.xml"/><Relationship Id="rId21" Type="http://schemas.openxmlformats.org/officeDocument/2006/relationships/footer" Target="footer4.xml"/><Relationship Id="rId34" Type="http://schemas.openxmlformats.org/officeDocument/2006/relationships/header" Target="header12.xml"/><Relationship Id="rId42" Type="http://schemas.openxmlformats.org/officeDocument/2006/relationships/footer" Target="footer14.xml"/><Relationship Id="rId47" Type="http://schemas.openxmlformats.org/officeDocument/2006/relationships/header" Target="header18.xml"/><Relationship Id="rId50" Type="http://schemas.openxmlformats.org/officeDocument/2006/relationships/header" Target="header20.xml"/><Relationship Id="rId55" Type="http://schemas.openxmlformats.org/officeDocument/2006/relationships/header" Target="header2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footer" Target="footer8.xml"/><Relationship Id="rId41" Type="http://schemas.openxmlformats.org/officeDocument/2006/relationships/header" Target="header16.xml"/><Relationship Id="rId54"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footer" Target="footer12.xml"/><Relationship Id="rId40" Type="http://schemas.openxmlformats.org/officeDocument/2006/relationships/header" Target="header15.xml"/><Relationship Id="rId45" Type="http://schemas.openxmlformats.org/officeDocument/2006/relationships/footer" Target="footer16.xml"/><Relationship Id="rId53" Type="http://schemas.openxmlformats.org/officeDocument/2006/relationships/footer" Target="footer20.xml"/><Relationship Id="rId58" Type="http://schemas.openxmlformats.org/officeDocument/2006/relationships/header" Target="header2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footer" Target="footer18.xml"/><Relationship Id="rId57" Type="http://schemas.openxmlformats.org/officeDocument/2006/relationships/footer" Target="footer22.xm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header" Target="header17.xml"/><Relationship Id="rId52" Type="http://schemas.openxmlformats.org/officeDocument/2006/relationships/footer" Target="footer19.xm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3.xml"/><Relationship Id="rId43" Type="http://schemas.openxmlformats.org/officeDocument/2006/relationships/footer" Target="footer15.xml"/><Relationship Id="rId48" Type="http://schemas.openxmlformats.org/officeDocument/2006/relationships/header" Target="header19.xml"/><Relationship Id="rId56" Type="http://schemas.openxmlformats.org/officeDocument/2006/relationships/footer" Target="footer21.xml"/><Relationship Id="rId8" Type="http://schemas.openxmlformats.org/officeDocument/2006/relationships/webSettings" Target="webSettings.xml"/><Relationship Id="rId51" Type="http://schemas.openxmlformats.org/officeDocument/2006/relationships/header" Target="header2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footer" Target="footer10.xml"/><Relationship Id="rId38" Type="http://schemas.openxmlformats.org/officeDocument/2006/relationships/header" Target="header14.xml"/><Relationship Id="rId46" Type="http://schemas.openxmlformats.org/officeDocument/2006/relationships/footer" Target="footer17.xml"/><Relationship Id="rId59" Type="http://schemas.openxmlformats.org/officeDocument/2006/relationships/footer" Target="footer23.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106D9-DA19-4999-9FA7-EF9245687556}"/>
</file>

<file path=customXml/itemProps2.xml><?xml version="1.0" encoding="utf-8"?>
<ds:datastoreItem xmlns:ds="http://schemas.openxmlformats.org/officeDocument/2006/customXml" ds:itemID="{57C225EE-0100-463B-8918-C5D64ED0D06F}">
  <ds:schemaRefs>
    <ds:schemaRef ds:uri="http://purl.org/dc/elements/1.1/"/>
    <ds:schemaRef ds:uri="http://schemas.microsoft.com/office/2006/documentManagement/types"/>
    <ds:schemaRef ds:uri="http://www.w3.org/XML/1998/namespace"/>
    <ds:schemaRef ds:uri="http://schemas.openxmlformats.org/package/2006/metadata/core-properties"/>
    <ds:schemaRef ds:uri="http://purl.org/dc/dcmitype/"/>
    <ds:schemaRef ds:uri="http://schemas.microsoft.com/sharepoint/v3"/>
    <ds:schemaRef ds:uri="http://purl.org/dc/terms/"/>
    <ds:schemaRef ds:uri="http://schemas.microsoft.com/office/infopath/2007/PartnerControls"/>
    <ds:schemaRef ds:uri="67dad47e-2fca-4711-b9e4-b0642648f99b"/>
    <ds:schemaRef ds:uri="95878e15-3eca-40ea-8e2a-b8ac110e97d5"/>
    <ds:schemaRef ds:uri="http://schemas.microsoft.com/office/2006/metadata/properties"/>
  </ds:schemaRefs>
</ds:datastoreItem>
</file>

<file path=customXml/itemProps3.xml><?xml version="1.0" encoding="utf-8"?>
<ds:datastoreItem xmlns:ds="http://schemas.openxmlformats.org/officeDocument/2006/customXml" ds:itemID="{30018F47-40BA-4847-96F8-50FC33AA5521}">
  <ds:schemaRefs>
    <ds:schemaRef ds:uri="http://schemas.microsoft.com/sharepoint/v3/contenttype/forms"/>
  </ds:schemaRefs>
</ds:datastoreItem>
</file>

<file path=customXml/itemProps4.xml><?xml version="1.0" encoding="utf-8"?>
<ds:datastoreItem xmlns:ds="http://schemas.openxmlformats.org/officeDocument/2006/customXml" ds:itemID="{487F3E86-A9B5-4EA9-A871-4290DCDA8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2</TotalTime>
  <Pages>35</Pages>
  <Words>10090</Words>
  <Characters>57517</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Report of the Conference of the Parties on its twenty-first session, held in Paris from 30 November to 11 December 2015. Addendum. Part two: Action taken by the Conference of the Parties at its twenty-first session</vt:lpstr>
    </vt:vector>
  </TitlesOfParts>
  <Company>UNFCCC</Company>
  <LinksUpToDate>false</LinksUpToDate>
  <CharactersWithSpaces>67473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on its twenty-first session, held in Paris from 30 November to 11 December 2015. Addendum. Part two: Action taken by the Conference of the Parties at its twenty-first session</dc:title>
  <dc:creator>Esmeralda Fratta Dormond di Rickli</dc:creator>
  <cp:lastModifiedBy>Corinne Loeschner</cp:lastModifiedBy>
  <cp:revision>3</cp:revision>
  <cp:lastPrinted>2016-01-26T08:09:00Z</cp:lastPrinted>
  <dcterms:created xsi:type="dcterms:W3CDTF">2016-01-28T16:42:00Z</dcterms:created>
  <dcterms:modified xsi:type="dcterms:W3CDTF">2018-04-10T07:48:00Z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0x0101002BEBFA4AD3D067488A4F8AE22F38BF68</vt:lpwstr>
  </property>
  <property fmtid="{D5CDD505-2E9C-101B-9397-08002B2CF9AE}" pid="3" name="docSymbol1">
    <vt:lpwstr>FCCC/CP/2015/10/Add.3</vt:lpwstr>
  </property>
  <property fmtid="{D5CDD505-2E9C-101B-9397-08002B2CF9AE}" pid="4" name="docSymbol2">
    <vt:lpwstr/>
  </property>
  <property fmtid="{D5CDD505-2E9C-101B-9397-08002B2CF9AE}" pid="5" name="Order">
    <vt:r8>3300</vt:r8>
  </property>
  <property fmtid="{D5CDD505-2E9C-101B-9397-08002B2CF9AE}" pid="6" name="UNFC3CoreFunction">
    <vt:lpwstr/>
  </property>
  <property fmtid="{D5CDD505-2E9C-101B-9397-08002B2CF9AE}" pid="7" name="UNFC3CoreCountry">
    <vt:lpwstr/>
  </property>
  <property fmtid="{D5CDD505-2E9C-101B-9397-08002B2CF9AE}" pid="8" name="UNFC3CoreSensitivity">
    <vt:lpwstr/>
  </property>
</Properties>
</file>