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A470FF" w14:paraId="1E8EFC25" w14:textId="77777777" w:rsidTr="00641F29">
        <w:trPr>
          <w:cantSplit/>
          <w:trHeight w:hRule="exact" w:val="1134"/>
        </w:trPr>
        <w:tc>
          <w:tcPr>
            <w:tcW w:w="1242" w:type="dxa"/>
            <w:vAlign w:val="bottom"/>
          </w:tcPr>
          <w:p w14:paraId="1E8EFC22" w14:textId="77777777" w:rsidR="008370E0" w:rsidRPr="00A470FF" w:rsidRDefault="002B146C" w:rsidP="00641F29">
            <w:bookmarkStart w:id="0" w:name="_GoBack" w:colFirst="0" w:colLast="0"/>
            <w:r w:rsidRPr="00A470FF">
              <w:rPr>
                <w:noProof/>
                <w:lang w:val="en-US" w:eastAsia="en-US"/>
              </w:rPr>
              <w:drawing>
                <wp:inline distT="0" distB="0" distL="0" distR="0" wp14:anchorId="1E8EFEDE" wp14:editId="1E8EFEDF">
                  <wp:extent cx="716280" cy="594995"/>
                  <wp:effectExtent l="0" t="0" r="762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6280" cy="594995"/>
                          </a:xfrm>
                          <a:prstGeom prst="rect">
                            <a:avLst/>
                          </a:prstGeom>
                          <a:noFill/>
                          <a:ln>
                            <a:noFill/>
                          </a:ln>
                        </pic:spPr>
                      </pic:pic>
                    </a:graphicData>
                  </a:graphic>
                </wp:inline>
              </w:drawing>
            </w:r>
          </w:p>
        </w:tc>
        <w:tc>
          <w:tcPr>
            <w:tcW w:w="2552" w:type="dxa"/>
            <w:vAlign w:val="bottom"/>
          </w:tcPr>
          <w:p w14:paraId="1E8EFC23" w14:textId="77777777" w:rsidR="008370E0" w:rsidRPr="00A470FF" w:rsidRDefault="008370E0" w:rsidP="00641F29">
            <w:pPr>
              <w:spacing w:after="80" w:line="300" w:lineRule="exact"/>
              <w:ind w:left="323"/>
              <w:rPr>
                <w:b/>
                <w:sz w:val="24"/>
                <w:szCs w:val="24"/>
              </w:rPr>
            </w:pPr>
            <w:r w:rsidRPr="00A470FF">
              <w:rPr>
                <w:sz w:val="28"/>
                <w:szCs w:val="28"/>
              </w:rPr>
              <w:t>United Nations</w:t>
            </w:r>
          </w:p>
        </w:tc>
        <w:tc>
          <w:tcPr>
            <w:tcW w:w="5845" w:type="dxa"/>
            <w:gridSpan w:val="3"/>
            <w:vAlign w:val="bottom"/>
          </w:tcPr>
          <w:p w14:paraId="1E8EFC24" w14:textId="3F4BCD8E" w:rsidR="008370E0" w:rsidRPr="00A470FF" w:rsidRDefault="00E740A0" w:rsidP="00E740A0">
            <w:pPr>
              <w:jc w:val="right"/>
            </w:pPr>
            <w:r w:rsidRPr="00A470FF">
              <w:rPr>
                <w:sz w:val="40"/>
              </w:rPr>
              <w:t>FCCC</w:t>
            </w:r>
            <w:r w:rsidRPr="00A470FF">
              <w:t>/CP/2015/10/Add.2</w:t>
            </w:r>
          </w:p>
        </w:tc>
      </w:tr>
      <w:bookmarkEnd w:id="0"/>
      <w:tr w:rsidR="008370E0" w:rsidRPr="00A470FF" w14:paraId="1E8EFC2D" w14:textId="77777777" w:rsidTr="00641F29">
        <w:trPr>
          <w:cantSplit/>
          <w:trHeight w:hRule="exact" w:val="2552"/>
        </w:trPr>
        <w:tc>
          <w:tcPr>
            <w:tcW w:w="4511" w:type="dxa"/>
            <w:gridSpan w:val="3"/>
          </w:tcPr>
          <w:p w14:paraId="1E8EFC26" w14:textId="77777777" w:rsidR="008370E0" w:rsidRPr="00A470FF" w:rsidRDefault="002B146C" w:rsidP="00D87C8B">
            <w:r w:rsidRPr="00A470FF">
              <w:rPr>
                <w:noProof/>
                <w:lang w:val="en-US" w:eastAsia="en-US"/>
              </w:rPr>
              <w:drawing>
                <wp:anchor distT="0" distB="0" distL="114300" distR="114300" simplePos="0" relativeHeight="251658240" behindDoc="1" locked="0" layoutInCell="1" allowOverlap="1" wp14:anchorId="38541325" wp14:editId="21338158">
                  <wp:simplePos x="0" y="0"/>
                  <wp:positionH relativeFrom="column">
                    <wp:posOffset>4305</wp:posOffset>
                  </wp:positionH>
                  <wp:positionV relativeFrom="paragraph">
                    <wp:posOffset>-5830</wp:posOffset>
                  </wp:positionV>
                  <wp:extent cx="2398395" cy="5607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8EFC27" w14:textId="15CE181E" w:rsidR="00A9402E" w:rsidRPr="00A470FF" w:rsidRDefault="00A9402E" w:rsidP="00D87C8B"/>
        </w:tc>
        <w:tc>
          <w:tcPr>
            <w:tcW w:w="2293" w:type="dxa"/>
          </w:tcPr>
          <w:p w14:paraId="1E8EFC28" w14:textId="77777777" w:rsidR="008370E0" w:rsidRPr="00A470FF"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363B4475" w14:textId="77777777" w:rsidR="00E740A0" w:rsidRPr="00A470FF" w:rsidRDefault="00E740A0" w:rsidP="00E740A0">
            <w:pPr>
              <w:spacing w:before="240" w:line="240" w:lineRule="exact"/>
            </w:pPr>
            <w:r w:rsidRPr="00A470FF">
              <w:t>Distr.: General</w:t>
            </w:r>
          </w:p>
          <w:p w14:paraId="6283A9A4" w14:textId="69EC9315" w:rsidR="00E740A0" w:rsidRPr="00A470FF" w:rsidRDefault="00FC3038" w:rsidP="00E740A0">
            <w:pPr>
              <w:spacing w:line="240" w:lineRule="exact"/>
            </w:pPr>
            <w:r>
              <w:t>29</w:t>
            </w:r>
            <w:r w:rsidR="00727EDF" w:rsidRPr="00A470FF">
              <w:t xml:space="preserve"> January 2016</w:t>
            </w:r>
          </w:p>
          <w:p w14:paraId="2DFED6E4" w14:textId="77777777" w:rsidR="00E740A0" w:rsidRPr="00A470FF" w:rsidRDefault="00E740A0" w:rsidP="00E740A0">
            <w:pPr>
              <w:spacing w:line="240" w:lineRule="exact"/>
            </w:pPr>
          </w:p>
          <w:p w14:paraId="1E8EFC2C" w14:textId="2486C55E" w:rsidR="00BA5FD9" w:rsidRPr="00A470FF" w:rsidRDefault="00E740A0" w:rsidP="00E740A0">
            <w:pPr>
              <w:spacing w:line="240" w:lineRule="exact"/>
            </w:pPr>
            <w:r w:rsidRPr="00A470FF">
              <w:t>Original: English</w:t>
            </w:r>
          </w:p>
        </w:tc>
      </w:tr>
    </w:tbl>
    <w:p w14:paraId="1E8EFC2E" w14:textId="77777777" w:rsidR="00BA5FD9" w:rsidRPr="00A470FF" w:rsidRDefault="00BA5FD9" w:rsidP="00BA5FD9">
      <w:pPr>
        <w:spacing w:before="120"/>
        <w:rPr>
          <w:bCs/>
        </w:rPr>
      </w:pPr>
      <w:r w:rsidRPr="00A470FF">
        <w:rPr>
          <w:b/>
          <w:bCs/>
          <w:sz w:val="24"/>
          <w:szCs w:val="24"/>
        </w:rPr>
        <w:t>Conference of the Parties</w:t>
      </w:r>
    </w:p>
    <w:p w14:paraId="1E8EFC2F" w14:textId="436AEEB0" w:rsidR="00BA5FD9" w:rsidRPr="00A470FF" w:rsidRDefault="00BA5FD9" w:rsidP="00C43FA9">
      <w:pPr>
        <w:pStyle w:val="HChG"/>
        <w:spacing w:after="0"/>
      </w:pPr>
      <w:r w:rsidRPr="00A470FF">
        <w:tab/>
      </w:r>
      <w:r w:rsidRPr="00A470FF">
        <w:tab/>
        <w:t>Report of the Conference of the Parties on its twenty</w:t>
      </w:r>
      <w:r w:rsidR="00553759" w:rsidRPr="00A470FF">
        <w:t>-</w:t>
      </w:r>
      <w:r w:rsidRPr="00A470FF">
        <w:t xml:space="preserve">first session, held in Paris from 30 November to </w:t>
      </w:r>
      <w:r w:rsidR="00EF6A01" w:rsidRPr="00A470FF">
        <w:t xml:space="preserve">13 </w:t>
      </w:r>
      <w:r w:rsidRPr="00A470FF">
        <w:t>December 2015</w:t>
      </w:r>
    </w:p>
    <w:p w14:paraId="1E8EFC30" w14:textId="77777777" w:rsidR="00BA5FD9" w:rsidRPr="00A470FF" w:rsidRDefault="00C2070C" w:rsidP="00C43FA9">
      <w:pPr>
        <w:pStyle w:val="H1G"/>
        <w:spacing w:before="240"/>
      </w:pPr>
      <w:r w:rsidRPr="00A470FF">
        <w:tab/>
        <w:t>Addendum</w:t>
      </w:r>
    </w:p>
    <w:p w14:paraId="1E8EFC31" w14:textId="77777777" w:rsidR="002779EB" w:rsidRPr="00A470FF" w:rsidRDefault="00C2070C" w:rsidP="0005249B">
      <w:pPr>
        <w:pStyle w:val="HChG"/>
        <w:spacing w:before="240"/>
      </w:pPr>
      <w:r w:rsidRPr="00A470FF">
        <w:tab/>
      </w:r>
      <w:r w:rsidRPr="00A470FF">
        <w:tab/>
        <w:t>Part two: Action taken by the Conference of the Parties at its twenty</w:t>
      </w:r>
      <w:r w:rsidR="00553759" w:rsidRPr="00A470FF">
        <w:t>-</w:t>
      </w:r>
      <w:r w:rsidRPr="00A470FF">
        <w:t>first session</w:t>
      </w:r>
    </w:p>
    <w:p w14:paraId="1E8EFC32" w14:textId="77777777" w:rsidR="00E75D67" w:rsidRPr="00A470FF" w:rsidRDefault="00C2070C" w:rsidP="0005249B">
      <w:pPr>
        <w:rPr>
          <w:sz w:val="28"/>
        </w:rPr>
      </w:pPr>
      <w:r w:rsidRPr="00A470FF">
        <w:rPr>
          <w:sz w:val="28"/>
        </w:rPr>
        <w:t>Contents</w:t>
      </w:r>
    </w:p>
    <w:p w14:paraId="1E8EFC33" w14:textId="77777777" w:rsidR="00C2070C" w:rsidRPr="00A470FF" w:rsidRDefault="00C2070C" w:rsidP="00C43FA9">
      <w:pPr>
        <w:pStyle w:val="HChG"/>
        <w:spacing w:before="120"/>
      </w:pPr>
      <w:r w:rsidRPr="00A470FF">
        <w:tab/>
      </w:r>
      <w:r w:rsidRPr="00A470FF">
        <w:tab/>
        <w:t>Decisions adopted by the Conference of the Parties</w:t>
      </w:r>
    </w:p>
    <w:p w14:paraId="1E8EFC34" w14:textId="77777777" w:rsidR="00C2070C" w:rsidRPr="00A470FF" w:rsidRDefault="00C2070C" w:rsidP="00C2070C">
      <w:pPr>
        <w:tabs>
          <w:tab w:val="right" w:pos="8929"/>
          <w:tab w:val="right" w:pos="9638"/>
        </w:tabs>
        <w:spacing w:after="120"/>
        <w:ind w:left="1134"/>
      </w:pPr>
      <w:r w:rsidRPr="00A470FF">
        <w:rPr>
          <w:i/>
          <w:sz w:val="18"/>
        </w:rPr>
        <w:t>Decision</w:t>
      </w:r>
      <w:r w:rsidRPr="00A470FF">
        <w:rPr>
          <w:i/>
          <w:sz w:val="18"/>
        </w:rPr>
        <w:tab/>
      </w:r>
      <w:r w:rsidRPr="00A470FF">
        <w:rPr>
          <w:i/>
          <w:sz w:val="18"/>
        </w:rPr>
        <w:tab/>
        <w:t>Page</w:t>
      </w:r>
    </w:p>
    <w:p w14:paraId="1E8EFC35" w14:textId="7853C14E" w:rsidR="00F844E7" w:rsidRPr="00A470FF" w:rsidRDefault="00C2070C" w:rsidP="00F844E7">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00D35DA3" w:rsidRPr="00A470FF">
        <w:t>2</w:t>
      </w:r>
      <w:r w:rsidR="00F844E7" w:rsidRPr="00A470FF">
        <w:t>/CP.2</w:t>
      </w:r>
      <w:r w:rsidR="002E694C" w:rsidRPr="00A470FF">
        <w:t>1</w:t>
      </w:r>
      <w:r w:rsidR="00F844E7" w:rsidRPr="00A470FF">
        <w:tab/>
      </w:r>
      <w:r w:rsidR="00F844E7" w:rsidRPr="00A470FF">
        <w:rPr>
          <w:szCs w:val="28"/>
        </w:rPr>
        <w:t xml:space="preserve">Warsaw </w:t>
      </w:r>
      <w:r w:rsidR="00F844E7" w:rsidRPr="00A470FF">
        <w:rPr>
          <w:bCs/>
          <w:color w:val="000000"/>
          <w:szCs w:val="28"/>
        </w:rPr>
        <w:t>International Mechanism for Loss and Damage</w:t>
      </w:r>
      <w:r w:rsidR="00F844E7" w:rsidRPr="00A470FF">
        <w:rPr>
          <w:szCs w:val="28"/>
        </w:rPr>
        <w:t xml:space="preserve"> </w:t>
      </w:r>
      <w:r w:rsidR="00F844E7" w:rsidRPr="00A470FF">
        <w:rPr>
          <w:rFonts w:eastAsia="Times New Roman"/>
          <w:color w:val="000000"/>
          <w:szCs w:val="28"/>
          <w:lang w:eastAsia="en-US"/>
        </w:rPr>
        <w:t xml:space="preserve">associated </w:t>
      </w:r>
      <w:r w:rsidR="00F844E7" w:rsidRPr="00A470FF">
        <w:rPr>
          <w:rFonts w:eastAsia="Times New Roman"/>
          <w:color w:val="000000"/>
          <w:szCs w:val="28"/>
          <w:lang w:eastAsia="en-US"/>
        </w:rPr>
        <w:br/>
        <w:t>with Climate Change Impacts</w:t>
      </w:r>
      <w:r w:rsidR="00F844E7" w:rsidRPr="00A470FF">
        <w:tab/>
      </w:r>
      <w:r w:rsidR="00963315" w:rsidRPr="00A470FF">
        <w:tab/>
      </w:r>
      <w:r w:rsidR="00EC7CE2" w:rsidRPr="00A470FF">
        <w:t>2</w:t>
      </w:r>
    </w:p>
    <w:p w14:paraId="1E8EFC36" w14:textId="714E7D6C" w:rsidR="00F844E7" w:rsidRPr="00A470FF" w:rsidRDefault="00D35DA3" w:rsidP="00F844E7">
      <w:pPr>
        <w:tabs>
          <w:tab w:val="right" w:pos="850"/>
          <w:tab w:val="left" w:pos="1134"/>
          <w:tab w:val="left" w:pos="1559"/>
          <w:tab w:val="left" w:pos="2268"/>
          <w:tab w:val="right" w:leader="dot" w:pos="8929"/>
          <w:tab w:val="right" w:pos="9638"/>
        </w:tabs>
        <w:spacing w:after="120"/>
      </w:pPr>
      <w:r w:rsidRPr="00A470FF">
        <w:tab/>
      </w:r>
      <w:r w:rsidRPr="00A470FF">
        <w:tab/>
        <w:t>3</w:t>
      </w:r>
      <w:r w:rsidR="00F844E7" w:rsidRPr="00A470FF">
        <w:t>/CP.2</w:t>
      </w:r>
      <w:r w:rsidR="002E694C" w:rsidRPr="00A470FF">
        <w:t>1</w:t>
      </w:r>
      <w:r w:rsidR="00F844E7" w:rsidRPr="00A470FF">
        <w:tab/>
      </w:r>
      <w:r w:rsidR="002E694C" w:rsidRPr="00A470FF">
        <w:t>Report of the Adaptation Committee</w:t>
      </w:r>
      <w:r w:rsidR="00F844E7" w:rsidRPr="00A470FF">
        <w:tab/>
      </w:r>
      <w:r w:rsidR="00232DAB" w:rsidRPr="00A470FF">
        <w:tab/>
      </w:r>
      <w:r w:rsidR="00EC7CE2" w:rsidRPr="00A470FF">
        <w:t>3</w:t>
      </w:r>
      <w:r w:rsidR="00F844E7" w:rsidRPr="00A470FF">
        <w:tab/>
      </w:r>
    </w:p>
    <w:p w14:paraId="1E8EFC37" w14:textId="31236470" w:rsidR="00F844E7" w:rsidRPr="00A470FF" w:rsidRDefault="00D35DA3" w:rsidP="00F844E7">
      <w:pPr>
        <w:tabs>
          <w:tab w:val="right" w:pos="850"/>
          <w:tab w:val="left" w:pos="1134"/>
          <w:tab w:val="left" w:pos="1559"/>
          <w:tab w:val="left" w:pos="2268"/>
          <w:tab w:val="right" w:leader="dot" w:pos="8929"/>
          <w:tab w:val="right" w:pos="9638"/>
        </w:tabs>
        <w:spacing w:after="120"/>
      </w:pPr>
      <w:r w:rsidRPr="00A470FF">
        <w:tab/>
      </w:r>
      <w:r w:rsidRPr="00A470FF">
        <w:tab/>
        <w:t>4</w:t>
      </w:r>
      <w:r w:rsidR="00F844E7" w:rsidRPr="00A470FF">
        <w:t>/CP.2</w:t>
      </w:r>
      <w:r w:rsidR="002E694C" w:rsidRPr="00A470FF">
        <w:t>1</w:t>
      </w:r>
      <w:r w:rsidR="00F844E7" w:rsidRPr="00A470FF">
        <w:tab/>
      </w:r>
      <w:r w:rsidR="002E694C" w:rsidRPr="00A470FF">
        <w:t xml:space="preserve">National </w:t>
      </w:r>
      <w:r w:rsidR="006C2AAF" w:rsidRPr="00A470FF">
        <w:t>a</w:t>
      </w:r>
      <w:r w:rsidR="002E694C" w:rsidRPr="00A470FF">
        <w:t xml:space="preserve">daptation </w:t>
      </w:r>
      <w:r w:rsidR="006C2AAF" w:rsidRPr="00A470FF">
        <w:t>p</w:t>
      </w:r>
      <w:r w:rsidR="002E694C" w:rsidRPr="00A470FF">
        <w:t>lans</w:t>
      </w:r>
      <w:r w:rsidR="00F844E7" w:rsidRPr="00A470FF">
        <w:tab/>
      </w:r>
      <w:r w:rsidR="00F844E7" w:rsidRPr="00A470FF">
        <w:tab/>
      </w:r>
      <w:r w:rsidR="00EC7CE2" w:rsidRPr="00A470FF">
        <w:t>4</w:t>
      </w:r>
    </w:p>
    <w:p w14:paraId="1E8EFC38" w14:textId="27D98C8B" w:rsidR="00F844E7" w:rsidRPr="00A470FF" w:rsidRDefault="00D35DA3" w:rsidP="00F844E7">
      <w:pPr>
        <w:tabs>
          <w:tab w:val="right" w:pos="850"/>
          <w:tab w:val="left" w:pos="1134"/>
          <w:tab w:val="left" w:pos="1559"/>
          <w:tab w:val="left" w:pos="2268"/>
          <w:tab w:val="right" w:leader="dot" w:pos="8929"/>
          <w:tab w:val="right" w:pos="9638"/>
        </w:tabs>
        <w:spacing w:after="120"/>
      </w:pPr>
      <w:r w:rsidRPr="00A470FF">
        <w:tab/>
      </w:r>
      <w:r w:rsidRPr="00A470FF">
        <w:tab/>
        <w:t>5</w:t>
      </w:r>
      <w:r w:rsidR="00F844E7" w:rsidRPr="00A470FF">
        <w:t>/CP.2</w:t>
      </w:r>
      <w:r w:rsidR="002E694C" w:rsidRPr="00A470FF">
        <w:t>1</w:t>
      </w:r>
      <w:r w:rsidR="00F844E7" w:rsidRPr="00A470FF">
        <w:tab/>
        <w:t>Long-term climate finance</w:t>
      </w:r>
      <w:r w:rsidR="00F844E7" w:rsidRPr="00A470FF">
        <w:tab/>
      </w:r>
      <w:r w:rsidR="00F844E7" w:rsidRPr="00A470FF">
        <w:tab/>
      </w:r>
      <w:r w:rsidR="00EC7CE2" w:rsidRPr="00A470FF">
        <w:t>7</w:t>
      </w:r>
    </w:p>
    <w:p w14:paraId="1E8EFC39" w14:textId="3B3F62B1" w:rsidR="00F844E7" w:rsidRPr="00A470FF" w:rsidRDefault="00F844E7" w:rsidP="00F844E7">
      <w:pPr>
        <w:tabs>
          <w:tab w:val="right" w:pos="850"/>
          <w:tab w:val="left" w:pos="1134"/>
          <w:tab w:val="left" w:pos="1559"/>
          <w:tab w:val="left" w:pos="2268"/>
          <w:tab w:val="right" w:leader="dot" w:pos="8929"/>
          <w:tab w:val="right" w:pos="9638"/>
        </w:tabs>
        <w:spacing w:after="120"/>
      </w:pPr>
      <w:r w:rsidRPr="00A470FF">
        <w:tab/>
      </w:r>
      <w:r w:rsidRPr="00A470FF">
        <w:tab/>
      </w:r>
      <w:r w:rsidR="00D35DA3" w:rsidRPr="00A470FF">
        <w:t>6</w:t>
      </w:r>
      <w:r w:rsidRPr="00A470FF">
        <w:t>/CP.2</w:t>
      </w:r>
      <w:r w:rsidR="002E694C" w:rsidRPr="00A470FF">
        <w:t>1</w:t>
      </w:r>
      <w:r w:rsidRPr="00A470FF">
        <w:tab/>
        <w:t>Report of the Standing Committee on Finance</w:t>
      </w:r>
      <w:r w:rsidRPr="00A470FF">
        <w:tab/>
      </w:r>
      <w:r w:rsidRPr="00A470FF">
        <w:tab/>
      </w:r>
      <w:r w:rsidR="00EC7CE2" w:rsidRPr="00A470FF">
        <w:t>8</w:t>
      </w:r>
    </w:p>
    <w:p w14:paraId="1E8EFC3A" w14:textId="4CA46982" w:rsidR="00F844E7" w:rsidRPr="00A470FF" w:rsidRDefault="002E694C" w:rsidP="00F844E7">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00D35DA3" w:rsidRPr="00A470FF">
        <w:t>7</w:t>
      </w:r>
      <w:r w:rsidR="00F844E7" w:rsidRPr="00A470FF">
        <w:t>/CP.2</w:t>
      </w:r>
      <w:r w:rsidRPr="00A470FF">
        <w:t>1</w:t>
      </w:r>
      <w:r w:rsidR="00F844E7" w:rsidRPr="00A470FF">
        <w:tab/>
        <w:t xml:space="preserve">Report of the Green Climate Fund to the Conference of the Parties and </w:t>
      </w:r>
      <w:r w:rsidR="00F844E7" w:rsidRPr="00A470FF">
        <w:br/>
        <w:t>guidance to the Green Climate Fund</w:t>
      </w:r>
      <w:r w:rsidR="00F844E7" w:rsidRPr="00A470FF">
        <w:tab/>
      </w:r>
      <w:r w:rsidR="00F844E7" w:rsidRPr="00A470FF">
        <w:tab/>
      </w:r>
      <w:r w:rsidR="00EC7CE2" w:rsidRPr="00A470FF">
        <w:t>10</w:t>
      </w:r>
    </w:p>
    <w:p w14:paraId="1E8EFC3B" w14:textId="6E25B62B" w:rsidR="00F844E7" w:rsidRPr="00A470FF" w:rsidRDefault="002E694C" w:rsidP="002E694C">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00D35DA3" w:rsidRPr="00A470FF">
        <w:t>8</w:t>
      </w:r>
      <w:r w:rsidR="00F844E7" w:rsidRPr="00A470FF">
        <w:t>/CP.2</w:t>
      </w:r>
      <w:r w:rsidRPr="00A470FF">
        <w:t>1</w:t>
      </w:r>
      <w:r w:rsidR="00F844E7" w:rsidRPr="00A470FF">
        <w:tab/>
        <w:t xml:space="preserve">Report of the Global Environment Facility to the Conference of the Parties and </w:t>
      </w:r>
      <w:r w:rsidR="00F844E7" w:rsidRPr="00A470FF">
        <w:br/>
        <w:t>guidance to the Global Environment Facility</w:t>
      </w:r>
      <w:r w:rsidR="00F844E7" w:rsidRPr="00A470FF">
        <w:tab/>
      </w:r>
      <w:r w:rsidR="00F844E7" w:rsidRPr="00A470FF">
        <w:tab/>
      </w:r>
      <w:r w:rsidR="00EC7CE2" w:rsidRPr="00A470FF">
        <w:t>13</w:t>
      </w:r>
    </w:p>
    <w:p w14:paraId="1E8EFC3C" w14:textId="379EAA81" w:rsidR="00F844E7" w:rsidRPr="00A470FF" w:rsidRDefault="00D35DA3" w:rsidP="002E694C">
      <w:pPr>
        <w:tabs>
          <w:tab w:val="right" w:pos="850"/>
          <w:tab w:val="left" w:pos="1134"/>
          <w:tab w:val="left" w:pos="1559"/>
          <w:tab w:val="left" w:pos="2268"/>
          <w:tab w:val="right" w:leader="dot" w:pos="8929"/>
          <w:tab w:val="right" w:pos="9638"/>
        </w:tabs>
        <w:spacing w:after="120"/>
        <w:ind w:left="2268" w:hanging="2268"/>
      </w:pPr>
      <w:r w:rsidRPr="00A470FF">
        <w:tab/>
      </w:r>
      <w:r w:rsidRPr="00A470FF">
        <w:tab/>
        <w:t>9</w:t>
      </w:r>
      <w:r w:rsidR="00F844E7" w:rsidRPr="00A470FF">
        <w:t>/CP.2</w:t>
      </w:r>
      <w:r w:rsidR="002E694C" w:rsidRPr="00A470FF">
        <w:t>1</w:t>
      </w:r>
      <w:r w:rsidR="00F844E7" w:rsidRPr="00A470FF">
        <w:tab/>
      </w:r>
      <w:r w:rsidR="002E694C" w:rsidRPr="00A470FF">
        <w:rPr>
          <w:lang w:eastAsia="ko-KR"/>
        </w:rPr>
        <w:t xml:space="preserve">Methodologies for the reporting of financial information by Parties included </w:t>
      </w:r>
      <w:r w:rsidR="002E694C" w:rsidRPr="00A470FF">
        <w:rPr>
          <w:lang w:eastAsia="ko-KR"/>
        </w:rPr>
        <w:br/>
        <w:t>in Annex I to the Convention</w:t>
      </w:r>
      <w:r w:rsidR="002E694C" w:rsidRPr="00A470FF">
        <w:rPr>
          <w:lang w:eastAsia="ko-KR"/>
        </w:rPr>
        <w:tab/>
      </w:r>
      <w:r w:rsidR="002E694C" w:rsidRPr="00A470FF">
        <w:rPr>
          <w:lang w:eastAsia="ko-KR"/>
        </w:rPr>
        <w:tab/>
      </w:r>
      <w:r w:rsidR="00EC7CE2" w:rsidRPr="00A470FF">
        <w:rPr>
          <w:lang w:eastAsia="ko-KR"/>
        </w:rPr>
        <w:t>15</w:t>
      </w:r>
    </w:p>
    <w:p w14:paraId="1E8EFC3D" w14:textId="3A051B4D" w:rsidR="00F844E7" w:rsidRPr="00A470FF" w:rsidRDefault="002E694C" w:rsidP="00F844E7">
      <w:pPr>
        <w:tabs>
          <w:tab w:val="right" w:pos="850"/>
          <w:tab w:val="left" w:pos="1134"/>
          <w:tab w:val="left" w:pos="1559"/>
          <w:tab w:val="left" w:pos="2268"/>
          <w:tab w:val="right" w:leader="dot" w:pos="8929"/>
          <w:tab w:val="right" w:pos="9638"/>
        </w:tabs>
        <w:spacing w:after="120"/>
      </w:pPr>
      <w:r w:rsidRPr="00A470FF">
        <w:tab/>
      </w:r>
      <w:r w:rsidRPr="00A470FF">
        <w:tab/>
        <w:t>1</w:t>
      </w:r>
      <w:r w:rsidR="00D35DA3" w:rsidRPr="00A470FF">
        <w:t>0</w:t>
      </w:r>
      <w:r w:rsidR="00F844E7" w:rsidRPr="00A470FF">
        <w:t>/CP.2</w:t>
      </w:r>
      <w:r w:rsidRPr="00A470FF">
        <w:t>1</w:t>
      </w:r>
      <w:r w:rsidR="00F844E7" w:rsidRPr="00A470FF">
        <w:tab/>
      </w:r>
      <w:r w:rsidRPr="00A470FF">
        <w:t>The 2013–2015 review</w:t>
      </w:r>
      <w:r w:rsidR="00F844E7" w:rsidRPr="00A470FF">
        <w:tab/>
      </w:r>
      <w:r w:rsidR="00F844E7" w:rsidRPr="00A470FF">
        <w:tab/>
      </w:r>
      <w:r w:rsidR="00EC7CE2" w:rsidRPr="00A470FF">
        <w:t>23</w:t>
      </w:r>
    </w:p>
    <w:p w14:paraId="1E8EFC3E" w14:textId="65BC3C5A" w:rsidR="00D35DA3" w:rsidRPr="00A470FF" w:rsidRDefault="002E694C" w:rsidP="00F844E7">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00D35DA3" w:rsidRPr="00A470FF">
        <w:t>11/CP.21</w:t>
      </w:r>
      <w:r w:rsidR="00D35DA3" w:rsidRPr="00A470FF">
        <w:tab/>
        <w:t xml:space="preserve">Forum and work programme on the impact of the implementation of </w:t>
      </w:r>
      <w:r w:rsidR="00D35DA3" w:rsidRPr="00A470FF">
        <w:br/>
        <w:t>response measures</w:t>
      </w:r>
      <w:r w:rsidR="00D35DA3" w:rsidRPr="00A470FF">
        <w:tab/>
      </w:r>
      <w:r w:rsidR="00D35DA3" w:rsidRPr="00A470FF">
        <w:tab/>
      </w:r>
      <w:r w:rsidR="00EC7CE2" w:rsidRPr="00A470FF">
        <w:t>25</w:t>
      </w:r>
    </w:p>
    <w:p w14:paraId="1E8EFC3F" w14:textId="3A26EEFD" w:rsidR="00F844E7" w:rsidRPr="00A470FF" w:rsidRDefault="00D35DA3" w:rsidP="00F844E7">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002E694C" w:rsidRPr="00A470FF">
        <w:t>12</w:t>
      </w:r>
      <w:r w:rsidR="00F844E7" w:rsidRPr="00A470FF">
        <w:t>/CP.2</w:t>
      </w:r>
      <w:r w:rsidR="002E694C" w:rsidRPr="00A470FF">
        <w:t>1</w:t>
      </w:r>
      <w:r w:rsidR="00F844E7" w:rsidRPr="00A470FF">
        <w:tab/>
      </w:r>
      <w:r w:rsidR="00F844E7" w:rsidRPr="00A470FF">
        <w:tab/>
      </w:r>
      <w:r w:rsidR="002E694C" w:rsidRPr="00A470FF">
        <w:t xml:space="preserve">Enhancing climate technology development and transfer through the </w:t>
      </w:r>
      <w:r w:rsidR="002E694C" w:rsidRPr="00A470FF">
        <w:br/>
        <w:t>Technology Mechanism</w:t>
      </w:r>
      <w:r w:rsidR="00F844E7" w:rsidRPr="00A470FF">
        <w:tab/>
      </w:r>
      <w:r w:rsidR="002E694C" w:rsidRPr="00A470FF">
        <w:tab/>
      </w:r>
      <w:r w:rsidR="00EC7CE2" w:rsidRPr="00A470FF">
        <w:t>27</w:t>
      </w:r>
    </w:p>
    <w:p w14:paraId="1E8EFC40" w14:textId="662F55F0" w:rsidR="00F844E7" w:rsidRPr="00A470FF" w:rsidRDefault="00C43FA9" w:rsidP="00C43FA9">
      <w:pPr>
        <w:tabs>
          <w:tab w:val="right" w:pos="850"/>
          <w:tab w:val="left" w:pos="1134"/>
          <w:tab w:val="left" w:pos="1559"/>
          <w:tab w:val="left" w:pos="2268"/>
          <w:tab w:val="right" w:leader="dot" w:pos="8929"/>
          <w:tab w:val="right" w:pos="9638"/>
        </w:tabs>
        <w:spacing w:after="120"/>
        <w:ind w:left="2265" w:hanging="2265"/>
      </w:pPr>
      <w:r>
        <w:tab/>
      </w:r>
      <w:r>
        <w:tab/>
      </w:r>
      <w:r w:rsidR="002E694C" w:rsidRPr="00A470FF">
        <w:t>13/CP.21</w:t>
      </w:r>
      <w:r w:rsidR="00F844E7" w:rsidRPr="00A470FF">
        <w:tab/>
      </w:r>
      <w:r w:rsidR="002E694C" w:rsidRPr="00A470FF">
        <w:t>Linkages between the Technology Mechanism and the Financial Mechanism</w:t>
      </w:r>
      <w:r>
        <w:t xml:space="preserve"> of the Convention</w:t>
      </w:r>
      <w:r>
        <w:tab/>
      </w:r>
      <w:r w:rsidR="00F844E7" w:rsidRPr="00A470FF">
        <w:tab/>
      </w:r>
      <w:r w:rsidR="00EC7CE2" w:rsidRPr="00A470FF">
        <w:t>28</w:t>
      </w:r>
    </w:p>
    <w:p w14:paraId="1E8EFC41" w14:textId="3AF05C19" w:rsidR="00BB5D38" w:rsidRPr="00A470FF" w:rsidRDefault="00BB5D38" w:rsidP="00C2070C">
      <w:pPr>
        <w:spacing w:after="120"/>
        <w:sectPr w:rsidR="00BB5D38" w:rsidRPr="00A470FF" w:rsidSect="00815DBB">
          <w:headerReference w:type="even" r:id="rId13"/>
          <w:headerReference w:type="default" r:id="rId14"/>
          <w:footerReference w:type="even" r:id="rId15"/>
          <w:footerReference w:type="default" r:id="rId16"/>
          <w:headerReference w:type="first" r:id="rId17"/>
          <w:footnotePr>
            <w:numRestart w:val="eachSect"/>
          </w:footnotePr>
          <w:pgSz w:w="11906" w:h="16838" w:code="9"/>
          <w:pgMar w:top="1701" w:right="1134" w:bottom="2268" w:left="1134" w:header="1134" w:footer="1701" w:gutter="0"/>
          <w:cols w:space="708"/>
          <w:titlePg/>
          <w:docGrid w:linePitch="360"/>
        </w:sectPr>
      </w:pPr>
    </w:p>
    <w:p w14:paraId="1E8EFC42" w14:textId="47D31716" w:rsidR="00F844E7" w:rsidRPr="00A470FF" w:rsidRDefault="00F844E7" w:rsidP="00BB5D38">
      <w:pPr>
        <w:pStyle w:val="HChG"/>
        <w:ind w:firstLine="0"/>
        <w:rPr>
          <w:bCs/>
        </w:rPr>
      </w:pPr>
      <w:r w:rsidRPr="00A470FF">
        <w:rPr>
          <w:bCs/>
        </w:rPr>
        <w:lastRenderedPageBreak/>
        <w:t xml:space="preserve">Decision </w:t>
      </w:r>
      <w:r w:rsidR="00D35DA3" w:rsidRPr="00A470FF">
        <w:rPr>
          <w:bCs/>
        </w:rPr>
        <w:t>2</w:t>
      </w:r>
      <w:r w:rsidRPr="00A470FF">
        <w:rPr>
          <w:bCs/>
        </w:rPr>
        <w:t>/CP.21</w:t>
      </w:r>
    </w:p>
    <w:p w14:paraId="1E8EFC43" w14:textId="77777777" w:rsidR="00F844E7" w:rsidRPr="00A470FF" w:rsidRDefault="00F844E7" w:rsidP="00F844E7">
      <w:pPr>
        <w:pStyle w:val="HChG"/>
      </w:pPr>
      <w:r w:rsidRPr="00A470FF">
        <w:tab/>
      </w:r>
      <w:r w:rsidR="00BB5D38" w:rsidRPr="00A470FF">
        <w:tab/>
      </w:r>
      <w:r w:rsidRPr="00A470FF">
        <w:t>Warsaw International Mechanism for Loss and Damage associated with Climate Change Impacts</w:t>
      </w:r>
    </w:p>
    <w:p w14:paraId="1E8EFC44" w14:textId="7619A903" w:rsidR="003E0A8A" w:rsidRPr="00A470FF" w:rsidRDefault="003E0A8A" w:rsidP="003E0A8A">
      <w:pPr>
        <w:pStyle w:val="SingleTxtG"/>
        <w:ind w:firstLine="567"/>
        <w:rPr>
          <w:i/>
        </w:rPr>
      </w:pPr>
      <w:r w:rsidRPr="00A470FF">
        <w:rPr>
          <w:i/>
        </w:rPr>
        <w:t>The Conference of the Parties</w:t>
      </w:r>
      <w:r w:rsidR="00B2081F" w:rsidRPr="00A470FF">
        <w:t>,</w:t>
      </w:r>
      <w:r w:rsidRPr="00A470FF">
        <w:rPr>
          <w:i/>
        </w:rPr>
        <w:t xml:space="preserve"> </w:t>
      </w:r>
    </w:p>
    <w:p w14:paraId="1E8EFC45" w14:textId="681E692D" w:rsidR="003E0A8A" w:rsidRPr="00A470FF" w:rsidRDefault="00467704" w:rsidP="00467704">
      <w:pPr>
        <w:tabs>
          <w:tab w:val="left" w:pos="568"/>
          <w:tab w:val="left" w:pos="1701"/>
        </w:tabs>
        <w:spacing w:before="120" w:after="120"/>
        <w:ind w:left="1134" w:right="1134"/>
        <w:jc w:val="both"/>
      </w:pPr>
      <w:r w:rsidRPr="00A470FF">
        <w:t>1.</w:t>
      </w:r>
      <w:r w:rsidRPr="00A470FF">
        <w:tab/>
      </w:r>
      <w:r w:rsidR="003E0A8A" w:rsidRPr="00A470FF">
        <w:rPr>
          <w:i/>
          <w:iCs/>
        </w:rPr>
        <w:t xml:space="preserve">Welcomes with appreciation </w:t>
      </w:r>
      <w:r w:rsidR="003E0A8A" w:rsidRPr="00A470FF">
        <w:t>the work by the Executive Committee of the Warsaw International Mechanism for Loss and Damage associated with Climate Change Impacts (hereinafter referred to as the Executive Committee) as an important step in the operationalization of this mechanism;</w:t>
      </w:r>
    </w:p>
    <w:p w14:paraId="1E8EFC46" w14:textId="04DE8845" w:rsidR="003E0A8A" w:rsidRPr="00A470FF" w:rsidRDefault="00467704" w:rsidP="00467704">
      <w:pPr>
        <w:tabs>
          <w:tab w:val="left" w:pos="568"/>
          <w:tab w:val="left" w:pos="1701"/>
        </w:tabs>
        <w:spacing w:after="120"/>
        <w:ind w:left="1135" w:right="1134"/>
        <w:jc w:val="both"/>
      </w:pPr>
      <w:r w:rsidRPr="00A470FF">
        <w:t>2.</w:t>
      </w:r>
      <w:r w:rsidRPr="00A470FF">
        <w:tab/>
      </w:r>
      <w:r w:rsidR="001B5941" w:rsidRPr="00A470FF">
        <w:rPr>
          <w:i/>
        </w:rPr>
        <w:t>W</w:t>
      </w:r>
      <w:r w:rsidR="003E0A8A" w:rsidRPr="00A470FF">
        <w:rPr>
          <w:i/>
        </w:rPr>
        <w:t>elcomes</w:t>
      </w:r>
      <w:r w:rsidR="003E0A8A" w:rsidRPr="00A470FF">
        <w:t xml:space="preserve"> the report of the Executive Committee;</w:t>
      </w:r>
      <w:r w:rsidR="003E0A8A" w:rsidRPr="00A470FF">
        <w:rPr>
          <w:sz w:val="18"/>
          <w:vertAlign w:val="superscript"/>
        </w:rPr>
        <w:footnoteReference w:id="1"/>
      </w:r>
    </w:p>
    <w:p w14:paraId="1E8EFC47" w14:textId="3B6DF862" w:rsidR="003E0A8A" w:rsidRPr="00A470FF" w:rsidRDefault="00467704" w:rsidP="00467704">
      <w:pPr>
        <w:tabs>
          <w:tab w:val="left" w:pos="568"/>
          <w:tab w:val="left" w:pos="1701"/>
        </w:tabs>
        <w:spacing w:after="120"/>
        <w:ind w:left="1135" w:right="1134"/>
        <w:jc w:val="both"/>
      </w:pPr>
      <w:r w:rsidRPr="00A470FF">
        <w:t>3.</w:t>
      </w:r>
      <w:r w:rsidRPr="00A470FF">
        <w:tab/>
      </w:r>
      <w:r w:rsidR="003E0A8A" w:rsidRPr="00A470FF">
        <w:rPr>
          <w:i/>
        </w:rPr>
        <w:t xml:space="preserve">Decides </w:t>
      </w:r>
      <w:r w:rsidR="003E0A8A" w:rsidRPr="00A470FF">
        <w:t>that, as a consequence of the late nomination of members to the Executive Committee in 2015, the term of the members currently in office will end immediately before the first meeting of the Executive Committee in 2018 for members with a term of two years, and immediately before the first meeting of the Executive Committee in 2019 for members with a term of three years;</w:t>
      </w:r>
    </w:p>
    <w:p w14:paraId="1E8EFC48" w14:textId="6C20A52F" w:rsidR="003E0A8A" w:rsidRPr="00A470FF" w:rsidRDefault="00467704" w:rsidP="00467704">
      <w:pPr>
        <w:tabs>
          <w:tab w:val="left" w:pos="568"/>
          <w:tab w:val="left" w:pos="1701"/>
        </w:tabs>
        <w:spacing w:after="120"/>
        <w:ind w:left="1135" w:right="1134"/>
        <w:jc w:val="both"/>
      </w:pPr>
      <w:r w:rsidRPr="00A470FF">
        <w:t>4.</w:t>
      </w:r>
      <w:r w:rsidRPr="00A470FF">
        <w:tab/>
      </w:r>
      <w:r w:rsidR="003E0A8A" w:rsidRPr="00A470FF">
        <w:rPr>
          <w:i/>
        </w:rPr>
        <w:t>Also decides</w:t>
      </w:r>
      <w:r w:rsidR="003E0A8A" w:rsidRPr="00A470FF">
        <w:t xml:space="preserve"> that, as a consequence of the adjustment to the terms of office of the members of the Executive Committee as referred to in paragraph 3 above, the terms of the Co-Chairs who are currently in office will end immediately before the first meeting of the Executive Committee in 2017;</w:t>
      </w:r>
    </w:p>
    <w:p w14:paraId="1E8EFC49" w14:textId="73E32573" w:rsidR="003E0A8A" w:rsidRPr="00A470FF" w:rsidRDefault="00467704" w:rsidP="00467704">
      <w:pPr>
        <w:tabs>
          <w:tab w:val="left" w:pos="568"/>
          <w:tab w:val="left" w:pos="1701"/>
        </w:tabs>
        <w:spacing w:after="120"/>
        <w:ind w:left="1135" w:right="1134"/>
        <w:jc w:val="both"/>
      </w:pPr>
      <w:r w:rsidRPr="00A470FF">
        <w:t>5.</w:t>
      </w:r>
      <w:r w:rsidRPr="00A470FF">
        <w:tab/>
      </w:r>
      <w:r w:rsidR="003E0A8A" w:rsidRPr="00A470FF">
        <w:rPr>
          <w:i/>
        </w:rPr>
        <w:t>Notes</w:t>
      </w:r>
      <w:r w:rsidR="003E0A8A" w:rsidRPr="00A470FF">
        <w:t xml:space="preserve"> </w:t>
      </w:r>
      <w:r w:rsidR="003E0A8A" w:rsidRPr="00A470FF">
        <w:rPr>
          <w:i/>
        </w:rPr>
        <w:t>with concern</w:t>
      </w:r>
      <w:r w:rsidR="003E0A8A" w:rsidRPr="00A470FF">
        <w:t xml:space="preserve"> the limited progress made in the implementation of the initial two-year workplan of the Executive Committee</w:t>
      </w:r>
      <w:r w:rsidR="003E0A8A" w:rsidRPr="00A470FF">
        <w:rPr>
          <w:sz w:val="18"/>
          <w:vertAlign w:val="superscript"/>
        </w:rPr>
        <w:footnoteReference w:id="2"/>
      </w:r>
      <w:r w:rsidR="003E0A8A" w:rsidRPr="00A470FF">
        <w:t xml:space="preserve"> owing to the late nomination of members as referred to in paragraph 3 above;</w:t>
      </w:r>
    </w:p>
    <w:p w14:paraId="1E8EFC4A" w14:textId="6D01A9FC" w:rsidR="003E0A8A" w:rsidRPr="00A470FF" w:rsidRDefault="00467704" w:rsidP="00467704">
      <w:pPr>
        <w:tabs>
          <w:tab w:val="left" w:pos="568"/>
          <w:tab w:val="left" w:pos="1701"/>
        </w:tabs>
        <w:spacing w:after="120"/>
        <w:ind w:left="1135" w:right="1134"/>
        <w:jc w:val="both"/>
      </w:pPr>
      <w:r w:rsidRPr="00A470FF">
        <w:t>6.</w:t>
      </w:r>
      <w:r w:rsidRPr="00A470FF">
        <w:tab/>
      </w:r>
      <w:r w:rsidR="003E0A8A" w:rsidRPr="00A470FF">
        <w:rPr>
          <w:i/>
        </w:rPr>
        <w:t xml:space="preserve">Acknowledges with appreciation </w:t>
      </w:r>
      <w:r w:rsidR="003E0A8A" w:rsidRPr="00A470FF">
        <w:t>that the Executive Committee plans to schedule at least three meetings</w:t>
      </w:r>
      <w:r w:rsidR="003E0A8A" w:rsidRPr="00A470FF">
        <w:rPr>
          <w:sz w:val="18"/>
          <w:vertAlign w:val="superscript"/>
        </w:rPr>
        <w:footnoteReference w:id="3"/>
      </w:r>
      <w:r w:rsidR="003E0A8A" w:rsidRPr="00A470FF">
        <w:t xml:space="preserve"> during 2016;</w:t>
      </w:r>
    </w:p>
    <w:p w14:paraId="1E8EFC4B" w14:textId="78082F0B" w:rsidR="003E0A8A" w:rsidRPr="00A470FF" w:rsidRDefault="00467704" w:rsidP="00467704">
      <w:pPr>
        <w:tabs>
          <w:tab w:val="left" w:pos="568"/>
          <w:tab w:val="left" w:pos="1701"/>
        </w:tabs>
        <w:spacing w:after="120"/>
        <w:ind w:left="1135" w:right="1134"/>
        <w:jc w:val="both"/>
      </w:pPr>
      <w:r w:rsidRPr="00A470FF">
        <w:t>7.</w:t>
      </w:r>
      <w:r w:rsidRPr="00A470FF">
        <w:tab/>
      </w:r>
      <w:r w:rsidR="003E0A8A" w:rsidRPr="00A470FF">
        <w:rPr>
          <w:i/>
        </w:rPr>
        <w:t xml:space="preserve">Urges </w:t>
      </w:r>
      <w:r w:rsidR="003E0A8A" w:rsidRPr="00A470FF">
        <w:t>the Executive Committee to explore modalities of work in order to fulfil its mandate in accordance with decisions 2/CP.19 and 2/CP.20</w:t>
      </w:r>
      <w:r w:rsidR="003E0A8A" w:rsidRPr="00A470FF">
        <w:rPr>
          <w:rFonts w:ascii="TimesNewRomanPSMT" w:eastAsia="Times New Roman" w:hAnsi="TimesNewRomanPSMT" w:cs="TimesNewRomanPSMT"/>
          <w:lang w:eastAsia="en-GB"/>
        </w:rPr>
        <w:t>;</w:t>
      </w:r>
    </w:p>
    <w:p w14:paraId="1E8EFC4C" w14:textId="1E45D4FA" w:rsidR="003E0A8A" w:rsidRPr="00A470FF" w:rsidRDefault="00467704" w:rsidP="00467704">
      <w:pPr>
        <w:tabs>
          <w:tab w:val="left" w:pos="568"/>
          <w:tab w:val="left" w:pos="1701"/>
        </w:tabs>
        <w:spacing w:after="120"/>
        <w:ind w:left="1135" w:right="1134"/>
        <w:jc w:val="both"/>
      </w:pPr>
      <w:r w:rsidRPr="00A470FF">
        <w:t>8.</w:t>
      </w:r>
      <w:r w:rsidRPr="00A470FF">
        <w:tab/>
      </w:r>
      <w:r w:rsidR="003E0A8A" w:rsidRPr="00A470FF">
        <w:rPr>
          <w:i/>
        </w:rPr>
        <w:t xml:space="preserve">Also urges </w:t>
      </w:r>
      <w:r w:rsidR="003E0A8A" w:rsidRPr="00A470FF">
        <w:t>Parties to make available sufficient resources for the successful and timely implementation of the initial two-year workplan of the Executive Committee in view of the ambitious nature of that workplan.</w:t>
      </w:r>
    </w:p>
    <w:p w14:paraId="1E8EFC4D" w14:textId="77777777" w:rsidR="00F844E7" w:rsidRPr="00A470FF" w:rsidRDefault="00A359FB" w:rsidP="00F844E7">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F844E7" w:rsidRPr="00A470FF">
        <w:rPr>
          <w:i/>
          <w:vertAlign w:val="superscript"/>
          <w:lang w:eastAsia="en-US"/>
        </w:rPr>
        <w:t>th</w:t>
      </w:r>
      <w:r w:rsidR="00F844E7" w:rsidRPr="00A470FF">
        <w:rPr>
          <w:i/>
          <w:lang w:eastAsia="en-US"/>
        </w:rPr>
        <w:t xml:space="preserve"> plenary meeting</w:t>
      </w:r>
    </w:p>
    <w:p w14:paraId="1E8EFC4E" w14:textId="77777777" w:rsidR="00F844E7" w:rsidRPr="00A470FF" w:rsidRDefault="00A359FB" w:rsidP="00F844E7">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F844E7" w:rsidRPr="00A470FF">
        <w:rPr>
          <w:i/>
          <w:lang w:eastAsia="en-US"/>
        </w:rPr>
        <w:t xml:space="preserve"> December 2015</w:t>
      </w:r>
    </w:p>
    <w:p w14:paraId="1E8EFC50" w14:textId="77777777" w:rsidR="00F844E7" w:rsidRPr="00A470FF" w:rsidRDefault="00F844E7" w:rsidP="00C2070C">
      <w:pPr>
        <w:spacing w:after="120"/>
      </w:pPr>
    </w:p>
    <w:p w14:paraId="1E8EFC51" w14:textId="77777777" w:rsidR="00C2070C" w:rsidRPr="00A470FF" w:rsidRDefault="00C2070C" w:rsidP="00C2070C">
      <w:pPr>
        <w:spacing w:after="120"/>
        <w:sectPr w:rsidR="00C2070C" w:rsidRPr="00A470FF" w:rsidSect="00815DBB">
          <w:headerReference w:type="even" r:id="rId18"/>
          <w:headerReference w:type="default" r:id="rId19"/>
          <w:footerReference w:type="default" r:id="rId20"/>
          <w:footnotePr>
            <w:numRestart w:val="eachSect"/>
          </w:footnotePr>
          <w:pgSz w:w="11906" w:h="16838" w:code="9"/>
          <w:pgMar w:top="1701" w:right="1134" w:bottom="2268" w:left="1134" w:header="1134" w:footer="1701" w:gutter="0"/>
          <w:cols w:space="708"/>
          <w:docGrid w:linePitch="360"/>
        </w:sectPr>
      </w:pPr>
    </w:p>
    <w:p w14:paraId="1E8EFC52" w14:textId="77777777" w:rsidR="00C2070C" w:rsidRPr="00A470FF" w:rsidRDefault="00D35DA3" w:rsidP="00F844E7">
      <w:pPr>
        <w:pStyle w:val="HChG"/>
        <w:ind w:firstLine="0"/>
        <w:rPr>
          <w:bCs/>
        </w:rPr>
      </w:pPr>
      <w:r w:rsidRPr="00A470FF">
        <w:rPr>
          <w:bCs/>
        </w:rPr>
        <w:lastRenderedPageBreak/>
        <w:t>Decision 3</w:t>
      </w:r>
      <w:r w:rsidR="00F844E7" w:rsidRPr="00A470FF">
        <w:rPr>
          <w:bCs/>
        </w:rPr>
        <w:t>/CP.21</w:t>
      </w:r>
    </w:p>
    <w:p w14:paraId="1E8EFC53" w14:textId="77777777" w:rsidR="00F844E7" w:rsidRPr="00A470FF" w:rsidRDefault="00F844E7" w:rsidP="00F844E7">
      <w:pPr>
        <w:pStyle w:val="HChG"/>
      </w:pPr>
      <w:r w:rsidRPr="00A470FF">
        <w:tab/>
      </w:r>
      <w:r w:rsidRPr="00A470FF">
        <w:tab/>
        <w:t>Report of the Adaptation Committee</w:t>
      </w:r>
    </w:p>
    <w:p w14:paraId="1E8EFC54" w14:textId="3310AB05" w:rsidR="00F844E7" w:rsidRPr="00A470FF" w:rsidRDefault="00F844E7" w:rsidP="0022077C">
      <w:pPr>
        <w:pStyle w:val="SingleTxtG"/>
        <w:ind w:firstLine="567"/>
        <w:rPr>
          <w:i/>
        </w:rPr>
      </w:pPr>
      <w:r w:rsidRPr="00A470FF">
        <w:rPr>
          <w:i/>
        </w:rPr>
        <w:t>The Conference of the Parties</w:t>
      </w:r>
      <w:r w:rsidR="00B2081F" w:rsidRPr="00A470FF">
        <w:t>,</w:t>
      </w:r>
    </w:p>
    <w:p w14:paraId="1E8EFC55" w14:textId="5DB5B0A0" w:rsidR="00F844E7" w:rsidRPr="00A470FF" w:rsidRDefault="00467704" w:rsidP="00467704">
      <w:pPr>
        <w:pStyle w:val="RegSingleTxtG"/>
        <w:numPr>
          <w:ilvl w:val="0"/>
          <w:numId w:val="0"/>
        </w:numPr>
        <w:tabs>
          <w:tab w:val="left" w:pos="568"/>
        </w:tabs>
        <w:ind w:left="1135"/>
      </w:pPr>
      <w:r w:rsidRPr="00A470FF">
        <w:t>1.</w:t>
      </w:r>
      <w:r w:rsidRPr="00A470FF">
        <w:tab/>
      </w:r>
      <w:r w:rsidR="00F844E7" w:rsidRPr="00A470FF">
        <w:rPr>
          <w:i/>
        </w:rPr>
        <w:t xml:space="preserve">Welcomes </w:t>
      </w:r>
      <w:r w:rsidR="00F844E7" w:rsidRPr="00A470FF">
        <w:t>the report of the Adaptation Committee, including its recommendations;</w:t>
      </w:r>
      <w:r w:rsidR="00F844E7" w:rsidRPr="00A470FF">
        <w:rPr>
          <w:rStyle w:val="FootnoteReference"/>
        </w:rPr>
        <w:footnoteReference w:id="4"/>
      </w:r>
      <w:r w:rsidR="00F844E7" w:rsidRPr="00A470FF">
        <w:t xml:space="preserve"> </w:t>
      </w:r>
    </w:p>
    <w:p w14:paraId="1E8EFC56" w14:textId="25B64D06" w:rsidR="00F844E7" w:rsidRPr="00A470FF" w:rsidRDefault="00467704" w:rsidP="00467704">
      <w:pPr>
        <w:pStyle w:val="RegSingleTxtG"/>
        <w:numPr>
          <w:ilvl w:val="0"/>
          <w:numId w:val="0"/>
        </w:numPr>
        <w:tabs>
          <w:tab w:val="left" w:pos="568"/>
        </w:tabs>
        <w:ind w:left="1135"/>
      </w:pPr>
      <w:r w:rsidRPr="00A470FF">
        <w:t>2.</w:t>
      </w:r>
      <w:r w:rsidRPr="00A470FF">
        <w:tab/>
      </w:r>
      <w:r w:rsidR="00F844E7" w:rsidRPr="00A470FF">
        <w:rPr>
          <w:i/>
        </w:rPr>
        <w:t xml:space="preserve">Also welcomes </w:t>
      </w:r>
      <w:r w:rsidR="00F844E7" w:rsidRPr="00A470FF">
        <w:t>the workplan of the Adaptation Committee for the period 2016–2018 contained in the report referred to in paragraph 1 above;</w:t>
      </w:r>
    </w:p>
    <w:p w14:paraId="1E8EFC57" w14:textId="0C6BFC2F" w:rsidR="00F844E7" w:rsidRPr="00A470FF" w:rsidRDefault="00467704" w:rsidP="00467704">
      <w:pPr>
        <w:pStyle w:val="RegSingleTxtG"/>
        <w:numPr>
          <w:ilvl w:val="0"/>
          <w:numId w:val="0"/>
        </w:numPr>
        <w:tabs>
          <w:tab w:val="left" w:pos="568"/>
        </w:tabs>
        <w:ind w:left="1135"/>
      </w:pPr>
      <w:r w:rsidRPr="00A470FF">
        <w:t>3.</w:t>
      </w:r>
      <w:r w:rsidRPr="00A470FF">
        <w:tab/>
      </w:r>
      <w:r w:rsidR="00F844E7" w:rsidRPr="00A470FF">
        <w:rPr>
          <w:i/>
        </w:rPr>
        <w:t xml:space="preserve">Notes with appreciation </w:t>
      </w:r>
      <w:r w:rsidR="00F844E7" w:rsidRPr="00A470FF">
        <w:t>the progress made by the Adaptation Committee in the implementation of its first three-year workplan;</w:t>
      </w:r>
      <w:r w:rsidR="00F844E7" w:rsidRPr="00A470FF">
        <w:rPr>
          <w:rStyle w:val="FootnoteReference"/>
        </w:rPr>
        <w:footnoteReference w:id="5"/>
      </w:r>
      <w:r w:rsidR="00F844E7" w:rsidRPr="00A470FF">
        <w:t xml:space="preserve"> </w:t>
      </w:r>
    </w:p>
    <w:p w14:paraId="1E8EFC58" w14:textId="056B9CD3" w:rsidR="00F844E7" w:rsidRPr="00A470FF" w:rsidRDefault="00467704" w:rsidP="00467704">
      <w:pPr>
        <w:pStyle w:val="RegSingleTxtG"/>
        <w:numPr>
          <w:ilvl w:val="0"/>
          <w:numId w:val="0"/>
        </w:numPr>
        <w:tabs>
          <w:tab w:val="left" w:pos="568"/>
        </w:tabs>
        <w:ind w:left="1135"/>
      </w:pPr>
      <w:r w:rsidRPr="00A470FF">
        <w:t>4.</w:t>
      </w:r>
      <w:r w:rsidRPr="00A470FF">
        <w:tab/>
      </w:r>
      <w:r w:rsidR="00F844E7" w:rsidRPr="00A470FF">
        <w:rPr>
          <w:i/>
        </w:rPr>
        <w:t xml:space="preserve">Invites </w:t>
      </w:r>
      <w:r w:rsidR="00F844E7" w:rsidRPr="00A470FF">
        <w:t>the Intergovernmental Panel on Climate Change to enhance outreach activities that would facilitate policymakers’ understanding of the impact of different levels of warming on adaptation planning and actions;</w:t>
      </w:r>
    </w:p>
    <w:p w14:paraId="1E8EFC59" w14:textId="413766B2" w:rsidR="00F844E7" w:rsidRPr="00A470FF" w:rsidRDefault="00467704" w:rsidP="00467704">
      <w:pPr>
        <w:pStyle w:val="RegSingleTxtG"/>
        <w:numPr>
          <w:ilvl w:val="0"/>
          <w:numId w:val="0"/>
        </w:numPr>
        <w:tabs>
          <w:tab w:val="left" w:pos="568"/>
        </w:tabs>
        <w:ind w:left="1135"/>
      </w:pPr>
      <w:r w:rsidRPr="00A470FF">
        <w:t>5.</w:t>
      </w:r>
      <w:r w:rsidRPr="00A470FF">
        <w:tab/>
      </w:r>
      <w:r w:rsidR="00F844E7" w:rsidRPr="00A470FF">
        <w:rPr>
          <w:i/>
        </w:rPr>
        <w:t xml:space="preserve">Requests </w:t>
      </w:r>
      <w:r w:rsidR="00F844E7" w:rsidRPr="00A470FF">
        <w:t>the Technology Executive Committee, in collaboration with the Climate Technology Centre and Network, the Adaptation Committee and the Least Developed Countries Expert Group, to consider how it can help Parties align their technology needs assessments with the process to formulate and implement national adaptation plans;</w:t>
      </w:r>
    </w:p>
    <w:p w14:paraId="1E8EFC5A" w14:textId="47D7E9F6" w:rsidR="00F844E7" w:rsidRPr="00A470FF" w:rsidRDefault="00467704" w:rsidP="00467704">
      <w:pPr>
        <w:pStyle w:val="RegSingleTxtG"/>
        <w:numPr>
          <w:ilvl w:val="0"/>
          <w:numId w:val="0"/>
        </w:numPr>
        <w:tabs>
          <w:tab w:val="left" w:pos="568"/>
        </w:tabs>
        <w:ind w:left="1135"/>
      </w:pPr>
      <w:r w:rsidRPr="00A470FF">
        <w:t>6.</w:t>
      </w:r>
      <w:r w:rsidRPr="00A470FF">
        <w:tab/>
      </w:r>
      <w:r w:rsidR="00F844E7" w:rsidRPr="00A470FF">
        <w:rPr>
          <w:i/>
        </w:rPr>
        <w:t xml:space="preserve">Invites </w:t>
      </w:r>
      <w:r w:rsidR="00F844E7" w:rsidRPr="00A470FF">
        <w:t>Parties to take into account climate risk screening of national development strategies and policies aimed at enhancing livelihoods and economic diversification to enhance climate resilience;</w:t>
      </w:r>
    </w:p>
    <w:p w14:paraId="1E8EFC5B" w14:textId="174B891D" w:rsidR="00F844E7" w:rsidRPr="00A470FF" w:rsidRDefault="00467704" w:rsidP="00467704">
      <w:pPr>
        <w:pStyle w:val="RegSingleTxtG"/>
        <w:numPr>
          <w:ilvl w:val="0"/>
          <w:numId w:val="0"/>
        </w:numPr>
        <w:tabs>
          <w:tab w:val="left" w:pos="568"/>
        </w:tabs>
        <w:ind w:left="1135"/>
      </w:pPr>
      <w:r w:rsidRPr="00A470FF">
        <w:t>7.</w:t>
      </w:r>
      <w:r w:rsidRPr="00A470FF">
        <w:tab/>
      </w:r>
      <w:r w:rsidR="00F844E7" w:rsidRPr="00A470FF">
        <w:rPr>
          <w:i/>
        </w:rPr>
        <w:t xml:space="preserve">Requests </w:t>
      </w:r>
      <w:r w:rsidR="00F844E7" w:rsidRPr="00A470FF">
        <w:t>the Adaptation Committee to further strengthen cooperation with the Standing Committee on Finance and other constituted bodies under the Convention, with a view to enhancing coherence and collaboration regarding adaptation finance as contained in the workplan of the Adaptation Committee referred to in paragraph 2 above;</w:t>
      </w:r>
    </w:p>
    <w:p w14:paraId="1E8EFC5C" w14:textId="265B4AA6" w:rsidR="00F844E7" w:rsidRPr="00A470FF" w:rsidRDefault="00467704" w:rsidP="00467704">
      <w:pPr>
        <w:pStyle w:val="RegSingleTxtG"/>
        <w:numPr>
          <w:ilvl w:val="0"/>
          <w:numId w:val="0"/>
        </w:numPr>
        <w:tabs>
          <w:tab w:val="left" w:pos="568"/>
        </w:tabs>
        <w:ind w:left="1135"/>
      </w:pPr>
      <w:r w:rsidRPr="00A470FF">
        <w:t>8.</w:t>
      </w:r>
      <w:r w:rsidRPr="00A470FF">
        <w:tab/>
      </w:r>
      <w:r w:rsidR="00F844E7" w:rsidRPr="00A470FF">
        <w:rPr>
          <w:i/>
        </w:rPr>
        <w:t xml:space="preserve">Recalls </w:t>
      </w:r>
      <w:r w:rsidR="00F844E7" w:rsidRPr="00A470FF">
        <w:t>decision 4/CP.20</w:t>
      </w:r>
      <w:r w:rsidR="00667461" w:rsidRPr="00A470FF">
        <w:t>,</w:t>
      </w:r>
      <w:r w:rsidR="00F844E7" w:rsidRPr="00A470FF">
        <w:t xml:space="preserve"> which encourages Parties to nominate experts to the Adaptation Committee with a diversity of experience and knowledge relevant to adaptation to climate change, while also taking into account the need to achieve gender balance in accordance with decision 36/CP.7;</w:t>
      </w:r>
    </w:p>
    <w:p w14:paraId="1E8EFC5D" w14:textId="61A231BF" w:rsidR="00F844E7" w:rsidRPr="00A470FF" w:rsidRDefault="00467704" w:rsidP="00467704">
      <w:pPr>
        <w:pStyle w:val="RegSingleTxtG"/>
        <w:numPr>
          <w:ilvl w:val="0"/>
          <w:numId w:val="0"/>
        </w:numPr>
        <w:tabs>
          <w:tab w:val="left" w:pos="568"/>
        </w:tabs>
        <w:ind w:left="1135"/>
      </w:pPr>
      <w:r w:rsidRPr="00A470FF">
        <w:t>9.</w:t>
      </w:r>
      <w:r w:rsidRPr="00A470FF">
        <w:tab/>
      </w:r>
      <w:r w:rsidR="00F844E7" w:rsidRPr="00A470FF">
        <w:rPr>
          <w:i/>
        </w:rPr>
        <w:t xml:space="preserve">Notes </w:t>
      </w:r>
      <w:r w:rsidR="00F844E7" w:rsidRPr="00A470FF">
        <w:t xml:space="preserve">the considerable time requirement that membership of the Adaptation Committee entails; </w:t>
      </w:r>
    </w:p>
    <w:p w14:paraId="1E8EFC5E" w14:textId="083E85DD" w:rsidR="00F844E7" w:rsidRPr="00A470FF" w:rsidRDefault="00467704" w:rsidP="00467704">
      <w:pPr>
        <w:pStyle w:val="RegSingleTxtG"/>
        <w:numPr>
          <w:ilvl w:val="0"/>
          <w:numId w:val="0"/>
        </w:numPr>
        <w:tabs>
          <w:tab w:val="left" w:pos="568"/>
        </w:tabs>
        <w:ind w:left="1135"/>
      </w:pPr>
      <w:r w:rsidRPr="00A470FF">
        <w:t>10.</w:t>
      </w:r>
      <w:r w:rsidRPr="00A470FF">
        <w:tab/>
      </w:r>
      <w:r w:rsidR="00F844E7" w:rsidRPr="00A470FF">
        <w:rPr>
          <w:i/>
        </w:rPr>
        <w:t xml:space="preserve">Reiterates </w:t>
      </w:r>
      <w:r w:rsidR="00F844E7" w:rsidRPr="00A470FF">
        <w:t>its encouragement made to Parties in decision 11/CP.18, paragraph 6, to make available sufficient resources for the successful and timely implementation of the work of the Adaptation Committee;</w:t>
      </w:r>
    </w:p>
    <w:p w14:paraId="1E8EFC5F" w14:textId="7FE4D14D" w:rsidR="00F844E7" w:rsidRPr="00A470FF" w:rsidRDefault="00467704" w:rsidP="00467704">
      <w:pPr>
        <w:pStyle w:val="RegSingleTxtG"/>
        <w:numPr>
          <w:ilvl w:val="0"/>
          <w:numId w:val="0"/>
        </w:numPr>
        <w:tabs>
          <w:tab w:val="left" w:pos="568"/>
        </w:tabs>
        <w:ind w:left="1135"/>
      </w:pPr>
      <w:r w:rsidRPr="00A470FF">
        <w:t>11.</w:t>
      </w:r>
      <w:r w:rsidRPr="00A470FF">
        <w:tab/>
      </w:r>
      <w:r w:rsidR="00F844E7" w:rsidRPr="00A470FF">
        <w:rPr>
          <w:i/>
        </w:rPr>
        <w:t xml:space="preserve">Takes note </w:t>
      </w:r>
      <w:r w:rsidR="00F844E7" w:rsidRPr="00A470FF">
        <w:t>of the estimated budgetary implications of the activities to be undertaken by the secretariat pursuant to the provisions contained in paragraph 2 above;</w:t>
      </w:r>
    </w:p>
    <w:p w14:paraId="1E8EFC60" w14:textId="6CE09C9B" w:rsidR="00F844E7" w:rsidRPr="00A470FF" w:rsidRDefault="00467704" w:rsidP="00467704">
      <w:pPr>
        <w:pStyle w:val="RegSingleTxtG"/>
        <w:numPr>
          <w:ilvl w:val="0"/>
          <w:numId w:val="0"/>
        </w:numPr>
        <w:tabs>
          <w:tab w:val="left" w:pos="568"/>
        </w:tabs>
        <w:ind w:left="1135"/>
      </w:pPr>
      <w:r w:rsidRPr="00A470FF">
        <w:t>12.</w:t>
      </w:r>
      <w:r w:rsidRPr="00A470FF">
        <w:tab/>
      </w:r>
      <w:r w:rsidR="00F844E7" w:rsidRPr="00A470FF">
        <w:rPr>
          <w:i/>
        </w:rPr>
        <w:t xml:space="preserve">Requests </w:t>
      </w:r>
      <w:r w:rsidR="00F844E7" w:rsidRPr="00A470FF">
        <w:t>that the actions of the secretariat called for in this decision be undertaken subject to the availability of financial resources.</w:t>
      </w:r>
    </w:p>
    <w:p w14:paraId="1E8EFC61" w14:textId="77777777" w:rsidR="00F844E7" w:rsidRPr="00A470FF" w:rsidRDefault="00A359FB" w:rsidP="00F844E7">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F844E7" w:rsidRPr="00A470FF">
        <w:rPr>
          <w:i/>
          <w:vertAlign w:val="superscript"/>
          <w:lang w:eastAsia="en-US"/>
        </w:rPr>
        <w:t>th</w:t>
      </w:r>
      <w:r w:rsidR="00F844E7" w:rsidRPr="00A470FF">
        <w:rPr>
          <w:i/>
          <w:lang w:eastAsia="en-US"/>
        </w:rPr>
        <w:t xml:space="preserve"> plenary meeting</w:t>
      </w:r>
    </w:p>
    <w:p w14:paraId="1E8EFC62" w14:textId="77777777" w:rsidR="00F844E7" w:rsidRPr="00A470FF" w:rsidRDefault="00A359FB" w:rsidP="00F844E7">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F844E7" w:rsidRPr="00A470FF">
        <w:rPr>
          <w:i/>
          <w:lang w:eastAsia="en-US"/>
        </w:rPr>
        <w:t xml:space="preserve"> December 2015</w:t>
      </w:r>
    </w:p>
    <w:p w14:paraId="1E8EFC63" w14:textId="77777777" w:rsidR="00F844E7" w:rsidRPr="00A470FF" w:rsidRDefault="00F844E7" w:rsidP="00F844E7">
      <w:pPr>
        <w:sectPr w:rsidR="00F844E7" w:rsidRPr="00A470FF" w:rsidSect="00815DBB">
          <w:headerReference w:type="even" r:id="rId21"/>
          <w:headerReference w:type="default" r:id="rId22"/>
          <w:footerReference w:type="even" r:id="rId23"/>
          <w:footnotePr>
            <w:numRestart w:val="eachSect"/>
          </w:footnotePr>
          <w:pgSz w:w="11906" w:h="16838" w:code="9"/>
          <w:pgMar w:top="1701" w:right="1134" w:bottom="2268" w:left="1134" w:header="1134" w:footer="1701" w:gutter="0"/>
          <w:cols w:space="708"/>
          <w:docGrid w:linePitch="360"/>
        </w:sectPr>
      </w:pPr>
    </w:p>
    <w:p w14:paraId="1E8EFC64" w14:textId="77777777" w:rsidR="00F844E7" w:rsidRPr="00A470FF" w:rsidRDefault="002E694C" w:rsidP="002E694C">
      <w:pPr>
        <w:pStyle w:val="HChG"/>
        <w:ind w:firstLine="0"/>
        <w:rPr>
          <w:bCs/>
        </w:rPr>
      </w:pPr>
      <w:r w:rsidRPr="00A470FF">
        <w:rPr>
          <w:bCs/>
        </w:rPr>
        <w:lastRenderedPageBreak/>
        <w:t xml:space="preserve">Decision </w:t>
      </w:r>
      <w:r w:rsidR="00D35DA3" w:rsidRPr="00A470FF">
        <w:rPr>
          <w:bCs/>
        </w:rPr>
        <w:t>4</w:t>
      </w:r>
      <w:r w:rsidRPr="00A470FF">
        <w:rPr>
          <w:bCs/>
        </w:rPr>
        <w:t>/CP.21</w:t>
      </w:r>
    </w:p>
    <w:p w14:paraId="1E8EFC65" w14:textId="757869B9" w:rsidR="002E694C" w:rsidRPr="00A470FF" w:rsidRDefault="002E694C" w:rsidP="002E694C">
      <w:pPr>
        <w:pStyle w:val="HChG"/>
      </w:pPr>
      <w:r w:rsidRPr="00A470FF">
        <w:tab/>
      </w:r>
      <w:r w:rsidRPr="00A470FF">
        <w:tab/>
        <w:t xml:space="preserve">National </w:t>
      </w:r>
      <w:r w:rsidR="006C2AAF" w:rsidRPr="00A470FF">
        <w:t>a</w:t>
      </w:r>
      <w:r w:rsidRPr="00A470FF">
        <w:t xml:space="preserve">daptation </w:t>
      </w:r>
      <w:r w:rsidR="006C2AAF" w:rsidRPr="00A470FF">
        <w:t>p</w:t>
      </w:r>
      <w:r w:rsidRPr="00A470FF">
        <w:t>lans</w:t>
      </w:r>
    </w:p>
    <w:p w14:paraId="1E8EFC66" w14:textId="77777777" w:rsidR="002E694C" w:rsidRPr="00A470FF" w:rsidRDefault="002E694C" w:rsidP="002E694C">
      <w:pPr>
        <w:pStyle w:val="SingleTxtG"/>
        <w:ind w:firstLine="567"/>
      </w:pPr>
      <w:r w:rsidRPr="00A470FF">
        <w:rPr>
          <w:i/>
        </w:rPr>
        <w:t>The Conference of the Parties</w:t>
      </w:r>
      <w:r w:rsidRPr="00A470FF">
        <w:t>,</w:t>
      </w:r>
    </w:p>
    <w:p w14:paraId="1E8EFC67" w14:textId="77777777" w:rsidR="002E694C" w:rsidRPr="00A470FF" w:rsidRDefault="002E694C" w:rsidP="002E694C">
      <w:pPr>
        <w:pStyle w:val="SingleTxtG"/>
        <w:ind w:firstLine="567"/>
      </w:pPr>
      <w:r w:rsidRPr="00A470FF">
        <w:rPr>
          <w:i/>
        </w:rPr>
        <w:t>Recalling</w:t>
      </w:r>
      <w:r w:rsidRPr="00A470FF">
        <w:t xml:space="preserve"> decisions 1/CP.16, 3/CP.17, 5/CP.17, 12/CP.18, 18/CP.19 and 3/CP.20,</w:t>
      </w:r>
    </w:p>
    <w:p w14:paraId="1E8EFC68" w14:textId="77777777" w:rsidR="002E694C" w:rsidRPr="00A470FF" w:rsidRDefault="002E694C" w:rsidP="002E694C">
      <w:pPr>
        <w:pStyle w:val="SingleTxtG"/>
        <w:ind w:firstLine="567"/>
        <w:rPr>
          <w:iCs/>
        </w:rPr>
      </w:pPr>
      <w:r w:rsidRPr="00A470FF">
        <w:rPr>
          <w:i/>
          <w:iCs/>
        </w:rPr>
        <w:t>Acknowledging</w:t>
      </w:r>
      <w:r w:rsidRPr="00A470FF">
        <w:rPr>
          <w:iCs/>
        </w:rPr>
        <w:t xml:space="preserve"> that the process to formulate and implement national adaptation plans is still in its early stages,</w:t>
      </w:r>
    </w:p>
    <w:p w14:paraId="1E8EFC69" w14:textId="77777777" w:rsidR="002E694C" w:rsidRPr="00A470FF" w:rsidRDefault="002E694C" w:rsidP="002E694C">
      <w:pPr>
        <w:pStyle w:val="SingleTxtG"/>
        <w:ind w:firstLine="567"/>
        <w:rPr>
          <w:iCs/>
        </w:rPr>
      </w:pPr>
      <w:r w:rsidRPr="00A470FF">
        <w:rPr>
          <w:i/>
          <w:iCs/>
        </w:rPr>
        <w:t>Noting with appreciation</w:t>
      </w:r>
      <w:r w:rsidRPr="00A470FF">
        <w:rPr>
          <w:iCs/>
        </w:rPr>
        <w:t xml:space="preserve"> the pledges made by contributing Parties to the Green Climate Fund,</w:t>
      </w:r>
      <w:r w:rsidRPr="00A470FF">
        <w:rPr>
          <w:rStyle w:val="FootnoteReference"/>
          <w:iCs/>
        </w:rPr>
        <w:footnoteReference w:id="6"/>
      </w:r>
    </w:p>
    <w:p w14:paraId="1E8EFC6A" w14:textId="77777777" w:rsidR="002E694C" w:rsidRPr="00A470FF" w:rsidRDefault="002E694C" w:rsidP="002E694C">
      <w:pPr>
        <w:pStyle w:val="SingleTxtG"/>
        <w:ind w:firstLine="567"/>
        <w:rPr>
          <w:iCs/>
        </w:rPr>
      </w:pPr>
      <w:r w:rsidRPr="00A470FF">
        <w:rPr>
          <w:i/>
          <w:iCs/>
        </w:rPr>
        <w:t xml:space="preserve">Noting with concern </w:t>
      </w:r>
      <w:r w:rsidRPr="00A470FF">
        <w:rPr>
          <w:iCs/>
        </w:rPr>
        <w:t>the lack of funding in the Least Developed Countries Fund and the Special Climate Change Fund for the process to formulate and implement national adaptation plans,</w:t>
      </w:r>
    </w:p>
    <w:p w14:paraId="1E8EFC6B" w14:textId="77777777" w:rsidR="002E694C" w:rsidRPr="00A470FF" w:rsidRDefault="002E694C" w:rsidP="002E694C">
      <w:pPr>
        <w:pStyle w:val="SingleTxtG"/>
        <w:ind w:firstLine="567"/>
        <w:rPr>
          <w:iCs/>
        </w:rPr>
      </w:pPr>
      <w:r w:rsidRPr="00A470FF">
        <w:rPr>
          <w:i/>
          <w:iCs/>
        </w:rPr>
        <w:t>Noting with appreciation</w:t>
      </w:r>
      <w:r w:rsidRPr="00A470FF">
        <w:rPr>
          <w:iCs/>
        </w:rPr>
        <w:t xml:space="preserve"> the contributions made by developed country Parties to the Least Developed Countries Fund and the Special Climate Change Fund,</w:t>
      </w:r>
    </w:p>
    <w:p w14:paraId="1E8EFC6C" w14:textId="6CBF2B6A" w:rsidR="002E694C" w:rsidRPr="00A470FF" w:rsidRDefault="002E694C" w:rsidP="002E694C">
      <w:pPr>
        <w:pStyle w:val="SingleTxtG"/>
        <w:ind w:firstLine="567"/>
        <w:rPr>
          <w:iCs/>
        </w:rPr>
      </w:pPr>
      <w:r w:rsidRPr="00A470FF">
        <w:rPr>
          <w:i/>
          <w:iCs/>
        </w:rPr>
        <w:t xml:space="preserve">Emphasizing </w:t>
      </w:r>
      <w:r w:rsidRPr="00A470FF">
        <w:rPr>
          <w:iCs/>
        </w:rPr>
        <w:t>the need to align technical support provided to developing countr</w:t>
      </w:r>
      <w:r w:rsidR="00405C49" w:rsidRPr="00A470FF">
        <w:rPr>
          <w:iCs/>
        </w:rPr>
        <w:t>y</w:t>
      </w:r>
      <w:r w:rsidRPr="00A470FF">
        <w:rPr>
          <w:iCs/>
        </w:rPr>
        <w:t xml:space="preserve"> </w:t>
      </w:r>
      <w:r w:rsidR="00405C49" w:rsidRPr="00A470FF">
        <w:rPr>
          <w:iCs/>
        </w:rPr>
        <w:t xml:space="preserve">Parties </w:t>
      </w:r>
      <w:r w:rsidRPr="00A470FF">
        <w:rPr>
          <w:iCs/>
        </w:rPr>
        <w:t>for the process to formulate and implement national adaptation plans with the principles, terminology and guidelines for the process to formulate and implement national adaptation plans contained in decision 5/CP.17 and subsequent related decisions,</w:t>
      </w:r>
    </w:p>
    <w:p w14:paraId="1E8EFC6D" w14:textId="77777777" w:rsidR="002E694C" w:rsidRPr="00A470FF" w:rsidRDefault="002E694C" w:rsidP="002E694C">
      <w:pPr>
        <w:pStyle w:val="SingleTxtG"/>
        <w:ind w:firstLine="567"/>
        <w:rPr>
          <w:iCs/>
        </w:rPr>
      </w:pPr>
      <w:r w:rsidRPr="00A470FF">
        <w:rPr>
          <w:i/>
          <w:iCs/>
        </w:rPr>
        <w:t xml:space="preserve">Welcoming </w:t>
      </w:r>
      <w:r w:rsidRPr="00A470FF">
        <w:rPr>
          <w:iCs/>
        </w:rPr>
        <w:t>relevant publications of the Adaptation Committee and the Least Developed Countries Expert Group pertaining to the process to formulate and implement national adaptation plans disseminated at this session,</w:t>
      </w:r>
    </w:p>
    <w:p w14:paraId="1E8EFC6E" w14:textId="7CE325B3" w:rsidR="002E694C" w:rsidRPr="00A470FF" w:rsidRDefault="002E694C" w:rsidP="002E694C">
      <w:pPr>
        <w:pStyle w:val="SingleTxtG"/>
        <w:ind w:firstLine="567"/>
      </w:pPr>
      <w:r w:rsidRPr="00A470FF">
        <w:rPr>
          <w:i/>
          <w:iCs/>
        </w:rPr>
        <w:t>Noting</w:t>
      </w:r>
      <w:r w:rsidRPr="00A470FF">
        <w:t xml:space="preserve"> decision B.11/04 of the Board of the Green Climate Fund on the readiness programme implementation (progress report),</w:t>
      </w:r>
      <w:r w:rsidRPr="00A470FF">
        <w:rPr>
          <w:rStyle w:val="FootnoteReference"/>
        </w:rPr>
        <w:footnoteReference w:id="7"/>
      </w:r>
      <w:r w:rsidRPr="00A470FF">
        <w:t xml:space="preserve"> whereby it reaffirms that it may support a voluntary country-driven national adaptation planning process through its readiness and preparatory support programme, in coordination with other programmes and channels,</w:t>
      </w:r>
    </w:p>
    <w:p w14:paraId="1E8EFC6F" w14:textId="4670B51B" w:rsidR="002E694C" w:rsidRPr="00A470FF" w:rsidRDefault="00467704" w:rsidP="00467704">
      <w:pPr>
        <w:pStyle w:val="RegSingleTxtG"/>
        <w:numPr>
          <w:ilvl w:val="0"/>
          <w:numId w:val="0"/>
        </w:numPr>
        <w:tabs>
          <w:tab w:val="left" w:pos="568"/>
        </w:tabs>
        <w:ind w:left="1135"/>
      </w:pPr>
      <w:r w:rsidRPr="00A470FF">
        <w:t>1.</w:t>
      </w:r>
      <w:r w:rsidRPr="00A470FF">
        <w:tab/>
      </w:r>
      <w:r w:rsidR="002E694C" w:rsidRPr="00A470FF">
        <w:rPr>
          <w:i/>
        </w:rPr>
        <w:t>Notes with appreciation</w:t>
      </w:r>
      <w:r w:rsidR="002E694C" w:rsidRPr="00A470FF">
        <w:t xml:space="preserve"> the progress made by developing country Parties in the process to formulate and implement national adaptation plans;</w:t>
      </w:r>
      <w:r w:rsidR="002E694C" w:rsidRPr="00A470FF">
        <w:rPr>
          <w:rStyle w:val="FootnoteReference"/>
          <w:iCs/>
        </w:rPr>
        <w:footnoteReference w:id="8"/>
      </w:r>
    </w:p>
    <w:p w14:paraId="1E8EFC70" w14:textId="6B5C13CE" w:rsidR="002E694C" w:rsidRPr="00A470FF" w:rsidRDefault="00467704" w:rsidP="00467704">
      <w:pPr>
        <w:pStyle w:val="RegSingleTxtG"/>
        <w:numPr>
          <w:ilvl w:val="0"/>
          <w:numId w:val="0"/>
        </w:numPr>
        <w:tabs>
          <w:tab w:val="left" w:pos="568"/>
        </w:tabs>
        <w:ind w:left="1135"/>
        <w:rPr>
          <w:iCs/>
        </w:rPr>
      </w:pPr>
      <w:r w:rsidRPr="00A470FF">
        <w:rPr>
          <w:iCs/>
        </w:rPr>
        <w:t>2.</w:t>
      </w:r>
      <w:r w:rsidRPr="00A470FF">
        <w:rPr>
          <w:iCs/>
        </w:rPr>
        <w:tab/>
      </w:r>
      <w:r w:rsidR="002E694C" w:rsidRPr="00A470FF">
        <w:rPr>
          <w:i/>
          <w:iCs/>
        </w:rPr>
        <w:t xml:space="preserve">Welcomes </w:t>
      </w:r>
      <w:r w:rsidR="002E694C" w:rsidRPr="00A470FF">
        <w:rPr>
          <w:iCs/>
        </w:rPr>
        <w:t>the submission by Burkina Faso and Cameroon of their national adaptation plans through NAP Central</w:t>
      </w:r>
      <w:r w:rsidR="00075E5E" w:rsidRPr="00A470FF">
        <w:rPr>
          <w:iCs/>
        </w:rPr>
        <w:t>,</w:t>
      </w:r>
      <w:r w:rsidR="000303BF" w:rsidRPr="00A470FF">
        <w:rPr>
          <w:rStyle w:val="FootnoteReference"/>
          <w:iCs/>
        </w:rPr>
        <w:footnoteReference w:id="9"/>
      </w:r>
      <w:r w:rsidR="002E694C" w:rsidRPr="00A470FF">
        <w:rPr>
          <w:iCs/>
        </w:rPr>
        <w:t xml:space="preserve"> and </w:t>
      </w:r>
      <w:r w:rsidR="002E694C" w:rsidRPr="00A470FF">
        <w:rPr>
          <w:i/>
          <w:iCs/>
        </w:rPr>
        <w:t>encourages</w:t>
      </w:r>
      <w:r w:rsidR="002E694C" w:rsidRPr="00A470FF">
        <w:rPr>
          <w:iCs/>
        </w:rPr>
        <w:t xml:space="preserve"> other Parties to forward relevant outputs and outcomes related to the process to </w:t>
      </w:r>
      <w:r w:rsidR="002E694C" w:rsidRPr="00A470FF">
        <w:t>formulate</w:t>
      </w:r>
      <w:r w:rsidR="002E694C" w:rsidRPr="00A470FF">
        <w:rPr>
          <w:iCs/>
        </w:rPr>
        <w:t xml:space="preserve"> and implement national adaptation plans to NAP Central as </w:t>
      </w:r>
      <w:r w:rsidR="001B6D32" w:rsidRPr="00A470FF">
        <w:rPr>
          <w:iCs/>
        </w:rPr>
        <w:t xml:space="preserve">they are </w:t>
      </w:r>
      <w:r w:rsidR="002E694C" w:rsidRPr="00A470FF">
        <w:rPr>
          <w:iCs/>
        </w:rPr>
        <w:t xml:space="preserve">invited </w:t>
      </w:r>
      <w:r w:rsidR="0061087E" w:rsidRPr="00A470FF">
        <w:rPr>
          <w:iCs/>
        </w:rPr>
        <w:t xml:space="preserve">to do </w:t>
      </w:r>
      <w:r w:rsidR="002E694C" w:rsidRPr="00A470FF">
        <w:rPr>
          <w:iCs/>
        </w:rPr>
        <w:t>in decision 3/CP.20, paragraph 9;</w:t>
      </w:r>
    </w:p>
    <w:p w14:paraId="1E8EFC71" w14:textId="09AA7520" w:rsidR="002E694C" w:rsidRPr="00A470FF" w:rsidRDefault="00467704" w:rsidP="00467704">
      <w:pPr>
        <w:pStyle w:val="RegSingleTxtG"/>
        <w:numPr>
          <w:ilvl w:val="0"/>
          <w:numId w:val="0"/>
        </w:numPr>
        <w:tabs>
          <w:tab w:val="left" w:pos="568"/>
        </w:tabs>
        <w:ind w:left="1135"/>
        <w:rPr>
          <w:i/>
          <w:iCs/>
        </w:rPr>
      </w:pPr>
      <w:r w:rsidRPr="00A470FF">
        <w:rPr>
          <w:iCs/>
        </w:rPr>
        <w:t>3.</w:t>
      </w:r>
      <w:r w:rsidRPr="00A470FF">
        <w:rPr>
          <w:iCs/>
        </w:rPr>
        <w:tab/>
      </w:r>
      <w:r w:rsidR="002E694C" w:rsidRPr="00A470FF">
        <w:rPr>
          <w:i/>
          <w:iCs/>
        </w:rPr>
        <w:t>Notes</w:t>
      </w:r>
      <w:r w:rsidR="002E694C" w:rsidRPr="00A470FF">
        <w:rPr>
          <w:iCs/>
        </w:rPr>
        <w:t xml:space="preserve"> that gaps and needs remain in </w:t>
      </w:r>
      <w:r w:rsidR="002E694C" w:rsidRPr="00A470FF">
        <w:t>relation</w:t>
      </w:r>
      <w:r w:rsidR="002E694C" w:rsidRPr="00A470FF">
        <w:rPr>
          <w:iCs/>
        </w:rPr>
        <w:t xml:space="preserve"> to the process to formulate and implement national adaptation plans</w:t>
      </w:r>
      <w:r w:rsidR="002E694C" w:rsidRPr="00A470FF">
        <w:rPr>
          <w:i/>
          <w:iCs/>
        </w:rPr>
        <w:t>,</w:t>
      </w:r>
      <w:r w:rsidR="002E694C" w:rsidRPr="00A470FF">
        <w:rPr>
          <w:iCs/>
        </w:rPr>
        <w:t xml:space="preserve"> including in terms of access to financial support, data and reporting;</w:t>
      </w:r>
    </w:p>
    <w:p w14:paraId="1E8EFC72" w14:textId="530BE058" w:rsidR="002E694C" w:rsidRPr="00A470FF" w:rsidRDefault="00467704" w:rsidP="00467704">
      <w:pPr>
        <w:pStyle w:val="RegSingleTxtG"/>
        <w:numPr>
          <w:ilvl w:val="0"/>
          <w:numId w:val="0"/>
        </w:numPr>
        <w:tabs>
          <w:tab w:val="left" w:pos="568"/>
        </w:tabs>
        <w:ind w:left="1135"/>
        <w:rPr>
          <w:i/>
          <w:iCs/>
        </w:rPr>
      </w:pPr>
      <w:r w:rsidRPr="00A470FF">
        <w:rPr>
          <w:iCs/>
        </w:rPr>
        <w:t>4.</w:t>
      </w:r>
      <w:r w:rsidRPr="00A470FF">
        <w:rPr>
          <w:iCs/>
        </w:rPr>
        <w:tab/>
      </w:r>
      <w:r w:rsidR="002E694C" w:rsidRPr="00A470FF">
        <w:rPr>
          <w:i/>
          <w:iCs/>
        </w:rPr>
        <w:t>Acknowledges</w:t>
      </w:r>
      <w:r w:rsidR="002E694C" w:rsidRPr="00A470FF">
        <w:rPr>
          <w:iCs/>
        </w:rPr>
        <w:t xml:space="preserve"> that it is too early to assess how the process to formulate and implement national adaptation plans has </w:t>
      </w:r>
      <w:r w:rsidR="002E694C" w:rsidRPr="00A470FF">
        <w:t>contributed</w:t>
      </w:r>
      <w:r w:rsidR="002E694C" w:rsidRPr="00A470FF">
        <w:rPr>
          <w:iCs/>
        </w:rPr>
        <w:t xml:space="preserve"> towards reducing vulnerability to climate change and that the measures undertaken by countries to date constitute incremental </w:t>
      </w:r>
      <w:r w:rsidR="002E694C" w:rsidRPr="00A470FF">
        <w:rPr>
          <w:iCs/>
        </w:rPr>
        <w:lastRenderedPageBreak/>
        <w:t>steps towards achieving the objectives of the process to formulate and implement national adaptation plans;</w:t>
      </w:r>
    </w:p>
    <w:p w14:paraId="1E8EFC73" w14:textId="00A8492C" w:rsidR="002E694C" w:rsidRPr="00A470FF" w:rsidRDefault="00467704" w:rsidP="00467704">
      <w:pPr>
        <w:pStyle w:val="RegSingleTxtG"/>
        <w:numPr>
          <w:ilvl w:val="0"/>
          <w:numId w:val="0"/>
        </w:numPr>
        <w:tabs>
          <w:tab w:val="left" w:pos="568"/>
        </w:tabs>
        <w:ind w:left="1135"/>
        <w:rPr>
          <w:iCs/>
        </w:rPr>
      </w:pPr>
      <w:r w:rsidRPr="00A470FF">
        <w:rPr>
          <w:iCs/>
        </w:rPr>
        <w:t>5.</w:t>
      </w:r>
      <w:r w:rsidRPr="00A470FF">
        <w:rPr>
          <w:iCs/>
        </w:rPr>
        <w:tab/>
      </w:r>
      <w:r w:rsidR="002E694C" w:rsidRPr="00A470FF">
        <w:rPr>
          <w:i/>
          <w:iCs/>
        </w:rPr>
        <w:t>Notes</w:t>
      </w:r>
      <w:r w:rsidR="002E694C" w:rsidRPr="00A470FF">
        <w:rPr>
          <w:iCs/>
        </w:rPr>
        <w:t xml:space="preserve"> the progress made by some Parties in integrating climate change adaptation into relevant new and existing policies, programmes and activities, in particular development planning processes and strategies within relevant sectors and at different levels of decision-making;</w:t>
      </w:r>
    </w:p>
    <w:p w14:paraId="1E8EFC74" w14:textId="761E3A1C" w:rsidR="002E694C" w:rsidRPr="00A470FF" w:rsidRDefault="00467704" w:rsidP="00467704">
      <w:pPr>
        <w:pStyle w:val="RegSingleTxtG"/>
        <w:numPr>
          <w:ilvl w:val="0"/>
          <w:numId w:val="0"/>
        </w:numPr>
        <w:tabs>
          <w:tab w:val="left" w:pos="568"/>
        </w:tabs>
        <w:ind w:left="1135"/>
        <w:rPr>
          <w:iCs/>
        </w:rPr>
      </w:pPr>
      <w:r w:rsidRPr="00A470FF">
        <w:rPr>
          <w:iCs/>
        </w:rPr>
        <w:t>6.</w:t>
      </w:r>
      <w:r w:rsidRPr="00A470FF">
        <w:rPr>
          <w:iCs/>
        </w:rPr>
        <w:tab/>
      </w:r>
      <w:r w:rsidR="002E694C" w:rsidRPr="00A470FF">
        <w:rPr>
          <w:i/>
          <w:iCs/>
        </w:rPr>
        <w:t xml:space="preserve">Invites </w:t>
      </w:r>
      <w:r w:rsidR="002E694C" w:rsidRPr="00A470FF">
        <w:rPr>
          <w:iCs/>
        </w:rPr>
        <w:t>the Green Climate Fund, as an operating entity of the Financial Mechanism, in accordance with paragraphs 36 and 40 of its governing instrument,</w:t>
      </w:r>
      <w:r w:rsidR="002E694C" w:rsidRPr="00A470FF">
        <w:rPr>
          <w:rStyle w:val="FootnoteReference"/>
          <w:iCs/>
        </w:rPr>
        <w:footnoteReference w:id="10"/>
      </w:r>
      <w:r w:rsidR="002E694C" w:rsidRPr="00A470FF">
        <w:rPr>
          <w:iCs/>
        </w:rPr>
        <w:t xml:space="preserve"> to consider how to improve access to financial support for the process to formulate and implement national adaptation plans;</w:t>
      </w:r>
    </w:p>
    <w:p w14:paraId="1E8EFC75" w14:textId="7447809F" w:rsidR="002E694C" w:rsidRPr="00A470FF" w:rsidRDefault="00467704" w:rsidP="00467704">
      <w:pPr>
        <w:pStyle w:val="RegSingleTxtG"/>
        <w:numPr>
          <w:ilvl w:val="0"/>
          <w:numId w:val="0"/>
        </w:numPr>
        <w:tabs>
          <w:tab w:val="left" w:pos="568"/>
        </w:tabs>
        <w:ind w:left="1135"/>
        <w:rPr>
          <w:iCs/>
        </w:rPr>
      </w:pPr>
      <w:r w:rsidRPr="00A470FF">
        <w:rPr>
          <w:iCs/>
        </w:rPr>
        <w:t>7.</w:t>
      </w:r>
      <w:r w:rsidRPr="00A470FF">
        <w:rPr>
          <w:iCs/>
        </w:rPr>
        <w:tab/>
      </w:r>
      <w:r w:rsidR="002E694C" w:rsidRPr="00A470FF">
        <w:rPr>
          <w:i/>
          <w:iCs/>
        </w:rPr>
        <w:t>Also invites</w:t>
      </w:r>
      <w:r w:rsidR="002E694C" w:rsidRPr="00A470FF">
        <w:rPr>
          <w:iCs/>
        </w:rPr>
        <w:t xml:space="preserve"> developed country Parties to contribute to the Least Developed Countries Fund and the Special Climate Change Fund;</w:t>
      </w:r>
    </w:p>
    <w:p w14:paraId="1E8EFC76" w14:textId="5E1C070E" w:rsidR="002E694C" w:rsidRPr="00A470FF" w:rsidRDefault="00467704" w:rsidP="00467704">
      <w:pPr>
        <w:pStyle w:val="RegSingleTxtG"/>
        <w:numPr>
          <w:ilvl w:val="0"/>
          <w:numId w:val="0"/>
        </w:numPr>
        <w:tabs>
          <w:tab w:val="left" w:pos="568"/>
        </w:tabs>
        <w:ind w:left="1135"/>
        <w:rPr>
          <w:iCs/>
        </w:rPr>
      </w:pPr>
      <w:r w:rsidRPr="00A470FF">
        <w:rPr>
          <w:iCs/>
        </w:rPr>
        <w:t>8.</w:t>
      </w:r>
      <w:r w:rsidRPr="00A470FF">
        <w:rPr>
          <w:iCs/>
        </w:rPr>
        <w:tab/>
      </w:r>
      <w:r w:rsidR="002E694C" w:rsidRPr="00A470FF">
        <w:rPr>
          <w:i/>
          <w:iCs/>
        </w:rPr>
        <w:t>Encourages</w:t>
      </w:r>
      <w:r w:rsidR="002E694C" w:rsidRPr="00A470FF">
        <w:rPr>
          <w:iCs/>
        </w:rPr>
        <w:t xml:space="preserve"> United Nations organizations, specialized, bilateral and multilateral agencies and other relevant organizations to continue their efforts to coordinate support for the process to formulate and implement national adaptation plans;</w:t>
      </w:r>
    </w:p>
    <w:p w14:paraId="1E8EFC77" w14:textId="44A737FF" w:rsidR="002E694C" w:rsidRPr="00A470FF" w:rsidRDefault="00467704" w:rsidP="00467704">
      <w:pPr>
        <w:pStyle w:val="RegSingleTxtG"/>
        <w:numPr>
          <w:ilvl w:val="0"/>
          <w:numId w:val="0"/>
        </w:numPr>
        <w:tabs>
          <w:tab w:val="left" w:pos="568"/>
        </w:tabs>
        <w:ind w:left="1135"/>
        <w:rPr>
          <w:iCs/>
        </w:rPr>
      </w:pPr>
      <w:r w:rsidRPr="00A470FF">
        <w:rPr>
          <w:iCs/>
        </w:rPr>
        <w:t>9.</w:t>
      </w:r>
      <w:r w:rsidRPr="00A470FF">
        <w:rPr>
          <w:iCs/>
        </w:rPr>
        <w:tab/>
      </w:r>
      <w:r w:rsidR="002E694C" w:rsidRPr="00A470FF">
        <w:rPr>
          <w:i/>
          <w:iCs/>
        </w:rPr>
        <w:t>Invites</w:t>
      </w:r>
      <w:r w:rsidR="002E694C" w:rsidRPr="00A470FF">
        <w:rPr>
          <w:iCs/>
        </w:rPr>
        <w:t xml:space="preserve"> United Nations organizations, specialized, bilateral and multilateral agencies and other relevant organizations to consider the gaps and needs, identified in the reports prepared on this matter,</w:t>
      </w:r>
      <w:r w:rsidR="002E694C" w:rsidRPr="00A470FF">
        <w:rPr>
          <w:rStyle w:val="FootnoteReference"/>
          <w:iCs/>
        </w:rPr>
        <w:footnoteReference w:id="11"/>
      </w:r>
      <w:r w:rsidR="002E694C" w:rsidRPr="00A470FF">
        <w:rPr>
          <w:iCs/>
        </w:rPr>
        <w:t xml:space="preserve"> related to the provision of financial and technical support to developing country Parties for the process to formulate and implement national adaptation plans;</w:t>
      </w:r>
    </w:p>
    <w:p w14:paraId="1E8EFC78" w14:textId="2B5DB2F5" w:rsidR="002E694C" w:rsidRPr="00A470FF" w:rsidRDefault="00467704" w:rsidP="00467704">
      <w:pPr>
        <w:pStyle w:val="RegSingleTxtG"/>
        <w:numPr>
          <w:ilvl w:val="0"/>
          <w:numId w:val="0"/>
        </w:numPr>
        <w:tabs>
          <w:tab w:val="left" w:pos="568"/>
        </w:tabs>
        <w:ind w:left="1135"/>
        <w:rPr>
          <w:iCs/>
        </w:rPr>
      </w:pPr>
      <w:r w:rsidRPr="00A470FF">
        <w:rPr>
          <w:iCs/>
        </w:rPr>
        <w:t>10.</w:t>
      </w:r>
      <w:r w:rsidRPr="00A470FF">
        <w:rPr>
          <w:iCs/>
        </w:rPr>
        <w:tab/>
      </w:r>
      <w:r w:rsidR="002E694C" w:rsidRPr="00A470FF">
        <w:rPr>
          <w:i/>
          <w:iCs/>
        </w:rPr>
        <w:t xml:space="preserve">Requests </w:t>
      </w:r>
      <w:r w:rsidR="002E694C" w:rsidRPr="00A470FF">
        <w:rPr>
          <w:iCs/>
        </w:rPr>
        <w:t>the Least Developed Countries Expert Group and the Adaptation Committee to consider how they can provide more information on accessing funding from the Green Climate Fund for the process to formulate and implement national adaptation plans and to include such information, as appropriate, in their reports;</w:t>
      </w:r>
    </w:p>
    <w:p w14:paraId="1E8EFC79" w14:textId="36CE81FE" w:rsidR="002E694C" w:rsidRPr="00A470FF" w:rsidRDefault="00467704" w:rsidP="00467704">
      <w:pPr>
        <w:pStyle w:val="RegSingleTxtG"/>
        <w:numPr>
          <w:ilvl w:val="0"/>
          <w:numId w:val="0"/>
        </w:numPr>
        <w:tabs>
          <w:tab w:val="left" w:pos="568"/>
        </w:tabs>
        <w:ind w:left="1135"/>
        <w:rPr>
          <w:iCs/>
        </w:rPr>
      </w:pPr>
      <w:r w:rsidRPr="00A470FF">
        <w:rPr>
          <w:iCs/>
        </w:rPr>
        <w:t>11.</w:t>
      </w:r>
      <w:r w:rsidRPr="00A470FF">
        <w:rPr>
          <w:iCs/>
        </w:rPr>
        <w:tab/>
      </w:r>
      <w:r w:rsidR="002E694C" w:rsidRPr="00A470FF">
        <w:rPr>
          <w:i/>
          <w:iCs/>
        </w:rPr>
        <w:t xml:space="preserve">Also requests </w:t>
      </w:r>
      <w:r w:rsidR="002E694C" w:rsidRPr="00A470FF">
        <w:rPr>
          <w:iCs/>
        </w:rPr>
        <w:t>the Subsidiary Body for Implementation to assess progress made in the process to formulate and implement national adaptation plans at its forty-eighth session (April–May 2018), with a view to making recommendations thereon to the Conference of the Parties, as appropriate;</w:t>
      </w:r>
    </w:p>
    <w:p w14:paraId="1E8EFC7A" w14:textId="339002F7" w:rsidR="002E694C" w:rsidRPr="00A470FF" w:rsidRDefault="00467704" w:rsidP="00467704">
      <w:pPr>
        <w:pStyle w:val="RegSingleTxtG"/>
        <w:numPr>
          <w:ilvl w:val="0"/>
          <w:numId w:val="0"/>
        </w:numPr>
        <w:tabs>
          <w:tab w:val="left" w:pos="568"/>
        </w:tabs>
        <w:ind w:left="1135"/>
        <w:rPr>
          <w:iCs/>
        </w:rPr>
      </w:pPr>
      <w:r w:rsidRPr="00A470FF">
        <w:rPr>
          <w:iCs/>
        </w:rPr>
        <w:t>12.</w:t>
      </w:r>
      <w:r w:rsidRPr="00A470FF">
        <w:rPr>
          <w:iCs/>
        </w:rPr>
        <w:tab/>
      </w:r>
      <w:r w:rsidR="002E694C" w:rsidRPr="00A470FF">
        <w:rPr>
          <w:i/>
          <w:iCs/>
        </w:rPr>
        <w:t xml:space="preserve">Decides </w:t>
      </w:r>
      <w:r w:rsidR="002E694C" w:rsidRPr="00A470FF">
        <w:rPr>
          <w:iCs/>
        </w:rPr>
        <w:t>on the following actions and steps necessary for the Subsidiary Body for Implementation to initiate the assessment referred to in paragraph 11 above:</w:t>
      </w:r>
    </w:p>
    <w:p w14:paraId="1E8EFC7B" w14:textId="1ED38487" w:rsidR="002E694C" w:rsidRPr="00A470FF" w:rsidRDefault="00467704" w:rsidP="00467704">
      <w:pPr>
        <w:pStyle w:val="RegSingleTxtG"/>
        <w:numPr>
          <w:ilvl w:val="0"/>
          <w:numId w:val="0"/>
        </w:numPr>
        <w:tabs>
          <w:tab w:val="left" w:pos="2269"/>
        </w:tabs>
        <w:ind w:left="1135" w:firstLine="567"/>
        <w:rPr>
          <w:iCs/>
        </w:rPr>
      </w:pPr>
      <w:r w:rsidRPr="00A470FF">
        <w:rPr>
          <w:iCs/>
        </w:rPr>
        <w:t>(a)</w:t>
      </w:r>
      <w:r w:rsidRPr="00A470FF">
        <w:rPr>
          <w:iCs/>
        </w:rPr>
        <w:tab/>
      </w:r>
      <w:r w:rsidR="002E694C" w:rsidRPr="00A470FF">
        <w:rPr>
          <w:iCs/>
        </w:rPr>
        <w:t>To invite Parties and relevant organizations to submit to the secretariat, by 1 February 2018, information on their progress made towards the achievement of the objectives of the process to formulate and implement national adaptation plans, experiences, best practices, lessons learned, gaps and needs, and support provided and received in the process to formulate and implement national adaptation plans;</w:t>
      </w:r>
    </w:p>
    <w:p w14:paraId="1E8EFC7C" w14:textId="52158671" w:rsidR="002E694C" w:rsidRPr="00A470FF" w:rsidRDefault="00467704" w:rsidP="00467704">
      <w:pPr>
        <w:pStyle w:val="RegSingleTxtG"/>
        <w:numPr>
          <w:ilvl w:val="0"/>
          <w:numId w:val="0"/>
        </w:numPr>
        <w:tabs>
          <w:tab w:val="left" w:pos="2269"/>
        </w:tabs>
        <w:ind w:left="1135" w:firstLine="567"/>
        <w:rPr>
          <w:iCs/>
        </w:rPr>
      </w:pPr>
      <w:r w:rsidRPr="00A470FF">
        <w:rPr>
          <w:iCs/>
        </w:rPr>
        <w:t>(b)</w:t>
      </w:r>
      <w:r w:rsidRPr="00A470FF">
        <w:rPr>
          <w:iCs/>
        </w:rPr>
        <w:tab/>
      </w:r>
      <w:r w:rsidR="002E694C" w:rsidRPr="00A470FF">
        <w:rPr>
          <w:iCs/>
        </w:rPr>
        <w:t>To invite Parties to provide information, guided by a questionnaire,</w:t>
      </w:r>
      <w:r w:rsidR="002E694C" w:rsidRPr="00A470FF">
        <w:rPr>
          <w:rStyle w:val="FootnoteReference"/>
          <w:iCs/>
        </w:rPr>
        <w:footnoteReference w:id="12"/>
      </w:r>
      <w:r w:rsidR="002E694C" w:rsidRPr="00A470FF">
        <w:rPr>
          <w:iCs/>
        </w:rPr>
        <w:t xml:space="preserve"> on an ongoing basis through NAP Central;</w:t>
      </w:r>
    </w:p>
    <w:p w14:paraId="1E8EFC7D" w14:textId="42550109" w:rsidR="002E694C" w:rsidRPr="00A470FF" w:rsidRDefault="00467704" w:rsidP="00467704">
      <w:pPr>
        <w:pStyle w:val="RegSingleTxtG"/>
        <w:numPr>
          <w:ilvl w:val="0"/>
          <w:numId w:val="0"/>
        </w:numPr>
        <w:tabs>
          <w:tab w:val="left" w:pos="2269"/>
        </w:tabs>
        <w:ind w:left="1135" w:firstLine="567"/>
        <w:rPr>
          <w:iCs/>
        </w:rPr>
      </w:pPr>
      <w:r w:rsidRPr="00A470FF">
        <w:rPr>
          <w:iCs/>
        </w:rPr>
        <w:t>(c)</w:t>
      </w:r>
      <w:r w:rsidRPr="00A470FF">
        <w:rPr>
          <w:iCs/>
        </w:rPr>
        <w:tab/>
      </w:r>
      <w:r w:rsidR="002E694C" w:rsidRPr="00A470FF">
        <w:rPr>
          <w:iCs/>
        </w:rPr>
        <w:t>To request the secretariat to prepare a synthesis report on the progress made towards the achievement of the objectives of the process to formulate and implement national adaptation plans, experiences, best practices, lessons learned, gaps and needs, and support provided and received in the process to formulate and implement national adaptation plans, taking into account information contained in national reports under the Convention, the information referred to in paragraph</w:t>
      </w:r>
      <w:r w:rsidR="005B239E" w:rsidRPr="00A470FF">
        <w:rPr>
          <w:iCs/>
        </w:rPr>
        <w:t>s</w:t>
      </w:r>
      <w:r w:rsidR="002E694C" w:rsidRPr="00A470FF">
        <w:rPr>
          <w:iCs/>
        </w:rPr>
        <w:t xml:space="preserve"> 12(a) and (b) above, information </w:t>
      </w:r>
      <w:r w:rsidR="002E694C" w:rsidRPr="00A470FF">
        <w:rPr>
          <w:iCs/>
        </w:rPr>
        <w:lastRenderedPageBreak/>
        <w:t>from relevant events, including the NAP Expos, and information from other relevant sources;</w:t>
      </w:r>
    </w:p>
    <w:p w14:paraId="1E8EFC7E" w14:textId="4B8EDA2E" w:rsidR="002E694C" w:rsidRPr="00A470FF" w:rsidRDefault="00467704" w:rsidP="00467704">
      <w:pPr>
        <w:pStyle w:val="RegSingleTxtG"/>
        <w:numPr>
          <w:ilvl w:val="0"/>
          <w:numId w:val="0"/>
        </w:numPr>
        <w:tabs>
          <w:tab w:val="left" w:pos="2269"/>
        </w:tabs>
        <w:ind w:left="1135" w:firstLine="567"/>
        <w:rPr>
          <w:iCs/>
        </w:rPr>
      </w:pPr>
      <w:r w:rsidRPr="00A470FF">
        <w:rPr>
          <w:iCs/>
        </w:rPr>
        <w:t>(d)</w:t>
      </w:r>
      <w:r w:rsidRPr="00A470FF">
        <w:rPr>
          <w:iCs/>
        </w:rPr>
        <w:tab/>
      </w:r>
      <w:r w:rsidR="002E694C" w:rsidRPr="00A470FF">
        <w:rPr>
          <w:iCs/>
        </w:rPr>
        <w:t>To request the Least Developed Countries Expert Group, in collaboration with the Adaptation Committee, to organize a meeting of Party experts, at which the report referred to in paragraph 12(c) above would be considered, with a view to providing a summary of progress made in the process to formulate and implement national adaptation plans;</w:t>
      </w:r>
    </w:p>
    <w:p w14:paraId="1E8EFC7F" w14:textId="59131163" w:rsidR="002E694C" w:rsidRPr="00A470FF" w:rsidRDefault="00467704" w:rsidP="00467704">
      <w:pPr>
        <w:pStyle w:val="RegSingleTxtG"/>
        <w:numPr>
          <w:ilvl w:val="0"/>
          <w:numId w:val="0"/>
        </w:numPr>
        <w:tabs>
          <w:tab w:val="left" w:pos="2269"/>
        </w:tabs>
        <w:ind w:left="1135" w:firstLine="567"/>
        <w:rPr>
          <w:iCs/>
        </w:rPr>
      </w:pPr>
      <w:r w:rsidRPr="00A470FF">
        <w:rPr>
          <w:iCs/>
        </w:rPr>
        <w:t>(e)</w:t>
      </w:r>
      <w:r w:rsidRPr="00A470FF">
        <w:rPr>
          <w:iCs/>
        </w:rPr>
        <w:tab/>
      </w:r>
      <w:r w:rsidR="002E694C" w:rsidRPr="00A470FF">
        <w:rPr>
          <w:iCs/>
        </w:rPr>
        <w:t>To request the Least Developed Countries Expert Group, in collaboration with the Adaptation Committee and with the support of the secretariat, to prepare a report on the meeting referred to in paragraph 12(d) above, for consideration by the Subsidiary Body for Implementation at its forty-eighth session in its assessment of progress made in the process to formulate and implement national adaptation plans;</w:t>
      </w:r>
    </w:p>
    <w:p w14:paraId="1E8EFC80" w14:textId="1A12AA11" w:rsidR="002E694C" w:rsidRPr="00A470FF" w:rsidRDefault="00467704" w:rsidP="00467704">
      <w:pPr>
        <w:pStyle w:val="RegSingleTxtG"/>
        <w:numPr>
          <w:ilvl w:val="0"/>
          <w:numId w:val="0"/>
        </w:numPr>
        <w:tabs>
          <w:tab w:val="left" w:pos="568"/>
        </w:tabs>
        <w:ind w:left="1135"/>
        <w:rPr>
          <w:iCs/>
        </w:rPr>
      </w:pPr>
      <w:r w:rsidRPr="00A470FF">
        <w:rPr>
          <w:iCs/>
        </w:rPr>
        <w:t>13.</w:t>
      </w:r>
      <w:r w:rsidRPr="00A470FF">
        <w:rPr>
          <w:iCs/>
        </w:rPr>
        <w:tab/>
      </w:r>
      <w:r w:rsidR="002E694C" w:rsidRPr="00A470FF">
        <w:rPr>
          <w:i/>
          <w:iCs/>
        </w:rPr>
        <w:t>Also decides</w:t>
      </w:r>
      <w:r w:rsidR="002E694C" w:rsidRPr="00A470FF">
        <w:rPr>
          <w:iCs/>
        </w:rPr>
        <w:t xml:space="preserve"> that the assessment referred to in paragraph 11 above should take into account all the guiding principles of the process to formulate and implement national adaptation plans contained in decision 5/CP.17, paragraph 3;</w:t>
      </w:r>
    </w:p>
    <w:p w14:paraId="4FD0B31B" w14:textId="63ADB557" w:rsidR="000303BF" w:rsidRPr="00A470FF" w:rsidRDefault="00467704" w:rsidP="00467704">
      <w:pPr>
        <w:pStyle w:val="RegSingleTxtG"/>
        <w:numPr>
          <w:ilvl w:val="0"/>
          <w:numId w:val="0"/>
        </w:numPr>
        <w:tabs>
          <w:tab w:val="left" w:pos="568"/>
        </w:tabs>
        <w:ind w:left="1135"/>
        <w:rPr>
          <w:i/>
        </w:rPr>
      </w:pPr>
      <w:r w:rsidRPr="00A470FF">
        <w:t>14.</w:t>
      </w:r>
      <w:r w:rsidRPr="00A470FF">
        <w:tab/>
      </w:r>
      <w:r w:rsidR="000303BF" w:rsidRPr="00A470FF">
        <w:rPr>
          <w:i/>
        </w:rPr>
        <w:t xml:space="preserve">Takes note </w:t>
      </w:r>
      <w:r w:rsidR="000303BF" w:rsidRPr="00A470FF">
        <w:t>of the estimated budgetary implications of the activities to be undertaken by the secretariat pursuant to the provisions contained in paragraph 12 above</w:t>
      </w:r>
      <w:r w:rsidR="00075E5E" w:rsidRPr="00A470FF">
        <w:t>;</w:t>
      </w:r>
    </w:p>
    <w:p w14:paraId="1E8EFC81" w14:textId="1114BD45" w:rsidR="002E694C" w:rsidRPr="00A470FF" w:rsidRDefault="00467704" w:rsidP="00467704">
      <w:pPr>
        <w:pStyle w:val="RegSingleTxtG"/>
        <w:numPr>
          <w:ilvl w:val="0"/>
          <w:numId w:val="0"/>
        </w:numPr>
        <w:tabs>
          <w:tab w:val="left" w:pos="568"/>
        </w:tabs>
        <w:ind w:left="1135"/>
      </w:pPr>
      <w:r w:rsidRPr="00A470FF">
        <w:t>15.</w:t>
      </w:r>
      <w:r w:rsidRPr="00A470FF">
        <w:tab/>
      </w:r>
      <w:r w:rsidR="002E694C" w:rsidRPr="00A470FF">
        <w:rPr>
          <w:i/>
          <w:iCs/>
        </w:rPr>
        <w:t>Requests</w:t>
      </w:r>
      <w:r w:rsidR="002E694C" w:rsidRPr="00A470FF">
        <w:rPr>
          <w:iCs/>
        </w:rPr>
        <w:t xml:space="preserve"> that the actions of the secretariat called for in this decision be undertaken subject to the availability of financial resources</w:t>
      </w:r>
      <w:r w:rsidR="002E694C" w:rsidRPr="00A470FF">
        <w:rPr>
          <w:szCs w:val="22"/>
        </w:rPr>
        <w:t>.</w:t>
      </w:r>
    </w:p>
    <w:p w14:paraId="1E8EFC82" w14:textId="77777777" w:rsidR="002E694C" w:rsidRPr="00A470FF" w:rsidRDefault="00A359FB" w:rsidP="002E694C">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2E694C" w:rsidRPr="00A470FF">
        <w:rPr>
          <w:i/>
          <w:vertAlign w:val="superscript"/>
          <w:lang w:eastAsia="en-US"/>
        </w:rPr>
        <w:t>th</w:t>
      </w:r>
      <w:r w:rsidR="002E694C" w:rsidRPr="00A470FF">
        <w:rPr>
          <w:i/>
          <w:lang w:eastAsia="en-US"/>
        </w:rPr>
        <w:t xml:space="preserve"> plenary meeting</w:t>
      </w:r>
    </w:p>
    <w:p w14:paraId="1E8EFC83" w14:textId="77777777" w:rsidR="002E694C" w:rsidRPr="00A470FF" w:rsidRDefault="00A359FB" w:rsidP="002E694C">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2E694C" w:rsidRPr="00A470FF">
        <w:rPr>
          <w:i/>
          <w:lang w:eastAsia="en-US"/>
        </w:rPr>
        <w:t xml:space="preserve"> December 2015</w:t>
      </w:r>
    </w:p>
    <w:p w14:paraId="1E8EFC84" w14:textId="77777777" w:rsidR="002E694C" w:rsidRPr="00A470FF" w:rsidRDefault="002E694C" w:rsidP="002E694C">
      <w:pPr>
        <w:sectPr w:rsidR="002E694C" w:rsidRPr="00A470FF" w:rsidSect="00815DBB">
          <w:headerReference w:type="even" r:id="rId24"/>
          <w:headerReference w:type="default" r:id="rId25"/>
          <w:footerReference w:type="even" r:id="rId26"/>
          <w:footerReference w:type="default" r:id="rId27"/>
          <w:footnotePr>
            <w:numRestart w:val="eachSect"/>
          </w:footnotePr>
          <w:pgSz w:w="11906" w:h="16838" w:code="9"/>
          <w:pgMar w:top="1701" w:right="1134" w:bottom="2268" w:left="1134" w:header="1134" w:footer="1701" w:gutter="0"/>
          <w:cols w:space="708"/>
          <w:docGrid w:linePitch="360"/>
        </w:sectPr>
      </w:pPr>
    </w:p>
    <w:p w14:paraId="1E8EFC85" w14:textId="77777777" w:rsidR="002E694C" w:rsidRPr="00A470FF" w:rsidRDefault="00AA552D" w:rsidP="00AA552D">
      <w:pPr>
        <w:pStyle w:val="HChG"/>
        <w:ind w:firstLine="0"/>
        <w:rPr>
          <w:bCs/>
        </w:rPr>
      </w:pPr>
      <w:r w:rsidRPr="00A470FF">
        <w:rPr>
          <w:bCs/>
        </w:rPr>
        <w:lastRenderedPageBreak/>
        <w:t xml:space="preserve">Decision </w:t>
      </w:r>
      <w:r w:rsidR="00D35DA3" w:rsidRPr="00A470FF">
        <w:rPr>
          <w:bCs/>
        </w:rPr>
        <w:t>5</w:t>
      </w:r>
      <w:r w:rsidRPr="00A470FF">
        <w:rPr>
          <w:bCs/>
        </w:rPr>
        <w:t>/CP.21</w:t>
      </w:r>
    </w:p>
    <w:p w14:paraId="1E8EFC86" w14:textId="77777777" w:rsidR="00AA552D" w:rsidRPr="00A470FF" w:rsidRDefault="00AA552D" w:rsidP="00AA552D">
      <w:pPr>
        <w:pStyle w:val="HChG"/>
      </w:pPr>
      <w:r w:rsidRPr="00A470FF">
        <w:tab/>
      </w:r>
      <w:r w:rsidRPr="00A470FF">
        <w:tab/>
        <w:t>Long-term climate finance</w:t>
      </w:r>
    </w:p>
    <w:p w14:paraId="1E8EFC87" w14:textId="77777777" w:rsidR="003E0A8A" w:rsidRPr="00A470FF" w:rsidRDefault="003E0A8A" w:rsidP="003E0A8A">
      <w:pPr>
        <w:spacing w:before="120"/>
        <w:ind w:left="1134" w:right="1174" w:firstLine="567"/>
        <w:rPr>
          <w:lang w:eastAsia="ko-KR"/>
        </w:rPr>
      </w:pPr>
      <w:r w:rsidRPr="00A470FF">
        <w:rPr>
          <w:i/>
        </w:rPr>
        <w:t>The Conference of the Parties</w:t>
      </w:r>
      <w:r w:rsidRPr="00A470FF">
        <w:t>,</w:t>
      </w:r>
    </w:p>
    <w:p w14:paraId="1E8EFC88" w14:textId="77777777" w:rsidR="003E0A8A" w:rsidRPr="00A470FF" w:rsidRDefault="003E0A8A" w:rsidP="003E0A8A">
      <w:pPr>
        <w:spacing w:before="120"/>
        <w:ind w:left="1134" w:right="1174" w:firstLine="567"/>
        <w:rPr>
          <w:lang w:eastAsia="en-US"/>
        </w:rPr>
      </w:pPr>
      <w:r w:rsidRPr="00A470FF">
        <w:rPr>
          <w:i/>
        </w:rPr>
        <w:t>Recalling</w:t>
      </w:r>
      <w:r w:rsidRPr="00A470FF">
        <w:t xml:space="preserve"> Articles 4 and 11 of the Convention,</w:t>
      </w:r>
      <w:r w:rsidRPr="00A470FF">
        <w:rPr>
          <w:lang w:eastAsia="ko-KR"/>
        </w:rPr>
        <w:t xml:space="preserve"> </w:t>
      </w:r>
    </w:p>
    <w:p w14:paraId="1E8EFC89" w14:textId="77777777" w:rsidR="003E0A8A" w:rsidRPr="00A470FF" w:rsidRDefault="003E0A8A" w:rsidP="003E0A8A">
      <w:pPr>
        <w:spacing w:before="120"/>
        <w:ind w:left="1134" w:right="1174" w:firstLine="567"/>
        <w:jc w:val="both"/>
        <w:rPr>
          <w:rFonts w:eastAsia="Batang"/>
        </w:rPr>
      </w:pPr>
      <w:r w:rsidRPr="00A470FF">
        <w:rPr>
          <w:rFonts w:eastAsia="Batang"/>
          <w:i/>
        </w:rPr>
        <w:t>Also recalling</w:t>
      </w:r>
      <w:r w:rsidRPr="00A470FF">
        <w:rPr>
          <w:rFonts w:eastAsia="Batang"/>
        </w:rPr>
        <w:t xml:space="preserve"> decision 1/CP.16, paragraphs 2, 4 and 97–101, as well as decisions 1/CP.17, 2/CP.17, paragraphs 126–132, 4/CP.18, 3/CP.19 and 5/CP.20, </w:t>
      </w:r>
    </w:p>
    <w:p w14:paraId="1E8EFC8A" w14:textId="4378EC79" w:rsidR="003E0A8A" w:rsidRPr="00A470FF" w:rsidRDefault="00467704" w:rsidP="00467704">
      <w:pPr>
        <w:pStyle w:val="RegSingleTxtG"/>
        <w:numPr>
          <w:ilvl w:val="0"/>
          <w:numId w:val="0"/>
        </w:numPr>
        <w:tabs>
          <w:tab w:val="left" w:pos="568"/>
        </w:tabs>
        <w:spacing w:before="120"/>
        <w:ind w:left="1135"/>
        <w:rPr>
          <w:rFonts w:eastAsia="Batang"/>
        </w:rPr>
      </w:pPr>
      <w:r w:rsidRPr="00A470FF">
        <w:rPr>
          <w:rFonts w:eastAsia="Batang"/>
        </w:rPr>
        <w:t>1.</w:t>
      </w:r>
      <w:r w:rsidRPr="00A470FF">
        <w:rPr>
          <w:rFonts w:eastAsia="Batang"/>
        </w:rPr>
        <w:tab/>
      </w:r>
      <w:r w:rsidR="003E0A8A" w:rsidRPr="00A470FF">
        <w:rPr>
          <w:rFonts w:eastAsia="Batang"/>
          <w:i/>
        </w:rPr>
        <w:t xml:space="preserve">Welcomes with appreciation </w:t>
      </w:r>
      <w:r w:rsidR="003E0A8A" w:rsidRPr="00A470FF">
        <w:rPr>
          <w:rFonts w:eastAsia="Batang"/>
        </w:rPr>
        <w:t>the pledges and announcements and progress made towards reaching the goal of jointly mobilizing USD 100 billion annually by 2020 by developed country Parties, in accordance with decision 1/CP.16, including financial contributions made to the Green Climate Fund, the Least Developed Countries Fund and the Adaptation Fund, providing further clarity to and predictability of public climate finance flows from 2015 to 2020;</w:t>
      </w:r>
      <w:r w:rsidR="003E0A8A" w:rsidRPr="00A470FF">
        <w:rPr>
          <w:rStyle w:val="FootnoteReference"/>
          <w:rFonts w:eastAsia="Batang"/>
        </w:rPr>
        <w:footnoteReference w:id="13"/>
      </w:r>
    </w:p>
    <w:p w14:paraId="1E8EFC8B" w14:textId="61B6F8F0" w:rsidR="003E0A8A" w:rsidRPr="00A470FF" w:rsidRDefault="00467704" w:rsidP="00467704">
      <w:pPr>
        <w:pStyle w:val="RegSingleTxtG"/>
        <w:numPr>
          <w:ilvl w:val="0"/>
          <w:numId w:val="0"/>
        </w:numPr>
        <w:tabs>
          <w:tab w:val="left" w:pos="568"/>
        </w:tabs>
        <w:spacing w:before="120"/>
        <w:ind w:left="1134"/>
        <w:rPr>
          <w:rFonts w:eastAsia="Batang"/>
        </w:rPr>
      </w:pPr>
      <w:r w:rsidRPr="00A470FF">
        <w:rPr>
          <w:rFonts w:eastAsia="Batang"/>
        </w:rPr>
        <w:t>2.</w:t>
      </w:r>
      <w:r w:rsidRPr="00A470FF">
        <w:rPr>
          <w:rFonts w:eastAsia="Batang"/>
        </w:rPr>
        <w:tab/>
      </w:r>
      <w:r w:rsidR="003E0A8A" w:rsidRPr="00A470FF">
        <w:rPr>
          <w:rFonts w:eastAsia="Batang"/>
          <w:i/>
        </w:rPr>
        <w:t>Urges</w:t>
      </w:r>
      <w:r w:rsidR="003E0A8A" w:rsidRPr="00A470FF">
        <w:rPr>
          <w:rFonts w:eastAsia="Batang"/>
        </w:rPr>
        <w:t xml:space="preserve"> developed country Parties to continue efforts to channel a substantial share of public climate funds to adaptation activities and to strive to achieve a greater balance between finance for mitigation and adaptation, recognizing the importance of adaptation finance;</w:t>
      </w:r>
    </w:p>
    <w:p w14:paraId="1E8EFC8C" w14:textId="3806389F" w:rsidR="003E0A8A" w:rsidRPr="00A470FF" w:rsidRDefault="00467704" w:rsidP="00467704">
      <w:pPr>
        <w:pStyle w:val="RegSingleTxtG"/>
        <w:numPr>
          <w:ilvl w:val="0"/>
          <w:numId w:val="0"/>
        </w:numPr>
        <w:tabs>
          <w:tab w:val="left" w:pos="568"/>
        </w:tabs>
        <w:spacing w:before="120"/>
        <w:ind w:left="1134"/>
        <w:rPr>
          <w:rFonts w:eastAsia="Batang"/>
        </w:rPr>
      </w:pPr>
      <w:r w:rsidRPr="00A470FF">
        <w:rPr>
          <w:rFonts w:eastAsia="Batang"/>
        </w:rPr>
        <w:t>3.</w:t>
      </w:r>
      <w:r w:rsidRPr="00A470FF">
        <w:rPr>
          <w:rFonts w:eastAsia="Batang"/>
        </w:rPr>
        <w:tab/>
      </w:r>
      <w:r w:rsidR="003E0A8A" w:rsidRPr="00A470FF">
        <w:rPr>
          <w:rFonts w:eastAsia="Batang"/>
          <w:i/>
        </w:rPr>
        <w:t xml:space="preserve">Takes note with appreciation </w:t>
      </w:r>
      <w:r w:rsidR="003E0A8A" w:rsidRPr="00A470FF">
        <w:rPr>
          <w:rFonts w:eastAsia="Batang"/>
        </w:rPr>
        <w:t>of the summary report on the in-session workshop on long-term climate finance held in 2015;</w:t>
      </w:r>
      <w:r w:rsidR="003E0A8A" w:rsidRPr="00A470FF">
        <w:rPr>
          <w:rStyle w:val="FootnoteReference"/>
          <w:rFonts w:eastAsia="Batang"/>
        </w:rPr>
        <w:footnoteReference w:id="14"/>
      </w:r>
    </w:p>
    <w:p w14:paraId="1E8EFC8D" w14:textId="696DE565" w:rsidR="003E0A8A" w:rsidRPr="00A470FF" w:rsidRDefault="00467704" w:rsidP="00467704">
      <w:pPr>
        <w:pStyle w:val="RegSingleTxtG"/>
        <w:numPr>
          <w:ilvl w:val="0"/>
          <w:numId w:val="0"/>
        </w:numPr>
        <w:tabs>
          <w:tab w:val="left" w:pos="568"/>
        </w:tabs>
        <w:spacing w:before="120"/>
        <w:ind w:left="1134"/>
        <w:rPr>
          <w:rFonts w:eastAsia="Batang"/>
        </w:rPr>
      </w:pPr>
      <w:r w:rsidRPr="00A470FF">
        <w:rPr>
          <w:rFonts w:eastAsia="Batang"/>
        </w:rPr>
        <w:t>4.</w:t>
      </w:r>
      <w:r w:rsidRPr="00A470FF">
        <w:rPr>
          <w:rFonts w:eastAsia="Batang"/>
        </w:rPr>
        <w:tab/>
      </w:r>
      <w:r w:rsidR="003E0A8A" w:rsidRPr="00A470FF">
        <w:rPr>
          <w:rFonts w:eastAsia="Batang"/>
          <w:i/>
        </w:rPr>
        <w:t>Decides</w:t>
      </w:r>
      <w:r w:rsidR="003E0A8A" w:rsidRPr="00A470FF">
        <w:rPr>
          <w:rFonts w:eastAsia="Batang"/>
        </w:rPr>
        <w:t xml:space="preserve"> that the second biennial high-level ministerial dialogue on climate finance, to be convened in accordance with decision 3/CP.19, will focus on the issues of adaptation finance, needs for support to developing country Parties</w:t>
      </w:r>
      <w:r w:rsidR="004F27E7" w:rsidRPr="00A470FF">
        <w:rPr>
          <w:rFonts w:eastAsia="Batang"/>
        </w:rPr>
        <w:t>,</w:t>
      </w:r>
      <w:r w:rsidR="003E0A8A" w:rsidRPr="00A470FF">
        <w:rPr>
          <w:rFonts w:eastAsia="Batang"/>
        </w:rPr>
        <w:t xml:space="preserve"> and cooperation on enhanced enabling environments and support for readiness activities, and that it will be informed by the report of the in-session workshop </w:t>
      </w:r>
      <w:r w:rsidR="004F27E7" w:rsidRPr="00A470FF">
        <w:rPr>
          <w:rFonts w:eastAsia="Batang"/>
        </w:rPr>
        <w:t xml:space="preserve">on long-term climate finance </w:t>
      </w:r>
      <w:r w:rsidR="003E0A8A" w:rsidRPr="00A470FF">
        <w:rPr>
          <w:rFonts w:eastAsia="Batang"/>
        </w:rPr>
        <w:t>in 2016 and the second biennial assessment and overview of climate finance flows;</w:t>
      </w:r>
    </w:p>
    <w:p w14:paraId="1E8EFC8E" w14:textId="48C284CF" w:rsidR="003E0A8A" w:rsidRPr="00A470FF" w:rsidRDefault="00467704" w:rsidP="00467704">
      <w:pPr>
        <w:pStyle w:val="RegSingleTxtG"/>
        <w:numPr>
          <w:ilvl w:val="0"/>
          <w:numId w:val="0"/>
        </w:numPr>
        <w:tabs>
          <w:tab w:val="left" w:pos="568"/>
        </w:tabs>
        <w:spacing w:before="120"/>
        <w:ind w:left="1134"/>
        <w:rPr>
          <w:rFonts w:eastAsia="Batang"/>
        </w:rPr>
      </w:pPr>
      <w:r w:rsidRPr="00A470FF">
        <w:rPr>
          <w:rFonts w:eastAsia="Batang"/>
        </w:rPr>
        <w:t>5.</w:t>
      </w:r>
      <w:r w:rsidRPr="00A470FF">
        <w:rPr>
          <w:rFonts w:eastAsia="Batang"/>
        </w:rPr>
        <w:tab/>
      </w:r>
      <w:r w:rsidR="003E0A8A" w:rsidRPr="00A470FF">
        <w:rPr>
          <w:rFonts w:eastAsia="Batang"/>
          <w:i/>
        </w:rPr>
        <w:t>Requests</w:t>
      </w:r>
      <w:r w:rsidR="003E0A8A" w:rsidRPr="00A470FF">
        <w:rPr>
          <w:rFonts w:eastAsia="Batang"/>
        </w:rPr>
        <w:t xml:space="preserve"> the Presidency of the Conference of the Parties, with the support of the secretariat, to prepare a summary of the second biennial high-level ministerial dialogue on climate finance for consideration by the Conference of the Parties at its twenty-third session (November 2017).</w:t>
      </w:r>
    </w:p>
    <w:p w14:paraId="1E8EFC8F"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vertAlign w:val="superscript"/>
          <w:lang w:eastAsia="en-US"/>
        </w:rPr>
        <w:t>th</w:t>
      </w:r>
      <w:r w:rsidR="00AA552D" w:rsidRPr="00A470FF">
        <w:rPr>
          <w:i/>
          <w:lang w:eastAsia="en-US"/>
        </w:rPr>
        <w:t xml:space="preserve"> plenary meeting</w:t>
      </w:r>
    </w:p>
    <w:p w14:paraId="1E8EFC90"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lang w:eastAsia="en-US"/>
        </w:rPr>
        <w:t xml:space="preserve"> December 2015</w:t>
      </w:r>
    </w:p>
    <w:p w14:paraId="1E8EFC91" w14:textId="77777777" w:rsidR="00AA552D" w:rsidRPr="00A470FF" w:rsidRDefault="00AA552D" w:rsidP="00AA552D">
      <w:pPr>
        <w:sectPr w:rsidR="00AA552D" w:rsidRPr="00A470FF" w:rsidSect="00815DBB">
          <w:headerReference w:type="even" r:id="rId28"/>
          <w:footerReference w:type="even" r:id="rId29"/>
          <w:footnotePr>
            <w:numRestart w:val="eachSect"/>
          </w:footnotePr>
          <w:pgSz w:w="11906" w:h="16838" w:code="9"/>
          <w:pgMar w:top="1701" w:right="1134" w:bottom="2268" w:left="1134" w:header="1134" w:footer="1701" w:gutter="0"/>
          <w:cols w:space="708"/>
          <w:docGrid w:linePitch="360"/>
        </w:sectPr>
      </w:pPr>
    </w:p>
    <w:p w14:paraId="1E8EFC92" w14:textId="77777777" w:rsidR="00AA552D" w:rsidRPr="00A470FF" w:rsidRDefault="00AA552D" w:rsidP="00AA552D">
      <w:pPr>
        <w:pStyle w:val="HChG"/>
        <w:ind w:firstLine="0"/>
        <w:rPr>
          <w:bCs/>
        </w:rPr>
      </w:pPr>
      <w:r w:rsidRPr="00A470FF">
        <w:rPr>
          <w:bCs/>
        </w:rPr>
        <w:lastRenderedPageBreak/>
        <w:t xml:space="preserve">Decision </w:t>
      </w:r>
      <w:r w:rsidR="00D35DA3" w:rsidRPr="00A470FF">
        <w:rPr>
          <w:bCs/>
        </w:rPr>
        <w:t>6</w:t>
      </w:r>
      <w:r w:rsidRPr="00A470FF">
        <w:rPr>
          <w:bCs/>
        </w:rPr>
        <w:t>/CP.21</w:t>
      </w:r>
    </w:p>
    <w:p w14:paraId="1E8EFC93" w14:textId="77777777" w:rsidR="00AA552D" w:rsidRPr="00A470FF" w:rsidRDefault="00AA552D" w:rsidP="00AA552D">
      <w:pPr>
        <w:pStyle w:val="HChG"/>
      </w:pPr>
      <w:r w:rsidRPr="00A470FF">
        <w:tab/>
      </w:r>
      <w:r w:rsidRPr="00A470FF">
        <w:tab/>
        <w:t>Report of the Standing Committee on Finance</w:t>
      </w:r>
    </w:p>
    <w:p w14:paraId="1E8EFC94" w14:textId="77777777" w:rsidR="003E0A8A" w:rsidRPr="00A470FF" w:rsidRDefault="003E0A8A" w:rsidP="003E0A8A">
      <w:pPr>
        <w:pStyle w:val="RegSingleTxtG"/>
        <w:numPr>
          <w:ilvl w:val="0"/>
          <w:numId w:val="0"/>
        </w:numPr>
        <w:ind w:left="1134"/>
      </w:pPr>
      <w:r w:rsidRPr="00A470FF">
        <w:rPr>
          <w:i/>
        </w:rPr>
        <w:tab/>
        <w:t>The Conference of the Parties</w:t>
      </w:r>
      <w:r w:rsidRPr="00A470FF">
        <w:t>,</w:t>
      </w:r>
    </w:p>
    <w:p w14:paraId="1E8EFC95" w14:textId="77777777" w:rsidR="003E0A8A" w:rsidRPr="00A470FF" w:rsidRDefault="003E0A8A" w:rsidP="003E0A8A">
      <w:pPr>
        <w:pStyle w:val="RegSingleTxtG"/>
        <w:numPr>
          <w:ilvl w:val="0"/>
          <w:numId w:val="0"/>
        </w:numPr>
        <w:ind w:left="1134"/>
      </w:pPr>
      <w:r w:rsidRPr="00A470FF">
        <w:rPr>
          <w:i/>
        </w:rPr>
        <w:tab/>
        <w:t>Recalling</w:t>
      </w:r>
      <w:r w:rsidRPr="00A470FF">
        <w:t xml:space="preserve"> Articles 4 and 11 of the Convention,</w:t>
      </w:r>
    </w:p>
    <w:p w14:paraId="1E8EFC96" w14:textId="728D1CE0" w:rsidR="003E0A8A" w:rsidRPr="00A470FF" w:rsidRDefault="003E0A8A" w:rsidP="003E0A8A">
      <w:pPr>
        <w:pStyle w:val="RegSingleTxtG"/>
        <w:numPr>
          <w:ilvl w:val="0"/>
          <w:numId w:val="0"/>
        </w:numPr>
        <w:ind w:left="1134"/>
      </w:pPr>
      <w:r w:rsidRPr="00A470FF">
        <w:rPr>
          <w:i/>
        </w:rPr>
        <w:tab/>
        <w:t>Also recalling</w:t>
      </w:r>
      <w:r w:rsidRPr="00A470FF">
        <w:t xml:space="preserve"> decisions 1/CP.16, paragraph 112, and 2/CP.17, paragraphs 120 and 121, as well as </w:t>
      </w:r>
      <w:r w:rsidR="00B210EB" w:rsidRPr="00A470FF">
        <w:t xml:space="preserve">decisions </w:t>
      </w:r>
      <w:r w:rsidRPr="00A470FF">
        <w:t xml:space="preserve">5/CP.18, 7/CP.19 and 6/CP.20, </w:t>
      </w:r>
    </w:p>
    <w:p w14:paraId="1E8EFC97" w14:textId="5F6BE1CE" w:rsidR="003E0A8A" w:rsidRPr="00A470FF" w:rsidRDefault="00467704" w:rsidP="00467704">
      <w:pPr>
        <w:pStyle w:val="RegSingleTxtG"/>
        <w:numPr>
          <w:ilvl w:val="0"/>
          <w:numId w:val="0"/>
        </w:numPr>
        <w:tabs>
          <w:tab w:val="left" w:pos="360"/>
        </w:tabs>
        <w:spacing w:before="120"/>
        <w:ind w:left="1135"/>
      </w:pPr>
      <w:r w:rsidRPr="00A470FF">
        <w:t>1.</w:t>
      </w:r>
      <w:r w:rsidRPr="00A470FF">
        <w:tab/>
      </w:r>
      <w:r w:rsidR="003E0A8A" w:rsidRPr="00A470FF">
        <w:rPr>
          <w:i/>
        </w:rPr>
        <w:t>Welcomes with appreciation</w:t>
      </w:r>
      <w:r w:rsidR="003E0A8A" w:rsidRPr="00A470FF">
        <w:t xml:space="preserve"> the report of the Standing Committee on Finance to the Conference of the Parties at its twenty-first session, taking note of the recommendations contained therein;</w:t>
      </w:r>
      <w:r w:rsidR="003E0A8A" w:rsidRPr="00A470FF">
        <w:rPr>
          <w:rStyle w:val="FootnoteReference"/>
        </w:rPr>
        <w:footnoteReference w:id="15"/>
      </w:r>
    </w:p>
    <w:p w14:paraId="1E8EFC98" w14:textId="45DD8CB5" w:rsidR="003E0A8A" w:rsidRPr="00A470FF" w:rsidRDefault="00467704" w:rsidP="00467704">
      <w:pPr>
        <w:pStyle w:val="RegSingleTxtG"/>
        <w:numPr>
          <w:ilvl w:val="0"/>
          <w:numId w:val="0"/>
        </w:numPr>
        <w:tabs>
          <w:tab w:val="left" w:pos="360"/>
        </w:tabs>
        <w:spacing w:before="120"/>
        <w:ind w:left="1134"/>
      </w:pPr>
      <w:r w:rsidRPr="00A470FF">
        <w:t>2.</w:t>
      </w:r>
      <w:r w:rsidRPr="00A470FF">
        <w:tab/>
      </w:r>
      <w:r w:rsidR="003E0A8A" w:rsidRPr="00A470FF">
        <w:rPr>
          <w:i/>
        </w:rPr>
        <w:t xml:space="preserve">Requests </w:t>
      </w:r>
      <w:r w:rsidR="003E0A8A" w:rsidRPr="00A470FF">
        <w:t xml:space="preserve">the Standing Committee on Finance to continue to strengthen its engagement with all relevant stakeholders and bodies under the Convention; </w:t>
      </w:r>
    </w:p>
    <w:p w14:paraId="1E8EFC99" w14:textId="2FD2D260" w:rsidR="003E0A8A" w:rsidRPr="00A470FF" w:rsidRDefault="00467704" w:rsidP="00467704">
      <w:pPr>
        <w:pStyle w:val="RegSingleTxtG"/>
        <w:numPr>
          <w:ilvl w:val="0"/>
          <w:numId w:val="0"/>
        </w:numPr>
        <w:tabs>
          <w:tab w:val="left" w:pos="360"/>
        </w:tabs>
        <w:spacing w:before="120"/>
        <w:ind w:left="1134"/>
      </w:pPr>
      <w:r w:rsidRPr="00A470FF">
        <w:t>3.</w:t>
      </w:r>
      <w:r w:rsidRPr="00A470FF">
        <w:tab/>
      </w:r>
      <w:r w:rsidR="003E0A8A" w:rsidRPr="00A470FF">
        <w:rPr>
          <w:i/>
        </w:rPr>
        <w:t xml:space="preserve">Endorses </w:t>
      </w:r>
      <w:r w:rsidR="003E0A8A" w:rsidRPr="00A470FF">
        <w:t>the workplan of the Standing Committee on Finance for 2016–2017;</w:t>
      </w:r>
      <w:r w:rsidR="003E0A8A" w:rsidRPr="00A470FF">
        <w:rPr>
          <w:rStyle w:val="FootnoteReference"/>
        </w:rPr>
        <w:footnoteReference w:id="16"/>
      </w:r>
    </w:p>
    <w:p w14:paraId="1E8EFC9A" w14:textId="773B0F9C" w:rsidR="003E0A8A" w:rsidRPr="00A470FF" w:rsidRDefault="00467704" w:rsidP="00467704">
      <w:pPr>
        <w:pStyle w:val="RegSingleTxtG"/>
        <w:numPr>
          <w:ilvl w:val="0"/>
          <w:numId w:val="0"/>
        </w:numPr>
        <w:tabs>
          <w:tab w:val="left" w:pos="360"/>
        </w:tabs>
        <w:spacing w:before="120"/>
        <w:ind w:left="1134"/>
      </w:pPr>
      <w:r w:rsidRPr="00A470FF">
        <w:t>4.</w:t>
      </w:r>
      <w:r w:rsidRPr="00A470FF">
        <w:tab/>
      </w:r>
      <w:r w:rsidR="003E0A8A" w:rsidRPr="00A470FF">
        <w:rPr>
          <w:i/>
        </w:rPr>
        <w:t xml:space="preserve">Requests </w:t>
      </w:r>
      <w:r w:rsidR="003E0A8A" w:rsidRPr="00A470FF">
        <w:t>the Standing Committee on Finance, in implementing its workplan on the measurement, reporting and verification of support beyond the biennial assessment and overview of climate finance flows, to continue to engage with relevant bodies under the Convention, multilateral and bilateral agencies</w:t>
      </w:r>
      <w:r w:rsidR="003518BD" w:rsidRPr="00A470FF">
        <w:t>,</w:t>
      </w:r>
      <w:r w:rsidR="003E0A8A" w:rsidRPr="00A470FF">
        <w:t xml:space="preserve"> and international institutions;</w:t>
      </w:r>
    </w:p>
    <w:p w14:paraId="1E8EFC9B" w14:textId="4B402793" w:rsidR="003E0A8A" w:rsidRPr="00A470FF" w:rsidRDefault="00467704" w:rsidP="00467704">
      <w:pPr>
        <w:pStyle w:val="RegSingleTxtG"/>
        <w:numPr>
          <w:ilvl w:val="0"/>
          <w:numId w:val="0"/>
        </w:numPr>
        <w:tabs>
          <w:tab w:val="left" w:pos="360"/>
        </w:tabs>
        <w:spacing w:before="120"/>
        <w:ind w:left="1134"/>
      </w:pPr>
      <w:r w:rsidRPr="00A470FF">
        <w:t>5.</w:t>
      </w:r>
      <w:r w:rsidRPr="00A470FF">
        <w:tab/>
      </w:r>
      <w:r w:rsidR="003E0A8A" w:rsidRPr="00A470FF">
        <w:rPr>
          <w:i/>
        </w:rPr>
        <w:t>Welcomes</w:t>
      </w:r>
      <w:r w:rsidR="003E0A8A" w:rsidRPr="00A470FF">
        <w:t xml:space="preserve"> the third forum of the Standing Committee on Finance</w:t>
      </w:r>
      <w:r w:rsidR="003518BD" w:rsidRPr="00A470FF">
        <w:t>,</w:t>
      </w:r>
      <w:r w:rsidR="003E0A8A" w:rsidRPr="00A470FF">
        <w:t xml:space="preserve"> on enhancing the coherence and coordination of forest financing, held on 8 and 9 September 2015 in Durban, South Africa;</w:t>
      </w:r>
    </w:p>
    <w:p w14:paraId="1E8EFC9C" w14:textId="58ABA0AE" w:rsidR="003E0A8A" w:rsidRPr="00A470FF" w:rsidRDefault="00467704" w:rsidP="00467704">
      <w:pPr>
        <w:pStyle w:val="RegSingleTxtG"/>
        <w:numPr>
          <w:ilvl w:val="0"/>
          <w:numId w:val="0"/>
        </w:numPr>
        <w:tabs>
          <w:tab w:val="left" w:pos="360"/>
        </w:tabs>
        <w:spacing w:before="120"/>
        <w:ind w:left="1134"/>
      </w:pPr>
      <w:r w:rsidRPr="00A470FF">
        <w:t>6.</w:t>
      </w:r>
      <w:r w:rsidRPr="00A470FF">
        <w:tab/>
      </w:r>
      <w:r w:rsidR="003E0A8A" w:rsidRPr="00A470FF">
        <w:rPr>
          <w:i/>
        </w:rPr>
        <w:t xml:space="preserve">Notes </w:t>
      </w:r>
      <w:r w:rsidR="003E0A8A" w:rsidRPr="00A470FF">
        <w:t xml:space="preserve">the recommendations of the Standing Committee on Finance </w:t>
      </w:r>
      <w:r w:rsidR="00D95B3D" w:rsidRPr="00A470FF">
        <w:t>from</w:t>
      </w:r>
      <w:r w:rsidR="003E0A8A" w:rsidRPr="00A470FF">
        <w:t xml:space="preserve"> its third forum;</w:t>
      </w:r>
      <w:r w:rsidR="00873877" w:rsidRPr="00A470FF">
        <w:rPr>
          <w:rStyle w:val="FootnoteReference"/>
        </w:rPr>
        <w:footnoteReference w:id="17"/>
      </w:r>
      <w:r w:rsidR="003E0A8A" w:rsidRPr="00A470FF">
        <w:t xml:space="preserve"> </w:t>
      </w:r>
    </w:p>
    <w:p w14:paraId="1E8EFC9D" w14:textId="7843B60A" w:rsidR="003E0A8A" w:rsidRPr="00A470FF" w:rsidRDefault="00467704" w:rsidP="00467704">
      <w:pPr>
        <w:pStyle w:val="RegSingleTxtG"/>
        <w:numPr>
          <w:ilvl w:val="0"/>
          <w:numId w:val="0"/>
        </w:numPr>
        <w:tabs>
          <w:tab w:val="left" w:pos="360"/>
        </w:tabs>
        <w:spacing w:before="120"/>
        <w:ind w:left="1134"/>
      </w:pPr>
      <w:r w:rsidRPr="00A470FF">
        <w:t>7.</w:t>
      </w:r>
      <w:r w:rsidRPr="00A470FF">
        <w:tab/>
      </w:r>
      <w:r w:rsidR="003E0A8A" w:rsidRPr="00A470FF">
        <w:rPr>
          <w:i/>
        </w:rPr>
        <w:t>Expresses</w:t>
      </w:r>
      <w:r w:rsidR="003E0A8A" w:rsidRPr="00A470FF">
        <w:t xml:space="preserve"> its gratitude to the Government of South Africa and the Food and Agriculture Organization of the United Nations for their support in ensuring the success of the third forum</w:t>
      </w:r>
      <w:r w:rsidR="00D95B3D" w:rsidRPr="00A470FF">
        <w:t xml:space="preserve"> </w:t>
      </w:r>
      <w:r w:rsidR="00496D15" w:rsidRPr="00A470FF">
        <w:t>of the Standing Committee on Fi</w:t>
      </w:r>
      <w:r w:rsidR="00D95B3D" w:rsidRPr="00A470FF">
        <w:t>nance</w:t>
      </w:r>
      <w:r w:rsidR="003E0A8A" w:rsidRPr="00A470FF">
        <w:t>;</w:t>
      </w:r>
      <w:r w:rsidR="003E0A8A" w:rsidRPr="00A470FF">
        <w:rPr>
          <w:rStyle w:val="CommentReference"/>
        </w:rPr>
        <w:t xml:space="preserve"> </w:t>
      </w:r>
    </w:p>
    <w:p w14:paraId="1E8EFC9E" w14:textId="2862FAFE" w:rsidR="003E0A8A" w:rsidRPr="00A470FF" w:rsidRDefault="00467704" w:rsidP="00467704">
      <w:pPr>
        <w:pStyle w:val="RegSingleTxtG"/>
        <w:numPr>
          <w:ilvl w:val="0"/>
          <w:numId w:val="0"/>
        </w:numPr>
        <w:tabs>
          <w:tab w:val="left" w:pos="360"/>
        </w:tabs>
        <w:spacing w:before="120"/>
        <w:ind w:left="1134"/>
      </w:pPr>
      <w:r w:rsidRPr="00A470FF">
        <w:t>8.</w:t>
      </w:r>
      <w:r w:rsidRPr="00A470FF">
        <w:tab/>
      </w:r>
      <w:r w:rsidR="003E0A8A" w:rsidRPr="00A470FF">
        <w:rPr>
          <w:i/>
        </w:rPr>
        <w:t>Requests</w:t>
      </w:r>
      <w:r w:rsidR="003E0A8A" w:rsidRPr="00A470FF">
        <w:t xml:space="preserve"> the Standing Committee on Finance to report to the Conference of the Parties at its twenty-second session (November 2016) on the progress made in the implementation of its workplan;</w:t>
      </w:r>
    </w:p>
    <w:p w14:paraId="1E8EFC9F" w14:textId="3EE9BF77" w:rsidR="003E0A8A" w:rsidRPr="00A470FF" w:rsidRDefault="00467704" w:rsidP="00467704">
      <w:pPr>
        <w:pStyle w:val="RegSingleTxtG"/>
        <w:numPr>
          <w:ilvl w:val="0"/>
          <w:numId w:val="0"/>
        </w:numPr>
        <w:tabs>
          <w:tab w:val="left" w:pos="568"/>
        </w:tabs>
        <w:spacing w:before="120"/>
        <w:ind w:left="1134"/>
      </w:pPr>
      <w:r w:rsidRPr="00A470FF">
        <w:t>9.</w:t>
      </w:r>
      <w:r w:rsidRPr="00A470FF">
        <w:tab/>
      </w:r>
      <w:r w:rsidR="003E0A8A" w:rsidRPr="00A470FF">
        <w:rPr>
          <w:i/>
        </w:rPr>
        <w:t>Decides</w:t>
      </w:r>
      <w:r w:rsidR="003E0A8A" w:rsidRPr="00A470FF">
        <w:t xml:space="preserve"> to initiate the review of the functions of the Standing Committee on Finance referred to in decision 6/CP.20, paragraph 23, at the twenty-second session of the Conference of the Parties;</w:t>
      </w:r>
    </w:p>
    <w:p w14:paraId="1E8EFCA0" w14:textId="60A8985B" w:rsidR="003E0A8A" w:rsidRPr="00A470FF" w:rsidRDefault="00467704" w:rsidP="00467704">
      <w:pPr>
        <w:pStyle w:val="RegSingleTxtG"/>
        <w:numPr>
          <w:ilvl w:val="0"/>
          <w:numId w:val="0"/>
        </w:numPr>
        <w:tabs>
          <w:tab w:val="left" w:pos="568"/>
        </w:tabs>
        <w:spacing w:before="120"/>
        <w:ind w:left="1134"/>
      </w:pPr>
      <w:r w:rsidRPr="00A470FF">
        <w:t>10.</w:t>
      </w:r>
      <w:r w:rsidRPr="00A470FF">
        <w:tab/>
      </w:r>
      <w:r w:rsidR="003E0A8A" w:rsidRPr="00A470FF">
        <w:rPr>
          <w:i/>
        </w:rPr>
        <w:t>Requests</w:t>
      </w:r>
      <w:r w:rsidR="003E0A8A" w:rsidRPr="00A470FF">
        <w:t xml:space="preserve"> the Subsidiary Body for Implementation, at its forty-fifth session (November 2016), to prepare draft terms of reference for the review referred to in paragraph 9 above, on the basis of the submissions referred to in paragraph 11 below, for consideration by the Conference of the Parties at its twenty-second session;</w:t>
      </w:r>
    </w:p>
    <w:p w14:paraId="1E8EFCA1" w14:textId="267E91B5" w:rsidR="003E0A8A" w:rsidRPr="00A470FF" w:rsidRDefault="00467704" w:rsidP="00467704">
      <w:pPr>
        <w:pStyle w:val="RegSingleTxtG"/>
        <w:numPr>
          <w:ilvl w:val="0"/>
          <w:numId w:val="0"/>
        </w:numPr>
        <w:tabs>
          <w:tab w:val="left" w:pos="360"/>
        </w:tabs>
        <w:spacing w:before="120"/>
        <w:ind w:left="1134"/>
      </w:pPr>
      <w:r w:rsidRPr="00A470FF">
        <w:t>11.</w:t>
      </w:r>
      <w:r w:rsidRPr="00A470FF">
        <w:tab/>
      </w:r>
      <w:r w:rsidR="003E0A8A" w:rsidRPr="00A470FF">
        <w:rPr>
          <w:i/>
        </w:rPr>
        <w:t xml:space="preserve">Also requests </w:t>
      </w:r>
      <w:r w:rsidR="003E0A8A" w:rsidRPr="00A470FF">
        <w:t>the members of the Standing Committee on Finance and</w:t>
      </w:r>
      <w:r w:rsidR="003E0A8A" w:rsidRPr="00A470FF">
        <w:rPr>
          <w:i/>
        </w:rPr>
        <w:t xml:space="preserve"> invites</w:t>
      </w:r>
      <w:r w:rsidR="003E0A8A" w:rsidRPr="00A470FF">
        <w:t xml:space="preserve"> Parties and observer organizations to submit their views on the terms of reference for the review of </w:t>
      </w:r>
      <w:r w:rsidR="003E0A8A" w:rsidRPr="00A470FF">
        <w:lastRenderedPageBreak/>
        <w:t>the functions of the Standing Committee on Finance by 21 September 2016,</w:t>
      </w:r>
      <w:r w:rsidR="003E0A8A" w:rsidRPr="00A470FF">
        <w:rPr>
          <w:rStyle w:val="FootnoteReference"/>
        </w:rPr>
        <w:footnoteReference w:id="18"/>
      </w:r>
      <w:r w:rsidR="003E0A8A" w:rsidRPr="00A470FF">
        <w:t xml:space="preserve"> for compilation by the secretariat into a miscellaneous document;</w:t>
      </w:r>
    </w:p>
    <w:p w14:paraId="1E8EFCA2" w14:textId="136861DA" w:rsidR="00AA552D" w:rsidRPr="00A470FF" w:rsidRDefault="00467704" w:rsidP="00467704">
      <w:pPr>
        <w:pStyle w:val="RegSingleTxtG"/>
        <w:numPr>
          <w:ilvl w:val="0"/>
          <w:numId w:val="0"/>
        </w:numPr>
        <w:tabs>
          <w:tab w:val="left" w:pos="568"/>
        </w:tabs>
        <w:spacing w:before="120"/>
        <w:ind w:left="1134"/>
      </w:pPr>
      <w:r w:rsidRPr="00A470FF">
        <w:t>12.</w:t>
      </w:r>
      <w:r w:rsidRPr="00A470FF">
        <w:tab/>
      </w:r>
      <w:r w:rsidR="003E0A8A" w:rsidRPr="00A470FF">
        <w:rPr>
          <w:i/>
        </w:rPr>
        <w:t>Further requests</w:t>
      </w:r>
      <w:r w:rsidR="003E0A8A" w:rsidRPr="00A470FF">
        <w:t xml:space="preserve"> the Standing Committee on Finance to consider the guidance provided to it in other relevant decisions of the Conference of the Parties.</w:t>
      </w:r>
    </w:p>
    <w:p w14:paraId="1E8EFCA3"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vertAlign w:val="superscript"/>
          <w:lang w:eastAsia="en-US"/>
        </w:rPr>
        <w:t>th</w:t>
      </w:r>
      <w:r w:rsidR="00AA552D" w:rsidRPr="00A470FF">
        <w:rPr>
          <w:i/>
          <w:lang w:eastAsia="en-US"/>
        </w:rPr>
        <w:t xml:space="preserve"> plenary meeting</w:t>
      </w:r>
    </w:p>
    <w:p w14:paraId="1E8EFCA4"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lang w:eastAsia="en-US"/>
        </w:rPr>
        <w:t xml:space="preserve"> December 2015</w:t>
      </w:r>
    </w:p>
    <w:p w14:paraId="1E8EFCA5" w14:textId="77777777" w:rsidR="00AA552D" w:rsidRPr="00A470FF" w:rsidRDefault="00AA552D" w:rsidP="00AA552D">
      <w:pPr>
        <w:sectPr w:rsidR="00AA552D" w:rsidRPr="00A470FF" w:rsidSect="00815DBB">
          <w:headerReference w:type="even" r:id="rId30"/>
          <w:headerReference w:type="default" r:id="rId31"/>
          <w:footerReference w:type="even" r:id="rId32"/>
          <w:footerReference w:type="default" r:id="rId33"/>
          <w:footnotePr>
            <w:numRestart w:val="eachSect"/>
          </w:footnotePr>
          <w:pgSz w:w="11906" w:h="16838" w:code="9"/>
          <w:pgMar w:top="1701" w:right="1134" w:bottom="2268" w:left="1134" w:header="1134" w:footer="1701" w:gutter="0"/>
          <w:cols w:space="708"/>
          <w:docGrid w:linePitch="360"/>
        </w:sectPr>
      </w:pPr>
    </w:p>
    <w:p w14:paraId="1E8EFCA6" w14:textId="77777777" w:rsidR="00AA552D" w:rsidRPr="00A470FF" w:rsidRDefault="00AA552D" w:rsidP="00AA552D">
      <w:pPr>
        <w:pStyle w:val="HChG"/>
        <w:ind w:firstLine="0"/>
        <w:rPr>
          <w:bCs/>
        </w:rPr>
      </w:pPr>
      <w:r w:rsidRPr="00A470FF">
        <w:rPr>
          <w:bCs/>
        </w:rPr>
        <w:lastRenderedPageBreak/>
        <w:t xml:space="preserve">Decision </w:t>
      </w:r>
      <w:r w:rsidR="00D35DA3" w:rsidRPr="00A470FF">
        <w:rPr>
          <w:bCs/>
        </w:rPr>
        <w:t>7</w:t>
      </w:r>
      <w:r w:rsidRPr="00A470FF">
        <w:rPr>
          <w:bCs/>
        </w:rPr>
        <w:t>/CP.21</w:t>
      </w:r>
    </w:p>
    <w:p w14:paraId="1E8EFCA7" w14:textId="77777777" w:rsidR="00AA552D" w:rsidRPr="00A470FF" w:rsidRDefault="00AA552D" w:rsidP="00AA552D">
      <w:pPr>
        <w:pStyle w:val="HChG"/>
      </w:pPr>
      <w:r w:rsidRPr="00A470FF">
        <w:tab/>
      </w:r>
      <w:r w:rsidRPr="00A470FF">
        <w:tab/>
        <w:t>Report of the Green Climate Fund to the Conference of the Parties and guidance to the Green Climate Fund</w:t>
      </w:r>
    </w:p>
    <w:p w14:paraId="1E8EFCA8" w14:textId="77777777" w:rsidR="00EA0E29" w:rsidRPr="00A470FF" w:rsidRDefault="00EA0E29" w:rsidP="00EA0E29">
      <w:pPr>
        <w:pStyle w:val="RegSingleTxtG"/>
        <w:numPr>
          <w:ilvl w:val="0"/>
          <w:numId w:val="0"/>
        </w:numPr>
        <w:ind w:left="1134"/>
        <w:rPr>
          <w:rFonts w:eastAsia="Times New Roman"/>
          <w:i/>
          <w:lang w:eastAsia="en-US"/>
        </w:rPr>
      </w:pPr>
      <w:r w:rsidRPr="00A470FF">
        <w:rPr>
          <w:rFonts w:eastAsiaTheme="minorEastAsia"/>
          <w:lang w:eastAsia="ko-KR"/>
        </w:rPr>
        <w:tab/>
      </w:r>
      <w:r w:rsidRPr="00A470FF">
        <w:rPr>
          <w:rFonts w:eastAsia="Times New Roman"/>
          <w:i/>
          <w:lang w:eastAsia="en-US"/>
        </w:rPr>
        <w:t>The Conference of the Parties</w:t>
      </w:r>
      <w:r w:rsidRPr="00A470FF">
        <w:rPr>
          <w:rFonts w:eastAsia="Times New Roman"/>
          <w:lang w:eastAsia="en-US"/>
        </w:rPr>
        <w:t>,</w:t>
      </w:r>
    </w:p>
    <w:p w14:paraId="1E8EFCA9" w14:textId="77777777" w:rsidR="00EA0E29" w:rsidRPr="00A470FF" w:rsidRDefault="00EA0E29" w:rsidP="00EA0E29">
      <w:pPr>
        <w:pStyle w:val="RegSingleTxtG"/>
        <w:numPr>
          <w:ilvl w:val="0"/>
          <w:numId w:val="0"/>
        </w:numPr>
        <w:ind w:left="1134"/>
        <w:rPr>
          <w:rFonts w:eastAsia="Times New Roman"/>
          <w:lang w:eastAsia="en-US"/>
        </w:rPr>
      </w:pPr>
      <w:r w:rsidRPr="00A470FF">
        <w:rPr>
          <w:rFonts w:eastAsiaTheme="minorEastAsia"/>
          <w:lang w:eastAsia="ko-KR"/>
        </w:rPr>
        <w:tab/>
      </w:r>
      <w:r w:rsidRPr="00A470FF">
        <w:rPr>
          <w:rFonts w:eastAsia="Times New Roman"/>
          <w:i/>
          <w:lang w:eastAsia="en-US"/>
        </w:rPr>
        <w:t>Recalling</w:t>
      </w:r>
      <w:r w:rsidRPr="00A470FF">
        <w:rPr>
          <w:rFonts w:eastAsia="Times New Roman"/>
          <w:lang w:eastAsia="en-US"/>
        </w:rPr>
        <w:t xml:space="preserve"> decision 7/CP.20,</w:t>
      </w:r>
    </w:p>
    <w:p w14:paraId="1E8EFCAA" w14:textId="2482E5F1" w:rsidR="00EA0E29" w:rsidRPr="00A470FF" w:rsidRDefault="00EA0E29" w:rsidP="00EA0E29">
      <w:pPr>
        <w:pStyle w:val="RegSingleTxtG"/>
        <w:numPr>
          <w:ilvl w:val="0"/>
          <w:numId w:val="0"/>
        </w:numPr>
        <w:ind w:left="1134"/>
        <w:rPr>
          <w:rFonts w:eastAsia="Times New Roman"/>
          <w:lang w:eastAsia="en-US"/>
        </w:rPr>
      </w:pPr>
      <w:r w:rsidRPr="00A470FF">
        <w:rPr>
          <w:rFonts w:eastAsia="Times New Roman"/>
          <w:i/>
          <w:lang w:eastAsia="en-US"/>
        </w:rPr>
        <w:tab/>
        <w:t>Noting</w:t>
      </w:r>
      <w:r w:rsidRPr="00A470FF">
        <w:rPr>
          <w:rFonts w:eastAsia="Times New Roman"/>
          <w:lang w:eastAsia="en-US"/>
        </w:rPr>
        <w:t xml:space="preserve"> the recommendations of the Standing Committee on Finance contained in its report to the Conference of the Parties </w:t>
      </w:r>
      <w:r w:rsidR="00A47B29" w:rsidRPr="00A470FF">
        <w:rPr>
          <w:rFonts w:eastAsia="Times New Roman"/>
          <w:lang w:eastAsia="en-US"/>
        </w:rPr>
        <w:t xml:space="preserve">at its twenty-first session </w:t>
      </w:r>
      <w:r w:rsidRPr="00A470FF">
        <w:rPr>
          <w:rFonts w:eastAsia="Times New Roman"/>
          <w:lang w:eastAsia="en-US"/>
        </w:rPr>
        <w:t>with regard to the provision of draft guidance to the Green Climate Fund,</w:t>
      </w:r>
      <w:r w:rsidRPr="005F1DCF">
        <w:rPr>
          <w:rStyle w:val="FootnoteReference"/>
          <w:rFonts w:eastAsia="Times New Roman"/>
          <w:lang w:eastAsia="en-US"/>
        </w:rPr>
        <w:footnoteReference w:id="19"/>
      </w:r>
    </w:p>
    <w:p w14:paraId="1E8EFCAB" w14:textId="17D64D83" w:rsidR="00EA0E29" w:rsidRPr="00A470FF" w:rsidRDefault="00467704" w:rsidP="00467704">
      <w:pPr>
        <w:pStyle w:val="RegSingleTxtG"/>
        <w:numPr>
          <w:ilvl w:val="0"/>
          <w:numId w:val="0"/>
        </w:numPr>
        <w:tabs>
          <w:tab w:val="left" w:pos="568"/>
        </w:tabs>
        <w:spacing w:before="120"/>
        <w:ind w:left="1135"/>
        <w:rPr>
          <w:color w:val="000000" w:themeColor="text1"/>
          <w:lang w:eastAsia="en-US"/>
        </w:rPr>
      </w:pPr>
      <w:r w:rsidRPr="00A470FF">
        <w:rPr>
          <w:color w:val="000000" w:themeColor="text1"/>
          <w:lang w:eastAsia="en-US"/>
        </w:rPr>
        <w:t>1.</w:t>
      </w:r>
      <w:r w:rsidRPr="00A470FF">
        <w:rPr>
          <w:color w:val="000000" w:themeColor="text1"/>
          <w:lang w:eastAsia="en-US"/>
        </w:rPr>
        <w:tab/>
      </w:r>
      <w:r w:rsidR="00EA0E29" w:rsidRPr="00A470FF">
        <w:rPr>
          <w:i/>
          <w:color w:val="000000" w:themeColor="text1"/>
          <w:lang w:eastAsia="en-US"/>
        </w:rPr>
        <w:t>Welcomes</w:t>
      </w:r>
      <w:r w:rsidR="00EA0E29" w:rsidRPr="00A470FF">
        <w:rPr>
          <w:color w:val="000000" w:themeColor="text1"/>
          <w:lang w:eastAsia="en-US"/>
        </w:rPr>
        <w:t xml:space="preserve"> the report of the Green Climate Fund to the Conference of the Parties</w:t>
      </w:r>
      <w:r w:rsidR="00A47B29" w:rsidRPr="00A470FF">
        <w:rPr>
          <w:color w:val="000000" w:themeColor="text1"/>
          <w:lang w:eastAsia="en-US"/>
        </w:rPr>
        <w:t xml:space="preserve"> at its twenty-first session</w:t>
      </w:r>
      <w:r w:rsidR="00EA0E29" w:rsidRPr="005F1DCF">
        <w:rPr>
          <w:rStyle w:val="FootnoteReference"/>
          <w:color w:val="000000" w:themeColor="text1"/>
          <w:lang w:eastAsia="en-US"/>
        </w:rPr>
        <w:footnoteReference w:id="20"/>
      </w:r>
      <w:r w:rsidR="00EA0E29" w:rsidRPr="00A470FF">
        <w:rPr>
          <w:color w:val="000000" w:themeColor="text1"/>
          <w:lang w:eastAsia="en-US"/>
        </w:rPr>
        <w:t xml:space="preserve"> and the information contained therein on the progress made by the Green Climate Fund towards its full operationalization;</w:t>
      </w:r>
      <w:r w:rsidR="00EA0E29" w:rsidRPr="00A470FF">
        <w:rPr>
          <w:rStyle w:val="FootnoteReference"/>
          <w:rFonts w:eastAsia="Times New Roman"/>
          <w:color w:val="000000" w:themeColor="text1"/>
          <w:sz w:val="20"/>
          <w:lang w:eastAsia="en-US"/>
        </w:rPr>
        <w:t xml:space="preserve"> </w:t>
      </w:r>
    </w:p>
    <w:p w14:paraId="1E8EFCAC" w14:textId="2C0D5DDA"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2.</w:t>
      </w:r>
      <w:r w:rsidRPr="00A470FF">
        <w:rPr>
          <w:lang w:eastAsia="en-US"/>
        </w:rPr>
        <w:tab/>
      </w:r>
      <w:r w:rsidR="00EA0E29" w:rsidRPr="00A470FF">
        <w:rPr>
          <w:rFonts w:eastAsia="Times New Roman"/>
          <w:i/>
          <w:lang w:eastAsia="en-US"/>
        </w:rPr>
        <w:t>Notes with appreciation</w:t>
      </w:r>
      <w:r w:rsidR="00EA0E29" w:rsidRPr="00A470FF">
        <w:rPr>
          <w:rFonts w:eastAsia="Times New Roman"/>
          <w:lang w:eastAsia="en-US"/>
        </w:rPr>
        <w:t xml:space="preserve"> the attainment of the effectiveness of the Green Climate Fund by achieving the 50 per cent threshold required for the Green Climate Fund to allocate its resources to projects and programmes;</w:t>
      </w:r>
    </w:p>
    <w:p w14:paraId="1E8EFCAD" w14:textId="39CDED17"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3.</w:t>
      </w:r>
      <w:r w:rsidRPr="00A470FF">
        <w:rPr>
          <w:lang w:eastAsia="en-US"/>
        </w:rPr>
        <w:tab/>
      </w:r>
      <w:r w:rsidR="00EA0E29" w:rsidRPr="00A470FF">
        <w:rPr>
          <w:rFonts w:eastAsia="Times New Roman"/>
          <w:i/>
          <w:lang w:eastAsia="en-US"/>
        </w:rPr>
        <w:t>Also notes</w:t>
      </w:r>
      <w:r w:rsidR="00EA0E29" w:rsidRPr="00A470FF">
        <w:rPr>
          <w:rFonts w:eastAsia="Times New Roman"/>
          <w:lang w:eastAsia="en-US"/>
        </w:rPr>
        <w:t xml:space="preserve"> </w:t>
      </w:r>
      <w:r w:rsidR="00EA0E29" w:rsidRPr="00A470FF">
        <w:rPr>
          <w:rFonts w:eastAsia="Times New Roman"/>
          <w:i/>
          <w:lang w:eastAsia="en-US"/>
        </w:rPr>
        <w:t>with appreciation</w:t>
      </w:r>
      <w:r w:rsidR="00EA0E29" w:rsidRPr="00A470FF">
        <w:rPr>
          <w:rFonts w:eastAsia="Times New Roman"/>
          <w:lang w:eastAsia="en-US"/>
        </w:rPr>
        <w:t xml:space="preserve"> that the Board of the Green Climate Fund reached its aim of taking its first funding decisions by its third meeting of 2015, committing USD 168 million to eight public and private projects that will promote, in the context of sustainable development, the paradigm shift towards low-emission and climate-resilient development pathways, thereby making the Green Climate Fund fully operational;</w:t>
      </w:r>
    </w:p>
    <w:p w14:paraId="1E8EFCAE" w14:textId="4A730685"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4.</w:t>
      </w:r>
      <w:r w:rsidRPr="00A470FF">
        <w:rPr>
          <w:lang w:eastAsia="en-US"/>
        </w:rPr>
        <w:tab/>
      </w:r>
      <w:r w:rsidR="00EA0E29" w:rsidRPr="00A470FF">
        <w:rPr>
          <w:rFonts w:eastAsia="Times New Roman"/>
          <w:i/>
          <w:lang w:eastAsia="en-US"/>
        </w:rPr>
        <w:t>Welcomes with appreciation</w:t>
      </w:r>
      <w:r w:rsidR="00EA0E29" w:rsidRPr="00A470FF">
        <w:rPr>
          <w:rFonts w:eastAsia="Times New Roman"/>
          <w:lang w:eastAsia="en-US"/>
        </w:rPr>
        <w:t xml:space="preserve"> pledges made to the Green Climate Fund since the twentieth session of the Conference of Parties;</w:t>
      </w:r>
      <w:r w:rsidR="00EA0E29" w:rsidRPr="00A470FF">
        <w:rPr>
          <w:rStyle w:val="FootnoteReference"/>
          <w:rFonts w:eastAsia="Times New Roman"/>
          <w:lang w:eastAsia="en-US"/>
        </w:rPr>
        <w:footnoteReference w:id="21"/>
      </w:r>
    </w:p>
    <w:p w14:paraId="1E8EFCAF" w14:textId="1A51AD53"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5.</w:t>
      </w:r>
      <w:r w:rsidRPr="00A470FF">
        <w:rPr>
          <w:lang w:eastAsia="en-US"/>
        </w:rPr>
        <w:tab/>
      </w:r>
      <w:r w:rsidR="00EA0E29" w:rsidRPr="00A470FF">
        <w:rPr>
          <w:rFonts w:eastAsia="Times New Roman"/>
          <w:i/>
          <w:lang w:eastAsia="en-US"/>
        </w:rPr>
        <w:t>Welcomes</w:t>
      </w:r>
      <w:r w:rsidR="00EA0E29" w:rsidRPr="00A470FF">
        <w:rPr>
          <w:rFonts w:eastAsia="Times New Roman"/>
          <w:lang w:eastAsia="en-US"/>
        </w:rPr>
        <w:t xml:space="preserve"> </w:t>
      </w:r>
      <w:r w:rsidR="00EA0E29" w:rsidRPr="00A470FF">
        <w:rPr>
          <w:lang w:eastAsia="en-US"/>
        </w:rPr>
        <w:t>the aspirations of the Board of the Green Climate Fund to approve proposals in 2016 to a value of USD 2.5 billion</w:t>
      </w:r>
      <w:r w:rsidR="00EA0E29" w:rsidRPr="00A470FF">
        <w:rPr>
          <w:rFonts w:eastAsia="Times New Roman"/>
          <w:lang w:eastAsia="en-US"/>
        </w:rPr>
        <w:t>;</w:t>
      </w:r>
    </w:p>
    <w:p w14:paraId="1E8EFCB0" w14:textId="6EDC73C1"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6.</w:t>
      </w:r>
      <w:r w:rsidRPr="00A470FF">
        <w:rPr>
          <w:lang w:eastAsia="en-US"/>
        </w:rPr>
        <w:tab/>
      </w:r>
      <w:r w:rsidR="00EA0E29" w:rsidRPr="00A470FF">
        <w:rPr>
          <w:rFonts w:eastAsia="Times New Roman"/>
          <w:i/>
          <w:lang w:eastAsia="en-US"/>
        </w:rPr>
        <w:t>Also welcomes</w:t>
      </w:r>
      <w:r w:rsidR="00EA0E29" w:rsidRPr="00A470FF">
        <w:rPr>
          <w:rFonts w:eastAsia="Times New Roman"/>
          <w:lang w:eastAsia="en-US"/>
        </w:rPr>
        <w:t xml:space="preserve"> the establishment of a project preparation facility that will be targeted to small-scale activities and direct access entities, and requests the Board </w:t>
      </w:r>
      <w:r w:rsidR="00EA0E29" w:rsidRPr="00A470FF">
        <w:rPr>
          <w:lang w:eastAsia="en-US"/>
        </w:rPr>
        <w:t xml:space="preserve">of the Green Climate Fund </w:t>
      </w:r>
      <w:r w:rsidR="00EA0E29" w:rsidRPr="00A470FF">
        <w:rPr>
          <w:rFonts w:eastAsia="Times New Roman"/>
          <w:lang w:eastAsia="en-US"/>
        </w:rPr>
        <w:t>to consider lessons learned from other relevant facilities;</w:t>
      </w:r>
    </w:p>
    <w:p w14:paraId="1E8EFCB1" w14:textId="61D977F9"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7.</w:t>
      </w:r>
      <w:r w:rsidRPr="00A470FF">
        <w:rPr>
          <w:lang w:eastAsia="en-US"/>
        </w:rPr>
        <w:tab/>
      </w:r>
      <w:r w:rsidR="00EA0E29" w:rsidRPr="00A470FF">
        <w:rPr>
          <w:rFonts w:eastAsia="Times New Roman"/>
          <w:i/>
          <w:lang w:eastAsia="en-US"/>
        </w:rPr>
        <w:t>Further welcomes</w:t>
      </w:r>
      <w:r w:rsidR="00EA0E29" w:rsidRPr="00A470FF">
        <w:rPr>
          <w:rFonts w:eastAsia="Times New Roman"/>
          <w:lang w:eastAsia="en-US"/>
        </w:rPr>
        <w:t xml:space="preserve"> the allocation of up to USD 900 million for three pilot programmes on: enhancing direct access for recipient countries to the Green Climate Fund; supporting micro, small and medium-sized enterprises; and mobilizing resources at scale in order to address adaptation and mitigation;</w:t>
      </w:r>
      <w:r w:rsidR="00EA0E29" w:rsidRPr="00A470FF">
        <w:rPr>
          <w:rStyle w:val="FootnoteReference"/>
          <w:rFonts w:eastAsia="Times New Roman"/>
          <w:lang w:eastAsia="en-US"/>
        </w:rPr>
        <w:footnoteReference w:id="22"/>
      </w:r>
    </w:p>
    <w:p w14:paraId="1E8EFCB2" w14:textId="63B2EA75"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8.</w:t>
      </w:r>
      <w:r w:rsidRPr="00A470FF">
        <w:rPr>
          <w:lang w:eastAsia="en-US"/>
        </w:rPr>
        <w:tab/>
      </w:r>
      <w:r w:rsidR="00EA0E29" w:rsidRPr="00A470FF">
        <w:rPr>
          <w:rFonts w:eastAsia="Times New Roman"/>
          <w:i/>
          <w:lang w:eastAsia="en-US"/>
        </w:rPr>
        <w:t>U</w:t>
      </w:r>
      <w:r w:rsidR="00EA0E29" w:rsidRPr="00A470FF">
        <w:rPr>
          <w:i/>
          <w:lang w:eastAsia="en-US"/>
        </w:rPr>
        <w:t>rges</w:t>
      </w:r>
      <w:r w:rsidR="00EA0E29" w:rsidRPr="00A470FF">
        <w:rPr>
          <w:lang w:eastAsia="en-US"/>
        </w:rPr>
        <w:t xml:space="preserve"> Parties that made pledges under the initial resource mobilization process of the Green Climate Fund but have not yet confirmed them to the Green Climate Fund through fully executed contribution arrangements or agreements to do so as</w:t>
      </w:r>
      <w:r w:rsidR="00EA0E29" w:rsidRPr="00A470FF">
        <w:rPr>
          <w:rFonts w:eastAsia="Times New Roman"/>
          <w:lang w:eastAsia="en-US"/>
        </w:rPr>
        <w:t xml:space="preserve"> a matter of high priority</w:t>
      </w:r>
      <w:r w:rsidR="00EA0E29" w:rsidRPr="00A470FF">
        <w:rPr>
          <w:lang w:eastAsia="en-US"/>
        </w:rPr>
        <w:t>;</w:t>
      </w:r>
    </w:p>
    <w:p w14:paraId="1E8EFCB3" w14:textId="2DEC778B" w:rsidR="00EA0E29" w:rsidRPr="00A470FF" w:rsidRDefault="00467704" w:rsidP="00467704">
      <w:pPr>
        <w:pStyle w:val="RegSingleTxtG"/>
        <w:numPr>
          <w:ilvl w:val="0"/>
          <w:numId w:val="0"/>
        </w:numPr>
        <w:tabs>
          <w:tab w:val="left" w:pos="568"/>
        </w:tabs>
        <w:spacing w:before="120"/>
        <w:ind w:left="1134"/>
        <w:rPr>
          <w:rFonts w:eastAsia="Times New Roman"/>
          <w:lang w:eastAsia="en-US"/>
        </w:rPr>
      </w:pPr>
      <w:r w:rsidRPr="00A470FF">
        <w:rPr>
          <w:rFonts w:eastAsia="Times New Roman"/>
          <w:lang w:eastAsia="en-US"/>
        </w:rPr>
        <w:t>9.</w:t>
      </w:r>
      <w:r w:rsidRPr="00A470FF">
        <w:rPr>
          <w:rFonts w:eastAsia="Times New Roman"/>
          <w:lang w:eastAsia="en-US"/>
        </w:rPr>
        <w:tab/>
      </w:r>
      <w:r w:rsidR="00EA0E29" w:rsidRPr="00A470FF">
        <w:rPr>
          <w:rFonts w:eastAsia="Times New Roman"/>
          <w:i/>
          <w:lang w:eastAsia="en-US"/>
        </w:rPr>
        <w:t>Reiterates</w:t>
      </w:r>
      <w:r w:rsidR="00EA0E29" w:rsidRPr="00A470FF">
        <w:rPr>
          <w:rFonts w:eastAsia="Times New Roman"/>
          <w:lang w:eastAsia="en-US"/>
        </w:rPr>
        <w:t xml:space="preserve"> the invitation for financial inputs from a variety of sources, public and private, including alternative sources, throughout the initial resource mobilization process;</w:t>
      </w:r>
    </w:p>
    <w:p w14:paraId="1E8EFCB4" w14:textId="1AAB0506" w:rsidR="00EA0E29" w:rsidRPr="00A470FF" w:rsidRDefault="00467704" w:rsidP="00467704">
      <w:pPr>
        <w:pStyle w:val="RegSingleTxtG"/>
        <w:numPr>
          <w:ilvl w:val="0"/>
          <w:numId w:val="0"/>
        </w:numPr>
        <w:tabs>
          <w:tab w:val="left" w:pos="568"/>
        </w:tabs>
        <w:spacing w:before="120"/>
        <w:ind w:left="1134"/>
        <w:rPr>
          <w:rFonts w:eastAsia="Times New Roman"/>
          <w:lang w:eastAsia="en-US"/>
        </w:rPr>
      </w:pPr>
      <w:r w:rsidRPr="00A470FF">
        <w:rPr>
          <w:rFonts w:eastAsia="Times New Roman"/>
          <w:lang w:eastAsia="en-US"/>
        </w:rPr>
        <w:lastRenderedPageBreak/>
        <w:t>10.</w:t>
      </w:r>
      <w:r w:rsidRPr="00A470FF">
        <w:rPr>
          <w:rFonts w:eastAsia="Times New Roman"/>
          <w:lang w:eastAsia="en-US"/>
        </w:rPr>
        <w:tab/>
      </w:r>
      <w:r w:rsidR="00EA0E29" w:rsidRPr="00A470FF">
        <w:rPr>
          <w:rFonts w:eastAsia="Times New Roman"/>
          <w:i/>
          <w:lang w:eastAsia="en-US"/>
        </w:rPr>
        <w:t>Requests</w:t>
      </w:r>
      <w:r w:rsidR="00EA0E29" w:rsidRPr="00A470FF">
        <w:rPr>
          <w:rFonts w:eastAsia="Times New Roman"/>
          <w:lang w:eastAsia="en-US"/>
        </w:rPr>
        <w:t xml:space="preserve"> the Board of the Green Climate Fund to agree on the arrangements for the first formal replenishment process of the Green Climate Fund as soon as feasible;</w:t>
      </w:r>
    </w:p>
    <w:p w14:paraId="1E8EFCB5" w14:textId="241D7F57"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11.</w:t>
      </w:r>
      <w:r w:rsidRPr="00A470FF">
        <w:rPr>
          <w:lang w:eastAsia="en-US"/>
        </w:rPr>
        <w:tab/>
      </w:r>
      <w:r w:rsidR="00EA0E29" w:rsidRPr="00A470FF">
        <w:rPr>
          <w:i/>
          <w:lang w:eastAsia="en-US"/>
        </w:rPr>
        <w:t xml:space="preserve">Welcomes </w:t>
      </w:r>
      <w:r w:rsidR="00EA0E29" w:rsidRPr="00A470FF">
        <w:rPr>
          <w:lang w:eastAsia="en-US"/>
        </w:rPr>
        <w:t>the decision of the Board of the Green Climate Fund to develop a strategic plan for the Green Climate Fund and to adopt it as soon as possible;</w:t>
      </w:r>
    </w:p>
    <w:p w14:paraId="1E8EFCB6" w14:textId="5E0C9784"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12.</w:t>
      </w:r>
      <w:r w:rsidRPr="00A470FF">
        <w:rPr>
          <w:lang w:eastAsia="en-US"/>
        </w:rPr>
        <w:tab/>
      </w:r>
      <w:r w:rsidR="00EA0E29" w:rsidRPr="00A470FF">
        <w:rPr>
          <w:i/>
          <w:lang w:eastAsia="en-US"/>
        </w:rPr>
        <w:t>Also welcomes</w:t>
      </w:r>
      <w:r w:rsidR="00EA0E29" w:rsidRPr="00A470FF">
        <w:rPr>
          <w:lang w:eastAsia="en-US"/>
        </w:rPr>
        <w:t xml:space="preserve"> the decision of the Board of the Green Climate Fund to simplify the funding proposal template and concept note template in an expeditious manner;</w:t>
      </w:r>
    </w:p>
    <w:p w14:paraId="1E8EFCB7" w14:textId="55F9750F"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13.</w:t>
      </w:r>
      <w:r w:rsidRPr="00A470FF">
        <w:rPr>
          <w:lang w:eastAsia="en-US"/>
        </w:rPr>
        <w:tab/>
      </w:r>
      <w:r w:rsidR="00EA0E29" w:rsidRPr="00A470FF">
        <w:rPr>
          <w:i/>
        </w:rPr>
        <w:t>Requests</w:t>
      </w:r>
      <w:r w:rsidR="00EA0E29" w:rsidRPr="00A470FF">
        <w:t xml:space="preserve"> the Board of the Green Climate Fund to ensure that the revised funding proposal template and concept note template are designed to facilitate the application process;</w:t>
      </w:r>
    </w:p>
    <w:p w14:paraId="1E8EFCB8" w14:textId="1E73A7CF" w:rsidR="00EA0E29" w:rsidRPr="00A470FF" w:rsidRDefault="00467704" w:rsidP="00467704">
      <w:pPr>
        <w:pStyle w:val="RegSingleTxtG"/>
        <w:numPr>
          <w:ilvl w:val="0"/>
          <w:numId w:val="0"/>
        </w:numPr>
        <w:tabs>
          <w:tab w:val="left" w:pos="568"/>
        </w:tabs>
        <w:spacing w:before="120"/>
        <w:ind w:left="1134"/>
      </w:pPr>
      <w:r w:rsidRPr="00A470FF">
        <w:t>14.</w:t>
      </w:r>
      <w:r w:rsidRPr="00A470FF">
        <w:tab/>
      </w:r>
      <w:r w:rsidR="00EA0E29" w:rsidRPr="00A470FF">
        <w:rPr>
          <w:i/>
        </w:rPr>
        <w:t>Also requests</w:t>
      </w:r>
      <w:r w:rsidR="00EA0E29" w:rsidRPr="00A470FF">
        <w:t xml:space="preserve"> the Board of the Green Climate Fund to adopt a simplified process for approval of proposals for certain activities, in particular for small-scale activities, as soon as possible in 2016, to reduce complexities and costs involved in project proposal development;</w:t>
      </w:r>
    </w:p>
    <w:p w14:paraId="1E8EFCB9" w14:textId="732646B6" w:rsidR="00EA0E29" w:rsidRPr="00A470FF" w:rsidRDefault="00467704" w:rsidP="00467704">
      <w:pPr>
        <w:pStyle w:val="RegSingleTxtG"/>
        <w:numPr>
          <w:ilvl w:val="0"/>
          <w:numId w:val="0"/>
        </w:numPr>
        <w:tabs>
          <w:tab w:val="left" w:pos="568"/>
        </w:tabs>
        <w:spacing w:before="120"/>
        <w:ind w:left="1134"/>
        <w:rPr>
          <w:rFonts w:eastAsia="Times New Roman"/>
          <w:lang w:eastAsia="en-US"/>
        </w:rPr>
      </w:pPr>
      <w:r w:rsidRPr="00A470FF">
        <w:rPr>
          <w:rFonts w:eastAsia="Times New Roman"/>
          <w:lang w:eastAsia="en-US"/>
        </w:rPr>
        <w:t>15.</w:t>
      </w:r>
      <w:r w:rsidRPr="00A470FF">
        <w:rPr>
          <w:rFonts w:eastAsia="Times New Roman"/>
          <w:lang w:eastAsia="en-US"/>
        </w:rPr>
        <w:tab/>
      </w:r>
      <w:r w:rsidR="00EA0E29" w:rsidRPr="00A470FF">
        <w:rPr>
          <w:i/>
          <w:lang w:eastAsia="en-US"/>
        </w:rPr>
        <w:t>Welcomes</w:t>
      </w:r>
      <w:r w:rsidR="00EA0E29" w:rsidRPr="00A470FF">
        <w:rPr>
          <w:lang w:eastAsia="en-US"/>
        </w:rPr>
        <w:t xml:space="preserve"> the decisions of the Board of the Green Climate Fund to approve the accreditation of 20 national, regional, international and private entities to the Green Climate Fund;</w:t>
      </w:r>
      <w:r w:rsidR="00EA0E29" w:rsidRPr="00A470FF">
        <w:rPr>
          <w:rStyle w:val="FootnoteReference"/>
          <w:lang w:eastAsia="en-US"/>
        </w:rPr>
        <w:footnoteReference w:id="23"/>
      </w:r>
    </w:p>
    <w:p w14:paraId="1E8EFCBA" w14:textId="1CB1FC3C" w:rsidR="00EA0E29" w:rsidRPr="00A470FF" w:rsidRDefault="00467704" w:rsidP="00467704">
      <w:pPr>
        <w:pStyle w:val="RegSingleTxtG"/>
        <w:numPr>
          <w:ilvl w:val="0"/>
          <w:numId w:val="0"/>
        </w:numPr>
        <w:tabs>
          <w:tab w:val="left" w:pos="568"/>
        </w:tabs>
        <w:spacing w:before="120"/>
        <w:ind w:left="1134"/>
        <w:rPr>
          <w:rFonts w:eastAsia="Times New Roman"/>
          <w:lang w:eastAsia="en-US"/>
        </w:rPr>
      </w:pPr>
      <w:r w:rsidRPr="00A470FF">
        <w:rPr>
          <w:rFonts w:eastAsia="Times New Roman"/>
          <w:lang w:eastAsia="en-US"/>
        </w:rPr>
        <w:t>16.</w:t>
      </w:r>
      <w:r w:rsidRPr="00A470FF">
        <w:rPr>
          <w:rFonts w:eastAsia="Times New Roman"/>
          <w:lang w:eastAsia="en-US"/>
        </w:rPr>
        <w:tab/>
      </w:r>
      <w:r w:rsidR="00EA0E29" w:rsidRPr="00A470FF">
        <w:rPr>
          <w:i/>
          <w:lang w:eastAsia="en-US"/>
        </w:rPr>
        <w:t xml:space="preserve">Urges </w:t>
      </w:r>
      <w:r w:rsidR="00EA0E29" w:rsidRPr="00A470FF">
        <w:rPr>
          <w:lang w:eastAsia="en-US"/>
        </w:rPr>
        <w:t>the Board of the Green Climate Fund to streamline the accreditation modalities and to seek a balance of diversity in accredited entities;</w:t>
      </w:r>
    </w:p>
    <w:p w14:paraId="1E8EFCBB" w14:textId="6BF47824"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17.</w:t>
      </w:r>
      <w:r w:rsidRPr="00A470FF">
        <w:rPr>
          <w:lang w:eastAsia="en-US"/>
        </w:rPr>
        <w:tab/>
      </w:r>
      <w:r w:rsidR="00EA0E29" w:rsidRPr="00A470FF" w:rsidDel="00324C53">
        <w:rPr>
          <w:i/>
        </w:rPr>
        <w:t xml:space="preserve"> </w:t>
      </w:r>
      <w:r w:rsidR="00EA0E29" w:rsidRPr="00A470FF">
        <w:rPr>
          <w:i/>
          <w:lang w:eastAsia="en-US"/>
        </w:rPr>
        <w:t xml:space="preserve">Takes note </w:t>
      </w:r>
      <w:r w:rsidR="00EA0E29" w:rsidRPr="00A470FF">
        <w:rPr>
          <w:lang w:eastAsia="en-US"/>
        </w:rPr>
        <w:t>of the progress achieved to date in the implementation of the readiness and preparatory support programme of the Green Climate Fund and stresses the importance of improving the approval process and timely disbursement of readiness resources to facilitate readiness programme implementation pursuant to Green Climate Fund Board decision B.11/</w:t>
      </w:r>
      <w:r w:rsidR="00EF4574" w:rsidRPr="00A470FF">
        <w:rPr>
          <w:lang w:eastAsia="en-US"/>
        </w:rPr>
        <w:t>0</w:t>
      </w:r>
      <w:r w:rsidR="00EA0E29" w:rsidRPr="00A470FF">
        <w:rPr>
          <w:lang w:eastAsia="en-US"/>
        </w:rPr>
        <w:t>4;</w:t>
      </w:r>
    </w:p>
    <w:p w14:paraId="1E8EFCBC" w14:textId="5A723F55"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18.</w:t>
      </w:r>
      <w:r w:rsidRPr="00A470FF">
        <w:rPr>
          <w:lang w:eastAsia="en-US"/>
        </w:rPr>
        <w:tab/>
      </w:r>
      <w:r w:rsidR="00EA0E29" w:rsidRPr="00A470FF">
        <w:rPr>
          <w:i/>
        </w:rPr>
        <w:t>Requests</w:t>
      </w:r>
      <w:r w:rsidR="00EA0E29" w:rsidRPr="00A470FF">
        <w:t xml:space="preserve"> </w:t>
      </w:r>
      <w:r w:rsidR="00EA0E29" w:rsidRPr="00A470FF">
        <w:rPr>
          <w:rFonts w:eastAsia="Times New Roman"/>
        </w:rPr>
        <w:t>the Board of the Green Climate Fund to prioritize the development of its initial risk management framework</w:t>
      </w:r>
      <w:r w:rsidR="00EA0E29" w:rsidRPr="00A470FF">
        <w:rPr>
          <w:lang w:eastAsia="en-US"/>
        </w:rPr>
        <w:t>;</w:t>
      </w:r>
    </w:p>
    <w:p w14:paraId="1E8EFCBD" w14:textId="58D0B9BC"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19.</w:t>
      </w:r>
      <w:r w:rsidRPr="00A470FF">
        <w:rPr>
          <w:lang w:eastAsia="en-US"/>
        </w:rPr>
        <w:tab/>
      </w:r>
      <w:r w:rsidR="00EA0E29" w:rsidRPr="00A470FF">
        <w:rPr>
          <w:rFonts w:eastAsiaTheme="minorHAnsi"/>
          <w:i/>
          <w:lang w:eastAsia="en-US"/>
        </w:rPr>
        <w:t>Also</w:t>
      </w:r>
      <w:r w:rsidR="00EA0E29" w:rsidRPr="00A470FF">
        <w:rPr>
          <w:rFonts w:eastAsiaTheme="minorHAnsi"/>
          <w:lang w:eastAsia="en-US"/>
        </w:rPr>
        <w:t xml:space="preserve"> </w:t>
      </w:r>
      <w:r w:rsidR="00EA0E29" w:rsidRPr="00A470FF">
        <w:rPr>
          <w:rFonts w:eastAsiaTheme="minorHAnsi"/>
          <w:i/>
          <w:lang w:eastAsia="en-US"/>
        </w:rPr>
        <w:t>requests</w:t>
      </w:r>
      <w:r w:rsidR="00EA0E29" w:rsidRPr="00A470FF">
        <w:rPr>
          <w:rFonts w:eastAsiaTheme="minorHAnsi"/>
          <w:lang w:eastAsia="en-US"/>
        </w:rPr>
        <w:t xml:space="preserve"> the Board of the Green Climate Fund to enhance transparency and stakeholder engagement;</w:t>
      </w:r>
    </w:p>
    <w:p w14:paraId="1E8EFCBE" w14:textId="660B4130"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20.</w:t>
      </w:r>
      <w:r w:rsidRPr="00A470FF">
        <w:rPr>
          <w:lang w:eastAsia="en-US"/>
        </w:rPr>
        <w:tab/>
      </w:r>
      <w:r w:rsidR="00EA0E29" w:rsidRPr="00A470FF">
        <w:rPr>
          <w:i/>
          <w:lang w:eastAsia="en-US"/>
        </w:rPr>
        <w:t>Urges</w:t>
      </w:r>
      <w:r w:rsidR="00EA0E29" w:rsidRPr="00A470FF">
        <w:rPr>
          <w:lang w:eastAsia="en-US"/>
        </w:rPr>
        <w:t xml:space="preserve"> the Board of the Green Climate Fund to operationalize the Independent Evaluation Unit, Independent Redress Mechanism and Independent Integrity Unit as a matter of urgency and to make public the procedures Parties and affected individuals should follow when seeking redress until the Independent Redress Mechanism is operationalized; </w:t>
      </w:r>
    </w:p>
    <w:p w14:paraId="1E8EFCBF" w14:textId="0EF19C71"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21.</w:t>
      </w:r>
      <w:r w:rsidRPr="00A470FF">
        <w:rPr>
          <w:lang w:eastAsia="en-US"/>
        </w:rPr>
        <w:tab/>
      </w:r>
      <w:r w:rsidR="00EA0E29" w:rsidRPr="00A470FF">
        <w:rPr>
          <w:i/>
          <w:lang w:eastAsia="en-US"/>
        </w:rPr>
        <w:t xml:space="preserve">Invites </w:t>
      </w:r>
      <w:r w:rsidR="00EA0E29" w:rsidRPr="00A470FF">
        <w:rPr>
          <w:lang w:eastAsia="en-US"/>
        </w:rPr>
        <w:t xml:space="preserve">the Board of the Green Climate Fund to take into account in its programmatic priorities the Cancun Adaptation Framework, in particular the principles referred to in </w:t>
      </w:r>
      <w:r w:rsidR="00682F9B" w:rsidRPr="00A470FF">
        <w:rPr>
          <w:lang w:eastAsia="en-US"/>
        </w:rPr>
        <w:t xml:space="preserve">decision 1/CP.16, </w:t>
      </w:r>
      <w:r w:rsidR="00EA0E29" w:rsidRPr="00A470FF">
        <w:rPr>
          <w:lang w:eastAsia="en-US"/>
        </w:rPr>
        <w:t>paragraph 12</w:t>
      </w:r>
      <w:r w:rsidR="00682F9B" w:rsidRPr="00A470FF">
        <w:rPr>
          <w:lang w:eastAsia="en-US"/>
        </w:rPr>
        <w:t>,</w:t>
      </w:r>
      <w:r w:rsidR="00EA0E29" w:rsidRPr="00A470FF">
        <w:rPr>
          <w:lang w:eastAsia="en-US"/>
        </w:rPr>
        <w:t xml:space="preserve"> and the activities referred to in </w:t>
      </w:r>
      <w:r w:rsidR="00682F9B" w:rsidRPr="00A470FF">
        <w:rPr>
          <w:lang w:eastAsia="en-US"/>
        </w:rPr>
        <w:t xml:space="preserve">decision 1/CP.16, </w:t>
      </w:r>
      <w:r w:rsidR="00EA0E29" w:rsidRPr="00A470FF">
        <w:rPr>
          <w:lang w:eastAsia="en-US"/>
        </w:rPr>
        <w:t>paragraph 14;</w:t>
      </w:r>
    </w:p>
    <w:p w14:paraId="1E8EFCC0" w14:textId="0F176104" w:rsidR="00EA0E29" w:rsidRPr="00A470FF" w:rsidRDefault="00467704" w:rsidP="00467704">
      <w:pPr>
        <w:pStyle w:val="RegSingleTxtG"/>
        <w:numPr>
          <w:ilvl w:val="0"/>
          <w:numId w:val="0"/>
        </w:numPr>
        <w:tabs>
          <w:tab w:val="left" w:pos="568"/>
        </w:tabs>
        <w:spacing w:before="120"/>
        <w:ind w:left="1134"/>
        <w:rPr>
          <w:i/>
        </w:rPr>
      </w:pPr>
      <w:r w:rsidRPr="00A470FF">
        <w:t>22.</w:t>
      </w:r>
      <w:r w:rsidRPr="00A470FF">
        <w:tab/>
      </w:r>
      <w:r w:rsidR="00EA0E29" w:rsidRPr="00A470FF">
        <w:rPr>
          <w:i/>
        </w:rPr>
        <w:t>Also</w:t>
      </w:r>
      <w:r w:rsidR="00EA0E29" w:rsidRPr="00A470FF">
        <w:t xml:space="preserve"> </w:t>
      </w:r>
      <w:r w:rsidR="00EA0E29" w:rsidRPr="00A470FF">
        <w:rPr>
          <w:i/>
        </w:rPr>
        <w:t xml:space="preserve">invites </w:t>
      </w:r>
      <w:r w:rsidR="00EA0E29" w:rsidRPr="00A470FF">
        <w:t>the Board of the Green Climate Fund, in line with paragraph 38 of the governing instrument of the Green Climate Fund,</w:t>
      </w:r>
      <w:r w:rsidR="00EA0E29" w:rsidRPr="00A470FF">
        <w:rPr>
          <w:rStyle w:val="FootnoteReference"/>
        </w:rPr>
        <w:footnoteReference w:id="24"/>
      </w:r>
      <w:r w:rsidR="00EA0E29" w:rsidRPr="00A470FF">
        <w:t xml:space="preserve"> to consider ways to provide support, pursuant to the modalities of the Green Climate Fund, for facilitating access to environmentally sound technologies in developing countr</w:t>
      </w:r>
      <w:r w:rsidR="00D24FF8" w:rsidRPr="00A470FF">
        <w:t>y Parties</w:t>
      </w:r>
      <w:r w:rsidR="00EA0E29" w:rsidRPr="00A470FF">
        <w:t>, and for undertaking collaborative research and development for enabling developing countr</w:t>
      </w:r>
      <w:r w:rsidR="00D24FF8" w:rsidRPr="00A470FF">
        <w:t xml:space="preserve">y Parties </w:t>
      </w:r>
      <w:r w:rsidR="00EA0E29" w:rsidRPr="00A470FF">
        <w:t>to enhance their mitigation and adaptation action;</w:t>
      </w:r>
    </w:p>
    <w:p w14:paraId="1E8EFCC1" w14:textId="1CC36571"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23.</w:t>
      </w:r>
      <w:r w:rsidRPr="00A470FF">
        <w:rPr>
          <w:lang w:eastAsia="en-US"/>
        </w:rPr>
        <w:tab/>
      </w:r>
      <w:r w:rsidR="00EA0E29" w:rsidRPr="00A470FF">
        <w:rPr>
          <w:i/>
        </w:rPr>
        <w:t>Urges</w:t>
      </w:r>
      <w:r w:rsidR="00EA0E29" w:rsidRPr="00A470FF">
        <w:t xml:space="preserve"> the Board of the Green Climate Fund to operationalize results-based payments for activities referred to in decision 1/CP.16, paragraph 70, consistent with decision 9/CP.19, and in accordance with Green Climate Fund Board decision B.08/08; </w:t>
      </w:r>
    </w:p>
    <w:p w14:paraId="1E8EFCC2" w14:textId="72B4CA57" w:rsidR="00EA0E29"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lastRenderedPageBreak/>
        <w:t>24.</w:t>
      </w:r>
      <w:r w:rsidRPr="00A470FF">
        <w:rPr>
          <w:lang w:eastAsia="en-US"/>
        </w:rPr>
        <w:tab/>
      </w:r>
      <w:r w:rsidR="00EA0E29" w:rsidRPr="00A470FF">
        <w:rPr>
          <w:i/>
          <w:color w:val="000000" w:themeColor="text1"/>
        </w:rPr>
        <w:t>Encourages</w:t>
      </w:r>
      <w:r w:rsidR="00EA0E29" w:rsidRPr="00A470FF">
        <w:rPr>
          <w:color w:val="000000" w:themeColor="text1"/>
        </w:rPr>
        <w:t xml:space="preserve"> the Board of the Green Climate Fund to consider the mobilization of private sector finance to progress the </w:t>
      </w:r>
      <w:r w:rsidR="00EE4BB8" w:rsidRPr="00A470FF">
        <w:rPr>
          <w:color w:val="000000" w:themeColor="text1"/>
        </w:rPr>
        <w:t xml:space="preserve">Green Climate </w:t>
      </w:r>
      <w:r w:rsidR="00EA0E29" w:rsidRPr="00A470FF">
        <w:rPr>
          <w:color w:val="000000" w:themeColor="text1"/>
        </w:rPr>
        <w:t>Fund’s forestry-related result areas;</w:t>
      </w:r>
    </w:p>
    <w:p w14:paraId="1E8EFCC3" w14:textId="5EA81EDC" w:rsidR="00EA0E29" w:rsidRPr="00A470FF" w:rsidRDefault="00467704" w:rsidP="00467704">
      <w:pPr>
        <w:pStyle w:val="RegSingleTxtG"/>
        <w:numPr>
          <w:ilvl w:val="0"/>
          <w:numId w:val="0"/>
        </w:numPr>
        <w:tabs>
          <w:tab w:val="left" w:pos="568"/>
        </w:tabs>
        <w:ind w:left="1135"/>
        <w:rPr>
          <w:lang w:eastAsia="en-US"/>
        </w:rPr>
      </w:pPr>
      <w:r w:rsidRPr="00A470FF">
        <w:rPr>
          <w:lang w:eastAsia="en-US"/>
        </w:rPr>
        <w:t>25.</w:t>
      </w:r>
      <w:r w:rsidRPr="00A470FF">
        <w:rPr>
          <w:lang w:eastAsia="en-US"/>
        </w:rPr>
        <w:tab/>
      </w:r>
      <w:r w:rsidR="00EA0E29" w:rsidRPr="00A470FF">
        <w:rPr>
          <w:i/>
          <w:lang w:eastAsia="en-US"/>
        </w:rPr>
        <w:t>Requests</w:t>
      </w:r>
      <w:r w:rsidR="00EA0E29" w:rsidRPr="00A470FF">
        <w:rPr>
          <w:lang w:eastAsia="en-US"/>
        </w:rPr>
        <w:t xml:space="preserve"> the </w:t>
      </w:r>
      <w:r w:rsidR="00EA0E29" w:rsidRPr="00A470FF">
        <w:t xml:space="preserve">Board of the Green Climate Fund to </w:t>
      </w:r>
      <w:r w:rsidR="00EA0E29" w:rsidRPr="00A470FF">
        <w:rPr>
          <w:bCs/>
        </w:rPr>
        <w:t xml:space="preserve">take into account </w:t>
      </w:r>
      <w:r w:rsidR="008F5AA7" w:rsidRPr="00A470FF">
        <w:rPr>
          <w:bCs/>
        </w:rPr>
        <w:t>decision 16</w:t>
      </w:r>
      <w:r w:rsidR="00EA0E29" w:rsidRPr="00A470FF">
        <w:rPr>
          <w:bCs/>
        </w:rPr>
        <w:t>/CP.21, in particular paragraph 6, referring to support</w:t>
      </w:r>
      <w:r w:rsidR="00EA0E29" w:rsidRPr="00A470FF">
        <w:t xml:space="preserve"> for alternative policy approaches, such as joint mitigation and adaptation approaches for the integral and sustainable management of forests</w:t>
      </w:r>
      <w:r w:rsidR="00EE4BB8" w:rsidRPr="00A470FF">
        <w:t>,</w:t>
      </w:r>
      <w:r w:rsidR="00EA0E29" w:rsidRPr="00A470FF">
        <w:t xml:space="preserve"> as appropriate</w:t>
      </w:r>
      <w:r w:rsidR="00EE4BB8" w:rsidRPr="00A470FF">
        <w:t>,</w:t>
      </w:r>
      <w:r w:rsidR="00EA0E29" w:rsidRPr="00A470FF">
        <w:t xml:space="preserve"> in its funding decisions</w:t>
      </w:r>
      <w:r w:rsidR="00EA0E29" w:rsidRPr="00A470FF">
        <w:rPr>
          <w:lang w:eastAsia="en-US"/>
        </w:rPr>
        <w:t>;</w:t>
      </w:r>
    </w:p>
    <w:p w14:paraId="1E8EFCC4" w14:textId="10105C0D" w:rsidR="00EA0E29" w:rsidRPr="00A470FF" w:rsidRDefault="00467704" w:rsidP="00467704">
      <w:pPr>
        <w:pStyle w:val="RegSingleTxtG"/>
        <w:numPr>
          <w:ilvl w:val="0"/>
          <w:numId w:val="0"/>
        </w:numPr>
        <w:tabs>
          <w:tab w:val="left" w:pos="568"/>
        </w:tabs>
        <w:spacing w:before="120"/>
        <w:ind w:left="1134"/>
        <w:rPr>
          <w:rFonts w:eastAsia="Times New Roman"/>
          <w:lang w:eastAsia="en-US"/>
        </w:rPr>
      </w:pPr>
      <w:r w:rsidRPr="00A470FF">
        <w:rPr>
          <w:rFonts w:eastAsia="Times New Roman"/>
          <w:lang w:eastAsia="en-US"/>
        </w:rPr>
        <w:t>26.</w:t>
      </w:r>
      <w:r w:rsidRPr="00A470FF">
        <w:rPr>
          <w:rFonts w:eastAsia="Times New Roman"/>
          <w:lang w:eastAsia="en-US"/>
        </w:rPr>
        <w:tab/>
      </w:r>
      <w:r w:rsidR="00EA0E29" w:rsidRPr="00A470FF">
        <w:rPr>
          <w:i/>
        </w:rPr>
        <w:t>Encourages</w:t>
      </w:r>
      <w:r w:rsidR="00EA0E29" w:rsidRPr="00A470FF">
        <w:t xml:space="preserve"> the Board of the Green Climate Fund to improve complementarity and coherence with other institutions, per paragraphs 33 and 34 of the governing instrument</w:t>
      </w:r>
      <w:r w:rsidR="00B65473" w:rsidRPr="00A470FF">
        <w:t xml:space="preserve"> of the Green Climate Fund</w:t>
      </w:r>
      <w:r w:rsidR="00FD0E78" w:rsidRPr="00A470FF">
        <w:t>,</w:t>
      </w:r>
      <w:r w:rsidR="00D24FF8" w:rsidRPr="00A470FF">
        <w:rPr>
          <w:rStyle w:val="FootnoteReference"/>
        </w:rPr>
        <w:footnoteReference w:id="25"/>
      </w:r>
      <w:r w:rsidR="00EA0E29" w:rsidRPr="00A470FF">
        <w:t xml:space="preserve"> including by engaging with relevant bodies of the Convention, </w:t>
      </w:r>
      <w:r w:rsidR="00EE4BB8" w:rsidRPr="00A470FF">
        <w:t>such as</w:t>
      </w:r>
      <w:r w:rsidR="00EA0E29" w:rsidRPr="00A470FF">
        <w:t xml:space="preserve"> the Standing Committee on Finance;</w:t>
      </w:r>
    </w:p>
    <w:p w14:paraId="1E8EFCC5" w14:textId="52E4013D" w:rsidR="00EA0E29" w:rsidRPr="00A470FF" w:rsidRDefault="00467704" w:rsidP="00467704">
      <w:pPr>
        <w:pStyle w:val="RegSingleTxtG"/>
        <w:numPr>
          <w:ilvl w:val="0"/>
          <w:numId w:val="0"/>
        </w:numPr>
        <w:tabs>
          <w:tab w:val="left" w:pos="568"/>
        </w:tabs>
        <w:spacing w:before="120"/>
        <w:ind w:left="1134"/>
        <w:rPr>
          <w:rFonts w:eastAsia="Times New Roman"/>
          <w:lang w:eastAsia="en-US"/>
        </w:rPr>
      </w:pPr>
      <w:r w:rsidRPr="00A470FF">
        <w:rPr>
          <w:rFonts w:eastAsia="Times New Roman"/>
          <w:lang w:eastAsia="en-US"/>
        </w:rPr>
        <w:t>27.</w:t>
      </w:r>
      <w:r w:rsidRPr="00A470FF">
        <w:rPr>
          <w:rFonts w:eastAsia="Times New Roman"/>
          <w:lang w:eastAsia="en-US"/>
        </w:rPr>
        <w:tab/>
      </w:r>
      <w:r w:rsidR="00EA0E29" w:rsidRPr="00A470FF" w:rsidDel="004B5E2F">
        <w:rPr>
          <w:i/>
          <w:lang w:eastAsia="en-US"/>
        </w:rPr>
        <w:t xml:space="preserve"> </w:t>
      </w:r>
      <w:r w:rsidR="00EA0E29" w:rsidRPr="00A470FF">
        <w:rPr>
          <w:rFonts w:eastAsia="Times New Roman"/>
          <w:i/>
          <w:lang w:eastAsia="en-US"/>
        </w:rPr>
        <w:t>Urges</w:t>
      </w:r>
      <w:r w:rsidR="00EA0E29" w:rsidRPr="00A470FF">
        <w:rPr>
          <w:rFonts w:eastAsia="Times New Roman"/>
          <w:lang w:eastAsia="en-US"/>
        </w:rPr>
        <w:t xml:space="preserve"> the Board of the </w:t>
      </w:r>
      <w:r w:rsidR="00EA0E29" w:rsidRPr="00A470FF">
        <w:rPr>
          <w:lang w:eastAsia="en-US"/>
        </w:rPr>
        <w:t>Green Climate Fund</w:t>
      </w:r>
      <w:r w:rsidR="00EA0E29" w:rsidRPr="00A470FF">
        <w:rPr>
          <w:rFonts w:eastAsia="Times New Roman"/>
          <w:lang w:eastAsia="en-US"/>
        </w:rPr>
        <w:t xml:space="preserve"> to develop appropriate mechanisms to support the fund through appropriate expert and technical advice, including from thematic bodies, as appropriate;</w:t>
      </w:r>
    </w:p>
    <w:p w14:paraId="1E8EFCC6" w14:textId="45B88570" w:rsidR="00EA0E29" w:rsidRPr="00A470FF" w:rsidRDefault="00467704" w:rsidP="00467704">
      <w:pPr>
        <w:pStyle w:val="RegSingleTxtG"/>
        <w:numPr>
          <w:ilvl w:val="0"/>
          <w:numId w:val="0"/>
        </w:numPr>
        <w:tabs>
          <w:tab w:val="left" w:pos="568"/>
        </w:tabs>
        <w:spacing w:before="120"/>
        <w:ind w:left="1134"/>
      </w:pPr>
      <w:r w:rsidRPr="00A470FF">
        <w:t>28.</w:t>
      </w:r>
      <w:r w:rsidRPr="00A470FF">
        <w:tab/>
      </w:r>
      <w:r w:rsidR="00EA0E29" w:rsidRPr="00A470FF">
        <w:rPr>
          <w:i/>
        </w:rPr>
        <w:t xml:space="preserve">Requests </w:t>
      </w:r>
      <w:r w:rsidR="00EA0E29" w:rsidRPr="00A470FF">
        <w:t xml:space="preserve">the Board of the Green Climate Fund to report to the Conference of Parties on the steps it has taken to implement the guidance provided in this decision and other relevant decisions of the Conference of the Parties; </w:t>
      </w:r>
    </w:p>
    <w:p w14:paraId="1E8EFCC7" w14:textId="11BE1F04" w:rsidR="00EA0E29" w:rsidRPr="00A470FF" w:rsidRDefault="00467704" w:rsidP="00467704">
      <w:pPr>
        <w:pStyle w:val="RegSingleTxtG"/>
        <w:numPr>
          <w:ilvl w:val="0"/>
          <w:numId w:val="0"/>
        </w:numPr>
        <w:tabs>
          <w:tab w:val="left" w:pos="568"/>
        </w:tabs>
        <w:spacing w:before="120"/>
        <w:ind w:left="1134"/>
      </w:pPr>
      <w:r w:rsidRPr="00A470FF">
        <w:t>29.</w:t>
      </w:r>
      <w:r w:rsidRPr="00A470FF">
        <w:tab/>
      </w:r>
      <w:r w:rsidR="00EA0E29" w:rsidRPr="00A470FF">
        <w:rPr>
          <w:rFonts w:eastAsia="Times New Roman"/>
          <w:i/>
          <w:lang w:eastAsia="en-US"/>
        </w:rPr>
        <w:t>Invites</w:t>
      </w:r>
      <w:r w:rsidR="00EA0E29" w:rsidRPr="00A470FF">
        <w:rPr>
          <w:rFonts w:eastAsia="Times New Roman"/>
          <w:lang w:eastAsia="en-US"/>
        </w:rPr>
        <w:t xml:space="preserve"> Parties to submit to the secretariat </w:t>
      </w:r>
      <w:r w:rsidR="005B518E" w:rsidRPr="00A470FF">
        <w:rPr>
          <w:rFonts w:eastAsia="Times New Roman"/>
          <w:lang w:eastAsia="en-US"/>
        </w:rPr>
        <w:t xml:space="preserve">annually, </w:t>
      </w:r>
      <w:r w:rsidR="00EA0E29" w:rsidRPr="00A470FF">
        <w:rPr>
          <w:rFonts w:eastAsia="Times New Roman"/>
          <w:lang w:eastAsia="en-US"/>
        </w:rPr>
        <w:t xml:space="preserve">in writing </w:t>
      </w:r>
      <w:r w:rsidR="005B518E" w:rsidRPr="00A470FF">
        <w:rPr>
          <w:rFonts w:eastAsia="Times New Roman"/>
          <w:lang w:eastAsia="en-US"/>
        </w:rPr>
        <w:t xml:space="preserve">and </w:t>
      </w:r>
      <w:r w:rsidR="00EA0E29" w:rsidRPr="00A470FF">
        <w:rPr>
          <w:rFonts w:eastAsia="Times New Roman"/>
          <w:lang w:eastAsia="en-US"/>
        </w:rPr>
        <w:t xml:space="preserve">no later than 10 weeks prior to each session of the Conference of the Parties, their views and recommendations on the elements to be taken into account in developing guidance to the </w:t>
      </w:r>
      <w:r w:rsidR="00D24FF8" w:rsidRPr="00A470FF">
        <w:rPr>
          <w:rFonts w:eastAsia="Times New Roman"/>
          <w:lang w:eastAsia="en-US"/>
        </w:rPr>
        <w:t xml:space="preserve">Green Climate Fund. </w:t>
      </w:r>
    </w:p>
    <w:p w14:paraId="1E8EFCC9" w14:textId="77777777" w:rsidR="00AA552D" w:rsidRPr="00A470FF" w:rsidRDefault="000A6FE3"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11</w:t>
      </w:r>
      <w:r w:rsidR="00AA552D" w:rsidRPr="00A470FF">
        <w:rPr>
          <w:i/>
          <w:vertAlign w:val="superscript"/>
          <w:lang w:eastAsia="en-US"/>
        </w:rPr>
        <w:t>th</w:t>
      </w:r>
      <w:r w:rsidR="00AA552D" w:rsidRPr="00A470FF">
        <w:rPr>
          <w:i/>
          <w:lang w:eastAsia="en-US"/>
        </w:rPr>
        <w:t xml:space="preserve"> plenary meeting</w:t>
      </w:r>
    </w:p>
    <w:p w14:paraId="1E8EFCCA" w14:textId="08846A47" w:rsidR="00AA552D" w:rsidRPr="00A470FF" w:rsidRDefault="00C42CD1"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 xml:space="preserve">13 </w:t>
      </w:r>
      <w:r w:rsidR="00AA552D" w:rsidRPr="00A470FF">
        <w:rPr>
          <w:i/>
          <w:lang w:eastAsia="en-US"/>
        </w:rPr>
        <w:t>December 2015</w:t>
      </w:r>
    </w:p>
    <w:p w14:paraId="1E8EFCCB" w14:textId="77777777" w:rsidR="00AA552D" w:rsidRPr="00A470FF" w:rsidRDefault="00AA552D" w:rsidP="00AA552D">
      <w:pPr>
        <w:sectPr w:rsidR="00AA552D" w:rsidRPr="00A470FF" w:rsidSect="00815DBB">
          <w:headerReference w:type="even" r:id="rId34"/>
          <w:headerReference w:type="default" r:id="rId35"/>
          <w:footerReference w:type="even" r:id="rId36"/>
          <w:footerReference w:type="default" r:id="rId37"/>
          <w:footnotePr>
            <w:numRestart w:val="eachSect"/>
          </w:footnotePr>
          <w:pgSz w:w="11906" w:h="16838" w:code="9"/>
          <w:pgMar w:top="1701" w:right="1134" w:bottom="2268" w:left="1134" w:header="1134" w:footer="1701" w:gutter="0"/>
          <w:cols w:space="708"/>
          <w:docGrid w:linePitch="360"/>
        </w:sectPr>
      </w:pPr>
    </w:p>
    <w:p w14:paraId="1E8EFCCC" w14:textId="77777777" w:rsidR="00AA552D" w:rsidRPr="00A470FF" w:rsidRDefault="00AA552D" w:rsidP="00AA552D">
      <w:pPr>
        <w:pStyle w:val="HChG"/>
        <w:ind w:firstLine="0"/>
        <w:rPr>
          <w:bCs/>
        </w:rPr>
      </w:pPr>
      <w:r w:rsidRPr="00A470FF">
        <w:rPr>
          <w:bCs/>
        </w:rPr>
        <w:lastRenderedPageBreak/>
        <w:t xml:space="preserve">Decision </w:t>
      </w:r>
      <w:r w:rsidR="00D35DA3" w:rsidRPr="00A470FF">
        <w:rPr>
          <w:bCs/>
        </w:rPr>
        <w:t>8</w:t>
      </w:r>
      <w:r w:rsidRPr="00A470FF">
        <w:rPr>
          <w:bCs/>
        </w:rPr>
        <w:t>/CP.21</w:t>
      </w:r>
    </w:p>
    <w:p w14:paraId="1E8EFCCD" w14:textId="77777777" w:rsidR="00AA552D" w:rsidRPr="00A470FF" w:rsidRDefault="00AA552D" w:rsidP="00AA552D">
      <w:pPr>
        <w:pStyle w:val="HChG"/>
      </w:pPr>
      <w:r w:rsidRPr="00A470FF">
        <w:tab/>
      </w:r>
      <w:r w:rsidRPr="00A470FF">
        <w:tab/>
        <w:t>Report of the Global Environment Facility to the Conference of the Parties and guidance to the Global Environment Facility</w:t>
      </w:r>
    </w:p>
    <w:p w14:paraId="1E8EFCCE" w14:textId="57575270" w:rsidR="003E0A8A" w:rsidRPr="00A470FF" w:rsidRDefault="00F01F00" w:rsidP="003E0A8A">
      <w:pPr>
        <w:pStyle w:val="RegSingleTxtG"/>
        <w:numPr>
          <w:ilvl w:val="0"/>
          <w:numId w:val="0"/>
        </w:numPr>
        <w:ind w:left="1134"/>
        <w:rPr>
          <w:rFonts w:eastAsia="Times New Roman"/>
          <w:i/>
          <w:lang w:eastAsia="en-US"/>
        </w:rPr>
      </w:pPr>
      <w:r w:rsidRPr="00A470FF">
        <w:rPr>
          <w:rFonts w:eastAsia="Times New Roman"/>
          <w:i/>
          <w:lang w:eastAsia="en-US"/>
        </w:rPr>
        <w:tab/>
      </w:r>
      <w:r w:rsidR="003E0A8A" w:rsidRPr="00A470FF">
        <w:rPr>
          <w:rFonts w:eastAsia="Times New Roman"/>
          <w:i/>
          <w:lang w:eastAsia="en-US"/>
        </w:rPr>
        <w:t>The Conference of the Parties</w:t>
      </w:r>
      <w:r w:rsidR="003E0A8A" w:rsidRPr="00A470FF">
        <w:rPr>
          <w:rFonts w:eastAsia="Times New Roman"/>
          <w:lang w:eastAsia="en-US"/>
        </w:rPr>
        <w:t>,</w:t>
      </w:r>
    </w:p>
    <w:p w14:paraId="1E8EFCCF" w14:textId="77777777" w:rsidR="003E0A8A" w:rsidRPr="00A470FF" w:rsidRDefault="003E0A8A" w:rsidP="003E0A8A">
      <w:pPr>
        <w:pStyle w:val="RegSingleTxtG"/>
        <w:numPr>
          <w:ilvl w:val="0"/>
          <w:numId w:val="0"/>
        </w:numPr>
        <w:ind w:left="1134"/>
        <w:rPr>
          <w:rFonts w:eastAsia="Times New Roman"/>
          <w:lang w:eastAsia="en-US"/>
        </w:rPr>
      </w:pPr>
      <w:r w:rsidRPr="00A470FF">
        <w:rPr>
          <w:rFonts w:eastAsiaTheme="minorEastAsia"/>
          <w:lang w:eastAsia="ko-KR"/>
        </w:rPr>
        <w:tab/>
      </w:r>
      <w:r w:rsidRPr="00A470FF">
        <w:rPr>
          <w:i/>
        </w:rPr>
        <w:t>Recalling</w:t>
      </w:r>
      <w:r w:rsidRPr="00A470FF">
        <w:t xml:space="preserve"> decisions 12/CP.2, 3/CP.16, 5/CP.16, 7/CP.16, 11/CP.17, 9/CP.18, 6/CP.19 and 8/CP.20,</w:t>
      </w:r>
    </w:p>
    <w:p w14:paraId="1E8EFCD0" w14:textId="52D14884" w:rsidR="003E0A8A" w:rsidRPr="00A470FF" w:rsidRDefault="003E0A8A" w:rsidP="003E0A8A">
      <w:pPr>
        <w:pStyle w:val="RegSingleTxtG"/>
        <w:numPr>
          <w:ilvl w:val="0"/>
          <w:numId w:val="0"/>
        </w:numPr>
        <w:ind w:left="1134"/>
        <w:rPr>
          <w:rFonts w:eastAsia="Times New Roman"/>
          <w:lang w:eastAsia="en-US"/>
        </w:rPr>
      </w:pPr>
      <w:r w:rsidRPr="00A470FF">
        <w:rPr>
          <w:rFonts w:eastAsia="Times New Roman"/>
          <w:i/>
          <w:lang w:eastAsia="en-US"/>
        </w:rPr>
        <w:tab/>
        <w:t xml:space="preserve">Welcoming </w:t>
      </w:r>
      <w:r w:rsidRPr="00A470FF">
        <w:rPr>
          <w:rFonts w:eastAsia="Times New Roman"/>
          <w:lang w:eastAsia="en-US"/>
        </w:rPr>
        <w:t xml:space="preserve">the report of the Global Environment Facility to the Conference of the Parties </w:t>
      </w:r>
      <w:r w:rsidR="000D1848" w:rsidRPr="00A470FF">
        <w:rPr>
          <w:rFonts w:eastAsia="Times New Roman"/>
          <w:lang w:eastAsia="en-US"/>
        </w:rPr>
        <w:t xml:space="preserve">at its twenty-first session </w:t>
      </w:r>
      <w:r w:rsidRPr="00A470FF">
        <w:rPr>
          <w:rFonts w:eastAsia="Times New Roman"/>
          <w:lang w:eastAsia="en-US"/>
        </w:rPr>
        <w:t>and the information contained therein on the implementation of the sixth replenishment of the Global Environment Facility,</w:t>
      </w:r>
      <w:r w:rsidRPr="00A470FF">
        <w:rPr>
          <w:rStyle w:val="FootnoteReference"/>
          <w:rFonts w:eastAsia="Times New Roman"/>
          <w:lang w:eastAsia="en-US"/>
        </w:rPr>
        <w:footnoteReference w:id="26"/>
      </w:r>
    </w:p>
    <w:p w14:paraId="1E8EFCD1" w14:textId="77777777" w:rsidR="003E0A8A" w:rsidRPr="00A470FF" w:rsidRDefault="003E0A8A" w:rsidP="003E0A8A">
      <w:pPr>
        <w:pStyle w:val="RegSingleTxtG"/>
        <w:numPr>
          <w:ilvl w:val="0"/>
          <w:numId w:val="0"/>
        </w:numPr>
        <w:ind w:left="1134"/>
        <w:rPr>
          <w:rFonts w:eastAsia="Times New Roman"/>
          <w:lang w:eastAsia="en-US"/>
        </w:rPr>
      </w:pPr>
      <w:r w:rsidRPr="00A470FF">
        <w:rPr>
          <w:rFonts w:eastAsia="Times New Roman"/>
          <w:i/>
          <w:lang w:eastAsia="en-US"/>
        </w:rPr>
        <w:tab/>
        <w:t xml:space="preserve">Also welcoming </w:t>
      </w:r>
      <w:r w:rsidRPr="00A470FF">
        <w:rPr>
          <w:rFonts w:eastAsia="Times New Roman"/>
          <w:lang w:eastAsia="en-US"/>
        </w:rPr>
        <w:t>the pledges and contributions made to the Least Developed Countries Fund and the Special Climate Change Fund,</w:t>
      </w:r>
    </w:p>
    <w:p w14:paraId="1E8EFCD2" w14:textId="09902519" w:rsidR="003E0A8A" w:rsidRPr="00A470FF" w:rsidRDefault="003E0A8A" w:rsidP="003E0A8A">
      <w:pPr>
        <w:pStyle w:val="RegSingleTxtG"/>
        <w:numPr>
          <w:ilvl w:val="0"/>
          <w:numId w:val="0"/>
        </w:numPr>
        <w:ind w:left="1134"/>
        <w:rPr>
          <w:rFonts w:eastAsia="Times New Roman"/>
          <w:lang w:eastAsia="en-US"/>
        </w:rPr>
      </w:pPr>
      <w:r w:rsidRPr="00A470FF">
        <w:rPr>
          <w:rFonts w:eastAsia="Times New Roman"/>
          <w:i/>
          <w:lang w:eastAsia="en-US"/>
        </w:rPr>
        <w:tab/>
        <w:t>Noting</w:t>
      </w:r>
      <w:r w:rsidRPr="00A470FF">
        <w:rPr>
          <w:rFonts w:eastAsia="Times New Roman"/>
          <w:lang w:eastAsia="en-US"/>
        </w:rPr>
        <w:t xml:space="preserve"> the recommendations of the Standing Committee on Finance contained in its report to the Conference of the Parties </w:t>
      </w:r>
      <w:r w:rsidR="000D1848" w:rsidRPr="00A470FF">
        <w:rPr>
          <w:rFonts w:eastAsia="Times New Roman"/>
          <w:lang w:eastAsia="en-US"/>
        </w:rPr>
        <w:t xml:space="preserve">at its twenty-first session </w:t>
      </w:r>
      <w:r w:rsidRPr="00A470FF">
        <w:rPr>
          <w:rFonts w:eastAsia="Times New Roman"/>
          <w:lang w:eastAsia="en-US"/>
        </w:rPr>
        <w:t>with regard to the provision of draft guidance to the Global Environment Facility,</w:t>
      </w:r>
      <w:r w:rsidRPr="00A470FF">
        <w:rPr>
          <w:rStyle w:val="FootnoteReference"/>
          <w:rFonts w:eastAsia="Times New Roman"/>
          <w:lang w:eastAsia="en-US"/>
        </w:rPr>
        <w:footnoteReference w:id="27"/>
      </w:r>
    </w:p>
    <w:p w14:paraId="1E8EFCD3" w14:textId="6DF6022B" w:rsidR="003E0A8A" w:rsidRPr="00A470FF" w:rsidRDefault="00467704" w:rsidP="00467704">
      <w:pPr>
        <w:pStyle w:val="RegSingleTxtG"/>
        <w:numPr>
          <w:ilvl w:val="0"/>
          <w:numId w:val="0"/>
        </w:numPr>
        <w:tabs>
          <w:tab w:val="left" w:pos="568"/>
        </w:tabs>
        <w:spacing w:before="120"/>
        <w:ind w:left="1135"/>
        <w:rPr>
          <w:lang w:eastAsia="en-US"/>
        </w:rPr>
      </w:pPr>
      <w:r w:rsidRPr="00A470FF">
        <w:rPr>
          <w:lang w:eastAsia="en-US"/>
        </w:rPr>
        <w:t>1.</w:t>
      </w:r>
      <w:r w:rsidRPr="00A470FF">
        <w:rPr>
          <w:lang w:eastAsia="en-US"/>
        </w:rPr>
        <w:tab/>
      </w:r>
      <w:r w:rsidR="003E0A8A" w:rsidRPr="00A470FF">
        <w:rPr>
          <w:i/>
        </w:rPr>
        <w:t xml:space="preserve">Notes </w:t>
      </w:r>
      <w:r w:rsidR="003E0A8A" w:rsidRPr="00A470FF">
        <w:t>that the Global Environment Facility has supported implementation of the remaining elements of the least developed countries work programme, including the update and implementation of national adaptation programmes of action, by providing funding to projects aimed at building capacity for the least developed countries to participate effectively in climate change processes, promoting public awareness on climate change issues, promoting the transfer of adaptation technology, and strengthening meteorological and hydrological services;</w:t>
      </w:r>
    </w:p>
    <w:p w14:paraId="1E8EFCD4" w14:textId="1E81A079" w:rsidR="003E0A8A"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2.</w:t>
      </w:r>
      <w:r w:rsidRPr="00A470FF">
        <w:rPr>
          <w:lang w:eastAsia="en-US"/>
        </w:rPr>
        <w:tab/>
      </w:r>
      <w:r w:rsidR="003E0A8A" w:rsidRPr="00A470FF">
        <w:rPr>
          <w:i/>
          <w:lang w:eastAsia="en-US"/>
        </w:rPr>
        <w:t>Welcomes</w:t>
      </w:r>
      <w:r w:rsidR="003E0A8A" w:rsidRPr="00A470FF">
        <w:rPr>
          <w:lang w:eastAsia="en-US"/>
        </w:rPr>
        <w:t xml:space="preserve"> the investments by the Global Environment Facility in sustainable forest management and activities referred to in decision 1/CP.16, paragraph 70, harnessing multiple </w:t>
      </w:r>
      <w:r w:rsidR="003E0A8A" w:rsidRPr="00A470FF">
        <w:t>benefits</w:t>
      </w:r>
      <w:r w:rsidR="003E0A8A" w:rsidRPr="00A470FF">
        <w:rPr>
          <w:lang w:eastAsia="en-US"/>
        </w:rPr>
        <w:t xml:space="preserve"> from forests and tackling deforestation and forest degradation in line with the programming directions of the sixth replenishment of the Global Environment Facility Trust Fund;</w:t>
      </w:r>
      <w:r w:rsidR="003E0A8A" w:rsidRPr="00A470FF">
        <w:rPr>
          <w:rStyle w:val="FootnoteReference"/>
          <w:lang w:eastAsia="en-US"/>
        </w:rPr>
        <w:footnoteReference w:id="28"/>
      </w:r>
      <w:r w:rsidR="003E0A8A" w:rsidRPr="00A470FF">
        <w:rPr>
          <w:lang w:eastAsia="en-US"/>
        </w:rPr>
        <w:t xml:space="preserve"> </w:t>
      </w:r>
    </w:p>
    <w:p w14:paraId="1E8EFCD5" w14:textId="3771A988" w:rsidR="003E0A8A"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3.</w:t>
      </w:r>
      <w:r w:rsidRPr="00A470FF">
        <w:rPr>
          <w:lang w:eastAsia="en-US"/>
        </w:rPr>
        <w:tab/>
      </w:r>
      <w:r w:rsidR="003E0A8A" w:rsidRPr="00A470FF">
        <w:rPr>
          <w:i/>
          <w:lang w:eastAsia="en-US"/>
        </w:rPr>
        <w:t>Invites</w:t>
      </w:r>
      <w:r w:rsidR="003E0A8A" w:rsidRPr="00A470FF">
        <w:rPr>
          <w:lang w:eastAsia="en-US"/>
        </w:rPr>
        <w:t xml:space="preserve"> the Global Environment Facility to continue to provide finance to the activities referred to in paragraph 2 above, also taking into account decision 9/CP.19, paragraph 8, and decision </w:t>
      </w:r>
      <w:r w:rsidR="007149D6" w:rsidRPr="00A470FF">
        <w:rPr>
          <w:lang w:eastAsia="en-US"/>
        </w:rPr>
        <w:t>16</w:t>
      </w:r>
      <w:r w:rsidR="003E0A8A" w:rsidRPr="00A470FF">
        <w:rPr>
          <w:lang w:eastAsia="en-US"/>
        </w:rPr>
        <w:t>/CP.21</w:t>
      </w:r>
      <w:r w:rsidR="000D1848" w:rsidRPr="00A470FF">
        <w:rPr>
          <w:lang w:eastAsia="en-US"/>
        </w:rPr>
        <w:t>,</w:t>
      </w:r>
      <w:r w:rsidR="003E0A8A" w:rsidRPr="00A470FF">
        <w:rPr>
          <w:lang w:eastAsia="en-US"/>
        </w:rPr>
        <w:t xml:space="preserve"> as appropriate; </w:t>
      </w:r>
    </w:p>
    <w:p w14:paraId="1E8EFCD6" w14:textId="03B0F9F4" w:rsidR="003E0A8A" w:rsidRPr="00A470FF" w:rsidRDefault="00467704" w:rsidP="00467704">
      <w:pPr>
        <w:pStyle w:val="RegSingleTxtG"/>
        <w:numPr>
          <w:ilvl w:val="0"/>
          <w:numId w:val="0"/>
        </w:numPr>
        <w:tabs>
          <w:tab w:val="left" w:pos="568"/>
        </w:tabs>
        <w:spacing w:before="120"/>
        <w:ind w:left="1134"/>
        <w:rPr>
          <w:i/>
        </w:rPr>
      </w:pPr>
      <w:r w:rsidRPr="00A470FF">
        <w:t>4.</w:t>
      </w:r>
      <w:r w:rsidRPr="00A470FF">
        <w:tab/>
      </w:r>
      <w:r w:rsidR="003E0A8A" w:rsidRPr="00A470FF">
        <w:rPr>
          <w:i/>
        </w:rPr>
        <w:t>Encourages</w:t>
      </w:r>
      <w:r w:rsidR="003E0A8A" w:rsidRPr="00A470FF">
        <w:t xml:space="preserve"> additional voluntary financial contributions to provide support for the national adaptation plan process through contributions to the Least Developed Countries Fund and the Special Climate Change Fund;</w:t>
      </w:r>
    </w:p>
    <w:p w14:paraId="1E8EFCD7" w14:textId="082EBA62" w:rsidR="003E0A8A" w:rsidRPr="00A470FF" w:rsidRDefault="00467704" w:rsidP="00467704">
      <w:pPr>
        <w:pStyle w:val="RegSingleTxtG"/>
        <w:numPr>
          <w:ilvl w:val="0"/>
          <w:numId w:val="0"/>
        </w:numPr>
        <w:tabs>
          <w:tab w:val="left" w:pos="568"/>
        </w:tabs>
        <w:spacing w:before="120"/>
        <w:ind w:left="1134"/>
        <w:rPr>
          <w:i/>
          <w:sz w:val="18"/>
          <w:lang w:eastAsia="nl-NL"/>
        </w:rPr>
      </w:pPr>
      <w:r w:rsidRPr="00A470FF">
        <w:rPr>
          <w:lang w:eastAsia="nl-NL"/>
        </w:rPr>
        <w:t>5.</w:t>
      </w:r>
      <w:r w:rsidRPr="00A470FF">
        <w:rPr>
          <w:lang w:eastAsia="nl-NL"/>
        </w:rPr>
        <w:tab/>
      </w:r>
      <w:r w:rsidR="003E0A8A" w:rsidRPr="00A470FF">
        <w:rPr>
          <w:i/>
          <w:lang w:eastAsia="nl-NL"/>
        </w:rPr>
        <w:t>Welcomes</w:t>
      </w:r>
      <w:r w:rsidR="003E0A8A" w:rsidRPr="00A470FF">
        <w:rPr>
          <w:lang w:eastAsia="nl-NL"/>
        </w:rPr>
        <w:t xml:space="preserve"> the addition of eight project agencies to the network of</w:t>
      </w:r>
      <w:r w:rsidR="003E0A8A" w:rsidRPr="00A470FF">
        <w:rPr>
          <w:i/>
          <w:lang w:eastAsia="nl-NL"/>
        </w:rPr>
        <w:t xml:space="preserve"> </w:t>
      </w:r>
      <w:r w:rsidR="003E0A8A" w:rsidRPr="00A470FF">
        <w:rPr>
          <w:lang w:eastAsia="nl-NL"/>
        </w:rPr>
        <w:t>the Global Environment Facility;</w:t>
      </w:r>
    </w:p>
    <w:p w14:paraId="1E8EFCD8" w14:textId="2E0EC881" w:rsidR="003E0A8A" w:rsidRPr="00A470FF" w:rsidRDefault="00467704" w:rsidP="00467704">
      <w:pPr>
        <w:pStyle w:val="RegSingleTxtG"/>
        <w:numPr>
          <w:ilvl w:val="0"/>
          <w:numId w:val="0"/>
        </w:numPr>
        <w:tabs>
          <w:tab w:val="left" w:pos="568"/>
        </w:tabs>
        <w:spacing w:before="120"/>
        <w:ind w:left="1134"/>
        <w:rPr>
          <w:lang w:eastAsia="nl-NL"/>
        </w:rPr>
      </w:pPr>
      <w:r w:rsidRPr="00A470FF">
        <w:rPr>
          <w:lang w:eastAsia="nl-NL"/>
        </w:rPr>
        <w:t>6.</w:t>
      </w:r>
      <w:r w:rsidRPr="00A470FF">
        <w:rPr>
          <w:lang w:eastAsia="nl-NL"/>
        </w:rPr>
        <w:tab/>
      </w:r>
      <w:r w:rsidR="003E0A8A" w:rsidRPr="00A470FF">
        <w:rPr>
          <w:i/>
          <w:lang w:eastAsia="nl-NL"/>
        </w:rPr>
        <w:t>Notes</w:t>
      </w:r>
      <w:r w:rsidR="003E0A8A" w:rsidRPr="00A470FF">
        <w:rPr>
          <w:lang w:eastAsia="nl-NL"/>
        </w:rPr>
        <w:t xml:space="preserve"> that the Independent Evaluation Office of the Global Environment Facility is carrying out a review of the Least Developed Countries Fund;</w:t>
      </w:r>
    </w:p>
    <w:p w14:paraId="1E8EFCD9" w14:textId="4A39FF95" w:rsidR="003E0A8A" w:rsidRPr="00A470FF" w:rsidRDefault="00467704" w:rsidP="00467704">
      <w:pPr>
        <w:pStyle w:val="RegSingleTxtG"/>
        <w:numPr>
          <w:ilvl w:val="0"/>
          <w:numId w:val="0"/>
        </w:numPr>
        <w:tabs>
          <w:tab w:val="left" w:pos="568"/>
        </w:tabs>
        <w:spacing w:before="120"/>
        <w:ind w:left="1134"/>
        <w:rPr>
          <w:lang w:eastAsia="nl-NL"/>
        </w:rPr>
      </w:pPr>
      <w:r w:rsidRPr="00A470FF">
        <w:rPr>
          <w:lang w:eastAsia="nl-NL"/>
        </w:rPr>
        <w:lastRenderedPageBreak/>
        <w:t>7.</w:t>
      </w:r>
      <w:r w:rsidRPr="00A470FF">
        <w:rPr>
          <w:lang w:eastAsia="nl-NL"/>
        </w:rPr>
        <w:tab/>
      </w:r>
      <w:r w:rsidR="003E0A8A" w:rsidRPr="00A470FF">
        <w:rPr>
          <w:i/>
          <w:lang w:eastAsia="nl-NL"/>
        </w:rPr>
        <w:t>Encourages</w:t>
      </w:r>
      <w:r w:rsidR="003E0A8A" w:rsidRPr="00A470FF">
        <w:rPr>
          <w:lang w:eastAsia="nl-NL"/>
        </w:rPr>
        <w:t xml:space="preserve"> the Global Environment Facility to include the conclusions of the review </w:t>
      </w:r>
      <w:r w:rsidR="0035605E" w:rsidRPr="00A470FF">
        <w:rPr>
          <w:lang w:eastAsia="nl-NL"/>
        </w:rPr>
        <w:t xml:space="preserve">referred to in paragraph 6 above </w:t>
      </w:r>
      <w:r w:rsidR="003E0A8A" w:rsidRPr="00A470FF">
        <w:rPr>
          <w:lang w:eastAsia="nl-NL"/>
        </w:rPr>
        <w:t xml:space="preserve">in its report to the Conference of the Parties at its twenty-second session (November 2016); </w:t>
      </w:r>
    </w:p>
    <w:p w14:paraId="1E8EFCDA" w14:textId="5920611A" w:rsidR="003E0A8A" w:rsidRPr="00A470FF" w:rsidRDefault="00467704" w:rsidP="00467704">
      <w:pPr>
        <w:pStyle w:val="RegSingleTxtG"/>
        <w:numPr>
          <w:ilvl w:val="0"/>
          <w:numId w:val="0"/>
        </w:numPr>
        <w:tabs>
          <w:tab w:val="left" w:pos="568"/>
        </w:tabs>
        <w:spacing w:before="120"/>
        <w:ind w:left="1134"/>
        <w:rPr>
          <w:lang w:eastAsia="nl-NL"/>
        </w:rPr>
      </w:pPr>
      <w:r w:rsidRPr="00A470FF">
        <w:rPr>
          <w:lang w:eastAsia="nl-NL"/>
        </w:rPr>
        <w:t>8.</w:t>
      </w:r>
      <w:r w:rsidRPr="00A470FF">
        <w:rPr>
          <w:lang w:eastAsia="nl-NL"/>
        </w:rPr>
        <w:tab/>
      </w:r>
      <w:r w:rsidR="003E0A8A" w:rsidRPr="00A470FF">
        <w:rPr>
          <w:i/>
          <w:lang w:eastAsia="nl-NL"/>
        </w:rPr>
        <w:t>Requests</w:t>
      </w:r>
      <w:r w:rsidR="003E0A8A" w:rsidRPr="00A470FF">
        <w:rPr>
          <w:lang w:eastAsia="nl-NL"/>
        </w:rPr>
        <w:t xml:space="preserve"> the Global Environment Facility to carry out a technical review of the programme priorities of the Least Developed Countries Fund, taking into account the independent review referred to in paragraph 6 above, and </w:t>
      </w:r>
      <w:r w:rsidR="0035605E" w:rsidRPr="00A470FF">
        <w:rPr>
          <w:lang w:eastAsia="nl-NL"/>
        </w:rPr>
        <w:t xml:space="preserve">to </w:t>
      </w:r>
      <w:r w:rsidR="003E0A8A" w:rsidRPr="00A470FF">
        <w:rPr>
          <w:lang w:eastAsia="nl-NL"/>
        </w:rPr>
        <w:t>focus the technical review on, inter alia:</w:t>
      </w:r>
    </w:p>
    <w:p w14:paraId="1E8EFCDB" w14:textId="636948F2" w:rsidR="003E0A8A" w:rsidRPr="00A470FF" w:rsidRDefault="00467704" w:rsidP="00467704">
      <w:pPr>
        <w:pStyle w:val="RegSingleTxtG"/>
        <w:numPr>
          <w:ilvl w:val="0"/>
          <w:numId w:val="0"/>
        </w:numPr>
        <w:tabs>
          <w:tab w:val="left" w:pos="2269"/>
        </w:tabs>
        <w:spacing w:before="120"/>
        <w:ind w:left="1135" w:firstLine="567"/>
        <w:rPr>
          <w:lang w:eastAsia="nl-NL"/>
        </w:rPr>
      </w:pPr>
      <w:r w:rsidRPr="00A470FF">
        <w:rPr>
          <w:lang w:eastAsia="nl-NL"/>
        </w:rPr>
        <w:t>(a)</w:t>
      </w:r>
      <w:r w:rsidRPr="00A470FF">
        <w:rPr>
          <w:lang w:eastAsia="nl-NL"/>
        </w:rPr>
        <w:tab/>
      </w:r>
      <w:r w:rsidR="003E0A8A" w:rsidRPr="00A470FF">
        <w:rPr>
          <w:lang w:eastAsia="nl-NL"/>
        </w:rPr>
        <w:t>Undertaking pilot concrete climate change activities that are particularly relevant for the least developed countries;</w:t>
      </w:r>
    </w:p>
    <w:p w14:paraId="1E8EFCDC" w14:textId="0FC3BE54" w:rsidR="003E0A8A" w:rsidRPr="00A470FF" w:rsidRDefault="00467704" w:rsidP="00467704">
      <w:pPr>
        <w:pStyle w:val="RegSingleTxtG"/>
        <w:numPr>
          <w:ilvl w:val="0"/>
          <w:numId w:val="0"/>
        </w:numPr>
        <w:tabs>
          <w:tab w:val="left" w:pos="2269"/>
        </w:tabs>
        <w:spacing w:before="120"/>
        <w:ind w:left="1135" w:firstLine="567"/>
        <w:rPr>
          <w:lang w:eastAsia="nl-NL"/>
        </w:rPr>
      </w:pPr>
      <w:r w:rsidRPr="00A470FF">
        <w:rPr>
          <w:lang w:eastAsia="nl-NL"/>
        </w:rPr>
        <w:t>(b)</w:t>
      </w:r>
      <w:r w:rsidRPr="00A470FF">
        <w:rPr>
          <w:lang w:eastAsia="nl-NL"/>
        </w:rPr>
        <w:tab/>
      </w:r>
      <w:r w:rsidR="003E0A8A" w:rsidRPr="00A470FF">
        <w:rPr>
          <w:lang w:eastAsia="nl-NL"/>
        </w:rPr>
        <w:t xml:space="preserve">Enhancing longer-term institutional capacity to design and execute </w:t>
      </w:r>
      <w:r w:rsidR="0035605E" w:rsidRPr="00A470FF">
        <w:rPr>
          <w:lang w:eastAsia="nl-NL"/>
        </w:rPr>
        <w:t xml:space="preserve">the </w:t>
      </w:r>
      <w:r w:rsidR="003E0A8A" w:rsidRPr="00A470FF">
        <w:rPr>
          <w:lang w:eastAsia="nl-NL"/>
        </w:rPr>
        <w:t>activities referred to in paragraph 8(a) above;</w:t>
      </w:r>
    </w:p>
    <w:p w14:paraId="1E8EFCDD" w14:textId="2AB8D4AD" w:rsidR="003E0A8A" w:rsidRPr="00A470FF" w:rsidRDefault="00467704" w:rsidP="00467704">
      <w:pPr>
        <w:pStyle w:val="RegSingleTxtG"/>
        <w:numPr>
          <w:ilvl w:val="0"/>
          <w:numId w:val="0"/>
        </w:numPr>
        <w:tabs>
          <w:tab w:val="left" w:pos="568"/>
        </w:tabs>
        <w:spacing w:before="120"/>
        <w:ind w:left="1134"/>
        <w:rPr>
          <w:lang w:eastAsia="nl-NL"/>
        </w:rPr>
      </w:pPr>
      <w:r w:rsidRPr="00A470FF">
        <w:rPr>
          <w:lang w:eastAsia="nl-NL"/>
        </w:rPr>
        <w:t>9.</w:t>
      </w:r>
      <w:r w:rsidRPr="00A470FF">
        <w:rPr>
          <w:lang w:eastAsia="nl-NL"/>
        </w:rPr>
        <w:tab/>
      </w:r>
      <w:r w:rsidR="003E0A8A" w:rsidRPr="00A470FF">
        <w:rPr>
          <w:i/>
        </w:rPr>
        <w:t xml:space="preserve">Urges </w:t>
      </w:r>
      <w:r w:rsidR="003E0A8A" w:rsidRPr="00A470FF">
        <w:t xml:space="preserve">the Global Environment Facility </w:t>
      </w:r>
      <w:r w:rsidR="003E0A8A" w:rsidRPr="00A470FF">
        <w:rPr>
          <w:lang w:eastAsia="nl-NL"/>
        </w:rPr>
        <w:t>to work with all its agencies and recipient countries to ensure that these countries can take full advantage of the expanded network of agencies;</w:t>
      </w:r>
    </w:p>
    <w:p w14:paraId="1E8EFCDE" w14:textId="1E0B1888" w:rsidR="003E0A8A" w:rsidRPr="00A470FF" w:rsidRDefault="00467704" w:rsidP="00467704">
      <w:pPr>
        <w:pStyle w:val="RegSingleTxtG"/>
        <w:numPr>
          <w:ilvl w:val="0"/>
          <w:numId w:val="0"/>
        </w:numPr>
        <w:tabs>
          <w:tab w:val="left" w:pos="568"/>
        </w:tabs>
        <w:spacing w:before="120"/>
        <w:ind w:left="1134"/>
      </w:pPr>
      <w:r w:rsidRPr="00A470FF">
        <w:t>10.</w:t>
      </w:r>
      <w:r w:rsidRPr="00A470FF">
        <w:tab/>
      </w:r>
      <w:r w:rsidR="003E0A8A" w:rsidRPr="00A470FF">
        <w:rPr>
          <w:i/>
        </w:rPr>
        <w:t>Welcomes</w:t>
      </w:r>
      <w:r w:rsidR="003E0A8A" w:rsidRPr="00A470FF">
        <w:t xml:space="preserve"> the exploration of innovative non-grant instruments by the Global Environment Facility</w:t>
      </w:r>
      <w:r w:rsidR="0035605E" w:rsidRPr="00A470FF">
        <w:t>,</w:t>
      </w:r>
      <w:r w:rsidR="003E0A8A" w:rsidRPr="00A470FF">
        <w:t xml:space="preserve"> and </w:t>
      </w:r>
      <w:r w:rsidR="003E0A8A" w:rsidRPr="00A470FF">
        <w:rPr>
          <w:i/>
        </w:rPr>
        <w:t>encourages</w:t>
      </w:r>
      <w:r w:rsidR="003E0A8A" w:rsidRPr="00A470FF">
        <w:t xml:space="preserve"> the Global Environment Facility to work with its agencies, recipient countries and the private sector to submit proposals;</w:t>
      </w:r>
    </w:p>
    <w:p w14:paraId="1E8EFCDF" w14:textId="44056546" w:rsidR="003E0A8A" w:rsidRPr="00A470FF" w:rsidRDefault="00467704" w:rsidP="00467704">
      <w:pPr>
        <w:pStyle w:val="RegSingleTxtG"/>
        <w:numPr>
          <w:ilvl w:val="0"/>
          <w:numId w:val="0"/>
        </w:numPr>
        <w:tabs>
          <w:tab w:val="left" w:pos="568"/>
        </w:tabs>
        <w:spacing w:before="120"/>
        <w:ind w:left="1134"/>
      </w:pPr>
      <w:r w:rsidRPr="00A470FF">
        <w:t>11.</w:t>
      </w:r>
      <w:r w:rsidRPr="00A470FF">
        <w:tab/>
      </w:r>
      <w:r w:rsidR="003E0A8A" w:rsidRPr="00A470FF">
        <w:rPr>
          <w:i/>
        </w:rPr>
        <w:t xml:space="preserve">Also welcomes </w:t>
      </w:r>
      <w:r w:rsidR="003E0A8A" w:rsidRPr="00A470FF">
        <w:t>the approval of projects by the Global Environment Facility to support 46 developing country Parties in preparing their intended nationally determined contributions</w:t>
      </w:r>
      <w:r w:rsidR="0035605E" w:rsidRPr="00A470FF">
        <w:t>,</w:t>
      </w:r>
      <w:r w:rsidR="003E0A8A" w:rsidRPr="00A470FF">
        <w:rPr>
          <w:rStyle w:val="FootnoteReference"/>
        </w:rPr>
        <w:footnoteReference w:id="29"/>
      </w:r>
      <w:r w:rsidR="003E0A8A" w:rsidRPr="00A470FF">
        <w:t xml:space="preserve"> and </w:t>
      </w:r>
      <w:r w:rsidR="003E0A8A" w:rsidRPr="00A470FF">
        <w:rPr>
          <w:i/>
        </w:rPr>
        <w:t>encourages</w:t>
      </w:r>
      <w:r w:rsidR="003E0A8A" w:rsidRPr="00A470FF">
        <w:t xml:space="preserve"> the Global Environment Facility to continue providing such support;</w:t>
      </w:r>
    </w:p>
    <w:p w14:paraId="1E8EFCE0" w14:textId="1734148F" w:rsidR="003E0A8A" w:rsidRPr="00A470FF" w:rsidRDefault="00467704" w:rsidP="00467704">
      <w:pPr>
        <w:pStyle w:val="RegSingleTxtG"/>
        <w:numPr>
          <w:ilvl w:val="0"/>
          <w:numId w:val="0"/>
        </w:numPr>
        <w:tabs>
          <w:tab w:val="left" w:pos="568"/>
        </w:tabs>
        <w:spacing w:before="120"/>
        <w:ind w:left="1134"/>
        <w:rPr>
          <w:lang w:eastAsia="en-US"/>
        </w:rPr>
      </w:pPr>
      <w:r w:rsidRPr="00A470FF">
        <w:rPr>
          <w:lang w:eastAsia="en-US"/>
        </w:rPr>
        <w:t>12.</w:t>
      </w:r>
      <w:r w:rsidRPr="00A470FF">
        <w:rPr>
          <w:lang w:eastAsia="en-US"/>
        </w:rPr>
        <w:tab/>
      </w:r>
      <w:r w:rsidR="003E0A8A" w:rsidRPr="00A470FF">
        <w:rPr>
          <w:i/>
          <w:lang w:eastAsia="en-US"/>
        </w:rPr>
        <w:t xml:space="preserve">Requests </w:t>
      </w:r>
      <w:r w:rsidR="003E0A8A" w:rsidRPr="00A470FF">
        <w:rPr>
          <w:lang w:eastAsia="en-US"/>
        </w:rPr>
        <w:t xml:space="preserve">the </w:t>
      </w:r>
      <w:r w:rsidR="003E0A8A" w:rsidRPr="00A470FF">
        <w:t xml:space="preserve">Global Environment Facility </w:t>
      </w:r>
      <w:r w:rsidR="003E0A8A" w:rsidRPr="00A470FF">
        <w:rPr>
          <w:lang w:eastAsia="en-US"/>
        </w:rPr>
        <w:t xml:space="preserve">to consider how to support developing country Parties in formulating policies, strategies, programmes and projects to implement activities that advance priorities identified in their respective intended nationally determined contributions in a manner consistent with the operational policies and guidelines of the Global Environment Facility, starting in 2016; </w:t>
      </w:r>
    </w:p>
    <w:p w14:paraId="1E8EFCE1" w14:textId="5199E006" w:rsidR="003E0A8A" w:rsidRPr="00A470FF" w:rsidRDefault="00467704" w:rsidP="00467704">
      <w:pPr>
        <w:pStyle w:val="RegSingleTxtG"/>
        <w:numPr>
          <w:ilvl w:val="0"/>
          <w:numId w:val="0"/>
        </w:numPr>
        <w:tabs>
          <w:tab w:val="left" w:pos="568"/>
        </w:tabs>
        <w:spacing w:before="120"/>
        <w:ind w:left="1134"/>
      </w:pPr>
      <w:r w:rsidRPr="00A470FF">
        <w:t>13.</w:t>
      </w:r>
      <w:r w:rsidRPr="00A470FF">
        <w:tab/>
      </w:r>
      <w:r w:rsidR="003E0A8A" w:rsidRPr="00A470FF">
        <w:rPr>
          <w:i/>
        </w:rPr>
        <w:t>Notes</w:t>
      </w:r>
      <w:r w:rsidR="003E0A8A" w:rsidRPr="00A470FF">
        <w:t xml:space="preserve"> the actions of the Global Environment Facility to establish a more coherent, system-based approach for managing and sharing information and knowledge gained from projects and programmes of the Global Environment Facility in order to improve the effectiveness of the Global Environment Facility and its agencies and enhance the capacity of recipient countries; </w:t>
      </w:r>
    </w:p>
    <w:p w14:paraId="1E8EFCE2" w14:textId="146714E9" w:rsidR="003E0A8A" w:rsidRPr="00A470FF" w:rsidRDefault="00467704" w:rsidP="00467704">
      <w:pPr>
        <w:pStyle w:val="RegSingleTxtG"/>
        <w:numPr>
          <w:ilvl w:val="0"/>
          <w:numId w:val="0"/>
        </w:numPr>
        <w:tabs>
          <w:tab w:val="left" w:pos="568"/>
        </w:tabs>
        <w:spacing w:before="120"/>
        <w:ind w:left="1134"/>
        <w:rPr>
          <w:lang w:eastAsia="nl-NL"/>
        </w:rPr>
      </w:pPr>
      <w:r w:rsidRPr="00A470FF">
        <w:rPr>
          <w:lang w:eastAsia="nl-NL"/>
        </w:rPr>
        <w:t>14.</w:t>
      </w:r>
      <w:r w:rsidRPr="00A470FF">
        <w:rPr>
          <w:lang w:eastAsia="nl-NL"/>
        </w:rPr>
        <w:tab/>
      </w:r>
      <w:r w:rsidR="003E0A8A" w:rsidRPr="00A470FF">
        <w:rPr>
          <w:i/>
          <w:lang w:eastAsia="nl-NL"/>
        </w:rPr>
        <w:t>Welcomes</w:t>
      </w:r>
      <w:r w:rsidR="003E0A8A" w:rsidRPr="00A470FF">
        <w:rPr>
          <w:lang w:eastAsia="nl-NL"/>
        </w:rPr>
        <w:t xml:space="preserve"> the efforts to date of the Global Environment Facility to engage with the Green Climate Fund and </w:t>
      </w:r>
      <w:r w:rsidR="003E0A8A" w:rsidRPr="00A470FF">
        <w:rPr>
          <w:i/>
          <w:lang w:eastAsia="nl-NL"/>
        </w:rPr>
        <w:t>encourages</w:t>
      </w:r>
      <w:r w:rsidR="003E0A8A" w:rsidRPr="00A470FF">
        <w:rPr>
          <w:lang w:eastAsia="nl-NL"/>
        </w:rPr>
        <w:t xml:space="preserve"> both entities to further articulate and build on the complementarity of their policies and programmes within the Financial Mechanism of the Convention;</w:t>
      </w:r>
    </w:p>
    <w:p w14:paraId="1E8EFCE3" w14:textId="72647EF3" w:rsidR="003E0A8A" w:rsidRPr="00A470FF" w:rsidRDefault="00467704" w:rsidP="00467704">
      <w:pPr>
        <w:pStyle w:val="RegSingleTxtG"/>
        <w:numPr>
          <w:ilvl w:val="0"/>
          <w:numId w:val="0"/>
        </w:numPr>
        <w:tabs>
          <w:tab w:val="left" w:pos="568"/>
        </w:tabs>
        <w:spacing w:before="120"/>
        <w:ind w:left="1134"/>
      </w:pPr>
      <w:r w:rsidRPr="00A470FF">
        <w:t>15.</w:t>
      </w:r>
      <w:r w:rsidRPr="00A470FF">
        <w:tab/>
      </w:r>
      <w:r w:rsidR="003E0A8A" w:rsidRPr="00A470FF">
        <w:rPr>
          <w:i/>
        </w:rPr>
        <w:t xml:space="preserve">Invites </w:t>
      </w:r>
      <w:r w:rsidR="003E0A8A" w:rsidRPr="00A470FF">
        <w:t xml:space="preserve">Parties to submit to the secretariat annually, in writing and no later than 10 weeks prior to each session of the Conference of the Parties, their views and recommendations on the elements to be taken into account in developing guidance to the </w:t>
      </w:r>
      <w:r w:rsidR="003E0A8A" w:rsidRPr="00A470FF">
        <w:rPr>
          <w:rFonts w:eastAsiaTheme="minorEastAsia"/>
          <w:lang w:eastAsia="nl-NL"/>
        </w:rPr>
        <w:t>Global Environment Facility;</w:t>
      </w:r>
    </w:p>
    <w:p w14:paraId="1E8EFCE4" w14:textId="32794BFA" w:rsidR="003E0A8A" w:rsidRPr="00A470FF" w:rsidRDefault="00467704" w:rsidP="00467704">
      <w:pPr>
        <w:pStyle w:val="RegSingleTxtG"/>
        <w:numPr>
          <w:ilvl w:val="0"/>
          <w:numId w:val="0"/>
        </w:numPr>
        <w:tabs>
          <w:tab w:val="left" w:pos="568"/>
        </w:tabs>
        <w:spacing w:before="120"/>
        <w:ind w:left="1134"/>
        <w:rPr>
          <w:u w:val="single"/>
        </w:rPr>
      </w:pPr>
      <w:r w:rsidRPr="00A470FF">
        <w:t>16.</w:t>
      </w:r>
      <w:r w:rsidRPr="00A470FF">
        <w:tab/>
      </w:r>
      <w:r w:rsidR="003E0A8A" w:rsidRPr="00A470FF">
        <w:rPr>
          <w:i/>
        </w:rPr>
        <w:t>Requests</w:t>
      </w:r>
      <w:r w:rsidR="003E0A8A" w:rsidRPr="00A470FF">
        <w:t xml:space="preserve"> the </w:t>
      </w:r>
      <w:r w:rsidR="003E0A8A" w:rsidRPr="00A470FF">
        <w:rPr>
          <w:rFonts w:eastAsiaTheme="minorEastAsia"/>
          <w:lang w:eastAsia="nl-NL"/>
        </w:rPr>
        <w:t>Global Environment Facility</w:t>
      </w:r>
      <w:r w:rsidR="003E0A8A" w:rsidRPr="00A470FF">
        <w:t xml:space="preserve"> to include, in its annual report to the Conference of the Parties, information on the steps it has taken to implement the guidance provided in this decision and other relevant decisions of the Conference of the Parties.</w:t>
      </w:r>
    </w:p>
    <w:p w14:paraId="1E8EFCE6"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vertAlign w:val="superscript"/>
          <w:lang w:eastAsia="en-US"/>
        </w:rPr>
        <w:t>th</w:t>
      </w:r>
      <w:r w:rsidR="00AA552D" w:rsidRPr="00A470FF">
        <w:rPr>
          <w:i/>
          <w:lang w:eastAsia="en-US"/>
        </w:rPr>
        <w:t xml:space="preserve"> plenary meeting</w:t>
      </w:r>
    </w:p>
    <w:p w14:paraId="1E8EFCE7"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lang w:eastAsia="en-US"/>
        </w:rPr>
        <w:t xml:space="preserve"> December 2015</w:t>
      </w:r>
    </w:p>
    <w:p w14:paraId="1E8EFCE8" w14:textId="77777777" w:rsidR="00AA552D" w:rsidRPr="00A470FF" w:rsidRDefault="00AA552D" w:rsidP="00AA552D">
      <w:pPr>
        <w:sectPr w:rsidR="00AA552D" w:rsidRPr="00A470FF" w:rsidSect="00815DBB">
          <w:headerReference w:type="even" r:id="rId38"/>
          <w:headerReference w:type="default" r:id="rId39"/>
          <w:footerReference w:type="even" r:id="rId40"/>
          <w:footerReference w:type="default" r:id="rId41"/>
          <w:footnotePr>
            <w:numRestart w:val="eachSect"/>
          </w:footnotePr>
          <w:pgSz w:w="11906" w:h="16838" w:code="9"/>
          <w:pgMar w:top="1701" w:right="1134" w:bottom="2268" w:left="1134" w:header="1134" w:footer="1701" w:gutter="0"/>
          <w:cols w:space="708"/>
          <w:docGrid w:linePitch="360"/>
        </w:sectPr>
      </w:pPr>
    </w:p>
    <w:p w14:paraId="1E8EFCE9" w14:textId="77777777" w:rsidR="00AA552D" w:rsidRPr="00A470FF" w:rsidRDefault="00AA552D" w:rsidP="00AA552D">
      <w:pPr>
        <w:pStyle w:val="HChG"/>
        <w:ind w:firstLine="0"/>
        <w:rPr>
          <w:bCs/>
        </w:rPr>
      </w:pPr>
      <w:r w:rsidRPr="00A470FF">
        <w:rPr>
          <w:bCs/>
        </w:rPr>
        <w:lastRenderedPageBreak/>
        <w:t xml:space="preserve">Decision </w:t>
      </w:r>
      <w:r w:rsidR="00D35DA3" w:rsidRPr="00A470FF">
        <w:rPr>
          <w:bCs/>
        </w:rPr>
        <w:t>9</w:t>
      </w:r>
      <w:r w:rsidRPr="00A470FF">
        <w:rPr>
          <w:bCs/>
        </w:rPr>
        <w:t>/CP.21</w:t>
      </w:r>
    </w:p>
    <w:p w14:paraId="1E8EFCEA" w14:textId="77777777" w:rsidR="00AA552D" w:rsidRPr="00A470FF" w:rsidRDefault="00AA552D" w:rsidP="00AA552D">
      <w:pPr>
        <w:pStyle w:val="HChG"/>
      </w:pPr>
      <w:r w:rsidRPr="00A470FF">
        <w:tab/>
      </w:r>
      <w:r w:rsidRPr="00A470FF">
        <w:tab/>
        <w:t>Methodologies for the reporting of financial information by Parties included in Annex I to the Convention</w:t>
      </w:r>
    </w:p>
    <w:p w14:paraId="1E8EFCEB" w14:textId="77777777" w:rsidR="00CE0B79" w:rsidRPr="00A470FF" w:rsidRDefault="00CE0B79" w:rsidP="00CE0B79">
      <w:pPr>
        <w:suppressAutoHyphens w:val="0"/>
        <w:spacing w:before="120"/>
        <w:ind w:left="981" w:firstLine="720"/>
        <w:rPr>
          <w:i/>
        </w:rPr>
      </w:pPr>
      <w:r w:rsidRPr="00A470FF">
        <w:rPr>
          <w:i/>
        </w:rPr>
        <w:t>The Conference of the Parties</w:t>
      </w:r>
      <w:r w:rsidRPr="00A470FF">
        <w:t>,</w:t>
      </w:r>
    </w:p>
    <w:p w14:paraId="1E8EFCEC" w14:textId="77777777" w:rsidR="00CE0B79" w:rsidRPr="00A470FF" w:rsidRDefault="00CE0B79" w:rsidP="00CE0B79">
      <w:pPr>
        <w:suppressAutoHyphens w:val="0"/>
        <w:spacing w:before="120"/>
        <w:ind w:left="981" w:firstLine="720"/>
        <w:rPr>
          <w:i/>
        </w:rPr>
      </w:pPr>
      <w:r w:rsidRPr="00A470FF">
        <w:rPr>
          <w:i/>
        </w:rPr>
        <w:t>Recalling</w:t>
      </w:r>
      <w:r w:rsidRPr="00A470FF">
        <w:t xml:space="preserve"> Articles 4, 5, 7, 10 and 12 of the Convention,</w:t>
      </w:r>
    </w:p>
    <w:p w14:paraId="1E8EFCED" w14:textId="77777777" w:rsidR="00CE0B79" w:rsidRPr="00A470FF" w:rsidRDefault="00CE0B79" w:rsidP="00CE0B79">
      <w:pPr>
        <w:suppressAutoHyphens w:val="0"/>
        <w:spacing w:before="120"/>
        <w:ind w:left="981" w:firstLine="720"/>
      </w:pPr>
      <w:r w:rsidRPr="00A470FF">
        <w:rPr>
          <w:i/>
        </w:rPr>
        <w:t>Also recalling</w:t>
      </w:r>
      <w:r w:rsidRPr="00A470FF">
        <w:t xml:space="preserve"> decisions 9/CP.2, 11/CP.4, 4/CP.5 and 1/CP.16, paragraph 40,</w:t>
      </w:r>
    </w:p>
    <w:p w14:paraId="1E8EFCEE" w14:textId="77777777" w:rsidR="00CE0B79" w:rsidRPr="00A470FF" w:rsidRDefault="00CE0B79" w:rsidP="00CE0B79">
      <w:pPr>
        <w:suppressAutoHyphens w:val="0"/>
        <w:spacing w:before="120"/>
        <w:ind w:left="981" w:firstLine="720"/>
      </w:pPr>
      <w:r w:rsidRPr="00A470FF">
        <w:rPr>
          <w:i/>
        </w:rPr>
        <w:t>Further recalling</w:t>
      </w:r>
      <w:r w:rsidRPr="00A470FF">
        <w:t xml:space="preserve"> decisions 2/CP.17, paragraph 19, and 11/CP.20, </w:t>
      </w:r>
    </w:p>
    <w:p w14:paraId="1E8EFCEF" w14:textId="0A672814" w:rsidR="00CE0B79" w:rsidRPr="00A470FF" w:rsidRDefault="00467704" w:rsidP="00467704">
      <w:pPr>
        <w:pStyle w:val="RegSingleTxtG"/>
        <w:numPr>
          <w:ilvl w:val="0"/>
          <w:numId w:val="0"/>
        </w:numPr>
        <w:tabs>
          <w:tab w:val="left" w:pos="568"/>
        </w:tabs>
        <w:spacing w:before="120"/>
        <w:ind w:left="1134"/>
      </w:pPr>
      <w:r w:rsidRPr="00A470FF">
        <w:t>1.</w:t>
      </w:r>
      <w:r w:rsidRPr="00A470FF">
        <w:tab/>
      </w:r>
      <w:r w:rsidR="00CE0B79" w:rsidRPr="00A470FF">
        <w:rPr>
          <w:i/>
        </w:rPr>
        <w:t>Recognizes</w:t>
      </w:r>
      <w:r w:rsidR="00CE0B79" w:rsidRPr="00A470FF">
        <w:t xml:space="preserve"> the need to enhance common understanding on key terminology for reporting financial information under the Convention to facilitate transparency and comparability of information and data on support over time and across Parties;</w:t>
      </w:r>
    </w:p>
    <w:p w14:paraId="1E8EFCF0" w14:textId="4E3CB7E2" w:rsidR="00CE0B79" w:rsidRPr="00A470FF" w:rsidRDefault="00467704" w:rsidP="00467704">
      <w:pPr>
        <w:pStyle w:val="RegSingleTxtG"/>
        <w:numPr>
          <w:ilvl w:val="0"/>
          <w:numId w:val="0"/>
        </w:numPr>
        <w:tabs>
          <w:tab w:val="left" w:pos="568"/>
        </w:tabs>
        <w:ind w:left="1135"/>
      </w:pPr>
      <w:r w:rsidRPr="00A470FF">
        <w:t>2.</w:t>
      </w:r>
      <w:r w:rsidRPr="00A470FF">
        <w:tab/>
      </w:r>
      <w:r w:rsidR="00CE0B79" w:rsidRPr="00A470FF">
        <w:rPr>
          <w:i/>
        </w:rPr>
        <w:t>Welcomes</w:t>
      </w:r>
      <w:r w:rsidR="00CE0B79" w:rsidRPr="00A470FF">
        <w:t xml:space="preserve"> the submissions from Parties and observer organizations on methodologies for the reporting of financial information, and the technical paper</w:t>
      </w:r>
      <w:r w:rsidR="00CE0B79" w:rsidRPr="00A470FF">
        <w:rPr>
          <w:rStyle w:val="FootnoteReference"/>
        </w:rPr>
        <w:footnoteReference w:id="30"/>
      </w:r>
      <w:r w:rsidR="00CE0B79" w:rsidRPr="00A470FF">
        <w:t xml:space="preserve"> summarizing existing international methodologies, drawing on relevant information contained in, inter alia, submissions from Parties and observer organizations;</w:t>
      </w:r>
    </w:p>
    <w:p w14:paraId="1E8EFCF1" w14:textId="16441DED" w:rsidR="00CE0B79" w:rsidRPr="00A470FF" w:rsidRDefault="00467704" w:rsidP="00467704">
      <w:pPr>
        <w:pStyle w:val="RegSingleTxtG"/>
        <w:numPr>
          <w:ilvl w:val="0"/>
          <w:numId w:val="0"/>
        </w:numPr>
        <w:tabs>
          <w:tab w:val="left" w:pos="568"/>
        </w:tabs>
        <w:ind w:left="1135"/>
      </w:pPr>
      <w:r w:rsidRPr="00A470FF">
        <w:t>3.</w:t>
      </w:r>
      <w:r w:rsidRPr="00A470FF">
        <w:tab/>
      </w:r>
      <w:r w:rsidR="00CE0B79" w:rsidRPr="00A470FF">
        <w:rPr>
          <w:i/>
        </w:rPr>
        <w:t>Also welcomes</w:t>
      </w:r>
      <w:r w:rsidR="00CE0B79" w:rsidRPr="00A470FF">
        <w:t xml:space="preserve"> the joint in-session technical workshop on the methodologies for the reporting of financial information by Parties included in Annex I to the Convention organized under the auspices of the Subsidiary Body for Scientific and Technological Advice, the Subsidiary Body for Implementation and the Standing Committee on Finance, taking note of the summary of the workshop;</w:t>
      </w:r>
      <w:r w:rsidR="0007003D" w:rsidRPr="00A470FF">
        <w:rPr>
          <w:rStyle w:val="FootnoteReference"/>
        </w:rPr>
        <w:footnoteReference w:id="31"/>
      </w:r>
    </w:p>
    <w:p w14:paraId="1E8EFCF2" w14:textId="50F9B290" w:rsidR="00CE0B79" w:rsidRPr="00A470FF" w:rsidRDefault="00467704" w:rsidP="00467704">
      <w:pPr>
        <w:pStyle w:val="RegSingleTxtG"/>
        <w:numPr>
          <w:ilvl w:val="0"/>
          <w:numId w:val="0"/>
        </w:numPr>
        <w:tabs>
          <w:tab w:val="left" w:pos="568"/>
        </w:tabs>
        <w:ind w:left="1135"/>
      </w:pPr>
      <w:r w:rsidRPr="00A470FF">
        <w:t>4.</w:t>
      </w:r>
      <w:r w:rsidRPr="00A470FF">
        <w:tab/>
      </w:r>
      <w:r w:rsidR="00CE0B79" w:rsidRPr="00A470FF">
        <w:rPr>
          <w:i/>
        </w:rPr>
        <w:t>Further welcomes</w:t>
      </w:r>
      <w:r w:rsidR="00CE0B79" w:rsidRPr="00A470FF">
        <w:t xml:space="preserve"> the update of the Standing Committee on Finance on this matter, as a part of its work on the measurement, reporting and verification of support beyond the biennial assessment and overview of climate finance flows provided during the forty-third session of the Subsidiary Body for Scientific and Technological Advice;</w:t>
      </w:r>
    </w:p>
    <w:p w14:paraId="1E8EFCF3" w14:textId="14D52BB0" w:rsidR="00CE0B79" w:rsidRPr="00A470FF" w:rsidRDefault="00467704" w:rsidP="00467704">
      <w:pPr>
        <w:pStyle w:val="RegSingleTxtG"/>
        <w:numPr>
          <w:ilvl w:val="0"/>
          <w:numId w:val="0"/>
        </w:numPr>
        <w:tabs>
          <w:tab w:val="left" w:pos="568"/>
        </w:tabs>
        <w:ind w:left="1135"/>
      </w:pPr>
      <w:r w:rsidRPr="00A470FF">
        <w:t>5.</w:t>
      </w:r>
      <w:r w:rsidRPr="00A470FF">
        <w:tab/>
      </w:r>
      <w:r w:rsidR="00CE0B79" w:rsidRPr="00A470FF">
        <w:rPr>
          <w:i/>
        </w:rPr>
        <w:t>Welcomes</w:t>
      </w:r>
      <w:r w:rsidR="00CE0B79" w:rsidRPr="00A470FF">
        <w:t xml:space="preserve"> the recommendations of the Standing Committee on Finance on the methodologies for the reporting of financial information, as referred to in decision 2/CP.17, paragraph 19, contained in its report to the Conference of the Parties at its twenty-first session;</w:t>
      </w:r>
      <w:r w:rsidR="00CE0B79" w:rsidRPr="00A470FF">
        <w:rPr>
          <w:rStyle w:val="FootnoteReference"/>
        </w:rPr>
        <w:footnoteReference w:id="32"/>
      </w:r>
      <w:r w:rsidR="00CE0B79" w:rsidRPr="00A470FF">
        <w:t xml:space="preserve"> </w:t>
      </w:r>
    </w:p>
    <w:p w14:paraId="1E8EFCF4" w14:textId="31654357" w:rsidR="00CE0B79" w:rsidRPr="00A470FF" w:rsidRDefault="00467704" w:rsidP="00467704">
      <w:pPr>
        <w:pStyle w:val="RegSingleTxtG"/>
        <w:numPr>
          <w:ilvl w:val="0"/>
          <w:numId w:val="0"/>
        </w:numPr>
        <w:tabs>
          <w:tab w:val="left" w:pos="568"/>
        </w:tabs>
        <w:ind w:left="1135"/>
      </w:pPr>
      <w:r w:rsidRPr="00A470FF">
        <w:t>6.</w:t>
      </w:r>
      <w:r w:rsidRPr="00A470FF">
        <w:tab/>
      </w:r>
      <w:r w:rsidR="00CE0B79" w:rsidRPr="00A470FF">
        <w:rPr>
          <w:i/>
        </w:rPr>
        <w:t>Decides</w:t>
      </w:r>
      <w:r w:rsidR="00CE0B79" w:rsidRPr="00A470FF">
        <w:t xml:space="preserve"> to enhance consistency and transparency through adjustments in the reporting parameters in tables 7, 7(a) and 7(b) of the common tabular format</w:t>
      </w:r>
      <w:r w:rsidR="00723005" w:rsidRPr="00A470FF">
        <w:t xml:space="preserve"> for the “UNFCCC biennial reporting guidelines for developed country Parties” </w:t>
      </w:r>
      <w:r w:rsidR="00CE0B79" w:rsidRPr="00A470FF">
        <w:t>by:</w:t>
      </w:r>
    </w:p>
    <w:p w14:paraId="1E8EFCF5" w14:textId="58C5A55A" w:rsidR="00CE0B79" w:rsidRPr="00A470FF" w:rsidRDefault="00467704" w:rsidP="00467704">
      <w:pPr>
        <w:pStyle w:val="RegSingleTxtG"/>
        <w:numPr>
          <w:ilvl w:val="0"/>
          <w:numId w:val="0"/>
        </w:numPr>
        <w:tabs>
          <w:tab w:val="left" w:pos="2269"/>
        </w:tabs>
        <w:ind w:left="1135" w:firstLine="567"/>
      </w:pPr>
      <w:r w:rsidRPr="00A470FF">
        <w:t>(a)</w:t>
      </w:r>
      <w:r w:rsidRPr="00A470FF">
        <w:tab/>
      </w:r>
      <w:r w:rsidR="00CE0B79" w:rsidRPr="00A470FF">
        <w:t>Creating reporting fields for the provision of information on definitions or methodologies used for reporting information in the following reporting parameters: “climate-specific” or “core/general”, “status”, “funding source”, “activity”, “financial instrument”, “type of support” and “sector”;</w:t>
      </w:r>
    </w:p>
    <w:p w14:paraId="1E8EFCF6" w14:textId="7208DAFA" w:rsidR="00CE0B79" w:rsidRPr="00A470FF" w:rsidRDefault="00467704" w:rsidP="00467704">
      <w:pPr>
        <w:pStyle w:val="RegSingleTxtG"/>
        <w:numPr>
          <w:ilvl w:val="0"/>
          <w:numId w:val="0"/>
        </w:numPr>
        <w:tabs>
          <w:tab w:val="left" w:pos="2269"/>
        </w:tabs>
        <w:ind w:left="1135" w:firstLine="567"/>
      </w:pPr>
      <w:r w:rsidRPr="00A470FF">
        <w:t>(b)</w:t>
      </w:r>
      <w:r w:rsidRPr="00A470FF">
        <w:tab/>
      </w:r>
      <w:r w:rsidR="00CE0B79" w:rsidRPr="00A470FF">
        <w:t>Improving the software for tables 7, 7(a) and 7(b) of the common tabular format by extending the number of input rows in the Microsoft Excel file;</w:t>
      </w:r>
    </w:p>
    <w:p w14:paraId="1E8EFCF7" w14:textId="36A1A377" w:rsidR="00CE0B79" w:rsidRPr="00A470FF" w:rsidRDefault="00467704" w:rsidP="00467704">
      <w:pPr>
        <w:pStyle w:val="RegSingleTxtG"/>
        <w:numPr>
          <w:ilvl w:val="0"/>
          <w:numId w:val="0"/>
        </w:numPr>
        <w:tabs>
          <w:tab w:val="left" w:pos="2269"/>
        </w:tabs>
        <w:ind w:left="1135" w:firstLine="567"/>
      </w:pPr>
      <w:r w:rsidRPr="00A470FF">
        <w:lastRenderedPageBreak/>
        <w:t>(c)</w:t>
      </w:r>
      <w:r w:rsidRPr="00A470FF">
        <w:tab/>
      </w:r>
      <w:r w:rsidR="00CE0B79" w:rsidRPr="00A470FF">
        <w:t>Aligning the categorization in the reporting parameter “status” of support (“pledged”, “committed” and “provided”) in tables 7, 7(a) and 7(b) of the common tabular format with the categorization used in other existing international methodologies (“committed” and “disbursed”);</w:t>
      </w:r>
    </w:p>
    <w:p w14:paraId="1E8EFCF8" w14:textId="11B061B9" w:rsidR="00CE0B79" w:rsidRPr="00A470FF" w:rsidRDefault="00467704" w:rsidP="00467704">
      <w:pPr>
        <w:pStyle w:val="RegSingleTxtG"/>
        <w:numPr>
          <w:ilvl w:val="0"/>
          <w:numId w:val="0"/>
        </w:numPr>
        <w:tabs>
          <w:tab w:val="left" w:pos="568"/>
        </w:tabs>
        <w:ind w:left="1135"/>
      </w:pPr>
      <w:r w:rsidRPr="00A470FF">
        <w:t>7.</w:t>
      </w:r>
      <w:r w:rsidRPr="00A470FF">
        <w:tab/>
      </w:r>
      <w:r w:rsidR="00CE0B79" w:rsidRPr="00A470FF">
        <w:rPr>
          <w:i/>
        </w:rPr>
        <w:t>Requests</w:t>
      </w:r>
      <w:r w:rsidR="00CE0B79" w:rsidRPr="00A470FF">
        <w:t xml:space="preserve"> the secretariat to revise the electronic reporting application for a common tabular format, in accordance with the provisions contained in the annex, in time for the preparation and submission of the biennial reports of Parties due in 2018;</w:t>
      </w:r>
    </w:p>
    <w:p w14:paraId="1E8EFCF9" w14:textId="28D1BF9B" w:rsidR="00CE0B79" w:rsidRPr="00A470FF" w:rsidRDefault="00467704" w:rsidP="00467704">
      <w:pPr>
        <w:pStyle w:val="RegSingleTxtG"/>
        <w:numPr>
          <w:ilvl w:val="0"/>
          <w:numId w:val="0"/>
        </w:numPr>
        <w:tabs>
          <w:tab w:val="left" w:pos="568"/>
        </w:tabs>
        <w:ind w:left="1135"/>
      </w:pPr>
      <w:r w:rsidRPr="00A470FF">
        <w:t>8.</w:t>
      </w:r>
      <w:r w:rsidRPr="00A470FF">
        <w:tab/>
      </w:r>
      <w:r w:rsidR="00CE0B79" w:rsidRPr="00A470FF">
        <w:rPr>
          <w:i/>
        </w:rPr>
        <w:t>Decides</w:t>
      </w:r>
      <w:r w:rsidR="00CE0B79" w:rsidRPr="00A470FF">
        <w:t xml:space="preserve"> that developed country Parties shall use the revised electronic reporting application, taking into account their national circumstances, when preparing and submitting their biennial reports in 2018 in accordance with decision 2/CP.17; </w:t>
      </w:r>
    </w:p>
    <w:p w14:paraId="1E8EFCFA" w14:textId="550E8359" w:rsidR="00CE0B79" w:rsidRPr="00A470FF" w:rsidRDefault="00467704" w:rsidP="00467704">
      <w:pPr>
        <w:pStyle w:val="RegSingleTxtG"/>
        <w:numPr>
          <w:ilvl w:val="0"/>
          <w:numId w:val="0"/>
        </w:numPr>
        <w:tabs>
          <w:tab w:val="left" w:pos="568"/>
        </w:tabs>
        <w:ind w:left="1135"/>
      </w:pPr>
      <w:r w:rsidRPr="00A470FF">
        <w:t>9.</w:t>
      </w:r>
      <w:r w:rsidRPr="00A470FF">
        <w:tab/>
      </w:r>
      <w:r w:rsidR="00CE0B79" w:rsidRPr="00A470FF">
        <w:rPr>
          <w:i/>
        </w:rPr>
        <w:t>Requests</w:t>
      </w:r>
      <w:r w:rsidR="00CE0B79" w:rsidRPr="00A470FF">
        <w:t xml:space="preserve"> Parties included in Annex II to the Convention to continue to provide information on the underlying assumptions and the methodologies used in their biennial reports;</w:t>
      </w:r>
    </w:p>
    <w:p w14:paraId="1E8EFCFB" w14:textId="2D7DFAE2" w:rsidR="00CE0B79" w:rsidRPr="00A470FF" w:rsidRDefault="00467704" w:rsidP="00467704">
      <w:pPr>
        <w:pStyle w:val="RegSingleTxtG"/>
        <w:numPr>
          <w:ilvl w:val="0"/>
          <w:numId w:val="0"/>
        </w:numPr>
        <w:tabs>
          <w:tab w:val="left" w:pos="568"/>
        </w:tabs>
        <w:ind w:left="1135"/>
      </w:pPr>
      <w:r w:rsidRPr="00A470FF">
        <w:t>10.</w:t>
      </w:r>
      <w:r w:rsidRPr="00A470FF">
        <w:tab/>
      </w:r>
      <w:r w:rsidR="00CE0B79" w:rsidRPr="00A470FF">
        <w:rPr>
          <w:i/>
        </w:rPr>
        <w:t>Also requests</w:t>
      </w:r>
      <w:r w:rsidR="00CE0B79" w:rsidRPr="00A470FF">
        <w:t xml:space="preserve"> the secretariat to improve the software of the biennial report data interface to allow for search functions on the UNFCCC website to collect information per key category in tables 7, 7(a) and 7(b) of the common tabular format (i.e. category “recipient country/region, financial instrument”);</w:t>
      </w:r>
    </w:p>
    <w:p w14:paraId="1E8EFCFC" w14:textId="4DE6E221" w:rsidR="00CE0B79" w:rsidRPr="00A470FF" w:rsidRDefault="00467704" w:rsidP="00467704">
      <w:pPr>
        <w:pStyle w:val="RegSingleTxtG"/>
        <w:numPr>
          <w:ilvl w:val="0"/>
          <w:numId w:val="0"/>
        </w:numPr>
        <w:tabs>
          <w:tab w:val="left" w:pos="568"/>
        </w:tabs>
        <w:ind w:left="1135"/>
      </w:pPr>
      <w:r w:rsidRPr="00A470FF">
        <w:t>11.</w:t>
      </w:r>
      <w:r w:rsidRPr="00A470FF">
        <w:tab/>
      </w:r>
      <w:r w:rsidR="00CE0B79" w:rsidRPr="00A470FF">
        <w:rPr>
          <w:i/>
        </w:rPr>
        <w:t>Further requests</w:t>
      </w:r>
      <w:r w:rsidR="00CE0B79" w:rsidRPr="00A470FF">
        <w:t xml:space="preserve"> the secretariat to explore ways of creating links to other reporting software and platforms to facilitate the importation and exportation of activity-level data</w:t>
      </w:r>
      <w:r w:rsidR="00137FCA" w:rsidRPr="00A470FF">
        <w:t>,</w:t>
      </w:r>
      <w:r w:rsidR="00CE0B79" w:rsidRPr="00A470FF">
        <w:t xml:space="preserve"> and to inform the Standing Committee on Finance to take this into consideration in its workplan;</w:t>
      </w:r>
    </w:p>
    <w:p w14:paraId="1E8EFCFD" w14:textId="3CC0DCE4" w:rsidR="00CE0B79" w:rsidRPr="00A470FF" w:rsidRDefault="00467704" w:rsidP="00467704">
      <w:pPr>
        <w:pStyle w:val="RegSingleTxtG"/>
        <w:numPr>
          <w:ilvl w:val="0"/>
          <w:numId w:val="0"/>
        </w:numPr>
        <w:tabs>
          <w:tab w:val="left" w:pos="568"/>
        </w:tabs>
        <w:ind w:left="1135"/>
      </w:pPr>
      <w:r w:rsidRPr="00A470FF">
        <w:t>12.</w:t>
      </w:r>
      <w:r w:rsidRPr="00A470FF">
        <w:tab/>
      </w:r>
      <w:r w:rsidR="00CE0B79" w:rsidRPr="00A470FF">
        <w:rPr>
          <w:i/>
        </w:rPr>
        <w:t>Requests</w:t>
      </w:r>
      <w:r w:rsidR="00CE0B79" w:rsidRPr="00A470FF">
        <w:t xml:space="preserve"> the secretariat to update the UNFCCC national focal points when the information referred to in paragraph 6 above on climate finance directed to recipient countries as reported under the Convention is made available;</w:t>
      </w:r>
    </w:p>
    <w:p w14:paraId="1E8EFCFE" w14:textId="60692517" w:rsidR="00CE0B79" w:rsidRPr="00A470FF" w:rsidRDefault="00467704" w:rsidP="00467704">
      <w:pPr>
        <w:pStyle w:val="RegSingleTxtG"/>
        <w:numPr>
          <w:ilvl w:val="0"/>
          <w:numId w:val="0"/>
        </w:numPr>
        <w:tabs>
          <w:tab w:val="left" w:pos="568"/>
        </w:tabs>
        <w:ind w:left="1135"/>
      </w:pPr>
      <w:r w:rsidRPr="00A470FF">
        <w:t>13.</w:t>
      </w:r>
      <w:r w:rsidRPr="00A470FF">
        <w:tab/>
      </w:r>
      <w:r w:rsidR="00CE0B79" w:rsidRPr="00A470FF">
        <w:rPr>
          <w:i/>
        </w:rPr>
        <w:t>Also requests</w:t>
      </w:r>
      <w:r w:rsidR="00CE0B79" w:rsidRPr="00A470FF">
        <w:t xml:space="preserve"> the Standing Committee on Finance to take into account the enhanced information provided by Parties included in Annex II to the Convention referred to in paragraph 6 above in its biennial assessment and overview of climate finance flows;</w:t>
      </w:r>
    </w:p>
    <w:p w14:paraId="1E8EFCFF" w14:textId="04B2F4E2" w:rsidR="00CE0B79" w:rsidRPr="00A470FF" w:rsidRDefault="00467704" w:rsidP="00467704">
      <w:pPr>
        <w:pStyle w:val="RegSingleTxtG"/>
        <w:numPr>
          <w:ilvl w:val="0"/>
          <w:numId w:val="0"/>
        </w:numPr>
        <w:tabs>
          <w:tab w:val="left" w:pos="568"/>
        </w:tabs>
        <w:ind w:left="1135"/>
      </w:pPr>
      <w:r w:rsidRPr="00A470FF">
        <w:t>14.</w:t>
      </w:r>
      <w:r w:rsidRPr="00A470FF">
        <w:tab/>
      </w:r>
      <w:r w:rsidR="00CE0B79" w:rsidRPr="00A470FF">
        <w:rPr>
          <w:i/>
        </w:rPr>
        <w:t>Further requests</w:t>
      </w:r>
      <w:r w:rsidR="00CE0B79" w:rsidRPr="00A470FF">
        <w:t xml:space="preserve"> the Standing Committee on Finance to take into account the work on the methodologies for the reporting of financial information </w:t>
      </w:r>
      <w:r w:rsidR="00236C88" w:rsidRPr="00A470FF">
        <w:t>by</w:t>
      </w:r>
      <w:r w:rsidR="00CE0B79" w:rsidRPr="00A470FF">
        <w:t xml:space="preserve"> Parties included in Annex I to the Convention in the context of its workplan on the measurement, reporting and verification of support;</w:t>
      </w:r>
    </w:p>
    <w:p w14:paraId="1E8EFD00" w14:textId="7D962915" w:rsidR="00CE0B79" w:rsidRPr="00A470FF" w:rsidRDefault="00467704" w:rsidP="00467704">
      <w:pPr>
        <w:pStyle w:val="RegSingleTxtG"/>
        <w:numPr>
          <w:ilvl w:val="0"/>
          <w:numId w:val="0"/>
        </w:numPr>
        <w:tabs>
          <w:tab w:val="left" w:pos="568"/>
        </w:tabs>
        <w:ind w:left="1135"/>
      </w:pPr>
      <w:r w:rsidRPr="00A470FF">
        <w:t>15.</w:t>
      </w:r>
      <w:r w:rsidRPr="00A470FF">
        <w:tab/>
      </w:r>
      <w:r w:rsidR="00CE0B79" w:rsidRPr="00A470FF">
        <w:rPr>
          <w:i/>
        </w:rPr>
        <w:t>Invites</w:t>
      </w:r>
      <w:r w:rsidR="00CE0B79" w:rsidRPr="00A470FF">
        <w:t xml:space="preserve"> the Subsidiary Body for Implementation to take into consideration the adjustments referred to in paragraph 6 above in its revision of the “Guidelines for the preparation of national communications by Parties included in Annex I to the Convention, Part II: UNFCCC reporting guidelines on national communications”, to be completed at the twenty-second session of the Conference of the Parties</w:t>
      </w:r>
      <w:r w:rsidR="00236C88" w:rsidRPr="00A470FF">
        <w:t xml:space="preserve"> (November 2016)</w:t>
      </w:r>
      <w:r w:rsidR="00CE0B79" w:rsidRPr="00A470FF">
        <w:t>;</w:t>
      </w:r>
    </w:p>
    <w:p w14:paraId="1E8EFD01" w14:textId="240C0E87" w:rsidR="00CE0B79" w:rsidRPr="00A470FF" w:rsidRDefault="00467704" w:rsidP="00467704">
      <w:pPr>
        <w:pStyle w:val="RegSingleTxtG"/>
        <w:numPr>
          <w:ilvl w:val="0"/>
          <w:numId w:val="0"/>
        </w:numPr>
        <w:tabs>
          <w:tab w:val="left" w:pos="568"/>
        </w:tabs>
        <w:ind w:left="1135"/>
      </w:pPr>
      <w:r w:rsidRPr="00A470FF">
        <w:t>16.</w:t>
      </w:r>
      <w:r w:rsidRPr="00A470FF">
        <w:tab/>
      </w:r>
      <w:r w:rsidR="00CE0B79" w:rsidRPr="00A470FF">
        <w:rPr>
          <w:i/>
        </w:rPr>
        <w:t>Takes note</w:t>
      </w:r>
      <w:r w:rsidR="00CE0B79" w:rsidRPr="00A470FF">
        <w:t xml:space="preserve"> of the estimated budgetary implications of the activities to be undertaken by the secretariat pursuant to the provisions contained in paragraphs 7, 10 and 11 above; </w:t>
      </w:r>
    </w:p>
    <w:p w14:paraId="1E8EFD02" w14:textId="78565BC8" w:rsidR="00CE0B79" w:rsidRPr="00A470FF" w:rsidRDefault="00467704" w:rsidP="00467704">
      <w:pPr>
        <w:pStyle w:val="RegSingleTxtG"/>
        <w:numPr>
          <w:ilvl w:val="0"/>
          <w:numId w:val="0"/>
        </w:numPr>
        <w:tabs>
          <w:tab w:val="left" w:pos="568"/>
        </w:tabs>
        <w:ind w:left="1135"/>
      </w:pPr>
      <w:r w:rsidRPr="00A470FF">
        <w:t>17.</w:t>
      </w:r>
      <w:r w:rsidRPr="00A470FF">
        <w:tab/>
      </w:r>
      <w:r w:rsidR="00CE0B79" w:rsidRPr="00A470FF">
        <w:rPr>
          <w:i/>
        </w:rPr>
        <w:t>Requests</w:t>
      </w:r>
      <w:r w:rsidR="00CE0B79" w:rsidRPr="00A470FF">
        <w:t xml:space="preserve"> that the actions of the secretariat called for in this decision be undertaken subject to the availability of financial resources.</w:t>
      </w:r>
    </w:p>
    <w:p w14:paraId="1E8EFD03" w14:textId="77777777" w:rsidR="00CE0B79" w:rsidRPr="00A470FF" w:rsidRDefault="00CE0B79" w:rsidP="00CE0B79">
      <w:pPr>
        <w:spacing w:before="240"/>
        <w:ind w:left="1134" w:right="1134"/>
        <w:jc w:val="center"/>
      </w:pPr>
      <w:r w:rsidRPr="00A470FF">
        <w:br w:type="page"/>
      </w:r>
    </w:p>
    <w:p w14:paraId="1E8EFD04" w14:textId="77777777" w:rsidR="00CE0B79" w:rsidRPr="00A470FF" w:rsidRDefault="00CE0B79" w:rsidP="00AF5C9F">
      <w:pPr>
        <w:pStyle w:val="HChG"/>
      </w:pPr>
      <w:r w:rsidRPr="00A470FF">
        <w:lastRenderedPageBreak/>
        <w:t>Annex</w:t>
      </w:r>
    </w:p>
    <w:p w14:paraId="1E8EFD05" w14:textId="77777777" w:rsidR="00CE0B79" w:rsidRPr="00A470FF" w:rsidRDefault="00CE0B79" w:rsidP="00AF5C9F">
      <w:pPr>
        <w:pStyle w:val="H1G"/>
        <w:ind w:left="567" w:firstLine="0"/>
      </w:pPr>
      <w:r w:rsidRPr="00A470FF">
        <w:t>Revised common tabular format for the “UNFCCC biennial reporting guidelines for developed country Parties”</w:t>
      </w:r>
    </w:p>
    <w:p w14:paraId="1E8EFD06" w14:textId="0CB0A9BF" w:rsidR="00AA552D" w:rsidRPr="00A470FF" w:rsidRDefault="00CE0B79" w:rsidP="0022077C">
      <w:pPr>
        <w:pStyle w:val="RegSingleTxtG"/>
        <w:numPr>
          <w:ilvl w:val="0"/>
          <w:numId w:val="0"/>
        </w:numPr>
        <w:ind w:left="1135" w:firstLine="566"/>
      </w:pPr>
      <w:r w:rsidRPr="00A470FF">
        <w:t>The following tables shall replace tables 7, 7(a) and 7(b) of the common tabular format for the “UNFCCC biennial reporting guidelines for developed country Parties”</w:t>
      </w:r>
      <w:r w:rsidR="00F01F00" w:rsidRPr="00A470FF">
        <w:t>.</w:t>
      </w:r>
    </w:p>
    <w:p w14:paraId="1E8EFD07" w14:textId="77777777" w:rsidR="00DD686C" w:rsidRPr="00A470FF" w:rsidRDefault="00DD686C" w:rsidP="00CE0B79"/>
    <w:p w14:paraId="1E8EFD08" w14:textId="77777777" w:rsidR="00CE0B79" w:rsidRPr="00A470FF" w:rsidRDefault="00CE0B79" w:rsidP="00CE0B79">
      <w:pPr>
        <w:sectPr w:rsidR="00CE0B79" w:rsidRPr="00A470FF" w:rsidSect="00815DBB">
          <w:headerReference w:type="even" r:id="rId42"/>
          <w:headerReference w:type="default" r:id="rId43"/>
          <w:footerReference w:type="even" r:id="rId44"/>
          <w:footerReference w:type="default" r:id="rId45"/>
          <w:footnotePr>
            <w:numRestart w:val="eachSect"/>
          </w:footnotePr>
          <w:pgSz w:w="11906" w:h="16838" w:code="9"/>
          <w:pgMar w:top="1701" w:right="1134" w:bottom="2268" w:left="1134" w:header="1134" w:footer="1701" w:gutter="0"/>
          <w:cols w:space="708"/>
          <w:docGrid w:linePitch="360"/>
        </w:sectPr>
      </w:pPr>
    </w:p>
    <w:p w14:paraId="1E8EFD09" w14:textId="77777777" w:rsidR="00CE0B79" w:rsidRPr="00A470FF" w:rsidRDefault="00CE0B79" w:rsidP="00CE0B79">
      <w:r w:rsidRPr="00A470FF">
        <w:lastRenderedPageBreak/>
        <w:t>Table 7</w:t>
      </w:r>
    </w:p>
    <w:p w14:paraId="1E8EFD0A" w14:textId="77777777" w:rsidR="00CE0B79" w:rsidRPr="00A470FF" w:rsidRDefault="00CE0B79" w:rsidP="00CE0B79">
      <w:pPr>
        <w:pStyle w:val="SingleTxtG"/>
        <w:ind w:left="0"/>
        <w:rPr>
          <w:b/>
          <w:bCs/>
        </w:rPr>
      </w:pPr>
      <w:r w:rsidRPr="00A470FF">
        <w:rPr>
          <w:b/>
          <w:bCs/>
        </w:rPr>
        <w:t xml:space="preserve">Provision of public financial support: summary information </w:t>
      </w:r>
      <w:r w:rsidRPr="00A470FF">
        <w:rPr>
          <w:rFonts w:eastAsia="MS Mincho"/>
          <w:b/>
          <w:bCs/>
          <w:lang w:eastAsia="ja-JP"/>
        </w:rPr>
        <w:t>in 20XX-3</w:t>
      </w:r>
      <w:r w:rsidRPr="00A470FF">
        <w:rPr>
          <w:rFonts w:eastAsia="MS Mincho"/>
          <w:bCs/>
          <w:i/>
          <w:sz w:val="18"/>
          <w:szCs w:val="18"/>
          <w:vertAlign w:val="superscript"/>
          <w:lang w:eastAsia="ja-JP"/>
        </w:rPr>
        <w:t>a</w:t>
      </w:r>
    </w:p>
    <w:tbl>
      <w:tblPr>
        <w:tblW w:w="12474" w:type="dxa"/>
        <w:tblInd w:w="108" w:type="dxa"/>
        <w:tblBorders>
          <w:top w:val="single" w:sz="4" w:space="0" w:color="auto"/>
          <w:bottom w:val="single" w:sz="12" w:space="0" w:color="auto"/>
          <w:insideH w:val="single" w:sz="4" w:space="0" w:color="auto"/>
        </w:tblBorders>
        <w:tblLayout w:type="fixed"/>
        <w:tblLook w:val="00A0" w:firstRow="1" w:lastRow="0" w:firstColumn="1" w:lastColumn="0" w:noHBand="0" w:noVBand="0"/>
      </w:tblPr>
      <w:tblGrid>
        <w:gridCol w:w="2155"/>
        <w:gridCol w:w="1148"/>
        <w:gridCol w:w="1006"/>
        <w:gridCol w:w="1006"/>
        <w:gridCol w:w="719"/>
        <w:gridCol w:w="862"/>
        <w:gridCol w:w="288"/>
        <w:gridCol w:w="1293"/>
        <w:gridCol w:w="1006"/>
        <w:gridCol w:w="862"/>
        <w:gridCol w:w="144"/>
        <w:gridCol w:w="863"/>
        <w:gridCol w:w="143"/>
        <w:gridCol w:w="979"/>
      </w:tblGrid>
      <w:tr w:rsidR="00CE0B79" w:rsidRPr="00A470FF" w14:paraId="1E8EFD0E" w14:textId="77777777" w:rsidTr="005F1DCF">
        <w:trPr>
          <w:trHeight w:val="240"/>
        </w:trPr>
        <w:tc>
          <w:tcPr>
            <w:tcW w:w="2127" w:type="dxa"/>
            <w:tcBorders>
              <w:left w:val="nil"/>
            </w:tcBorders>
            <w:shd w:val="clear" w:color="auto" w:fill="auto"/>
            <w:vAlign w:val="bottom"/>
          </w:tcPr>
          <w:p w14:paraId="1E8EFD0B" w14:textId="77777777" w:rsidR="00CE0B79" w:rsidRPr="00A470FF" w:rsidRDefault="00CE0B79" w:rsidP="00CE0B79">
            <w:pPr>
              <w:suppressAutoHyphens w:val="0"/>
              <w:spacing w:before="80" w:after="80" w:line="200" w:lineRule="exact"/>
              <w:rPr>
                <w:i/>
                <w:sz w:val="16"/>
                <w:szCs w:val="16"/>
              </w:rPr>
            </w:pPr>
          </w:p>
        </w:tc>
        <w:tc>
          <w:tcPr>
            <w:tcW w:w="9213" w:type="dxa"/>
            <w:gridSpan w:val="12"/>
          </w:tcPr>
          <w:p w14:paraId="1E8EFD0C" w14:textId="77777777" w:rsidR="00CE0B79" w:rsidRPr="00A470FF" w:rsidRDefault="00CE0B79" w:rsidP="00CE0B79">
            <w:pPr>
              <w:suppressAutoHyphens w:val="0"/>
              <w:spacing w:before="80" w:after="80" w:line="200" w:lineRule="exact"/>
              <w:ind w:left="113"/>
              <w:jc w:val="right"/>
              <w:rPr>
                <w:i/>
                <w:sz w:val="16"/>
                <w:szCs w:val="16"/>
              </w:rPr>
            </w:pPr>
            <w:r w:rsidRPr="00A470FF">
              <w:rPr>
                <w:i/>
                <w:sz w:val="16"/>
                <w:szCs w:val="16"/>
              </w:rPr>
              <w:t>Year</w:t>
            </w:r>
          </w:p>
        </w:tc>
        <w:tc>
          <w:tcPr>
            <w:tcW w:w="966" w:type="dxa"/>
          </w:tcPr>
          <w:p w14:paraId="1E8EFD0D" w14:textId="77777777" w:rsidR="00CE0B79" w:rsidRPr="00A470FF" w:rsidRDefault="00CE0B79" w:rsidP="00CE0B79">
            <w:pPr>
              <w:suppressAutoHyphens w:val="0"/>
              <w:spacing w:before="80" w:after="80" w:line="200" w:lineRule="exact"/>
              <w:ind w:left="113"/>
              <w:jc w:val="center"/>
              <w:rPr>
                <w:i/>
                <w:sz w:val="16"/>
                <w:szCs w:val="16"/>
              </w:rPr>
            </w:pPr>
          </w:p>
        </w:tc>
      </w:tr>
      <w:tr w:rsidR="00CE0B79" w:rsidRPr="00A470FF" w14:paraId="1E8EFD13" w14:textId="77777777" w:rsidTr="005F1DCF">
        <w:trPr>
          <w:trHeight w:val="240"/>
        </w:trPr>
        <w:tc>
          <w:tcPr>
            <w:tcW w:w="2127" w:type="dxa"/>
            <w:vMerge w:val="restart"/>
            <w:tcBorders>
              <w:left w:val="nil"/>
            </w:tcBorders>
            <w:shd w:val="clear" w:color="auto" w:fill="auto"/>
          </w:tcPr>
          <w:p w14:paraId="1E8EFD0F" w14:textId="2B1CFEE0" w:rsidR="00CE0B79" w:rsidRPr="00A470FF" w:rsidRDefault="00CE0B79" w:rsidP="005F1DCF">
            <w:pPr>
              <w:spacing w:before="80" w:after="80" w:line="200" w:lineRule="exact"/>
              <w:ind w:left="-108"/>
              <w:rPr>
                <w:sz w:val="18"/>
                <w:szCs w:val="16"/>
              </w:rPr>
            </w:pPr>
            <w:r w:rsidRPr="00A470FF">
              <w:rPr>
                <w:i/>
                <w:sz w:val="16"/>
                <w:szCs w:val="16"/>
              </w:rPr>
              <w:t>Allocation channel</w:t>
            </w:r>
            <w:r w:rsidR="00B2081F" w:rsidRPr="00A470FF">
              <w:rPr>
                <w:i/>
                <w:sz w:val="16"/>
                <w:szCs w:val="16"/>
              </w:rPr>
              <w:t>s</w:t>
            </w:r>
          </w:p>
        </w:tc>
        <w:tc>
          <w:tcPr>
            <w:tcW w:w="4677" w:type="dxa"/>
            <w:gridSpan w:val="5"/>
            <w:tcBorders>
              <w:bottom w:val="single" w:sz="4" w:space="0" w:color="auto"/>
            </w:tcBorders>
          </w:tcPr>
          <w:p w14:paraId="1E8EFD10"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Domestic currency</w:t>
            </w:r>
          </w:p>
        </w:tc>
        <w:tc>
          <w:tcPr>
            <w:tcW w:w="284" w:type="dxa"/>
            <w:tcBorders>
              <w:right w:val="single" w:sz="4" w:space="0" w:color="auto"/>
            </w:tcBorders>
            <w:shd w:val="clear" w:color="auto" w:fill="auto"/>
            <w:vAlign w:val="center"/>
          </w:tcPr>
          <w:p w14:paraId="1E8EFD11" w14:textId="77777777" w:rsidR="00CE0B79" w:rsidRPr="00A470FF" w:rsidRDefault="00CE0B79" w:rsidP="00CE0B79">
            <w:pPr>
              <w:suppressAutoHyphens w:val="0"/>
              <w:spacing w:before="40" w:after="40" w:line="220" w:lineRule="exact"/>
              <w:ind w:left="113"/>
              <w:jc w:val="center"/>
              <w:rPr>
                <w:i/>
                <w:sz w:val="16"/>
                <w:szCs w:val="16"/>
              </w:rPr>
            </w:pPr>
          </w:p>
        </w:tc>
        <w:tc>
          <w:tcPr>
            <w:tcW w:w="5218" w:type="dxa"/>
            <w:gridSpan w:val="7"/>
            <w:tcBorders>
              <w:left w:val="single" w:sz="4" w:space="0" w:color="auto"/>
              <w:bottom w:val="single" w:sz="4" w:space="0" w:color="auto"/>
            </w:tcBorders>
          </w:tcPr>
          <w:p w14:paraId="1E8EFD12"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USD</w:t>
            </w:r>
            <w:r w:rsidRPr="005F1DCF">
              <w:rPr>
                <w:i/>
                <w:sz w:val="18"/>
                <w:szCs w:val="16"/>
                <w:vertAlign w:val="superscript"/>
              </w:rPr>
              <w:t>b</w:t>
            </w:r>
          </w:p>
        </w:tc>
      </w:tr>
      <w:tr w:rsidR="00CE0B79" w:rsidRPr="00A470FF" w14:paraId="1E8EFD1C" w14:textId="77777777" w:rsidTr="005F1DCF">
        <w:trPr>
          <w:trHeight w:val="240"/>
        </w:trPr>
        <w:tc>
          <w:tcPr>
            <w:tcW w:w="2127" w:type="dxa"/>
            <w:vMerge/>
            <w:tcBorders>
              <w:left w:val="nil"/>
            </w:tcBorders>
            <w:shd w:val="clear" w:color="auto" w:fill="auto"/>
          </w:tcPr>
          <w:p w14:paraId="1E8EFD14" w14:textId="77777777" w:rsidR="00CE0B79" w:rsidRPr="00A470FF" w:rsidRDefault="00CE0B79" w:rsidP="00CE0B79">
            <w:pPr>
              <w:spacing w:before="80" w:after="80" w:line="200" w:lineRule="exact"/>
              <w:rPr>
                <w:sz w:val="18"/>
                <w:szCs w:val="16"/>
              </w:rPr>
            </w:pPr>
          </w:p>
        </w:tc>
        <w:tc>
          <w:tcPr>
            <w:tcW w:w="1134" w:type="dxa"/>
            <w:vMerge w:val="restart"/>
          </w:tcPr>
          <w:p w14:paraId="1E8EFD15"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Core/</w:t>
            </w:r>
          </w:p>
          <w:p w14:paraId="1E8EFD16"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general</w:t>
            </w:r>
            <w:r w:rsidRPr="005F1DCF">
              <w:rPr>
                <w:i/>
                <w:sz w:val="18"/>
                <w:szCs w:val="16"/>
                <w:vertAlign w:val="superscript"/>
              </w:rPr>
              <w:t>c, 1</w:t>
            </w:r>
          </w:p>
        </w:tc>
        <w:tc>
          <w:tcPr>
            <w:tcW w:w="3543" w:type="dxa"/>
            <w:gridSpan w:val="4"/>
            <w:shd w:val="clear" w:color="auto" w:fill="auto"/>
            <w:vAlign w:val="center"/>
          </w:tcPr>
          <w:p w14:paraId="1E8EFD17"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Climate-specific</w:t>
            </w:r>
            <w:r w:rsidRPr="005F1DCF">
              <w:rPr>
                <w:i/>
                <w:sz w:val="18"/>
                <w:szCs w:val="16"/>
                <w:vertAlign w:val="superscript"/>
              </w:rPr>
              <w:t>d, 2</w:t>
            </w:r>
          </w:p>
        </w:tc>
        <w:tc>
          <w:tcPr>
            <w:tcW w:w="284" w:type="dxa"/>
            <w:tcBorders>
              <w:right w:val="single" w:sz="4" w:space="0" w:color="auto"/>
            </w:tcBorders>
            <w:shd w:val="clear" w:color="auto" w:fill="auto"/>
            <w:vAlign w:val="center"/>
          </w:tcPr>
          <w:p w14:paraId="1E8EFD18" w14:textId="77777777" w:rsidR="00CE0B79" w:rsidRPr="00A470FF" w:rsidRDefault="00CE0B79" w:rsidP="00CE0B79">
            <w:pPr>
              <w:suppressAutoHyphens w:val="0"/>
              <w:spacing w:before="40" w:after="40" w:line="220" w:lineRule="exact"/>
              <w:ind w:left="113"/>
              <w:jc w:val="center"/>
              <w:rPr>
                <w:i/>
                <w:sz w:val="16"/>
                <w:szCs w:val="16"/>
              </w:rPr>
            </w:pPr>
          </w:p>
        </w:tc>
        <w:tc>
          <w:tcPr>
            <w:tcW w:w="1276" w:type="dxa"/>
            <w:vMerge w:val="restart"/>
            <w:tcBorders>
              <w:left w:val="single" w:sz="4" w:space="0" w:color="auto"/>
              <w:bottom w:val="single" w:sz="12" w:space="0" w:color="auto"/>
            </w:tcBorders>
          </w:tcPr>
          <w:p w14:paraId="1E8EFD19"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Core/</w:t>
            </w:r>
          </w:p>
          <w:p w14:paraId="1E8EFD1A"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general</w:t>
            </w:r>
            <w:r w:rsidRPr="005F1DCF">
              <w:rPr>
                <w:i/>
                <w:sz w:val="18"/>
                <w:szCs w:val="16"/>
                <w:vertAlign w:val="superscript"/>
              </w:rPr>
              <w:t>c</w:t>
            </w:r>
          </w:p>
        </w:tc>
        <w:tc>
          <w:tcPr>
            <w:tcW w:w="3942" w:type="dxa"/>
            <w:gridSpan w:val="6"/>
            <w:shd w:val="clear" w:color="auto" w:fill="auto"/>
            <w:vAlign w:val="center"/>
          </w:tcPr>
          <w:p w14:paraId="1E8EFD1B" w14:textId="77777777" w:rsidR="00CE0B79" w:rsidRPr="00A470FF" w:rsidRDefault="00CE0B79" w:rsidP="00CE0B79">
            <w:pPr>
              <w:suppressAutoHyphens w:val="0"/>
              <w:spacing w:before="40" w:after="40" w:line="220" w:lineRule="exact"/>
              <w:ind w:left="113"/>
              <w:jc w:val="center"/>
              <w:rPr>
                <w:i/>
                <w:sz w:val="16"/>
                <w:szCs w:val="16"/>
              </w:rPr>
            </w:pPr>
            <w:r w:rsidRPr="00A470FF">
              <w:rPr>
                <w:i/>
                <w:sz w:val="16"/>
                <w:szCs w:val="16"/>
              </w:rPr>
              <w:t>Climate-specific</w:t>
            </w:r>
            <w:r w:rsidRPr="005F1DCF">
              <w:rPr>
                <w:i/>
                <w:sz w:val="18"/>
                <w:szCs w:val="16"/>
                <w:vertAlign w:val="superscript"/>
              </w:rPr>
              <w:t xml:space="preserve">d, 2 </w:t>
            </w:r>
          </w:p>
        </w:tc>
      </w:tr>
      <w:tr w:rsidR="00CE0B79" w:rsidRPr="00A470FF" w14:paraId="1E8EFD29" w14:textId="77777777" w:rsidTr="005F1DCF">
        <w:trPr>
          <w:trHeight w:val="405"/>
        </w:trPr>
        <w:tc>
          <w:tcPr>
            <w:tcW w:w="2127" w:type="dxa"/>
            <w:vMerge/>
            <w:tcBorders>
              <w:left w:val="nil"/>
              <w:bottom w:val="single" w:sz="12" w:space="0" w:color="auto"/>
            </w:tcBorders>
            <w:shd w:val="clear" w:color="auto" w:fill="auto"/>
          </w:tcPr>
          <w:p w14:paraId="1E8EFD1D" w14:textId="77777777" w:rsidR="00CE0B79" w:rsidRPr="00A470FF" w:rsidRDefault="00CE0B79" w:rsidP="00CE0B79">
            <w:pPr>
              <w:suppressAutoHyphens w:val="0"/>
              <w:spacing w:before="40" w:after="40" w:line="220" w:lineRule="exact"/>
              <w:rPr>
                <w:sz w:val="18"/>
                <w:szCs w:val="16"/>
              </w:rPr>
            </w:pPr>
          </w:p>
        </w:tc>
        <w:tc>
          <w:tcPr>
            <w:tcW w:w="1134" w:type="dxa"/>
            <w:vMerge/>
            <w:tcBorders>
              <w:bottom w:val="single" w:sz="12" w:space="0" w:color="auto"/>
            </w:tcBorders>
          </w:tcPr>
          <w:p w14:paraId="1E8EFD1E" w14:textId="77777777" w:rsidR="00CE0B79" w:rsidRPr="00A470FF" w:rsidRDefault="00CE0B79" w:rsidP="00CE0B79">
            <w:pPr>
              <w:suppressAutoHyphens w:val="0"/>
              <w:spacing w:before="40" w:after="40" w:line="220" w:lineRule="exact"/>
              <w:ind w:left="113"/>
              <w:jc w:val="center"/>
              <w:rPr>
                <w:i/>
                <w:sz w:val="16"/>
                <w:szCs w:val="16"/>
              </w:rPr>
            </w:pPr>
          </w:p>
        </w:tc>
        <w:tc>
          <w:tcPr>
            <w:tcW w:w="992" w:type="dxa"/>
            <w:tcBorders>
              <w:bottom w:val="single" w:sz="12" w:space="0" w:color="auto"/>
            </w:tcBorders>
            <w:shd w:val="clear" w:color="auto" w:fill="auto"/>
            <w:tcMar>
              <w:left w:w="57" w:type="dxa"/>
              <w:right w:w="57" w:type="dxa"/>
            </w:tcMar>
            <w:vAlign w:val="center"/>
          </w:tcPr>
          <w:p w14:paraId="1E8EFD1F" w14:textId="77777777" w:rsidR="00CE0B79" w:rsidRPr="00A470FF" w:rsidRDefault="00CE0B79" w:rsidP="002607CC">
            <w:pPr>
              <w:suppressAutoHyphens w:val="0"/>
              <w:spacing w:before="40" w:after="40" w:line="220" w:lineRule="exact"/>
              <w:ind w:left="113"/>
              <w:jc w:val="center"/>
              <w:rPr>
                <w:i/>
                <w:sz w:val="16"/>
                <w:szCs w:val="16"/>
              </w:rPr>
            </w:pPr>
            <w:r w:rsidRPr="00A470FF">
              <w:rPr>
                <w:i/>
                <w:sz w:val="16"/>
                <w:szCs w:val="16"/>
              </w:rPr>
              <w:t>Mitigation</w:t>
            </w:r>
          </w:p>
        </w:tc>
        <w:tc>
          <w:tcPr>
            <w:tcW w:w="992" w:type="dxa"/>
            <w:tcBorders>
              <w:bottom w:val="single" w:sz="12" w:space="0" w:color="auto"/>
            </w:tcBorders>
            <w:shd w:val="clear" w:color="auto" w:fill="auto"/>
            <w:tcMar>
              <w:left w:w="57" w:type="dxa"/>
              <w:right w:w="57" w:type="dxa"/>
            </w:tcMar>
            <w:vAlign w:val="center"/>
          </w:tcPr>
          <w:p w14:paraId="1E8EFD20" w14:textId="77777777" w:rsidR="00CE0B79" w:rsidRPr="00A470FF" w:rsidRDefault="00CE0B79" w:rsidP="002607CC">
            <w:pPr>
              <w:suppressAutoHyphens w:val="0"/>
              <w:spacing w:before="40" w:after="40" w:line="220" w:lineRule="exact"/>
              <w:ind w:left="113"/>
              <w:jc w:val="center"/>
              <w:rPr>
                <w:i/>
                <w:sz w:val="16"/>
                <w:szCs w:val="16"/>
              </w:rPr>
            </w:pPr>
            <w:r w:rsidRPr="00A470FF">
              <w:rPr>
                <w:i/>
                <w:sz w:val="16"/>
                <w:szCs w:val="16"/>
              </w:rPr>
              <w:t>Adaptation</w:t>
            </w:r>
          </w:p>
        </w:tc>
        <w:tc>
          <w:tcPr>
            <w:tcW w:w="709" w:type="dxa"/>
            <w:tcBorders>
              <w:bottom w:val="single" w:sz="12" w:space="0" w:color="auto"/>
            </w:tcBorders>
            <w:shd w:val="clear" w:color="auto" w:fill="auto"/>
            <w:tcMar>
              <w:left w:w="57" w:type="dxa"/>
              <w:right w:w="57" w:type="dxa"/>
            </w:tcMar>
            <w:vAlign w:val="center"/>
          </w:tcPr>
          <w:p w14:paraId="1E8EFD21" w14:textId="77777777" w:rsidR="00CE0B79" w:rsidRPr="00A470FF" w:rsidRDefault="00CE0B79" w:rsidP="002607CC">
            <w:pPr>
              <w:suppressAutoHyphens w:val="0"/>
              <w:spacing w:before="40" w:after="40" w:line="220" w:lineRule="exact"/>
              <w:jc w:val="center"/>
              <w:rPr>
                <w:i/>
                <w:sz w:val="16"/>
                <w:szCs w:val="16"/>
              </w:rPr>
            </w:pPr>
            <w:r w:rsidRPr="00A470FF">
              <w:rPr>
                <w:i/>
                <w:sz w:val="16"/>
                <w:szCs w:val="16"/>
              </w:rPr>
              <w:t>Cross-cutting</w:t>
            </w:r>
            <w:r w:rsidRPr="005F1DCF">
              <w:rPr>
                <w:i/>
                <w:sz w:val="18"/>
                <w:szCs w:val="16"/>
                <w:vertAlign w:val="superscript"/>
              </w:rPr>
              <w:t>e</w:t>
            </w:r>
          </w:p>
        </w:tc>
        <w:tc>
          <w:tcPr>
            <w:tcW w:w="850" w:type="dxa"/>
            <w:tcBorders>
              <w:bottom w:val="single" w:sz="12" w:space="0" w:color="auto"/>
            </w:tcBorders>
            <w:vAlign w:val="center"/>
          </w:tcPr>
          <w:p w14:paraId="1E8EFD22" w14:textId="77777777" w:rsidR="00CE0B79" w:rsidRPr="00A470FF" w:rsidRDefault="00CE0B79" w:rsidP="002607CC">
            <w:pPr>
              <w:suppressAutoHyphens w:val="0"/>
              <w:spacing w:before="40" w:after="40" w:line="220" w:lineRule="exact"/>
              <w:ind w:left="113"/>
              <w:jc w:val="center"/>
              <w:rPr>
                <w:i/>
                <w:sz w:val="16"/>
                <w:szCs w:val="16"/>
              </w:rPr>
            </w:pPr>
            <w:r w:rsidRPr="00A470FF">
              <w:rPr>
                <w:i/>
                <w:sz w:val="16"/>
                <w:szCs w:val="16"/>
              </w:rPr>
              <w:t>Other</w:t>
            </w:r>
            <w:r w:rsidRPr="005F1DCF">
              <w:rPr>
                <w:i/>
                <w:sz w:val="18"/>
                <w:szCs w:val="16"/>
                <w:vertAlign w:val="superscript"/>
              </w:rPr>
              <w:t>f</w:t>
            </w:r>
          </w:p>
        </w:tc>
        <w:tc>
          <w:tcPr>
            <w:tcW w:w="284" w:type="dxa"/>
            <w:tcBorders>
              <w:bottom w:val="single" w:sz="12" w:space="0" w:color="auto"/>
              <w:right w:val="single" w:sz="4" w:space="0" w:color="auto"/>
            </w:tcBorders>
            <w:shd w:val="clear" w:color="auto" w:fill="auto"/>
            <w:tcMar>
              <w:left w:w="57" w:type="dxa"/>
              <w:right w:w="57" w:type="dxa"/>
            </w:tcMar>
            <w:vAlign w:val="center"/>
          </w:tcPr>
          <w:p w14:paraId="1E8EFD23" w14:textId="77777777" w:rsidR="00CE0B79" w:rsidRPr="00A470FF" w:rsidRDefault="00CE0B79" w:rsidP="00CE0B79">
            <w:pPr>
              <w:suppressAutoHyphens w:val="0"/>
              <w:spacing w:before="40" w:after="40" w:line="220" w:lineRule="exact"/>
              <w:ind w:left="113"/>
              <w:jc w:val="center"/>
              <w:rPr>
                <w:i/>
                <w:sz w:val="16"/>
                <w:szCs w:val="16"/>
              </w:rPr>
            </w:pPr>
          </w:p>
        </w:tc>
        <w:tc>
          <w:tcPr>
            <w:tcW w:w="1276" w:type="dxa"/>
            <w:vMerge/>
            <w:tcBorders>
              <w:left w:val="single" w:sz="4" w:space="0" w:color="auto"/>
              <w:bottom w:val="single" w:sz="12" w:space="0" w:color="auto"/>
            </w:tcBorders>
            <w:vAlign w:val="center"/>
          </w:tcPr>
          <w:p w14:paraId="1E8EFD24" w14:textId="77777777" w:rsidR="00CE0B79" w:rsidRPr="00A470FF" w:rsidRDefault="00CE0B79" w:rsidP="00CE0B79">
            <w:pPr>
              <w:suppressAutoHyphens w:val="0"/>
              <w:spacing w:before="40" w:after="40" w:line="220" w:lineRule="exact"/>
              <w:ind w:left="113"/>
              <w:jc w:val="center"/>
              <w:rPr>
                <w:i/>
                <w:sz w:val="16"/>
                <w:szCs w:val="16"/>
              </w:rPr>
            </w:pPr>
          </w:p>
        </w:tc>
        <w:tc>
          <w:tcPr>
            <w:tcW w:w="992" w:type="dxa"/>
            <w:tcBorders>
              <w:bottom w:val="single" w:sz="12" w:space="0" w:color="auto"/>
            </w:tcBorders>
            <w:shd w:val="clear" w:color="auto" w:fill="auto"/>
            <w:tcMar>
              <w:left w:w="57" w:type="dxa"/>
              <w:right w:w="57" w:type="dxa"/>
            </w:tcMar>
            <w:vAlign w:val="center"/>
          </w:tcPr>
          <w:p w14:paraId="1E8EFD25" w14:textId="77777777" w:rsidR="00CE0B79" w:rsidRPr="00A470FF" w:rsidRDefault="00CE0B79" w:rsidP="002607CC">
            <w:pPr>
              <w:suppressAutoHyphens w:val="0"/>
              <w:spacing w:before="40" w:after="40" w:line="220" w:lineRule="exact"/>
              <w:ind w:left="113"/>
              <w:jc w:val="center"/>
              <w:rPr>
                <w:i/>
                <w:sz w:val="16"/>
                <w:szCs w:val="16"/>
              </w:rPr>
            </w:pPr>
            <w:r w:rsidRPr="00A470FF">
              <w:rPr>
                <w:i/>
                <w:sz w:val="16"/>
                <w:szCs w:val="16"/>
              </w:rPr>
              <w:t>Mitigation</w:t>
            </w:r>
          </w:p>
        </w:tc>
        <w:tc>
          <w:tcPr>
            <w:tcW w:w="992" w:type="dxa"/>
            <w:gridSpan w:val="2"/>
            <w:tcBorders>
              <w:bottom w:val="single" w:sz="12" w:space="0" w:color="auto"/>
            </w:tcBorders>
            <w:shd w:val="clear" w:color="auto" w:fill="auto"/>
            <w:tcMar>
              <w:left w:w="57" w:type="dxa"/>
              <w:right w:w="57" w:type="dxa"/>
            </w:tcMar>
            <w:vAlign w:val="center"/>
          </w:tcPr>
          <w:p w14:paraId="1E8EFD26" w14:textId="77777777" w:rsidR="00CE0B79" w:rsidRPr="00A470FF" w:rsidRDefault="00CE0B79" w:rsidP="002607CC">
            <w:pPr>
              <w:suppressAutoHyphens w:val="0"/>
              <w:spacing w:before="40" w:after="40" w:line="220" w:lineRule="exact"/>
              <w:ind w:left="113"/>
              <w:jc w:val="center"/>
              <w:rPr>
                <w:i/>
                <w:sz w:val="16"/>
                <w:szCs w:val="16"/>
              </w:rPr>
            </w:pPr>
            <w:r w:rsidRPr="00A470FF">
              <w:rPr>
                <w:i/>
                <w:sz w:val="16"/>
                <w:szCs w:val="16"/>
              </w:rPr>
              <w:t>Adaptation</w:t>
            </w:r>
          </w:p>
        </w:tc>
        <w:tc>
          <w:tcPr>
            <w:tcW w:w="992" w:type="dxa"/>
            <w:gridSpan w:val="2"/>
            <w:tcBorders>
              <w:bottom w:val="single" w:sz="12" w:space="0" w:color="auto"/>
            </w:tcBorders>
            <w:shd w:val="clear" w:color="auto" w:fill="auto"/>
            <w:tcMar>
              <w:left w:w="57" w:type="dxa"/>
              <w:right w:w="57" w:type="dxa"/>
            </w:tcMar>
            <w:vAlign w:val="center"/>
          </w:tcPr>
          <w:p w14:paraId="1E8EFD27" w14:textId="77777777" w:rsidR="00CE0B79" w:rsidRPr="00A470FF" w:rsidRDefault="00CE0B79" w:rsidP="002607CC">
            <w:pPr>
              <w:suppressAutoHyphens w:val="0"/>
              <w:spacing w:before="40" w:after="40" w:line="220" w:lineRule="exact"/>
              <w:ind w:left="113"/>
              <w:jc w:val="center"/>
              <w:rPr>
                <w:i/>
                <w:sz w:val="16"/>
                <w:szCs w:val="16"/>
                <w:vertAlign w:val="superscript"/>
              </w:rPr>
            </w:pPr>
            <w:r w:rsidRPr="00A470FF">
              <w:rPr>
                <w:i/>
                <w:sz w:val="16"/>
                <w:szCs w:val="16"/>
              </w:rPr>
              <w:t>Cross-cutting</w:t>
            </w:r>
            <w:r w:rsidRPr="005F1DCF">
              <w:rPr>
                <w:i/>
                <w:sz w:val="18"/>
                <w:szCs w:val="16"/>
                <w:vertAlign w:val="superscript"/>
              </w:rPr>
              <w:t>e</w:t>
            </w:r>
          </w:p>
        </w:tc>
        <w:tc>
          <w:tcPr>
            <w:tcW w:w="966" w:type="dxa"/>
            <w:tcBorders>
              <w:bottom w:val="single" w:sz="12" w:space="0" w:color="auto"/>
            </w:tcBorders>
            <w:vAlign w:val="center"/>
          </w:tcPr>
          <w:p w14:paraId="1E8EFD28" w14:textId="77777777" w:rsidR="00CE0B79" w:rsidRPr="00A470FF" w:rsidRDefault="00CE0B79" w:rsidP="002607CC">
            <w:pPr>
              <w:suppressAutoHyphens w:val="0"/>
              <w:spacing w:before="40" w:after="40" w:line="220" w:lineRule="exact"/>
              <w:ind w:left="113"/>
              <w:jc w:val="center"/>
              <w:rPr>
                <w:i/>
                <w:sz w:val="16"/>
                <w:szCs w:val="16"/>
              </w:rPr>
            </w:pPr>
            <w:r w:rsidRPr="00A470FF">
              <w:rPr>
                <w:i/>
                <w:sz w:val="16"/>
                <w:szCs w:val="16"/>
              </w:rPr>
              <w:t>Other</w:t>
            </w:r>
            <w:r w:rsidRPr="005F1DCF">
              <w:rPr>
                <w:i/>
                <w:sz w:val="18"/>
                <w:szCs w:val="16"/>
                <w:vertAlign w:val="superscript"/>
              </w:rPr>
              <w:t>f</w:t>
            </w:r>
          </w:p>
        </w:tc>
      </w:tr>
      <w:tr w:rsidR="00CE0B79" w:rsidRPr="00A470FF" w14:paraId="1E8EFD37" w14:textId="77777777" w:rsidTr="005F1DCF">
        <w:trPr>
          <w:trHeight w:val="240"/>
        </w:trPr>
        <w:tc>
          <w:tcPr>
            <w:tcW w:w="2127" w:type="dxa"/>
            <w:tcBorders>
              <w:top w:val="single" w:sz="12" w:space="0" w:color="auto"/>
              <w:left w:val="nil"/>
              <w:bottom w:val="single" w:sz="4" w:space="0" w:color="auto"/>
            </w:tcBorders>
            <w:shd w:val="clear" w:color="auto" w:fill="auto"/>
          </w:tcPr>
          <w:p w14:paraId="1E8EFD2A" w14:textId="77777777" w:rsidR="00CE0B79" w:rsidRPr="00A470FF" w:rsidRDefault="00CE0B79" w:rsidP="005F1DCF">
            <w:pPr>
              <w:suppressAutoHyphens w:val="0"/>
              <w:spacing w:before="40" w:after="40" w:line="220" w:lineRule="exact"/>
              <w:ind w:left="-108"/>
              <w:rPr>
                <w:rFonts w:eastAsia="Times New Roman"/>
                <w:bCs/>
                <w:sz w:val="18"/>
                <w:szCs w:val="22"/>
                <w:lang w:eastAsia="en-GB"/>
              </w:rPr>
            </w:pPr>
            <w:r w:rsidRPr="00A470FF">
              <w:rPr>
                <w:rFonts w:eastAsia="Times New Roman"/>
                <w:bCs/>
                <w:sz w:val="18"/>
                <w:szCs w:val="22"/>
                <w:lang w:eastAsia="en-GB"/>
              </w:rPr>
              <w:t>Total contributions through multilateral channels:</w:t>
            </w:r>
          </w:p>
          <w:p w14:paraId="1E8EFD2B" w14:textId="77777777" w:rsidR="00CE0B79" w:rsidRPr="00A470FF" w:rsidRDefault="00CE0B79" w:rsidP="005F1DCF">
            <w:pPr>
              <w:suppressAutoHyphens w:val="0"/>
              <w:spacing w:before="40" w:after="40" w:line="220" w:lineRule="exact"/>
              <w:ind w:left="34"/>
              <w:rPr>
                <w:sz w:val="18"/>
                <w:szCs w:val="18"/>
              </w:rPr>
            </w:pPr>
            <w:r w:rsidRPr="00A470FF">
              <w:rPr>
                <w:rFonts w:eastAsia="Times New Roman"/>
                <w:bCs/>
                <w:sz w:val="18"/>
                <w:szCs w:val="22"/>
                <w:lang w:eastAsia="en-GB"/>
              </w:rPr>
              <w:t>Multilateral climate change funds</w:t>
            </w:r>
            <w:r w:rsidRPr="00A470FF">
              <w:rPr>
                <w:rFonts w:eastAsia="Times New Roman"/>
                <w:bCs/>
                <w:i/>
                <w:sz w:val="18"/>
                <w:szCs w:val="22"/>
                <w:vertAlign w:val="superscript"/>
                <w:lang w:eastAsia="en-GB"/>
              </w:rPr>
              <w:t>g</w:t>
            </w:r>
          </w:p>
        </w:tc>
        <w:tc>
          <w:tcPr>
            <w:tcW w:w="1134" w:type="dxa"/>
            <w:tcBorders>
              <w:top w:val="single" w:sz="12" w:space="0" w:color="auto"/>
              <w:bottom w:val="single" w:sz="4" w:space="0" w:color="auto"/>
            </w:tcBorders>
          </w:tcPr>
          <w:p w14:paraId="1E8EFD2C"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12" w:space="0" w:color="auto"/>
              <w:bottom w:val="single" w:sz="4" w:space="0" w:color="auto"/>
            </w:tcBorders>
            <w:shd w:val="clear" w:color="auto" w:fill="auto"/>
          </w:tcPr>
          <w:p w14:paraId="1E8EFD2D"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12" w:space="0" w:color="auto"/>
              <w:bottom w:val="single" w:sz="4" w:space="0" w:color="auto"/>
            </w:tcBorders>
            <w:shd w:val="clear" w:color="auto" w:fill="auto"/>
          </w:tcPr>
          <w:p w14:paraId="1E8EFD2E" w14:textId="77777777" w:rsidR="00CE0B79" w:rsidRPr="00A470FF" w:rsidRDefault="00CE0B79" w:rsidP="00CE0B79">
            <w:pPr>
              <w:suppressAutoHyphens w:val="0"/>
              <w:spacing w:before="40" w:after="40" w:line="220" w:lineRule="exact"/>
              <w:ind w:left="113"/>
              <w:jc w:val="right"/>
              <w:rPr>
                <w:sz w:val="18"/>
                <w:szCs w:val="18"/>
              </w:rPr>
            </w:pPr>
          </w:p>
        </w:tc>
        <w:tc>
          <w:tcPr>
            <w:tcW w:w="709" w:type="dxa"/>
            <w:tcBorders>
              <w:top w:val="single" w:sz="12" w:space="0" w:color="auto"/>
              <w:bottom w:val="single" w:sz="4" w:space="0" w:color="auto"/>
            </w:tcBorders>
            <w:shd w:val="clear" w:color="auto" w:fill="auto"/>
          </w:tcPr>
          <w:p w14:paraId="1E8EFD2F" w14:textId="77777777" w:rsidR="00CE0B79" w:rsidRPr="00A470FF" w:rsidRDefault="00CE0B79" w:rsidP="00CE0B79">
            <w:pPr>
              <w:suppressAutoHyphens w:val="0"/>
              <w:spacing w:before="40" w:after="40" w:line="220" w:lineRule="exact"/>
              <w:ind w:left="113"/>
              <w:jc w:val="right"/>
              <w:rPr>
                <w:sz w:val="18"/>
                <w:szCs w:val="18"/>
              </w:rPr>
            </w:pPr>
          </w:p>
        </w:tc>
        <w:tc>
          <w:tcPr>
            <w:tcW w:w="850" w:type="dxa"/>
            <w:tcBorders>
              <w:top w:val="single" w:sz="12" w:space="0" w:color="auto"/>
              <w:bottom w:val="single" w:sz="4" w:space="0" w:color="auto"/>
            </w:tcBorders>
          </w:tcPr>
          <w:p w14:paraId="1E8EFD30" w14:textId="77777777" w:rsidR="00CE0B79" w:rsidRPr="00A470FF" w:rsidRDefault="00CE0B79" w:rsidP="00CE0B79">
            <w:pPr>
              <w:suppressAutoHyphens w:val="0"/>
              <w:spacing w:before="40" w:after="40" w:line="220" w:lineRule="exact"/>
              <w:ind w:left="113"/>
              <w:jc w:val="center"/>
              <w:rPr>
                <w:sz w:val="18"/>
                <w:szCs w:val="16"/>
              </w:rPr>
            </w:pPr>
          </w:p>
        </w:tc>
        <w:tc>
          <w:tcPr>
            <w:tcW w:w="284" w:type="dxa"/>
            <w:tcBorders>
              <w:top w:val="single" w:sz="12" w:space="0" w:color="auto"/>
              <w:bottom w:val="single" w:sz="4" w:space="0" w:color="auto"/>
            </w:tcBorders>
            <w:shd w:val="clear" w:color="auto" w:fill="auto"/>
          </w:tcPr>
          <w:p w14:paraId="1E8EFD31" w14:textId="77777777" w:rsidR="00CE0B79" w:rsidRPr="00A470FF" w:rsidRDefault="00CE0B79" w:rsidP="00CE0B79">
            <w:pPr>
              <w:suppressAutoHyphens w:val="0"/>
              <w:spacing w:before="40" w:after="40" w:line="220" w:lineRule="exact"/>
              <w:ind w:left="113"/>
              <w:jc w:val="center"/>
              <w:rPr>
                <w:sz w:val="18"/>
                <w:szCs w:val="16"/>
              </w:rPr>
            </w:pPr>
          </w:p>
        </w:tc>
        <w:tc>
          <w:tcPr>
            <w:tcW w:w="1276" w:type="dxa"/>
            <w:tcBorders>
              <w:top w:val="single" w:sz="12" w:space="0" w:color="auto"/>
              <w:bottom w:val="single" w:sz="4" w:space="0" w:color="auto"/>
            </w:tcBorders>
          </w:tcPr>
          <w:p w14:paraId="1E8EFD32"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12" w:space="0" w:color="auto"/>
              <w:bottom w:val="single" w:sz="4" w:space="0" w:color="auto"/>
            </w:tcBorders>
            <w:shd w:val="clear" w:color="auto" w:fill="auto"/>
          </w:tcPr>
          <w:p w14:paraId="1E8EFD33"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single" w:sz="12" w:space="0" w:color="auto"/>
              <w:bottom w:val="single" w:sz="4" w:space="0" w:color="auto"/>
            </w:tcBorders>
            <w:shd w:val="clear" w:color="auto" w:fill="auto"/>
          </w:tcPr>
          <w:p w14:paraId="1E8EFD34"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single" w:sz="12" w:space="0" w:color="auto"/>
              <w:bottom w:val="single" w:sz="4" w:space="0" w:color="auto"/>
            </w:tcBorders>
            <w:shd w:val="clear" w:color="auto" w:fill="auto"/>
          </w:tcPr>
          <w:p w14:paraId="1E8EFD35" w14:textId="77777777" w:rsidR="00CE0B79" w:rsidRPr="00A470FF" w:rsidRDefault="00CE0B79" w:rsidP="00CE0B79">
            <w:pPr>
              <w:suppressAutoHyphens w:val="0"/>
              <w:spacing w:before="40" w:after="40" w:line="220" w:lineRule="exact"/>
              <w:ind w:left="113"/>
              <w:jc w:val="right"/>
              <w:rPr>
                <w:sz w:val="18"/>
                <w:szCs w:val="18"/>
              </w:rPr>
            </w:pPr>
          </w:p>
        </w:tc>
        <w:tc>
          <w:tcPr>
            <w:tcW w:w="966" w:type="dxa"/>
            <w:tcBorders>
              <w:top w:val="single" w:sz="12" w:space="0" w:color="auto"/>
              <w:bottom w:val="single" w:sz="4" w:space="0" w:color="auto"/>
            </w:tcBorders>
          </w:tcPr>
          <w:p w14:paraId="1E8EFD36" w14:textId="77777777" w:rsidR="00CE0B79" w:rsidRPr="00A470FF" w:rsidRDefault="00CE0B79" w:rsidP="00CE0B79">
            <w:pPr>
              <w:suppressAutoHyphens w:val="0"/>
              <w:spacing w:before="40" w:after="40" w:line="220" w:lineRule="exact"/>
              <w:ind w:left="113"/>
              <w:jc w:val="right"/>
              <w:rPr>
                <w:sz w:val="18"/>
                <w:szCs w:val="18"/>
              </w:rPr>
            </w:pPr>
          </w:p>
        </w:tc>
      </w:tr>
      <w:tr w:rsidR="00CE0B79" w:rsidRPr="00A470FF" w14:paraId="1E8EFD44" w14:textId="77777777" w:rsidTr="005F1DCF">
        <w:trPr>
          <w:trHeight w:val="240"/>
        </w:trPr>
        <w:tc>
          <w:tcPr>
            <w:tcW w:w="2127" w:type="dxa"/>
            <w:tcBorders>
              <w:top w:val="single" w:sz="4" w:space="0" w:color="auto"/>
              <w:left w:val="nil"/>
              <w:bottom w:val="nil"/>
            </w:tcBorders>
            <w:shd w:val="clear" w:color="auto" w:fill="auto"/>
          </w:tcPr>
          <w:p w14:paraId="1E8EFD38" w14:textId="77777777" w:rsidR="00CE0B79" w:rsidRPr="00A470FF" w:rsidRDefault="00CE0B79" w:rsidP="005F1DCF">
            <w:pPr>
              <w:suppressAutoHyphens w:val="0"/>
              <w:spacing w:before="40" w:after="40" w:line="220" w:lineRule="exact"/>
              <w:ind w:left="34"/>
              <w:rPr>
                <w:rFonts w:eastAsia="Times New Roman"/>
                <w:bCs/>
                <w:i/>
                <w:sz w:val="18"/>
                <w:szCs w:val="22"/>
                <w:vertAlign w:val="superscript"/>
                <w:lang w:eastAsia="en-GB"/>
              </w:rPr>
            </w:pPr>
            <w:r w:rsidRPr="00A470FF">
              <w:rPr>
                <w:rFonts w:eastAsia="Times New Roman"/>
                <w:bCs/>
                <w:sz w:val="18"/>
                <w:szCs w:val="22"/>
                <w:lang w:eastAsia="en-GB"/>
              </w:rPr>
              <w:t>Other multilateral climate change funds</w:t>
            </w:r>
            <w:r w:rsidRPr="00A470FF">
              <w:rPr>
                <w:rFonts w:eastAsia="Times New Roman"/>
                <w:bCs/>
                <w:i/>
                <w:sz w:val="18"/>
                <w:szCs w:val="22"/>
                <w:vertAlign w:val="superscript"/>
                <w:lang w:eastAsia="en-GB"/>
              </w:rPr>
              <w:t>h</w:t>
            </w:r>
          </w:p>
        </w:tc>
        <w:tc>
          <w:tcPr>
            <w:tcW w:w="1134" w:type="dxa"/>
            <w:tcBorders>
              <w:top w:val="single" w:sz="4" w:space="0" w:color="auto"/>
              <w:bottom w:val="nil"/>
            </w:tcBorders>
          </w:tcPr>
          <w:p w14:paraId="1E8EFD39"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4" w:space="0" w:color="auto"/>
              <w:bottom w:val="nil"/>
            </w:tcBorders>
            <w:shd w:val="clear" w:color="auto" w:fill="auto"/>
          </w:tcPr>
          <w:p w14:paraId="1E8EFD3A"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4" w:space="0" w:color="auto"/>
              <w:bottom w:val="nil"/>
            </w:tcBorders>
            <w:shd w:val="clear" w:color="auto" w:fill="auto"/>
          </w:tcPr>
          <w:p w14:paraId="1E8EFD3B" w14:textId="77777777" w:rsidR="00CE0B79" w:rsidRPr="00A470FF" w:rsidRDefault="00CE0B79" w:rsidP="00CE0B79">
            <w:pPr>
              <w:suppressAutoHyphens w:val="0"/>
              <w:spacing w:before="40" w:after="40" w:line="220" w:lineRule="exact"/>
              <w:ind w:left="113"/>
              <w:jc w:val="right"/>
              <w:rPr>
                <w:sz w:val="18"/>
                <w:szCs w:val="18"/>
              </w:rPr>
            </w:pPr>
          </w:p>
        </w:tc>
        <w:tc>
          <w:tcPr>
            <w:tcW w:w="709" w:type="dxa"/>
            <w:tcBorders>
              <w:top w:val="single" w:sz="4" w:space="0" w:color="auto"/>
              <w:bottom w:val="nil"/>
            </w:tcBorders>
            <w:shd w:val="clear" w:color="auto" w:fill="auto"/>
          </w:tcPr>
          <w:p w14:paraId="1E8EFD3C" w14:textId="77777777" w:rsidR="00CE0B79" w:rsidRPr="00A470FF" w:rsidRDefault="00CE0B79" w:rsidP="00CE0B79">
            <w:pPr>
              <w:suppressAutoHyphens w:val="0"/>
              <w:spacing w:before="40" w:after="40" w:line="220" w:lineRule="exact"/>
              <w:ind w:left="113"/>
              <w:jc w:val="right"/>
              <w:rPr>
                <w:sz w:val="18"/>
                <w:szCs w:val="18"/>
              </w:rPr>
            </w:pPr>
          </w:p>
        </w:tc>
        <w:tc>
          <w:tcPr>
            <w:tcW w:w="850" w:type="dxa"/>
            <w:tcBorders>
              <w:top w:val="single" w:sz="4" w:space="0" w:color="auto"/>
              <w:bottom w:val="nil"/>
            </w:tcBorders>
          </w:tcPr>
          <w:p w14:paraId="1E8EFD3D" w14:textId="77777777" w:rsidR="00CE0B79" w:rsidRPr="00A470FF" w:rsidRDefault="00CE0B79" w:rsidP="00CE0B79">
            <w:pPr>
              <w:suppressAutoHyphens w:val="0"/>
              <w:spacing w:before="40" w:after="40" w:line="220" w:lineRule="exact"/>
              <w:ind w:left="113"/>
              <w:jc w:val="right"/>
              <w:rPr>
                <w:sz w:val="18"/>
                <w:szCs w:val="18"/>
              </w:rPr>
            </w:pPr>
          </w:p>
        </w:tc>
        <w:tc>
          <w:tcPr>
            <w:tcW w:w="284" w:type="dxa"/>
            <w:tcBorders>
              <w:top w:val="single" w:sz="4" w:space="0" w:color="auto"/>
              <w:bottom w:val="nil"/>
            </w:tcBorders>
            <w:shd w:val="clear" w:color="auto" w:fill="auto"/>
          </w:tcPr>
          <w:p w14:paraId="1E8EFD3E" w14:textId="77777777" w:rsidR="00CE0B79" w:rsidRPr="00A470FF" w:rsidRDefault="00CE0B79" w:rsidP="00CE0B79">
            <w:pPr>
              <w:suppressAutoHyphens w:val="0"/>
              <w:spacing w:before="40" w:after="40" w:line="220" w:lineRule="exact"/>
              <w:ind w:left="113"/>
              <w:jc w:val="right"/>
              <w:rPr>
                <w:sz w:val="18"/>
                <w:szCs w:val="18"/>
              </w:rPr>
            </w:pPr>
          </w:p>
        </w:tc>
        <w:tc>
          <w:tcPr>
            <w:tcW w:w="1276" w:type="dxa"/>
            <w:tcBorders>
              <w:top w:val="single" w:sz="4" w:space="0" w:color="auto"/>
              <w:bottom w:val="nil"/>
            </w:tcBorders>
          </w:tcPr>
          <w:p w14:paraId="1E8EFD3F"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4" w:space="0" w:color="auto"/>
              <w:bottom w:val="nil"/>
            </w:tcBorders>
            <w:shd w:val="clear" w:color="auto" w:fill="auto"/>
          </w:tcPr>
          <w:p w14:paraId="1E8EFD40"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single" w:sz="4" w:space="0" w:color="auto"/>
              <w:bottom w:val="nil"/>
            </w:tcBorders>
            <w:shd w:val="clear" w:color="auto" w:fill="auto"/>
          </w:tcPr>
          <w:p w14:paraId="1E8EFD41"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single" w:sz="4" w:space="0" w:color="auto"/>
              <w:bottom w:val="nil"/>
            </w:tcBorders>
            <w:shd w:val="clear" w:color="auto" w:fill="auto"/>
          </w:tcPr>
          <w:p w14:paraId="1E8EFD42" w14:textId="77777777" w:rsidR="00CE0B79" w:rsidRPr="00A470FF" w:rsidRDefault="00CE0B79" w:rsidP="00CE0B79">
            <w:pPr>
              <w:suppressAutoHyphens w:val="0"/>
              <w:spacing w:before="40" w:after="40" w:line="220" w:lineRule="exact"/>
              <w:ind w:left="113"/>
              <w:jc w:val="right"/>
              <w:rPr>
                <w:sz w:val="18"/>
                <w:szCs w:val="18"/>
              </w:rPr>
            </w:pPr>
          </w:p>
        </w:tc>
        <w:tc>
          <w:tcPr>
            <w:tcW w:w="966" w:type="dxa"/>
            <w:tcBorders>
              <w:top w:val="single" w:sz="4" w:space="0" w:color="auto"/>
              <w:bottom w:val="nil"/>
            </w:tcBorders>
          </w:tcPr>
          <w:p w14:paraId="1E8EFD43" w14:textId="77777777" w:rsidR="00CE0B79" w:rsidRPr="00A470FF" w:rsidRDefault="00CE0B79" w:rsidP="00CE0B79">
            <w:pPr>
              <w:suppressAutoHyphens w:val="0"/>
              <w:spacing w:before="40" w:after="40" w:line="220" w:lineRule="exact"/>
              <w:ind w:left="113"/>
              <w:jc w:val="right"/>
              <w:rPr>
                <w:sz w:val="18"/>
                <w:szCs w:val="18"/>
              </w:rPr>
            </w:pPr>
          </w:p>
        </w:tc>
      </w:tr>
      <w:tr w:rsidR="00CE0B79" w:rsidRPr="00A470FF" w14:paraId="1E8EFD51" w14:textId="77777777" w:rsidTr="005F1DCF">
        <w:trPr>
          <w:trHeight w:val="240"/>
        </w:trPr>
        <w:tc>
          <w:tcPr>
            <w:tcW w:w="2127" w:type="dxa"/>
            <w:tcBorders>
              <w:top w:val="nil"/>
              <w:left w:val="nil"/>
              <w:bottom w:val="nil"/>
            </w:tcBorders>
            <w:shd w:val="clear" w:color="auto" w:fill="auto"/>
          </w:tcPr>
          <w:p w14:paraId="1E8EFD45" w14:textId="77777777" w:rsidR="00CE0B79" w:rsidRPr="00A470FF" w:rsidRDefault="00CE0B79" w:rsidP="005F1DCF">
            <w:pPr>
              <w:suppressAutoHyphens w:val="0"/>
              <w:spacing w:before="40" w:after="40" w:line="220" w:lineRule="exact"/>
              <w:ind w:left="34"/>
              <w:rPr>
                <w:rFonts w:eastAsia="Times New Roman"/>
                <w:bCs/>
                <w:sz w:val="18"/>
                <w:szCs w:val="22"/>
                <w:lang w:eastAsia="en-GB"/>
              </w:rPr>
            </w:pPr>
            <w:r w:rsidRPr="00A470FF">
              <w:rPr>
                <w:rFonts w:eastAsia="Times New Roman"/>
                <w:bCs/>
                <w:sz w:val="18"/>
                <w:szCs w:val="22"/>
                <w:lang w:eastAsia="en-GB"/>
              </w:rPr>
              <w:t>Multilateral financial institutions, including regional development banks</w:t>
            </w:r>
          </w:p>
        </w:tc>
        <w:tc>
          <w:tcPr>
            <w:tcW w:w="1134" w:type="dxa"/>
            <w:tcBorders>
              <w:top w:val="nil"/>
              <w:bottom w:val="nil"/>
            </w:tcBorders>
          </w:tcPr>
          <w:p w14:paraId="1E8EFD46"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nil"/>
              <w:bottom w:val="nil"/>
            </w:tcBorders>
            <w:shd w:val="clear" w:color="auto" w:fill="auto"/>
          </w:tcPr>
          <w:p w14:paraId="1E8EFD47"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nil"/>
              <w:bottom w:val="nil"/>
            </w:tcBorders>
            <w:shd w:val="clear" w:color="auto" w:fill="auto"/>
          </w:tcPr>
          <w:p w14:paraId="1E8EFD48" w14:textId="77777777" w:rsidR="00CE0B79" w:rsidRPr="00A470FF" w:rsidRDefault="00CE0B79" w:rsidP="00CE0B79">
            <w:pPr>
              <w:suppressAutoHyphens w:val="0"/>
              <w:spacing w:before="40" w:after="40" w:line="220" w:lineRule="exact"/>
              <w:ind w:left="113"/>
              <w:jc w:val="right"/>
              <w:rPr>
                <w:sz w:val="18"/>
                <w:szCs w:val="18"/>
              </w:rPr>
            </w:pPr>
          </w:p>
        </w:tc>
        <w:tc>
          <w:tcPr>
            <w:tcW w:w="709" w:type="dxa"/>
            <w:tcBorders>
              <w:top w:val="nil"/>
              <w:bottom w:val="nil"/>
            </w:tcBorders>
            <w:shd w:val="clear" w:color="auto" w:fill="auto"/>
          </w:tcPr>
          <w:p w14:paraId="1E8EFD49" w14:textId="77777777" w:rsidR="00CE0B79" w:rsidRPr="00A470FF" w:rsidRDefault="00CE0B79" w:rsidP="00CE0B79">
            <w:pPr>
              <w:suppressAutoHyphens w:val="0"/>
              <w:spacing w:before="40" w:after="40" w:line="220" w:lineRule="exact"/>
              <w:ind w:left="113"/>
              <w:jc w:val="right"/>
              <w:rPr>
                <w:sz w:val="18"/>
                <w:szCs w:val="18"/>
              </w:rPr>
            </w:pPr>
          </w:p>
        </w:tc>
        <w:tc>
          <w:tcPr>
            <w:tcW w:w="850" w:type="dxa"/>
            <w:tcBorders>
              <w:top w:val="nil"/>
              <w:bottom w:val="nil"/>
            </w:tcBorders>
          </w:tcPr>
          <w:p w14:paraId="1E8EFD4A" w14:textId="77777777" w:rsidR="00CE0B79" w:rsidRPr="00A470FF" w:rsidRDefault="00CE0B79" w:rsidP="00CE0B79">
            <w:pPr>
              <w:suppressAutoHyphens w:val="0"/>
              <w:spacing w:before="40" w:after="40" w:line="220" w:lineRule="exact"/>
              <w:ind w:left="113"/>
              <w:jc w:val="right"/>
              <w:rPr>
                <w:sz w:val="18"/>
                <w:szCs w:val="18"/>
              </w:rPr>
            </w:pPr>
          </w:p>
        </w:tc>
        <w:tc>
          <w:tcPr>
            <w:tcW w:w="284" w:type="dxa"/>
            <w:tcBorders>
              <w:top w:val="nil"/>
              <w:bottom w:val="nil"/>
            </w:tcBorders>
            <w:shd w:val="clear" w:color="auto" w:fill="auto"/>
          </w:tcPr>
          <w:p w14:paraId="1E8EFD4B" w14:textId="77777777" w:rsidR="00CE0B79" w:rsidRPr="00A470FF" w:rsidRDefault="00CE0B79" w:rsidP="00CE0B79">
            <w:pPr>
              <w:suppressAutoHyphens w:val="0"/>
              <w:spacing w:before="40" w:after="40" w:line="220" w:lineRule="exact"/>
              <w:ind w:left="113"/>
              <w:jc w:val="right"/>
              <w:rPr>
                <w:sz w:val="18"/>
                <w:szCs w:val="18"/>
              </w:rPr>
            </w:pPr>
          </w:p>
        </w:tc>
        <w:tc>
          <w:tcPr>
            <w:tcW w:w="1276" w:type="dxa"/>
            <w:tcBorders>
              <w:top w:val="nil"/>
              <w:bottom w:val="nil"/>
            </w:tcBorders>
          </w:tcPr>
          <w:p w14:paraId="1E8EFD4C"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nil"/>
              <w:bottom w:val="nil"/>
            </w:tcBorders>
            <w:shd w:val="clear" w:color="auto" w:fill="auto"/>
          </w:tcPr>
          <w:p w14:paraId="1E8EFD4D"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nil"/>
              <w:bottom w:val="nil"/>
            </w:tcBorders>
            <w:shd w:val="clear" w:color="auto" w:fill="auto"/>
          </w:tcPr>
          <w:p w14:paraId="1E8EFD4E"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nil"/>
              <w:bottom w:val="nil"/>
            </w:tcBorders>
            <w:shd w:val="clear" w:color="auto" w:fill="auto"/>
          </w:tcPr>
          <w:p w14:paraId="1E8EFD4F" w14:textId="77777777" w:rsidR="00CE0B79" w:rsidRPr="00A470FF" w:rsidRDefault="00CE0B79" w:rsidP="00CE0B79">
            <w:pPr>
              <w:suppressAutoHyphens w:val="0"/>
              <w:spacing w:before="40" w:after="40" w:line="220" w:lineRule="exact"/>
              <w:ind w:left="113"/>
              <w:jc w:val="right"/>
              <w:rPr>
                <w:sz w:val="18"/>
                <w:szCs w:val="18"/>
              </w:rPr>
            </w:pPr>
          </w:p>
        </w:tc>
        <w:tc>
          <w:tcPr>
            <w:tcW w:w="966" w:type="dxa"/>
            <w:tcBorders>
              <w:top w:val="nil"/>
              <w:bottom w:val="nil"/>
            </w:tcBorders>
          </w:tcPr>
          <w:p w14:paraId="1E8EFD50" w14:textId="77777777" w:rsidR="00CE0B79" w:rsidRPr="00A470FF" w:rsidRDefault="00CE0B79" w:rsidP="00CE0B79">
            <w:pPr>
              <w:suppressAutoHyphens w:val="0"/>
              <w:spacing w:before="40" w:after="40" w:line="220" w:lineRule="exact"/>
              <w:ind w:left="113"/>
              <w:jc w:val="right"/>
              <w:rPr>
                <w:sz w:val="18"/>
                <w:szCs w:val="18"/>
              </w:rPr>
            </w:pPr>
          </w:p>
        </w:tc>
      </w:tr>
      <w:tr w:rsidR="00CE0B79" w:rsidRPr="00A470FF" w14:paraId="1E8EFD5E" w14:textId="77777777" w:rsidTr="005F1DCF">
        <w:trPr>
          <w:trHeight w:val="240"/>
        </w:trPr>
        <w:tc>
          <w:tcPr>
            <w:tcW w:w="2127" w:type="dxa"/>
            <w:tcBorders>
              <w:top w:val="nil"/>
              <w:left w:val="nil"/>
              <w:bottom w:val="single" w:sz="4" w:space="0" w:color="auto"/>
            </w:tcBorders>
            <w:shd w:val="clear" w:color="auto" w:fill="auto"/>
          </w:tcPr>
          <w:p w14:paraId="1E8EFD52" w14:textId="77777777" w:rsidR="00CE0B79" w:rsidRPr="00A470FF" w:rsidRDefault="00CE0B79" w:rsidP="005F1DCF">
            <w:pPr>
              <w:suppressAutoHyphens w:val="0"/>
              <w:spacing w:before="40" w:after="40" w:line="220" w:lineRule="exact"/>
              <w:ind w:left="34"/>
              <w:rPr>
                <w:rFonts w:eastAsia="Times New Roman"/>
                <w:bCs/>
                <w:sz w:val="18"/>
                <w:szCs w:val="22"/>
                <w:lang w:eastAsia="en-GB"/>
              </w:rPr>
            </w:pPr>
            <w:r w:rsidRPr="00A470FF">
              <w:rPr>
                <w:rFonts w:eastAsia="Times New Roman"/>
                <w:bCs/>
                <w:sz w:val="18"/>
                <w:szCs w:val="22"/>
                <w:lang w:eastAsia="en-GB"/>
              </w:rPr>
              <w:t>Specialized United Nations bodies</w:t>
            </w:r>
          </w:p>
        </w:tc>
        <w:tc>
          <w:tcPr>
            <w:tcW w:w="1134" w:type="dxa"/>
            <w:tcBorders>
              <w:top w:val="nil"/>
              <w:bottom w:val="single" w:sz="4" w:space="0" w:color="auto"/>
            </w:tcBorders>
          </w:tcPr>
          <w:p w14:paraId="1E8EFD53"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nil"/>
              <w:bottom w:val="single" w:sz="4" w:space="0" w:color="auto"/>
            </w:tcBorders>
            <w:shd w:val="clear" w:color="auto" w:fill="auto"/>
          </w:tcPr>
          <w:p w14:paraId="1E8EFD54"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nil"/>
              <w:bottom w:val="single" w:sz="4" w:space="0" w:color="auto"/>
            </w:tcBorders>
            <w:shd w:val="clear" w:color="auto" w:fill="auto"/>
          </w:tcPr>
          <w:p w14:paraId="1E8EFD55" w14:textId="77777777" w:rsidR="00CE0B79" w:rsidRPr="00A470FF" w:rsidRDefault="00CE0B79" w:rsidP="00CE0B79">
            <w:pPr>
              <w:suppressAutoHyphens w:val="0"/>
              <w:spacing w:before="40" w:after="40" w:line="220" w:lineRule="exact"/>
              <w:ind w:left="113"/>
              <w:jc w:val="right"/>
              <w:rPr>
                <w:sz w:val="18"/>
                <w:szCs w:val="18"/>
              </w:rPr>
            </w:pPr>
          </w:p>
        </w:tc>
        <w:tc>
          <w:tcPr>
            <w:tcW w:w="709" w:type="dxa"/>
            <w:tcBorders>
              <w:top w:val="nil"/>
              <w:bottom w:val="single" w:sz="4" w:space="0" w:color="auto"/>
            </w:tcBorders>
            <w:shd w:val="clear" w:color="auto" w:fill="auto"/>
          </w:tcPr>
          <w:p w14:paraId="1E8EFD56" w14:textId="77777777" w:rsidR="00CE0B79" w:rsidRPr="00A470FF" w:rsidRDefault="00CE0B79" w:rsidP="00CE0B79">
            <w:pPr>
              <w:suppressAutoHyphens w:val="0"/>
              <w:spacing w:before="40" w:after="40" w:line="220" w:lineRule="exact"/>
              <w:ind w:left="113"/>
              <w:jc w:val="right"/>
              <w:rPr>
                <w:sz w:val="18"/>
                <w:szCs w:val="18"/>
              </w:rPr>
            </w:pPr>
          </w:p>
        </w:tc>
        <w:tc>
          <w:tcPr>
            <w:tcW w:w="850" w:type="dxa"/>
            <w:tcBorders>
              <w:top w:val="nil"/>
              <w:bottom w:val="single" w:sz="4" w:space="0" w:color="auto"/>
            </w:tcBorders>
          </w:tcPr>
          <w:p w14:paraId="1E8EFD57" w14:textId="77777777" w:rsidR="00CE0B79" w:rsidRPr="00A470FF" w:rsidRDefault="00CE0B79" w:rsidP="00CE0B79">
            <w:pPr>
              <w:suppressAutoHyphens w:val="0"/>
              <w:spacing w:before="40" w:after="40" w:line="220" w:lineRule="exact"/>
              <w:ind w:left="113"/>
              <w:jc w:val="right"/>
              <w:rPr>
                <w:sz w:val="18"/>
                <w:szCs w:val="18"/>
              </w:rPr>
            </w:pPr>
          </w:p>
        </w:tc>
        <w:tc>
          <w:tcPr>
            <w:tcW w:w="284" w:type="dxa"/>
            <w:tcBorders>
              <w:top w:val="nil"/>
              <w:bottom w:val="single" w:sz="4" w:space="0" w:color="auto"/>
            </w:tcBorders>
            <w:shd w:val="clear" w:color="auto" w:fill="auto"/>
          </w:tcPr>
          <w:p w14:paraId="1E8EFD58" w14:textId="77777777" w:rsidR="00CE0B79" w:rsidRPr="00A470FF" w:rsidRDefault="00CE0B79" w:rsidP="00CE0B79">
            <w:pPr>
              <w:suppressAutoHyphens w:val="0"/>
              <w:spacing w:before="40" w:after="40" w:line="220" w:lineRule="exact"/>
              <w:ind w:left="113"/>
              <w:jc w:val="right"/>
              <w:rPr>
                <w:sz w:val="18"/>
                <w:szCs w:val="18"/>
              </w:rPr>
            </w:pPr>
          </w:p>
        </w:tc>
        <w:tc>
          <w:tcPr>
            <w:tcW w:w="1276" w:type="dxa"/>
            <w:tcBorders>
              <w:top w:val="nil"/>
              <w:bottom w:val="single" w:sz="4" w:space="0" w:color="auto"/>
            </w:tcBorders>
          </w:tcPr>
          <w:p w14:paraId="1E8EFD59"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nil"/>
              <w:bottom w:val="single" w:sz="4" w:space="0" w:color="auto"/>
            </w:tcBorders>
            <w:shd w:val="clear" w:color="auto" w:fill="auto"/>
          </w:tcPr>
          <w:p w14:paraId="1E8EFD5A"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nil"/>
              <w:bottom w:val="single" w:sz="4" w:space="0" w:color="auto"/>
            </w:tcBorders>
            <w:shd w:val="clear" w:color="auto" w:fill="auto"/>
          </w:tcPr>
          <w:p w14:paraId="1E8EFD5B"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nil"/>
              <w:bottom w:val="single" w:sz="4" w:space="0" w:color="auto"/>
            </w:tcBorders>
            <w:shd w:val="clear" w:color="auto" w:fill="auto"/>
          </w:tcPr>
          <w:p w14:paraId="1E8EFD5C" w14:textId="77777777" w:rsidR="00CE0B79" w:rsidRPr="00A470FF" w:rsidRDefault="00CE0B79" w:rsidP="00CE0B79">
            <w:pPr>
              <w:suppressAutoHyphens w:val="0"/>
              <w:spacing w:before="40" w:after="40" w:line="220" w:lineRule="exact"/>
              <w:ind w:left="113"/>
              <w:jc w:val="right"/>
              <w:rPr>
                <w:sz w:val="18"/>
                <w:szCs w:val="18"/>
              </w:rPr>
            </w:pPr>
          </w:p>
        </w:tc>
        <w:tc>
          <w:tcPr>
            <w:tcW w:w="966" w:type="dxa"/>
            <w:tcBorders>
              <w:top w:val="nil"/>
              <w:bottom w:val="single" w:sz="4" w:space="0" w:color="auto"/>
            </w:tcBorders>
          </w:tcPr>
          <w:p w14:paraId="1E8EFD5D" w14:textId="77777777" w:rsidR="00CE0B79" w:rsidRPr="00A470FF" w:rsidRDefault="00CE0B79" w:rsidP="00CE0B79">
            <w:pPr>
              <w:suppressAutoHyphens w:val="0"/>
              <w:spacing w:before="40" w:after="40" w:line="220" w:lineRule="exact"/>
              <w:ind w:left="113"/>
              <w:jc w:val="right"/>
              <w:rPr>
                <w:sz w:val="18"/>
                <w:szCs w:val="18"/>
              </w:rPr>
            </w:pPr>
          </w:p>
        </w:tc>
      </w:tr>
      <w:tr w:rsidR="00CE0B79" w:rsidRPr="00A470FF" w14:paraId="1E8EFD6B" w14:textId="77777777" w:rsidTr="005F1DCF">
        <w:trPr>
          <w:trHeight w:val="240"/>
        </w:trPr>
        <w:tc>
          <w:tcPr>
            <w:tcW w:w="2127" w:type="dxa"/>
            <w:tcBorders>
              <w:top w:val="single" w:sz="4" w:space="0" w:color="auto"/>
              <w:left w:val="nil"/>
              <w:bottom w:val="nil"/>
            </w:tcBorders>
            <w:shd w:val="clear" w:color="auto" w:fill="auto"/>
          </w:tcPr>
          <w:p w14:paraId="1E8EFD5F" w14:textId="77777777" w:rsidR="00CE0B79" w:rsidRPr="00A470FF" w:rsidRDefault="00CE0B79" w:rsidP="005F1DCF">
            <w:pPr>
              <w:suppressAutoHyphens w:val="0"/>
              <w:spacing w:before="40" w:after="40" w:line="220" w:lineRule="exact"/>
              <w:ind w:left="-108"/>
              <w:rPr>
                <w:rFonts w:eastAsia="Times New Roman"/>
                <w:bCs/>
                <w:sz w:val="18"/>
                <w:szCs w:val="22"/>
                <w:lang w:eastAsia="en-GB"/>
              </w:rPr>
            </w:pPr>
            <w:r w:rsidRPr="00A470FF">
              <w:rPr>
                <w:sz w:val="18"/>
                <w:szCs w:val="18"/>
              </w:rPr>
              <w:t>Total contributions through bilateral, regional and other channels</w:t>
            </w:r>
          </w:p>
        </w:tc>
        <w:tc>
          <w:tcPr>
            <w:tcW w:w="1134" w:type="dxa"/>
            <w:tcBorders>
              <w:top w:val="single" w:sz="4" w:space="0" w:color="auto"/>
              <w:bottom w:val="nil"/>
            </w:tcBorders>
          </w:tcPr>
          <w:p w14:paraId="1E8EFD60"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4" w:space="0" w:color="auto"/>
              <w:bottom w:val="nil"/>
            </w:tcBorders>
            <w:shd w:val="clear" w:color="auto" w:fill="auto"/>
          </w:tcPr>
          <w:p w14:paraId="1E8EFD61"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4" w:space="0" w:color="auto"/>
              <w:bottom w:val="nil"/>
            </w:tcBorders>
            <w:shd w:val="clear" w:color="auto" w:fill="auto"/>
          </w:tcPr>
          <w:p w14:paraId="1E8EFD62" w14:textId="77777777" w:rsidR="00CE0B79" w:rsidRPr="00A470FF" w:rsidRDefault="00CE0B79" w:rsidP="00CE0B79">
            <w:pPr>
              <w:suppressAutoHyphens w:val="0"/>
              <w:spacing w:before="40" w:after="40" w:line="220" w:lineRule="exact"/>
              <w:ind w:left="113"/>
              <w:jc w:val="right"/>
              <w:rPr>
                <w:sz w:val="18"/>
                <w:szCs w:val="18"/>
              </w:rPr>
            </w:pPr>
          </w:p>
        </w:tc>
        <w:tc>
          <w:tcPr>
            <w:tcW w:w="709" w:type="dxa"/>
            <w:tcBorders>
              <w:top w:val="single" w:sz="4" w:space="0" w:color="auto"/>
              <w:bottom w:val="nil"/>
            </w:tcBorders>
            <w:shd w:val="clear" w:color="auto" w:fill="auto"/>
          </w:tcPr>
          <w:p w14:paraId="1E8EFD63" w14:textId="77777777" w:rsidR="00CE0B79" w:rsidRPr="00A470FF" w:rsidRDefault="00CE0B79" w:rsidP="00CE0B79">
            <w:pPr>
              <w:suppressAutoHyphens w:val="0"/>
              <w:spacing w:before="40" w:after="40" w:line="220" w:lineRule="exact"/>
              <w:ind w:left="113"/>
              <w:jc w:val="right"/>
              <w:rPr>
                <w:sz w:val="18"/>
                <w:szCs w:val="18"/>
              </w:rPr>
            </w:pPr>
          </w:p>
        </w:tc>
        <w:tc>
          <w:tcPr>
            <w:tcW w:w="850" w:type="dxa"/>
            <w:tcBorders>
              <w:top w:val="single" w:sz="4" w:space="0" w:color="auto"/>
              <w:bottom w:val="nil"/>
            </w:tcBorders>
          </w:tcPr>
          <w:p w14:paraId="1E8EFD64" w14:textId="77777777" w:rsidR="00CE0B79" w:rsidRPr="00A470FF" w:rsidRDefault="00CE0B79" w:rsidP="00CE0B79">
            <w:pPr>
              <w:suppressAutoHyphens w:val="0"/>
              <w:spacing w:before="40" w:after="40" w:line="220" w:lineRule="exact"/>
              <w:ind w:left="113"/>
              <w:jc w:val="right"/>
              <w:rPr>
                <w:sz w:val="18"/>
                <w:szCs w:val="18"/>
              </w:rPr>
            </w:pPr>
          </w:p>
        </w:tc>
        <w:tc>
          <w:tcPr>
            <w:tcW w:w="284" w:type="dxa"/>
            <w:tcBorders>
              <w:top w:val="single" w:sz="4" w:space="0" w:color="auto"/>
              <w:bottom w:val="nil"/>
            </w:tcBorders>
            <w:shd w:val="clear" w:color="auto" w:fill="auto"/>
          </w:tcPr>
          <w:p w14:paraId="1E8EFD65" w14:textId="77777777" w:rsidR="00CE0B79" w:rsidRPr="00A470FF" w:rsidRDefault="00CE0B79" w:rsidP="00CE0B79">
            <w:pPr>
              <w:suppressAutoHyphens w:val="0"/>
              <w:spacing w:before="40" w:after="40" w:line="220" w:lineRule="exact"/>
              <w:ind w:left="113"/>
              <w:jc w:val="right"/>
              <w:rPr>
                <w:sz w:val="18"/>
                <w:szCs w:val="18"/>
              </w:rPr>
            </w:pPr>
          </w:p>
        </w:tc>
        <w:tc>
          <w:tcPr>
            <w:tcW w:w="1276" w:type="dxa"/>
            <w:tcBorders>
              <w:top w:val="single" w:sz="4" w:space="0" w:color="auto"/>
              <w:bottom w:val="nil"/>
            </w:tcBorders>
          </w:tcPr>
          <w:p w14:paraId="1E8EFD66" w14:textId="77777777" w:rsidR="00CE0B79" w:rsidRPr="00A470FF" w:rsidRDefault="00CE0B79" w:rsidP="00CE0B79">
            <w:pPr>
              <w:suppressAutoHyphens w:val="0"/>
              <w:spacing w:before="40" w:after="40" w:line="220" w:lineRule="exact"/>
              <w:ind w:left="113"/>
              <w:jc w:val="right"/>
              <w:rPr>
                <w:sz w:val="18"/>
                <w:szCs w:val="18"/>
              </w:rPr>
            </w:pPr>
          </w:p>
        </w:tc>
        <w:tc>
          <w:tcPr>
            <w:tcW w:w="992" w:type="dxa"/>
            <w:tcBorders>
              <w:top w:val="single" w:sz="4" w:space="0" w:color="auto"/>
              <w:bottom w:val="nil"/>
            </w:tcBorders>
            <w:shd w:val="clear" w:color="auto" w:fill="auto"/>
          </w:tcPr>
          <w:p w14:paraId="1E8EFD67"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single" w:sz="4" w:space="0" w:color="auto"/>
              <w:bottom w:val="nil"/>
            </w:tcBorders>
            <w:shd w:val="clear" w:color="auto" w:fill="auto"/>
          </w:tcPr>
          <w:p w14:paraId="1E8EFD68" w14:textId="77777777" w:rsidR="00CE0B79" w:rsidRPr="00A470FF" w:rsidRDefault="00CE0B79" w:rsidP="00CE0B79">
            <w:pPr>
              <w:suppressAutoHyphens w:val="0"/>
              <w:spacing w:before="40" w:after="40" w:line="220" w:lineRule="exact"/>
              <w:ind w:left="113"/>
              <w:jc w:val="right"/>
              <w:rPr>
                <w:sz w:val="18"/>
                <w:szCs w:val="18"/>
              </w:rPr>
            </w:pPr>
          </w:p>
        </w:tc>
        <w:tc>
          <w:tcPr>
            <w:tcW w:w="992" w:type="dxa"/>
            <w:gridSpan w:val="2"/>
            <w:tcBorders>
              <w:top w:val="single" w:sz="4" w:space="0" w:color="auto"/>
              <w:bottom w:val="nil"/>
            </w:tcBorders>
            <w:shd w:val="clear" w:color="auto" w:fill="auto"/>
          </w:tcPr>
          <w:p w14:paraId="1E8EFD69" w14:textId="77777777" w:rsidR="00CE0B79" w:rsidRPr="00A470FF" w:rsidRDefault="00CE0B79" w:rsidP="00CE0B79">
            <w:pPr>
              <w:suppressAutoHyphens w:val="0"/>
              <w:spacing w:before="40" w:after="40" w:line="220" w:lineRule="exact"/>
              <w:ind w:left="113"/>
              <w:jc w:val="right"/>
              <w:rPr>
                <w:sz w:val="18"/>
                <w:szCs w:val="18"/>
              </w:rPr>
            </w:pPr>
          </w:p>
        </w:tc>
        <w:tc>
          <w:tcPr>
            <w:tcW w:w="966" w:type="dxa"/>
            <w:tcBorders>
              <w:top w:val="single" w:sz="4" w:space="0" w:color="auto"/>
              <w:bottom w:val="nil"/>
            </w:tcBorders>
          </w:tcPr>
          <w:p w14:paraId="1E8EFD6A" w14:textId="77777777" w:rsidR="00CE0B79" w:rsidRPr="00A470FF" w:rsidRDefault="00CE0B79" w:rsidP="00CE0B79">
            <w:pPr>
              <w:suppressAutoHyphens w:val="0"/>
              <w:spacing w:before="40" w:after="40" w:line="220" w:lineRule="exact"/>
              <w:ind w:left="113"/>
              <w:jc w:val="right"/>
              <w:rPr>
                <w:sz w:val="18"/>
                <w:szCs w:val="18"/>
              </w:rPr>
            </w:pPr>
          </w:p>
        </w:tc>
      </w:tr>
      <w:tr w:rsidR="00CE0B79" w:rsidRPr="00A470FF" w14:paraId="1E8EFD77" w14:textId="77777777" w:rsidTr="005F1DCF">
        <w:trPr>
          <w:trHeight w:val="240"/>
        </w:trPr>
        <w:tc>
          <w:tcPr>
            <w:tcW w:w="2127" w:type="dxa"/>
            <w:tcBorders>
              <w:top w:val="single" w:sz="4" w:space="0" w:color="auto"/>
              <w:left w:val="nil"/>
              <w:bottom w:val="single" w:sz="12" w:space="0" w:color="auto"/>
            </w:tcBorders>
            <w:shd w:val="clear" w:color="auto" w:fill="auto"/>
          </w:tcPr>
          <w:p w14:paraId="1E8EFD6C" w14:textId="77777777" w:rsidR="00CE0B79" w:rsidRPr="00A470FF" w:rsidRDefault="00CE0B79" w:rsidP="00597BF6">
            <w:pPr>
              <w:suppressAutoHyphens w:val="0"/>
              <w:spacing w:before="40" w:after="40" w:line="220" w:lineRule="exact"/>
              <w:rPr>
                <w:b/>
                <w:sz w:val="18"/>
                <w:szCs w:val="18"/>
              </w:rPr>
            </w:pPr>
            <w:r w:rsidRPr="00A470FF">
              <w:rPr>
                <w:b/>
                <w:sz w:val="18"/>
                <w:szCs w:val="18"/>
              </w:rPr>
              <w:t>Total</w:t>
            </w:r>
          </w:p>
        </w:tc>
        <w:tc>
          <w:tcPr>
            <w:tcW w:w="1134" w:type="dxa"/>
            <w:tcBorders>
              <w:top w:val="single" w:sz="4" w:space="0" w:color="auto"/>
              <w:bottom w:val="single" w:sz="12" w:space="0" w:color="auto"/>
            </w:tcBorders>
          </w:tcPr>
          <w:p w14:paraId="1E8EFD6D" w14:textId="77777777" w:rsidR="00CE0B79" w:rsidRPr="00A470FF" w:rsidRDefault="00CE0B79" w:rsidP="00CE0B79">
            <w:pPr>
              <w:suppressAutoHyphens w:val="0"/>
              <w:spacing w:before="40" w:after="40" w:line="220" w:lineRule="exact"/>
              <w:ind w:left="113"/>
              <w:jc w:val="right"/>
              <w:rPr>
                <w:b/>
                <w:sz w:val="18"/>
                <w:szCs w:val="18"/>
              </w:rPr>
            </w:pPr>
          </w:p>
        </w:tc>
        <w:tc>
          <w:tcPr>
            <w:tcW w:w="992" w:type="dxa"/>
            <w:tcBorders>
              <w:top w:val="single" w:sz="4" w:space="0" w:color="auto"/>
              <w:bottom w:val="single" w:sz="12" w:space="0" w:color="auto"/>
            </w:tcBorders>
            <w:shd w:val="clear" w:color="auto" w:fill="auto"/>
          </w:tcPr>
          <w:p w14:paraId="1E8EFD6E" w14:textId="77777777" w:rsidR="00CE0B79" w:rsidRPr="00A470FF" w:rsidRDefault="00CE0B79" w:rsidP="00CE0B79">
            <w:pPr>
              <w:suppressAutoHyphens w:val="0"/>
              <w:spacing w:before="40" w:after="40" w:line="220" w:lineRule="exact"/>
              <w:ind w:left="113"/>
              <w:jc w:val="right"/>
              <w:rPr>
                <w:b/>
                <w:sz w:val="18"/>
                <w:szCs w:val="18"/>
              </w:rPr>
            </w:pPr>
          </w:p>
        </w:tc>
        <w:tc>
          <w:tcPr>
            <w:tcW w:w="992" w:type="dxa"/>
            <w:tcBorders>
              <w:bottom w:val="single" w:sz="12" w:space="0" w:color="auto"/>
            </w:tcBorders>
            <w:shd w:val="clear" w:color="auto" w:fill="auto"/>
          </w:tcPr>
          <w:p w14:paraId="1E8EFD6F" w14:textId="77777777" w:rsidR="00CE0B79" w:rsidRPr="00A470FF" w:rsidRDefault="00CE0B79" w:rsidP="00CE0B79">
            <w:pPr>
              <w:suppressAutoHyphens w:val="0"/>
              <w:spacing w:before="40" w:after="40" w:line="220" w:lineRule="exact"/>
              <w:ind w:left="113"/>
              <w:jc w:val="right"/>
              <w:rPr>
                <w:b/>
                <w:sz w:val="18"/>
                <w:szCs w:val="18"/>
              </w:rPr>
            </w:pPr>
          </w:p>
        </w:tc>
        <w:tc>
          <w:tcPr>
            <w:tcW w:w="709" w:type="dxa"/>
            <w:tcBorders>
              <w:bottom w:val="single" w:sz="12" w:space="0" w:color="auto"/>
            </w:tcBorders>
            <w:shd w:val="clear" w:color="auto" w:fill="auto"/>
          </w:tcPr>
          <w:p w14:paraId="1E8EFD70" w14:textId="77777777" w:rsidR="00CE0B79" w:rsidRPr="00A470FF" w:rsidRDefault="00CE0B79" w:rsidP="00CE0B79">
            <w:pPr>
              <w:suppressAutoHyphens w:val="0"/>
              <w:spacing w:before="40" w:after="40" w:line="220" w:lineRule="exact"/>
              <w:ind w:left="113"/>
              <w:jc w:val="right"/>
              <w:rPr>
                <w:b/>
                <w:sz w:val="18"/>
                <w:szCs w:val="18"/>
              </w:rPr>
            </w:pPr>
          </w:p>
        </w:tc>
        <w:tc>
          <w:tcPr>
            <w:tcW w:w="850" w:type="dxa"/>
            <w:tcBorders>
              <w:bottom w:val="single" w:sz="12" w:space="0" w:color="auto"/>
            </w:tcBorders>
          </w:tcPr>
          <w:p w14:paraId="1E8EFD71" w14:textId="77777777" w:rsidR="00CE0B79" w:rsidRPr="00A470FF" w:rsidRDefault="00CE0B79" w:rsidP="00CE0B79">
            <w:pPr>
              <w:suppressAutoHyphens w:val="0"/>
              <w:spacing w:before="40" w:after="40" w:line="220" w:lineRule="exact"/>
              <w:ind w:left="113"/>
              <w:jc w:val="right"/>
              <w:rPr>
                <w:b/>
                <w:sz w:val="18"/>
                <w:szCs w:val="18"/>
              </w:rPr>
            </w:pPr>
          </w:p>
        </w:tc>
        <w:tc>
          <w:tcPr>
            <w:tcW w:w="284" w:type="dxa"/>
            <w:tcBorders>
              <w:bottom w:val="single" w:sz="12" w:space="0" w:color="auto"/>
            </w:tcBorders>
            <w:shd w:val="clear" w:color="auto" w:fill="auto"/>
          </w:tcPr>
          <w:p w14:paraId="1E8EFD72" w14:textId="77777777" w:rsidR="00CE0B79" w:rsidRPr="00A470FF" w:rsidRDefault="00CE0B79" w:rsidP="00CE0B79">
            <w:pPr>
              <w:suppressAutoHyphens w:val="0"/>
              <w:spacing w:before="40" w:after="40" w:line="220" w:lineRule="exact"/>
              <w:ind w:left="113"/>
              <w:jc w:val="right"/>
              <w:rPr>
                <w:b/>
                <w:sz w:val="18"/>
                <w:szCs w:val="18"/>
              </w:rPr>
            </w:pPr>
          </w:p>
        </w:tc>
        <w:tc>
          <w:tcPr>
            <w:tcW w:w="1276" w:type="dxa"/>
            <w:tcBorders>
              <w:bottom w:val="single" w:sz="12" w:space="0" w:color="auto"/>
            </w:tcBorders>
          </w:tcPr>
          <w:p w14:paraId="1E8EFD73" w14:textId="77777777" w:rsidR="00CE0B79" w:rsidRPr="00A470FF" w:rsidRDefault="00CE0B79" w:rsidP="00CE0B79">
            <w:pPr>
              <w:suppressAutoHyphens w:val="0"/>
              <w:spacing w:before="40" w:after="40" w:line="220" w:lineRule="exact"/>
              <w:ind w:left="113"/>
              <w:jc w:val="right"/>
              <w:rPr>
                <w:b/>
                <w:sz w:val="18"/>
                <w:szCs w:val="18"/>
              </w:rPr>
            </w:pPr>
          </w:p>
        </w:tc>
        <w:tc>
          <w:tcPr>
            <w:tcW w:w="1842" w:type="dxa"/>
            <w:gridSpan w:val="2"/>
            <w:tcBorders>
              <w:bottom w:val="single" w:sz="12" w:space="0" w:color="auto"/>
            </w:tcBorders>
            <w:shd w:val="clear" w:color="auto" w:fill="auto"/>
          </w:tcPr>
          <w:p w14:paraId="1E8EFD74" w14:textId="77777777" w:rsidR="00CE0B79" w:rsidRPr="00A470FF" w:rsidRDefault="00CE0B79" w:rsidP="00CE0B79">
            <w:pPr>
              <w:suppressAutoHyphens w:val="0"/>
              <w:spacing w:before="40" w:after="40" w:line="220" w:lineRule="exact"/>
              <w:ind w:left="113"/>
              <w:jc w:val="right"/>
              <w:rPr>
                <w:b/>
                <w:sz w:val="18"/>
                <w:szCs w:val="18"/>
              </w:rPr>
            </w:pPr>
          </w:p>
        </w:tc>
        <w:tc>
          <w:tcPr>
            <w:tcW w:w="993" w:type="dxa"/>
            <w:gridSpan w:val="2"/>
            <w:tcBorders>
              <w:bottom w:val="single" w:sz="12" w:space="0" w:color="auto"/>
            </w:tcBorders>
            <w:shd w:val="clear" w:color="auto" w:fill="auto"/>
          </w:tcPr>
          <w:p w14:paraId="1E8EFD75" w14:textId="77777777" w:rsidR="00CE0B79" w:rsidRPr="00A470FF" w:rsidRDefault="00CE0B79" w:rsidP="00CE0B79">
            <w:pPr>
              <w:suppressAutoHyphens w:val="0"/>
              <w:spacing w:before="40" w:after="40" w:line="220" w:lineRule="exact"/>
              <w:ind w:left="113"/>
              <w:jc w:val="right"/>
              <w:rPr>
                <w:b/>
                <w:sz w:val="18"/>
                <w:szCs w:val="18"/>
              </w:rPr>
            </w:pPr>
          </w:p>
        </w:tc>
        <w:tc>
          <w:tcPr>
            <w:tcW w:w="1107" w:type="dxa"/>
            <w:gridSpan w:val="2"/>
            <w:tcBorders>
              <w:bottom w:val="single" w:sz="12" w:space="0" w:color="auto"/>
            </w:tcBorders>
          </w:tcPr>
          <w:p w14:paraId="1E8EFD76" w14:textId="77777777" w:rsidR="00CE0B79" w:rsidRPr="00A470FF" w:rsidRDefault="00CE0B79" w:rsidP="00CE0B79">
            <w:pPr>
              <w:suppressAutoHyphens w:val="0"/>
              <w:spacing w:before="40" w:after="40" w:line="220" w:lineRule="exact"/>
              <w:ind w:left="113"/>
              <w:jc w:val="right"/>
              <w:rPr>
                <w:b/>
                <w:sz w:val="18"/>
                <w:szCs w:val="18"/>
              </w:rPr>
            </w:pPr>
          </w:p>
        </w:tc>
      </w:tr>
    </w:tbl>
    <w:p w14:paraId="1E8EFD78" w14:textId="76EAC758" w:rsidR="00CE0B79" w:rsidRPr="00A470FF" w:rsidRDefault="00CE0B79" w:rsidP="00CE0B79">
      <w:pPr>
        <w:spacing w:before="120" w:line="240" w:lineRule="auto"/>
        <w:ind w:firstLine="284"/>
        <w:jc w:val="both"/>
        <w:rPr>
          <w:rFonts w:eastAsia="MS Mincho"/>
          <w:i/>
          <w:sz w:val="18"/>
          <w:szCs w:val="18"/>
          <w:lang w:eastAsia="ja-JP"/>
        </w:rPr>
      </w:pPr>
      <w:r w:rsidRPr="00A470FF">
        <w:rPr>
          <w:rFonts w:eastAsia="MS Mincho"/>
          <w:i/>
          <w:sz w:val="18"/>
          <w:szCs w:val="18"/>
          <w:lang w:eastAsia="ja-JP"/>
        </w:rPr>
        <w:t>Note</w:t>
      </w:r>
      <w:r w:rsidRPr="00A470FF">
        <w:rPr>
          <w:rFonts w:eastAsia="MS Mincho"/>
          <w:sz w:val="18"/>
          <w:szCs w:val="18"/>
          <w:lang w:eastAsia="ja-JP"/>
        </w:rPr>
        <w:t>:</w:t>
      </w:r>
      <w:r w:rsidR="00804EC9" w:rsidRPr="00A470FF">
        <w:rPr>
          <w:rFonts w:eastAsia="MS Mincho"/>
          <w:i/>
          <w:sz w:val="18"/>
          <w:szCs w:val="18"/>
          <w:lang w:eastAsia="ja-JP"/>
        </w:rPr>
        <w:t xml:space="preserve"> </w:t>
      </w:r>
      <w:r w:rsidRPr="00A470FF">
        <w:rPr>
          <w:rFonts w:eastAsia="MS Mincho"/>
          <w:sz w:val="18"/>
          <w:szCs w:val="18"/>
          <w:lang w:eastAsia="ja-JP"/>
        </w:rPr>
        <w:t xml:space="preserve">Explanation of numerical footnotes is provided </w:t>
      </w:r>
      <w:r w:rsidR="00150030" w:rsidRPr="00A470FF">
        <w:rPr>
          <w:rFonts w:eastAsia="MS Mincho"/>
          <w:sz w:val="18"/>
          <w:szCs w:val="18"/>
          <w:lang w:eastAsia="ja-JP"/>
        </w:rPr>
        <w:t xml:space="preserve">in the documentation box </w:t>
      </w:r>
      <w:r w:rsidRPr="00A470FF">
        <w:rPr>
          <w:rFonts w:eastAsia="MS Mincho"/>
          <w:sz w:val="18"/>
          <w:szCs w:val="18"/>
          <w:lang w:eastAsia="ja-JP"/>
        </w:rPr>
        <w:t>after tables 7, 7(a) and 7(b).</w:t>
      </w:r>
    </w:p>
    <w:p w14:paraId="1E8EFD79" w14:textId="3064A814" w:rsidR="00CE0B79" w:rsidRPr="00A470FF" w:rsidRDefault="00CE0B79" w:rsidP="00CE0B79">
      <w:pPr>
        <w:pStyle w:val="FootnoteTable"/>
        <w:ind w:right="-28" w:firstLine="284"/>
        <w:jc w:val="left"/>
      </w:pPr>
      <w:r w:rsidRPr="00A470FF">
        <w:rPr>
          <w:i/>
        </w:rPr>
        <w:t>Abbreviation</w:t>
      </w:r>
      <w:r w:rsidRPr="00A470FF">
        <w:t xml:space="preserve">: </w:t>
      </w:r>
      <w:r w:rsidR="00AF5C9F" w:rsidRPr="00A470FF">
        <w:t xml:space="preserve"> </w:t>
      </w:r>
      <w:r w:rsidRPr="00A470FF">
        <w:t>USD = United States dollars.</w:t>
      </w:r>
    </w:p>
    <w:p w14:paraId="1E8EFD7A" w14:textId="1AA99F70" w:rsidR="00CE0B79" w:rsidRPr="00A470FF" w:rsidRDefault="00467704" w:rsidP="00467704">
      <w:pPr>
        <w:pStyle w:val="FootnoteTable"/>
        <w:ind w:right="-31" w:firstLine="284"/>
        <w:jc w:val="left"/>
      </w:pPr>
      <w:r w:rsidRPr="00A470FF">
        <w:rPr>
          <w:i/>
          <w:vertAlign w:val="superscript"/>
        </w:rPr>
        <w:t xml:space="preserve">a   </w:t>
      </w:r>
      <w:r w:rsidR="00CE0B79" w:rsidRPr="00A470FF">
        <w:rPr>
          <w:rFonts w:eastAsia="MS Mincho"/>
          <w:szCs w:val="18"/>
          <w:lang w:eastAsia="ja-JP"/>
        </w:rPr>
        <w:t>Parties should fill in a separate table for each year, namely 20XX-3 and 20XX-2, where 20XX is the reporting year.</w:t>
      </w:r>
      <w:r w:rsidR="00CE0B79" w:rsidRPr="00A470FF">
        <w:t xml:space="preserve"> </w:t>
      </w:r>
    </w:p>
    <w:p w14:paraId="1E8EFD7B" w14:textId="5BA66CD2" w:rsidR="00CE0B79" w:rsidRPr="00A470FF" w:rsidRDefault="00467704" w:rsidP="00467704">
      <w:pPr>
        <w:pStyle w:val="FootnoteTable"/>
        <w:ind w:right="395" w:firstLine="284"/>
        <w:jc w:val="left"/>
      </w:pPr>
      <w:r w:rsidRPr="00A470FF">
        <w:rPr>
          <w:i/>
          <w:vertAlign w:val="superscript"/>
        </w:rPr>
        <w:t xml:space="preserve">b   </w:t>
      </w:r>
      <w:r w:rsidR="00CE0B79" w:rsidRPr="00A470FF">
        <w:t xml:space="preserve">Parties </w:t>
      </w:r>
      <w:r w:rsidR="00CE0B79" w:rsidRPr="00A470FF">
        <w:rPr>
          <w:rFonts w:eastAsia="MS Mincho"/>
          <w:szCs w:val="18"/>
          <w:lang w:eastAsia="ja-JP"/>
        </w:rPr>
        <w:t>should</w:t>
      </w:r>
      <w:r w:rsidR="00CE0B79" w:rsidRPr="00A470FF">
        <w:t xml:space="preserve"> provide an explanation of the methodology used for currency exchange for the information provided in tables 7, 7(a) and 7(b) in the documentation box.</w:t>
      </w:r>
    </w:p>
    <w:p w14:paraId="1E8EFD7C" w14:textId="2A2B569C" w:rsidR="00CE0B79" w:rsidRPr="00A470FF" w:rsidRDefault="00467704" w:rsidP="00467704">
      <w:pPr>
        <w:pStyle w:val="FootnoteTable"/>
        <w:ind w:right="-31" w:firstLine="284"/>
        <w:jc w:val="left"/>
      </w:pPr>
      <w:r w:rsidRPr="00A470FF">
        <w:rPr>
          <w:i/>
          <w:vertAlign w:val="superscript"/>
        </w:rPr>
        <w:t xml:space="preserve">c   </w:t>
      </w:r>
      <w:r w:rsidR="00CE0B79" w:rsidRPr="00A470FF">
        <w:t xml:space="preserve">This </w:t>
      </w:r>
      <w:r w:rsidR="00CE0B79" w:rsidRPr="00A470FF">
        <w:rPr>
          <w:rFonts w:eastAsia="MS Mincho"/>
          <w:szCs w:val="18"/>
          <w:lang w:eastAsia="ja-JP"/>
        </w:rPr>
        <w:t>refers</w:t>
      </w:r>
      <w:r w:rsidR="00CE0B79" w:rsidRPr="00A470FF">
        <w:t xml:space="preserve"> to support to multilateral institutions that Parties cannot specify as being climate-specific.</w:t>
      </w:r>
    </w:p>
    <w:p w14:paraId="1E8EFD7D" w14:textId="5D553DA9" w:rsidR="00CE0B79" w:rsidRPr="00A470FF" w:rsidRDefault="00467704" w:rsidP="00467704">
      <w:pPr>
        <w:pStyle w:val="FootnoteTable"/>
        <w:ind w:right="-31" w:firstLine="284"/>
        <w:jc w:val="left"/>
      </w:pPr>
      <w:r w:rsidRPr="00A470FF">
        <w:rPr>
          <w:i/>
          <w:vertAlign w:val="superscript"/>
        </w:rPr>
        <w:t xml:space="preserve">d   </w:t>
      </w:r>
      <w:r w:rsidR="00CE0B79" w:rsidRPr="00A470FF">
        <w:t>Parties should explain in their biennial reports how they define funds as being climate-specific.</w:t>
      </w:r>
    </w:p>
    <w:p w14:paraId="1E8EFD7E" w14:textId="67B31C65" w:rsidR="00CE0B79" w:rsidRPr="00A470FF" w:rsidRDefault="00467704" w:rsidP="00467704">
      <w:pPr>
        <w:pStyle w:val="FootnoteTable"/>
        <w:ind w:right="-31" w:firstLine="284"/>
        <w:jc w:val="left"/>
      </w:pPr>
      <w:r w:rsidRPr="00A470FF">
        <w:rPr>
          <w:i/>
          <w:vertAlign w:val="superscript"/>
        </w:rPr>
        <w:t xml:space="preserve">e   </w:t>
      </w:r>
      <w:r w:rsidR="00CE0B79" w:rsidRPr="00A470FF">
        <w:rPr>
          <w:szCs w:val="18"/>
        </w:rPr>
        <w:t>This refers to funding for activities that are cross-cutting across mitigation and adaptation.</w:t>
      </w:r>
    </w:p>
    <w:p w14:paraId="1E8EFD7F" w14:textId="7D4553F7" w:rsidR="00CE0B79" w:rsidRPr="00A470FF" w:rsidRDefault="00467704" w:rsidP="00467704">
      <w:pPr>
        <w:pStyle w:val="FootnoteTable"/>
        <w:ind w:right="-31" w:firstLine="284"/>
        <w:jc w:val="left"/>
      </w:pPr>
      <w:r w:rsidRPr="00A470FF">
        <w:rPr>
          <w:i/>
          <w:vertAlign w:val="superscript"/>
        </w:rPr>
        <w:t xml:space="preserve">f   </w:t>
      </w:r>
      <w:r w:rsidR="00CE0B79" w:rsidRPr="00A470FF">
        <w:t>Please specify.</w:t>
      </w:r>
    </w:p>
    <w:p w14:paraId="1E8EFD80" w14:textId="7B656E4C" w:rsidR="00CE0B79" w:rsidRPr="00A470FF" w:rsidRDefault="00467704" w:rsidP="00467704">
      <w:pPr>
        <w:pStyle w:val="FootnoteTable"/>
        <w:ind w:right="-31" w:firstLine="284"/>
        <w:jc w:val="left"/>
      </w:pPr>
      <w:r w:rsidRPr="00A470FF">
        <w:rPr>
          <w:i/>
          <w:vertAlign w:val="superscript"/>
        </w:rPr>
        <w:t xml:space="preserve">g   </w:t>
      </w:r>
      <w:r w:rsidR="00CE0B79" w:rsidRPr="00A470FF">
        <w:t>Multilateral climate change funds listed in paragraph 17(a) of the “UNFCCC biennial reporting guidelines for developed country Parties” in decision 2/CP.17.</w:t>
      </w:r>
    </w:p>
    <w:p w14:paraId="1E8EFD81" w14:textId="2CBA1FDF" w:rsidR="00CE0B79" w:rsidRPr="00A470FF" w:rsidRDefault="00467704" w:rsidP="00467704">
      <w:pPr>
        <w:pStyle w:val="FootnoteTable"/>
        <w:ind w:right="395" w:firstLine="284"/>
        <w:jc w:val="left"/>
        <w:rPr>
          <w:szCs w:val="18"/>
        </w:rPr>
      </w:pPr>
      <w:r w:rsidRPr="00A470FF">
        <w:rPr>
          <w:i/>
          <w:szCs w:val="18"/>
          <w:vertAlign w:val="superscript"/>
        </w:rPr>
        <w:t xml:space="preserve">h   </w:t>
      </w:r>
      <w:r w:rsidR="00CE0B79" w:rsidRPr="00A470FF">
        <w:rPr>
          <w:szCs w:val="18"/>
        </w:rPr>
        <w:t xml:space="preserve">Other multilateral climate change funds as referred to in paragraph 17(b) of the “UNFCCC biennial reporting guidelines for developed country Parties” in decision </w:t>
      </w:r>
      <w:r w:rsidR="00CE0B79" w:rsidRPr="00A470FF">
        <w:t>2/CP.17.</w:t>
      </w:r>
    </w:p>
    <w:p w14:paraId="1E8EFD82" w14:textId="77777777" w:rsidR="00CE0B79" w:rsidRPr="00A470FF" w:rsidRDefault="00CE0B79" w:rsidP="00CE0B79">
      <w:pPr>
        <w:pStyle w:val="FootnoteTable"/>
        <w:ind w:left="284" w:right="-31"/>
        <w:jc w:val="left"/>
        <w:rPr>
          <w:szCs w:val="18"/>
        </w:rPr>
      </w:pPr>
    </w:p>
    <w:p w14:paraId="1E8EFD83" w14:textId="77777777" w:rsidR="00CE0B79" w:rsidRPr="00A470FF" w:rsidRDefault="00CE0B79" w:rsidP="00CE0B79">
      <w:pPr>
        <w:suppressAutoHyphens w:val="0"/>
        <w:spacing w:line="240" w:lineRule="auto"/>
        <w:rPr>
          <w:lang w:eastAsia="ja-JP"/>
        </w:rPr>
      </w:pPr>
      <w:r w:rsidRPr="00A470FF">
        <w:rPr>
          <w:lang w:eastAsia="ja-JP"/>
        </w:rPr>
        <w:br w:type="page"/>
      </w:r>
    </w:p>
    <w:p w14:paraId="1E8EFD84" w14:textId="77777777" w:rsidR="00CE0B79" w:rsidRPr="00A470FF" w:rsidRDefault="00CE0B79" w:rsidP="00CE0B79">
      <w:pPr>
        <w:rPr>
          <w:b/>
          <w:lang w:eastAsia="ja-JP"/>
        </w:rPr>
      </w:pPr>
      <w:r w:rsidRPr="00A470FF">
        <w:rPr>
          <w:lang w:eastAsia="ja-JP"/>
        </w:rPr>
        <w:lastRenderedPageBreak/>
        <w:t>Table 7(a)</w:t>
      </w:r>
    </w:p>
    <w:p w14:paraId="252DCF09" w14:textId="77777777" w:rsidR="00DD6DBF" w:rsidRPr="00A470FF" w:rsidRDefault="00DD6DBF" w:rsidP="00DD6DBF">
      <w:pPr>
        <w:pStyle w:val="SingleTxtG"/>
        <w:ind w:left="0"/>
        <w:rPr>
          <w:rFonts w:ascii="Times New Roman Bold" w:eastAsia="MS Mincho" w:hAnsi="Times New Roman Bold" w:hint="eastAsia"/>
          <w:b/>
          <w:i/>
          <w:vertAlign w:val="superscript"/>
        </w:rPr>
      </w:pPr>
      <w:r w:rsidRPr="00A470FF">
        <w:rPr>
          <w:rFonts w:eastAsia="MS Mincho"/>
          <w:b/>
        </w:rPr>
        <w:t>Provision of public financial support: contribution through multilateral channels in 20XX-3</w:t>
      </w:r>
      <w:r w:rsidRPr="00A470FF">
        <w:rPr>
          <w:rFonts w:eastAsia="MS Mincho"/>
          <w:i/>
          <w:sz w:val="18"/>
          <w:szCs w:val="18"/>
          <w:vertAlign w:val="superscript"/>
        </w:rPr>
        <w:t>a</w:t>
      </w:r>
    </w:p>
    <w:tbl>
      <w:tblPr>
        <w:tblW w:w="12758" w:type="dxa"/>
        <w:tblBorders>
          <w:top w:val="single" w:sz="4" w:space="0" w:color="auto"/>
        </w:tblBorders>
        <w:tblLayout w:type="fixed"/>
        <w:tblCellMar>
          <w:left w:w="0" w:type="dxa"/>
          <w:right w:w="0" w:type="dxa"/>
        </w:tblCellMar>
        <w:tblLook w:val="00A0" w:firstRow="1" w:lastRow="0" w:firstColumn="1" w:lastColumn="0" w:noHBand="0" w:noVBand="0"/>
      </w:tblPr>
      <w:tblGrid>
        <w:gridCol w:w="3828"/>
        <w:gridCol w:w="850"/>
        <w:gridCol w:w="425"/>
        <w:gridCol w:w="993"/>
        <w:gridCol w:w="425"/>
        <w:gridCol w:w="850"/>
        <w:gridCol w:w="709"/>
        <w:gridCol w:w="1701"/>
        <w:gridCol w:w="1276"/>
        <w:gridCol w:w="1701"/>
      </w:tblGrid>
      <w:tr w:rsidR="00DD6DBF" w:rsidRPr="00A470FF" w14:paraId="38A55FDB" w14:textId="77777777" w:rsidTr="003134B0">
        <w:trPr>
          <w:trHeight w:val="240"/>
          <w:tblHeader/>
        </w:trPr>
        <w:tc>
          <w:tcPr>
            <w:tcW w:w="3828" w:type="dxa"/>
            <w:vMerge w:val="restart"/>
            <w:tcBorders>
              <w:top w:val="single" w:sz="2" w:space="0" w:color="auto"/>
            </w:tcBorders>
            <w:shd w:val="clear" w:color="auto" w:fill="auto"/>
            <w:vAlign w:val="center"/>
          </w:tcPr>
          <w:p w14:paraId="696C5F23" w14:textId="77777777" w:rsidR="00DD6DBF" w:rsidRPr="00A470FF" w:rsidRDefault="00DD6DBF" w:rsidP="003134B0">
            <w:pPr>
              <w:suppressAutoHyphens w:val="0"/>
              <w:spacing w:before="40" w:after="40" w:line="220" w:lineRule="exact"/>
              <w:rPr>
                <w:rFonts w:eastAsia="Times New Roman"/>
                <w:i/>
                <w:sz w:val="16"/>
                <w:szCs w:val="16"/>
                <w:lang w:eastAsia="en-GB"/>
              </w:rPr>
            </w:pPr>
            <w:r w:rsidRPr="00A470FF">
              <w:rPr>
                <w:rFonts w:eastAsia="Times New Roman"/>
                <w:i/>
                <w:sz w:val="16"/>
                <w:szCs w:val="16"/>
                <w:lang w:eastAsia="en-GB"/>
              </w:rPr>
              <w:t xml:space="preserve">Donor </w:t>
            </w:r>
            <w:r w:rsidRPr="00A470FF">
              <w:rPr>
                <w:rFonts w:eastAsia="MS Mincho"/>
                <w:i/>
                <w:sz w:val="16"/>
                <w:szCs w:val="16"/>
                <w:lang w:eastAsia="ja-JP"/>
              </w:rPr>
              <w:t>funding</w:t>
            </w:r>
          </w:p>
        </w:tc>
        <w:tc>
          <w:tcPr>
            <w:tcW w:w="2693" w:type="dxa"/>
            <w:gridSpan w:val="4"/>
            <w:tcBorders>
              <w:top w:val="single" w:sz="2" w:space="0" w:color="auto"/>
              <w:bottom w:val="single" w:sz="2" w:space="0" w:color="auto"/>
            </w:tcBorders>
            <w:shd w:val="clear" w:color="auto" w:fill="auto"/>
            <w:noWrap/>
            <w:vAlign w:val="center"/>
          </w:tcPr>
          <w:p w14:paraId="7D8ABDDE" w14:textId="77777777" w:rsidR="00DD6DBF" w:rsidRPr="00A470FF" w:rsidRDefault="00DD6DBF" w:rsidP="003134B0">
            <w:pPr>
              <w:suppressAutoHyphens w:val="0"/>
              <w:spacing w:before="80" w:after="80" w:line="200" w:lineRule="exact"/>
              <w:ind w:left="113"/>
              <w:jc w:val="center"/>
              <w:rPr>
                <w:rFonts w:eastAsia="Times New Roman"/>
                <w:i/>
                <w:sz w:val="16"/>
                <w:szCs w:val="16"/>
                <w:lang w:eastAsia="en-GB"/>
              </w:rPr>
            </w:pPr>
            <w:r w:rsidRPr="00A470FF">
              <w:rPr>
                <w:rFonts w:eastAsia="Times New Roman"/>
                <w:i/>
                <w:sz w:val="16"/>
                <w:szCs w:val="16"/>
                <w:lang w:eastAsia="en-GB"/>
              </w:rPr>
              <w:t>Total amount</w:t>
            </w:r>
          </w:p>
        </w:tc>
        <w:tc>
          <w:tcPr>
            <w:tcW w:w="850" w:type="dxa"/>
            <w:tcBorders>
              <w:top w:val="single" w:sz="2" w:space="0" w:color="auto"/>
              <w:bottom w:val="single" w:sz="4" w:space="0" w:color="auto"/>
            </w:tcBorders>
            <w:shd w:val="clear" w:color="auto" w:fill="auto"/>
            <w:vAlign w:val="center"/>
          </w:tcPr>
          <w:p w14:paraId="4EA2ED07" w14:textId="77777777" w:rsidR="00DD6DBF" w:rsidRPr="00A470FF" w:rsidRDefault="00DD6DBF" w:rsidP="003134B0">
            <w:pPr>
              <w:spacing w:before="40" w:after="40" w:line="22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Status</w:t>
            </w:r>
            <w:r w:rsidRPr="00305336">
              <w:rPr>
                <w:rFonts w:eastAsia="Times New Roman"/>
                <w:i/>
                <w:sz w:val="18"/>
                <w:szCs w:val="16"/>
                <w:vertAlign w:val="superscript"/>
                <w:lang w:eastAsia="en-GB"/>
              </w:rPr>
              <w:t>b, 3</w:t>
            </w:r>
          </w:p>
        </w:tc>
        <w:tc>
          <w:tcPr>
            <w:tcW w:w="709" w:type="dxa"/>
            <w:tcBorders>
              <w:top w:val="single" w:sz="2" w:space="0" w:color="auto"/>
              <w:bottom w:val="single" w:sz="2" w:space="0" w:color="auto"/>
            </w:tcBorders>
            <w:shd w:val="clear" w:color="auto" w:fill="auto"/>
            <w:vAlign w:val="center"/>
          </w:tcPr>
          <w:p w14:paraId="5B6BF74A" w14:textId="77777777" w:rsidR="00DD6DBF" w:rsidRPr="00A470FF" w:rsidRDefault="00DD6DBF"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Funding source</w:t>
            </w:r>
            <w:r w:rsidRPr="00305336">
              <w:rPr>
                <w:rFonts w:eastAsia="Times New Roman"/>
                <w:i/>
                <w:sz w:val="18"/>
                <w:szCs w:val="16"/>
                <w:vertAlign w:val="superscript"/>
                <w:lang w:eastAsia="en-GB"/>
              </w:rPr>
              <w:t>4</w:t>
            </w:r>
          </w:p>
        </w:tc>
        <w:tc>
          <w:tcPr>
            <w:tcW w:w="1701" w:type="dxa"/>
            <w:tcBorders>
              <w:top w:val="single" w:sz="2" w:space="0" w:color="auto"/>
              <w:bottom w:val="single" w:sz="2" w:space="0" w:color="auto"/>
            </w:tcBorders>
            <w:shd w:val="clear" w:color="auto" w:fill="auto"/>
            <w:vAlign w:val="center"/>
          </w:tcPr>
          <w:p w14:paraId="57FAB23D" w14:textId="77777777" w:rsidR="00DD6DBF" w:rsidRPr="00A470FF" w:rsidRDefault="00DD6DBF"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Financial instrument</w:t>
            </w:r>
            <w:r w:rsidRPr="00305336">
              <w:rPr>
                <w:rFonts w:eastAsia="Times New Roman"/>
                <w:i/>
                <w:sz w:val="18"/>
                <w:szCs w:val="16"/>
                <w:vertAlign w:val="superscript"/>
                <w:lang w:eastAsia="en-GB"/>
              </w:rPr>
              <w:t>5</w:t>
            </w:r>
          </w:p>
        </w:tc>
        <w:tc>
          <w:tcPr>
            <w:tcW w:w="1276" w:type="dxa"/>
            <w:tcBorders>
              <w:top w:val="single" w:sz="2" w:space="0" w:color="auto"/>
              <w:bottom w:val="single" w:sz="2" w:space="0" w:color="auto"/>
            </w:tcBorders>
            <w:shd w:val="clear" w:color="auto" w:fill="auto"/>
            <w:vAlign w:val="center"/>
          </w:tcPr>
          <w:p w14:paraId="4794BEA1" w14:textId="77777777" w:rsidR="00DD6DBF" w:rsidRPr="00A470FF" w:rsidRDefault="00DD6DBF"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 xml:space="preserve">Type of </w:t>
            </w:r>
            <w:r w:rsidRPr="00A470FF">
              <w:rPr>
                <w:rFonts w:eastAsia="Times New Roman"/>
                <w:i/>
                <w:sz w:val="16"/>
                <w:szCs w:val="16"/>
                <w:lang w:eastAsia="en-GB"/>
              </w:rPr>
              <w:br/>
              <w:t>support</w:t>
            </w:r>
            <w:r w:rsidRPr="00305336">
              <w:rPr>
                <w:rFonts w:eastAsia="Times New Roman"/>
                <w:i/>
                <w:sz w:val="18"/>
                <w:szCs w:val="16"/>
                <w:vertAlign w:val="superscript"/>
                <w:lang w:eastAsia="en-GB"/>
              </w:rPr>
              <w:t>6</w:t>
            </w:r>
          </w:p>
        </w:tc>
        <w:tc>
          <w:tcPr>
            <w:tcW w:w="1701" w:type="dxa"/>
            <w:tcBorders>
              <w:top w:val="single" w:sz="2" w:space="0" w:color="auto"/>
              <w:bottom w:val="single" w:sz="2" w:space="0" w:color="auto"/>
            </w:tcBorders>
            <w:shd w:val="clear" w:color="auto" w:fill="auto"/>
            <w:noWrap/>
            <w:vAlign w:val="center"/>
          </w:tcPr>
          <w:p w14:paraId="3061F29E" w14:textId="3CFE4B1D" w:rsidR="00DD6DBF" w:rsidRPr="00A470FF" w:rsidRDefault="00DD6DBF"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Sector</w:t>
            </w:r>
            <w:r w:rsidRPr="00305336">
              <w:rPr>
                <w:rFonts w:eastAsia="Times New Roman"/>
                <w:i/>
                <w:sz w:val="18"/>
                <w:szCs w:val="16"/>
                <w:vertAlign w:val="superscript"/>
                <w:lang w:eastAsia="en-GB"/>
              </w:rPr>
              <w:t>c, 7</w:t>
            </w:r>
          </w:p>
        </w:tc>
      </w:tr>
      <w:tr w:rsidR="00DD6DBF" w:rsidRPr="00A470FF" w14:paraId="2F6A31D9" w14:textId="77777777" w:rsidTr="003134B0">
        <w:trPr>
          <w:trHeight w:val="671"/>
          <w:tblHeader/>
        </w:trPr>
        <w:tc>
          <w:tcPr>
            <w:tcW w:w="3828" w:type="dxa"/>
            <w:vMerge/>
            <w:shd w:val="clear" w:color="auto" w:fill="auto"/>
            <w:vAlign w:val="bottom"/>
          </w:tcPr>
          <w:p w14:paraId="3B5B20D6" w14:textId="77777777" w:rsidR="00DD6DBF" w:rsidRPr="00A470FF" w:rsidRDefault="00DD6DBF" w:rsidP="003134B0">
            <w:pPr>
              <w:suppressAutoHyphens w:val="0"/>
              <w:spacing w:before="40" w:after="40" w:line="220" w:lineRule="exact"/>
              <w:jc w:val="center"/>
              <w:rPr>
                <w:rFonts w:eastAsia="Times New Roman"/>
                <w:i/>
                <w:sz w:val="16"/>
                <w:szCs w:val="16"/>
                <w:lang w:eastAsia="en-GB"/>
              </w:rPr>
            </w:pPr>
          </w:p>
        </w:tc>
        <w:tc>
          <w:tcPr>
            <w:tcW w:w="1275" w:type="dxa"/>
            <w:gridSpan w:val="2"/>
            <w:tcBorders>
              <w:top w:val="single" w:sz="2" w:space="0" w:color="auto"/>
              <w:bottom w:val="single" w:sz="4" w:space="0" w:color="auto"/>
            </w:tcBorders>
            <w:shd w:val="clear" w:color="auto" w:fill="auto"/>
            <w:vAlign w:val="center"/>
          </w:tcPr>
          <w:p w14:paraId="32078823" w14:textId="68462832"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Core/general</w:t>
            </w:r>
            <w:r w:rsidRPr="00305336">
              <w:rPr>
                <w:rFonts w:eastAsia="Times New Roman"/>
                <w:i/>
                <w:sz w:val="18"/>
                <w:szCs w:val="16"/>
                <w:vertAlign w:val="superscript"/>
                <w:lang w:eastAsia="en-GB"/>
              </w:rPr>
              <w:t>d,</w:t>
            </w:r>
            <w:r w:rsidR="00305336">
              <w:rPr>
                <w:rFonts w:eastAsia="Times New Roman"/>
                <w:i/>
                <w:sz w:val="18"/>
                <w:szCs w:val="16"/>
                <w:vertAlign w:val="superscript"/>
                <w:lang w:eastAsia="en-GB"/>
              </w:rPr>
              <w:t xml:space="preserve"> </w:t>
            </w:r>
            <w:r w:rsidRPr="00305336">
              <w:rPr>
                <w:rFonts w:eastAsia="Times New Roman"/>
                <w:i/>
                <w:sz w:val="18"/>
                <w:szCs w:val="16"/>
                <w:vertAlign w:val="superscript"/>
                <w:lang w:eastAsia="en-GB"/>
              </w:rPr>
              <w:t>1</w:t>
            </w:r>
          </w:p>
        </w:tc>
        <w:tc>
          <w:tcPr>
            <w:tcW w:w="1418" w:type="dxa"/>
            <w:gridSpan w:val="2"/>
            <w:tcBorders>
              <w:top w:val="single" w:sz="2" w:space="0" w:color="auto"/>
              <w:bottom w:val="single" w:sz="4" w:space="0" w:color="auto"/>
            </w:tcBorders>
            <w:shd w:val="clear" w:color="auto" w:fill="auto"/>
            <w:vAlign w:val="center"/>
          </w:tcPr>
          <w:p w14:paraId="65FE6ABF"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Climate-specific</w:t>
            </w:r>
            <w:r w:rsidRPr="00305336">
              <w:rPr>
                <w:rFonts w:eastAsia="Times New Roman"/>
                <w:i/>
                <w:sz w:val="18"/>
                <w:szCs w:val="16"/>
                <w:vertAlign w:val="superscript"/>
                <w:lang w:eastAsia="en-GB"/>
              </w:rPr>
              <w:t>e, 2</w:t>
            </w:r>
          </w:p>
        </w:tc>
        <w:tc>
          <w:tcPr>
            <w:tcW w:w="850" w:type="dxa"/>
            <w:vMerge w:val="restart"/>
            <w:tcBorders>
              <w:top w:val="single" w:sz="4" w:space="0" w:color="auto"/>
            </w:tcBorders>
            <w:shd w:val="clear" w:color="auto" w:fill="auto"/>
            <w:vAlign w:val="center"/>
          </w:tcPr>
          <w:p w14:paraId="6C521EE4"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br/>
              <w:t>Committed</w:t>
            </w:r>
            <w:r w:rsidRPr="00A470FF">
              <w:rPr>
                <w:rFonts w:eastAsia="Times New Roman"/>
                <w:i/>
                <w:sz w:val="16"/>
                <w:szCs w:val="16"/>
                <w:lang w:eastAsia="en-GB"/>
              </w:rPr>
              <w:br/>
            </w:r>
          </w:p>
          <w:p w14:paraId="2577F42F"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Disbursed</w:t>
            </w:r>
            <w:r w:rsidRPr="00A470FF">
              <w:rPr>
                <w:rFonts w:eastAsia="Times New Roman"/>
                <w:i/>
                <w:sz w:val="16"/>
                <w:szCs w:val="16"/>
                <w:lang w:eastAsia="en-GB"/>
              </w:rPr>
              <w:br/>
            </w:r>
          </w:p>
        </w:tc>
        <w:tc>
          <w:tcPr>
            <w:tcW w:w="709" w:type="dxa"/>
            <w:vMerge w:val="restart"/>
            <w:tcBorders>
              <w:top w:val="single" w:sz="2" w:space="0" w:color="auto"/>
            </w:tcBorders>
            <w:shd w:val="clear" w:color="auto" w:fill="auto"/>
            <w:vAlign w:val="center"/>
          </w:tcPr>
          <w:p w14:paraId="05DF835F"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ODA</w:t>
            </w:r>
            <w:r w:rsidRPr="00A470FF">
              <w:rPr>
                <w:rFonts w:eastAsia="Times New Roman"/>
                <w:i/>
                <w:sz w:val="16"/>
                <w:szCs w:val="16"/>
                <w:lang w:eastAsia="en-GB"/>
              </w:rPr>
              <w:br/>
              <w:t>OOF</w:t>
            </w:r>
            <w:r w:rsidRPr="00A470FF">
              <w:rPr>
                <w:rFonts w:eastAsia="Times New Roman"/>
                <w:i/>
                <w:sz w:val="16"/>
                <w:szCs w:val="16"/>
                <w:lang w:eastAsia="en-GB"/>
              </w:rPr>
              <w:br/>
              <w:t>Other</w:t>
            </w:r>
            <w:r w:rsidRPr="00305336">
              <w:rPr>
                <w:rFonts w:eastAsia="Times New Roman"/>
                <w:i/>
                <w:sz w:val="18"/>
                <w:szCs w:val="16"/>
                <w:vertAlign w:val="superscript"/>
                <w:lang w:eastAsia="en-GB"/>
              </w:rPr>
              <w:t>f</w:t>
            </w:r>
          </w:p>
        </w:tc>
        <w:tc>
          <w:tcPr>
            <w:tcW w:w="1701" w:type="dxa"/>
            <w:vMerge w:val="restart"/>
            <w:tcBorders>
              <w:top w:val="single" w:sz="2" w:space="0" w:color="auto"/>
            </w:tcBorders>
            <w:shd w:val="clear" w:color="auto" w:fill="auto"/>
            <w:vAlign w:val="center"/>
          </w:tcPr>
          <w:p w14:paraId="6ABF943F"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Grant</w:t>
            </w:r>
          </w:p>
          <w:p w14:paraId="52A732B1"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Concessional loan</w:t>
            </w:r>
          </w:p>
          <w:p w14:paraId="7350892A"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Non-concessional loan</w:t>
            </w:r>
          </w:p>
          <w:p w14:paraId="73AAFA6E"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Equity</w:t>
            </w:r>
            <w:r w:rsidRPr="00A470FF">
              <w:rPr>
                <w:rFonts w:eastAsia="Times New Roman"/>
                <w:i/>
                <w:sz w:val="16"/>
                <w:szCs w:val="16"/>
                <w:lang w:eastAsia="en-GB"/>
              </w:rPr>
              <w:br/>
              <w:t>Other</w:t>
            </w:r>
            <w:r w:rsidRPr="00305336">
              <w:rPr>
                <w:rFonts w:eastAsia="Times New Roman"/>
                <w:i/>
                <w:sz w:val="18"/>
                <w:szCs w:val="16"/>
                <w:vertAlign w:val="superscript"/>
                <w:lang w:eastAsia="en-GB"/>
              </w:rPr>
              <w:t>f</w:t>
            </w:r>
          </w:p>
        </w:tc>
        <w:tc>
          <w:tcPr>
            <w:tcW w:w="1276" w:type="dxa"/>
            <w:vMerge w:val="restart"/>
            <w:tcBorders>
              <w:top w:val="single" w:sz="2" w:space="0" w:color="auto"/>
            </w:tcBorders>
            <w:shd w:val="clear" w:color="auto" w:fill="auto"/>
            <w:noWrap/>
            <w:vAlign w:val="center"/>
          </w:tcPr>
          <w:p w14:paraId="015636A4"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Mitigation</w:t>
            </w:r>
            <w:r w:rsidRPr="00A470FF">
              <w:rPr>
                <w:rFonts w:eastAsia="Times New Roman"/>
                <w:i/>
                <w:sz w:val="16"/>
                <w:szCs w:val="16"/>
                <w:lang w:eastAsia="en-GB"/>
              </w:rPr>
              <w:br/>
              <w:t xml:space="preserve">Adaptation </w:t>
            </w:r>
            <w:r w:rsidRPr="00A470FF">
              <w:rPr>
                <w:rFonts w:eastAsia="Times New Roman"/>
                <w:i/>
                <w:sz w:val="16"/>
                <w:szCs w:val="16"/>
                <w:lang w:eastAsia="en-GB"/>
              </w:rPr>
              <w:br/>
              <w:t>Cross-cutting</w:t>
            </w:r>
            <w:r w:rsidRPr="00305336">
              <w:rPr>
                <w:rFonts w:eastAsia="Times New Roman"/>
                <w:i/>
                <w:sz w:val="18"/>
                <w:szCs w:val="16"/>
                <w:vertAlign w:val="superscript"/>
                <w:lang w:eastAsia="en-GB"/>
              </w:rPr>
              <w:t>g</w:t>
            </w:r>
            <w:r w:rsidRPr="00A470FF">
              <w:rPr>
                <w:rFonts w:eastAsia="Times New Roman"/>
                <w:i/>
                <w:sz w:val="16"/>
                <w:szCs w:val="16"/>
                <w:lang w:eastAsia="en-GB"/>
              </w:rPr>
              <w:br/>
              <w:t>Other</w:t>
            </w:r>
            <w:r w:rsidRPr="00305336">
              <w:rPr>
                <w:rFonts w:eastAsia="Times New Roman"/>
                <w:i/>
                <w:sz w:val="18"/>
                <w:szCs w:val="16"/>
                <w:vertAlign w:val="superscript"/>
                <w:lang w:eastAsia="en-GB"/>
              </w:rPr>
              <w:t>f</w:t>
            </w:r>
          </w:p>
        </w:tc>
        <w:tc>
          <w:tcPr>
            <w:tcW w:w="1701" w:type="dxa"/>
            <w:vMerge w:val="restart"/>
            <w:tcBorders>
              <w:top w:val="single" w:sz="2" w:space="0" w:color="auto"/>
            </w:tcBorders>
            <w:shd w:val="clear" w:color="auto" w:fill="auto"/>
            <w:vAlign w:val="center"/>
          </w:tcPr>
          <w:p w14:paraId="637ADB9C"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Energy</w:t>
            </w:r>
          </w:p>
          <w:p w14:paraId="7B47EC0D"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Transport</w:t>
            </w:r>
          </w:p>
          <w:p w14:paraId="1137A81C"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Industry</w:t>
            </w:r>
          </w:p>
          <w:p w14:paraId="1F38F78A"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Agriculture</w:t>
            </w:r>
          </w:p>
          <w:p w14:paraId="677D39E7"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Forestry</w:t>
            </w:r>
          </w:p>
          <w:p w14:paraId="4A234BC7"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Water and sanitation</w:t>
            </w:r>
          </w:p>
          <w:p w14:paraId="471EEA9B"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Cross-cutting</w:t>
            </w:r>
          </w:p>
          <w:p w14:paraId="081B29EF" w14:textId="77777777" w:rsidR="00DD6DBF" w:rsidRPr="00A470FF" w:rsidRDefault="00DD6DBF" w:rsidP="003134B0">
            <w:pPr>
              <w:suppressAutoHyphens w:val="0"/>
              <w:spacing w:line="240" w:lineRule="auto"/>
              <w:ind w:left="113"/>
              <w:jc w:val="center"/>
              <w:rPr>
                <w:rFonts w:eastAsia="Times New Roman"/>
                <w:i/>
                <w:sz w:val="16"/>
                <w:szCs w:val="16"/>
                <w:vertAlign w:val="superscript"/>
                <w:lang w:eastAsia="en-GB"/>
              </w:rPr>
            </w:pPr>
            <w:r w:rsidRPr="00A470FF">
              <w:rPr>
                <w:rFonts w:eastAsia="Times New Roman"/>
                <w:i/>
                <w:sz w:val="16"/>
                <w:szCs w:val="16"/>
                <w:lang w:eastAsia="en-GB"/>
              </w:rPr>
              <w:t>Other</w:t>
            </w:r>
            <w:r w:rsidRPr="00305336">
              <w:rPr>
                <w:rFonts w:eastAsia="Times New Roman"/>
                <w:i/>
                <w:sz w:val="18"/>
                <w:szCs w:val="16"/>
                <w:vertAlign w:val="superscript"/>
                <w:lang w:eastAsia="en-GB"/>
              </w:rPr>
              <w:t>f</w:t>
            </w:r>
          </w:p>
          <w:p w14:paraId="15245F56" w14:textId="77777777" w:rsidR="00DD6DBF" w:rsidRPr="00A470FF" w:rsidRDefault="00DD6DBF" w:rsidP="003134B0">
            <w:pPr>
              <w:suppressAutoHyphens w:val="0"/>
              <w:spacing w:line="240" w:lineRule="auto"/>
              <w:ind w:left="113"/>
              <w:jc w:val="center"/>
              <w:rPr>
                <w:rFonts w:eastAsia="Times New Roman"/>
                <w:i/>
                <w:sz w:val="16"/>
                <w:szCs w:val="16"/>
                <w:lang w:eastAsia="en-GB"/>
              </w:rPr>
            </w:pPr>
            <w:r w:rsidRPr="00A470FF">
              <w:rPr>
                <w:rFonts w:eastAsia="Times New Roman"/>
                <w:i/>
                <w:sz w:val="16"/>
                <w:szCs w:val="16"/>
                <w:lang w:eastAsia="en-GB"/>
              </w:rPr>
              <w:t>Not applicable</w:t>
            </w:r>
          </w:p>
        </w:tc>
      </w:tr>
      <w:tr w:rsidR="00DD6DBF" w:rsidRPr="00A470FF" w14:paraId="1F5F527A" w14:textId="77777777" w:rsidTr="003134B0">
        <w:trPr>
          <w:trHeight w:val="1072"/>
          <w:tblHeader/>
        </w:trPr>
        <w:tc>
          <w:tcPr>
            <w:tcW w:w="3828" w:type="dxa"/>
            <w:vMerge/>
            <w:tcBorders>
              <w:bottom w:val="single" w:sz="12" w:space="0" w:color="auto"/>
            </w:tcBorders>
            <w:shd w:val="clear" w:color="auto" w:fill="auto"/>
            <w:vAlign w:val="bottom"/>
          </w:tcPr>
          <w:p w14:paraId="18070FE0" w14:textId="77777777" w:rsidR="00DD6DBF" w:rsidRPr="00A470FF" w:rsidRDefault="00DD6DBF" w:rsidP="003134B0">
            <w:pPr>
              <w:suppressAutoHyphens w:val="0"/>
              <w:spacing w:before="40" w:after="40" w:line="220" w:lineRule="exact"/>
              <w:jc w:val="center"/>
              <w:rPr>
                <w:rFonts w:eastAsia="Times New Roman"/>
                <w:i/>
                <w:sz w:val="16"/>
                <w:szCs w:val="16"/>
                <w:lang w:eastAsia="en-GB"/>
              </w:rPr>
            </w:pPr>
          </w:p>
        </w:tc>
        <w:tc>
          <w:tcPr>
            <w:tcW w:w="850" w:type="dxa"/>
            <w:tcBorders>
              <w:top w:val="single" w:sz="4" w:space="0" w:color="auto"/>
              <w:bottom w:val="single" w:sz="12" w:space="0" w:color="auto"/>
            </w:tcBorders>
            <w:shd w:val="clear" w:color="auto" w:fill="auto"/>
          </w:tcPr>
          <w:p w14:paraId="61F8C722"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Domestic currency</w:t>
            </w:r>
          </w:p>
        </w:tc>
        <w:tc>
          <w:tcPr>
            <w:tcW w:w="425" w:type="dxa"/>
            <w:tcBorders>
              <w:top w:val="single" w:sz="4" w:space="0" w:color="auto"/>
              <w:bottom w:val="single" w:sz="12" w:space="0" w:color="auto"/>
            </w:tcBorders>
            <w:shd w:val="clear" w:color="auto" w:fill="auto"/>
          </w:tcPr>
          <w:p w14:paraId="1FFC5D7D"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USD</w:t>
            </w:r>
          </w:p>
        </w:tc>
        <w:tc>
          <w:tcPr>
            <w:tcW w:w="993" w:type="dxa"/>
            <w:tcBorders>
              <w:top w:val="single" w:sz="4" w:space="0" w:color="auto"/>
              <w:bottom w:val="single" w:sz="12" w:space="0" w:color="auto"/>
            </w:tcBorders>
            <w:shd w:val="clear" w:color="auto" w:fill="auto"/>
          </w:tcPr>
          <w:p w14:paraId="2F9B3ABC"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Domestic currency</w:t>
            </w:r>
          </w:p>
        </w:tc>
        <w:tc>
          <w:tcPr>
            <w:tcW w:w="425" w:type="dxa"/>
            <w:tcBorders>
              <w:top w:val="single" w:sz="4" w:space="0" w:color="auto"/>
              <w:bottom w:val="single" w:sz="12" w:space="0" w:color="auto"/>
            </w:tcBorders>
            <w:shd w:val="clear" w:color="auto" w:fill="auto"/>
          </w:tcPr>
          <w:p w14:paraId="71290C38"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USD</w:t>
            </w:r>
          </w:p>
        </w:tc>
        <w:tc>
          <w:tcPr>
            <w:tcW w:w="850" w:type="dxa"/>
            <w:vMerge/>
            <w:tcBorders>
              <w:bottom w:val="single" w:sz="12" w:space="0" w:color="auto"/>
            </w:tcBorders>
            <w:shd w:val="clear" w:color="auto" w:fill="auto"/>
            <w:vAlign w:val="bottom"/>
          </w:tcPr>
          <w:p w14:paraId="4EC6BCF3"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p>
        </w:tc>
        <w:tc>
          <w:tcPr>
            <w:tcW w:w="709" w:type="dxa"/>
            <w:vMerge/>
            <w:tcBorders>
              <w:bottom w:val="single" w:sz="12" w:space="0" w:color="auto"/>
            </w:tcBorders>
            <w:shd w:val="clear" w:color="auto" w:fill="auto"/>
            <w:vAlign w:val="bottom"/>
          </w:tcPr>
          <w:p w14:paraId="394B92D1" w14:textId="77777777" w:rsidR="00DD6DBF" w:rsidRPr="00A470FF" w:rsidRDefault="00DD6DBF" w:rsidP="003134B0">
            <w:pPr>
              <w:suppressAutoHyphens w:val="0"/>
              <w:spacing w:before="40" w:after="40" w:line="220" w:lineRule="exact"/>
              <w:ind w:left="113"/>
              <w:rPr>
                <w:rFonts w:eastAsia="Times New Roman"/>
                <w:i/>
                <w:sz w:val="16"/>
                <w:szCs w:val="16"/>
                <w:lang w:eastAsia="en-GB"/>
              </w:rPr>
            </w:pPr>
          </w:p>
        </w:tc>
        <w:tc>
          <w:tcPr>
            <w:tcW w:w="1701" w:type="dxa"/>
            <w:vMerge/>
            <w:tcBorders>
              <w:bottom w:val="single" w:sz="12" w:space="0" w:color="auto"/>
            </w:tcBorders>
            <w:shd w:val="clear" w:color="auto" w:fill="auto"/>
            <w:vAlign w:val="bottom"/>
          </w:tcPr>
          <w:p w14:paraId="234C1BEB"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p>
        </w:tc>
        <w:tc>
          <w:tcPr>
            <w:tcW w:w="1276" w:type="dxa"/>
            <w:vMerge/>
            <w:tcBorders>
              <w:bottom w:val="single" w:sz="12" w:space="0" w:color="auto"/>
            </w:tcBorders>
            <w:shd w:val="clear" w:color="auto" w:fill="auto"/>
            <w:noWrap/>
            <w:vAlign w:val="bottom"/>
          </w:tcPr>
          <w:p w14:paraId="39D7BE7E"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p>
        </w:tc>
        <w:tc>
          <w:tcPr>
            <w:tcW w:w="1701" w:type="dxa"/>
            <w:vMerge/>
            <w:tcBorders>
              <w:bottom w:val="single" w:sz="12" w:space="0" w:color="auto"/>
            </w:tcBorders>
            <w:shd w:val="clear" w:color="auto" w:fill="auto"/>
            <w:vAlign w:val="bottom"/>
          </w:tcPr>
          <w:p w14:paraId="24B3C37D" w14:textId="77777777" w:rsidR="00DD6DBF" w:rsidRPr="00A470FF" w:rsidRDefault="00DD6DBF" w:rsidP="003134B0">
            <w:pPr>
              <w:suppressAutoHyphens w:val="0"/>
              <w:spacing w:before="40" w:after="40" w:line="220" w:lineRule="exact"/>
              <w:ind w:left="113"/>
              <w:jc w:val="center"/>
              <w:rPr>
                <w:rFonts w:eastAsia="Times New Roman"/>
                <w:i/>
                <w:sz w:val="16"/>
                <w:szCs w:val="16"/>
                <w:lang w:eastAsia="en-GB"/>
              </w:rPr>
            </w:pPr>
          </w:p>
        </w:tc>
      </w:tr>
      <w:tr w:rsidR="00DD6DBF" w:rsidRPr="00A470FF" w14:paraId="7138552E" w14:textId="77777777" w:rsidTr="003134B0">
        <w:trPr>
          <w:trHeight w:val="240"/>
        </w:trPr>
        <w:tc>
          <w:tcPr>
            <w:tcW w:w="3828" w:type="dxa"/>
            <w:tcBorders>
              <w:top w:val="single" w:sz="12" w:space="0" w:color="auto"/>
              <w:bottom w:val="single" w:sz="8" w:space="0" w:color="auto"/>
            </w:tcBorders>
            <w:shd w:val="clear" w:color="auto" w:fill="auto"/>
            <w:noWrap/>
          </w:tcPr>
          <w:p w14:paraId="26EBD169"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Multilateral climate change funds</w:t>
            </w:r>
          </w:p>
          <w:p w14:paraId="3FCD80BC"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1.  Global Environment Facility</w:t>
            </w:r>
          </w:p>
          <w:p w14:paraId="49D09319"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2.  Least Developed Countries Fund</w:t>
            </w:r>
          </w:p>
          <w:p w14:paraId="61A80803"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3.  Special Climate Change Fund</w:t>
            </w:r>
          </w:p>
          <w:p w14:paraId="06484471"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4.  Adaptation Fund</w:t>
            </w:r>
          </w:p>
          <w:p w14:paraId="1D76655D"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5.  Green Climate Fund</w:t>
            </w:r>
          </w:p>
          <w:p w14:paraId="621B711B"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6.  UNFCCC Trust Fund for Supplementary Activities</w:t>
            </w:r>
          </w:p>
          <w:p w14:paraId="51CF0E38" w14:textId="77777777" w:rsidR="00DD6DBF" w:rsidRPr="00A470FF" w:rsidRDefault="00DD6DBF" w:rsidP="003134B0">
            <w:pPr>
              <w:suppressAutoHyphens w:val="0"/>
              <w:spacing w:before="40" w:after="40" w:line="220" w:lineRule="exact"/>
              <w:rPr>
                <w:rFonts w:eastAsia="Times New Roman"/>
                <w:sz w:val="18"/>
                <w:szCs w:val="18"/>
                <w:lang w:eastAsia="en-GB"/>
              </w:rPr>
            </w:pPr>
            <w:r w:rsidRPr="00A470FF">
              <w:rPr>
                <w:rFonts w:eastAsia="MS Mincho"/>
                <w:sz w:val="18"/>
                <w:szCs w:val="18"/>
                <w:lang w:eastAsia="ja-JP"/>
              </w:rPr>
              <w:t>7.  Other multilateral climate change funds</w:t>
            </w:r>
          </w:p>
        </w:tc>
        <w:tc>
          <w:tcPr>
            <w:tcW w:w="850" w:type="dxa"/>
            <w:tcBorders>
              <w:top w:val="single" w:sz="12" w:space="0" w:color="auto"/>
              <w:bottom w:val="single" w:sz="8" w:space="0" w:color="auto"/>
            </w:tcBorders>
            <w:shd w:val="clear" w:color="auto" w:fill="auto"/>
            <w:noWrap/>
            <w:vAlign w:val="bottom"/>
          </w:tcPr>
          <w:p w14:paraId="0F616C63"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12" w:space="0" w:color="auto"/>
              <w:bottom w:val="single" w:sz="8" w:space="0" w:color="auto"/>
            </w:tcBorders>
            <w:shd w:val="clear" w:color="auto" w:fill="auto"/>
            <w:noWrap/>
            <w:vAlign w:val="bottom"/>
          </w:tcPr>
          <w:p w14:paraId="2787D6FA" w14:textId="77777777" w:rsidR="00DD6DBF" w:rsidRPr="00A470FF" w:rsidRDefault="00DD6DBF" w:rsidP="003134B0">
            <w:pPr>
              <w:suppressAutoHyphens w:val="0"/>
              <w:spacing w:before="40" w:after="40" w:line="220" w:lineRule="exact"/>
              <w:rPr>
                <w:rFonts w:eastAsia="MS Mincho"/>
                <w:sz w:val="18"/>
                <w:szCs w:val="18"/>
                <w:lang w:eastAsia="ja-JP"/>
              </w:rPr>
            </w:pPr>
          </w:p>
        </w:tc>
        <w:tc>
          <w:tcPr>
            <w:tcW w:w="993" w:type="dxa"/>
            <w:tcBorders>
              <w:top w:val="single" w:sz="12" w:space="0" w:color="auto"/>
              <w:bottom w:val="single" w:sz="8" w:space="0" w:color="auto"/>
            </w:tcBorders>
          </w:tcPr>
          <w:p w14:paraId="214EF376"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12" w:space="0" w:color="auto"/>
              <w:bottom w:val="single" w:sz="8" w:space="0" w:color="auto"/>
            </w:tcBorders>
          </w:tcPr>
          <w:p w14:paraId="6CDECA02"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single" w:sz="12" w:space="0" w:color="auto"/>
              <w:bottom w:val="single" w:sz="8" w:space="0" w:color="auto"/>
            </w:tcBorders>
            <w:shd w:val="clear" w:color="auto" w:fill="auto"/>
            <w:vAlign w:val="bottom"/>
          </w:tcPr>
          <w:p w14:paraId="39F8AE41"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single" w:sz="12" w:space="0" w:color="auto"/>
              <w:bottom w:val="single" w:sz="8" w:space="0" w:color="auto"/>
            </w:tcBorders>
            <w:shd w:val="clear" w:color="auto" w:fill="auto"/>
            <w:vAlign w:val="bottom"/>
          </w:tcPr>
          <w:p w14:paraId="1441D34D"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12" w:space="0" w:color="auto"/>
              <w:bottom w:val="single" w:sz="8" w:space="0" w:color="auto"/>
            </w:tcBorders>
            <w:shd w:val="clear" w:color="auto" w:fill="auto"/>
            <w:vAlign w:val="bottom"/>
          </w:tcPr>
          <w:p w14:paraId="3C53E2BA"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single" w:sz="12" w:space="0" w:color="auto"/>
              <w:bottom w:val="single" w:sz="8" w:space="0" w:color="auto"/>
            </w:tcBorders>
            <w:shd w:val="clear" w:color="auto" w:fill="auto"/>
            <w:noWrap/>
            <w:vAlign w:val="bottom"/>
          </w:tcPr>
          <w:p w14:paraId="792DC46C"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12" w:space="0" w:color="auto"/>
              <w:bottom w:val="single" w:sz="8" w:space="0" w:color="auto"/>
            </w:tcBorders>
            <w:shd w:val="clear" w:color="auto" w:fill="auto"/>
            <w:noWrap/>
            <w:vAlign w:val="bottom"/>
          </w:tcPr>
          <w:p w14:paraId="6BD54EAE"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r w:rsidR="00DD6DBF" w:rsidRPr="00A470FF" w14:paraId="6206EFA5" w14:textId="77777777" w:rsidTr="00CF4258">
        <w:trPr>
          <w:trHeight w:val="240"/>
        </w:trPr>
        <w:tc>
          <w:tcPr>
            <w:tcW w:w="3828" w:type="dxa"/>
            <w:tcBorders>
              <w:top w:val="single" w:sz="8" w:space="0" w:color="auto"/>
              <w:bottom w:val="single" w:sz="8" w:space="0" w:color="auto"/>
            </w:tcBorders>
            <w:shd w:val="clear" w:color="auto" w:fill="auto"/>
            <w:noWrap/>
          </w:tcPr>
          <w:p w14:paraId="1928BC2D" w14:textId="77777777" w:rsidR="00DD6DBF" w:rsidRPr="00A470FF" w:rsidRDefault="00DD6DBF" w:rsidP="00597BF6">
            <w:pPr>
              <w:suppressAutoHyphens w:val="0"/>
              <w:spacing w:before="40" w:after="40" w:line="220" w:lineRule="exact"/>
              <w:rPr>
                <w:rFonts w:eastAsia="MS Mincho"/>
                <w:b/>
                <w:sz w:val="18"/>
                <w:szCs w:val="18"/>
                <w:lang w:eastAsia="ja-JP"/>
              </w:rPr>
            </w:pPr>
            <w:r w:rsidRPr="00A470FF">
              <w:rPr>
                <w:rFonts w:eastAsia="MS Mincho"/>
                <w:b/>
                <w:sz w:val="18"/>
                <w:szCs w:val="18"/>
                <w:lang w:eastAsia="ja-JP"/>
              </w:rPr>
              <w:t xml:space="preserve">Subtotal </w:t>
            </w:r>
          </w:p>
        </w:tc>
        <w:tc>
          <w:tcPr>
            <w:tcW w:w="850" w:type="dxa"/>
            <w:tcBorders>
              <w:top w:val="single" w:sz="8" w:space="0" w:color="auto"/>
              <w:bottom w:val="single" w:sz="8" w:space="0" w:color="auto"/>
            </w:tcBorders>
            <w:shd w:val="clear" w:color="auto" w:fill="auto"/>
            <w:noWrap/>
            <w:vAlign w:val="bottom"/>
          </w:tcPr>
          <w:p w14:paraId="4AC7C491"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8" w:space="0" w:color="auto"/>
            </w:tcBorders>
            <w:shd w:val="clear" w:color="auto" w:fill="auto"/>
            <w:noWrap/>
            <w:vAlign w:val="bottom"/>
          </w:tcPr>
          <w:p w14:paraId="6CCCCDAF" w14:textId="77777777" w:rsidR="00DD6DBF" w:rsidRPr="00A470FF" w:rsidRDefault="00DD6DBF" w:rsidP="003134B0">
            <w:pPr>
              <w:suppressAutoHyphens w:val="0"/>
              <w:spacing w:before="40" w:after="40" w:line="220" w:lineRule="exact"/>
              <w:rPr>
                <w:rFonts w:eastAsia="MS Mincho"/>
                <w:sz w:val="18"/>
                <w:szCs w:val="18"/>
                <w:lang w:eastAsia="ja-JP"/>
              </w:rPr>
            </w:pPr>
          </w:p>
        </w:tc>
        <w:tc>
          <w:tcPr>
            <w:tcW w:w="993" w:type="dxa"/>
            <w:tcBorders>
              <w:top w:val="single" w:sz="8" w:space="0" w:color="auto"/>
              <w:bottom w:val="single" w:sz="8" w:space="0" w:color="auto"/>
            </w:tcBorders>
          </w:tcPr>
          <w:p w14:paraId="07FB98B5"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8" w:space="0" w:color="auto"/>
            </w:tcBorders>
          </w:tcPr>
          <w:p w14:paraId="5A1DFB0B"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single" w:sz="8" w:space="0" w:color="auto"/>
              <w:bottom w:val="single" w:sz="8" w:space="0" w:color="auto"/>
            </w:tcBorders>
            <w:shd w:val="clear" w:color="auto" w:fill="auto"/>
            <w:vAlign w:val="bottom"/>
          </w:tcPr>
          <w:p w14:paraId="4B34C40A"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single" w:sz="8" w:space="0" w:color="auto"/>
              <w:bottom w:val="single" w:sz="8" w:space="0" w:color="auto"/>
            </w:tcBorders>
            <w:shd w:val="clear" w:color="auto" w:fill="auto"/>
            <w:vAlign w:val="bottom"/>
          </w:tcPr>
          <w:p w14:paraId="425194D1"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8" w:space="0" w:color="auto"/>
            </w:tcBorders>
            <w:shd w:val="clear" w:color="auto" w:fill="auto"/>
            <w:vAlign w:val="bottom"/>
          </w:tcPr>
          <w:p w14:paraId="4EC6DFF4"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single" w:sz="8" w:space="0" w:color="auto"/>
              <w:bottom w:val="single" w:sz="8" w:space="0" w:color="auto"/>
            </w:tcBorders>
            <w:shd w:val="clear" w:color="auto" w:fill="auto"/>
            <w:noWrap/>
            <w:vAlign w:val="bottom"/>
          </w:tcPr>
          <w:p w14:paraId="3E8A7F2A"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8" w:space="0" w:color="auto"/>
            </w:tcBorders>
            <w:shd w:val="clear" w:color="auto" w:fill="auto"/>
            <w:noWrap/>
            <w:vAlign w:val="bottom"/>
          </w:tcPr>
          <w:p w14:paraId="623D3AD5"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r w:rsidR="00DD6DBF" w:rsidRPr="00A470FF" w14:paraId="22ED3C98" w14:textId="77777777" w:rsidTr="003134B0">
        <w:trPr>
          <w:trHeight w:val="2573"/>
        </w:trPr>
        <w:tc>
          <w:tcPr>
            <w:tcW w:w="3828" w:type="dxa"/>
            <w:tcBorders>
              <w:top w:val="single" w:sz="8" w:space="0" w:color="auto"/>
              <w:bottom w:val="single" w:sz="8" w:space="0" w:color="auto"/>
            </w:tcBorders>
            <w:shd w:val="clear" w:color="auto" w:fill="auto"/>
            <w:noWrap/>
          </w:tcPr>
          <w:p w14:paraId="3F2466DB"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 xml:space="preserve">Multilateral financial institutions, including </w:t>
            </w:r>
            <w:r w:rsidRPr="00A470FF">
              <w:rPr>
                <w:rFonts w:eastAsia="MS Mincho"/>
                <w:sz w:val="18"/>
                <w:szCs w:val="18"/>
                <w:lang w:eastAsia="ja-JP"/>
              </w:rPr>
              <w:br/>
              <w:t>regional development banks</w:t>
            </w:r>
          </w:p>
          <w:p w14:paraId="728AB832"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1.  World Bank</w:t>
            </w:r>
          </w:p>
          <w:p w14:paraId="4EC951CC"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2.  International Finance Corporation</w:t>
            </w:r>
          </w:p>
          <w:p w14:paraId="1C53CDB6"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3.  African Development Bank</w:t>
            </w:r>
          </w:p>
          <w:p w14:paraId="56078759"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4.  Asian Development Bank</w:t>
            </w:r>
          </w:p>
          <w:p w14:paraId="79E03F10"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5.  European Bank for Reconstruction and Development</w:t>
            </w:r>
          </w:p>
          <w:p w14:paraId="2AE051EF"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6.  Inter-American Development Bank</w:t>
            </w:r>
          </w:p>
          <w:p w14:paraId="7AB400BB"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7.  Other</w:t>
            </w:r>
          </w:p>
        </w:tc>
        <w:tc>
          <w:tcPr>
            <w:tcW w:w="850" w:type="dxa"/>
            <w:tcBorders>
              <w:top w:val="single" w:sz="8" w:space="0" w:color="auto"/>
              <w:bottom w:val="single" w:sz="8" w:space="0" w:color="auto"/>
            </w:tcBorders>
            <w:shd w:val="clear" w:color="auto" w:fill="auto"/>
            <w:noWrap/>
            <w:vAlign w:val="bottom"/>
          </w:tcPr>
          <w:p w14:paraId="668D0E00"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8" w:space="0" w:color="auto"/>
            </w:tcBorders>
            <w:shd w:val="clear" w:color="auto" w:fill="auto"/>
            <w:noWrap/>
            <w:vAlign w:val="bottom"/>
          </w:tcPr>
          <w:p w14:paraId="4C5F10CF"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993" w:type="dxa"/>
            <w:tcBorders>
              <w:top w:val="single" w:sz="8" w:space="0" w:color="auto"/>
              <w:bottom w:val="single" w:sz="8" w:space="0" w:color="auto"/>
            </w:tcBorders>
          </w:tcPr>
          <w:p w14:paraId="7614A3DF"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8" w:space="0" w:color="auto"/>
            </w:tcBorders>
          </w:tcPr>
          <w:p w14:paraId="10DF9794"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single" w:sz="8" w:space="0" w:color="auto"/>
              <w:bottom w:val="single" w:sz="8" w:space="0" w:color="auto"/>
            </w:tcBorders>
            <w:shd w:val="clear" w:color="auto" w:fill="auto"/>
            <w:vAlign w:val="bottom"/>
          </w:tcPr>
          <w:p w14:paraId="6CC6BC1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single" w:sz="8" w:space="0" w:color="auto"/>
              <w:bottom w:val="single" w:sz="8" w:space="0" w:color="auto"/>
            </w:tcBorders>
            <w:shd w:val="clear" w:color="auto" w:fill="auto"/>
            <w:vAlign w:val="bottom"/>
          </w:tcPr>
          <w:p w14:paraId="1F2AA875"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8" w:space="0" w:color="auto"/>
            </w:tcBorders>
            <w:shd w:val="clear" w:color="auto" w:fill="auto"/>
            <w:vAlign w:val="bottom"/>
          </w:tcPr>
          <w:p w14:paraId="428D4BC6"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single" w:sz="8" w:space="0" w:color="auto"/>
              <w:bottom w:val="single" w:sz="8" w:space="0" w:color="auto"/>
            </w:tcBorders>
            <w:shd w:val="clear" w:color="auto" w:fill="auto"/>
            <w:noWrap/>
            <w:vAlign w:val="bottom"/>
          </w:tcPr>
          <w:p w14:paraId="41A0B868"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8" w:space="0" w:color="auto"/>
            </w:tcBorders>
            <w:shd w:val="clear" w:color="auto" w:fill="auto"/>
            <w:noWrap/>
            <w:vAlign w:val="bottom"/>
          </w:tcPr>
          <w:p w14:paraId="4DCF4094"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r w:rsidR="00DD6DBF" w:rsidRPr="00A470FF" w14:paraId="7E3B5565" w14:textId="77777777" w:rsidTr="00CF4258">
        <w:trPr>
          <w:trHeight w:val="91"/>
        </w:trPr>
        <w:tc>
          <w:tcPr>
            <w:tcW w:w="3828" w:type="dxa"/>
            <w:tcBorders>
              <w:top w:val="single" w:sz="8" w:space="0" w:color="auto"/>
              <w:bottom w:val="single" w:sz="8" w:space="0" w:color="auto"/>
            </w:tcBorders>
            <w:shd w:val="clear" w:color="auto" w:fill="auto"/>
            <w:noWrap/>
          </w:tcPr>
          <w:p w14:paraId="023A49FF" w14:textId="77777777" w:rsidR="00DD6DBF" w:rsidRPr="00A470FF" w:rsidRDefault="00DD6DBF" w:rsidP="00597BF6">
            <w:pPr>
              <w:spacing w:before="40" w:after="40" w:line="220" w:lineRule="exact"/>
              <w:rPr>
                <w:rFonts w:eastAsia="MS Mincho"/>
                <w:b/>
                <w:sz w:val="18"/>
                <w:szCs w:val="18"/>
                <w:lang w:eastAsia="ja-JP"/>
              </w:rPr>
            </w:pPr>
            <w:r w:rsidRPr="00A470FF">
              <w:rPr>
                <w:rFonts w:eastAsia="MS Mincho"/>
                <w:b/>
                <w:sz w:val="18"/>
                <w:szCs w:val="18"/>
                <w:lang w:eastAsia="ja-JP"/>
              </w:rPr>
              <w:t>Subtotal</w:t>
            </w:r>
          </w:p>
        </w:tc>
        <w:tc>
          <w:tcPr>
            <w:tcW w:w="850" w:type="dxa"/>
            <w:tcBorders>
              <w:top w:val="single" w:sz="8" w:space="0" w:color="auto"/>
              <w:bottom w:val="single" w:sz="8" w:space="0" w:color="auto"/>
            </w:tcBorders>
            <w:shd w:val="clear" w:color="auto" w:fill="auto"/>
            <w:noWrap/>
            <w:vAlign w:val="bottom"/>
          </w:tcPr>
          <w:p w14:paraId="113566A6"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8" w:space="0" w:color="auto"/>
            </w:tcBorders>
            <w:shd w:val="clear" w:color="auto" w:fill="auto"/>
            <w:noWrap/>
            <w:vAlign w:val="bottom"/>
          </w:tcPr>
          <w:p w14:paraId="48AFABD3"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993" w:type="dxa"/>
            <w:tcBorders>
              <w:top w:val="single" w:sz="8" w:space="0" w:color="auto"/>
              <w:bottom w:val="single" w:sz="8" w:space="0" w:color="auto"/>
            </w:tcBorders>
          </w:tcPr>
          <w:p w14:paraId="165F8D01"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8" w:space="0" w:color="auto"/>
            </w:tcBorders>
          </w:tcPr>
          <w:p w14:paraId="6AB1208C"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single" w:sz="8" w:space="0" w:color="auto"/>
              <w:bottom w:val="single" w:sz="8" w:space="0" w:color="auto"/>
            </w:tcBorders>
            <w:shd w:val="clear" w:color="auto" w:fill="auto"/>
            <w:vAlign w:val="bottom"/>
          </w:tcPr>
          <w:p w14:paraId="283A9C1D"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single" w:sz="8" w:space="0" w:color="auto"/>
              <w:bottom w:val="single" w:sz="8" w:space="0" w:color="auto"/>
            </w:tcBorders>
            <w:shd w:val="clear" w:color="auto" w:fill="auto"/>
            <w:vAlign w:val="bottom"/>
          </w:tcPr>
          <w:p w14:paraId="6B83C4AC"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8" w:space="0" w:color="auto"/>
            </w:tcBorders>
            <w:shd w:val="clear" w:color="auto" w:fill="auto"/>
            <w:vAlign w:val="bottom"/>
          </w:tcPr>
          <w:p w14:paraId="391CE6E8"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single" w:sz="8" w:space="0" w:color="auto"/>
              <w:bottom w:val="single" w:sz="8" w:space="0" w:color="auto"/>
            </w:tcBorders>
            <w:shd w:val="clear" w:color="auto" w:fill="auto"/>
            <w:noWrap/>
            <w:vAlign w:val="bottom"/>
          </w:tcPr>
          <w:p w14:paraId="24D325D4"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8" w:space="0" w:color="auto"/>
            </w:tcBorders>
            <w:shd w:val="clear" w:color="auto" w:fill="auto"/>
            <w:noWrap/>
            <w:vAlign w:val="bottom"/>
          </w:tcPr>
          <w:p w14:paraId="535EFDCC"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r w:rsidR="00DD6DBF" w:rsidRPr="00A470FF" w14:paraId="57817603" w14:textId="77777777" w:rsidTr="003134B0">
        <w:trPr>
          <w:trHeight w:val="240"/>
        </w:trPr>
        <w:tc>
          <w:tcPr>
            <w:tcW w:w="3828" w:type="dxa"/>
            <w:tcBorders>
              <w:top w:val="nil"/>
              <w:bottom w:val="single" w:sz="8" w:space="0" w:color="auto"/>
            </w:tcBorders>
            <w:shd w:val="clear" w:color="auto" w:fill="auto"/>
            <w:noWrap/>
          </w:tcPr>
          <w:p w14:paraId="4547FF2C"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Specialized United Nations bodies</w:t>
            </w:r>
          </w:p>
          <w:p w14:paraId="76152202" w14:textId="3AD24CB2"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1.  United Nations Development Programme (specific programmes)</w:t>
            </w:r>
          </w:p>
          <w:p w14:paraId="23C69D91"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 xml:space="preserve">2. United Nations Environment Programme </w:t>
            </w:r>
            <w:r w:rsidRPr="00A470FF">
              <w:rPr>
                <w:rFonts w:eastAsia="MS Mincho"/>
                <w:sz w:val="18"/>
                <w:szCs w:val="18"/>
                <w:lang w:eastAsia="ja-JP"/>
              </w:rPr>
              <w:br/>
            </w:r>
            <w:r w:rsidRPr="00A470FF">
              <w:rPr>
                <w:rFonts w:eastAsia="MS Mincho"/>
                <w:sz w:val="18"/>
                <w:szCs w:val="18"/>
                <w:lang w:eastAsia="ja-JP"/>
              </w:rPr>
              <w:lastRenderedPageBreak/>
              <w:t xml:space="preserve">(specific programmes) </w:t>
            </w:r>
          </w:p>
          <w:p w14:paraId="15977A4D" w14:textId="77777777" w:rsidR="00DD6DBF" w:rsidRPr="00A470FF" w:rsidRDefault="00DD6DBF" w:rsidP="003134B0">
            <w:pPr>
              <w:suppressAutoHyphens w:val="0"/>
              <w:spacing w:before="40" w:after="40" w:line="220" w:lineRule="exact"/>
              <w:rPr>
                <w:rFonts w:eastAsia="MS Mincho"/>
                <w:sz w:val="18"/>
                <w:szCs w:val="18"/>
                <w:lang w:eastAsia="ja-JP"/>
              </w:rPr>
            </w:pPr>
            <w:r w:rsidRPr="00A470FF">
              <w:rPr>
                <w:rFonts w:eastAsia="MS Mincho"/>
                <w:sz w:val="18"/>
                <w:szCs w:val="18"/>
                <w:lang w:eastAsia="ja-JP"/>
              </w:rPr>
              <w:t>3. Other</w:t>
            </w:r>
          </w:p>
        </w:tc>
        <w:tc>
          <w:tcPr>
            <w:tcW w:w="850" w:type="dxa"/>
            <w:tcBorders>
              <w:top w:val="nil"/>
              <w:bottom w:val="single" w:sz="8" w:space="0" w:color="auto"/>
            </w:tcBorders>
            <w:shd w:val="clear" w:color="auto" w:fill="auto"/>
            <w:noWrap/>
            <w:vAlign w:val="bottom"/>
          </w:tcPr>
          <w:p w14:paraId="6F3B9F68"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nil"/>
              <w:bottom w:val="single" w:sz="8" w:space="0" w:color="auto"/>
            </w:tcBorders>
            <w:shd w:val="clear" w:color="auto" w:fill="auto"/>
            <w:noWrap/>
            <w:vAlign w:val="bottom"/>
          </w:tcPr>
          <w:p w14:paraId="5D5F44E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993" w:type="dxa"/>
            <w:tcBorders>
              <w:top w:val="nil"/>
              <w:bottom w:val="single" w:sz="8" w:space="0" w:color="auto"/>
            </w:tcBorders>
          </w:tcPr>
          <w:p w14:paraId="2AE32FF4"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nil"/>
              <w:bottom w:val="single" w:sz="8" w:space="0" w:color="auto"/>
            </w:tcBorders>
          </w:tcPr>
          <w:p w14:paraId="68B37BE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nil"/>
              <w:bottom w:val="single" w:sz="8" w:space="0" w:color="auto"/>
            </w:tcBorders>
            <w:shd w:val="clear" w:color="auto" w:fill="auto"/>
            <w:vAlign w:val="bottom"/>
          </w:tcPr>
          <w:p w14:paraId="48A54C12"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nil"/>
              <w:bottom w:val="single" w:sz="8" w:space="0" w:color="auto"/>
            </w:tcBorders>
            <w:shd w:val="clear" w:color="auto" w:fill="auto"/>
            <w:vAlign w:val="bottom"/>
          </w:tcPr>
          <w:p w14:paraId="086431BF"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nil"/>
              <w:bottom w:val="single" w:sz="8" w:space="0" w:color="auto"/>
            </w:tcBorders>
            <w:shd w:val="clear" w:color="auto" w:fill="auto"/>
            <w:vAlign w:val="bottom"/>
          </w:tcPr>
          <w:p w14:paraId="06D532C0"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nil"/>
              <w:bottom w:val="single" w:sz="8" w:space="0" w:color="auto"/>
            </w:tcBorders>
            <w:shd w:val="clear" w:color="auto" w:fill="auto"/>
            <w:noWrap/>
            <w:vAlign w:val="bottom"/>
          </w:tcPr>
          <w:p w14:paraId="3C08925E"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nil"/>
              <w:bottom w:val="single" w:sz="8" w:space="0" w:color="auto"/>
            </w:tcBorders>
            <w:shd w:val="clear" w:color="auto" w:fill="auto"/>
            <w:noWrap/>
            <w:vAlign w:val="bottom"/>
          </w:tcPr>
          <w:p w14:paraId="2FE3F6D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r w:rsidR="00DD6DBF" w:rsidRPr="00A470FF" w14:paraId="4DDED207" w14:textId="77777777" w:rsidTr="00CF4258">
        <w:trPr>
          <w:trHeight w:val="240"/>
        </w:trPr>
        <w:tc>
          <w:tcPr>
            <w:tcW w:w="3828" w:type="dxa"/>
            <w:tcBorders>
              <w:top w:val="single" w:sz="8" w:space="0" w:color="auto"/>
              <w:bottom w:val="single" w:sz="12" w:space="0" w:color="auto"/>
            </w:tcBorders>
            <w:shd w:val="clear" w:color="auto" w:fill="auto"/>
            <w:noWrap/>
          </w:tcPr>
          <w:p w14:paraId="1C993E1D" w14:textId="77777777" w:rsidR="00DD6DBF" w:rsidRPr="00A470FF" w:rsidRDefault="00DD6DBF" w:rsidP="00597BF6">
            <w:pPr>
              <w:tabs>
                <w:tab w:val="left" w:pos="1682"/>
              </w:tabs>
              <w:suppressAutoHyphens w:val="0"/>
              <w:spacing w:before="40" w:after="40" w:line="220" w:lineRule="exact"/>
              <w:rPr>
                <w:rFonts w:eastAsia="Times New Roman"/>
                <w:b/>
                <w:sz w:val="18"/>
                <w:szCs w:val="18"/>
                <w:lang w:eastAsia="en-GB"/>
              </w:rPr>
            </w:pPr>
            <w:r w:rsidRPr="00A470FF">
              <w:rPr>
                <w:rFonts w:eastAsia="Times New Roman"/>
                <w:b/>
                <w:sz w:val="18"/>
                <w:szCs w:val="18"/>
                <w:lang w:eastAsia="en-GB"/>
              </w:rPr>
              <w:t>Subtotal</w:t>
            </w:r>
          </w:p>
        </w:tc>
        <w:tc>
          <w:tcPr>
            <w:tcW w:w="850" w:type="dxa"/>
            <w:tcBorders>
              <w:top w:val="single" w:sz="8" w:space="0" w:color="auto"/>
              <w:bottom w:val="single" w:sz="12" w:space="0" w:color="auto"/>
            </w:tcBorders>
            <w:shd w:val="clear" w:color="auto" w:fill="auto"/>
            <w:noWrap/>
            <w:vAlign w:val="bottom"/>
          </w:tcPr>
          <w:p w14:paraId="3DF09D0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12" w:space="0" w:color="auto"/>
            </w:tcBorders>
            <w:shd w:val="clear" w:color="auto" w:fill="auto"/>
            <w:noWrap/>
            <w:vAlign w:val="bottom"/>
          </w:tcPr>
          <w:p w14:paraId="52C4DBC0"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993" w:type="dxa"/>
            <w:tcBorders>
              <w:top w:val="single" w:sz="8" w:space="0" w:color="auto"/>
              <w:bottom w:val="single" w:sz="12" w:space="0" w:color="auto"/>
            </w:tcBorders>
          </w:tcPr>
          <w:p w14:paraId="652F3628"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12" w:space="0" w:color="auto"/>
            </w:tcBorders>
            <w:shd w:val="clear" w:color="auto" w:fill="FFFFFF"/>
          </w:tcPr>
          <w:p w14:paraId="5F3D7B7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single" w:sz="8" w:space="0" w:color="auto"/>
              <w:bottom w:val="single" w:sz="12" w:space="0" w:color="auto"/>
            </w:tcBorders>
            <w:shd w:val="clear" w:color="auto" w:fill="FFFFFF"/>
            <w:vAlign w:val="bottom"/>
          </w:tcPr>
          <w:p w14:paraId="54B66363"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single" w:sz="8" w:space="0" w:color="auto"/>
              <w:bottom w:val="single" w:sz="12" w:space="0" w:color="auto"/>
            </w:tcBorders>
            <w:shd w:val="clear" w:color="auto" w:fill="FFFFFF"/>
            <w:vAlign w:val="bottom"/>
          </w:tcPr>
          <w:p w14:paraId="740FC10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12" w:space="0" w:color="auto"/>
            </w:tcBorders>
            <w:shd w:val="clear" w:color="auto" w:fill="FFFFFF"/>
            <w:vAlign w:val="bottom"/>
          </w:tcPr>
          <w:p w14:paraId="1B6D113F"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single" w:sz="8" w:space="0" w:color="auto"/>
              <w:bottom w:val="single" w:sz="12" w:space="0" w:color="auto"/>
            </w:tcBorders>
            <w:shd w:val="clear" w:color="auto" w:fill="FFFFFF"/>
            <w:noWrap/>
            <w:vAlign w:val="bottom"/>
          </w:tcPr>
          <w:p w14:paraId="423B6059"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12" w:space="0" w:color="auto"/>
            </w:tcBorders>
            <w:shd w:val="clear" w:color="auto" w:fill="FFFFFF"/>
            <w:noWrap/>
            <w:vAlign w:val="bottom"/>
          </w:tcPr>
          <w:p w14:paraId="7AEC1497"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r w:rsidR="00DD6DBF" w:rsidRPr="00A470FF" w14:paraId="10BF0009" w14:textId="77777777" w:rsidTr="00CF4258">
        <w:trPr>
          <w:trHeight w:val="240"/>
        </w:trPr>
        <w:tc>
          <w:tcPr>
            <w:tcW w:w="3828" w:type="dxa"/>
            <w:tcBorders>
              <w:top w:val="single" w:sz="8" w:space="0" w:color="auto"/>
              <w:bottom w:val="single" w:sz="12" w:space="0" w:color="auto"/>
            </w:tcBorders>
            <w:shd w:val="clear" w:color="auto" w:fill="auto"/>
            <w:noWrap/>
          </w:tcPr>
          <w:p w14:paraId="782C230B" w14:textId="77777777" w:rsidR="00DD6DBF" w:rsidRPr="00A470FF" w:rsidRDefault="00DD6DBF" w:rsidP="00597BF6">
            <w:pPr>
              <w:tabs>
                <w:tab w:val="left" w:pos="1682"/>
              </w:tabs>
              <w:suppressAutoHyphens w:val="0"/>
              <w:spacing w:before="40" w:after="40" w:line="220" w:lineRule="exact"/>
              <w:rPr>
                <w:rFonts w:eastAsia="MS Mincho"/>
                <w:b/>
                <w:sz w:val="18"/>
                <w:szCs w:val="18"/>
                <w:lang w:eastAsia="ja-JP"/>
              </w:rPr>
            </w:pPr>
            <w:r w:rsidRPr="00A470FF">
              <w:rPr>
                <w:rFonts w:eastAsia="Times New Roman"/>
                <w:b/>
                <w:sz w:val="18"/>
                <w:szCs w:val="18"/>
                <w:lang w:eastAsia="en-GB"/>
              </w:rPr>
              <w:t>Total</w:t>
            </w:r>
          </w:p>
        </w:tc>
        <w:tc>
          <w:tcPr>
            <w:tcW w:w="850" w:type="dxa"/>
            <w:tcBorders>
              <w:top w:val="single" w:sz="8" w:space="0" w:color="auto"/>
              <w:bottom w:val="single" w:sz="12" w:space="0" w:color="auto"/>
            </w:tcBorders>
            <w:shd w:val="clear" w:color="auto" w:fill="auto"/>
            <w:noWrap/>
            <w:vAlign w:val="bottom"/>
          </w:tcPr>
          <w:p w14:paraId="5049484B"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12" w:space="0" w:color="auto"/>
            </w:tcBorders>
            <w:shd w:val="clear" w:color="auto" w:fill="auto"/>
            <w:noWrap/>
            <w:vAlign w:val="bottom"/>
          </w:tcPr>
          <w:p w14:paraId="26674348"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993" w:type="dxa"/>
            <w:tcBorders>
              <w:top w:val="single" w:sz="8" w:space="0" w:color="auto"/>
              <w:bottom w:val="single" w:sz="12" w:space="0" w:color="auto"/>
            </w:tcBorders>
          </w:tcPr>
          <w:p w14:paraId="628CF96C"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425" w:type="dxa"/>
            <w:tcBorders>
              <w:top w:val="single" w:sz="8" w:space="0" w:color="auto"/>
              <w:bottom w:val="single" w:sz="12" w:space="0" w:color="auto"/>
            </w:tcBorders>
            <w:shd w:val="clear" w:color="auto" w:fill="FFFFFF"/>
          </w:tcPr>
          <w:p w14:paraId="55497D06"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850" w:type="dxa"/>
            <w:tcBorders>
              <w:top w:val="single" w:sz="8" w:space="0" w:color="auto"/>
              <w:bottom w:val="single" w:sz="12" w:space="0" w:color="auto"/>
            </w:tcBorders>
            <w:shd w:val="clear" w:color="auto" w:fill="FFFFFF"/>
            <w:vAlign w:val="bottom"/>
          </w:tcPr>
          <w:p w14:paraId="7F4E3262"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709" w:type="dxa"/>
            <w:tcBorders>
              <w:top w:val="single" w:sz="8" w:space="0" w:color="auto"/>
              <w:bottom w:val="single" w:sz="12" w:space="0" w:color="auto"/>
            </w:tcBorders>
            <w:shd w:val="clear" w:color="auto" w:fill="FFFFFF"/>
            <w:vAlign w:val="bottom"/>
          </w:tcPr>
          <w:p w14:paraId="75EFC652"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12" w:space="0" w:color="auto"/>
            </w:tcBorders>
            <w:shd w:val="clear" w:color="auto" w:fill="FFFFFF"/>
            <w:vAlign w:val="bottom"/>
          </w:tcPr>
          <w:p w14:paraId="0A982736"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276" w:type="dxa"/>
            <w:tcBorders>
              <w:top w:val="single" w:sz="8" w:space="0" w:color="auto"/>
              <w:bottom w:val="single" w:sz="12" w:space="0" w:color="auto"/>
            </w:tcBorders>
            <w:shd w:val="clear" w:color="auto" w:fill="FFFFFF"/>
            <w:noWrap/>
            <w:vAlign w:val="bottom"/>
          </w:tcPr>
          <w:p w14:paraId="0A24F9FE"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c>
          <w:tcPr>
            <w:tcW w:w="1701" w:type="dxa"/>
            <w:tcBorders>
              <w:top w:val="single" w:sz="8" w:space="0" w:color="auto"/>
              <w:bottom w:val="single" w:sz="12" w:space="0" w:color="auto"/>
            </w:tcBorders>
            <w:shd w:val="clear" w:color="auto" w:fill="FFFFFF"/>
            <w:noWrap/>
            <w:vAlign w:val="bottom"/>
          </w:tcPr>
          <w:p w14:paraId="479741AA" w14:textId="77777777" w:rsidR="00DD6DBF" w:rsidRPr="00A470FF" w:rsidRDefault="00DD6DBF" w:rsidP="003134B0">
            <w:pPr>
              <w:suppressAutoHyphens w:val="0"/>
              <w:spacing w:before="40" w:after="40" w:line="220" w:lineRule="exact"/>
              <w:ind w:left="113"/>
              <w:jc w:val="right"/>
              <w:rPr>
                <w:rFonts w:eastAsia="Times New Roman"/>
                <w:sz w:val="18"/>
                <w:szCs w:val="18"/>
                <w:lang w:eastAsia="en-GB"/>
              </w:rPr>
            </w:pPr>
          </w:p>
        </w:tc>
      </w:tr>
    </w:tbl>
    <w:p w14:paraId="0A71149E" w14:textId="77777777" w:rsidR="00DD6DBF" w:rsidRPr="00A470FF" w:rsidRDefault="00DD6DBF" w:rsidP="00DD6DBF">
      <w:pPr>
        <w:spacing w:before="120" w:line="240" w:lineRule="auto"/>
        <w:ind w:firstLine="284"/>
        <w:jc w:val="both"/>
        <w:rPr>
          <w:rFonts w:eastAsia="MS Mincho"/>
          <w:i/>
          <w:sz w:val="18"/>
          <w:szCs w:val="18"/>
          <w:lang w:eastAsia="ja-JP"/>
        </w:rPr>
      </w:pPr>
      <w:r w:rsidRPr="00A470FF">
        <w:rPr>
          <w:rFonts w:eastAsia="MS Mincho"/>
          <w:i/>
          <w:sz w:val="18"/>
          <w:szCs w:val="18"/>
          <w:lang w:eastAsia="ja-JP"/>
        </w:rPr>
        <w:t>Note</w:t>
      </w:r>
      <w:r w:rsidRPr="00A470FF">
        <w:rPr>
          <w:rFonts w:eastAsia="MS Mincho"/>
          <w:sz w:val="18"/>
          <w:szCs w:val="18"/>
          <w:lang w:eastAsia="ja-JP"/>
        </w:rPr>
        <w:t>:</w:t>
      </w:r>
      <w:r w:rsidRPr="00A470FF">
        <w:rPr>
          <w:rFonts w:eastAsia="MS Mincho"/>
          <w:i/>
          <w:sz w:val="18"/>
          <w:szCs w:val="18"/>
          <w:lang w:eastAsia="ja-JP"/>
        </w:rPr>
        <w:t xml:space="preserve">  </w:t>
      </w:r>
      <w:r w:rsidRPr="00A470FF">
        <w:rPr>
          <w:rFonts w:eastAsia="MS Mincho"/>
          <w:sz w:val="18"/>
          <w:szCs w:val="18"/>
          <w:lang w:eastAsia="ja-JP"/>
        </w:rPr>
        <w:t>Explanation of numerical footnotes is provided in the documentation box after tables 7, 7(a) and 7(b).</w:t>
      </w:r>
    </w:p>
    <w:p w14:paraId="2F309F7B" w14:textId="43D8DC5F" w:rsidR="00DD6DBF" w:rsidRPr="00A470FF" w:rsidRDefault="00DD6DBF" w:rsidP="00DD6DBF">
      <w:pPr>
        <w:spacing w:line="240" w:lineRule="auto"/>
        <w:ind w:firstLine="284"/>
        <w:jc w:val="both"/>
        <w:rPr>
          <w:rFonts w:eastAsia="MS Mincho"/>
          <w:sz w:val="18"/>
          <w:szCs w:val="18"/>
          <w:lang w:eastAsia="ja-JP"/>
        </w:rPr>
      </w:pPr>
      <w:r w:rsidRPr="00A470FF">
        <w:rPr>
          <w:rFonts w:eastAsia="MS Mincho"/>
          <w:i/>
          <w:sz w:val="18"/>
          <w:szCs w:val="18"/>
          <w:lang w:eastAsia="ja-JP"/>
        </w:rPr>
        <w:t>Abbreviations</w:t>
      </w:r>
      <w:r w:rsidRPr="00A470FF">
        <w:rPr>
          <w:rFonts w:eastAsia="MS Mincho"/>
          <w:sz w:val="18"/>
          <w:szCs w:val="18"/>
          <w:lang w:eastAsia="ja-JP"/>
        </w:rPr>
        <w:t>:</w:t>
      </w:r>
      <w:r w:rsidRPr="00A470FF">
        <w:rPr>
          <w:rFonts w:eastAsia="MS Mincho"/>
          <w:i/>
          <w:sz w:val="18"/>
          <w:szCs w:val="18"/>
          <w:lang w:eastAsia="ja-JP"/>
        </w:rPr>
        <w:t xml:space="preserve"> </w:t>
      </w:r>
      <w:r w:rsidRPr="00A470FF">
        <w:rPr>
          <w:rFonts w:eastAsia="MS Mincho"/>
          <w:sz w:val="18"/>
          <w:szCs w:val="18"/>
          <w:lang w:eastAsia="ja-JP"/>
        </w:rPr>
        <w:t>ODA = official development assistance, OOF = other official flows, USD = United States dollars.</w:t>
      </w:r>
    </w:p>
    <w:p w14:paraId="7763005B" w14:textId="474E9515" w:rsidR="00DD6DBF" w:rsidRPr="00A470FF" w:rsidRDefault="00467704" w:rsidP="00467704">
      <w:pPr>
        <w:pStyle w:val="FootnoteTable"/>
        <w:ind w:firstLine="284"/>
        <w:rPr>
          <w:lang w:eastAsia="ja-JP"/>
        </w:rPr>
      </w:pPr>
      <w:r w:rsidRPr="00A470FF">
        <w:rPr>
          <w:i/>
          <w:vertAlign w:val="superscript"/>
          <w:lang w:eastAsia="ja-JP"/>
        </w:rPr>
        <w:t xml:space="preserve">a   </w:t>
      </w:r>
      <w:r w:rsidR="00DD6DBF" w:rsidRPr="00A470FF">
        <w:rPr>
          <w:rFonts w:eastAsia="MS Mincho"/>
          <w:szCs w:val="18"/>
          <w:lang w:eastAsia="ja-JP"/>
        </w:rPr>
        <w:t>Parties should fill in a separate table for each year, namely 20XX-3 and 20XX-2, where 20XX is the reporting year.</w:t>
      </w:r>
    </w:p>
    <w:p w14:paraId="2C11989F" w14:textId="2496C69F" w:rsidR="00DD6DBF" w:rsidRPr="00A470FF" w:rsidRDefault="00467704" w:rsidP="00467704">
      <w:pPr>
        <w:pStyle w:val="FootnoteTable"/>
        <w:ind w:right="111" w:firstLine="284"/>
        <w:rPr>
          <w:lang w:eastAsia="ja-JP"/>
        </w:rPr>
      </w:pPr>
      <w:r w:rsidRPr="00A470FF">
        <w:rPr>
          <w:i/>
          <w:vertAlign w:val="superscript"/>
          <w:lang w:eastAsia="ja-JP"/>
        </w:rPr>
        <w:t xml:space="preserve">b   </w:t>
      </w:r>
      <w:r w:rsidR="00DD6DBF" w:rsidRPr="00A470FF">
        <w:rPr>
          <w:lang w:eastAsia="ja-JP"/>
        </w:rPr>
        <w:t>Parties should explain, in their biennial reports, the methodologies used to specify the funds as disbursed and committed. Parties will provide the information for as many status categories as appropriate in the following order of priority: disbursed and committed.</w:t>
      </w:r>
    </w:p>
    <w:p w14:paraId="3A18E574" w14:textId="2BCAF7F2" w:rsidR="00DD6DBF" w:rsidRPr="00A470FF" w:rsidRDefault="00467704" w:rsidP="00467704">
      <w:pPr>
        <w:pStyle w:val="FootnoteTable"/>
        <w:ind w:firstLine="284"/>
        <w:rPr>
          <w:lang w:eastAsia="ja-JP"/>
        </w:rPr>
      </w:pPr>
      <w:r w:rsidRPr="00A470FF">
        <w:rPr>
          <w:i/>
          <w:vertAlign w:val="superscript"/>
          <w:lang w:eastAsia="ja-JP"/>
        </w:rPr>
        <w:t xml:space="preserve">c   </w:t>
      </w:r>
      <w:r w:rsidR="00DD6DBF" w:rsidRPr="00A470FF">
        <w:rPr>
          <w:rFonts w:eastAsia="MS Mincho"/>
          <w:szCs w:val="18"/>
          <w:lang w:eastAsia="ja-JP"/>
        </w:rPr>
        <w:t xml:space="preserve">Parties may select several applicable sectors. Parties may report sectoral distribution, as applicable, under “Other”. </w:t>
      </w:r>
    </w:p>
    <w:p w14:paraId="682756E0" w14:textId="17E0F2B0" w:rsidR="00DD6DBF" w:rsidRPr="00A470FF" w:rsidRDefault="00467704" w:rsidP="00467704">
      <w:pPr>
        <w:pStyle w:val="FootnoteTable"/>
        <w:ind w:left="114" w:right="-31" w:firstLine="170"/>
        <w:jc w:val="left"/>
      </w:pPr>
      <w:r w:rsidRPr="00A470FF">
        <w:rPr>
          <w:i/>
          <w:vertAlign w:val="superscript"/>
        </w:rPr>
        <w:t xml:space="preserve">d   </w:t>
      </w:r>
      <w:r w:rsidR="00DD6DBF" w:rsidRPr="00A470FF">
        <w:t>This refers to support to multilateral institutions that Parties cannot specify as being climate-specific.</w:t>
      </w:r>
    </w:p>
    <w:p w14:paraId="483CB102" w14:textId="602C2053" w:rsidR="00DD6DBF" w:rsidRPr="00A470FF" w:rsidRDefault="00467704" w:rsidP="00467704">
      <w:pPr>
        <w:pStyle w:val="FootnoteTable"/>
        <w:ind w:firstLine="284"/>
        <w:rPr>
          <w:lang w:eastAsia="ja-JP"/>
        </w:rPr>
      </w:pPr>
      <w:r w:rsidRPr="00A470FF">
        <w:rPr>
          <w:i/>
          <w:vertAlign w:val="superscript"/>
          <w:lang w:eastAsia="ja-JP"/>
        </w:rPr>
        <w:t xml:space="preserve">e   </w:t>
      </w:r>
      <w:r w:rsidR="00DD6DBF" w:rsidRPr="00A470FF">
        <w:rPr>
          <w:szCs w:val="18"/>
          <w:lang w:eastAsia="ja-JP"/>
        </w:rPr>
        <w:t>Parties should explain in their biennial reports how they define funds as being climate-specific.</w:t>
      </w:r>
    </w:p>
    <w:p w14:paraId="5B5F6733" w14:textId="35A042B6" w:rsidR="00DD6DBF" w:rsidRPr="00A470FF" w:rsidRDefault="00467704" w:rsidP="00467704">
      <w:pPr>
        <w:pStyle w:val="FootnoteTable"/>
        <w:ind w:firstLine="284"/>
        <w:rPr>
          <w:lang w:eastAsia="ja-JP"/>
        </w:rPr>
      </w:pPr>
      <w:r w:rsidRPr="00A470FF">
        <w:rPr>
          <w:i/>
          <w:vertAlign w:val="superscript"/>
          <w:lang w:eastAsia="ja-JP"/>
        </w:rPr>
        <w:t xml:space="preserve">f   </w:t>
      </w:r>
      <w:r w:rsidR="00DD6DBF" w:rsidRPr="00A470FF">
        <w:rPr>
          <w:lang w:eastAsia="ja-JP"/>
        </w:rPr>
        <w:t>Please specify.</w:t>
      </w:r>
    </w:p>
    <w:p w14:paraId="760708AF" w14:textId="60F86DFC" w:rsidR="00DD6DBF" w:rsidRPr="00A470FF" w:rsidRDefault="00467704" w:rsidP="00467704">
      <w:pPr>
        <w:pStyle w:val="FootnoteTable"/>
        <w:ind w:firstLine="284"/>
        <w:rPr>
          <w:lang w:eastAsia="ja-JP"/>
        </w:rPr>
      </w:pPr>
      <w:r w:rsidRPr="00A470FF">
        <w:rPr>
          <w:i/>
          <w:vertAlign w:val="superscript"/>
          <w:lang w:eastAsia="ja-JP"/>
        </w:rPr>
        <w:t xml:space="preserve">g   </w:t>
      </w:r>
      <w:r w:rsidR="00DD6DBF" w:rsidRPr="00A470FF">
        <w:rPr>
          <w:lang w:eastAsia="ja-JP"/>
        </w:rPr>
        <w:t>This refers to funding for activities that are cross-cutting across mitigation and adaptation.</w:t>
      </w:r>
    </w:p>
    <w:p w14:paraId="1E8EFE09" w14:textId="5A38B4D7" w:rsidR="00CE0B79" w:rsidRPr="00A470FF" w:rsidRDefault="00CE0B79" w:rsidP="002B2597">
      <w:pPr>
        <w:pStyle w:val="FootnoteTable"/>
        <w:ind w:left="284"/>
        <w:rPr>
          <w:lang w:eastAsia="ja-JP"/>
        </w:rPr>
      </w:pPr>
    </w:p>
    <w:p w14:paraId="1E8EFE0A" w14:textId="77777777" w:rsidR="00CE0B79" w:rsidRPr="00A470FF" w:rsidRDefault="00CE0B79" w:rsidP="00CE0B79">
      <w:pPr>
        <w:spacing w:line="240" w:lineRule="auto"/>
        <w:jc w:val="both"/>
        <w:rPr>
          <w:rFonts w:eastAsia="MS Mincho"/>
          <w:lang w:eastAsia="ja-JP"/>
        </w:rPr>
      </w:pPr>
      <w:r w:rsidRPr="00A470FF">
        <w:rPr>
          <w:rFonts w:eastAsia="MS Mincho"/>
          <w:lang w:eastAsia="ja-JP"/>
        </w:rPr>
        <w:br w:type="page"/>
      </w:r>
      <w:r w:rsidRPr="00A470FF">
        <w:rPr>
          <w:rFonts w:eastAsia="MS Mincho"/>
          <w:lang w:eastAsia="ja-JP"/>
        </w:rPr>
        <w:lastRenderedPageBreak/>
        <w:t xml:space="preserve">Table 7(b) </w:t>
      </w:r>
    </w:p>
    <w:p w14:paraId="697F0B3F" w14:textId="77777777" w:rsidR="00AD18B4" w:rsidRPr="00A470FF" w:rsidRDefault="00AD18B4" w:rsidP="00AD18B4">
      <w:pPr>
        <w:pStyle w:val="SingleTxtG"/>
        <w:ind w:left="0"/>
        <w:rPr>
          <w:rFonts w:eastAsia="MS Mincho"/>
          <w:b/>
        </w:rPr>
      </w:pPr>
      <w:r w:rsidRPr="00A470FF">
        <w:rPr>
          <w:rFonts w:eastAsia="MS Mincho"/>
          <w:b/>
        </w:rPr>
        <w:t>Provision of public financial support: contribution through bilateral, regional and other channels in 20XX-3</w:t>
      </w:r>
      <w:r w:rsidRPr="00A470FF">
        <w:rPr>
          <w:rFonts w:eastAsia="MS Mincho"/>
          <w:i/>
          <w:sz w:val="18"/>
          <w:szCs w:val="18"/>
          <w:vertAlign w:val="superscript"/>
        </w:rPr>
        <w:t>a</w:t>
      </w:r>
    </w:p>
    <w:tbl>
      <w:tblPr>
        <w:tblW w:w="12474" w:type="dxa"/>
        <w:tblBorders>
          <w:top w:val="single" w:sz="4" w:space="0" w:color="auto"/>
        </w:tblBorders>
        <w:tblLayout w:type="fixed"/>
        <w:tblCellMar>
          <w:left w:w="0" w:type="dxa"/>
          <w:right w:w="0" w:type="dxa"/>
        </w:tblCellMar>
        <w:tblLook w:val="00A0" w:firstRow="1" w:lastRow="0" w:firstColumn="1" w:lastColumn="0" w:noHBand="0" w:noVBand="0"/>
      </w:tblPr>
      <w:tblGrid>
        <w:gridCol w:w="1785"/>
        <w:gridCol w:w="1637"/>
        <w:gridCol w:w="856"/>
        <w:gridCol w:w="765"/>
        <w:gridCol w:w="1088"/>
        <w:gridCol w:w="712"/>
        <w:gridCol w:w="1426"/>
        <w:gridCol w:w="1142"/>
        <w:gridCol w:w="1995"/>
        <w:gridCol w:w="1068"/>
      </w:tblGrid>
      <w:tr w:rsidR="00AD18B4" w:rsidRPr="00A470FF" w14:paraId="2A8E3138" w14:textId="77777777" w:rsidTr="006C2311">
        <w:trPr>
          <w:trHeight w:val="240"/>
          <w:tblHeader/>
        </w:trPr>
        <w:tc>
          <w:tcPr>
            <w:tcW w:w="3402" w:type="dxa"/>
            <w:gridSpan w:val="2"/>
            <w:vMerge w:val="restart"/>
            <w:tcBorders>
              <w:top w:val="single" w:sz="4" w:space="0" w:color="auto"/>
            </w:tcBorders>
            <w:shd w:val="clear" w:color="auto" w:fill="auto"/>
            <w:vAlign w:val="center"/>
          </w:tcPr>
          <w:p w14:paraId="49DF5FE7" w14:textId="77777777" w:rsidR="00AD18B4" w:rsidRPr="00A470FF" w:rsidRDefault="00AD18B4" w:rsidP="003134B0">
            <w:pPr>
              <w:suppressAutoHyphens w:val="0"/>
              <w:spacing w:before="80" w:after="80" w:line="200" w:lineRule="exact"/>
              <w:rPr>
                <w:rFonts w:eastAsia="Times New Roman"/>
                <w:i/>
                <w:sz w:val="16"/>
                <w:szCs w:val="16"/>
                <w:lang w:eastAsia="en-GB"/>
              </w:rPr>
            </w:pPr>
            <w:r w:rsidRPr="00A470FF">
              <w:rPr>
                <w:rFonts w:eastAsia="Times New Roman"/>
                <w:i/>
                <w:sz w:val="16"/>
                <w:szCs w:val="16"/>
                <w:lang w:eastAsia="en-GB"/>
              </w:rPr>
              <w:t>Recipient country/</w:t>
            </w:r>
            <w:r w:rsidRPr="00A470FF">
              <w:rPr>
                <w:rFonts w:eastAsia="Times New Roman"/>
                <w:i/>
                <w:sz w:val="16"/>
                <w:szCs w:val="16"/>
                <w:lang w:eastAsia="en-GB"/>
              </w:rPr>
              <w:br/>
              <w:t>region/project/programme/activity</w:t>
            </w:r>
            <w:r w:rsidRPr="006C2311">
              <w:rPr>
                <w:rFonts w:eastAsia="Times New Roman"/>
                <w:i/>
                <w:sz w:val="18"/>
                <w:szCs w:val="16"/>
                <w:vertAlign w:val="superscript"/>
                <w:lang w:eastAsia="en-GB"/>
              </w:rPr>
              <w:t>b</w:t>
            </w:r>
          </w:p>
        </w:tc>
        <w:tc>
          <w:tcPr>
            <w:tcW w:w="1612" w:type="dxa"/>
            <w:gridSpan w:val="2"/>
            <w:tcBorders>
              <w:top w:val="single" w:sz="4" w:space="0" w:color="auto"/>
              <w:bottom w:val="single" w:sz="2" w:space="0" w:color="auto"/>
            </w:tcBorders>
            <w:shd w:val="clear" w:color="auto" w:fill="auto"/>
            <w:noWrap/>
          </w:tcPr>
          <w:p w14:paraId="196F0FF7" w14:textId="77777777" w:rsidR="00AD18B4" w:rsidRPr="00A470FF" w:rsidRDefault="00AD18B4" w:rsidP="003134B0">
            <w:pPr>
              <w:suppressAutoHyphens w:val="0"/>
              <w:spacing w:before="80" w:after="80" w:line="200" w:lineRule="exact"/>
              <w:ind w:left="113"/>
              <w:jc w:val="center"/>
              <w:rPr>
                <w:rFonts w:eastAsia="Times New Roman"/>
                <w:i/>
                <w:sz w:val="16"/>
                <w:szCs w:val="16"/>
                <w:lang w:eastAsia="en-GB"/>
              </w:rPr>
            </w:pPr>
            <w:r w:rsidRPr="00A470FF">
              <w:rPr>
                <w:rFonts w:eastAsia="Times New Roman"/>
                <w:i/>
                <w:sz w:val="16"/>
                <w:szCs w:val="16"/>
                <w:lang w:eastAsia="en-GB"/>
              </w:rPr>
              <w:t>Total amount</w:t>
            </w:r>
          </w:p>
        </w:tc>
        <w:tc>
          <w:tcPr>
            <w:tcW w:w="1082" w:type="dxa"/>
            <w:tcBorders>
              <w:top w:val="single" w:sz="4" w:space="0" w:color="auto"/>
              <w:bottom w:val="single" w:sz="4" w:space="0" w:color="auto"/>
            </w:tcBorders>
            <w:shd w:val="clear" w:color="auto" w:fill="auto"/>
          </w:tcPr>
          <w:p w14:paraId="54C4318C" w14:textId="77777777" w:rsidR="00AD18B4" w:rsidRPr="00A470FF" w:rsidRDefault="00AD18B4"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Status</w:t>
            </w:r>
            <w:r w:rsidRPr="006C2311">
              <w:rPr>
                <w:rFonts w:eastAsia="Times New Roman"/>
                <w:i/>
                <w:sz w:val="18"/>
                <w:szCs w:val="16"/>
                <w:vertAlign w:val="superscript"/>
                <w:lang w:eastAsia="en-GB"/>
              </w:rPr>
              <w:t>c, 3</w:t>
            </w:r>
          </w:p>
        </w:tc>
        <w:tc>
          <w:tcPr>
            <w:tcW w:w="708" w:type="dxa"/>
            <w:tcBorders>
              <w:top w:val="single" w:sz="4" w:space="0" w:color="auto"/>
              <w:bottom w:val="single" w:sz="2" w:space="0" w:color="auto"/>
            </w:tcBorders>
            <w:shd w:val="clear" w:color="auto" w:fill="auto"/>
          </w:tcPr>
          <w:p w14:paraId="05ADB841" w14:textId="77777777" w:rsidR="00AD18B4" w:rsidRPr="00A470FF" w:rsidRDefault="00AD18B4"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Funding source</w:t>
            </w:r>
            <w:r w:rsidRPr="006C2311">
              <w:rPr>
                <w:rFonts w:eastAsia="Times New Roman"/>
                <w:i/>
                <w:sz w:val="18"/>
                <w:szCs w:val="16"/>
                <w:vertAlign w:val="superscript"/>
                <w:lang w:eastAsia="en-GB"/>
              </w:rPr>
              <w:t>4</w:t>
            </w:r>
          </w:p>
        </w:tc>
        <w:tc>
          <w:tcPr>
            <w:tcW w:w="1418" w:type="dxa"/>
            <w:tcBorders>
              <w:top w:val="single" w:sz="4" w:space="0" w:color="auto"/>
              <w:bottom w:val="single" w:sz="2" w:space="0" w:color="auto"/>
            </w:tcBorders>
            <w:shd w:val="clear" w:color="auto" w:fill="auto"/>
          </w:tcPr>
          <w:p w14:paraId="74825AC5" w14:textId="77777777" w:rsidR="00AD18B4" w:rsidRPr="00A470FF" w:rsidRDefault="00AD18B4" w:rsidP="003134B0">
            <w:pPr>
              <w:suppressAutoHyphens w:val="0"/>
              <w:spacing w:before="80" w:after="80" w:line="200" w:lineRule="exact"/>
              <w:ind w:left="113"/>
              <w:jc w:val="center"/>
              <w:rPr>
                <w:rFonts w:eastAsia="Times New Roman"/>
                <w:i/>
                <w:sz w:val="16"/>
                <w:szCs w:val="16"/>
                <w:lang w:eastAsia="en-GB"/>
              </w:rPr>
            </w:pPr>
            <w:r w:rsidRPr="00A470FF">
              <w:rPr>
                <w:rFonts w:eastAsia="Times New Roman"/>
                <w:i/>
                <w:sz w:val="16"/>
                <w:szCs w:val="16"/>
                <w:lang w:eastAsia="en-GB"/>
              </w:rPr>
              <w:t>Financial instrument</w:t>
            </w:r>
            <w:r w:rsidRPr="006C2311">
              <w:rPr>
                <w:rFonts w:eastAsia="Times New Roman"/>
                <w:i/>
                <w:sz w:val="18"/>
                <w:szCs w:val="16"/>
                <w:vertAlign w:val="superscript"/>
                <w:lang w:eastAsia="en-GB"/>
              </w:rPr>
              <w:t>5</w:t>
            </w:r>
          </w:p>
        </w:tc>
        <w:tc>
          <w:tcPr>
            <w:tcW w:w="1135" w:type="dxa"/>
            <w:tcBorders>
              <w:top w:val="single" w:sz="4" w:space="0" w:color="auto"/>
              <w:bottom w:val="single" w:sz="2" w:space="0" w:color="auto"/>
            </w:tcBorders>
            <w:shd w:val="clear" w:color="auto" w:fill="auto"/>
          </w:tcPr>
          <w:p w14:paraId="47E12A82" w14:textId="77777777" w:rsidR="00AD18B4" w:rsidRPr="00A470FF" w:rsidRDefault="00AD18B4"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Type of</w:t>
            </w:r>
            <w:r w:rsidRPr="00A470FF">
              <w:rPr>
                <w:rFonts w:eastAsia="Times New Roman"/>
                <w:i/>
                <w:sz w:val="16"/>
                <w:szCs w:val="16"/>
                <w:lang w:eastAsia="en-GB"/>
              </w:rPr>
              <w:br/>
              <w:t xml:space="preserve"> support</w:t>
            </w:r>
            <w:r w:rsidRPr="006C2311">
              <w:rPr>
                <w:rFonts w:eastAsia="Times New Roman"/>
                <w:i/>
                <w:sz w:val="18"/>
                <w:szCs w:val="16"/>
                <w:vertAlign w:val="superscript"/>
                <w:lang w:eastAsia="en-GB"/>
              </w:rPr>
              <w:t>6</w:t>
            </w:r>
          </w:p>
        </w:tc>
        <w:tc>
          <w:tcPr>
            <w:tcW w:w="1983" w:type="dxa"/>
            <w:tcBorders>
              <w:top w:val="single" w:sz="4" w:space="0" w:color="auto"/>
              <w:bottom w:val="single" w:sz="2" w:space="0" w:color="auto"/>
            </w:tcBorders>
            <w:shd w:val="clear" w:color="auto" w:fill="auto"/>
            <w:noWrap/>
          </w:tcPr>
          <w:p w14:paraId="24288922" w14:textId="6DC1FC20" w:rsidR="00AD18B4" w:rsidRPr="00A470FF" w:rsidRDefault="00AD18B4" w:rsidP="003134B0">
            <w:pPr>
              <w:suppressAutoHyphens w:val="0"/>
              <w:spacing w:before="80" w:after="80" w:line="200" w:lineRule="exact"/>
              <w:ind w:left="113"/>
              <w:jc w:val="center"/>
              <w:rPr>
                <w:rFonts w:eastAsia="Times New Roman"/>
                <w:i/>
                <w:sz w:val="16"/>
                <w:szCs w:val="16"/>
                <w:vertAlign w:val="superscript"/>
                <w:lang w:eastAsia="en-GB"/>
              </w:rPr>
            </w:pPr>
            <w:r w:rsidRPr="00A470FF">
              <w:rPr>
                <w:rFonts w:eastAsia="Times New Roman"/>
                <w:i/>
                <w:sz w:val="16"/>
                <w:szCs w:val="16"/>
                <w:lang w:eastAsia="en-GB"/>
              </w:rPr>
              <w:t>Secto</w:t>
            </w:r>
            <w:r w:rsidR="006C2311">
              <w:rPr>
                <w:rFonts w:eastAsia="Times New Roman"/>
                <w:i/>
                <w:sz w:val="16"/>
                <w:szCs w:val="16"/>
                <w:lang w:eastAsia="en-GB"/>
              </w:rPr>
              <w:t>r</w:t>
            </w:r>
            <w:r w:rsidRPr="006C2311">
              <w:rPr>
                <w:rFonts w:eastAsia="Times New Roman"/>
                <w:i/>
                <w:sz w:val="18"/>
                <w:szCs w:val="16"/>
                <w:vertAlign w:val="superscript"/>
                <w:lang w:eastAsia="en-GB"/>
              </w:rPr>
              <w:t>d, 7</w:t>
            </w:r>
          </w:p>
        </w:tc>
        <w:tc>
          <w:tcPr>
            <w:tcW w:w="1062" w:type="dxa"/>
            <w:tcBorders>
              <w:top w:val="single" w:sz="4" w:space="0" w:color="auto"/>
              <w:bottom w:val="single" w:sz="2" w:space="0" w:color="auto"/>
            </w:tcBorders>
          </w:tcPr>
          <w:p w14:paraId="422190E7" w14:textId="77777777" w:rsidR="00AD18B4" w:rsidRPr="00A470FF" w:rsidRDefault="00AD18B4" w:rsidP="003134B0">
            <w:pPr>
              <w:suppressAutoHyphens w:val="0"/>
              <w:spacing w:before="80" w:after="80" w:line="200" w:lineRule="exact"/>
              <w:ind w:left="113"/>
              <w:jc w:val="center"/>
              <w:rPr>
                <w:rFonts w:eastAsia="Times New Roman"/>
                <w:i/>
                <w:sz w:val="16"/>
                <w:szCs w:val="16"/>
                <w:lang w:eastAsia="en-GB"/>
              </w:rPr>
            </w:pPr>
            <w:r w:rsidRPr="00A470FF">
              <w:rPr>
                <w:rFonts w:eastAsia="Times New Roman"/>
                <w:i/>
                <w:sz w:val="16"/>
                <w:szCs w:val="16"/>
                <w:lang w:eastAsia="en-GB"/>
              </w:rPr>
              <w:t>Additional</w:t>
            </w:r>
          </w:p>
          <w:p w14:paraId="1CC0C690" w14:textId="77777777" w:rsidR="00AD18B4" w:rsidRPr="00A470FF" w:rsidRDefault="00AD18B4" w:rsidP="003134B0">
            <w:pPr>
              <w:suppressAutoHyphens w:val="0"/>
              <w:spacing w:before="80" w:after="80" w:line="200" w:lineRule="exact"/>
              <w:ind w:left="113"/>
              <w:jc w:val="center"/>
              <w:rPr>
                <w:rFonts w:eastAsia="Times New Roman"/>
                <w:i/>
                <w:sz w:val="16"/>
                <w:szCs w:val="16"/>
                <w:lang w:eastAsia="en-GB"/>
              </w:rPr>
            </w:pPr>
            <w:r w:rsidRPr="00A470FF">
              <w:rPr>
                <w:rFonts w:eastAsia="Times New Roman"/>
                <w:i/>
                <w:sz w:val="16"/>
                <w:szCs w:val="16"/>
                <w:lang w:eastAsia="en-GB"/>
              </w:rPr>
              <w:t>Information</w:t>
            </w:r>
            <w:r w:rsidRPr="006C2311">
              <w:rPr>
                <w:rFonts w:eastAsia="Times New Roman"/>
                <w:i/>
                <w:sz w:val="18"/>
                <w:szCs w:val="16"/>
                <w:vertAlign w:val="superscript"/>
                <w:lang w:eastAsia="en-GB"/>
              </w:rPr>
              <w:t>e</w:t>
            </w:r>
          </w:p>
        </w:tc>
      </w:tr>
      <w:tr w:rsidR="00AD18B4" w:rsidRPr="00A470FF" w14:paraId="3F18397C" w14:textId="77777777" w:rsidTr="006C2311">
        <w:trPr>
          <w:trHeight w:val="459"/>
          <w:tblHeader/>
        </w:trPr>
        <w:tc>
          <w:tcPr>
            <w:tcW w:w="3402" w:type="dxa"/>
            <w:gridSpan w:val="2"/>
            <w:vMerge/>
            <w:shd w:val="clear" w:color="auto" w:fill="auto"/>
            <w:vAlign w:val="bottom"/>
          </w:tcPr>
          <w:p w14:paraId="2C02FFF2" w14:textId="77777777" w:rsidR="00AD18B4" w:rsidRPr="00A470FF" w:rsidRDefault="00AD18B4" w:rsidP="003134B0">
            <w:pPr>
              <w:suppressAutoHyphens w:val="0"/>
              <w:spacing w:before="40" w:after="40" w:line="220" w:lineRule="exact"/>
              <w:jc w:val="center"/>
              <w:rPr>
                <w:rFonts w:eastAsia="Times New Roman"/>
                <w:i/>
                <w:sz w:val="16"/>
                <w:szCs w:val="16"/>
                <w:lang w:eastAsia="en-GB"/>
              </w:rPr>
            </w:pPr>
          </w:p>
        </w:tc>
        <w:tc>
          <w:tcPr>
            <w:tcW w:w="1612" w:type="dxa"/>
            <w:gridSpan w:val="2"/>
            <w:tcBorders>
              <w:top w:val="single" w:sz="2" w:space="0" w:color="auto"/>
              <w:bottom w:val="single" w:sz="4" w:space="0" w:color="auto"/>
            </w:tcBorders>
          </w:tcPr>
          <w:p w14:paraId="0A21AF26"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Climate-specific</w:t>
            </w:r>
            <w:r w:rsidRPr="006C2311">
              <w:rPr>
                <w:rFonts w:eastAsia="Times New Roman"/>
                <w:i/>
                <w:sz w:val="18"/>
                <w:szCs w:val="16"/>
                <w:vertAlign w:val="superscript"/>
                <w:lang w:eastAsia="en-GB"/>
              </w:rPr>
              <w:t>f, 2</w:t>
            </w:r>
          </w:p>
        </w:tc>
        <w:tc>
          <w:tcPr>
            <w:tcW w:w="1082" w:type="dxa"/>
            <w:vMerge w:val="restart"/>
            <w:tcBorders>
              <w:top w:val="single" w:sz="4" w:space="0" w:color="auto"/>
            </w:tcBorders>
            <w:shd w:val="clear" w:color="auto" w:fill="auto"/>
          </w:tcPr>
          <w:p w14:paraId="4948FC2D" w14:textId="77777777" w:rsidR="00AD18B4" w:rsidRPr="00A470FF" w:rsidRDefault="00AD18B4" w:rsidP="003134B0">
            <w:pPr>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br/>
              <w:t>Committed</w:t>
            </w:r>
            <w:r w:rsidRPr="00A470FF">
              <w:rPr>
                <w:rFonts w:eastAsia="Times New Roman"/>
                <w:i/>
                <w:sz w:val="16"/>
                <w:szCs w:val="16"/>
                <w:lang w:eastAsia="en-GB"/>
              </w:rPr>
              <w:br/>
            </w:r>
          </w:p>
          <w:p w14:paraId="0FFF2D1B" w14:textId="77777777" w:rsidR="00AD18B4" w:rsidRPr="00A470FF" w:rsidRDefault="00AD18B4" w:rsidP="003134B0">
            <w:pPr>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Disbursed</w:t>
            </w:r>
          </w:p>
        </w:tc>
        <w:tc>
          <w:tcPr>
            <w:tcW w:w="708" w:type="dxa"/>
            <w:vMerge w:val="restart"/>
            <w:tcBorders>
              <w:top w:val="single" w:sz="2" w:space="0" w:color="auto"/>
            </w:tcBorders>
            <w:shd w:val="clear" w:color="auto" w:fill="auto"/>
          </w:tcPr>
          <w:p w14:paraId="4B7227B8"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ODA</w:t>
            </w:r>
            <w:r w:rsidRPr="00A470FF">
              <w:rPr>
                <w:rFonts w:eastAsia="MS Mincho"/>
                <w:i/>
                <w:sz w:val="16"/>
                <w:szCs w:val="16"/>
                <w:lang w:eastAsia="fi-FI"/>
              </w:rPr>
              <w:br/>
            </w:r>
            <w:r w:rsidRPr="00A470FF">
              <w:rPr>
                <w:rFonts w:eastAsia="Times New Roman"/>
                <w:i/>
                <w:sz w:val="16"/>
                <w:szCs w:val="16"/>
                <w:lang w:eastAsia="en-GB"/>
              </w:rPr>
              <w:t>OOF</w:t>
            </w:r>
            <w:r w:rsidRPr="00A470FF">
              <w:rPr>
                <w:rFonts w:eastAsia="MS Mincho"/>
                <w:i/>
                <w:sz w:val="16"/>
                <w:szCs w:val="16"/>
                <w:lang w:eastAsia="fi-FI"/>
              </w:rPr>
              <w:br/>
            </w:r>
            <w:r w:rsidRPr="00A470FF">
              <w:rPr>
                <w:rFonts w:eastAsia="Times New Roman"/>
                <w:i/>
                <w:sz w:val="16"/>
                <w:szCs w:val="16"/>
                <w:lang w:eastAsia="en-GB"/>
              </w:rPr>
              <w:t>Other</w:t>
            </w:r>
            <w:r w:rsidRPr="006C2311">
              <w:rPr>
                <w:rFonts w:eastAsia="Times New Roman"/>
                <w:i/>
                <w:sz w:val="18"/>
                <w:szCs w:val="16"/>
                <w:vertAlign w:val="superscript"/>
                <w:lang w:eastAsia="en-GB"/>
              </w:rPr>
              <w:t>g</w:t>
            </w:r>
          </w:p>
        </w:tc>
        <w:tc>
          <w:tcPr>
            <w:tcW w:w="1418" w:type="dxa"/>
            <w:vMerge w:val="restart"/>
            <w:tcBorders>
              <w:top w:val="single" w:sz="2" w:space="0" w:color="auto"/>
            </w:tcBorders>
            <w:shd w:val="clear" w:color="auto" w:fill="auto"/>
          </w:tcPr>
          <w:p w14:paraId="756A9F8C"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Grant</w:t>
            </w:r>
            <w:r w:rsidRPr="00A470FF">
              <w:rPr>
                <w:rFonts w:eastAsia="MS Mincho"/>
                <w:i/>
                <w:sz w:val="16"/>
                <w:szCs w:val="16"/>
                <w:lang w:eastAsia="fi-FI"/>
              </w:rPr>
              <w:br/>
            </w:r>
            <w:r w:rsidRPr="00A470FF">
              <w:rPr>
                <w:rFonts w:eastAsia="Times New Roman"/>
                <w:i/>
                <w:sz w:val="16"/>
                <w:szCs w:val="16"/>
                <w:lang w:eastAsia="en-GB"/>
              </w:rPr>
              <w:t>Concessional loan</w:t>
            </w:r>
          </w:p>
          <w:p w14:paraId="1677B8AB"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Non-concessional loan</w:t>
            </w:r>
          </w:p>
          <w:p w14:paraId="09F446E0"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Equity</w:t>
            </w:r>
            <w:r w:rsidRPr="00A470FF">
              <w:rPr>
                <w:rFonts w:eastAsia="MS Mincho"/>
                <w:i/>
                <w:sz w:val="16"/>
                <w:szCs w:val="16"/>
                <w:lang w:eastAsia="fi-FI"/>
              </w:rPr>
              <w:br/>
            </w:r>
            <w:r w:rsidRPr="00A470FF">
              <w:rPr>
                <w:rFonts w:eastAsia="Times New Roman"/>
                <w:i/>
                <w:sz w:val="16"/>
                <w:szCs w:val="16"/>
                <w:lang w:eastAsia="en-GB"/>
              </w:rPr>
              <w:t>Other</w:t>
            </w:r>
            <w:r w:rsidRPr="006C2311">
              <w:rPr>
                <w:rFonts w:eastAsia="Times New Roman"/>
                <w:i/>
                <w:sz w:val="18"/>
                <w:szCs w:val="16"/>
                <w:vertAlign w:val="superscript"/>
                <w:lang w:eastAsia="en-GB"/>
              </w:rPr>
              <w:t>g</w:t>
            </w:r>
          </w:p>
        </w:tc>
        <w:tc>
          <w:tcPr>
            <w:tcW w:w="1135" w:type="dxa"/>
            <w:vMerge w:val="restart"/>
            <w:tcBorders>
              <w:top w:val="single" w:sz="2" w:space="0" w:color="auto"/>
            </w:tcBorders>
            <w:shd w:val="clear" w:color="auto" w:fill="auto"/>
            <w:noWrap/>
          </w:tcPr>
          <w:p w14:paraId="7B4FAF2D" w14:textId="77777777" w:rsidR="00AD18B4" w:rsidRPr="00A470FF" w:rsidRDefault="00AD18B4" w:rsidP="003134B0">
            <w:pPr>
              <w:suppressAutoHyphens w:val="0"/>
              <w:spacing w:before="40" w:after="40" w:line="220" w:lineRule="exact"/>
              <w:ind w:left="113"/>
              <w:jc w:val="center"/>
              <w:rPr>
                <w:rFonts w:eastAsia="MS Mincho"/>
                <w:i/>
                <w:sz w:val="16"/>
                <w:szCs w:val="16"/>
                <w:lang w:eastAsia="fi-FI"/>
              </w:rPr>
            </w:pPr>
            <w:r w:rsidRPr="00A470FF">
              <w:rPr>
                <w:rFonts w:eastAsia="Times New Roman"/>
                <w:i/>
                <w:sz w:val="16"/>
                <w:szCs w:val="16"/>
                <w:lang w:eastAsia="en-GB"/>
              </w:rPr>
              <w:t>Mitigation</w:t>
            </w:r>
            <w:r w:rsidRPr="00A470FF">
              <w:rPr>
                <w:rFonts w:eastAsia="MS Mincho"/>
                <w:i/>
                <w:sz w:val="16"/>
                <w:szCs w:val="16"/>
                <w:lang w:eastAsia="fi-FI"/>
              </w:rPr>
              <w:br/>
            </w:r>
            <w:r w:rsidRPr="00A470FF">
              <w:rPr>
                <w:rFonts w:eastAsia="Times New Roman"/>
                <w:i/>
                <w:sz w:val="16"/>
                <w:szCs w:val="16"/>
                <w:lang w:eastAsia="en-GB"/>
              </w:rPr>
              <w:t>Adaptation</w:t>
            </w:r>
            <w:r w:rsidRPr="00A470FF">
              <w:rPr>
                <w:rFonts w:eastAsia="Times New Roman"/>
                <w:i/>
                <w:sz w:val="16"/>
                <w:szCs w:val="16"/>
                <w:lang w:eastAsia="en-GB"/>
              </w:rPr>
              <w:br/>
            </w:r>
            <w:r w:rsidRPr="00A470FF">
              <w:rPr>
                <w:rFonts w:eastAsia="MS Mincho"/>
                <w:i/>
                <w:sz w:val="16"/>
                <w:szCs w:val="16"/>
                <w:lang w:eastAsia="fi-FI"/>
              </w:rPr>
              <w:t>Cross-cutting</w:t>
            </w:r>
            <w:r w:rsidRPr="006C2311">
              <w:rPr>
                <w:rFonts w:eastAsia="MS Mincho"/>
                <w:i/>
                <w:sz w:val="18"/>
                <w:szCs w:val="16"/>
                <w:vertAlign w:val="superscript"/>
                <w:lang w:eastAsia="fi-FI"/>
              </w:rPr>
              <w:t>h</w:t>
            </w:r>
          </w:p>
          <w:p w14:paraId="3B004D34"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Other</w:t>
            </w:r>
            <w:r w:rsidRPr="006C2311">
              <w:rPr>
                <w:rFonts w:eastAsia="Times New Roman"/>
                <w:i/>
                <w:sz w:val="18"/>
                <w:szCs w:val="16"/>
                <w:vertAlign w:val="superscript"/>
                <w:lang w:eastAsia="en-GB"/>
              </w:rPr>
              <w:t>g</w:t>
            </w:r>
          </w:p>
        </w:tc>
        <w:tc>
          <w:tcPr>
            <w:tcW w:w="1983" w:type="dxa"/>
            <w:vMerge w:val="restart"/>
            <w:tcBorders>
              <w:top w:val="single" w:sz="2" w:space="0" w:color="auto"/>
            </w:tcBorders>
            <w:shd w:val="clear" w:color="auto" w:fill="auto"/>
          </w:tcPr>
          <w:p w14:paraId="159EA779"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Energy</w:t>
            </w:r>
            <w:r w:rsidRPr="00A470FF">
              <w:rPr>
                <w:rFonts w:eastAsia="MS Mincho"/>
                <w:i/>
                <w:sz w:val="16"/>
                <w:szCs w:val="16"/>
                <w:lang w:eastAsia="fi-FI"/>
              </w:rPr>
              <w:br/>
            </w:r>
            <w:r w:rsidRPr="00A470FF">
              <w:rPr>
                <w:rFonts w:eastAsia="Times New Roman"/>
                <w:i/>
                <w:sz w:val="16"/>
                <w:szCs w:val="16"/>
                <w:lang w:eastAsia="en-GB"/>
              </w:rPr>
              <w:t>Transport</w:t>
            </w:r>
            <w:r w:rsidRPr="00A470FF">
              <w:rPr>
                <w:rFonts w:eastAsia="MS Mincho"/>
                <w:i/>
                <w:sz w:val="16"/>
                <w:szCs w:val="16"/>
                <w:lang w:eastAsia="fi-FI"/>
              </w:rPr>
              <w:br/>
            </w:r>
            <w:r w:rsidRPr="00A470FF">
              <w:rPr>
                <w:rFonts w:eastAsia="Times New Roman"/>
                <w:i/>
                <w:sz w:val="16"/>
                <w:szCs w:val="16"/>
                <w:lang w:eastAsia="en-GB"/>
              </w:rPr>
              <w:t>Industry</w:t>
            </w:r>
            <w:r w:rsidRPr="00A470FF">
              <w:rPr>
                <w:rFonts w:eastAsia="MS Mincho"/>
                <w:i/>
                <w:sz w:val="16"/>
                <w:szCs w:val="16"/>
                <w:lang w:eastAsia="fi-FI"/>
              </w:rPr>
              <w:br/>
            </w:r>
            <w:r w:rsidRPr="00A470FF">
              <w:rPr>
                <w:rFonts w:eastAsia="Times New Roman"/>
                <w:i/>
                <w:sz w:val="16"/>
                <w:szCs w:val="16"/>
                <w:lang w:eastAsia="en-GB"/>
              </w:rPr>
              <w:t>Agriculture</w:t>
            </w:r>
            <w:r w:rsidRPr="00A470FF">
              <w:rPr>
                <w:rFonts w:eastAsia="Times New Roman"/>
                <w:i/>
                <w:sz w:val="16"/>
                <w:szCs w:val="16"/>
                <w:lang w:eastAsia="en-GB"/>
              </w:rPr>
              <w:br/>
              <w:t>Forestry</w:t>
            </w:r>
            <w:r w:rsidRPr="00A470FF">
              <w:rPr>
                <w:rFonts w:eastAsia="MS Mincho"/>
                <w:i/>
                <w:sz w:val="16"/>
                <w:szCs w:val="16"/>
                <w:lang w:eastAsia="fi-FI"/>
              </w:rPr>
              <w:br/>
            </w:r>
            <w:r w:rsidRPr="00A470FF">
              <w:rPr>
                <w:rFonts w:eastAsia="Times New Roman"/>
                <w:i/>
                <w:sz w:val="16"/>
                <w:szCs w:val="16"/>
                <w:lang w:eastAsia="en-GB"/>
              </w:rPr>
              <w:t>Water and sanitation</w:t>
            </w:r>
            <w:r w:rsidRPr="00A470FF">
              <w:rPr>
                <w:rFonts w:eastAsia="Times New Roman"/>
                <w:i/>
                <w:sz w:val="16"/>
                <w:szCs w:val="16"/>
                <w:lang w:eastAsia="en-GB"/>
              </w:rPr>
              <w:br/>
              <w:t>Cross-cutting</w:t>
            </w:r>
            <w:r w:rsidRPr="00A470FF">
              <w:rPr>
                <w:rFonts w:eastAsia="MS Mincho"/>
                <w:i/>
                <w:sz w:val="16"/>
                <w:szCs w:val="16"/>
                <w:lang w:eastAsia="fi-FI"/>
              </w:rPr>
              <w:br/>
            </w:r>
            <w:r w:rsidRPr="00A470FF">
              <w:rPr>
                <w:rFonts w:eastAsia="Times New Roman"/>
                <w:i/>
                <w:sz w:val="16"/>
                <w:szCs w:val="16"/>
                <w:lang w:eastAsia="en-GB"/>
              </w:rPr>
              <w:t>Other</w:t>
            </w:r>
            <w:r w:rsidRPr="006C2311">
              <w:rPr>
                <w:rFonts w:eastAsia="Times New Roman"/>
                <w:i/>
                <w:sz w:val="18"/>
                <w:szCs w:val="16"/>
                <w:vertAlign w:val="superscript"/>
                <w:lang w:eastAsia="en-GB"/>
              </w:rPr>
              <w:t>g</w:t>
            </w:r>
          </w:p>
        </w:tc>
        <w:tc>
          <w:tcPr>
            <w:tcW w:w="1062" w:type="dxa"/>
            <w:vMerge w:val="restart"/>
            <w:tcBorders>
              <w:top w:val="single" w:sz="2" w:space="0" w:color="auto"/>
            </w:tcBorders>
          </w:tcPr>
          <w:p w14:paraId="028B8FCC"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p>
        </w:tc>
      </w:tr>
      <w:tr w:rsidR="00AD18B4" w:rsidRPr="00A470FF" w14:paraId="1C28A25F" w14:textId="77777777" w:rsidTr="006C2311">
        <w:trPr>
          <w:trHeight w:val="697"/>
          <w:tblHeader/>
        </w:trPr>
        <w:tc>
          <w:tcPr>
            <w:tcW w:w="3402" w:type="dxa"/>
            <w:gridSpan w:val="2"/>
            <w:vMerge/>
            <w:tcBorders>
              <w:bottom w:val="single" w:sz="12" w:space="0" w:color="auto"/>
            </w:tcBorders>
            <w:shd w:val="clear" w:color="auto" w:fill="auto"/>
            <w:vAlign w:val="bottom"/>
          </w:tcPr>
          <w:p w14:paraId="1F62229E" w14:textId="77777777" w:rsidR="00AD18B4" w:rsidRPr="00A470FF" w:rsidRDefault="00AD18B4" w:rsidP="003134B0">
            <w:pPr>
              <w:suppressAutoHyphens w:val="0"/>
              <w:spacing w:before="40" w:after="40" w:line="220" w:lineRule="exact"/>
              <w:jc w:val="center"/>
              <w:rPr>
                <w:rFonts w:eastAsia="Times New Roman"/>
                <w:i/>
                <w:sz w:val="16"/>
                <w:szCs w:val="16"/>
                <w:lang w:eastAsia="en-GB"/>
              </w:rPr>
            </w:pPr>
          </w:p>
        </w:tc>
        <w:tc>
          <w:tcPr>
            <w:tcW w:w="851" w:type="dxa"/>
            <w:tcBorders>
              <w:top w:val="single" w:sz="4" w:space="0" w:color="auto"/>
              <w:bottom w:val="single" w:sz="12" w:space="0" w:color="auto"/>
            </w:tcBorders>
          </w:tcPr>
          <w:p w14:paraId="12D6C657"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Domestic currency</w:t>
            </w:r>
          </w:p>
        </w:tc>
        <w:tc>
          <w:tcPr>
            <w:tcW w:w="761" w:type="dxa"/>
            <w:tcBorders>
              <w:top w:val="single" w:sz="4" w:space="0" w:color="auto"/>
              <w:bottom w:val="single" w:sz="12" w:space="0" w:color="auto"/>
            </w:tcBorders>
          </w:tcPr>
          <w:p w14:paraId="5483C142"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r w:rsidRPr="00A470FF">
              <w:rPr>
                <w:rFonts w:eastAsia="Times New Roman"/>
                <w:i/>
                <w:sz w:val="16"/>
                <w:szCs w:val="16"/>
                <w:lang w:eastAsia="en-GB"/>
              </w:rPr>
              <w:t>USD</w:t>
            </w:r>
          </w:p>
        </w:tc>
        <w:tc>
          <w:tcPr>
            <w:tcW w:w="1082" w:type="dxa"/>
            <w:vMerge/>
            <w:tcBorders>
              <w:bottom w:val="single" w:sz="12" w:space="0" w:color="auto"/>
            </w:tcBorders>
            <w:shd w:val="clear" w:color="auto" w:fill="auto"/>
          </w:tcPr>
          <w:p w14:paraId="5D99F005" w14:textId="77777777" w:rsidR="00AD18B4" w:rsidRPr="00A470FF" w:rsidRDefault="00AD18B4" w:rsidP="003134B0">
            <w:pPr>
              <w:spacing w:before="40" w:after="40" w:line="220" w:lineRule="exact"/>
              <w:ind w:left="113"/>
              <w:jc w:val="center"/>
              <w:rPr>
                <w:rFonts w:eastAsia="Times New Roman"/>
                <w:i/>
                <w:sz w:val="16"/>
                <w:szCs w:val="16"/>
                <w:vertAlign w:val="superscript"/>
                <w:lang w:eastAsia="en-GB"/>
              </w:rPr>
            </w:pPr>
          </w:p>
        </w:tc>
        <w:tc>
          <w:tcPr>
            <w:tcW w:w="708" w:type="dxa"/>
            <w:vMerge/>
            <w:tcBorders>
              <w:bottom w:val="single" w:sz="12" w:space="0" w:color="auto"/>
            </w:tcBorders>
            <w:shd w:val="clear" w:color="auto" w:fill="auto"/>
          </w:tcPr>
          <w:p w14:paraId="7599D0FF"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p>
        </w:tc>
        <w:tc>
          <w:tcPr>
            <w:tcW w:w="1418" w:type="dxa"/>
            <w:vMerge/>
            <w:tcBorders>
              <w:bottom w:val="single" w:sz="12" w:space="0" w:color="auto"/>
            </w:tcBorders>
            <w:shd w:val="clear" w:color="auto" w:fill="auto"/>
          </w:tcPr>
          <w:p w14:paraId="28F3B708"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p>
        </w:tc>
        <w:tc>
          <w:tcPr>
            <w:tcW w:w="1135" w:type="dxa"/>
            <w:vMerge/>
            <w:tcBorders>
              <w:bottom w:val="single" w:sz="12" w:space="0" w:color="auto"/>
            </w:tcBorders>
            <w:shd w:val="clear" w:color="auto" w:fill="auto"/>
            <w:noWrap/>
          </w:tcPr>
          <w:p w14:paraId="28C17311"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p>
        </w:tc>
        <w:tc>
          <w:tcPr>
            <w:tcW w:w="1983" w:type="dxa"/>
            <w:tcBorders>
              <w:bottom w:val="single" w:sz="12" w:space="0" w:color="auto"/>
            </w:tcBorders>
            <w:shd w:val="clear" w:color="auto" w:fill="auto"/>
          </w:tcPr>
          <w:p w14:paraId="20681FC1"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p>
        </w:tc>
        <w:tc>
          <w:tcPr>
            <w:tcW w:w="1062" w:type="dxa"/>
            <w:vMerge/>
            <w:tcBorders>
              <w:bottom w:val="single" w:sz="12" w:space="0" w:color="auto"/>
            </w:tcBorders>
          </w:tcPr>
          <w:p w14:paraId="5596FB04" w14:textId="77777777" w:rsidR="00AD18B4" w:rsidRPr="00A470FF" w:rsidRDefault="00AD18B4" w:rsidP="003134B0">
            <w:pPr>
              <w:suppressAutoHyphens w:val="0"/>
              <w:spacing w:before="40" w:after="40" w:line="220" w:lineRule="exact"/>
              <w:ind w:left="113"/>
              <w:jc w:val="center"/>
              <w:rPr>
                <w:rFonts w:eastAsia="Times New Roman"/>
                <w:i/>
                <w:sz w:val="16"/>
                <w:szCs w:val="16"/>
                <w:lang w:eastAsia="en-GB"/>
              </w:rPr>
            </w:pPr>
          </w:p>
        </w:tc>
      </w:tr>
      <w:tr w:rsidR="00AD18B4" w:rsidRPr="00A470FF" w14:paraId="30CF6A7E" w14:textId="77777777" w:rsidTr="006C2311">
        <w:trPr>
          <w:trHeight w:val="240"/>
        </w:trPr>
        <w:tc>
          <w:tcPr>
            <w:tcW w:w="1774" w:type="dxa"/>
            <w:tcBorders>
              <w:top w:val="single" w:sz="12" w:space="0" w:color="auto"/>
            </w:tcBorders>
            <w:shd w:val="clear" w:color="auto" w:fill="auto"/>
            <w:noWrap/>
          </w:tcPr>
          <w:p w14:paraId="5DE9C8C9"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1628" w:type="dxa"/>
            <w:tcBorders>
              <w:top w:val="single" w:sz="12" w:space="0" w:color="auto"/>
            </w:tcBorders>
            <w:shd w:val="clear" w:color="auto" w:fill="auto"/>
          </w:tcPr>
          <w:p w14:paraId="6CC8C2A6"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851" w:type="dxa"/>
            <w:tcBorders>
              <w:top w:val="single" w:sz="12" w:space="0" w:color="auto"/>
            </w:tcBorders>
            <w:shd w:val="clear" w:color="auto" w:fill="auto"/>
            <w:noWrap/>
            <w:vAlign w:val="bottom"/>
          </w:tcPr>
          <w:p w14:paraId="6CE04F44"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61" w:type="dxa"/>
            <w:tcBorders>
              <w:top w:val="single" w:sz="12" w:space="0" w:color="auto"/>
            </w:tcBorders>
            <w:shd w:val="clear" w:color="auto" w:fill="auto"/>
            <w:noWrap/>
            <w:vAlign w:val="bottom"/>
          </w:tcPr>
          <w:p w14:paraId="744DD25F"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82" w:type="dxa"/>
            <w:tcBorders>
              <w:top w:val="single" w:sz="12" w:space="0" w:color="auto"/>
            </w:tcBorders>
          </w:tcPr>
          <w:p w14:paraId="688C6B4A"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08" w:type="dxa"/>
            <w:tcBorders>
              <w:top w:val="single" w:sz="12" w:space="0" w:color="auto"/>
            </w:tcBorders>
          </w:tcPr>
          <w:p w14:paraId="6DFCDB8F"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418" w:type="dxa"/>
            <w:tcBorders>
              <w:top w:val="single" w:sz="12" w:space="0" w:color="auto"/>
            </w:tcBorders>
            <w:shd w:val="clear" w:color="auto" w:fill="auto"/>
            <w:vAlign w:val="bottom"/>
          </w:tcPr>
          <w:p w14:paraId="187FE973"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135" w:type="dxa"/>
            <w:tcBorders>
              <w:top w:val="single" w:sz="12" w:space="0" w:color="auto"/>
            </w:tcBorders>
            <w:shd w:val="clear" w:color="auto" w:fill="auto"/>
            <w:vAlign w:val="bottom"/>
          </w:tcPr>
          <w:p w14:paraId="7E2B94D9"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983" w:type="dxa"/>
            <w:tcBorders>
              <w:top w:val="single" w:sz="12" w:space="0" w:color="auto"/>
            </w:tcBorders>
            <w:shd w:val="clear" w:color="auto" w:fill="auto"/>
            <w:noWrap/>
            <w:vAlign w:val="bottom"/>
          </w:tcPr>
          <w:p w14:paraId="68FA5240"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62" w:type="dxa"/>
            <w:tcBorders>
              <w:top w:val="single" w:sz="12" w:space="0" w:color="auto"/>
            </w:tcBorders>
            <w:shd w:val="clear" w:color="auto" w:fill="auto"/>
            <w:noWrap/>
            <w:vAlign w:val="bottom"/>
          </w:tcPr>
          <w:p w14:paraId="66324008"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r>
      <w:tr w:rsidR="00AD18B4" w:rsidRPr="00A470FF" w14:paraId="75BF82E9" w14:textId="77777777" w:rsidTr="006C2311">
        <w:trPr>
          <w:trHeight w:val="240"/>
        </w:trPr>
        <w:tc>
          <w:tcPr>
            <w:tcW w:w="1774" w:type="dxa"/>
            <w:shd w:val="clear" w:color="auto" w:fill="auto"/>
            <w:noWrap/>
          </w:tcPr>
          <w:p w14:paraId="203539B8"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1628" w:type="dxa"/>
            <w:shd w:val="clear" w:color="auto" w:fill="auto"/>
          </w:tcPr>
          <w:p w14:paraId="34F4086F"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851" w:type="dxa"/>
            <w:shd w:val="clear" w:color="auto" w:fill="auto"/>
            <w:noWrap/>
            <w:vAlign w:val="bottom"/>
          </w:tcPr>
          <w:p w14:paraId="10F453D5"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61" w:type="dxa"/>
            <w:shd w:val="clear" w:color="auto" w:fill="auto"/>
            <w:noWrap/>
            <w:vAlign w:val="bottom"/>
          </w:tcPr>
          <w:p w14:paraId="0840CD20"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82" w:type="dxa"/>
          </w:tcPr>
          <w:p w14:paraId="390A07B0"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08" w:type="dxa"/>
          </w:tcPr>
          <w:p w14:paraId="50D5B437"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316F948C"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20A28E49"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17394EAE"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0C8C199E"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r>
      <w:tr w:rsidR="00AD18B4" w:rsidRPr="00A470FF" w14:paraId="0527ABD3" w14:textId="77777777" w:rsidTr="006C2311">
        <w:trPr>
          <w:trHeight w:val="240"/>
        </w:trPr>
        <w:tc>
          <w:tcPr>
            <w:tcW w:w="1774" w:type="dxa"/>
            <w:shd w:val="clear" w:color="auto" w:fill="auto"/>
            <w:noWrap/>
          </w:tcPr>
          <w:p w14:paraId="4F0E0D8B"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1628" w:type="dxa"/>
            <w:shd w:val="clear" w:color="auto" w:fill="auto"/>
          </w:tcPr>
          <w:p w14:paraId="692A72B9"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851" w:type="dxa"/>
            <w:shd w:val="clear" w:color="auto" w:fill="auto"/>
            <w:noWrap/>
            <w:vAlign w:val="bottom"/>
          </w:tcPr>
          <w:p w14:paraId="1C800C42"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61" w:type="dxa"/>
            <w:shd w:val="clear" w:color="auto" w:fill="auto"/>
            <w:noWrap/>
            <w:vAlign w:val="bottom"/>
          </w:tcPr>
          <w:p w14:paraId="77630CC6"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82" w:type="dxa"/>
          </w:tcPr>
          <w:p w14:paraId="2DEE0F1A"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08" w:type="dxa"/>
          </w:tcPr>
          <w:p w14:paraId="20C62600"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6CAC8166"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30ED171F"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129CDDDA"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26F7A2A7"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r>
      <w:tr w:rsidR="00AD18B4" w:rsidRPr="00A470FF" w14:paraId="16290BF5" w14:textId="77777777" w:rsidTr="006C2311">
        <w:trPr>
          <w:trHeight w:val="240"/>
        </w:trPr>
        <w:tc>
          <w:tcPr>
            <w:tcW w:w="1774" w:type="dxa"/>
            <w:tcBorders>
              <w:bottom w:val="single" w:sz="12" w:space="0" w:color="auto"/>
            </w:tcBorders>
            <w:shd w:val="clear" w:color="auto" w:fill="auto"/>
            <w:noWrap/>
          </w:tcPr>
          <w:p w14:paraId="5DF7783F"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1628" w:type="dxa"/>
            <w:tcBorders>
              <w:bottom w:val="single" w:sz="12" w:space="0" w:color="auto"/>
            </w:tcBorders>
            <w:shd w:val="clear" w:color="auto" w:fill="auto"/>
          </w:tcPr>
          <w:p w14:paraId="79CCE45F" w14:textId="77777777" w:rsidR="00AD18B4" w:rsidRPr="00A470FF" w:rsidRDefault="00AD18B4" w:rsidP="003134B0">
            <w:pPr>
              <w:suppressAutoHyphens w:val="0"/>
              <w:spacing w:before="40" w:after="40" w:line="220" w:lineRule="exact"/>
              <w:rPr>
                <w:rFonts w:eastAsia="Times New Roman"/>
                <w:sz w:val="18"/>
                <w:szCs w:val="18"/>
                <w:lang w:eastAsia="en-GB"/>
              </w:rPr>
            </w:pPr>
          </w:p>
        </w:tc>
        <w:tc>
          <w:tcPr>
            <w:tcW w:w="851" w:type="dxa"/>
            <w:tcBorders>
              <w:bottom w:val="single" w:sz="12" w:space="0" w:color="auto"/>
            </w:tcBorders>
            <w:shd w:val="clear" w:color="auto" w:fill="auto"/>
            <w:noWrap/>
            <w:vAlign w:val="bottom"/>
          </w:tcPr>
          <w:p w14:paraId="44620866"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61" w:type="dxa"/>
            <w:tcBorders>
              <w:bottom w:val="single" w:sz="12" w:space="0" w:color="auto"/>
            </w:tcBorders>
            <w:shd w:val="clear" w:color="auto" w:fill="auto"/>
            <w:noWrap/>
            <w:vAlign w:val="bottom"/>
          </w:tcPr>
          <w:p w14:paraId="7FE8FC81"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82" w:type="dxa"/>
            <w:tcBorders>
              <w:bottom w:val="single" w:sz="12" w:space="0" w:color="auto"/>
            </w:tcBorders>
          </w:tcPr>
          <w:p w14:paraId="282BDDB2"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708" w:type="dxa"/>
            <w:tcBorders>
              <w:bottom w:val="single" w:sz="12" w:space="0" w:color="auto"/>
            </w:tcBorders>
          </w:tcPr>
          <w:p w14:paraId="35E4C0AB"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418" w:type="dxa"/>
            <w:tcBorders>
              <w:bottom w:val="single" w:sz="12" w:space="0" w:color="auto"/>
            </w:tcBorders>
            <w:shd w:val="clear" w:color="auto" w:fill="auto"/>
            <w:vAlign w:val="bottom"/>
          </w:tcPr>
          <w:p w14:paraId="23C03325"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135" w:type="dxa"/>
            <w:tcBorders>
              <w:bottom w:val="single" w:sz="12" w:space="0" w:color="auto"/>
            </w:tcBorders>
            <w:shd w:val="clear" w:color="auto" w:fill="auto"/>
            <w:vAlign w:val="bottom"/>
          </w:tcPr>
          <w:p w14:paraId="1F76CFCF"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983" w:type="dxa"/>
            <w:tcBorders>
              <w:bottom w:val="single" w:sz="12" w:space="0" w:color="auto"/>
            </w:tcBorders>
            <w:shd w:val="clear" w:color="auto" w:fill="auto"/>
            <w:noWrap/>
            <w:vAlign w:val="bottom"/>
          </w:tcPr>
          <w:p w14:paraId="2C0F08F9"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c>
          <w:tcPr>
            <w:tcW w:w="1062" w:type="dxa"/>
            <w:tcBorders>
              <w:bottom w:val="single" w:sz="12" w:space="0" w:color="auto"/>
            </w:tcBorders>
            <w:shd w:val="clear" w:color="auto" w:fill="auto"/>
            <w:noWrap/>
            <w:vAlign w:val="bottom"/>
          </w:tcPr>
          <w:p w14:paraId="57D80AF4" w14:textId="77777777" w:rsidR="00AD18B4" w:rsidRPr="00A470FF" w:rsidRDefault="00AD18B4" w:rsidP="003134B0">
            <w:pPr>
              <w:suppressAutoHyphens w:val="0"/>
              <w:spacing w:before="40" w:after="40" w:line="220" w:lineRule="exact"/>
              <w:ind w:left="113"/>
              <w:jc w:val="right"/>
              <w:rPr>
                <w:rFonts w:eastAsia="Times New Roman"/>
                <w:sz w:val="18"/>
                <w:szCs w:val="18"/>
                <w:lang w:eastAsia="en-GB"/>
              </w:rPr>
            </w:pPr>
          </w:p>
        </w:tc>
      </w:tr>
    </w:tbl>
    <w:p w14:paraId="3FBC7D43" w14:textId="77777777" w:rsidR="00AD18B4" w:rsidRPr="00A470FF" w:rsidRDefault="00AD18B4" w:rsidP="00AD18B4">
      <w:pPr>
        <w:spacing w:before="120" w:line="240" w:lineRule="auto"/>
        <w:ind w:firstLine="284"/>
        <w:jc w:val="both"/>
        <w:rPr>
          <w:rFonts w:eastAsia="MS Mincho"/>
          <w:i/>
          <w:sz w:val="18"/>
          <w:szCs w:val="18"/>
          <w:lang w:eastAsia="ja-JP"/>
        </w:rPr>
      </w:pPr>
      <w:r w:rsidRPr="00A470FF">
        <w:rPr>
          <w:rFonts w:eastAsia="MS Mincho"/>
          <w:i/>
          <w:sz w:val="18"/>
          <w:szCs w:val="18"/>
          <w:lang w:eastAsia="ja-JP"/>
        </w:rPr>
        <w:t>Note</w:t>
      </w:r>
      <w:r w:rsidRPr="00A470FF">
        <w:rPr>
          <w:rFonts w:eastAsia="MS Mincho"/>
          <w:sz w:val="18"/>
          <w:szCs w:val="18"/>
          <w:lang w:eastAsia="ja-JP"/>
        </w:rPr>
        <w:t>:</w:t>
      </w:r>
      <w:r w:rsidRPr="00A470FF">
        <w:rPr>
          <w:rFonts w:eastAsia="MS Mincho"/>
          <w:i/>
          <w:sz w:val="18"/>
          <w:szCs w:val="18"/>
          <w:lang w:eastAsia="ja-JP"/>
        </w:rPr>
        <w:t xml:space="preserve"> </w:t>
      </w:r>
      <w:r w:rsidRPr="00A470FF">
        <w:rPr>
          <w:rFonts w:eastAsia="MS Mincho"/>
          <w:sz w:val="18"/>
          <w:szCs w:val="18"/>
          <w:lang w:eastAsia="ja-JP"/>
        </w:rPr>
        <w:t>Explanation of numerical footnotes is provided in the documentation box after tables 7, 7(a) and 7(b).</w:t>
      </w:r>
    </w:p>
    <w:p w14:paraId="3D1E4337" w14:textId="256280BE" w:rsidR="00AD18B4" w:rsidRPr="00A470FF" w:rsidRDefault="00AD18B4" w:rsidP="00AD18B4">
      <w:pPr>
        <w:spacing w:line="240" w:lineRule="auto"/>
        <w:ind w:firstLine="284"/>
        <w:jc w:val="both"/>
        <w:rPr>
          <w:rFonts w:eastAsia="MS Mincho"/>
          <w:sz w:val="18"/>
          <w:szCs w:val="18"/>
          <w:lang w:eastAsia="ja-JP"/>
        </w:rPr>
      </w:pPr>
      <w:r w:rsidRPr="00A470FF">
        <w:rPr>
          <w:rFonts w:eastAsia="MS Mincho"/>
          <w:i/>
          <w:sz w:val="18"/>
          <w:szCs w:val="18"/>
          <w:lang w:eastAsia="ja-JP"/>
        </w:rPr>
        <w:t>Abbreviations</w:t>
      </w:r>
      <w:r w:rsidRPr="00A470FF">
        <w:rPr>
          <w:rFonts w:eastAsia="MS Mincho"/>
          <w:sz w:val="18"/>
          <w:szCs w:val="18"/>
          <w:lang w:eastAsia="ja-JP"/>
        </w:rPr>
        <w:t>: ODA = official development assistance, OOF = other official flows, USD = United States dollars.</w:t>
      </w:r>
    </w:p>
    <w:p w14:paraId="4D056095" w14:textId="0E2C9FBA" w:rsidR="00AD18B4" w:rsidRPr="00A470FF" w:rsidRDefault="00467704" w:rsidP="00467704">
      <w:pPr>
        <w:pStyle w:val="FootnoteTable"/>
        <w:ind w:firstLine="284"/>
        <w:rPr>
          <w:lang w:eastAsia="ja-JP"/>
        </w:rPr>
      </w:pPr>
      <w:r w:rsidRPr="00A470FF">
        <w:rPr>
          <w:i/>
          <w:vertAlign w:val="superscript"/>
          <w:lang w:eastAsia="ja-JP"/>
        </w:rPr>
        <w:t xml:space="preserve">a   </w:t>
      </w:r>
      <w:r w:rsidR="00AD18B4" w:rsidRPr="00A470FF">
        <w:rPr>
          <w:rFonts w:eastAsia="MS Mincho"/>
          <w:szCs w:val="18"/>
          <w:lang w:eastAsia="ja-JP"/>
        </w:rPr>
        <w:t>Parties should fill in a separate table for each year, namely 20XX-3 and 20XX-2, where 20XX is the reporting year.</w:t>
      </w:r>
    </w:p>
    <w:p w14:paraId="62571888" w14:textId="12EC4C02" w:rsidR="00AD18B4" w:rsidRPr="00A470FF" w:rsidRDefault="00467704" w:rsidP="00467704">
      <w:pPr>
        <w:pStyle w:val="FootnoteTable"/>
        <w:ind w:firstLine="284"/>
        <w:rPr>
          <w:lang w:eastAsia="ja-JP"/>
        </w:rPr>
      </w:pPr>
      <w:r w:rsidRPr="00A470FF">
        <w:rPr>
          <w:i/>
          <w:vertAlign w:val="superscript"/>
          <w:lang w:eastAsia="ja-JP"/>
        </w:rPr>
        <w:t xml:space="preserve">b   </w:t>
      </w:r>
      <w:r w:rsidR="00AD18B4" w:rsidRPr="00A470FF">
        <w:rPr>
          <w:lang w:eastAsia="ja-JP"/>
        </w:rPr>
        <w:t>Parties should report, to the extent possible, on details contained in this table.</w:t>
      </w:r>
    </w:p>
    <w:p w14:paraId="42550288" w14:textId="00DF55D4" w:rsidR="00AD18B4" w:rsidRPr="00A470FF" w:rsidRDefault="00467704" w:rsidP="00467704">
      <w:pPr>
        <w:pStyle w:val="FootnoteTable"/>
        <w:ind w:right="962" w:firstLine="284"/>
        <w:rPr>
          <w:lang w:eastAsia="ja-JP"/>
        </w:rPr>
      </w:pPr>
      <w:r w:rsidRPr="00A470FF">
        <w:rPr>
          <w:i/>
          <w:vertAlign w:val="superscript"/>
          <w:lang w:eastAsia="ja-JP"/>
        </w:rPr>
        <w:t xml:space="preserve">c   </w:t>
      </w:r>
      <w:r w:rsidR="00AD18B4" w:rsidRPr="00A470FF">
        <w:rPr>
          <w:lang w:eastAsia="ja-JP"/>
        </w:rPr>
        <w:t>Parties should explain, in their biennial reports, the methodologies used to specify the funds as disbursed and committed. Parties will provide the information for as many status categories as appropriate in the following order of priority: disbursed and committed.</w:t>
      </w:r>
    </w:p>
    <w:p w14:paraId="524EEF2D" w14:textId="135361E5" w:rsidR="00AD18B4" w:rsidRPr="00A470FF" w:rsidRDefault="00467704" w:rsidP="00467704">
      <w:pPr>
        <w:pStyle w:val="FootnoteTable"/>
        <w:ind w:firstLine="284"/>
        <w:rPr>
          <w:lang w:eastAsia="ja-JP"/>
        </w:rPr>
      </w:pPr>
      <w:r w:rsidRPr="00A470FF">
        <w:rPr>
          <w:i/>
          <w:vertAlign w:val="superscript"/>
          <w:lang w:eastAsia="ja-JP"/>
        </w:rPr>
        <w:t xml:space="preserve">d   </w:t>
      </w:r>
      <w:r w:rsidR="00AD18B4" w:rsidRPr="00A470FF">
        <w:rPr>
          <w:rFonts w:eastAsia="MS Mincho"/>
          <w:szCs w:val="18"/>
          <w:lang w:eastAsia="ja-JP"/>
        </w:rPr>
        <w:t>Parties may select several applicable sectors. Parties may report sectoral distribution, as applicable, under “Other”.</w:t>
      </w:r>
    </w:p>
    <w:p w14:paraId="393A6E09" w14:textId="354E2E4F" w:rsidR="00AD18B4" w:rsidRPr="00A470FF" w:rsidRDefault="00467704" w:rsidP="00467704">
      <w:pPr>
        <w:pStyle w:val="FootnoteTable"/>
        <w:ind w:firstLine="284"/>
        <w:rPr>
          <w:lang w:eastAsia="ja-JP"/>
        </w:rPr>
      </w:pPr>
      <w:r w:rsidRPr="00A470FF">
        <w:rPr>
          <w:i/>
          <w:vertAlign w:val="superscript"/>
          <w:lang w:eastAsia="ja-JP"/>
        </w:rPr>
        <w:t xml:space="preserve">e   </w:t>
      </w:r>
      <w:r w:rsidR="00AD18B4" w:rsidRPr="00A470FF">
        <w:rPr>
          <w:lang w:eastAsia="ja-JP"/>
        </w:rPr>
        <w:t>Parties should report, as appropriate, on project details and the implementing agency.</w:t>
      </w:r>
    </w:p>
    <w:p w14:paraId="119C1D33" w14:textId="209CAAB9" w:rsidR="00AD18B4" w:rsidRPr="00A470FF" w:rsidRDefault="00467704" w:rsidP="00467704">
      <w:pPr>
        <w:pStyle w:val="FootnoteTable"/>
        <w:ind w:firstLine="284"/>
        <w:rPr>
          <w:lang w:eastAsia="ja-JP"/>
        </w:rPr>
      </w:pPr>
      <w:r w:rsidRPr="00A470FF">
        <w:rPr>
          <w:i/>
          <w:vertAlign w:val="superscript"/>
          <w:lang w:eastAsia="ja-JP"/>
        </w:rPr>
        <w:t xml:space="preserve">f   </w:t>
      </w:r>
      <w:r w:rsidR="00AD18B4" w:rsidRPr="00A470FF">
        <w:rPr>
          <w:szCs w:val="18"/>
          <w:lang w:eastAsia="ja-JP"/>
        </w:rPr>
        <w:t>Parties should explain in their biennial reports how they define funds as being climate-specific.</w:t>
      </w:r>
      <w:r w:rsidR="00AD18B4" w:rsidRPr="00A470FF">
        <w:rPr>
          <w:lang w:eastAsia="ja-JP"/>
        </w:rPr>
        <w:t xml:space="preserve"> </w:t>
      </w:r>
    </w:p>
    <w:p w14:paraId="2D18DD68" w14:textId="4BC0056B" w:rsidR="00AD18B4" w:rsidRPr="00A470FF" w:rsidRDefault="00467704" w:rsidP="00467704">
      <w:pPr>
        <w:pStyle w:val="FootnoteTable"/>
        <w:ind w:firstLine="284"/>
        <w:rPr>
          <w:lang w:eastAsia="ja-JP"/>
        </w:rPr>
      </w:pPr>
      <w:r w:rsidRPr="00A470FF">
        <w:rPr>
          <w:i/>
          <w:vertAlign w:val="superscript"/>
          <w:lang w:eastAsia="ja-JP"/>
        </w:rPr>
        <w:t xml:space="preserve">g   </w:t>
      </w:r>
      <w:r w:rsidR="00AD18B4" w:rsidRPr="00A470FF">
        <w:rPr>
          <w:lang w:eastAsia="ja-JP"/>
        </w:rPr>
        <w:t>Please specify.</w:t>
      </w:r>
    </w:p>
    <w:p w14:paraId="2DF2BB3F" w14:textId="6B342D70" w:rsidR="00AD18B4" w:rsidRPr="00A470FF" w:rsidRDefault="00467704" w:rsidP="00467704">
      <w:pPr>
        <w:ind w:left="114" w:firstLine="170"/>
        <w:rPr>
          <w:sz w:val="18"/>
          <w:lang w:eastAsia="ja-JP"/>
        </w:rPr>
      </w:pPr>
      <w:r w:rsidRPr="00A470FF">
        <w:rPr>
          <w:i/>
          <w:sz w:val="18"/>
          <w:vertAlign w:val="superscript"/>
          <w:lang w:eastAsia="ja-JP"/>
        </w:rPr>
        <w:t xml:space="preserve">h   </w:t>
      </w:r>
      <w:r w:rsidR="00AD18B4" w:rsidRPr="00A470FF">
        <w:rPr>
          <w:sz w:val="18"/>
          <w:lang w:eastAsia="ja-JP"/>
        </w:rPr>
        <w:t>This refers to funding for activities that are cross-cutting across mitigation and adaptation.</w:t>
      </w:r>
    </w:p>
    <w:p w14:paraId="540618E8" w14:textId="77777777" w:rsidR="00AD18B4" w:rsidRPr="00A470FF" w:rsidRDefault="00AD18B4" w:rsidP="00AD18B4">
      <w:pPr>
        <w:spacing w:before="120" w:line="240" w:lineRule="auto"/>
        <w:ind w:firstLine="284"/>
        <w:jc w:val="both"/>
        <w:rPr>
          <w:rFonts w:eastAsia="MS Mincho"/>
          <w:sz w:val="18"/>
          <w:szCs w:val="18"/>
          <w:lang w:eastAsia="ja-JP"/>
        </w:rPr>
      </w:pPr>
    </w:p>
    <w:p w14:paraId="08F65EE4" w14:textId="77777777" w:rsidR="00AD18B4" w:rsidRPr="00A470FF" w:rsidRDefault="00AD18B4" w:rsidP="00AD18B4">
      <w:pPr>
        <w:suppressAutoHyphens w:val="0"/>
        <w:spacing w:line="240" w:lineRule="auto"/>
      </w:pPr>
      <w:r w:rsidRPr="00A470FF">
        <w:br w:type="page"/>
      </w:r>
    </w:p>
    <w:p w14:paraId="6EA305CD" w14:textId="77777777" w:rsidR="00AD18B4" w:rsidRPr="00A470FF" w:rsidRDefault="00AD18B4" w:rsidP="00AD18B4">
      <w:pPr>
        <w:pStyle w:val="SingleTxtG"/>
        <w:ind w:left="0"/>
        <w:rPr>
          <w:rFonts w:eastAsia="MS Mincho"/>
          <w:b/>
        </w:rPr>
      </w:pPr>
      <w:r w:rsidRPr="00A470FF">
        <w:rPr>
          <w:rFonts w:eastAsia="MS Mincho"/>
          <w:b/>
        </w:rPr>
        <w:lastRenderedPageBreak/>
        <w:t>Documentation box</w:t>
      </w:r>
    </w:p>
    <w:tbl>
      <w:tblPr>
        <w:tblpPr w:leftFromText="180" w:rightFromText="180" w:vertAnchor="text" w:horzAnchor="margin" w:tblpX="108" w:tblpY="2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4"/>
      </w:tblGrid>
      <w:tr w:rsidR="00AD18B4" w:rsidRPr="00A470FF" w14:paraId="67B2C9ED" w14:textId="77777777" w:rsidTr="003134B0">
        <w:trPr>
          <w:trHeight w:val="200"/>
        </w:trPr>
        <w:tc>
          <w:tcPr>
            <w:tcW w:w="12724" w:type="dxa"/>
            <w:shd w:val="clear" w:color="auto" w:fill="auto"/>
          </w:tcPr>
          <w:p w14:paraId="7F22736B"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1: Core/general</w:t>
            </w:r>
          </w:p>
        </w:tc>
      </w:tr>
      <w:tr w:rsidR="00AD18B4" w:rsidRPr="00A470FF" w14:paraId="0F79E7A2" w14:textId="77777777" w:rsidTr="003134B0">
        <w:trPr>
          <w:trHeight w:val="200"/>
        </w:trPr>
        <w:tc>
          <w:tcPr>
            <w:tcW w:w="12724" w:type="dxa"/>
            <w:shd w:val="clear" w:color="auto" w:fill="auto"/>
          </w:tcPr>
          <w:p w14:paraId="50F98541" w14:textId="77777777" w:rsidR="00AD18B4" w:rsidRPr="00A470FF" w:rsidRDefault="00AD18B4" w:rsidP="006538E1">
            <w:pPr>
              <w:suppressAutoHyphens w:val="0"/>
              <w:spacing w:line="240" w:lineRule="auto"/>
              <w:ind w:left="-56"/>
              <w:rPr>
                <w:color w:val="000000"/>
                <w:sz w:val="18"/>
                <w:szCs w:val="18"/>
              </w:rPr>
            </w:pPr>
          </w:p>
        </w:tc>
      </w:tr>
      <w:tr w:rsidR="00AD18B4" w:rsidRPr="00A470FF" w14:paraId="72AF2727" w14:textId="77777777" w:rsidTr="003134B0">
        <w:trPr>
          <w:trHeight w:val="200"/>
        </w:trPr>
        <w:tc>
          <w:tcPr>
            <w:tcW w:w="12724" w:type="dxa"/>
            <w:shd w:val="clear" w:color="auto" w:fill="auto"/>
          </w:tcPr>
          <w:p w14:paraId="52B7DD3C"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 xml:space="preserve">2: Climate-specific </w:t>
            </w:r>
          </w:p>
        </w:tc>
      </w:tr>
      <w:tr w:rsidR="00AD18B4" w:rsidRPr="00A470FF" w14:paraId="2EF8806B" w14:textId="77777777" w:rsidTr="003134B0">
        <w:trPr>
          <w:trHeight w:val="200"/>
        </w:trPr>
        <w:tc>
          <w:tcPr>
            <w:tcW w:w="12724" w:type="dxa"/>
            <w:shd w:val="clear" w:color="auto" w:fill="auto"/>
          </w:tcPr>
          <w:p w14:paraId="447DF3A3" w14:textId="77777777" w:rsidR="00AD18B4" w:rsidRPr="00A470FF" w:rsidRDefault="00AD18B4" w:rsidP="006538E1">
            <w:pPr>
              <w:suppressAutoHyphens w:val="0"/>
              <w:spacing w:line="240" w:lineRule="auto"/>
              <w:ind w:left="-56"/>
              <w:rPr>
                <w:color w:val="000000"/>
                <w:sz w:val="18"/>
                <w:szCs w:val="18"/>
              </w:rPr>
            </w:pPr>
          </w:p>
        </w:tc>
      </w:tr>
      <w:tr w:rsidR="00AD18B4" w:rsidRPr="00A470FF" w14:paraId="143F23C5" w14:textId="77777777" w:rsidTr="003134B0">
        <w:trPr>
          <w:trHeight w:val="200"/>
        </w:trPr>
        <w:tc>
          <w:tcPr>
            <w:tcW w:w="12724" w:type="dxa"/>
            <w:shd w:val="clear" w:color="auto" w:fill="auto"/>
          </w:tcPr>
          <w:p w14:paraId="0E63584C"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3:  Status</w:t>
            </w:r>
          </w:p>
        </w:tc>
      </w:tr>
      <w:tr w:rsidR="00AD18B4" w:rsidRPr="00A470FF" w14:paraId="5CCECCF8" w14:textId="77777777" w:rsidTr="003134B0">
        <w:trPr>
          <w:trHeight w:val="200"/>
        </w:trPr>
        <w:tc>
          <w:tcPr>
            <w:tcW w:w="12724" w:type="dxa"/>
            <w:shd w:val="clear" w:color="auto" w:fill="auto"/>
          </w:tcPr>
          <w:p w14:paraId="554BECF8" w14:textId="77777777" w:rsidR="00AD18B4" w:rsidRPr="00A470FF" w:rsidRDefault="00AD18B4" w:rsidP="006538E1">
            <w:pPr>
              <w:suppressAutoHyphens w:val="0"/>
              <w:spacing w:line="240" w:lineRule="auto"/>
              <w:ind w:left="-56"/>
              <w:rPr>
                <w:color w:val="000000"/>
                <w:sz w:val="18"/>
                <w:szCs w:val="18"/>
              </w:rPr>
            </w:pPr>
          </w:p>
        </w:tc>
      </w:tr>
      <w:tr w:rsidR="00AD18B4" w:rsidRPr="00A470FF" w14:paraId="2A09AB81" w14:textId="77777777" w:rsidTr="003134B0">
        <w:trPr>
          <w:trHeight w:val="200"/>
        </w:trPr>
        <w:tc>
          <w:tcPr>
            <w:tcW w:w="12724" w:type="dxa"/>
            <w:shd w:val="clear" w:color="auto" w:fill="auto"/>
          </w:tcPr>
          <w:p w14:paraId="049A2EFF"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4:  Funding source</w:t>
            </w:r>
          </w:p>
        </w:tc>
      </w:tr>
      <w:tr w:rsidR="00AD18B4" w:rsidRPr="00A470FF" w14:paraId="730A8C05" w14:textId="77777777" w:rsidTr="003134B0">
        <w:trPr>
          <w:trHeight w:val="200"/>
        </w:trPr>
        <w:tc>
          <w:tcPr>
            <w:tcW w:w="12724" w:type="dxa"/>
            <w:shd w:val="clear" w:color="auto" w:fill="auto"/>
          </w:tcPr>
          <w:p w14:paraId="5005368C" w14:textId="77777777" w:rsidR="00AD18B4" w:rsidRPr="00A470FF" w:rsidRDefault="00AD18B4" w:rsidP="006538E1">
            <w:pPr>
              <w:suppressAutoHyphens w:val="0"/>
              <w:spacing w:line="240" w:lineRule="auto"/>
              <w:ind w:left="-56"/>
              <w:rPr>
                <w:color w:val="000000"/>
                <w:sz w:val="18"/>
                <w:szCs w:val="18"/>
              </w:rPr>
            </w:pPr>
          </w:p>
        </w:tc>
      </w:tr>
      <w:tr w:rsidR="00AD18B4" w:rsidRPr="00A470FF" w14:paraId="0B3B9177" w14:textId="77777777" w:rsidTr="003134B0">
        <w:trPr>
          <w:trHeight w:val="200"/>
        </w:trPr>
        <w:tc>
          <w:tcPr>
            <w:tcW w:w="12724" w:type="dxa"/>
            <w:shd w:val="clear" w:color="auto" w:fill="auto"/>
          </w:tcPr>
          <w:p w14:paraId="76AAA2FC"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 xml:space="preserve">5: Financial instrument </w:t>
            </w:r>
          </w:p>
        </w:tc>
      </w:tr>
      <w:tr w:rsidR="00AD18B4" w:rsidRPr="00A470FF" w14:paraId="7841326C" w14:textId="77777777" w:rsidTr="003134B0">
        <w:trPr>
          <w:trHeight w:val="200"/>
        </w:trPr>
        <w:tc>
          <w:tcPr>
            <w:tcW w:w="12724" w:type="dxa"/>
            <w:shd w:val="clear" w:color="auto" w:fill="auto"/>
          </w:tcPr>
          <w:p w14:paraId="074835B6" w14:textId="77777777" w:rsidR="00AD18B4" w:rsidRPr="00A470FF" w:rsidRDefault="00AD18B4" w:rsidP="006538E1">
            <w:pPr>
              <w:suppressAutoHyphens w:val="0"/>
              <w:spacing w:line="240" w:lineRule="auto"/>
              <w:ind w:left="-56"/>
              <w:rPr>
                <w:color w:val="000000"/>
                <w:sz w:val="18"/>
                <w:szCs w:val="18"/>
              </w:rPr>
            </w:pPr>
          </w:p>
        </w:tc>
      </w:tr>
      <w:tr w:rsidR="00AD18B4" w:rsidRPr="00A470FF" w14:paraId="24BAB036" w14:textId="77777777" w:rsidTr="003134B0">
        <w:trPr>
          <w:trHeight w:val="200"/>
        </w:trPr>
        <w:tc>
          <w:tcPr>
            <w:tcW w:w="12724" w:type="dxa"/>
            <w:shd w:val="clear" w:color="auto" w:fill="auto"/>
          </w:tcPr>
          <w:p w14:paraId="783858FC"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6: Type of support</w:t>
            </w:r>
          </w:p>
        </w:tc>
      </w:tr>
      <w:tr w:rsidR="00AD18B4" w:rsidRPr="00A470FF" w14:paraId="06F5E356" w14:textId="77777777" w:rsidTr="003134B0">
        <w:trPr>
          <w:trHeight w:val="200"/>
        </w:trPr>
        <w:tc>
          <w:tcPr>
            <w:tcW w:w="12724" w:type="dxa"/>
            <w:shd w:val="clear" w:color="auto" w:fill="auto"/>
          </w:tcPr>
          <w:p w14:paraId="2906DA6A" w14:textId="77777777" w:rsidR="00AD18B4" w:rsidRPr="00A470FF" w:rsidRDefault="00AD18B4" w:rsidP="006538E1">
            <w:pPr>
              <w:suppressAutoHyphens w:val="0"/>
              <w:spacing w:line="240" w:lineRule="auto"/>
              <w:ind w:left="-56"/>
              <w:rPr>
                <w:color w:val="000000"/>
                <w:sz w:val="18"/>
                <w:szCs w:val="18"/>
              </w:rPr>
            </w:pPr>
          </w:p>
        </w:tc>
      </w:tr>
      <w:tr w:rsidR="00AD18B4" w:rsidRPr="00A470FF" w14:paraId="1CDC97D4" w14:textId="77777777" w:rsidTr="003134B0">
        <w:trPr>
          <w:trHeight w:val="200"/>
        </w:trPr>
        <w:tc>
          <w:tcPr>
            <w:tcW w:w="12724" w:type="dxa"/>
            <w:shd w:val="clear" w:color="auto" w:fill="auto"/>
          </w:tcPr>
          <w:p w14:paraId="221F1104"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 xml:space="preserve">7: Sector </w:t>
            </w:r>
          </w:p>
        </w:tc>
      </w:tr>
      <w:tr w:rsidR="00AD18B4" w:rsidRPr="00A470FF" w14:paraId="4346091E" w14:textId="77777777" w:rsidTr="003134B0">
        <w:trPr>
          <w:trHeight w:val="200"/>
        </w:trPr>
        <w:tc>
          <w:tcPr>
            <w:tcW w:w="12724" w:type="dxa"/>
            <w:shd w:val="clear" w:color="auto" w:fill="auto"/>
          </w:tcPr>
          <w:p w14:paraId="55B95D88" w14:textId="77777777" w:rsidR="00AD18B4" w:rsidRPr="00A470FF" w:rsidRDefault="00AD18B4" w:rsidP="006538E1">
            <w:pPr>
              <w:suppressAutoHyphens w:val="0"/>
              <w:spacing w:line="240" w:lineRule="auto"/>
              <w:ind w:left="-56"/>
              <w:rPr>
                <w:color w:val="000000"/>
                <w:sz w:val="18"/>
                <w:szCs w:val="18"/>
              </w:rPr>
            </w:pPr>
          </w:p>
        </w:tc>
      </w:tr>
      <w:tr w:rsidR="00AD18B4" w:rsidRPr="00A470FF" w14:paraId="3ED2483B" w14:textId="77777777" w:rsidTr="003134B0">
        <w:trPr>
          <w:trHeight w:val="200"/>
        </w:trPr>
        <w:tc>
          <w:tcPr>
            <w:tcW w:w="12724" w:type="dxa"/>
            <w:shd w:val="clear" w:color="auto" w:fill="auto"/>
          </w:tcPr>
          <w:p w14:paraId="70D88E26" w14:textId="77777777" w:rsidR="00AD18B4" w:rsidRPr="00A470FF" w:rsidRDefault="00AD18B4" w:rsidP="006538E1">
            <w:pPr>
              <w:suppressAutoHyphens w:val="0"/>
              <w:spacing w:line="240" w:lineRule="auto"/>
              <w:ind w:left="-56"/>
              <w:rPr>
                <w:color w:val="000000"/>
                <w:sz w:val="18"/>
                <w:szCs w:val="18"/>
              </w:rPr>
            </w:pPr>
            <w:r w:rsidRPr="00A470FF">
              <w:rPr>
                <w:color w:val="000000"/>
                <w:sz w:val="18"/>
                <w:szCs w:val="18"/>
              </w:rPr>
              <w:t xml:space="preserve">Each Party shall provide an indication of what new and additional financial resources it has provided and clarify how it has determined that such resources are new and additional. Please provide this information in relation to tables 7(a) and (b). </w:t>
            </w:r>
          </w:p>
        </w:tc>
      </w:tr>
      <w:tr w:rsidR="00AD18B4" w:rsidRPr="00A470FF" w14:paraId="7669CE1D" w14:textId="77777777" w:rsidTr="003134B0">
        <w:trPr>
          <w:trHeight w:val="200"/>
        </w:trPr>
        <w:tc>
          <w:tcPr>
            <w:tcW w:w="12724" w:type="dxa"/>
            <w:shd w:val="clear" w:color="auto" w:fill="auto"/>
          </w:tcPr>
          <w:p w14:paraId="2429E603" w14:textId="77777777" w:rsidR="00AD18B4" w:rsidRPr="00A470FF" w:rsidRDefault="00AD18B4" w:rsidP="003134B0">
            <w:pPr>
              <w:suppressAutoHyphens w:val="0"/>
              <w:spacing w:line="240" w:lineRule="auto"/>
              <w:rPr>
                <w:color w:val="000000"/>
                <w:sz w:val="18"/>
                <w:szCs w:val="18"/>
              </w:rPr>
            </w:pPr>
          </w:p>
        </w:tc>
      </w:tr>
    </w:tbl>
    <w:p w14:paraId="5415243F" w14:textId="77777777" w:rsidR="00AD18B4" w:rsidRPr="00A470FF" w:rsidRDefault="00AD18B4" w:rsidP="00AD18B4"/>
    <w:p w14:paraId="4A1C6C83" w14:textId="77777777" w:rsidR="00AD18B4" w:rsidRPr="00A470FF" w:rsidRDefault="00AD18B4" w:rsidP="00AD18B4"/>
    <w:p w14:paraId="3F7BBF72" w14:textId="77777777" w:rsidR="00AD18B4" w:rsidRPr="00A470FF" w:rsidRDefault="00AD18B4" w:rsidP="00AD18B4">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Pr="00A470FF">
        <w:rPr>
          <w:i/>
          <w:vertAlign w:val="superscript"/>
          <w:lang w:eastAsia="en-US"/>
        </w:rPr>
        <w:t>th</w:t>
      </w:r>
      <w:r w:rsidRPr="00A470FF">
        <w:rPr>
          <w:i/>
          <w:lang w:eastAsia="en-US"/>
        </w:rPr>
        <w:t xml:space="preserve"> plenary meeting</w:t>
      </w:r>
    </w:p>
    <w:p w14:paraId="096C5ACC" w14:textId="77777777" w:rsidR="00AD18B4" w:rsidRPr="00A470FF" w:rsidRDefault="00AD18B4" w:rsidP="00AD18B4">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 December 2015</w:t>
      </w:r>
    </w:p>
    <w:p w14:paraId="1E8EFE8C" w14:textId="5CA6D532" w:rsidR="00AF5C9F" w:rsidRPr="00A470FF" w:rsidRDefault="00AF5C9F"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p>
    <w:p w14:paraId="1E8EFE8F" w14:textId="77777777" w:rsidR="00AF5C9F" w:rsidRPr="00A470FF" w:rsidRDefault="00AF5C9F" w:rsidP="00AF5C9F">
      <w:pPr>
        <w:pStyle w:val="RegSingleTxtG"/>
        <w:numPr>
          <w:ilvl w:val="0"/>
          <w:numId w:val="0"/>
        </w:numPr>
        <w:suppressAutoHyphens w:val="0"/>
        <w:autoSpaceDE w:val="0"/>
        <w:autoSpaceDN w:val="0"/>
        <w:adjustRightInd w:val="0"/>
        <w:spacing w:after="0" w:line="240" w:lineRule="auto"/>
        <w:ind w:left="1134" w:right="-1"/>
        <w:jc w:val="left"/>
        <w:rPr>
          <w:i/>
          <w:lang w:eastAsia="en-US"/>
        </w:rPr>
      </w:pPr>
    </w:p>
    <w:p w14:paraId="1E8EFE90" w14:textId="77777777" w:rsidR="00AF5C9F" w:rsidRPr="00A470FF" w:rsidRDefault="00AF5C9F" w:rsidP="00AF5C9F">
      <w:pPr>
        <w:pStyle w:val="RegSingleTxtG"/>
        <w:numPr>
          <w:ilvl w:val="0"/>
          <w:numId w:val="0"/>
        </w:numPr>
        <w:suppressAutoHyphens w:val="0"/>
        <w:autoSpaceDE w:val="0"/>
        <w:autoSpaceDN w:val="0"/>
        <w:adjustRightInd w:val="0"/>
        <w:spacing w:after="0" w:line="240" w:lineRule="auto"/>
        <w:ind w:left="1134" w:right="-1"/>
        <w:jc w:val="left"/>
        <w:rPr>
          <w:i/>
          <w:lang w:eastAsia="en-US"/>
        </w:rPr>
        <w:sectPr w:rsidR="00AF5C9F" w:rsidRPr="00A470FF" w:rsidSect="00E740A0">
          <w:headerReference w:type="even" r:id="rId46"/>
          <w:headerReference w:type="default" r:id="rId47"/>
          <w:footerReference w:type="even" r:id="rId48"/>
          <w:footerReference w:type="default" r:id="rId49"/>
          <w:footnotePr>
            <w:numRestart w:val="eachSect"/>
          </w:footnotePr>
          <w:pgSz w:w="16838" w:h="11906" w:orient="landscape" w:code="9"/>
          <w:pgMar w:top="1134" w:right="1701" w:bottom="1134" w:left="2268" w:header="567" w:footer="567" w:gutter="0"/>
          <w:cols w:space="708"/>
          <w:docGrid w:linePitch="360"/>
        </w:sectPr>
      </w:pPr>
    </w:p>
    <w:p w14:paraId="1E8EFE91" w14:textId="77777777" w:rsidR="00AA552D" w:rsidRPr="00A470FF" w:rsidRDefault="00AA552D" w:rsidP="00AA552D">
      <w:pPr>
        <w:pStyle w:val="HChG"/>
        <w:ind w:firstLine="0"/>
        <w:rPr>
          <w:bCs/>
        </w:rPr>
      </w:pPr>
      <w:r w:rsidRPr="00A470FF">
        <w:rPr>
          <w:bCs/>
        </w:rPr>
        <w:lastRenderedPageBreak/>
        <w:t>Decision 1</w:t>
      </w:r>
      <w:r w:rsidR="00D35DA3" w:rsidRPr="00A470FF">
        <w:rPr>
          <w:bCs/>
        </w:rPr>
        <w:t>0</w:t>
      </w:r>
      <w:r w:rsidRPr="00A470FF">
        <w:rPr>
          <w:bCs/>
        </w:rPr>
        <w:t>/CP.21</w:t>
      </w:r>
    </w:p>
    <w:p w14:paraId="1E8EFE92" w14:textId="77777777" w:rsidR="00AA552D" w:rsidRPr="00A470FF" w:rsidRDefault="00AA552D" w:rsidP="00AA552D">
      <w:pPr>
        <w:pStyle w:val="HChG"/>
      </w:pPr>
      <w:r w:rsidRPr="00A470FF">
        <w:tab/>
      </w:r>
      <w:r w:rsidRPr="00A470FF">
        <w:tab/>
        <w:t>The 2013–2015 review</w:t>
      </w:r>
    </w:p>
    <w:p w14:paraId="1E8EFE93" w14:textId="77777777" w:rsidR="00845868" w:rsidRPr="00A470FF" w:rsidRDefault="00845868" w:rsidP="00845868">
      <w:pPr>
        <w:pStyle w:val="RegSingleTxtG"/>
        <w:numPr>
          <w:ilvl w:val="0"/>
          <w:numId w:val="0"/>
        </w:numPr>
        <w:ind w:left="1135"/>
        <w:rPr>
          <w:i/>
        </w:rPr>
      </w:pPr>
      <w:r w:rsidRPr="00A470FF">
        <w:tab/>
      </w:r>
      <w:r w:rsidRPr="00A470FF">
        <w:rPr>
          <w:i/>
        </w:rPr>
        <w:t>The Conference of the Parties</w:t>
      </w:r>
      <w:r w:rsidRPr="00A470FF">
        <w:t>,</w:t>
      </w:r>
    </w:p>
    <w:p w14:paraId="1E8EFE94" w14:textId="77777777" w:rsidR="00845868" w:rsidRPr="00A470FF" w:rsidRDefault="00845868" w:rsidP="00845868">
      <w:pPr>
        <w:pStyle w:val="RegSingleTxtG"/>
        <w:numPr>
          <w:ilvl w:val="0"/>
          <w:numId w:val="0"/>
        </w:numPr>
        <w:ind w:left="1135"/>
      </w:pPr>
      <w:r w:rsidRPr="00A470FF">
        <w:tab/>
      </w:r>
      <w:r w:rsidRPr="00A470FF">
        <w:rPr>
          <w:i/>
        </w:rPr>
        <w:t>Recalling</w:t>
      </w:r>
      <w:r w:rsidRPr="00A470FF">
        <w:t xml:space="preserve"> Article 2 of the Convention,</w:t>
      </w:r>
    </w:p>
    <w:p w14:paraId="1E8EFE95" w14:textId="77777777" w:rsidR="00845868" w:rsidRPr="00A470FF" w:rsidRDefault="00845868" w:rsidP="00845868">
      <w:pPr>
        <w:pStyle w:val="RegSingleTxtG"/>
        <w:numPr>
          <w:ilvl w:val="0"/>
          <w:numId w:val="0"/>
        </w:numPr>
        <w:ind w:left="1135"/>
      </w:pPr>
      <w:r w:rsidRPr="00A470FF">
        <w:tab/>
      </w:r>
      <w:r w:rsidRPr="00A470FF">
        <w:rPr>
          <w:i/>
        </w:rPr>
        <w:t>Also recalling</w:t>
      </w:r>
      <w:r w:rsidRPr="00A470FF">
        <w:t xml:space="preserve"> decisions 1/CP.16, paragraphs 138 and 139, 1/CP.17, paragraph 6, 2/CP.17, paragraphs 157–167, and 1/CP.18, paragraphs 79–91,</w:t>
      </w:r>
    </w:p>
    <w:p w14:paraId="1E8EFE96" w14:textId="58733B9D" w:rsidR="00845868" w:rsidRPr="00A470FF" w:rsidRDefault="00467704" w:rsidP="00467704">
      <w:pPr>
        <w:pStyle w:val="RegSingleTxtG"/>
        <w:numPr>
          <w:ilvl w:val="0"/>
          <w:numId w:val="0"/>
        </w:numPr>
        <w:tabs>
          <w:tab w:val="left" w:pos="568"/>
        </w:tabs>
        <w:ind w:left="1135"/>
      </w:pPr>
      <w:r w:rsidRPr="00A470FF">
        <w:t>1.</w:t>
      </w:r>
      <w:r w:rsidRPr="00A470FF">
        <w:tab/>
      </w:r>
      <w:r w:rsidR="00845868" w:rsidRPr="00A470FF">
        <w:rPr>
          <w:i/>
        </w:rPr>
        <w:t>Takes note</w:t>
      </w:r>
      <w:r w:rsidR="00845868" w:rsidRPr="00A470FF">
        <w:t xml:space="preserve"> of the work of the structured expert dialogue, which contributed to completing the phases of the 2013–2015 review reflected in decision 2/CP.17, paragraph 164, and of the report on the structured expert dialogue,</w:t>
      </w:r>
      <w:r w:rsidR="00845868" w:rsidRPr="00133F1A">
        <w:rPr>
          <w:sz w:val="18"/>
          <w:vertAlign w:val="superscript"/>
        </w:rPr>
        <w:footnoteReference w:id="33"/>
      </w:r>
      <w:r w:rsidR="00845868" w:rsidRPr="00A470FF">
        <w:t xml:space="preserve"> including the 10 messages highlighted therein;</w:t>
      </w:r>
    </w:p>
    <w:p w14:paraId="1E8EFE97" w14:textId="60B69B5D" w:rsidR="00845868" w:rsidRPr="00A470FF" w:rsidRDefault="00467704" w:rsidP="00467704">
      <w:pPr>
        <w:pStyle w:val="RegSingleTxtG"/>
        <w:numPr>
          <w:ilvl w:val="0"/>
          <w:numId w:val="0"/>
        </w:numPr>
        <w:tabs>
          <w:tab w:val="left" w:pos="568"/>
        </w:tabs>
        <w:ind w:left="1135"/>
      </w:pPr>
      <w:r w:rsidRPr="00A470FF">
        <w:t>2.</w:t>
      </w:r>
      <w:r w:rsidRPr="00A470FF">
        <w:tab/>
      </w:r>
      <w:r w:rsidR="00845868" w:rsidRPr="00A470FF">
        <w:rPr>
          <w:i/>
        </w:rPr>
        <w:t>Expresses</w:t>
      </w:r>
      <w:r w:rsidR="00845868" w:rsidRPr="00A470FF">
        <w:t xml:space="preserve"> its appreciation and gratitude to all those involved in the structured expert dialogue;</w:t>
      </w:r>
    </w:p>
    <w:p w14:paraId="1E8EFE98" w14:textId="5EAAFCF1" w:rsidR="00845868" w:rsidRPr="00A470FF" w:rsidRDefault="00467704" w:rsidP="00467704">
      <w:pPr>
        <w:pStyle w:val="RegSingleTxtG"/>
        <w:numPr>
          <w:ilvl w:val="0"/>
          <w:numId w:val="0"/>
        </w:numPr>
        <w:tabs>
          <w:tab w:val="left" w:pos="568"/>
        </w:tabs>
        <w:ind w:left="1135"/>
      </w:pPr>
      <w:r w:rsidRPr="00A470FF">
        <w:t>3.</w:t>
      </w:r>
      <w:r w:rsidRPr="00A470FF">
        <w:tab/>
      </w:r>
      <w:r w:rsidR="00845868" w:rsidRPr="00A470FF">
        <w:rPr>
          <w:i/>
        </w:rPr>
        <w:t>Notes</w:t>
      </w:r>
      <w:r w:rsidR="00845868" w:rsidRPr="00A470FF">
        <w:t xml:space="preserve"> that the structured expert dialogue completed its work, as described in decision 1/CP.18, paragraphs 86–89;</w:t>
      </w:r>
    </w:p>
    <w:p w14:paraId="1E8EFE99" w14:textId="6FC7CA5B" w:rsidR="00845868" w:rsidRPr="00A470FF" w:rsidRDefault="00467704" w:rsidP="00467704">
      <w:pPr>
        <w:pStyle w:val="RegSingleTxtG"/>
        <w:numPr>
          <w:ilvl w:val="0"/>
          <w:numId w:val="0"/>
        </w:numPr>
        <w:tabs>
          <w:tab w:val="left" w:pos="568"/>
        </w:tabs>
        <w:ind w:left="1135"/>
      </w:pPr>
      <w:r w:rsidRPr="00A470FF">
        <w:t>4.</w:t>
      </w:r>
      <w:r w:rsidRPr="00A470FF">
        <w:tab/>
      </w:r>
      <w:r w:rsidR="00845868" w:rsidRPr="00A470FF">
        <w:rPr>
          <w:i/>
        </w:rPr>
        <w:t>Decides</w:t>
      </w:r>
      <w:r w:rsidR="00845868" w:rsidRPr="00A470FF">
        <w:t>, in relation to the adequacy of the long-term global goal, and in the light of the ultimate objective of the Convention, that the goal is to hold the increase in the global average temperature to well below 2</w:t>
      </w:r>
      <w:r w:rsidR="00995A32" w:rsidRPr="00A470FF">
        <w:t xml:space="preserve"> </w:t>
      </w:r>
      <w:r w:rsidR="00845868" w:rsidRPr="00A470FF">
        <w:t>°C above pre-industrial levels and to pursue efforts to limit the temperature increase to 1.5</w:t>
      </w:r>
      <w:r w:rsidR="00995A32" w:rsidRPr="00A470FF">
        <w:t xml:space="preserve"> </w:t>
      </w:r>
      <w:r w:rsidR="00845868" w:rsidRPr="00A470FF">
        <w:t>°C above pre-industrial levels, recognizing that this would significantly reduce the risks and impacts of climate change;</w:t>
      </w:r>
    </w:p>
    <w:p w14:paraId="1E8EFE9A" w14:textId="361C1E6B" w:rsidR="00845868" w:rsidRPr="00A470FF" w:rsidRDefault="00467704" w:rsidP="00467704">
      <w:pPr>
        <w:pStyle w:val="RegSingleTxtG"/>
        <w:numPr>
          <w:ilvl w:val="0"/>
          <w:numId w:val="0"/>
        </w:numPr>
        <w:tabs>
          <w:tab w:val="left" w:pos="568"/>
        </w:tabs>
        <w:ind w:left="1135"/>
      </w:pPr>
      <w:r w:rsidRPr="00A470FF">
        <w:t>5.</w:t>
      </w:r>
      <w:r w:rsidRPr="00A470FF">
        <w:tab/>
      </w:r>
      <w:r w:rsidR="00845868" w:rsidRPr="00A470FF">
        <w:rPr>
          <w:i/>
        </w:rPr>
        <w:t>Also decides</w:t>
      </w:r>
      <w:r w:rsidR="00845868" w:rsidRPr="00A470FF">
        <w:t xml:space="preserve"> that, in the light of the overall progress made towards achieving the long-term global goal, including consideration of the implementation of the commitments under the Convention, Parties should act urgently and ambitiously under the Convention while recognizing the technological, economic and institutional challenges;</w:t>
      </w:r>
    </w:p>
    <w:p w14:paraId="1E8EFE9B" w14:textId="545AAFEE" w:rsidR="00845868" w:rsidRPr="00A470FF" w:rsidRDefault="00467704" w:rsidP="00467704">
      <w:pPr>
        <w:pStyle w:val="RegSingleTxtG"/>
        <w:numPr>
          <w:ilvl w:val="0"/>
          <w:numId w:val="0"/>
        </w:numPr>
        <w:tabs>
          <w:tab w:val="left" w:pos="568"/>
        </w:tabs>
        <w:ind w:left="1135"/>
      </w:pPr>
      <w:r w:rsidRPr="00A470FF">
        <w:t>6.</w:t>
      </w:r>
      <w:r w:rsidRPr="00A470FF">
        <w:tab/>
      </w:r>
      <w:r w:rsidR="00845868" w:rsidRPr="00A470FF">
        <w:rPr>
          <w:i/>
        </w:rPr>
        <w:t>Notes</w:t>
      </w:r>
      <w:r w:rsidR="00845868" w:rsidRPr="00A470FF">
        <w:t xml:space="preserve"> that, although some progress has already been made by UNFCCC bodies in scaling up financial, technological and capacity-building support, significant gaps still exist in terms of both the scale and </w:t>
      </w:r>
      <w:r w:rsidR="001A15E0" w:rsidRPr="00A470FF">
        <w:t xml:space="preserve">the </w:t>
      </w:r>
      <w:r w:rsidR="00845868" w:rsidRPr="00A470FF">
        <w:t>speed of such progress;</w:t>
      </w:r>
    </w:p>
    <w:p w14:paraId="1E8EFE9C" w14:textId="2DF2BD73" w:rsidR="00845868" w:rsidRPr="00A470FF" w:rsidRDefault="00467704" w:rsidP="00467704">
      <w:pPr>
        <w:pStyle w:val="RegSingleTxtG"/>
        <w:numPr>
          <w:ilvl w:val="0"/>
          <w:numId w:val="0"/>
        </w:numPr>
        <w:tabs>
          <w:tab w:val="left" w:pos="568"/>
        </w:tabs>
        <w:ind w:left="1135"/>
      </w:pPr>
      <w:r w:rsidRPr="00A470FF">
        <w:t>7.</w:t>
      </w:r>
      <w:r w:rsidRPr="00A470FF">
        <w:tab/>
      </w:r>
      <w:r w:rsidR="00845868" w:rsidRPr="00A470FF">
        <w:rPr>
          <w:i/>
        </w:rPr>
        <w:t>Also notes</w:t>
      </w:r>
      <w:r w:rsidR="00845868" w:rsidRPr="00A470FF">
        <w:t xml:space="preserve"> that there continue to be information gaps in relation to the areas covered within the scope of the 2013–2015 review as set out in decision 1/CP.18, paragraph 79;</w:t>
      </w:r>
    </w:p>
    <w:p w14:paraId="1E8EFE9D" w14:textId="7207BD36" w:rsidR="00845868" w:rsidRPr="00A470FF" w:rsidRDefault="00467704" w:rsidP="00467704">
      <w:pPr>
        <w:pStyle w:val="RegSingleTxtG"/>
        <w:numPr>
          <w:ilvl w:val="0"/>
          <w:numId w:val="0"/>
        </w:numPr>
        <w:tabs>
          <w:tab w:val="left" w:pos="568"/>
        </w:tabs>
        <w:ind w:left="1135"/>
      </w:pPr>
      <w:r w:rsidRPr="00A470FF">
        <w:t>8.</w:t>
      </w:r>
      <w:r w:rsidRPr="00A470FF">
        <w:tab/>
      </w:r>
      <w:r w:rsidR="00845868" w:rsidRPr="00A470FF">
        <w:rPr>
          <w:i/>
        </w:rPr>
        <w:t>Encourages</w:t>
      </w:r>
      <w:r w:rsidR="00845868" w:rsidRPr="00A470FF">
        <w:t xml:space="preserve"> the scientific community to address information and research gaps identified during the structured expert dialogue, including scenarios that limit warming to below 1.5</w:t>
      </w:r>
      <w:r w:rsidR="00995A32" w:rsidRPr="00A470FF">
        <w:t xml:space="preserve"> </w:t>
      </w:r>
      <w:r w:rsidR="00845868" w:rsidRPr="00A470FF">
        <w:t>°C relative to pre-industrial levels by 2100 and the range of impacts at the regional and local scales associated with those scenarios;</w:t>
      </w:r>
    </w:p>
    <w:p w14:paraId="1E8EFE9E" w14:textId="1641B69F" w:rsidR="00845868" w:rsidRPr="00A470FF" w:rsidRDefault="00467704" w:rsidP="00467704">
      <w:pPr>
        <w:pStyle w:val="RegSingleTxtG"/>
        <w:numPr>
          <w:ilvl w:val="0"/>
          <w:numId w:val="0"/>
        </w:numPr>
        <w:tabs>
          <w:tab w:val="left" w:pos="568"/>
        </w:tabs>
        <w:ind w:left="1135"/>
      </w:pPr>
      <w:r w:rsidRPr="00A470FF">
        <w:t>9.</w:t>
      </w:r>
      <w:r w:rsidRPr="00A470FF">
        <w:tab/>
      </w:r>
      <w:r w:rsidR="00845868" w:rsidRPr="00A470FF">
        <w:rPr>
          <w:i/>
        </w:rPr>
        <w:t>Recalls</w:t>
      </w:r>
      <w:r w:rsidR="00845868" w:rsidRPr="00A470FF">
        <w:t xml:space="preserve"> that the next periodic review should be conducted in accordance with decision 2/CP.17, paragraph 167, and </w:t>
      </w:r>
      <w:r w:rsidR="00845868" w:rsidRPr="00A470FF">
        <w:rPr>
          <w:i/>
        </w:rPr>
        <w:t>agrees</w:t>
      </w:r>
      <w:r w:rsidR="00845868" w:rsidRPr="00A470FF">
        <w:t xml:space="preserve"> that the next periodic review should be conducted in an effective and efficient manner, avoid duplication of work, and take into account the results of relevant work conducted under the Convention</w:t>
      </w:r>
      <w:r w:rsidR="001A15E0" w:rsidRPr="00A470FF">
        <w:t xml:space="preserve"> and</w:t>
      </w:r>
      <w:r w:rsidR="00845868" w:rsidRPr="00A470FF">
        <w:t xml:space="preserve"> its Kyoto Protocol and the subsidiary bodies;</w:t>
      </w:r>
    </w:p>
    <w:p w14:paraId="1E8EFE9F" w14:textId="095ED5EE" w:rsidR="00845868" w:rsidRPr="00A470FF" w:rsidRDefault="00467704" w:rsidP="00467704">
      <w:pPr>
        <w:pStyle w:val="RegSingleTxtG"/>
        <w:numPr>
          <w:ilvl w:val="0"/>
          <w:numId w:val="0"/>
        </w:numPr>
        <w:tabs>
          <w:tab w:val="left" w:pos="568"/>
        </w:tabs>
        <w:ind w:left="1135"/>
      </w:pPr>
      <w:r w:rsidRPr="00A470FF">
        <w:t>10.</w:t>
      </w:r>
      <w:r w:rsidRPr="00A470FF">
        <w:tab/>
      </w:r>
      <w:r w:rsidR="00845868" w:rsidRPr="00A470FF">
        <w:rPr>
          <w:i/>
        </w:rPr>
        <w:t>Requests</w:t>
      </w:r>
      <w:r w:rsidR="00845868" w:rsidRPr="00A470FF">
        <w:t xml:space="preserve"> the Subsidiary Body for Scientific and Technological Advice and the Subsidiary Body for Implementation to consider the scope of the next periodic review, referred to in paragraph 9 above, with a view to forwarding a recommendation for consideration by the Conference of the Parties by no later than 2018, as appropriate;</w:t>
      </w:r>
    </w:p>
    <w:p w14:paraId="1E8EFEA0" w14:textId="46175D30" w:rsidR="00845868" w:rsidRPr="00A470FF" w:rsidRDefault="00467704" w:rsidP="00467704">
      <w:pPr>
        <w:pStyle w:val="RegSingleTxtG"/>
        <w:numPr>
          <w:ilvl w:val="0"/>
          <w:numId w:val="0"/>
        </w:numPr>
        <w:tabs>
          <w:tab w:val="left" w:pos="568"/>
        </w:tabs>
        <w:ind w:left="1135"/>
      </w:pPr>
      <w:r w:rsidRPr="00A470FF">
        <w:lastRenderedPageBreak/>
        <w:t>11.</w:t>
      </w:r>
      <w:r w:rsidRPr="00A470FF">
        <w:tab/>
      </w:r>
      <w:r w:rsidR="00845868" w:rsidRPr="00A470FF">
        <w:rPr>
          <w:i/>
        </w:rPr>
        <w:t>Agrees</w:t>
      </w:r>
      <w:r w:rsidR="00845868" w:rsidRPr="00A470FF">
        <w:t xml:space="preserve"> to reconvene the structured expert dialogue in conjunction with the next periodic review;</w:t>
      </w:r>
    </w:p>
    <w:p w14:paraId="1E8EFEA1" w14:textId="0F22D378" w:rsidR="00845868" w:rsidRPr="00A470FF" w:rsidRDefault="00467704" w:rsidP="00467704">
      <w:pPr>
        <w:pStyle w:val="RegSingleTxtG"/>
        <w:numPr>
          <w:ilvl w:val="0"/>
          <w:numId w:val="0"/>
        </w:numPr>
        <w:tabs>
          <w:tab w:val="left" w:pos="568"/>
        </w:tabs>
        <w:ind w:left="1135"/>
      </w:pPr>
      <w:r w:rsidRPr="00A470FF">
        <w:t>12.</w:t>
      </w:r>
      <w:r w:rsidRPr="00A470FF">
        <w:tab/>
      </w:r>
      <w:r w:rsidR="00845868" w:rsidRPr="00A470FF">
        <w:rPr>
          <w:i/>
        </w:rPr>
        <w:t>Notes</w:t>
      </w:r>
      <w:r w:rsidR="00845868" w:rsidRPr="00A470FF">
        <w:t xml:space="preserve"> that the first periodic review fulfilled its mandate, as contained in decisions 1/CP.16, paragraphs 138 and 139, 1/CP.17, paragraph 6, 2/CP.17, paragraphs 157–167, and 1/CP.18, paragraphs 79–91.</w:t>
      </w:r>
    </w:p>
    <w:p w14:paraId="1E8EFEA3" w14:textId="77777777" w:rsidR="00AA552D" w:rsidRPr="00A470FF" w:rsidRDefault="00DF228D"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11</w:t>
      </w:r>
      <w:r w:rsidR="00AA552D" w:rsidRPr="00A470FF">
        <w:rPr>
          <w:i/>
          <w:vertAlign w:val="superscript"/>
          <w:lang w:eastAsia="en-US"/>
        </w:rPr>
        <w:t>th</w:t>
      </w:r>
      <w:r w:rsidR="00AA552D" w:rsidRPr="00A470FF">
        <w:rPr>
          <w:i/>
          <w:lang w:eastAsia="en-US"/>
        </w:rPr>
        <w:t xml:space="preserve"> plenary meeting</w:t>
      </w:r>
    </w:p>
    <w:p w14:paraId="1E8EFEA4" w14:textId="4FFADC47" w:rsidR="00AA552D" w:rsidRPr="00A470FF" w:rsidRDefault="00B822FA"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 xml:space="preserve">13 </w:t>
      </w:r>
      <w:r w:rsidR="00AA552D" w:rsidRPr="00A470FF">
        <w:rPr>
          <w:i/>
          <w:lang w:eastAsia="en-US"/>
        </w:rPr>
        <w:t>December 2015</w:t>
      </w:r>
    </w:p>
    <w:p w14:paraId="1E8EFEA5" w14:textId="77777777" w:rsidR="00AA552D" w:rsidRPr="00A470FF" w:rsidRDefault="00AA552D" w:rsidP="00AA552D">
      <w:pPr>
        <w:sectPr w:rsidR="00AA552D" w:rsidRPr="00A470FF" w:rsidSect="00E740A0">
          <w:headerReference w:type="even" r:id="rId50"/>
          <w:headerReference w:type="default" r:id="rId51"/>
          <w:footerReference w:type="even" r:id="rId52"/>
          <w:footerReference w:type="default" r:id="rId53"/>
          <w:footnotePr>
            <w:numRestart w:val="eachSect"/>
          </w:footnotePr>
          <w:pgSz w:w="11906" w:h="16838" w:code="9"/>
          <w:pgMar w:top="1701" w:right="1134" w:bottom="2268" w:left="1134" w:header="1134" w:footer="1701" w:gutter="0"/>
          <w:cols w:space="708"/>
          <w:docGrid w:linePitch="360"/>
        </w:sectPr>
      </w:pPr>
    </w:p>
    <w:p w14:paraId="1E8EFEA6" w14:textId="77777777" w:rsidR="00D35DA3" w:rsidRPr="00A470FF" w:rsidRDefault="00D35DA3" w:rsidP="00D35DA3">
      <w:pPr>
        <w:pStyle w:val="HChG"/>
        <w:ind w:firstLine="0"/>
        <w:rPr>
          <w:bCs/>
          <w:lang w:eastAsia="en-US"/>
        </w:rPr>
      </w:pPr>
      <w:r w:rsidRPr="00A470FF">
        <w:rPr>
          <w:bCs/>
          <w:lang w:eastAsia="en-US"/>
        </w:rPr>
        <w:lastRenderedPageBreak/>
        <w:t>Decision 11/CP.21</w:t>
      </w:r>
    </w:p>
    <w:p w14:paraId="1E8EFEA7" w14:textId="77777777" w:rsidR="00D35DA3" w:rsidRPr="00A470FF" w:rsidRDefault="00D35DA3" w:rsidP="00D35DA3">
      <w:pPr>
        <w:pStyle w:val="HChG"/>
        <w:rPr>
          <w:lang w:eastAsia="en-US"/>
        </w:rPr>
      </w:pPr>
      <w:r w:rsidRPr="00A470FF">
        <w:rPr>
          <w:lang w:eastAsia="en-US"/>
        </w:rPr>
        <w:tab/>
      </w:r>
      <w:r w:rsidRPr="00A470FF">
        <w:rPr>
          <w:lang w:eastAsia="en-US"/>
        </w:rPr>
        <w:tab/>
        <w:t>Forum and work programme on the impact of the implementation of response measures</w:t>
      </w:r>
    </w:p>
    <w:p w14:paraId="1E8EFEA8" w14:textId="51423483" w:rsidR="00D35DA3" w:rsidRPr="00A470FF" w:rsidRDefault="00CE3B33" w:rsidP="00D35DA3">
      <w:pPr>
        <w:tabs>
          <w:tab w:val="left" w:pos="1701"/>
        </w:tabs>
        <w:spacing w:after="120"/>
        <w:ind w:left="1135" w:right="1134"/>
        <w:jc w:val="both"/>
        <w:rPr>
          <w:i/>
        </w:rPr>
      </w:pPr>
      <w:r>
        <w:rPr>
          <w:i/>
        </w:rPr>
        <w:tab/>
      </w:r>
      <w:r w:rsidR="00D35DA3" w:rsidRPr="00A470FF">
        <w:rPr>
          <w:i/>
        </w:rPr>
        <w:t>The Conference of the Parties</w:t>
      </w:r>
      <w:r w:rsidR="00D35DA3" w:rsidRPr="00A470FF">
        <w:t>,</w:t>
      </w:r>
    </w:p>
    <w:p w14:paraId="1E8EFEA9" w14:textId="51FA3042" w:rsidR="00D35DA3" w:rsidRPr="00A470FF" w:rsidRDefault="00D35DA3" w:rsidP="00D35DA3">
      <w:pPr>
        <w:tabs>
          <w:tab w:val="left" w:pos="1701"/>
        </w:tabs>
        <w:spacing w:after="120"/>
        <w:ind w:left="1135" w:right="1134"/>
        <w:jc w:val="both"/>
        <w:rPr>
          <w:rFonts w:ascii="TimesNewRoman" w:eastAsia="Times New Roman" w:hAnsi="TimesNewRoman" w:cs="TimesNewRoman"/>
          <w:lang w:eastAsia="en-GB"/>
        </w:rPr>
      </w:pPr>
      <w:r w:rsidRPr="00A470FF">
        <w:rPr>
          <w:rFonts w:ascii="TimesNewRoman,Italic" w:eastAsia="Times New Roman" w:hAnsi="TimesNewRoman,Italic" w:cs="TimesNewRoman,Italic"/>
          <w:i/>
          <w:iCs/>
          <w:lang w:eastAsia="en-GB"/>
        </w:rPr>
        <w:tab/>
        <w:t xml:space="preserve">Recalling </w:t>
      </w:r>
      <w:r w:rsidRPr="00A470FF">
        <w:rPr>
          <w:rFonts w:ascii="TimesNewRoman" w:eastAsia="Times New Roman" w:hAnsi="TimesNewRoman" w:cs="TimesNewRoman"/>
          <w:lang w:eastAsia="en-GB"/>
        </w:rPr>
        <w:t>the objective of the Convention</w:t>
      </w:r>
      <w:r w:rsidR="00D417CF" w:rsidRPr="00A470FF">
        <w:rPr>
          <w:rFonts w:ascii="TimesNewRoman" w:eastAsia="Times New Roman" w:hAnsi="TimesNewRoman" w:cs="TimesNewRoman"/>
          <w:lang w:eastAsia="en-GB"/>
        </w:rPr>
        <w:t xml:space="preserve"> as set out in its Article 2</w:t>
      </w:r>
      <w:r w:rsidRPr="00A470FF">
        <w:rPr>
          <w:rFonts w:ascii="TimesNewRoman" w:eastAsia="Times New Roman" w:hAnsi="TimesNewRoman" w:cs="TimesNewRoman"/>
          <w:lang w:eastAsia="en-GB"/>
        </w:rPr>
        <w:t>,</w:t>
      </w:r>
    </w:p>
    <w:p w14:paraId="1E8EFEAA" w14:textId="14D1329E" w:rsidR="00D35DA3" w:rsidRPr="00A470FF" w:rsidRDefault="00D35DA3" w:rsidP="00D35DA3">
      <w:pPr>
        <w:tabs>
          <w:tab w:val="left" w:pos="1701"/>
        </w:tabs>
        <w:spacing w:after="120"/>
        <w:ind w:left="1135" w:right="1134"/>
        <w:jc w:val="both"/>
        <w:rPr>
          <w:rFonts w:ascii="TimesNewRoman" w:eastAsia="Times New Roman" w:hAnsi="TimesNewRoman" w:cs="TimesNewRoman"/>
          <w:lang w:eastAsia="en-GB"/>
        </w:rPr>
      </w:pPr>
      <w:r w:rsidRPr="00A470FF">
        <w:rPr>
          <w:rFonts w:ascii="TimesNewRoman,Italic" w:eastAsia="Times New Roman" w:hAnsi="TimesNewRoman,Italic" w:cs="TimesNewRoman,Italic"/>
          <w:i/>
          <w:iCs/>
          <w:lang w:eastAsia="en-GB"/>
        </w:rPr>
        <w:tab/>
        <w:t xml:space="preserve">Reaffirming </w:t>
      </w:r>
      <w:r w:rsidRPr="00A470FF">
        <w:rPr>
          <w:rFonts w:ascii="TimesNewRoman" w:eastAsia="Times New Roman" w:hAnsi="TimesNewRoman" w:cs="TimesNewRoman"/>
          <w:lang w:eastAsia="en-GB"/>
        </w:rPr>
        <w:t>the relevant principles and provisions of the Convention related to the economic and social consequences of response measures, in particular its Articles 2, 3 and</w:t>
      </w:r>
      <w:r w:rsidR="00995A32" w:rsidRPr="00A470FF">
        <w:rPr>
          <w:rFonts w:ascii="TimesNewRoman" w:eastAsia="Times New Roman" w:hAnsi="TimesNewRoman" w:cs="TimesNewRoman"/>
          <w:lang w:eastAsia="en-GB"/>
        </w:rPr>
        <w:t> </w:t>
      </w:r>
      <w:r w:rsidRPr="00A470FF">
        <w:rPr>
          <w:rFonts w:ascii="TimesNewRoman" w:eastAsia="Times New Roman" w:hAnsi="TimesNewRoman" w:cs="TimesNewRoman"/>
          <w:lang w:eastAsia="en-GB"/>
        </w:rPr>
        <w:t>4,</w:t>
      </w:r>
    </w:p>
    <w:p w14:paraId="1E8EFEAB" w14:textId="57C9D59A" w:rsidR="00D35DA3" w:rsidRPr="00A470FF" w:rsidRDefault="00D35DA3" w:rsidP="00D35DA3">
      <w:pPr>
        <w:tabs>
          <w:tab w:val="left" w:pos="1701"/>
        </w:tabs>
        <w:spacing w:after="120"/>
        <w:ind w:left="1135" w:right="1134"/>
        <w:jc w:val="both"/>
        <w:rPr>
          <w:i/>
          <w:iCs/>
        </w:rPr>
      </w:pPr>
      <w:r w:rsidRPr="00A470FF">
        <w:rPr>
          <w:i/>
          <w:iCs/>
        </w:rPr>
        <w:tab/>
        <w:t xml:space="preserve">Recalling </w:t>
      </w:r>
      <w:r w:rsidRPr="00A470FF">
        <w:t>decisions 5/CP.7, 1/CP.10, 1/CP.13, 1/CP.16, 2/CP.17, 8/CP.17, 1/CP.18 and 31/CMP.1, and Article 4, paragraphs 8, 9 and 10</w:t>
      </w:r>
      <w:r w:rsidR="00D417CF" w:rsidRPr="00A470FF">
        <w:t>,</w:t>
      </w:r>
      <w:r w:rsidRPr="00A470FF">
        <w:t xml:space="preserve"> of the Convention, as well as Article 2, paragraph 3, and Article 3, paragraph 14, of </w:t>
      </w:r>
      <w:r w:rsidR="00D417CF" w:rsidRPr="00A470FF">
        <w:t>the</w:t>
      </w:r>
      <w:r w:rsidRPr="00A470FF">
        <w:t xml:space="preserve"> Kyoto Protocol,</w:t>
      </w:r>
    </w:p>
    <w:p w14:paraId="1E8EFEAC" w14:textId="687A9EAB" w:rsidR="00D35DA3" w:rsidRPr="00A470FF" w:rsidRDefault="00D35DA3" w:rsidP="00D35DA3">
      <w:pPr>
        <w:tabs>
          <w:tab w:val="left" w:pos="1701"/>
        </w:tabs>
        <w:spacing w:after="120"/>
        <w:ind w:left="1135" w:right="1134"/>
        <w:jc w:val="both"/>
        <w:rPr>
          <w:rFonts w:ascii="TimesNewRoman,Italic" w:eastAsia="Times New Roman" w:hAnsi="TimesNewRoman,Italic" w:cs="TimesNewRoman,Italic"/>
          <w:iCs/>
          <w:lang w:eastAsia="en-GB"/>
        </w:rPr>
      </w:pPr>
      <w:r w:rsidRPr="00A470FF">
        <w:rPr>
          <w:i/>
          <w:iCs/>
        </w:rPr>
        <w:tab/>
      </w:r>
      <w:r w:rsidRPr="00A470FF">
        <w:rPr>
          <w:rFonts w:ascii="TimesNewRoman,Italic" w:eastAsia="Times New Roman" w:hAnsi="TimesNewRoman,Italic" w:cs="TimesNewRoman,Italic"/>
          <w:i/>
          <w:iCs/>
          <w:lang w:eastAsia="en-GB"/>
        </w:rPr>
        <w:t xml:space="preserve">Acknowledging </w:t>
      </w:r>
      <w:r w:rsidRPr="00A470FF">
        <w:rPr>
          <w:rFonts w:ascii="TimesNewRoman,Italic" w:eastAsia="Times New Roman" w:hAnsi="TimesNewRoman,Italic" w:cs="TimesNewRoman,Italic"/>
          <w:iCs/>
          <w:lang w:eastAsia="en-GB"/>
        </w:rPr>
        <w:t xml:space="preserve">Parties’ repeated calls for a continued and structured exchange of information on both the positive and </w:t>
      </w:r>
      <w:r w:rsidR="00D417CF" w:rsidRPr="00A470FF">
        <w:rPr>
          <w:rFonts w:ascii="TimesNewRoman,Italic" w:eastAsia="Times New Roman" w:hAnsi="TimesNewRoman,Italic" w:cs="TimesNewRoman,Italic"/>
          <w:iCs/>
          <w:lang w:eastAsia="en-GB"/>
        </w:rPr>
        <w:t xml:space="preserve">the </w:t>
      </w:r>
      <w:r w:rsidRPr="00A470FF">
        <w:rPr>
          <w:rFonts w:ascii="TimesNewRoman,Italic" w:eastAsia="Times New Roman" w:hAnsi="TimesNewRoman,Italic" w:cs="TimesNewRoman,Italic"/>
          <w:iCs/>
          <w:lang w:eastAsia="en-GB"/>
        </w:rPr>
        <w:t>negative consequences of response measures and on ways to maximize the positive and minimize the negative consequences for Parties, in line with the work programme on this matter developed by the subsidiary bodies,</w:t>
      </w:r>
    </w:p>
    <w:p w14:paraId="1E8EFEAD" w14:textId="77777777" w:rsidR="00D35DA3" w:rsidRPr="00A470FF" w:rsidRDefault="00D35DA3" w:rsidP="00D35DA3">
      <w:pPr>
        <w:tabs>
          <w:tab w:val="left" w:pos="1701"/>
        </w:tabs>
        <w:spacing w:after="120"/>
        <w:ind w:left="1135" w:right="1134"/>
        <w:jc w:val="both"/>
      </w:pPr>
      <w:r w:rsidRPr="00A470FF">
        <w:rPr>
          <w:i/>
          <w:iCs/>
        </w:rPr>
        <w:tab/>
      </w:r>
      <w:r w:rsidRPr="00A470FF">
        <w:rPr>
          <w:i/>
        </w:rPr>
        <w:t>Noting</w:t>
      </w:r>
      <w:r w:rsidRPr="00A470FF">
        <w:t xml:space="preserve"> that the review of the work of the forum on the impact of the implementation of response measures, pursuant to decision 8/CP.17, paragraph 5, has been concluded,</w:t>
      </w:r>
    </w:p>
    <w:p w14:paraId="1E8EFEAE" w14:textId="77777777" w:rsidR="00D35DA3" w:rsidRPr="00A470FF" w:rsidRDefault="00D35DA3" w:rsidP="00D35DA3">
      <w:pPr>
        <w:tabs>
          <w:tab w:val="left" w:pos="1701"/>
        </w:tabs>
        <w:spacing w:after="120"/>
        <w:ind w:left="1135" w:right="1134"/>
        <w:jc w:val="both"/>
      </w:pPr>
      <w:r w:rsidRPr="00A470FF">
        <w:rPr>
          <w:i/>
        </w:rPr>
        <w:tab/>
        <w:t xml:space="preserve">Affirming </w:t>
      </w:r>
      <w:r w:rsidRPr="00A470FF">
        <w:t>that a more focused consideration of issues is needed for improving the effectiveness of the process,</w:t>
      </w:r>
    </w:p>
    <w:p w14:paraId="1E8EFEAF" w14:textId="5C93048F" w:rsidR="00D35DA3" w:rsidRPr="00A470FF" w:rsidRDefault="00467704" w:rsidP="00467704">
      <w:pPr>
        <w:tabs>
          <w:tab w:val="left" w:pos="568"/>
          <w:tab w:val="left" w:pos="1701"/>
        </w:tabs>
        <w:spacing w:after="120"/>
        <w:ind w:left="1135" w:right="1134"/>
        <w:jc w:val="both"/>
      </w:pPr>
      <w:r w:rsidRPr="00A470FF">
        <w:t>1.</w:t>
      </w:r>
      <w:r w:rsidRPr="00A470FF">
        <w:tab/>
      </w:r>
      <w:r w:rsidR="00D35DA3" w:rsidRPr="00A470FF">
        <w:rPr>
          <w:i/>
        </w:rPr>
        <w:t>Decides</w:t>
      </w:r>
      <w:r w:rsidR="00D35DA3" w:rsidRPr="00A470FF">
        <w:t xml:space="preserve"> to continue and improve the forum on the impact of the implementation of response measures, which shall provide a platform allowing Parties to share, in an interactive manner, information, experiences, case studies, best practices and views, and to facilitate assessment and analysis of the impact of the implementation of response measures, with a view to recommending specific actions;</w:t>
      </w:r>
    </w:p>
    <w:p w14:paraId="1E8EFEB0" w14:textId="1CA0B6D7" w:rsidR="00D35DA3" w:rsidRPr="00A470FF" w:rsidRDefault="00467704" w:rsidP="00467704">
      <w:pPr>
        <w:tabs>
          <w:tab w:val="left" w:pos="568"/>
          <w:tab w:val="left" w:pos="1701"/>
        </w:tabs>
        <w:spacing w:after="120"/>
        <w:ind w:left="1135" w:right="1134"/>
        <w:jc w:val="both"/>
        <w:rPr>
          <w:iCs/>
        </w:rPr>
      </w:pPr>
      <w:r w:rsidRPr="00A470FF">
        <w:rPr>
          <w:iCs/>
        </w:rPr>
        <w:t>2.</w:t>
      </w:r>
      <w:r w:rsidRPr="00A470FF">
        <w:rPr>
          <w:iCs/>
        </w:rPr>
        <w:tab/>
      </w:r>
      <w:r w:rsidR="00D35DA3" w:rsidRPr="00A470FF">
        <w:rPr>
          <w:i/>
          <w:iCs/>
        </w:rPr>
        <w:t xml:space="preserve">Also decides </w:t>
      </w:r>
      <w:r w:rsidR="00D35DA3" w:rsidRPr="00A470FF">
        <w:rPr>
          <w:iCs/>
        </w:rPr>
        <w:t>to focus work under the improved forum</w:t>
      </w:r>
      <w:r w:rsidR="00D417CF" w:rsidRPr="00A470FF">
        <w:rPr>
          <w:iCs/>
        </w:rPr>
        <w:t xml:space="preserve"> on</w:t>
      </w:r>
      <w:r w:rsidR="00D35DA3" w:rsidRPr="00A470FF">
        <w:rPr>
          <w:iCs/>
        </w:rPr>
        <w:t>, inter alia, the provision of concrete examples, case studies and practices in order to enhance the capacity of Parties, in particular developing country Parties, to deal with the impact of the implementation of response measures;</w:t>
      </w:r>
    </w:p>
    <w:p w14:paraId="1E8EFEB1" w14:textId="564B2A40" w:rsidR="00D35DA3" w:rsidRPr="00A470FF" w:rsidRDefault="00467704" w:rsidP="00467704">
      <w:pPr>
        <w:tabs>
          <w:tab w:val="left" w:pos="568"/>
          <w:tab w:val="left" w:pos="1701"/>
        </w:tabs>
        <w:spacing w:after="120"/>
        <w:ind w:left="1135" w:right="1134"/>
        <w:jc w:val="both"/>
      </w:pPr>
      <w:r w:rsidRPr="00A470FF">
        <w:t>3.</w:t>
      </w:r>
      <w:r w:rsidRPr="00A470FF">
        <w:tab/>
      </w:r>
      <w:r w:rsidR="00D35DA3" w:rsidRPr="00A470FF">
        <w:rPr>
          <w:i/>
        </w:rPr>
        <w:t xml:space="preserve">Requests </w:t>
      </w:r>
      <w:r w:rsidR="00D35DA3" w:rsidRPr="00A470FF">
        <w:t xml:space="preserve">the Chairs of the subsidiary bodies to convene the improved forum </w:t>
      </w:r>
      <w:r w:rsidR="001C64FD" w:rsidRPr="00A470FF">
        <w:t xml:space="preserve">in order </w:t>
      </w:r>
      <w:r w:rsidR="00D35DA3" w:rsidRPr="00A470FF">
        <w:t>to implement the work programme on the impact of the implementation of response measures referred to in paragraph 5 below, which will continue to be convened under a joint agenda item of the subsidiary bodies and operate in accordance with the procedures applicable to contact groups. The improved forum shall meet twice a year in conjunction with the sessions of the subsidiary bodies, with its first meeting taking place at the forty-fourth sessions (May 2016) of the subsidiary bodies;</w:t>
      </w:r>
    </w:p>
    <w:p w14:paraId="1E8EFEB2" w14:textId="0C633DEB" w:rsidR="00D35DA3" w:rsidRPr="00A470FF" w:rsidRDefault="00467704" w:rsidP="00467704">
      <w:pPr>
        <w:tabs>
          <w:tab w:val="left" w:pos="568"/>
          <w:tab w:val="left" w:pos="1701"/>
        </w:tabs>
        <w:spacing w:after="120"/>
        <w:ind w:left="1135" w:right="1134"/>
        <w:jc w:val="both"/>
      </w:pPr>
      <w:r w:rsidRPr="00A470FF">
        <w:t>4.</w:t>
      </w:r>
      <w:r w:rsidRPr="00A470FF">
        <w:tab/>
      </w:r>
      <w:r w:rsidR="00D35DA3" w:rsidRPr="00A470FF">
        <w:rPr>
          <w:i/>
        </w:rPr>
        <w:t xml:space="preserve">Also requests </w:t>
      </w:r>
      <w:r w:rsidR="00D35DA3" w:rsidRPr="00A470FF">
        <w:t>the</w:t>
      </w:r>
      <w:r w:rsidR="00D35DA3" w:rsidRPr="00A470FF">
        <w:rPr>
          <w:i/>
        </w:rPr>
        <w:t xml:space="preserve"> </w:t>
      </w:r>
      <w:r w:rsidR="00D35DA3" w:rsidRPr="00A470FF">
        <w:rPr>
          <w:rFonts w:ascii="TimesNewRoman" w:eastAsia="Times New Roman" w:hAnsi="TimesNewRoman" w:cs="TimesNewRoman"/>
          <w:lang w:eastAsia="en-GB"/>
        </w:rPr>
        <w:t>subsidiary bodies</w:t>
      </w:r>
      <w:r w:rsidR="00D35DA3" w:rsidRPr="00A470FF">
        <w:t>, in order to advance the work of the improved forum, to constitute ad hoc technical expert groups, as appropriate, to elaborate on the technical work under the improved forum. The ad hoc technical expert groups shall consist of balanced regional representation of Parties;</w:t>
      </w:r>
    </w:p>
    <w:p w14:paraId="1E8EFEB3" w14:textId="349D2A0E" w:rsidR="00D35DA3" w:rsidRPr="00A470FF" w:rsidRDefault="00467704" w:rsidP="00467704">
      <w:pPr>
        <w:tabs>
          <w:tab w:val="left" w:pos="568"/>
          <w:tab w:val="left" w:pos="1701"/>
        </w:tabs>
        <w:spacing w:after="120"/>
        <w:ind w:left="1135" w:right="1134"/>
        <w:jc w:val="both"/>
      </w:pPr>
      <w:r w:rsidRPr="00A470FF">
        <w:t>5.</w:t>
      </w:r>
      <w:r w:rsidRPr="00A470FF">
        <w:tab/>
      </w:r>
      <w:r w:rsidR="00D35DA3" w:rsidRPr="00A470FF">
        <w:rPr>
          <w:i/>
        </w:rPr>
        <w:t>Adopts</w:t>
      </w:r>
      <w:r w:rsidR="00D35DA3" w:rsidRPr="00A470FF">
        <w:t xml:space="preserve"> the work programme comprising the following areas:</w:t>
      </w:r>
    </w:p>
    <w:p w14:paraId="1E8EFEB4" w14:textId="5637C569" w:rsidR="00D35DA3" w:rsidRPr="00A470FF" w:rsidRDefault="00467704" w:rsidP="00467704">
      <w:pPr>
        <w:tabs>
          <w:tab w:val="left" w:pos="1701"/>
          <w:tab w:val="left" w:pos="2269"/>
        </w:tabs>
        <w:spacing w:after="120"/>
        <w:ind w:left="1135" w:right="1134" w:firstLine="567"/>
        <w:jc w:val="both"/>
      </w:pPr>
      <w:r w:rsidRPr="00A470FF">
        <w:t>(a)</w:t>
      </w:r>
      <w:r w:rsidRPr="00A470FF">
        <w:tab/>
      </w:r>
      <w:r w:rsidR="00D35DA3" w:rsidRPr="00A470FF">
        <w:t>Economic diversification and transformation;</w:t>
      </w:r>
    </w:p>
    <w:p w14:paraId="1E8EFEB5" w14:textId="2955A8C1" w:rsidR="00D35DA3" w:rsidRPr="00A470FF" w:rsidRDefault="00467704" w:rsidP="00467704">
      <w:pPr>
        <w:tabs>
          <w:tab w:val="left" w:pos="1701"/>
          <w:tab w:val="left" w:pos="2269"/>
        </w:tabs>
        <w:spacing w:after="120"/>
        <w:ind w:left="1135" w:right="1134" w:firstLine="567"/>
        <w:jc w:val="both"/>
      </w:pPr>
      <w:r w:rsidRPr="00A470FF">
        <w:lastRenderedPageBreak/>
        <w:t>(b)</w:t>
      </w:r>
      <w:r w:rsidRPr="00A470FF">
        <w:tab/>
      </w:r>
      <w:r w:rsidR="00D35DA3" w:rsidRPr="00A470FF">
        <w:t>Just transition of the workforce, and the creation of decent work and quality jobs;</w:t>
      </w:r>
    </w:p>
    <w:p w14:paraId="1E8EFEB6" w14:textId="6CFC6258" w:rsidR="00D35DA3" w:rsidRPr="00A470FF" w:rsidRDefault="00467704" w:rsidP="00467704">
      <w:pPr>
        <w:tabs>
          <w:tab w:val="left" w:pos="568"/>
          <w:tab w:val="left" w:pos="1701"/>
        </w:tabs>
        <w:suppressAutoHyphens w:val="0"/>
        <w:autoSpaceDE w:val="0"/>
        <w:autoSpaceDN w:val="0"/>
        <w:adjustRightInd w:val="0"/>
        <w:spacing w:after="120" w:line="240" w:lineRule="auto"/>
        <w:ind w:left="1135" w:right="1134"/>
        <w:jc w:val="both"/>
        <w:rPr>
          <w:rFonts w:ascii="TimesNewRoman" w:eastAsia="Times New Roman" w:hAnsi="TimesNewRoman" w:cs="TimesNewRoman"/>
          <w:lang w:eastAsia="en-GB"/>
        </w:rPr>
      </w:pPr>
      <w:r w:rsidRPr="00A470FF">
        <w:rPr>
          <w:rFonts w:eastAsia="Times New Roman"/>
          <w:lang w:eastAsia="en-GB"/>
        </w:rPr>
        <w:t>6.</w:t>
      </w:r>
      <w:r w:rsidRPr="00A470FF">
        <w:rPr>
          <w:rFonts w:eastAsia="Times New Roman"/>
          <w:lang w:eastAsia="en-GB"/>
        </w:rPr>
        <w:tab/>
      </w:r>
      <w:r w:rsidR="00D35DA3" w:rsidRPr="00A470FF">
        <w:rPr>
          <w:i/>
        </w:rPr>
        <w:t>Decides</w:t>
      </w:r>
      <w:r w:rsidR="00D35DA3" w:rsidRPr="00A470FF">
        <w:t xml:space="preserve"> that the implementation of the work programme shall address the needs of all Parties, in particular developing country Parties, and shall be informed, inter alia, by the assessment and analysis of impacts, including the use and development of economic modelling, taking into account all relevant policy issues of concern;</w:t>
      </w:r>
    </w:p>
    <w:p w14:paraId="1E8EFEB7" w14:textId="0921B3D3" w:rsidR="00D35DA3" w:rsidRPr="00A470FF" w:rsidRDefault="00467704" w:rsidP="00467704">
      <w:pPr>
        <w:tabs>
          <w:tab w:val="left" w:pos="568"/>
          <w:tab w:val="left" w:pos="1701"/>
        </w:tabs>
        <w:suppressAutoHyphens w:val="0"/>
        <w:autoSpaceDE w:val="0"/>
        <w:autoSpaceDN w:val="0"/>
        <w:adjustRightInd w:val="0"/>
        <w:spacing w:after="120" w:line="240" w:lineRule="auto"/>
        <w:ind w:left="1135" w:right="1134"/>
        <w:jc w:val="both"/>
        <w:rPr>
          <w:rFonts w:ascii="TimesNewRoman" w:eastAsia="Times New Roman" w:hAnsi="TimesNewRoman" w:cs="TimesNewRoman"/>
          <w:lang w:eastAsia="en-GB"/>
        </w:rPr>
      </w:pPr>
      <w:r w:rsidRPr="00A470FF">
        <w:rPr>
          <w:rFonts w:eastAsia="Times New Roman"/>
          <w:lang w:eastAsia="en-GB"/>
        </w:rPr>
        <w:t>7.</w:t>
      </w:r>
      <w:r w:rsidRPr="00A470FF">
        <w:rPr>
          <w:rFonts w:eastAsia="Times New Roman"/>
          <w:lang w:eastAsia="en-GB"/>
        </w:rPr>
        <w:tab/>
      </w:r>
      <w:r w:rsidR="00D35DA3" w:rsidRPr="00A470FF">
        <w:rPr>
          <w:rFonts w:ascii="TimesNewRoman,Italic" w:eastAsia="Times New Roman" w:hAnsi="TimesNewRoman,Italic" w:cs="TimesNewRoman,Italic"/>
          <w:i/>
          <w:iCs/>
          <w:lang w:eastAsia="en-GB"/>
        </w:rPr>
        <w:t xml:space="preserve">Requests </w:t>
      </w:r>
      <w:r w:rsidR="00D35DA3" w:rsidRPr="00A470FF">
        <w:rPr>
          <w:rFonts w:ascii="TimesNewRoman" w:eastAsia="Times New Roman" w:hAnsi="TimesNewRoman" w:cs="TimesNewRoman"/>
          <w:lang w:eastAsia="en-GB"/>
        </w:rPr>
        <w:t>the subsidiary bodies to review every three years, beginning at their forty-ninth sessions (November 2018), the work programme of the improved forum, including the modalities for its operation;</w:t>
      </w:r>
    </w:p>
    <w:p w14:paraId="1E8EFEB8" w14:textId="2EBFA4CA" w:rsidR="00D35DA3" w:rsidRPr="00A470FF" w:rsidRDefault="00467704" w:rsidP="00467704">
      <w:pPr>
        <w:tabs>
          <w:tab w:val="left" w:pos="568"/>
          <w:tab w:val="left" w:pos="1701"/>
        </w:tabs>
        <w:suppressAutoHyphens w:val="0"/>
        <w:autoSpaceDE w:val="0"/>
        <w:autoSpaceDN w:val="0"/>
        <w:adjustRightInd w:val="0"/>
        <w:spacing w:after="120" w:line="240" w:lineRule="auto"/>
        <w:ind w:left="1135" w:right="1134"/>
        <w:jc w:val="both"/>
        <w:rPr>
          <w:rFonts w:ascii="TimesNewRoman" w:eastAsia="Times New Roman" w:hAnsi="TimesNewRoman" w:cs="TimesNewRoman"/>
          <w:lang w:eastAsia="en-GB"/>
        </w:rPr>
      </w:pPr>
      <w:r w:rsidRPr="00A470FF">
        <w:rPr>
          <w:rFonts w:eastAsia="Times New Roman"/>
          <w:lang w:eastAsia="en-GB"/>
        </w:rPr>
        <w:t>8.</w:t>
      </w:r>
      <w:r w:rsidRPr="00A470FF">
        <w:rPr>
          <w:rFonts w:eastAsia="Times New Roman"/>
          <w:lang w:eastAsia="en-GB"/>
        </w:rPr>
        <w:tab/>
      </w:r>
      <w:r w:rsidR="00D35DA3" w:rsidRPr="00A470FF">
        <w:rPr>
          <w:i/>
        </w:rPr>
        <w:t>Decides</w:t>
      </w:r>
      <w:r w:rsidR="00D35DA3" w:rsidRPr="00A470FF">
        <w:t xml:space="preserve"> that the improved forum shall </w:t>
      </w:r>
      <w:r w:rsidR="00D35DA3" w:rsidRPr="00A470FF">
        <w:rPr>
          <w:rFonts w:ascii="TimesNewRoman" w:eastAsia="Times New Roman" w:hAnsi="TimesNewRoman" w:cs="TimesNewRoman"/>
          <w:lang w:eastAsia="en-GB"/>
        </w:rPr>
        <w:t>provide recommendations to the subsidiary bodies on the actions referred to in paragraph 1 above for their consideration, with a view to recommending those actions, as appropriate, to the Conference of the Parties, beginning at its twenty-third session (November</w:t>
      </w:r>
      <w:r w:rsidR="00D35DA3" w:rsidRPr="00A470FF">
        <w:t xml:space="preserve"> 2017);</w:t>
      </w:r>
    </w:p>
    <w:p w14:paraId="1E8EFEB9" w14:textId="6E0E1EC7" w:rsidR="00D35DA3" w:rsidRPr="00A470FF" w:rsidRDefault="00467704" w:rsidP="00467704">
      <w:pPr>
        <w:tabs>
          <w:tab w:val="left" w:pos="568"/>
          <w:tab w:val="left" w:pos="1701"/>
        </w:tabs>
        <w:suppressAutoHyphens w:val="0"/>
        <w:autoSpaceDE w:val="0"/>
        <w:autoSpaceDN w:val="0"/>
        <w:adjustRightInd w:val="0"/>
        <w:spacing w:after="120" w:line="240" w:lineRule="auto"/>
        <w:ind w:left="1135" w:right="1134"/>
        <w:jc w:val="both"/>
        <w:rPr>
          <w:rFonts w:ascii="TimesNewRoman" w:eastAsia="Times New Roman" w:hAnsi="TimesNewRoman" w:cs="TimesNewRoman"/>
          <w:i/>
          <w:lang w:eastAsia="en-GB"/>
        </w:rPr>
      </w:pPr>
      <w:r w:rsidRPr="00A470FF">
        <w:rPr>
          <w:rFonts w:eastAsia="Times New Roman"/>
          <w:lang w:eastAsia="en-GB"/>
        </w:rPr>
        <w:t>9.</w:t>
      </w:r>
      <w:r w:rsidRPr="00A470FF">
        <w:rPr>
          <w:rFonts w:eastAsia="Times New Roman"/>
          <w:lang w:eastAsia="en-GB"/>
        </w:rPr>
        <w:tab/>
      </w:r>
      <w:r w:rsidR="00D35DA3" w:rsidRPr="00A470FF">
        <w:rPr>
          <w:rFonts w:ascii="TimesNewRoman" w:eastAsia="Times New Roman" w:hAnsi="TimesNewRoman" w:cs="TimesNewRoman"/>
          <w:i/>
          <w:lang w:eastAsia="en-GB"/>
        </w:rPr>
        <w:t xml:space="preserve">Requests </w:t>
      </w:r>
      <w:r w:rsidR="00D35DA3" w:rsidRPr="00A470FF">
        <w:rPr>
          <w:rFonts w:ascii="TimesNewRoman" w:eastAsia="Times New Roman" w:hAnsi="TimesNewRoman" w:cs="TimesNewRoman"/>
          <w:lang w:eastAsia="en-GB"/>
        </w:rPr>
        <w:t xml:space="preserve">the secretariat to prepare, </w:t>
      </w:r>
      <w:r w:rsidR="00D35DA3" w:rsidRPr="00A470FF">
        <w:rPr>
          <w:color w:val="000000"/>
        </w:rPr>
        <w:t>subject to the availability of financial resources,</w:t>
      </w:r>
      <w:r w:rsidR="00D35DA3" w:rsidRPr="00A470FF">
        <w:rPr>
          <w:rFonts w:ascii="TimesNewRoman" w:eastAsia="Times New Roman" w:hAnsi="TimesNewRoman" w:cs="TimesNewRoman"/>
          <w:lang w:eastAsia="en-GB"/>
        </w:rPr>
        <w:t xml:space="preserve"> a guidance document to assist developing country Parties to assess the impact of the implementation of response measures, including guidance on modelling tools, as well as technical materials to assist developing country Parties </w:t>
      </w:r>
      <w:r w:rsidR="001C64FD" w:rsidRPr="00A470FF">
        <w:rPr>
          <w:rFonts w:ascii="TimesNewRoman" w:eastAsia="Times New Roman" w:hAnsi="TimesNewRoman" w:cs="TimesNewRoman"/>
          <w:lang w:eastAsia="en-GB"/>
        </w:rPr>
        <w:t>in</w:t>
      </w:r>
      <w:r w:rsidR="00D35DA3" w:rsidRPr="00A470FF">
        <w:rPr>
          <w:rFonts w:ascii="TimesNewRoman" w:eastAsia="Times New Roman" w:hAnsi="TimesNewRoman" w:cs="TimesNewRoman"/>
          <w:lang w:eastAsia="en-GB"/>
        </w:rPr>
        <w:t xml:space="preserve"> their economic diversification initiatives, for consideration at the forty-fourth sessions of the subsidiary bodies;</w:t>
      </w:r>
    </w:p>
    <w:p w14:paraId="1F72F570" w14:textId="1C5117E3" w:rsidR="00DF6526" w:rsidRPr="00A470FF" w:rsidRDefault="00467704" w:rsidP="00467704">
      <w:pPr>
        <w:tabs>
          <w:tab w:val="left" w:pos="568"/>
          <w:tab w:val="left" w:pos="1701"/>
        </w:tabs>
        <w:suppressAutoHyphens w:val="0"/>
        <w:autoSpaceDE w:val="0"/>
        <w:autoSpaceDN w:val="0"/>
        <w:adjustRightInd w:val="0"/>
        <w:spacing w:after="120" w:line="240" w:lineRule="auto"/>
        <w:ind w:left="1135" w:right="1134"/>
        <w:jc w:val="both"/>
        <w:rPr>
          <w:rFonts w:ascii="TimesNewRoman" w:eastAsia="Times New Roman" w:hAnsi="TimesNewRoman" w:cs="TimesNewRoman"/>
          <w:i/>
          <w:lang w:eastAsia="en-GB"/>
        </w:rPr>
      </w:pPr>
      <w:r w:rsidRPr="00A470FF">
        <w:rPr>
          <w:rFonts w:eastAsia="Times New Roman"/>
          <w:lang w:eastAsia="en-GB"/>
        </w:rPr>
        <w:t>10.</w:t>
      </w:r>
      <w:r w:rsidRPr="00A470FF">
        <w:rPr>
          <w:rFonts w:eastAsia="Times New Roman"/>
          <w:lang w:eastAsia="en-GB"/>
        </w:rPr>
        <w:tab/>
      </w:r>
      <w:r w:rsidR="00D35DA3" w:rsidRPr="00A470FF">
        <w:rPr>
          <w:i/>
        </w:rPr>
        <w:t>Takes</w:t>
      </w:r>
      <w:r w:rsidR="00D35DA3" w:rsidRPr="00A470FF">
        <w:t xml:space="preserve"> </w:t>
      </w:r>
      <w:r w:rsidR="00D35DA3" w:rsidRPr="00A470FF">
        <w:rPr>
          <w:i/>
        </w:rPr>
        <w:t>note</w:t>
      </w:r>
      <w:r w:rsidR="00D35DA3" w:rsidRPr="00A470FF">
        <w:t xml:space="preserve"> of the estimated budgetary implications of the activities to be undertaken by the secretariat </w:t>
      </w:r>
      <w:r w:rsidR="00DF6526" w:rsidRPr="00A470FF">
        <w:t xml:space="preserve">pursuant to the provisions contained </w:t>
      </w:r>
      <w:r w:rsidR="00D35DA3" w:rsidRPr="00A470FF">
        <w:t>in paragraph 9 above</w:t>
      </w:r>
      <w:r w:rsidR="00DF6526" w:rsidRPr="00A470FF">
        <w:t>;</w:t>
      </w:r>
    </w:p>
    <w:p w14:paraId="1E8EFEBA" w14:textId="654828C6" w:rsidR="00D35DA3" w:rsidRPr="00A470FF" w:rsidRDefault="00467704" w:rsidP="00467704">
      <w:pPr>
        <w:tabs>
          <w:tab w:val="left" w:pos="568"/>
          <w:tab w:val="left" w:pos="1701"/>
        </w:tabs>
        <w:suppressAutoHyphens w:val="0"/>
        <w:autoSpaceDE w:val="0"/>
        <w:autoSpaceDN w:val="0"/>
        <w:adjustRightInd w:val="0"/>
        <w:spacing w:after="120" w:line="240" w:lineRule="auto"/>
        <w:ind w:left="1135" w:right="1134"/>
        <w:jc w:val="both"/>
        <w:rPr>
          <w:rFonts w:ascii="TimesNewRoman" w:eastAsia="Times New Roman" w:hAnsi="TimesNewRoman" w:cs="TimesNewRoman"/>
          <w:i/>
          <w:lang w:eastAsia="en-GB"/>
        </w:rPr>
      </w:pPr>
      <w:r w:rsidRPr="00A470FF">
        <w:rPr>
          <w:rFonts w:eastAsia="Times New Roman"/>
          <w:lang w:eastAsia="en-GB"/>
        </w:rPr>
        <w:t>11.</w:t>
      </w:r>
      <w:r w:rsidRPr="00A470FF">
        <w:rPr>
          <w:rFonts w:eastAsia="Times New Roman"/>
          <w:lang w:eastAsia="en-GB"/>
        </w:rPr>
        <w:tab/>
      </w:r>
      <w:r w:rsidR="00DF6526" w:rsidRPr="00A470FF">
        <w:rPr>
          <w:i/>
        </w:rPr>
        <w:t>R</w:t>
      </w:r>
      <w:r w:rsidR="00D35DA3" w:rsidRPr="00A470FF">
        <w:rPr>
          <w:i/>
        </w:rPr>
        <w:t>equests</w:t>
      </w:r>
      <w:r w:rsidR="00D35DA3" w:rsidRPr="00A470FF">
        <w:t xml:space="preserve"> that the actions of the secretariat called for in this decision be undertaken subject to the availability of financial resources.</w:t>
      </w:r>
    </w:p>
    <w:p w14:paraId="1E8EFEBB" w14:textId="77777777" w:rsidR="00D35DA3" w:rsidRPr="00A470FF" w:rsidRDefault="00D35DA3" w:rsidP="00D35DA3">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11</w:t>
      </w:r>
      <w:r w:rsidRPr="00A470FF">
        <w:rPr>
          <w:i/>
          <w:vertAlign w:val="superscript"/>
          <w:lang w:eastAsia="en-US"/>
        </w:rPr>
        <w:t>th</w:t>
      </w:r>
      <w:r w:rsidRPr="00A470FF">
        <w:rPr>
          <w:i/>
          <w:lang w:eastAsia="en-US"/>
        </w:rPr>
        <w:t xml:space="preserve"> plenary meeting</w:t>
      </w:r>
    </w:p>
    <w:p w14:paraId="1E8EFEBC" w14:textId="166FBD11" w:rsidR="00D35DA3" w:rsidRPr="00A470FF" w:rsidRDefault="006E79F4" w:rsidP="00D35DA3">
      <w:pPr>
        <w:jc w:val="right"/>
      </w:pPr>
      <w:r w:rsidRPr="00A470FF">
        <w:rPr>
          <w:i/>
          <w:lang w:eastAsia="en-US"/>
        </w:rPr>
        <w:t xml:space="preserve">13 </w:t>
      </w:r>
      <w:r w:rsidR="00D35DA3" w:rsidRPr="00A470FF">
        <w:rPr>
          <w:i/>
          <w:lang w:eastAsia="en-US"/>
        </w:rPr>
        <w:t>December</w:t>
      </w:r>
      <w:r w:rsidR="004D2B5E" w:rsidRPr="00A470FF">
        <w:rPr>
          <w:i/>
          <w:lang w:eastAsia="en-US"/>
        </w:rPr>
        <w:t xml:space="preserve"> 2015</w:t>
      </w:r>
    </w:p>
    <w:p w14:paraId="1E8EFEBE" w14:textId="77777777" w:rsidR="00D35DA3" w:rsidRPr="00A470FF" w:rsidRDefault="00D35DA3" w:rsidP="00D35DA3"/>
    <w:p w14:paraId="1E8EFEBF" w14:textId="77777777" w:rsidR="00D35DA3" w:rsidRPr="00A470FF" w:rsidRDefault="00D35DA3" w:rsidP="00D35DA3">
      <w:pPr>
        <w:sectPr w:rsidR="00D35DA3" w:rsidRPr="00A470FF" w:rsidSect="00E740A0">
          <w:headerReference w:type="even" r:id="rId54"/>
          <w:headerReference w:type="default" r:id="rId55"/>
          <w:footerReference w:type="even" r:id="rId56"/>
          <w:footerReference w:type="default" r:id="rId57"/>
          <w:footnotePr>
            <w:numRestart w:val="eachSect"/>
          </w:footnotePr>
          <w:pgSz w:w="11906" w:h="16838" w:code="9"/>
          <w:pgMar w:top="1701" w:right="1134" w:bottom="2268" w:left="1134" w:header="1134" w:footer="1701" w:gutter="0"/>
          <w:cols w:space="708"/>
          <w:docGrid w:linePitch="360"/>
        </w:sectPr>
      </w:pPr>
    </w:p>
    <w:p w14:paraId="1E8EFEC0" w14:textId="77777777" w:rsidR="00AA552D" w:rsidRPr="00A470FF" w:rsidRDefault="00AA552D" w:rsidP="00AA552D">
      <w:pPr>
        <w:pStyle w:val="HChG"/>
        <w:ind w:firstLine="0"/>
        <w:rPr>
          <w:bCs/>
        </w:rPr>
      </w:pPr>
      <w:r w:rsidRPr="00A470FF">
        <w:rPr>
          <w:bCs/>
        </w:rPr>
        <w:lastRenderedPageBreak/>
        <w:t>Decision 12/CP.21</w:t>
      </w:r>
    </w:p>
    <w:p w14:paraId="1E8EFEC1" w14:textId="77777777" w:rsidR="00AA552D" w:rsidRPr="00A470FF" w:rsidRDefault="00AA552D" w:rsidP="00AA552D">
      <w:pPr>
        <w:pStyle w:val="HChG"/>
      </w:pPr>
      <w:r w:rsidRPr="00A470FF">
        <w:tab/>
      </w:r>
      <w:r w:rsidRPr="00A470FF">
        <w:tab/>
        <w:t>Enhancing climate technology development and transfer through the Technology Mechanism</w:t>
      </w:r>
    </w:p>
    <w:p w14:paraId="1E8EFEC2" w14:textId="77777777" w:rsidR="00AA552D" w:rsidRPr="00A470FF" w:rsidRDefault="00AA552D" w:rsidP="00AA552D">
      <w:pPr>
        <w:pStyle w:val="SingleTxtG"/>
        <w:ind w:firstLine="567"/>
        <w:rPr>
          <w:i/>
        </w:rPr>
      </w:pPr>
      <w:r w:rsidRPr="00A470FF">
        <w:rPr>
          <w:i/>
        </w:rPr>
        <w:t>The Conference of the Parties</w:t>
      </w:r>
      <w:r w:rsidRPr="00A470FF">
        <w:t>,</w:t>
      </w:r>
      <w:r w:rsidRPr="00A470FF">
        <w:rPr>
          <w:i/>
        </w:rPr>
        <w:t xml:space="preserve"> </w:t>
      </w:r>
    </w:p>
    <w:p w14:paraId="1E8EFEC3" w14:textId="77777777" w:rsidR="00AA552D" w:rsidRPr="00A470FF" w:rsidRDefault="00AA552D" w:rsidP="00AA552D">
      <w:pPr>
        <w:pStyle w:val="SingleTxtG"/>
      </w:pPr>
      <w:r w:rsidRPr="00A470FF">
        <w:tab/>
      </w:r>
      <w:r w:rsidRPr="00A470FF">
        <w:rPr>
          <w:i/>
        </w:rPr>
        <w:t>Recalling</w:t>
      </w:r>
      <w:r w:rsidRPr="00A470FF">
        <w:t xml:space="preserve"> decisions 1/CP.16, 2/CP.17, 4/CP.17, 1/CP.18, 13/CP.18, 14/CP.18, 25/CP.19, 16/CP.20 and 17/CP.20, in particular paragraph 3,</w:t>
      </w:r>
    </w:p>
    <w:p w14:paraId="1E8EFEC4" w14:textId="1EEF8182" w:rsidR="00AA552D" w:rsidRPr="00A470FF" w:rsidRDefault="00467704" w:rsidP="00467704">
      <w:pPr>
        <w:pStyle w:val="RegSingleTxtG"/>
        <w:numPr>
          <w:ilvl w:val="0"/>
          <w:numId w:val="0"/>
        </w:numPr>
        <w:tabs>
          <w:tab w:val="left" w:pos="568"/>
        </w:tabs>
        <w:ind w:left="1135"/>
      </w:pPr>
      <w:r w:rsidRPr="00A470FF">
        <w:t>1.</w:t>
      </w:r>
      <w:r w:rsidRPr="00A470FF">
        <w:tab/>
      </w:r>
      <w:r w:rsidR="00AA552D" w:rsidRPr="00A470FF">
        <w:rPr>
          <w:i/>
        </w:rPr>
        <w:t>Welcomes with appreciation</w:t>
      </w:r>
      <w:r w:rsidR="00AA552D" w:rsidRPr="00A470FF">
        <w:t xml:space="preserve"> the joint annual report of the Technology Executive Committee and the Climate Technology Centre and Network for 2015,</w:t>
      </w:r>
      <w:r w:rsidR="00AA552D" w:rsidRPr="00A470FF">
        <w:rPr>
          <w:rStyle w:val="FootnoteReference"/>
        </w:rPr>
        <w:footnoteReference w:id="34"/>
      </w:r>
      <w:r w:rsidR="00AA552D" w:rsidRPr="00A470FF">
        <w:t xml:space="preserve"> which contains information on their respective activities and on the performance of their respective functions;</w:t>
      </w:r>
    </w:p>
    <w:p w14:paraId="1E8EFEC5" w14:textId="7E5506B6" w:rsidR="00AA552D" w:rsidRPr="00A470FF" w:rsidRDefault="00467704" w:rsidP="00467704">
      <w:pPr>
        <w:pStyle w:val="RegSingleTxtG"/>
        <w:numPr>
          <w:ilvl w:val="0"/>
          <w:numId w:val="0"/>
        </w:numPr>
        <w:tabs>
          <w:tab w:val="left" w:pos="568"/>
        </w:tabs>
        <w:ind w:left="1135"/>
      </w:pPr>
      <w:r w:rsidRPr="00A470FF">
        <w:t>2.</w:t>
      </w:r>
      <w:r w:rsidRPr="00A470FF">
        <w:tab/>
      </w:r>
      <w:r w:rsidR="00AA552D" w:rsidRPr="00A470FF">
        <w:rPr>
          <w:i/>
        </w:rPr>
        <w:t>Invites</w:t>
      </w:r>
      <w:r w:rsidR="00AA552D" w:rsidRPr="00A470FF">
        <w:t xml:space="preserve"> the Technology Executive Committee and the Advisory Board of the Climate Technology Centre and Network to update the procedures</w:t>
      </w:r>
      <w:r w:rsidR="00AA552D" w:rsidRPr="00A470FF">
        <w:rPr>
          <w:rStyle w:val="FootnoteReference"/>
        </w:rPr>
        <w:footnoteReference w:id="35"/>
      </w:r>
      <w:r w:rsidR="00AA552D" w:rsidRPr="00A470FF">
        <w:t xml:space="preserve"> for preparing the joint chapter of their joint annual report;</w:t>
      </w:r>
    </w:p>
    <w:p w14:paraId="1E8EFEC6" w14:textId="09618C6E" w:rsidR="00AA552D" w:rsidRPr="00A470FF" w:rsidRDefault="00467704" w:rsidP="00467704">
      <w:pPr>
        <w:pStyle w:val="RegSingleTxtG"/>
        <w:numPr>
          <w:ilvl w:val="0"/>
          <w:numId w:val="0"/>
        </w:numPr>
        <w:tabs>
          <w:tab w:val="left" w:pos="568"/>
        </w:tabs>
        <w:ind w:left="1135"/>
      </w:pPr>
      <w:r w:rsidRPr="00A470FF">
        <w:t>3.</w:t>
      </w:r>
      <w:r w:rsidRPr="00A470FF">
        <w:tab/>
      </w:r>
      <w:r w:rsidR="00AA552D" w:rsidRPr="00A470FF">
        <w:rPr>
          <w:i/>
        </w:rPr>
        <w:t>Also invites</w:t>
      </w:r>
      <w:r w:rsidR="00AA552D" w:rsidRPr="00A470FF">
        <w:t xml:space="preserve"> Parties and all relevant entities working on technology development and transfer to consider the key messages contained in the report referred to in paragraph 1 above; </w:t>
      </w:r>
    </w:p>
    <w:p w14:paraId="1E8EFEC7" w14:textId="1E99B280" w:rsidR="00AA552D" w:rsidRPr="00A470FF" w:rsidRDefault="00467704" w:rsidP="00467704">
      <w:pPr>
        <w:pStyle w:val="RegSingleTxtG"/>
        <w:numPr>
          <w:ilvl w:val="0"/>
          <w:numId w:val="0"/>
        </w:numPr>
        <w:tabs>
          <w:tab w:val="left" w:pos="568"/>
        </w:tabs>
        <w:ind w:left="1135"/>
      </w:pPr>
      <w:r w:rsidRPr="00A470FF">
        <w:t>4.</w:t>
      </w:r>
      <w:r w:rsidRPr="00A470FF">
        <w:tab/>
      </w:r>
      <w:r w:rsidR="00AA552D" w:rsidRPr="00A470FF">
        <w:rPr>
          <w:i/>
        </w:rPr>
        <w:t xml:space="preserve">Welcomes </w:t>
      </w:r>
      <w:r w:rsidR="00AA552D" w:rsidRPr="00A470FF">
        <w:t xml:space="preserve">the interim report </w:t>
      </w:r>
      <w:r w:rsidR="00B219DA" w:rsidRPr="00A470FF">
        <w:t>by</w:t>
      </w:r>
      <w:r w:rsidR="00AA552D" w:rsidRPr="00A470FF">
        <w:t xml:space="preserve"> the Technology Executive Committee on guidance on enhanced implementation of the results of technology needs assessments,</w:t>
      </w:r>
      <w:r w:rsidR="00AA552D" w:rsidRPr="00A470FF">
        <w:rPr>
          <w:rStyle w:val="FootnoteReference"/>
        </w:rPr>
        <w:footnoteReference w:id="36"/>
      </w:r>
      <w:r w:rsidR="00AA552D" w:rsidRPr="00A470FF">
        <w:t xml:space="preserve"> noting that the report should be considered final; </w:t>
      </w:r>
    </w:p>
    <w:p w14:paraId="1E8EFEC8" w14:textId="2C539C23" w:rsidR="00AA552D" w:rsidRPr="00A470FF" w:rsidRDefault="00467704" w:rsidP="00467704">
      <w:pPr>
        <w:pStyle w:val="RegSingleTxtG"/>
        <w:numPr>
          <w:ilvl w:val="0"/>
          <w:numId w:val="0"/>
        </w:numPr>
        <w:tabs>
          <w:tab w:val="left" w:pos="568"/>
        </w:tabs>
        <w:ind w:left="1135"/>
      </w:pPr>
      <w:r w:rsidRPr="00A470FF">
        <w:t>5.</w:t>
      </w:r>
      <w:r w:rsidRPr="00A470FF">
        <w:tab/>
      </w:r>
      <w:r w:rsidR="00AA552D" w:rsidRPr="00A470FF">
        <w:rPr>
          <w:i/>
        </w:rPr>
        <w:t>Notes</w:t>
      </w:r>
      <w:r w:rsidR="00AA552D" w:rsidRPr="00A470FF">
        <w:t xml:space="preserve"> that the Technology Executive Committee is to elaborate the outline for guidance on the preparation of technology action plans, contained in the annex to the report referred to in paragraph 4 above, and make it available in early 2016 to developing countr</w:t>
      </w:r>
      <w:r w:rsidR="00145B15" w:rsidRPr="00A470FF">
        <w:t xml:space="preserve">y Parties </w:t>
      </w:r>
      <w:r w:rsidR="00AA552D" w:rsidRPr="00A470FF">
        <w:t xml:space="preserve">for use in informing the technology needs assessment process; </w:t>
      </w:r>
    </w:p>
    <w:p w14:paraId="1E8EFEC9" w14:textId="659F5382" w:rsidR="00AA552D" w:rsidRPr="00A470FF" w:rsidRDefault="00467704" w:rsidP="00467704">
      <w:pPr>
        <w:pStyle w:val="RegSingleTxtG"/>
        <w:numPr>
          <w:ilvl w:val="0"/>
          <w:numId w:val="0"/>
        </w:numPr>
        <w:tabs>
          <w:tab w:val="left" w:pos="568"/>
        </w:tabs>
        <w:ind w:left="1135"/>
      </w:pPr>
      <w:r w:rsidRPr="00A470FF">
        <w:t>6.</w:t>
      </w:r>
      <w:r w:rsidRPr="00A470FF">
        <w:tab/>
      </w:r>
      <w:r w:rsidR="00AA552D" w:rsidRPr="00A470FF">
        <w:rPr>
          <w:i/>
        </w:rPr>
        <w:t xml:space="preserve">Invites </w:t>
      </w:r>
      <w:r w:rsidR="00AA552D" w:rsidRPr="00A470FF">
        <w:t>the Climate Technology Centre and Network to use the guidance referred to in paragraph 5 above when responding to requests from developing countr</w:t>
      </w:r>
      <w:r w:rsidR="00145B15" w:rsidRPr="00A470FF">
        <w:t xml:space="preserve">y Parties </w:t>
      </w:r>
      <w:r w:rsidR="00AA552D" w:rsidRPr="00A470FF">
        <w:t>regarding the provision of assistance to enable the implementation of the results of their technology needs assessments.</w:t>
      </w:r>
    </w:p>
    <w:p w14:paraId="1E8EFECA"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vertAlign w:val="superscript"/>
          <w:lang w:eastAsia="en-US"/>
        </w:rPr>
        <w:t>th</w:t>
      </w:r>
      <w:r w:rsidR="00AA552D" w:rsidRPr="00A470FF">
        <w:rPr>
          <w:i/>
          <w:lang w:eastAsia="en-US"/>
        </w:rPr>
        <w:t xml:space="preserve"> plenary meeting</w:t>
      </w:r>
    </w:p>
    <w:p w14:paraId="1E8EFECB" w14:textId="77777777" w:rsidR="00AA552D" w:rsidRPr="00A470FF" w:rsidRDefault="00A359FB"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10</w:t>
      </w:r>
      <w:r w:rsidR="00AA552D" w:rsidRPr="00A470FF">
        <w:rPr>
          <w:i/>
          <w:lang w:eastAsia="en-US"/>
        </w:rPr>
        <w:t xml:space="preserve"> December 2015</w:t>
      </w:r>
    </w:p>
    <w:p w14:paraId="1E8EFECC" w14:textId="77777777" w:rsidR="00AA552D" w:rsidRPr="00A470FF" w:rsidRDefault="00AA552D" w:rsidP="00AA552D">
      <w:pPr>
        <w:sectPr w:rsidR="00AA552D" w:rsidRPr="00A470FF" w:rsidSect="00E740A0">
          <w:headerReference w:type="even" r:id="rId58"/>
          <w:footerReference w:type="even" r:id="rId59"/>
          <w:footnotePr>
            <w:numRestart w:val="eachSect"/>
          </w:footnotePr>
          <w:pgSz w:w="11906" w:h="16838" w:code="9"/>
          <w:pgMar w:top="1701" w:right="1134" w:bottom="2268" w:left="1134" w:header="1134" w:footer="1701" w:gutter="0"/>
          <w:cols w:space="708"/>
          <w:docGrid w:linePitch="360"/>
        </w:sectPr>
      </w:pPr>
    </w:p>
    <w:p w14:paraId="1E8EFECD" w14:textId="77777777" w:rsidR="00AA552D" w:rsidRPr="00A470FF" w:rsidRDefault="00AA552D" w:rsidP="00AA552D">
      <w:pPr>
        <w:pStyle w:val="HChG"/>
        <w:ind w:firstLine="0"/>
        <w:rPr>
          <w:bCs/>
        </w:rPr>
      </w:pPr>
      <w:r w:rsidRPr="00A470FF">
        <w:rPr>
          <w:bCs/>
        </w:rPr>
        <w:lastRenderedPageBreak/>
        <w:t>Decision 13/CP.21</w:t>
      </w:r>
    </w:p>
    <w:p w14:paraId="1E8EFECE" w14:textId="7E4F208A" w:rsidR="00AA552D" w:rsidRPr="00A470FF" w:rsidRDefault="00AA552D" w:rsidP="00AA552D">
      <w:pPr>
        <w:pStyle w:val="HChG"/>
      </w:pPr>
      <w:r w:rsidRPr="00A470FF">
        <w:tab/>
      </w:r>
      <w:r w:rsidRPr="00A470FF">
        <w:tab/>
        <w:t>Linkages between the Technology Mechanism and the Financial Mechanism</w:t>
      </w:r>
      <w:r w:rsidR="00A6611B">
        <w:t xml:space="preserve"> of the Convention</w:t>
      </w:r>
    </w:p>
    <w:p w14:paraId="1E8EFECF" w14:textId="77777777" w:rsidR="00E93335" w:rsidRPr="00A470FF" w:rsidRDefault="00E93335" w:rsidP="00E93335">
      <w:pPr>
        <w:pStyle w:val="SingleTxtG"/>
        <w:ind w:firstLine="567"/>
        <w:rPr>
          <w:i/>
        </w:rPr>
      </w:pPr>
      <w:r w:rsidRPr="00A470FF">
        <w:rPr>
          <w:i/>
        </w:rPr>
        <w:t>The Conference of the Parties</w:t>
      </w:r>
      <w:r w:rsidRPr="00A470FF">
        <w:t>,</w:t>
      </w:r>
      <w:r w:rsidRPr="00A470FF">
        <w:rPr>
          <w:i/>
        </w:rPr>
        <w:t xml:space="preserve"> </w:t>
      </w:r>
    </w:p>
    <w:p w14:paraId="1E8EFED0" w14:textId="77777777" w:rsidR="00E93335" w:rsidRPr="00A470FF" w:rsidRDefault="00E93335" w:rsidP="00E93335">
      <w:pPr>
        <w:pStyle w:val="SingleTxtG"/>
      </w:pPr>
      <w:r w:rsidRPr="00A470FF">
        <w:tab/>
      </w:r>
      <w:r w:rsidRPr="00A470FF">
        <w:rPr>
          <w:i/>
        </w:rPr>
        <w:t>Recalling</w:t>
      </w:r>
      <w:r w:rsidRPr="00A470FF">
        <w:t xml:space="preserve"> decisions 1/CP.18, paragraph 62, and 3/CP.17, paragraph 17,</w:t>
      </w:r>
    </w:p>
    <w:p w14:paraId="1E8EFED1" w14:textId="747C74F2" w:rsidR="00E93335" w:rsidRPr="00A470FF" w:rsidRDefault="00467704" w:rsidP="00467704">
      <w:pPr>
        <w:pStyle w:val="RegSingleTxtG"/>
        <w:numPr>
          <w:ilvl w:val="0"/>
          <w:numId w:val="0"/>
        </w:numPr>
        <w:tabs>
          <w:tab w:val="left" w:pos="568"/>
        </w:tabs>
        <w:ind w:left="1135"/>
      </w:pPr>
      <w:r w:rsidRPr="00A470FF">
        <w:t>1.</w:t>
      </w:r>
      <w:r w:rsidRPr="00A470FF">
        <w:tab/>
      </w:r>
      <w:r w:rsidR="00E93335" w:rsidRPr="00A470FF">
        <w:rPr>
          <w:i/>
        </w:rPr>
        <w:t>Welcomes with appreciation</w:t>
      </w:r>
      <w:r w:rsidR="00E93335" w:rsidRPr="00A470FF">
        <w:t xml:space="preserve"> the recommendations of the Technology Executive Committee on linkages between the Technology Mechanism and the Financial Mechanism, as contained in the report of the </w:t>
      </w:r>
      <w:r w:rsidR="00B65473" w:rsidRPr="00A470FF">
        <w:t xml:space="preserve">Technology Executive </w:t>
      </w:r>
      <w:r w:rsidR="00E93335" w:rsidRPr="00A470FF">
        <w:t>Committee on this matter;</w:t>
      </w:r>
      <w:r w:rsidR="00E93335" w:rsidRPr="00A470FF">
        <w:rPr>
          <w:rStyle w:val="FootnoteReference"/>
        </w:rPr>
        <w:footnoteReference w:id="37"/>
      </w:r>
    </w:p>
    <w:p w14:paraId="1E8EFED2" w14:textId="0B2062D6" w:rsidR="00E93335" w:rsidRPr="00A470FF" w:rsidRDefault="00467704" w:rsidP="00467704">
      <w:pPr>
        <w:pStyle w:val="RegSingleTxtG"/>
        <w:numPr>
          <w:ilvl w:val="0"/>
          <w:numId w:val="0"/>
        </w:numPr>
        <w:tabs>
          <w:tab w:val="left" w:pos="568"/>
        </w:tabs>
        <w:ind w:left="1135"/>
      </w:pPr>
      <w:r w:rsidRPr="00A470FF">
        <w:t>2.</w:t>
      </w:r>
      <w:r w:rsidRPr="00A470FF">
        <w:tab/>
      </w:r>
      <w:r w:rsidR="001F27A2" w:rsidRPr="00A470FF">
        <w:rPr>
          <w:i/>
        </w:rPr>
        <w:t xml:space="preserve">Welcomes </w:t>
      </w:r>
      <w:r w:rsidR="00E93335" w:rsidRPr="00A470FF">
        <w:t>the ongoing and positive dialogue between the Green Climate Fund, the Global Environment Facility, the Technology Executive Committee and the Climate Technology Centre and Network;</w:t>
      </w:r>
    </w:p>
    <w:p w14:paraId="1E8EFED3" w14:textId="7AD2FC27" w:rsidR="00E93335" w:rsidRPr="00A470FF" w:rsidRDefault="00467704" w:rsidP="00467704">
      <w:pPr>
        <w:pStyle w:val="RegSingleTxtG"/>
        <w:numPr>
          <w:ilvl w:val="0"/>
          <w:numId w:val="0"/>
        </w:numPr>
        <w:tabs>
          <w:tab w:val="left" w:pos="568"/>
        </w:tabs>
        <w:ind w:left="1135"/>
      </w:pPr>
      <w:r w:rsidRPr="00A470FF">
        <w:t>3.</w:t>
      </w:r>
      <w:r w:rsidRPr="00A470FF">
        <w:tab/>
      </w:r>
      <w:r w:rsidR="001B5941" w:rsidRPr="00A470FF">
        <w:rPr>
          <w:i/>
        </w:rPr>
        <w:t>Also</w:t>
      </w:r>
      <w:r w:rsidR="00E93335" w:rsidRPr="00A470FF">
        <w:rPr>
          <w:i/>
        </w:rPr>
        <w:t xml:space="preserve"> welcomes</w:t>
      </w:r>
      <w:r w:rsidR="00E93335" w:rsidRPr="00A470FF">
        <w:t xml:space="preserve"> the contribution of the Global Environment Facility to the activities of the Climate Technology Centre and Network and looks forward to ongoing cooperation between these two entities;</w:t>
      </w:r>
    </w:p>
    <w:p w14:paraId="1E8EFED4" w14:textId="32C997D8" w:rsidR="00E93335" w:rsidRPr="00A470FF" w:rsidRDefault="00467704" w:rsidP="00467704">
      <w:pPr>
        <w:pStyle w:val="RegSingleTxtG"/>
        <w:numPr>
          <w:ilvl w:val="0"/>
          <w:numId w:val="0"/>
        </w:numPr>
        <w:tabs>
          <w:tab w:val="left" w:pos="568"/>
        </w:tabs>
        <w:ind w:left="1135"/>
      </w:pPr>
      <w:r w:rsidRPr="00A470FF">
        <w:t>4.</w:t>
      </w:r>
      <w:r w:rsidRPr="00A470FF">
        <w:tab/>
      </w:r>
      <w:r w:rsidR="00E93335" w:rsidRPr="00A470FF">
        <w:rPr>
          <w:i/>
        </w:rPr>
        <w:t>Invites</w:t>
      </w:r>
      <w:r w:rsidR="00E93335" w:rsidRPr="00A470FF">
        <w:t xml:space="preserve"> the Board of the </w:t>
      </w:r>
      <w:r w:rsidR="00E93335" w:rsidRPr="00A470FF">
        <w:rPr>
          <w:color w:val="000000"/>
        </w:rPr>
        <w:t xml:space="preserve">Green Climate Fund </w:t>
      </w:r>
      <w:r w:rsidR="00E93335" w:rsidRPr="00A470FF">
        <w:t>to provide its recommendations, in accordance with decision 1/CP.18, paragraph 62, for consideration by the Conference of the Parties at its twenty-second session (November 2016);</w:t>
      </w:r>
    </w:p>
    <w:p w14:paraId="1E8EFED5" w14:textId="00C57942" w:rsidR="00E93335" w:rsidRPr="00A470FF" w:rsidRDefault="00467704" w:rsidP="00467704">
      <w:pPr>
        <w:pStyle w:val="RegSingleTxtG"/>
        <w:numPr>
          <w:ilvl w:val="0"/>
          <w:numId w:val="0"/>
        </w:numPr>
        <w:tabs>
          <w:tab w:val="left" w:pos="568"/>
        </w:tabs>
        <w:ind w:left="1135"/>
      </w:pPr>
      <w:r w:rsidRPr="00A470FF">
        <w:t>5.</w:t>
      </w:r>
      <w:r w:rsidRPr="00A470FF">
        <w:tab/>
      </w:r>
      <w:r w:rsidR="00E93335" w:rsidRPr="00A470FF">
        <w:rPr>
          <w:i/>
        </w:rPr>
        <w:t xml:space="preserve">Recognizes </w:t>
      </w:r>
      <w:r w:rsidR="00E93335" w:rsidRPr="00A470FF">
        <w:t>the importance of and the need for defined, mutually beneficial and functional linkages between the Technology Mechanism and the Financial Mechanism through its operating entities, the Global Environment Facility and the Green Climate Fund;</w:t>
      </w:r>
    </w:p>
    <w:p w14:paraId="1E8EFED6" w14:textId="6C11C528" w:rsidR="00E93335" w:rsidRPr="00A470FF" w:rsidRDefault="00467704" w:rsidP="00467704">
      <w:pPr>
        <w:pStyle w:val="RegSingleTxtG"/>
        <w:numPr>
          <w:ilvl w:val="0"/>
          <w:numId w:val="0"/>
        </w:numPr>
        <w:tabs>
          <w:tab w:val="left" w:pos="568"/>
        </w:tabs>
        <w:ind w:left="1135"/>
      </w:pPr>
      <w:r w:rsidRPr="00A470FF">
        <w:t>6.</w:t>
      </w:r>
      <w:r w:rsidRPr="00A470FF">
        <w:tab/>
      </w:r>
      <w:r w:rsidR="00E93335" w:rsidRPr="00A470FF">
        <w:rPr>
          <w:i/>
        </w:rPr>
        <w:t>Also recognizes</w:t>
      </w:r>
      <w:r w:rsidR="00E93335" w:rsidRPr="00A470FF">
        <w:t xml:space="preserve"> that the definition and elaboration of linkages between the Technology Mechanism and the Financial Mechanism has the aim of ensuring financial resources for, and scaling up action on, technology development and transfer;</w:t>
      </w:r>
    </w:p>
    <w:p w14:paraId="1E8EFED7" w14:textId="75A23D2C" w:rsidR="00E93335" w:rsidRPr="00A470FF" w:rsidRDefault="00467704" w:rsidP="00467704">
      <w:pPr>
        <w:pStyle w:val="RegSingleTxtG"/>
        <w:numPr>
          <w:ilvl w:val="0"/>
          <w:numId w:val="0"/>
        </w:numPr>
        <w:tabs>
          <w:tab w:val="left" w:pos="568"/>
        </w:tabs>
        <w:ind w:left="1135"/>
      </w:pPr>
      <w:r w:rsidRPr="00A470FF">
        <w:t>7.</w:t>
      </w:r>
      <w:r w:rsidRPr="00A470FF">
        <w:tab/>
      </w:r>
      <w:r w:rsidR="00E93335" w:rsidRPr="00A470FF">
        <w:rPr>
          <w:i/>
        </w:rPr>
        <w:t>Underlines</w:t>
      </w:r>
      <w:r w:rsidR="00E93335" w:rsidRPr="00A470FF">
        <w:t xml:space="preserve"> the need for the Technology Executive Committee, the Climate Technology Centre and Network and the operating entities of the Financial Mechanism to enhance cooperation and collaboration with a view to enhancing the fulfilment and implementation of their respective mandates effectively, in accordance with Article 12, paragraph 4, of the Convention;</w:t>
      </w:r>
    </w:p>
    <w:p w14:paraId="1E8EFED8" w14:textId="18D9C689" w:rsidR="00E93335" w:rsidRPr="00A470FF" w:rsidRDefault="00467704" w:rsidP="00467704">
      <w:pPr>
        <w:pStyle w:val="RegSingleTxtG"/>
        <w:numPr>
          <w:ilvl w:val="0"/>
          <w:numId w:val="0"/>
        </w:numPr>
        <w:tabs>
          <w:tab w:val="left" w:pos="568"/>
        </w:tabs>
        <w:ind w:left="1135"/>
      </w:pPr>
      <w:r w:rsidRPr="00A470FF">
        <w:t>8.</w:t>
      </w:r>
      <w:r w:rsidRPr="00A470FF">
        <w:tab/>
      </w:r>
      <w:r w:rsidR="00E93335" w:rsidRPr="00A470FF">
        <w:rPr>
          <w:i/>
        </w:rPr>
        <w:t xml:space="preserve">Requests </w:t>
      </w:r>
      <w:r w:rsidR="00E93335" w:rsidRPr="00A470FF">
        <w:t>the Technology Executive Committee, the Climate Technology Centre and Network and the operating entities of the Financial Mechanism to continue to consult on and further elaborate, including through an in-session workshop at the forty-fourth sessions of the subsidiary bodies (May 2016), the linkages between the Technology Mechanism and the Financial Mechanism;</w:t>
      </w:r>
    </w:p>
    <w:p w14:paraId="1E8EFED9" w14:textId="3A744076" w:rsidR="00E93335" w:rsidRPr="00A470FF" w:rsidRDefault="00467704" w:rsidP="00467704">
      <w:pPr>
        <w:pStyle w:val="RegSingleTxtG"/>
        <w:numPr>
          <w:ilvl w:val="0"/>
          <w:numId w:val="0"/>
        </w:numPr>
        <w:tabs>
          <w:tab w:val="left" w:pos="568"/>
        </w:tabs>
        <w:ind w:left="1135"/>
      </w:pPr>
      <w:r w:rsidRPr="00A470FF">
        <w:t>9.</w:t>
      </w:r>
      <w:r w:rsidRPr="00A470FF">
        <w:tab/>
      </w:r>
      <w:r w:rsidR="00E93335" w:rsidRPr="00A470FF">
        <w:rPr>
          <w:i/>
        </w:rPr>
        <w:t xml:space="preserve">Also requests </w:t>
      </w:r>
      <w:r w:rsidR="00E93335" w:rsidRPr="00A470FF">
        <w:t>the Technology Executive Committee to include, in its annual report, the findings arising from the activities referred to in paragraph 8 above for consideration by the Conference of the Parties at its twenty-second session, taking into consideration the recommendations referred to in paragraph 4 above;</w:t>
      </w:r>
    </w:p>
    <w:p w14:paraId="1E8EFEDA" w14:textId="0D66C3DA" w:rsidR="00E93335" w:rsidRPr="00A470FF" w:rsidRDefault="00467704" w:rsidP="00467704">
      <w:pPr>
        <w:pStyle w:val="RegSingleTxtG"/>
        <w:numPr>
          <w:ilvl w:val="0"/>
          <w:numId w:val="0"/>
        </w:numPr>
        <w:tabs>
          <w:tab w:val="left" w:pos="568"/>
        </w:tabs>
        <w:ind w:left="1135"/>
      </w:pPr>
      <w:r w:rsidRPr="00A470FF">
        <w:t>10.</w:t>
      </w:r>
      <w:r w:rsidRPr="00A470FF">
        <w:tab/>
      </w:r>
      <w:r w:rsidR="00E93335" w:rsidRPr="00A470FF">
        <w:rPr>
          <w:i/>
        </w:rPr>
        <w:t>Invites</w:t>
      </w:r>
      <w:r w:rsidR="00E93335" w:rsidRPr="00A470FF">
        <w:t xml:space="preserve"> the Board of the Green Climate Fund, in line with paragraph 38 of the </w:t>
      </w:r>
      <w:r w:rsidR="00B65473" w:rsidRPr="00A470FF">
        <w:t>g</w:t>
      </w:r>
      <w:r w:rsidR="00E93335" w:rsidRPr="00A470FF">
        <w:t xml:space="preserve">overning </w:t>
      </w:r>
      <w:r w:rsidR="00B65473" w:rsidRPr="00A470FF">
        <w:t>i</w:t>
      </w:r>
      <w:r w:rsidR="00E93335" w:rsidRPr="00A470FF">
        <w:t xml:space="preserve">nstrument </w:t>
      </w:r>
      <w:r w:rsidR="00B65473" w:rsidRPr="00A470FF">
        <w:t>of</w:t>
      </w:r>
      <w:r w:rsidR="00E93335" w:rsidRPr="00A470FF">
        <w:t xml:space="preserve"> the Green Climate Fund</w:t>
      </w:r>
      <w:r w:rsidR="00BD0C46" w:rsidRPr="00A470FF">
        <w:t>,</w:t>
      </w:r>
      <w:r w:rsidR="001F27A2" w:rsidRPr="00A470FF">
        <w:rPr>
          <w:rStyle w:val="FootnoteReference"/>
        </w:rPr>
        <w:footnoteReference w:id="38"/>
      </w:r>
      <w:r w:rsidR="00E93335" w:rsidRPr="00A470FF">
        <w:t xml:space="preserve"> to consider ways to provide support, </w:t>
      </w:r>
      <w:r w:rsidR="00E93335" w:rsidRPr="00A470FF">
        <w:lastRenderedPageBreak/>
        <w:t>pursuant to the modalities of the Green Climate Fund, for facilitating access to environmentally sound technologies in developing countr</w:t>
      </w:r>
      <w:r w:rsidR="001F27A2" w:rsidRPr="00A470FF">
        <w:t>y Parties</w:t>
      </w:r>
      <w:r w:rsidR="00E93335" w:rsidRPr="00A470FF">
        <w:t>, and for undertaking collaborative research and development for enabling developing countr</w:t>
      </w:r>
      <w:r w:rsidR="001F27A2" w:rsidRPr="00A470FF">
        <w:t>y Parties</w:t>
      </w:r>
      <w:r w:rsidR="00E93335" w:rsidRPr="00A470FF">
        <w:t xml:space="preserve"> to enhance their mitigation and adaptation action.</w:t>
      </w:r>
    </w:p>
    <w:p w14:paraId="1E8EFEDB" w14:textId="77777777" w:rsidR="00AA552D" w:rsidRPr="00A470FF" w:rsidRDefault="00DF228D"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11</w:t>
      </w:r>
      <w:r w:rsidR="00AA552D" w:rsidRPr="00A470FF">
        <w:rPr>
          <w:i/>
          <w:vertAlign w:val="superscript"/>
          <w:lang w:eastAsia="en-US"/>
        </w:rPr>
        <w:t>th</w:t>
      </w:r>
      <w:r w:rsidR="00AA552D" w:rsidRPr="00A470FF">
        <w:rPr>
          <w:i/>
          <w:lang w:eastAsia="en-US"/>
        </w:rPr>
        <w:t xml:space="preserve"> plenary meeting</w:t>
      </w:r>
    </w:p>
    <w:p w14:paraId="1E8EFEDC" w14:textId="52737EA8" w:rsidR="00AA552D" w:rsidRPr="00A470FF" w:rsidRDefault="00032FAD" w:rsidP="00AA552D">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70FF">
        <w:rPr>
          <w:i/>
          <w:lang w:eastAsia="en-US"/>
        </w:rPr>
        <w:t xml:space="preserve">13 </w:t>
      </w:r>
      <w:r w:rsidR="00AA552D" w:rsidRPr="00A470FF">
        <w:rPr>
          <w:i/>
          <w:lang w:eastAsia="en-US"/>
        </w:rPr>
        <w:t>December 2015</w:t>
      </w:r>
    </w:p>
    <w:p w14:paraId="1E8EFEDD" w14:textId="6CEEB0D5" w:rsidR="00E740A0" w:rsidRPr="00AF3DA2" w:rsidRDefault="00AA552D" w:rsidP="00AA552D">
      <w:pPr>
        <w:pStyle w:val="RegSingleTxtG"/>
        <w:numPr>
          <w:ilvl w:val="0"/>
          <w:numId w:val="0"/>
        </w:numPr>
        <w:autoSpaceDE w:val="0"/>
        <w:autoSpaceDN w:val="0"/>
        <w:adjustRightInd w:val="0"/>
        <w:spacing w:before="240" w:after="0"/>
        <w:ind w:left="1134"/>
        <w:jc w:val="center"/>
        <w:rPr>
          <w:u w:val="single"/>
          <w:lang w:eastAsia="en-US"/>
        </w:rPr>
      </w:pPr>
      <w:r w:rsidRPr="00AF3DA2">
        <w:rPr>
          <w:sz w:val="24"/>
          <w:u w:val="single"/>
          <w:lang w:eastAsia="en-US"/>
        </w:rPr>
        <w:tab/>
      </w:r>
      <w:r w:rsidRPr="00AF3DA2">
        <w:rPr>
          <w:sz w:val="24"/>
          <w:u w:val="single"/>
          <w:lang w:eastAsia="en-US"/>
        </w:rPr>
        <w:tab/>
      </w:r>
      <w:r w:rsidRPr="00AF3DA2">
        <w:rPr>
          <w:sz w:val="24"/>
          <w:u w:val="single"/>
          <w:lang w:eastAsia="en-US"/>
        </w:rPr>
        <w:tab/>
      </w:r>
    </w:p>
    <w:sectPr w:rsidR="00E740A0" w:rsidRPr="00AF3DA2" w:rsidSect="00E740A0">
      <w:headerReference w:type="even" r:id="rId60"/>
      <w:headerReference w:type="default" r:id="rId61"/>
      <w:footerReference w:type="even" r:id="rId62"/>
      <w:footerReference w:type="default" r:id="rId63"/>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FEEA" w14:textId="77777777" w:rsidR="00815DBB" w:rsidRDefault="00815DBB">
      <w:r>
        <w:separator/>
      </w:r>
    </w:p>
  </w:endnote>
  <w:endnote w:type="continuationSeparator" w:id="0">
    <w:p w14:paraId="1E8EFEEB" w14:textId="77777777" w:rsidR="00815DBB" w:rsidRDefault="0081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notTrueType/>
    <w:pitch w:val="default"/>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EE" w14:textId="1B8E4FDB"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w:t>
    </w:r>
    <w:r w:rsidRPr="00E740A0">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5130E" w14:textId="3F190268"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12</w:t>
    </w:r>
    <w:r w:rsidRPr="00E740A0">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CD3B1" w14:textId="0386C60B"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11</w:t>
    </w:r>
    <w:r w:rsidRPr="00E740A0">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91926" w14:textId="1A766E45"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14</w:t>
    </w:r>
    <w:r w:rsidRPr="00E740A0">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5EEF4" w14:textId="672BBB83"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13</w:t>
    </w:r>
    <w:r w:rsidRPr="00E740A0">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43CC4" w14:textId="611BB2B3"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16</w:t>
    </w:r>
    <w:r w:rsidRPr="00E740A0">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41C58" w14:textId="57D3BC59"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17</w:t>
    </w:r>
    <w:r w:rsidRPr="00E740A0">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D" w14:textId="10C83669" w:rsidR="00815DBB" w:rsidRPr="00E740A0" w:rsidRDefault="00815DBB" w:rsidP="00E740A0">
    <w:pPr>
      <w:pStyle w:val="Footer"/>
    </w:pPr>
    <w:r>
      <w:rPr>
        <w:noProof/>
        <w:lang w:val="en-US" w:eastAsia="en-US"/>
      </w:rPr>
      <mc:AlternateContent>
        <mc:Choice Requires="wps">
          <w:drawing>
            <wp:anchor distT="0" distB="0" distL="114300" distR="114300" simplePos="0" relativeHeight="251760640" behindDoc="0" locked="0" layoutInCell="1" allowOverlap="1" wp14:anchorId="6BDC0EE4" wp14:editId="4FD1EDD4">
              <wp:simplePos x="0" y="0"/>
              <wp:positionH relativeFrom="margin">
                <wp:posOffset>-431800</wp:posOffset>
              </wp:positionH>
              <wp:positionV relativeFrom="margin">
                <wp:posOffset>0</wp:posOffset>
              </wp:positionV>
              <wp:extent cx="220436" cy="6115050"/>
              <wp:effectExtent l="0" t="0" r="825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436" cy="611505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38480B5" w14:textId="4B6B51BA"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20</w:t>
                          </w:r>
                          <w:r w:rsidRPr="00E740A0">
                            <w:rPr>
                              <w:b/>
                              <w:sz w:val="18"/>
                            </w:rPr>
                            <w:fldChar w:fldCharType="end"/>
                          </w:r>
                          <w:r>
                            <w:rPr>
                              <w:sz w:val="18"/>
                            </w:rPr>
                            <w:tab/>
                          </w:r>
                        </w:p>
                        <w:p w14:paraId="12F7A9EF" w14:textId="77777777" w:rsidR="00815DBB" w:rsidRDefault="00815DBB"/>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BDC0EE4" id="_x0000_t202" coordsize="21600,21600" o:spt="202" path="m,l,21600r21600,l21600,xe">
              <v:stroke joinstyle="miter"/>
              <v:path gradientshapeok="t" o:connecttype="rect"/>
            </v:shapetype>
            <v:shape id="Text Box 16" o:spid="_x0000_s1029" type="#_x0000_t202" style="position:absolute;margin-left:-34pt;margin-top:0;width:17.35pt;height:481.5pt;z-index:2517606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" filled="f" stroked="f">
              <v:stroke joinstyle="round"/>
              <v:path arrowok="t"/>
              <v:textbox style="layout-flow:vertical" inset="0,0,0,0">
                <w:txbxContent>
                  <w:p w14:paraId="338480B5" w14:textId="4B6B51BA"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20</w:t>
                    </w:r>
                    <w:r w:rsidRPr="00E740A0">
                      <w:rPr>
                        <w:b/>
                        <w:sz w:val="18"/>
                      </w:rPr>
                      <w:fldChar w:fldCharType="end"/>
                    </w:r>
                    <w:r>
                      <w:rPr>
                        <w:sz w:val="18"/>
                      </w:rPr>
                      <w:tab/>
                    </w:r>
                  </w:p>
                  <w:p w14:paraId="12F7A9EF" w14:textId="77777777" w:rsidR="00815DBB" w:rsidRDefault="00815DBB"/>
                </w:txbxContent>
              </v:textbox>
              <w10:wrap anchorx="margin" anchory="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E" w14:textId="6F3D4FEF" w:rsidR="00815DBB" w:rsidRPr="00E740A0" w:rsidRDefault="00815DBB" w:rsidP="00E740A0">
    <w:pPr>
      <w:pStyle w:val="Footer"/>
    </w:pPr>
    <w:r>
      <w:rPr>
        <w:noProof/>
        <w:lang w:val="en-US" w:eastAsia="en-US"/>
      </w:rPr>
      <mc:AlternateContent>
        <mc:Choice Requires="wps">
          <w:drawing>
            <wp:anchor distT="0" distB="0" distL="114300" distR="114300" simplePos="0" relativeHeight="251677696" behindDoc="0" locked="0" layoutInCell="1" allowOverlap="1" wp14:anchorId="1E30769E" wp14:editId="627FB22F">
              <wp:simplePos x="0" y="0"/>
              <wp:positionH relativeFrom="margin">
                <wp:posOffset>-431800</wp:posOffset>
              </wp:positionH>
              <wp:positionV relativeFrom="margin">
                <wp:posOffset>0</wp:posOffset>
              </wp:positionV>
              <wp:extent cx="220436" cy="6115050"/>
              <wp:effectExtent l="0" t="0" r="825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436" cy="611505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557C8B3B" w14:textId="67DFFF9F"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21</w:t>
                          </w:r>
                          <w:r w:rsidRPr="00E740A0">
                            <w:rPr>
                              <w:b/>
                              <w:sz w:val="18"/>
                            </w:rPr>
                            <w:fldChar w:fldCharType="end"/>
                          </w:r>
                        </w:p>
                        <w:p w14:paraId="646256F0" w14:textId="77777777" w:rsidR="00815DBB" w:rsidRDefault="00815DBB"/>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E30769E" id="_x0000_t202" coordsize="21600,21600" o:spt="202" path="m,l,21600r21600,l21600,xe">
              <v:stroke joinstyle="miter"/>
              <v:path gradientshapeok="t" o:connecttype="rect"/>
            </v:shapetype>
            <v:shape id="Text Box 22" o:spid="_x0000_s1030" type="#_x0000_t202" style="position:absolute;margin-left:-34pt;margin-top:0;width:17.35pt;height:481.5pt;z-index:2516776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" filled="f" stroked="f">
              <v:stroke joinstyle="round"/>
              <v:path arrowok="t"/>
              <v:textbox style="layout-flow:vertical" inset="0,0,0,0">
                <w:txbxContent>
                  <w:p w14:paraId="557C8B3B" w14:textId="67DFFF9F"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21</w:t>
                    </w:r>
                    <w:r w:rsidRPr="00E740A0">
                      <w:rPr>
                        <w:b/>
                        <w:sz w:val="18"/>
                      </w:rPr>
                      <w:fldChar w:fldCharType="end"/>
                    </w:r>
                  </w:p>
                  <w:p w14:paraId="646256F0" w14:textId="77777777" w:rsidR="00815DBB" w:rsidRDefault="00815DBB"/>
                </w:txbxContent>
              </v:textbox>
              <w10:wrap anchorx="margin" anchory="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1" w14:textId="78F23CDD"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24</w:t>
    </w:r>
    <w:r w:rsidRPr="00E740A0">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2" w14:textId="61BDC728"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23</w:t>
    </w:r>
    <w:r w:rsidRPr="00E740A0">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EF" w14:textId="26321D59"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Pr="00E740A0">
      <w:rPr>
        <w:b/>
        <w:noProof/>
        <w:sz w:val="18"/>
      </w:rPr>
      <w:t>4</w:t>
    </w:r>
    <w:r w:rsidRPr="00E740A0">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A1659" w14:textId="1D9C50CB"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26</w:t>
    </w:r>
    <w:r w:rsidRPr="00E740A0">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5" w14:textId="6D67C332"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25</w:t>
    </w:r>
    <w:r w:rsidRPr="00E740A0">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1AD70" w14:textId="61FF76D6"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C43FA9">
      <w:rPr>
        <w:b/>
        <w:noProof/>
        <w:sz w:val="18"/>
      </w:rPr>
      <w:t>28</w:t>
    </w:r>
    <w:r w:rsidRPr="00E740A0">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C2639" w14:textId="0CFF876C"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28</w:t>
    </w:r>
    <w:r w:rsidRPr="00E740A0">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A25EE" w14:textId="551912C9" w:rsidR="00815DBB" w:rsidRPr="00E740A0" w:rsidRDefault="00815DBB" w:rsidP="003D636D">
    <w:pPr>
      <w:pStyle w:val="Footer"/>
      <w:tabs>
        <w:tab w:val="right" w:pos="9638"/>
      </w:tabs>
      <w:jc w:val="right"/>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29</w:t>
    </w:r>
    <w:r w:rsidRPr="00E740A0">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16001" w14:textId="40B68990"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3</w:t>
    </w:r>
    <w:r w:rsidRPr="00E740A0">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9D056" w14:textId="2D63D4ED"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C43FA9">
      <w:rPr>
        <w:b/>
        <w:noProof/>
        <w:sz w:val="18"/>
      </w:rPr>
      <w:t>4</w:t>
    </w:r>
    <w:r w:rsidRPr="00E740A0">
      <w:rPr>
        <w:b/>
        <w:sz w:val="18"/>
      </w:rPr>
      <w:fldChar w:fldCharType="end"/>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C36F8" w14:textId="22E4D145"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6</w:t>
    </w:r>
    <w:r w:rsidRPr="00E740A0">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6D83" w14:textId="247518B1"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7</w:t>
    </w:r>
    <w:r w:rsidRPr="00E740A0">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42167" w14:textId="210E72B2"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C43FA9">
      <w:rPr>
        <w:b/>
        <w:noProof/>
        <w:sz w:val="18"/>
      </w:rPr>
      <w:t>8</w:t>
    </w:r>
    <w:r w:rsidRPr="00E740A0">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885C7" w14:textId="6FAAD805" w:rsidR="00815DBB" w:rsidRPr="00E740A0" w:rsidRDefault="00815DBB" w:rsidP="00E740A0">
    <w:pPr>
      <w:pStyle w:val="Footer"/>
      <w:tabs>
        <w:tab w:val="right" w:pos="9638"/>
      </w:tabs>
    </w:pP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8</w:t>
    </w:r>
    <w:r w:rsidRPr="00E740A0">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3BB1B" w14:textId="6E815C7F" w:rsidR="00815DBB" w:rsidRPr="00E740A0" w:rsidRDefault="00815DBB" w:rsidP="00E740A0">
    <w:pPr>
      <w:pStyle w:val="Footer"/>
      <w:tabs>
        <w:tab w:val="right" w:pos="9638"/>
      </w:tabs>
      <w:rPr>
        <w:b/>
        <w:sz w:val="18"/>
      </w:rPr>
    </w:pPr>
    <w:r>
      <w:tab/>
    </w:r>
    <w:r w:rsidRPr="00E740A0">
      <w:rPr>
        <w:b/>
        <w:sz w:val="18"/>
      </w:rPr>
      <w:fldChar w:fldCharType="begin"/>
    </w:r>
    <w:r w:rsidRPr="00E740A0">
      <w:rPr>
        <w:b/>
        <w:sz w:val="18"/>
      </w:rPr>
      <w:instrText xml:space="preserve"> PAGE  \* MERGEFORMAT </w:instrText>
    </w:r>
    <w:r w:rsidRPr="00E740A0">
      <w:rPr>
        <w:b/>
        <w:sz w:val="18"/>
      </w:rPr>
      <w:fldChar w:fldCharType="separate"/>
    </w:r>
    <w:r w:rsidR="00467704">
      <w:rPr>
        <w:b/>
        <w:noProof/>
        <w:sz w:val="18"/>
      </w:rPr>
      <w:t>9</w:t>
    </w:r>
    <w:r w:rsidRPr="00E740A0">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EFEE8" w14:textId="77777777" w:rsidR="00815DBB" w:rsidRDefault="00815DBB">
      <w:r>
        <w:separator/>
      </w:r>
    </w:p>
  </w:footnote>
  <w:footnote w:type="continuationSeparator" w:id="0">
    <w:p w14:paraId="1E8EFEE9" w14:textId="77777777" w:rsidR="00815DBB" w:rsidRDefault="00815DBB">
      <w:r>
        <w:continuationSeparator/>
      </w:r>
    </w:p>
  </w:footnote>
  <w:footnote w:id="1">
    <w:p w14:paraId="1E8EFF11" w14:textId="77777777" w:rsidR="00815DBB" w:rsidRPr="003D4710" w:rsidRDefault="00815DBB" w:rsidP="003E0A8A">
      <w:pPr>
        <w:pStyle w:val="FootnoteText"/>
        <w:widowControl w:val="0"/>
        <w:tabs>
          <w:tab w:val="clear" w:pos="1021"/>
          <w:tab w:val="right" w:pos="1020"/>
        </w:tabs>
        <w:rPr>
          <w:lang w:val="en-US"/>
        </w:rPr>
      </w:pPr>
      <w:r>
        <w:tab/>
      </w:r>
      <w:r w:rsidRPr="003D4710">
        <w:rPr>
          <w:rStyle w:val="FootnoteReference"/>
        </w:rPr>
        <w:footnoteRef/>
      </w:r>
      <w:r>
        <w:tab/>
      </w:r>
      <w:r w:rsidRPr="003D4710">
        <w:rPr>
          <w:lang w:val="en-US"/>
        </w:rPr>
        <w:t>FCCC/SB/2015/3.</w:t>
      </w:r>
    </w:p>
  </w:footnote>
  <w:footnote w:id="2">
    <w:p w14:paraId="1E8EFF12" w14:textId="46D100A8" w:rsidR="00815DBB" w:rsidRPr="003D4710" w:rsidRDefault="00815DBB" w:rsidP="003E0A8A">
      <w:pPr>
        <w:pStyle w:val="FootnoteText"/>
        <w:widowControl w:val="0"/>
        <w:tabs>
          <w:tab w:val="clear" w:pos="1021"/>
          <w:tab w:val="right" w:pos="1020"/>
        </w:tabs>
        <w:rPr>
          <w:lang w:val="en-US"/>
        </w:rPr>
      </w:pPr>
      <w:r w:rsidRPr="003D4710">
        <w:tab/>
      </w:r>
      <w:r w:rsidRPr="003D4710">
        <w:rPr>
          <w:rStyle w:val="FootnoteReference"/>
        </w:rPr>
        <w:footnoteRef/>
      </w:r>
      <w:r>
        <w:tab/>
      </w:r>
      <w:r>
        <w:rPr>
          <w:lang w:val="en-US"/>
        </w:rPr>
        <w:t xml:space="preserve">As </w:t>
      </w:r>
      <w:r w:rsidRPr="003D4710">
        <w:rPr>
          <w:lang w:val="en-US"/>
        </w:rPr>
        <w:t>contained in document FCCC/SB/2014/4</w:t>
      </w:r>
      <w:r>
        <w:rPr>
          <w:lang w:val="en-US"/>
        </w:rPr>
        <w:t>, annex II</w:t>
      </w:r>
      <w:r w:rsidRPr="003D4710">
        <w:rPr>
          <w:lang w:val="en-US"/>
        </w:rPr>
        <w:t>.</w:t>
      </w:r>
    </w:p>
  </w:footnote>
  <w:footnote w:id="3">
    <w:p w14:paraId="1E8EFF13" w14:textId="01FBC1B5" w:rsidR="00815DBB" w:rsidRPr="007C5790" w:rsidRDefault="00815DBB" w:rsidP="003E0A8A">
      <w:pPr>
        <w:pStyle w:val="FootnoteText"/>
        <w:widowControl w:val="0"/>
        <w:tabs>
          <w:tab w:val="clear" w:pos="1021"/>
          <w:tab w:val="right" w:pos="1020"/>
        </w:tabs>
        <w:rPr>
          <w:lang w:val="en-US"/>
        </w:rPr>
      </w:pPr>
      <w:r w:rsidRPr="003D4710">
        <w:tab/>
      </w:r>
      <w:r w:rsidRPr="003D4710">
        <w:rPr>
          <w:rStyle w:val="FootnoteReference"/>
        </w:rPr>
        <w:footnoteRef/>
      </w:r>
      <w:r>
        <w:tab/>
      </w:r>
      <w:r w:rsidRPr="003D4710">
        <w:t xml:space="preserve">The </w:t>
      </w:r>
      <w:r>
        <w:t>2</w:t>
      </w:r>
      <w:r w:rsidRPr="00A17363">
        <w:rPr>
          <w:vertAlign w:val="superscript"/>
        </w:rPr>
        <w:t>nd</w:t>
      </w:r>
      <w:r w:rsidRPr="003D4710">
        <w:rPr>
          <w:lang w:val="en-US"/>
        </w:rPr>
        <w:t xml:space="preserve"> meeting of the Executive Committee is scheduled to take place on 2–5 February 2016.</w:t>
      </w:r>
    </w:p>
  </w:footnote>
  <w:footnote w:id="4">
    <w:p w14:paraId="1E8EFF14" w14:textId="77777777" w:rsidR="00815DBB" w:rsidRPr="00F35D56" w:rsidRDefault="00815DBB" w:rsidP="00F844E7">
      <w:pPr>
        <w:pStyle w:val="FootnoteText"/>
        <w:rPr>
          <w:lang w:val="en-US"/>
        </w:rPr>
      </w:pPr>
      <w:r>
        <w:tab/>
      </w:r>
      <w:r>
        <w:rPr>
          <w:rStyle w:val="FootnoteReference"/>
        </w:rPr>
        <w:footnoteRef/>
      </w:r>
      <w:r>
        <w:tab/>
      </w:r>
      <w:r w:rsidRPr="00F35D56">
        <w:t>FCCC/SB/2015/2.</w:t>
      </w:r>
    </w:p>
  </w:footnote>
  <w:footnote w:id="5">
    <w:p w14:paraId="1E8EFF15" w14:textId="1ABFC871" w:rsidR="00815DBB" w:rsidRPr="00F35D56" w:rsidRDefault="00815DBB" w:rsidP="00F844E7">
      <w:pPr>
        <w:pStyle w:val="FootnoteText"/>
        <w:rPr>
          <w:lang w:val="en-US"/>
        </w:rPr>
      </w:pPr>
      <w:r>
        <w:tab/>
      </w:r>
      <w:r>
        <w:rPr>
          <w:rStyle w:val="FootnoteReference"/>
        </w:rPr>
        <w:footnoteRef/>
      </w:r>
      <w:r>
        <w:tab/>
        <w:t xml:space="preserve">As contained in document </w:t>
      </w:r>
      <w:r w:rsidRPr="00F35D56">
        <w:t>FCCC/SB/2012/3</w:t>
      </w:r>
      <w:r>
        <w:t>, annex II</w:t>
      </w:r>
      <w:r w:rsidRPr="00F35D56">
        <w:t>.</w:t>
      </w:r>
    </w:p>
  </w:footnote>
  <w:footnote w:id="6">
    <w:p w14:paraId="1E8EFF16" w14:textId="77777777" w:rsidR="00815DBB" w:rsidRPr="00E349B4" w:rsidRDefault="00815DBB" w:rsidP="002E694C">
      <w:pPr>
        <w:pStyle w:val="FootnoteText"/>
        <w:widowControl w:val="0"/>
        <w:tabs>
          <w:tab w:val="clear" w:pos="1021"/>
          <w:tab w:val="right" w:pos="1020"/>
        </w:tabs>
        <w:rPr>
          <w:lang w:val="en-US"/>
        </w:rPr>
      </w:pPr>
      <w:r>
        <w:tab/>
      </w:r>
      <w:r>
        <w:rPr>
          <w:rStyle w:val="FootnoteReference"/>
        </w:rPr>
        <w:footnoteRef/>
      </w:r>
      <w:r>
        <w:tab/>
        <w:t>See &lt;http://www.greenclimate.fund/contributions/pledge-tracker&gt;.</w:t>
      </w:r>
    </w:p>
  </w:footnote>
  <w:footnote w:id="7">
    <w:p w14:paraId="1E8EFF17" w14:textId="312A4475" w:rsidR="00815DBB" w:rsidRPr="0007031B" w:rsidRDefault="00815DBB" w:rsidP="002E694C">
      <w:pPr>
        <w:pStyle w:val="FootnoteText"/>
        <w:widowControl w:val="0"/>
        <w:tabs>
          <w:tab w:val="clear" w:pos="1021"/>
          <w:tab w:val="right" w:pos="1020"/>
        </w:tabs>
        <w:rPr>
          <w:lang w:val="en-US"/>
        </w:rPr>
      </w:pPr>
      <w:r>
        <w:tab/>
      </w:r>
      <w:r>
        <w:rPr>
          <w:rStyle w:val="FootnoteReference"/>
        </w:rPr>
        <w:footnoteRef/>
      </w:r>
      <w:r>
        <w:tab/>
        <w:t>Green Climate Fund Board document GCF/B.11/06. Available at &lt;http://www.greenclimate.fund/-/b-11&gt;.</w:t>
      </w:r>
    </w:p>
  </w:footnote>
  <w:footnote w:id="8">
    <w:p w14:paraId="1E8EFF18" w14:textId="77777777" w:rsidR="00815DBB" w:rsidRPr="00E349B4" w:rsidRDefault="00815DBB" w:rsidP="002E694C">
      <w:pPr>
        <w:pStyle w:val="FootnoteText"/>
        <w:widowControl w:val="0"/>
        <w:tabs>
          <w:tab w:val="clear" w:pos="1021"/>
          <w:tab w:val="right" w:pos="1020"/>
        </w:tabs>
        <w:rPr>
          <w:lang w:val="en-US"/>
        </w:rPr>
      </w:pPr>
      <w:r>
        <w:tab/>
      </w:r>
      <w:r>
        <w:rPr>
          <w:rStyle w:val="FootnoteReference"/>
        </w:rPr>
        <w:footnoteRef/>
      </w:r>
      <w:r>
        <w:tab/>
        <w:t>See documents FCCC/SBI/2015/19 and Corr.1 and FCCC/SBI/2015/INF.11.</w:t>
      </w:r>
    </w:p>
  </w:footnote>
  <w:footnote w:id="9">
    <w:p w14:paraId="15EBD7C5" w14:textId="2DCD22AC" w:rsidR="00815DBB" w:rsidRPr="0022077C" w:rsidRDefault="00815DBB" w:rsidP="0022077C">
      <w:pPr>
        <w:pStyle w:val="FootnoteText"/>
        <w:widowControl w:val="0"/>
        <w:rPr>
          <w:lang w:val="en-US"/>
        </w:rPr>
      </w:pPr>
      <w:r>
        <w:tab/>
      </w:r>
      <w:r>
        <w:rPr>
          <w:rStyle w:val="FootnoteReference"/>
        </w:rPr>
        <w:footnoteRef/>
      </w:r>
      <w:r>
        <w:tab/>
        <w:t xml:space="preserve">&lt;http://unfccc.int/nap&gt;. </w:t>
      </w:r>
    </w:p>
  </w:footnote>
  <w:footnote w:id="10">
    <w:p w14:paraId="1E8EFF19" w14:textId="77777777" w:rsidR="00815DBB" w:rsidRPr="00CF24CA" w:rsidRDefault="00815DBB" w:rsidP="002E694C">
      <w:pPr>
        <w:pStyle w:val="FootnoteText"/>
        <w:widowControl w:val="0"/>
        <w:tabs>
          <w:tab w:val="clear" w:pos="1021"/>
          <w:tab w:val="right" w:pos="1020"/>
        </w:tabs>
        <w:rPr>
          <w:lang w:val="en-US"/>
        </w:rPr>
      </w:pPr>
      <w:r>
        <w:tab/>
      </w:r>
      <w:r>
        <w:rPr>
          <w:rStyle w:val="FootnoteReference"/>
        </w:rPr>
        <w:footnoteRef/>
      </w:r>
      <w:r>
        <w:tab/>
        <w:t>Decision 3/CP.17, annex.</w:t>
      </w:r>
    </w:p>
  </w:footnote>
  <w:footnote w:id="11">
    <w:p w14:paraId="1E8EFF1A" w14:textId="77777777" w:rsidR="00815DBB" w:rsidRPr="00E349B4" w:rsidRDefault="00815DBB" w:rsidP="002E694C">
      <w:pPr>
        <w:pStyle w:val="FootnoteText"/>
        <w:widowControl w:val="0"/>
        <w:tabs>
          <w:tab w:val="clear" w:pos="1021"/>
          <w:tab w:val="right" w:pos="1020"/>
        </w:tabs>
        <w:rPr>
          <w:lang w:val="en-US"/>
        </w:rPr>
      </w:pPr>
      <w:r>
        <w:tab/>
      </w:r>
      <w:r>
        <w:rPr>
          <w:rStyle w:val="FootnoteReference"/>
        </w:rPr>
        <w:footnoteRef/>
      </w:r>
      <w:r>
        <w:tab/>
        <w:t>FCCC/SBI/2015/INF.6,</w:t>
      </w:r>
      <w:r w:rsidRPr="00506784">
        <w:t xml:space="preserve"> </w:t>
      </w:r>
      <w:r>
        <w:t>FCCC/SBI/2015/INF.11 and FCCC/SBI/2015/INF.14.</w:t>
      </w:r>
    </w:p>
  </w:footnote>
  <w:footnote w:id="12">
    <w:p w14:paraId="1E8EFF1B" w14:textId="77777777" w:rsidR="00815DBB" w:rsidRPr="000975B2" w:rsidRDefault="00815DBB" w:rsidP="002E694C">
      <w:pPr>
        <w:pStyle w:val="FootnoteText"/>
        <w:widowControl w:val="0"/>
        <w:tabs>
          <w:tab w:val="clear" w:pos="1021"/>
          <w:tab w:val="right" w:pos="1020"/>
        </w:tabs>
        <w:rPr>
          <w:lang w:val="en-US"/>
        </w:rPr>
      </w:pPr>
      <w:r>
        <w:tab/>
      </w:r>
      <w:r>
        <w:rPr>
          <w:rStyle w:val="FootnoteReference"/>
        </w:rPr>
        <w:footnoteRef/>
      </w:r>
      <w:r>
        <w:tab/>
      </w:r>
      <w:r w:rsidRPr="000975B2">
        <w:t>Based on the questions contained in document FCCC/SBI/2015/10</w:t>
      </w:r>
      <w:r>
        <w:t>, annex II</w:t>
      </w:r>
      <w:r w:rsidRPr="000975B2">
        <w:t>.</w:t>
      </w:r>
    </w:p>
  </w:footnote>
  <w:footnote w:id="13">
    <w:p w14:paraId="1E8EFF1C" w14:textId="037EAF6A" w:rsidR="00815DBB" w:rsidRPr="00C64C3A" w:rsidRDefault="00815DBB" w:rsidP="003E0A8A">
      <w:pPr>
        <w:pStyle w:val="FootnoteText"/>
        <w:widowControl w:val="0"/>
        <w:tabs>
          <w:tab w:val="clear" w:pos="1021"/>
          <w:tab w:val="right" w:pos="1020"/>
        </w:tabs>
        <w:rPr>
          <w:lang w:val="en-US"/>
        </w:rPr>
      </w:pPr>
      <w:r>
        <w:tab/>
      </w:r>
      <w:r w:rsidRPr="0074332D">
        <w:rPr>
          <w:rStyle w:val="FootnoteReference"/>
        </w:rPr>
        <w:footnoteRef/>
      </w:r>
      <w:r w:rsidRPr="0074332D">
        <w:tab/>
        <w:t>See &lt;http://unfccc.int/cooperation_support/financial_mechanism/long-term_finance/items/9359.php?priref=600008649&gt;.</w:t>
      </w:r>
      <w:r>
        <w:t xml:space="preserve"> </w:t>
      </w:r>
    </w:p>
  </w:footnote>
  <w:footnote w:id="14">
    <w:p w14:paraId="1E8EFF1D" w14:textId="77777777" w:rsidR="00815DBB" w:rsidRPr="00C64C3A" w:rsidRDefault="00815DBB" w:rsidP="003E0A8A">
      <w:pPr>
        <w:pStyle w:val="FootnoteText"/>
        <w:widowControl w:val="0"/>
        <w:tabs>
          <w:tab w:val="clear" w:pos="1021"/>
          <w:tab w:val="right" w:pos="1020"/>
        </w:tabs>
        <w:rPr>
          <w:lang w:val="en-US"/>
        </w:rPr>
      </w:pPr>
      <w:r>
        <w:tab/>
      </w:r>
      <w:r>
        <w:rPr>
          <w:rStyle w:val="FootnoteReference"/>
        </w:rPr>
        <w:footnoteRef/>
      </w:r>
      <w:r>
        <w:tab/>
      </w:r>
      <w:r>
        <w:rPr>
          <w:sz w:val="16"/>
          <w:lang w:eastAsia="ko-KR"/>
        </w:rPr>
        <w:t>FCCC/CP/2015/2.</w:t>
      </w:r>
      <w:r>
        <w:t xml:space="preserve"> </w:t>
      </w:r>
    </w:p>
  </w:footnote>
  <w:footnote w:id="15">
    <w:p w14:paraId="1E8EFF1E" w14:textId="77777777" w:rsidR="00815DBB" w:rsidRPr="00080BE5" w:rsidRDefault="00815DBB" w:rsidP="003E0A8A">
      <w:pPr>
        <w:pStyle w:val="FootnoteText"/>
        <w:rPr>
          <w:lang w:val="en-US"/>
        </w:rPr>
      </w:pPr>
      <w:r>
        <w:tab/>
      </w:r>
      <w:r>
        <w:rPr>
          <w:rStyle w:val="FootnoteReference"/>
        </w:rPr>
        <w:footnoteRef/>
      </w:r>
      <w:r>
        <w:tab/>
      </w:r>
      <w:r w:rsidRPr="00825780">
        <w:t>FCCC/CP/2015/8.</w:t>
      </w:r>
    </w:p>
  </w:footnote>
  <w:footnote w:id="16">
    <w:p w14:paraId="1E8EFF1F" w14:textId="624908B2" w:rsidR="00815DBB" w:rsidRPr="00080BE5" w:rsidRDefault="00815DBB" w:rsidP="003E0A8A">
      <w:pPr>
        <w:pStyle w:val="FootnoteText"/>
      </w:pPr>
      <w:r>
        <w:tab/>
      </w:r>
      <w:r>
        <w:rPr>
          <w:rStyle w:val="FootnoteReference"/>
        </w:rPr>
        <w:footnoteRef/>
      </w:r>
      <w:r>
        <w:t xml:space="preserve"> </w:t>
      </w:r>
      <w:r>
        <w:tab/>
        <w:t>As contained in document FCCC/CP/2015/</w:t>
      </w:r>
      <w:r w:rsidRPr="00EC3376">
        <w:t>8, annex X.</w:t>
      </w:r>
    </w:p>
  </w:footnote>
  <w:footnote w:id="17">
    <w:p w14:paraId="75F7BB74" w14:textId="4A4462C5" w:rsidR="00815DBB" w:rsidRPr="00873877" w:rsidRDefault="00815DBB" w:rsidP="00873877">
      <w:pPr>
        <w:pStyle w:val="FootnoteText"/>
        <w:widowControl w:val="0"/>
        <w:tabs>
          <w:tab w:val="clear" w:pos="1021"/>
          <w:tab w:val="right" w:pos="1020"/>
        </w:tabs>
        <w:rPr>
          <w:lang w:val="en-US"/>
        </w:rPr>
      </w:pPr>
      <w:r>
        <w:tab/>
      </w:r>
      <w:r>
        <w:rPr>
          <w:rStyle w:val="FootnoteReference"/>
        </w:rPr>
        <w:footnoteRef/>
      </w:r>
      <w:r>
        <w:tab/>
        <w:t xml:space="preserve">As contained in document FCCC/CP/2015/8, annex II. </w:t>
      </w:r>
    </w:p>
  </w:footnote>
  <w:footnote w:id="18">
    <w:p w14:paraId="1E8EFF20" w14:textId="2E82FC7E" w:rsidR="00815DBB" w:rsidRPr="00080BE5" w:rsidRDefault="00815DBB" w:rsidP="003E0A8A">
      <w:pPr>
        <w:pStyle w:val="FootnoteText"/>
        <w:rPr>
          <w:lang w:val="en-US"/>
        </w:rPr>
      </w:pPr>
      <w:r>
        <w:tab/>
      </w:r>
      <w:r>
        <w:rPr>
          <w:rStyle w:val="FootnoteReference"/>
        </w:rPr>
        <w:footnoteRef/>
      </w:r>
      <w:r>
        <w:tab/>
      </w:r>
      <w:r w:rsidRPr="00FC5B94">
        <w:t xml:space="preserve">Parties should submit their views via the </w:t>
      </w:r>
      <w:r w:rsidRPr="00FC5B94">
        <w:rPr>
          <w:lang w:val="en-US"/>
        </w:rPr>
        <w:t>submissions portal at</w:t>
      </w:r>
      <w:r>
        <w:rPr>
          <w:lang w:val="en-US"/>
        </w:rPr>
        <w:t xml:space="preserve"> &lt;http://www.unfccc.int/5900&gt;. Observer organizations should e-mail their submissions to &lt;secretariat@unfccc.int&gt;.</w:t>
      </w:r>
    </w:p>
  </w:footnote>
  <w:footnote w:id="19">
    <w:p w14:paraId="1E8EFF21" w14:textId="77777777" w:rsidR="00815DBB" w:rsidRPr="00BE3017" w:rsidRDefault="00815DBB" w:rsidP="00EA0E29">
      <w:pPr>
        <w:pStyle w:val="FootnoteText"/>
        <w:widowControl w:val="0"/>
        <w:tabs>
          <w:tab w:val="clear" w:pos="1021"/>
          <w:tab w:val="right" w:pos="1020"/>
        </w:tabs>
        <w:rPr>
          <w:lang w:val="en-US"/>
        </w:rPr>
      </w:pPr>
      <w:r>
        <w:tab/>
      </w:r>
      <w:r>
        <w:rPr>
          <w:rStyle w:val="FootnoteReference"/>
        </w:rPr>
        <w:footnoteRef/>
      </w:r>
      <w:r>
        <w:tab/>
      </w:r>
      <w:r w:rsidRPr="005751AB">
        <w:rPr>
          <w:szCs w:val="16"/>
        </w:rPr>
        <w:t>FCCC/CP/2015/8, annex IV</w:t>
      </w:r>
      <w:r>
        <w:rPr>
          <w:szCs w:val="16"/>
        </w:rPr>
        <w:t>.</w:t>
      </w:r>
      <w:r>
        <w:t xml:space="preserve"> </w:t>
      </w:r>
    </w:p>
  </w:footnote>
  <w:footnote w:id="20">
    <w:p w14:paraId="1E8EFF22" w14:textId="77777777" w:rsidR="00815DBB" w:rsidRPr="00BE3017" w:rsidRDefault="00815DBB" w:rsidP="00EA0E29">
      <w:pPr>
        <w:pStyle w:val="FootnoteText"/>
        <w:widowControl w:val="0"/>
        <w:tabs>
          <w:tab w:val="clear" w:pos="1021"/>
          <w:tab w:val="right" w:pos="1020"/>
        </w:tabs>
        <w:rPr>
          <w:lang w:val="en-US"/>
        </w:rPr>
      </w:pPr>
      <w:r>
        <w:tab/>
      </w:r>
      <w:r>
        <w:rPr>
          <w:rStyle w:val="FootnoteReference"/>
        </w:rPr>
        <w:footnoteRef/>
      </w:r>
      <w:r>
        <w:tab/>
      </w:r>
      <w:r w:rsidRPr="005751AB">
        <w:t>FCCC/CP/2015/3.</w:t>
      </w:r>
      <w:r>
        <w:t xml:space="preserve"> </w:t>
      </w:r>
    </w:p>
  </w:footnote>
  <w:footnote w:id="21">
    <w:p w14:paraId="1E8EFF23" w14:textId="5DE4B641" w:rsidR="00815DBB" w:rsidRPr="003B074F" w:rsidRDefault="00815DBB" w:rsidP="00EA0E29">
      <w:pPr>
        <w:pStyle w:val="FootnoteText"/>
      </w:pPr>
      <w:r>
        <w:tab/>
      </w:r>
      <w:r>
        <w:rPr>
          <w:rStyle w:val="FootnoteReference"/>
        </w:rPr>
        <w:footnoteRef/>
      </w:r>
      <w:r>
        <w:tab/>
        <w:t>Pledges have been made by Bulgaria, Cyprus, Estonia, Hungary, Iceland, Ireland, Lithuania, Luxembourg, Malta, Norway, Portugal, Viet Nam, Brussels-Capital Region, Flemish Region, Walloon Region and the city of Paris.</w:t>
      </w:r>
    </w:p>
  </w:footnote>
  <w:footnote w:id="22">
    <w:p w14:paraId="1E8EFF24" w14:textId="16DFA611" w:rsidR="00815DBB" w:rsidRPr="0022077C" w:rsidRDefault="00815DBB" w:rsidP="0022077C">
      <w:pPr>
        <w:pStyle w:val="FootnoteText"/>
        <w:tabs>
          <w:tab w:val="clear" w:pos="1021"/>
          <w:tab w:val="right" w:pos="993"/>
        </w:tabs>
      </w:pPr>
      <w:r>
        <w:tab/>
      </w:r>
      <w:r w:rsidRPr="00217F85">
        <w:rPr>
          <w:rStyle w:val="FootnoteReference"/>
        </w:rPr>
        <w:footnoteRef/>
      </w:r>
      <w:r>
        <w:tab/>
        <w:t>FCCC/CP/2015/3.</w:t>
      </w:r>
    </w:p>
  </w:footnote>
  <w:footnote w:id="23">
    <w:p w14:paraId="1E8EFF25" w14:textId="1F9774B4" w:rsidR="00815DBB" w:rsidRPr="006E36D7" w:rsidRDefault="00815DBB" w:rsidP="0022077C">
      <w:pPr>
        <w:pStyle w:val="FootnoteText"/>
        <w:rPr>
          <w:lang w:val="en-US"/>
        </w:rPr>
      </w:pPr>
      <w:r>
        <w:tab/>
      </w:r>
      <w:r>
        <w:rPr>
          <w:rStyle w:val="FootnoteReference"/>
        </w:rPr>
        <w:footnoteRef/>
      </w:r>
      <w:r>
        <w:tab/>
      </w:r>
      <w:r>
        <w:rPr>
          <w:rFonts w:eastAsia="Times New Roman"/>
        </w:rPr>
        <w:t>Five national, three regional, nine international and three private entities.</w:t>
      </w:r>
    </w:p>
  </w:footnote>
  <w:footnote w:id="24">
    <w:p w14:paraId="1E8EFF26" w14:textId="6180A71A" w:rsidR="00815DBB" w:rsidRPr="00217F85" w:rsidRDefault="00815DBB" w:rsidP="0022077C">
      <w:pPr>
        <w:pStyle w:val="FootnoteText"/>
        <w:rPr>
          <w:lang w:val="en-US"/>
        </w:rPr>
      </w:pPr>
      <w:r>
        <w:tab/>
      </w:r>
      <w:r>
        <w:rPr>
          <w:rStyle w:val="FootnoteReference"/>
        </w:rPr>
        <w:footnoteRef/>
      </w:r>
      <w:r>
        <w:tab/>
      </w:r>
      <w:r w:rsidRPr="00217F85">
        <w:t>Decision 3/</w:t>
      </w:r>
      <w:r w:rsidRPr="0022077C">
        <w:rPr>
          <w:rFonts w:eastAsia="Times New Roman"/>
        </w:rPr>
        <w:t>CP</w:t>
      </w:r>
      <w:r w:rsidRPr="00217F85">
        <w:t>.17, annex</w:t>
      </w:r>
      <w:r>
        <w:t>.</w:t>
      </w:r>
    </w:p>
  </w:footnote>
  <w:footnote w:id="25">
    <w:p w14:paraId="55228BE7" w14:textId="639AAAC5" w:rsidR="00815DBB" w:rsidRPr="0022077C" w:rsidRDefault="00815DBB" w:rsidP="0022077C">
      <w:pPr>
        <w:pStyle w:val="FootnoteText"/>
        <w:widowControl w:val="0"/>
        <w:rPr>
          <w:lang w:val="en-US"/>
        </w:rPr>
      </w:pPr>
      <w:r>
        <w:tab/>
      </w:r>
      <w:r>
        <w:rPr>
          <w:rStyle w:val="FootnoteReference"/>
        </w:rPr>
        <w:footnoteRef/>
      </w:r>
      <w:r>
        <w:tab/>
        <w:t xml:space="preserve">Decision 3/CP.17, annex. </w:t>
      </w:r>
    </w:p>
  </w:footnote>
  <w:footnote w:id="26">
    <w:p w14:paraId="1E8EFF28" w14:textId="77777777" w:rsidR="00815DBB" w:rsidRDefault="00815DBB" w:rsidP="003E0A8A">
      <w:pPr>
        <w:pStyle w:val="FootnoteText"/>
        <w:rPr>
          <w:szCs w:val="16"/>
        </w:rPr>
      </w:pPr>
      <w:r>
        <w:rPr>
          <w:szCs w:val="16"/>
        </w:rPr>
        <w:tab/>
      </w:r>
      <w:r>
        <w:rPr>
          <w:rStyle w:val="FootnoteReference"/>
          <w:szCs w:val="16"/>
        </w:rPr>
        <w:footnoteRef/>
      </w:r>
      <w:r>
        <w:rPr>
          <w:szCs w:val="16"/>
        </w:rPr>
        <w:tab/>
        <w:t>FCCC/CP/2015/4 and Add.1.</w:t>
      </w:r>
    </w:p>
  </w:footnote>
  <w:footnote w:id="27">
    <w:p w14:paraId="1E8EFF29" w14:textId="77777777" w:rsidR="00815DBB" w:rsidRDefault="00815DBB" w:rsidP="003E0A8A">
      <w:pPr>
        <w:pStyle w:val="FootnoteText"/>
        <w:widowControl w:val="0"/>
      </w:pPr>
      <w:r>
        <w:rPr>
          <w:szCs w:val="16"/>
        </w:rPr>
        <w:tab/>
      </w:r>
      <w:r>
        <w:rPr>
          <w:rStyle w:val="FootnoteReference"/>
          <w:szCs w:val="16"/>
        </w:rPr>
        <w:footnoteRef/>
      </w:r>
      <w:r>
        <w:rPr>
          <w:szCs w:val="16"/>
        </w:rPr>
        <w:tab/>
        <w:t>FCCC/CP/2015/8, annex V.</w:t>
      </w:r>
    </w:p>
  </w:footnote>
  <w:footnote w:id="28">
    <w:p w14:paraId="1E8EFF2A" w14:textId="54130AE1" w:rsidR="00815DBB" w:rsidRPr="00E3217F" w:rsidRDefault="00815DBB" w:rsidP="003E0A8A">
      <w:pPr>
        <w:pStyle w:val="FootnoteText"/>
        <w:widowControl w:val="0"/>
        <w:rPr>
          <w:lang w:val="en-US"/>
        </w:rPr>
      </w:pPr>
      <w:r>
        <w:tab/>
      </w:r>
      <w:r w:rsidRPr="00E3217F">
        <w:rPr>
          <w:rStyle w:val="FootnoteReference"/>
        </w:rPr>
        <w:footnoteRef/>
      </w:r>
      <w:r w:rsidRPr="00E3217F">
        <w:tab/>
        <w:t xml:space="preserve">See </w:t>
      </w:r>
      <w:r>
        <w:t xml:space="preserve">Global Environment Facility </w:t>
      </w:r>
      <w:r w:rsidRPr="00E3217F">
        <w:t>document GEF/A.5/07/Rev.01</w:t>
      </w:r>
      <w:r>
        <w:t>.</w:t>
      </w:r>
      <w:r w:rsidRPr="00E3217F">
        <w:t xml:space="preserve"> </w:t>
      </w:r>
      <w:r>
        <w:t>A</w:t>
      </w:r>
      <w:r w:rsidRPr="00E3217F">
        <w:t xml:space="preserve">vailable at </w:t>
      </w:r>
      <w:r>
        <w:t>&lt;</w:t>
      </w:r>
      <w:r w:rsidRPr="00A5521E">
        <w:rPr>
          <w:color w:val="000000"/>
        </w:rPr>
        <w:t>http://www.thegef.org/gef/gef_Documents_Publications</w:t>
      </w:r>
      <w:r>
        <w:t>&gt;.</w:t>
      </w:r>
    </w:p>
  </w:footnote>
  <w:footnote w:id="29">
    <w:p w14:paraId="1E8EFF2C" w14:textId="77777777" w:rsidR="00815DBB" w:rsidRDefault="00815DBB" w:rsidP="003E0A8A">
      <w:pPr>
        <w:pStyle w:val="FootnoteText"/>
        <w:widowControl w:val="0"/>
        <w:rPr>
          <w:szCs w:val="16"/>
        </w:rPr>
      </w:pPr>
      <w:r>
        <w:rPr>
          <w:szCs w:val="16"/>
        </w:rPr>
        <w:tab/>
      </w:r>
      <w:r>
        <w:rPr>
          <w:rStyle w:val="FootnoteReference"/>
          <w:szCs w:val="16"/>
        </w:rPr>
        <w:footnoteRef/>
      </w:r>
      <w:r>
        <w:rPr>
          <w:szCs w:val="16"/>
        </w:rPr>
        <w:tab/>
        <w:t>As at 16 September 2015.</w:t>
      </w:r>
    </w:p>
  </w:footnote>
  <w:footnote w:id="30">
    <w:p w14:paraId="1E8EFF2D" w14:textId="77777777" w:rsidR="00815DBB" w:rsidRDefault="00815DBB" w:rsidP="00CE0B79">
      <w:pPr>
        <w:pStyle w:val="FootnoteText"/>
      </w:pPr>
      <w:r>
        <w:tab/>
      </w:r>
      <w:r>
        <w:rPr>
          <w:rStyle w:val="FootnoteReference"/>
        </w:rPr>
        <w:footnoteRef/>
      </w:r>
      <w:r>
        <w:tab/>
      </w:r>
      <w:r w:rsidRPr="00045B80">
        <w:t>FCCC</w:t>
      </w:r>
      <w:r w:rsidRPr="00DF5B5F">
        <w:rPr>
          <w:lang w:val="en-US"/>
        </w:rPr>
        <w:t>/TP/2015/2</w:t>
      </w:r>
      <w:r>
        <w:t xml:space="preserve">. </w:t>
      </w:r>
    </w:p>
  </w:footnote>
  <w:footnote w:id="31">
    <w:p w14:paraId="6AA66FA2" w14:textId="3D23C8B8" w:rsidR="00815DBB" w:rsidRPr="0022077C" w:rsidRDefault="00815DBB" w:rsidP="0022077C">
      <w:pPr>
        <w:pStyle w:val="FootnoteText"/>
        <w:widowControl w:val="0"/>
        <w:rPr>
          <w:lang w:val="en-US"/>
        </w:rPr>
      </w:pPr>
      <w:r>
        <w:tab/>
      </w:r>
      <w:r>
        <w:rPr>
          <w:rStyle w:val="FootnoteReference"/>
        </w:rPr>
        <w:footnoteRef/>
      </w:r>
      <w:r>
        <w:tab/>
        <w:t>Available at &lt;</w:t>
      </w:r>
      <w:r w:rsidRPr="0007003D">
        <w:t>http://unfccc.int/files/cooperation_and_support/financial_mechanism/standing_committee/application/pdf/summary_of_the_in-session_workshop_on_reporting_methodologies_final_web.pdf</w:t>
      </w:r>
      <w:r>
        <w:t>&gt;.</w:t>
      </w:r>
    </w:p>
  </w:footnote>
  <w:footnote w:id="32">
    <w:p w14:paraId="1E8EFF2E" w14:textId="422B50B5" w:rsidR="00815DBB" w:rsidRDefault="00815DBB" w:rsidP="00CE0B79">
      <w:pPr>
        <w:pStyle w:val="FootnoteText"/>
      </w:pPr>
      <w:r>
        <w:tab/>
      </w:r>
      <w:r>
        <w:rPr>
          <w:rStyle w:val="FootnoteReference"/>
        </w:rPr>
        <w:footnoteRef/>
      </w:r>
      <w:r>
        <w:tab/>
      </w:r>
      <w:r w:rsidRPr="000D0DFD">
        <w:t>FCCC/CP/2015</w:t>
      </w:r>
      <w:r>
        <w:t>/8, annex VI.</w:t>
      </w:r>
    </w:p>
  </w:footnote>
  <w:footnote w:id="33">
    <w:p w14:paraId="1E8EFF2F" w14:textId="77777777" w:rsidR="00815DBB" w:rsidRPr="009759CD" w:rsidRDefault="00815DBB" w:rsidP="00845868">
      <w:pPr>
        <w:pStyle w:val="FootnoteText"/>
        <w:widowControl w:val="0"/>
        <w:tabs>
          <w:tab w:val="clear" w:pos="1021"/>
          <w:tab w:val="right" w:pos="1020"/>
        </w:tabs>
        <w:rPr>
          <w:lang w:val="en-US"/>
        </w:rPr>
      </w:pPr>
      <w:r>
        <w:tab/>
      </w:r>
      <w:r>
        <w:rPr>
          <w:rStyle w:val="FootnoteReference"/>
        </w:rPr>
        <w:footnoteRef/>
      </w:r>
      <w:r>
        <w:tab/>
      </w:r>
      <w:r w:rsidRPr="00CE4878">
        <w:rPr>
          <w:szCs w:val="18"/>
          <w:lang w:val="en-US"/>
        </w:rPr>
        <w:t>FCCC/SB/2015/INF.1</w:t>
      </w:r>
      <w:r>
        <w:rPr>
          <w:szCs w:val="18"/>
          <w:lang w:val="en-US"/>
        </w:rPr>
        <w:t>.</w:t>
      </w:r>
    </w:p>
  </w:footnote>
  <w:footnote w:id="34">
    <w:p w14:paraId="1E8EFF30" w14:textId="77777777" w:rsidR="00815DBB" w:rsidRPr="000511A7" w:rsidRDefault="00815DBB" w:rsidP="00AA552D">
      <w:pPr>
        <w:pStyle w:val="FootnoteText"/>
        <w:widowControl w:val="0"/>
        <w:tabs>
          <w:tab w:val="clear" w:pos="1021"/>
          <w:tab w:val="right" w:pos="1020"/>
        </w:tabs>
        <w:rPr>
          <w:lang w:val="en-US"/>
        </w:rPr>
      </w:pPr>
      <w:r>
        <w:tab/>
      </w:r>
      <w:r>
        <w:rPr>
          <w:rStyle w:val="FootnoteReference"/>
        </w:rPr>
        <w:footnoteRef/>
      </w:r>
      <w:r>
        <w:tab/>
      </w:r>
      <w:r w:rsidRPr="00F12038">
        <w:rPr>
          <w:lang w:val="en-US"/>
        </w:rPr>
        <w:t>FCCC/SB/2015/1</w:t>
      </w:r>
      <w:r w:rsidRPr="00054EB7">
        <w:rPr>
          <w:lang w:val="en-US"/>
        </w:rPr>
        <w:t>.</w:t>
      </w:r>
      <w:r>
        <w:t xml:space="preserve"> </w:t>
      </w:r>
    </w:p>
  </w:footnote>
  <w:footnote w:id="35">
    <w:p w14:paraId="1E8EFF31" w14:textId="77777777" w:rsidR="00815DBB" w:rsidRPr="002C2138" w:rsidRDefault="00815DBB" w:rsidP="00AA552D">
      <w:pPr>
        <w:pStyle w:val="FootnoteText"/>
        <w:widowControl w:val="0"/>
        <w:tabs>
          <w:tab w:val="clear" w:pos="1021"/>
          <w:tab w:val="right" w:pos="1020"/>
        </w:tabs>
        <w:rPr>
          <w:lang w:val="en-US"/>
        </w:rPr>
      </w:pPr>
      <w:r>
        <w:tab/>
      </w:r>
      <w:r>
        <w:rPr>
          <w:rStyle w:val="FootnoteReference"/>
        </w:rPr>
        <w:footnoteRef/>
      </w:r>
      <w:r>
        <w:tab/>
        <w:t xml:space="preserve">See document </w:t>
      </w:r>
      <w:r w:rsidRPr="004C3628">
        <w:t>FCCC/SB/2013/1, paragraph 3</w:t>
      </w:r>
      <w:r>
        <w:t xml:space="preserve">. </w:t>
      </w:r>
    </w:p>
  </w:footnote>
  <w:footnote w:id="36">
    <w:p w14:paraId="1E8EFF32" w14:textId="77777777" w:rsidR="00815DBB" w:rsidRPr="00A63AE9" w:rsidRDefault="00815DBB" w:rsidP="00AA552D">
      <w:pPr>
        <w:pStyle w:val="FootnoteText"/>
        <w:widowControl w:val="0"/>
        <w:tabs>
          <w:tab w:val="clear" w:pos="1021"/>
          <w:tab w:val="right" w:pos="1020"/>
        </w:tabs>
        <w:rPr>
          <w:lang w:val="en-US"/>
        </w:rPr>
      </w:pPr>
      <w:r>
        <w:tab/>
      </w:r>
      <w:r>
        <w:rPr>
          <w:rStyle w:val="FootnoteReference"/>
        </w:rPr>
        <w:footnoteRef/>
      </w:r>
      <w:r>
        <w:tab/>
      </w:r>
      <w:r w:rsidRPr="00F12038">
        <w:t>FCCC/SB/2015/INF.3</w:t>
      </w:r>
      <w:r>
        <w:t xml:space="preserve">. </w:t>
      </w:r>
    </w:p>
  </w:footnote>
  <w:footnote w:id="37">
    <w:p w14:paraId="1E8EFF33" w14:textId="77777777" w:rsidR="00815DBB" w:rsidRPr="00953CC5" w:rsidRDefault="00815DBB" w:rsidP="00E93335">
      <w:pPr>
        <w:pStyle w:val="FootnoteText"/>
        <w:widowControl w:val="0"/>
        <w:tabs>
          <w:tab w:val="clear" w:pos="1021"/>
          <w:tab w:val="right" w:pos="1020"/>
        </w:tabs>
        <w:rPr>
          <w:lang w:val="en-US"/>
        </w:rPr>
      </w:pPr>
      <w:r>
        <w:tab/>
      </w:r>
      <w:r>
        <w:rPr>
          <w:rStyle w:val="FootnoteReference"/>
        </w:rPr>
        <w:footnoteRef/>
      </w:r>
      <w:r>
        <w:tab/>
      </w:r>
      <w:r w:rsidRPr="000B1356">
        <w:rPr>
          <w:lang w:val="en-US"/>
        </w:rPr>
        <w:t>FCCC/CP/2014/6</w:t>
      </w:r>
      <w:r>
        <w:rPr>
          <w:lang w:val="en-US"/>
        </w:rPr>
        <w:t>.</w:t>
      </w:r>
    </w:p>
  </w:footnote>
  <w:footnote w:id="38">
    <w:p w14:paraId="7148EC24" w14:textId="05C1A7C1" w:rsidR="00815DBB" w:rsidRPr="00444768" w:rsidRDefault="00815DBB" w:rsidP="001F27A2">
      <w:pPr>
        <w:pStyle w:val="FootnoteText"/>
        <w:rPr>
          <w:lang w:val="en-US"/>
        </w:rPr>
      </w:pPr>
      <w:r>
        <w:tab/>
      </w:r>
      <w:r>
        <w:rPr>
          <w:rStyle w:val="FootnoteReference"/>
        </w:rPr>
        <w:footnoteRef/>
      </w:r>
      <w:r>
        <w:tab/>
      </w:r>
      <w:r>
        <w:rPr>
          <w:lang w:val="en-US"/>
        </w:rPr>
        <w:t>Decision 3/CP.17, annex.</w:t>
      </w:r>
    </w:p>
    <w:p w14:paraId="39A1C42F" w14:textId="5A7262E6" w:rsidR="00815DBB" w:rsidRPr="003D636D" w:rsidRDefault="00815DBB" w:rsidP="003D636D">
      <w:pPr>
        <w:pStyle w:val="FootnoteText"/>
        <w:widowControl w:val="0"/>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EC" w14:textId="0FEF9D9A" w:rsidR="00815DBB" w:rsidRPr="00E740A0" w:rsidRDefault="00815DBB" w:rsidP="00E740A0">
    <w:pPr>
      <w:pStyle w:val="Header"/>
    </w:pPr>
    <w:r>
      <w:t>FCCC/CP/2015/10/Add.2</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5" w14:textId="4C60A485" w:rsidR="00815DBB" w:rsidRPr="00E740A0" w:rsidRDefault="00815DBB" w:rsidP="00E740A0">
    <w:pPr>
      <w:pStyle w:val="Header"/>
    </w:pPr>
    <w:r>
      <w:t>FCCC/CP/2015/10/Add.2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6" w14:textId="69C16C35" w:rsidR="00815DBB" w:rsidRPr="00E740A0" w:rsidRDefault="00815DBB" w:rsidP="00E740A0">
    <w:pPr>
      <w:pStyle w:val="Header"/>
    </w:pPr>
    <w:r>
      <w:t>FCCC/CP/2015/10/Add.2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49BA" w14:textId="381676FC" w:rsidR="00815DBB" w:rsidRPr="00E740A0" w:rsidRDefault="00815DBB" w:rsidP="00E740A0">
    <w:pPr>
      <w:pStyle w:val="Header"/>
      <w:jc w:val="right"/>
    </w:pPr>
    <w:r>
      <w:t>FCCC/CP/2015/10/Add.2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7" w14:textId="1F282B7F" w:rsidR="00815DBB" w:rsidRPr="00E740A0" w:rsidRDefault="00815DBB" w:rsidP="00E740A0">
    <w:pPr>
      <w:pStyle w:val="Header"/>
    </w:pPr>
    <w:r>
      <w:t>FCCC/CP/2015/10/Add.2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B642C" w14:textId="7B76579F" w:rsidR="00815DBB" w:rsidRPr="00E740A0" w:rsidRDefault="00815DBB" w:rsidP="00E740A0">
    <w:pPr>
      <w:pStyle w:val="Header"/>
      <w:jc w:val="right"/>
    </w:pPr>
    <w:r>
      <w:t>FCCC/CP/2015/10/Add.2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8" w14:textId="02BC1E10" w:rsidR="00815DBB" w:rsidRPr="00E740A0" w:rsidRDefault="00815DBB" w:rsidP="00E740A0">
    <w:pPr>
      <w:pStyle w:val="Header"/>
    </w:pPr>
    <w:r>
      <w:t>FCCC/CP/2015/10/Add.2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0153E" w14:textId="201675D7" w:rsidR="00815DBB" w:rsidRPr="00E740A0" w:rsidRDefault="00815DBB" w:rsidP="00E740A0">
    <w:pPr>
      <w:pStyle w:val="Header"/>
      <w:jc w:val="right"/>
    </w:pPr>
    <w:r>
      <w:t>FCCC/CP/2015/10/Add.2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9" w14:textId="054607A2" w:rsidR="00815DBB" w:rsidRPr="00E740A0" w:rsidRDefault="00815DBB" w:rsidP="00E740A0">
    <w:pPr>
      <w:pStyle w:val="Header"/>
    </w:pPr>
    <w:r>
      <w:t>FCCC/CP/2015/10/Add.2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A" w14:textId="62D7734D" w:rsidR="00815DBB" w:rsidRPr="00E740A0" w:rsidRDefault="00815DBB" w:rsidP="00E740A0">
    <w:pPr>
      <w:pStyle w:val="Header"/>
      <w:jc w:val="right"/>
    </w:pPr>
    <w:r>
      <w:t>FCCC/CP/2015/10/Add.2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B" w14:textId="5D3E67B9" w:rsidR="00815DBB" w:rsidRPr="00E740A0" w:rsidRDefault="00815DBB" w:rsidP="00E740A0">
    <w:r>
      <w:rPr>
        <w:noProof/>
        <w:lang w:val="en-US" w:eastAsia="en-US"/>
      </w:rPr>
      <mc:AlternateContent>
        <mc:Choice Requires="wps">
          <w:drawing>
            <wp:anchor distT="0" distB="0" distL="114300" distR="114300" simplePos="0" relativeHeight="251749376" behindDoc="0" locked="0" layoutInCell="1" allowOverlap="1" wp14:anchorId="3E1E144D" wp14:editId="30672283">
              <wp:simplePos x="0" y="0"/>
              <wp:positionH relativeFrom="page">
                <wp:posOffset>9791700</wp:posOffset>
              </wp:positionH>
              <wp:positionV relativeFrom="margin">
                <wp:posOffset>0</wp:posOffset>
              </wp:positionV>
              <wp:extent cx="212271" cy="61150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271" cy="611505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7694B9D2" w14:textId="1C7F7533" w:rsidR="00815DBB" w:rsidRDefault="00815DBB" w:rsidP="00E740A0">
                          <w:pPr>
                            <w:pStyle w:val="Header"/>
                          </w:pPr>
                          <w:r>
                            <w:t>FCCC/CP/2015/10/Add.2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E1E144D" id="_x0000_t202" coordsize="21600,21600" o:spt="202" path="m,l,21600r21600,l21600,xe">
              <v:stroke joinstyle="miter"/>
              <v:path gradientshapeok="t" o:connecttype="rect"/>
            </v:shapetype>
            <v:shape id="Text Box 15" o:spid="_x0000_s1027" type="#_x0000_t202" style="position:absolute;margin-left:771pt;margin-top:0;width:16.7pt;height:481.5pt;z-index:251749376;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" filled="f" stroked="f">
              <v:stroke joinstyle="round"/>
              <v:path arrowok="t"/>
              <v:textbox style="layout-flow:vertical" inset="0,0,0,0">
                <w:txbxContent>
                  <w:p w14:paraId="7694B9D2" w14:textId="1C7F7533" w:rsidR="00815DBB" w:rsidRDefault="00815DBB" w:rsidP="00E740A0">
                    <w:pPr>
                      <w:pStyle w:val="Header"/>
                    </w:pPr>
                    <w:r>
                      <w:t>FCCC/CP/2015/10/Add.2</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ED" w14:textId="77777777" w:rsidR="00815DBB" w:rsidRPr="00CE0B79" w:rsidRDefault="00815DBB" w:rsidP="00CE0B79">
    <w:r>
      <w:rPr>
        <w:noProof/>
        <w:lang w:val="en-US" w:eastAsia="en-US"/>
      </w:rPr>
      <mc:AlternateContent>
        <mc:Choice Requires="wps">
          <w:drawing>
            <wp:anchor distT="0" distB="0" distL="114300" distR="114300" simplePos="0" relativeHeight="251573248" behindDoc="0" locked="0" layoutInCell="1" allowOverlap="1" wp14:anchorId="1E8EFF07" wp14:editId="1E8EFF08">
              <wp:simplePos x="0" y="0"/>
              <wp:positionH relativeFrom="page">
                <wp:posOffset>9791700</wp:posOffset>
              </wp:positionH>
              <wp:positionV relativeFrom="margin">
                <wp:posOffset>0</wp:posOffset>
              </wp:positionV>
              <wp:extent cx="212272" cy="61150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272" cy="611505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1E8EFF34" w14:textId="77777777" w:rsidR="00815DBB" w:rsidRDefault="00815DBB" w:rsidP="00CE0B79">
                          <w:pPr>
                            <w:pStyle w:val="Header"/>
                          </w:pPr>
                          <w:r>
                            <w:t>FCCC/CP/2015/X/Add.2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E8EFF07" id="_x0000_t202" coordsize="21600,21600" o:spt="202" path="m,l,21600r21600,l21600,xe">
              <v:stroke joinstyle="miter"/>
              <v:path gradientshapeok="t" o:connecttype="rect"/>
            </v:shapetype>
            <v:shape id="Text Box 7" o:spid="_x0000_s1026" type="#_x0000_t202" style="position:absolute;margin-left:771pt;margin-top:0;width:16.7pt;height:481.5pt;z-index:25157324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" filled="f" stroked="f">
              <v:stroke joinstyle="round"/>
              <v:path arrowok="t"/>
              <v:textbox style="layout-flow:vertical" inset="0,0,0,0">
                <w:txbxContent>
                  <w:p w14:paraId="1E8EFF34" w14:textId="77777777" w:rsidR="00815DBB" w:rsidRDefault="00815DBB" w:rsidP="00CE0B79">
                    <w:pPr>
                      <w:pStyle w:val="Header"/>
                    </w:pPr>
                    <w:r>
                      <w:t>FCCC/CP/2015/X/Add.2</w:t>
                    </w:r>
                  </w:p>
                </w:txbxContent>
              </v:textbox>
              <w10:wrap anchorx="page" anchory="margin"/>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C" w14:textId="662A65E2" w:rsidR="00815DBB" w:rsidRPr="00E740A0" w:rsidRDefault="00815DBB" w:rsidP="00E740A0">
    <w:r>
      <w:rPr>
        <w:noProof/>
        <w:lang w:val="en-US" w:eastAsia="en-US"/>
      </w:rPr>
      <mc:AlternateContent>
        <mc:Choice Requires="wps">
          <w:drawing>
            <wp:anchor distT="0" distB="0" distL="114300" distR="114300" simplePos="0" relativeHeight="251762688" behindDoc="0" locked="0" layoutInCell="1" allowOverlap="1" wp14:anchorId="03938531" wp14:editId="73C99906">
              <wp:simplePos x="0" y="0"/>
              <wp:positionH relativeFrom="page">
                <wp:posOffset>9791700</wp:posOffset>
              </wp:positionH>
              <wp:positionV relativeFrom="margin">
                <wp:posOffset>0</wp:posOffset>
              </wp:positionV>
              <wp:extent cx="212271" cy="61150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271" cy="611505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5F8CCFE0" w14:textId="114B9FD9" w:rsidR="00815DBB" w:rsidRDefault="00815DBB" w:rsidP="00E740A0">
                          <w:pPr>
                            <w:pStyle w:val="Header"/>
                            <w:jc w:val="right"/>
                          </w:pPr>
                          <w:r>
                            <w:t>FCCC/CP/2015/10/Add.2</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3938531" id="_x0000_t202" coordsize="21600,21600" o:spt="202" path="m,l,21600r21600,l21600,xe">
              <v:stroke joinstyle="miter"/>
              <v:path gradientshapeok="t" o:connecttype="rect"/>
            </v:shapetype>
            <v:shape id="Text Box 21" o:spid="_x0000_s1028" type="#_x0000_t202" style="position:absolute;margin-left:771pt;margin-top:0;width:16.7pt;height:481.5pt;z-index:25176268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" filled="f" stroked="f">
              <v:stroke joinstyle="round"/>
              <v:path arrowok="t"/>
              <v:textbox style="layout-flow:vertical" inset="0,0,0,0">
                <w:txbxContent>
                  <w:p w14:paraId="5F8CCFE0" w14:textId="114B9FD9" w:rsidR="00815DBB" w:rsidRDefault="00815DBB" w:rsidP="00E740A0">
                    <w:pPr>
                      <w:pStyle w:val="Header"/>
                      <w:jc w:val="right"/>
                    </w:pPr>
                    <w:r>
                      <w:t>FCCC/CP/2015/10/Add.2</w:t>
                    </w:r>
                  </w:p>
                </w:txbxContent>
              </v:textbox>
              <w10:wrap anchorx="page" anchory="margin"/>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F" w14:textId="5240663A" w:rsidR="00815DBB" w:rsidRPr="00E740A0" w:rsidRDefault="00815DBB" w:rsidP="00E740A0">
    <w:pPr>
      <w:pStyle w:val="Header"/>
    </w:pPr>
    <w:r>
      <w:t>FCCC/CP/2015/10/Add.2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0" w14:textId="59BB64F1" w:rsidR="00815DBB" w:rsidRPr="00E740A0" w:rsidRDefault="00815DBB" w:rsidP="00E740A0">
    <w:pPr>
      <w:pStyle w:val="Header"/>
      <w:jc w:val="right"/>
    </w:pPr>
    <w:r>
      <w:t>FCCC/CP/2015/10/Add.2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3" w14:textId="1817690B" w:rsidR="00815DBB" w:rsidRPr="00E740A0" w:rsidRDefault="00815DBB" w:rsidP="00E740A0">
    <w:pPr>
      <w:pStyle w:val="Header"/>
    </w:pPr>
    <w:r>
      <w:t>FCCC/CP/2015/10/Add.2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4" w14:textId="01315643" w:rsidR="00815DBB" w:rsidRPr="00E740A0" w:rsidRDefault="00815DBB" w:rsidP="00E740A0">
    <w:pPr>
      <w:pStyle w:val="Header"/>
      <w:jc w:val="right"/>
    </w:pPr>
    <w:r>
      <w:t>FCCC/CP/2015/10/Add.2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80386" w14:textId="3AA814CC" w:rsidR="00815DBB" w:rsidRPr="00E740A0" w:rsidRDefault="00815DBB" w:rsidP="00E740A0">
    <w:pPr>
      <w:pStyle w:val="Header"/>
    </w:pPr>
    <w:r>
      <w:t>FCCC/CP/2015/10/Add.2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F06" w14:textId="6A50AF98" w:rsidR="00815DBB" w:rsidRPr="00E740A0" w:rsidRDefault="00815DBB" w:rsidP="003D636D">
    <w:pPr>
      <w:pStyle w:val="Header"/>
    </w:pPr>
    <w:r>
      <w:t>FCCC/CP/2015/10/Add.2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0939" w14:textId="52248E61" w:rsidR="00815DBB" w:rsidRPr="00E740A0" w:rsidRDefault="00815DBB" w:rsidP="003D636D">
    <w:pPr>
      <w:pStyle w:val="Header"/>
      <w:jc w:val="right"/>
    </w:pPr>
    <w:r>
      <w:t>FCCC/CP/2015/10/Add.2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4451F" w14:textId="77777777" w:rsidR="00815DBB" w:rsidRDefault="00815DBB" w:rsidP="002B259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0" w14:textId="610F0F2E" w:rsidR="00815DBB" w:rsidRPr="00565D3D" w:rsidRDefault="00815DBB" w:rsidP="00565D3D">
    <w:pPr>
      <w:pStyle w:val="Header"/>
    </w:pPr>
    <w:r>
      <w:t>FCCC/CP/2015/10/Add.2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1" w14:textId="19119591" w:rsidR="00815DBB" w:rsidRPr="00E740A0" w:rsidRDefault="00815DBB" w:rsidP="00E740A0">
    <w:pPr>
      <w:pStyle w:val="Header"/>
      <w:jc w:val="right"/>
    </w:pPr>
    <w:r>
      <w:t>FCCC/CP/2015/10/Add.2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2" w14:textId="5D230118" w:rsidR="00815DBB" w:rsidRPr="00E740A0" w:rsidRDefault="00815DBB" w:rsidP="00E740A0">
    <w:pPr>
      <w:pStyle w:val="Header"/>
    </w:pPr>
    <w:r>
      <w:t>FCCC/CP/2015/10/Add.2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3" w14:textId="552B39EC" w:rsidR="00815DBB" w:rsidRPr="00565D3D" w:rsidRDefault="00815DBB" w:rsidP="00565D3D">
    <w:pPr>
      <w:pStyle w:val="Header"/>
      <w:jc w:val="right"/>
    </w:pPr>
    <w:r>
      <w:t>FCCC/CP/2015/10/Add.2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EFEF4" w14:textId="03DDDC05" w:rsidR="00815DBB" w:rsidRPr="00E740A0" w:rsidRDefault="00815DBB" w:rsidP="00E740A0">
    <w:pPr>
      <w:pStyle w:val="Header"/>
    </w:pPr>
    <w:r>
      <w:t>FCCC/CP/2015/10/Add.2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A046" w14:textId="50D4874C" w:rsidR="00815DBB" w:rsidRPr="00E740A0" w:rsidRDefault="00815DBB" w:rsidP="00E740A0">
    <w:pPr>
      <w:pStyle w:val="Header"/>
      <w:jc w:val="right"/>
    </w:pPr>
    <w:r>
      <w:t>FCCC/CP/2015/10/Add.2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23354E"/>
    <w:multiLevelType w:val="multilevel"/>
    <w:tmpl w:val="9DA42952"/>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 w15:restartNumberingAfterBreak="0">
    <w:nsid w:val="1BEC5A93"/>
    <w:multiLevelType w:val="multilevel"/>
    <w:tmpl w:val="6CAEB67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 w15:restartNumberingAfterBreak="0">
    <w:nsid w:val="26862608"/>
    <w:multiLevelType w:val="hybridMultilevel"/>
    <w:tmpl w:val="47DE83F8"/>
    <w:lvl w:ilvl="0" w:tplc="4E64C4A2">
      <w:start w:val="1"/>
      <w:numFmt w:val="decimal"/>
      <w:lvlText w:val="%1."/>
      <w:lvlJc w:val="left"/>
      <w:pPr>
        <w:ind w:left="3391" w:hanging="555"/>
      </w:pPr>
      <w:rPr>
        <w:rFonts w:hint="default"/>
        <w:b w:val="0"/>
        <w:i w:val="0"/>
      </w:rPr>
    </w:lvl>
    <w:lvl w:ilvl="1" w:tplc="6DEC5E44">
      <w:start w:val="1"/>
      <w:numFmt w:val="lowerLetter"/>
      <w:lvlText w:val="(%2)"/>
      <w:lvlJc w:val="left"/>
      <w:pPr>
        <w:ind w:left="2215" w:hanging="360"/>
      </w:pPr>
      <w:rPr>
        <w:rFonts w:hint="default"/>
      </w:rPr>
    </w:lvl>
    <w:lvl w:ilvl="2" w:tplc="0409001B">
      <w:start w:val="1"/>
      <w:numFmt w:val="lowerRoman"/>
      <w:lvlText w:val="%3."/>
      <w:lvlJc w:val="right"/>
      <w:pPr>
        <w:ind w:left="2935" w:hanging="180"/>
      </w:pPr>
    </w:lvl>
    <w:lvl w:ilvl="3" w:tplc="0409000F">
      <w:start w:val="1"/>
      <w:numFmt w:val="decimal"/>
      <w:lvlText w:val="%4."/>
      <w:lvlJc w:val="left"/>
      <w:pPr>
        <w:ind w:left="3655" w:hanging="360"/>
      </w:pPr>
    </w:lvl>
    <w:lvl w:ilvl="4" w:tplc="04090019">
      <w:start w:val="1"/>
      <w:numFmt w:val="lowerLetter"/>
      <w:lvlText w:val="%5."/>
      <w:lvlJc w:val="left"/>
      <w:pPr>
        <w:ind w:left="4375" w:hanging="360"/>
      </w:pPr>
    </w:lvl>
    <w:lvl w:ilvl="5" w:tplc="0409001B">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15:restartNumberingAfterBreak="0">
    <w:nsid w:val="379C1E77"/>
    <w:multiLevelType w:val="hybridMultilevel"/>
    <w:tmpl w:val="E49E438A"/>
    <w:lvl w:ilvl="0" w:tplc="F70C330A">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E716BA"/>
    <w:multiLevelType w:val="hybridMultilevel"/>
    <w:tmpl w:val="D6BA4F04"/>
    <w:lvl w:ilvl="0" w:tplc="99389DA2">
      <w:start w:val="18"/>
      <w:numFmt w:val="bullet"/>
      <w:lvlText w:val="-"/>
      <w:lvlJc w:val="left"/>
      <w:pPr>
        <w:ind w:left="720" w:hanging="360"/>
      </w:pPr>
      <w:rPr>
        <w:rFonts w:ascii="Times New Roman" w:eastAsia="SimSu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A734CD"/>
    <w:multiLevelType w:val="hybridMultilevel"/>
    <w:tmpl w:val="CB4CB076"/>
    <w:lvl w:ilvl="0" w:tplc="F70C330A">
      <w:start w:val="1"/>
      <w:numFmt w:val="lowerLetter"/>
      <w:lvlRestart w:val="0"/>
      <w:suff w:val="space"/>
      <w:lvlText w:val="%1  "/>
      <w:lvlJc w:val="left"/>
      <w:pPr>
        <w:ind w:left="965" w:firstLine="170"/>
      </w:pPr>
      <w:rPr>
        <w:i/>
        <w:sz w:val="18"/>
        <w:vertAlign w:val="superscript"/>
      </w:rPr>
    </w:lvl>
    <w:lvl w:ilvl="1" w:tplc="08090019" w:tentative="1">
      <w:start w:val="1"/>
      <w:numFmt w:val="lowerLetter"/>
      <w:lvlText w:val="%2."/>
      <w:lvlJc w:val="left"/>
      <w:pPr>
        <w:ind w:left="1271" w:hanging="360"/>
      </w:pPr>
    </w:lvl>
    <w:lvl w:ilvl="2" w:tplc="0809001B" w:tentative="1">
      <w:start w:val="1"/>
      <w:numFmt w:val="lowerRoman"/>
      <w:lvlText w:val="%3."/>
      <w:lvlJc w:val="right"/>
      <w:pPr>
        <w:ind w:left="1991" w:hanging="180"/>
      </w:pPr>
    </w:lvl>
    <w:lvl w:ilvl="3" w:tplc="0809000F" w:tentative="1">
      <w:start w:val="1"/>
      <w:numFmt w:val="decimal"/>
      <w:lvlText w:val="%4."/>
      <w:lvlJc w:val="left"/>
      <w:pPr>
        <w:ind w:left="2711" w:hanging="360"/>
      </w:pPr>
    </w:lvl>
    <w:lvl w:ilvl="4" w:tplc="08090019" w:tentative="1">
      <w:start w:val="1"/>
      <w:numFmt w:val="lowerLetter"/>
      <w:lvlText w:val="%5."/>
      <w:lvlJc w:val="left"/>
      <w:pPr>
        <w:ind w:left="3431" w:hanging="360"/>
      </w:pPr>
    </w:lvl>
    <w:lvl w:ilvl="5" w:tplc="0809001B" w:tentative="1">
      <w:start w:val="1"/>
      <w:numFmt w:val="lowerRoman"/>
      <w:lvlText w:val="%6."/>
      <w:lvlJc w:val="right"/>
      <w:pPr>
        <w:ind w:left="4151" w:hanging="180"/>
      </w:pPr>
    </w:lvl>
    <w:lvl w:ilvl="6" w:tplc="0809000F" w:tentative="1">
      <w:start w:val="1"/>
      <w:numFmt w:val="decimal"/>
      <w:lvlText w:val="%7."/>
      <w:lvlJc w:val="left"/>
      <w:pPr>
        <w:ind w:left="4871" w:hanging="360"/>
      </w:pPr>
    </w:lvl>
    <w:lvl w:ilvl="7" w:tplc="08090019" w:tentative="1">
      <w:start w:val="1"/>
      <w:numFmt w:val="lowerLetter"/>
      <w:lvlText w:val="%8."/>
      <w:lvlJc w:val="left"/>
      <w:pPr>
        <w:ind w:left="5591" w:hanging="360"/>
      </w:pPr>
    </w:lvl>
    <w:lvl w:ilvl="8" w:tplc="0809001B" w:tentative="1">
      <w:start w:val="1"/>
      <w:numFmt w:val="lowerRoman"/>
      <w:lvlText w:val="%9."/>
      <w:lvlJc w:val="right"/>
      <w:pPr>
        <w:ind w:left="6311" w:hanging="180"/>
      </w:pPr>
    </w:lvl>
  </w:abstractNum>
  <w:abstractNum w:abstractNumId="8" w15:restartNumberingAfterBreak="0">
    <w:nsid w:val="489F4254"/>
    <w:multiLevelType w:val="hybridMultilevel"/>
    <w:tmpl w:val="5632586A"/>
    <w:lvl w:ilvl="0" w:tplc="3BEE62B4">
      <w:start w:val="1"/>
      <w:numFmt w:val="lowerLetter"/>
      <w:lvlRestart w:val="0"/>
      <w:suff w:val="space"/>
      <w:lvlText w:val="%1  "/>
      <w:lvlJc w:val="left"/>
      <w:pPr>
        <w:ind w:left="1134" w:firstLine="170"/>
      </w:pPr>
      <w:rPr>
        <w:i/>
        <w:strike w:val="0"/>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3"/>
  </w:num>
  <w:num w:numId="4">
    <w:abstractNumId w:val="1"/>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 w:numId="14">
    <w:abstractNumId w:val="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9625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FD9"/>
    <w:rsid w:val="00004A30"/>
    <w:rsid w:val="00021BB6"/>
    <w:rsid w:val="00025835"/>
    <w:rsid w:val="000303BF"/>
    <w:rsid w:val="00032DDE"/>
    <w:rsid w:val="00032FAD"/>
    <w:rsid w:val="00033A14"/>
    <w:rsid w:val="00036497"/>
    <w:rsid w:val="000423A6"/>
    <w:rsid w:val="0005249B"/>
    <w:rsid w:val="000555B3"/>
    <w:rsid w:val="000561BD"/>
    <w:rsid w:val="0007003D"/>
    <w:rsid w:val="00074855"/>
    <w:rsid w:val="00075E5E"/>
    <w:rsid w:val="00076113"/>
    <w:rsid w:val="00087000"/>
    <w:rsid w:val="000913E6"/>
    <w:rsid w:val="00093044"/>
    <w:rsid w:val="00094177"/>
    <w:rsid w:val="000941F1"/>
    <w:rsid w:val="000A2732"/>
    <w:rsid w:val="000A399F"/>
    <w:rsid w:val="000A566F"/>
    <w:rsid w:val="000A6FE3"/>
    <w:rsid w:val="000B1FD0"/>
    <w:rsid w:val="000B32C9"/>
    <w:rsid w:val="000B6ED4"/>
    <w:rsid w:val="000C24E3"/>
    <w:rsid w:val="000C5173"/>
    <w:rsid w:val="000D1848"/>
    <w:rsid w:val="000D4443"/>
    <w:rsid w:val="000D5DED"/>
    <w:rsid w:val="000D6D4A"/>
    <w:rsid w:val="000E5A58"/>
    <w:rsid w:val="001007C9"/>
    <w:rsid w:val="00106384"/>
    <w:rsid w:val="00107713"/>
    <w:rsid w:val="001155E6"/>
    <w:rsid w:val="0011781E"/>
    <w:rsid w:val="00120E84"/>
    <w:rsid w:val="00123C52"/>
    <w:rsid w:val="00127311"/>
    <w:rsid w:val="001328F9"/>
    <w:rsid w:val="00133CA9"/>
    <w:rsid w:val="00133F1A"/>
    <w:rsid w:val="00137FCA"/>
    <w:rsid w:val="00145B15"/>
    <w:rsid w:val="00146CA0"/>
    <w:rsid w:val="00150030"/>
    <w:rsid w:val="00152A6E"/>
    <w:rsid w:val="001600D9"/>
    <w:rsid w:val="00162299"/>
    <w:rsid w:val="00172CF0"/>
    <w:rsid w:val="001738F1"/>
    <w:rsid w:val="00174A05"/>
    <w:rsid w:val="00176367"/>
    <w:rsid w:val="00177074"/>
    <w:rsid w:val="00184C03"/>
    <w:rsid w:val="00186A4F"/>
    <w:rsid w:val="001906D0"/>
    <w:rsid w:val="0019430F"/>
    <w:rsid w:val="001945C7"/>
    <w:rsid w:val="001A15E0"/>
    <w:rsid w:val="001A3DBC"/>
    <w:rsid w:val="001A542F"/>
    <w:rsid w:val="001A594B"/>
    <w:rsid w:val="001B085A"/>
    <w:rsid w:val="001B1483"/>
    <w:rsid w:val="001B5941"/>
    <w:rsid w:val="001B6D32"/>
    <w:rsid w:val="001C058D"/>
    <w:rsid w:val="001C64FD"/>
    <w:rsid w:val="001F27A2"/>
    <w:rsid w:val="002008AA"/>
    <w:rsid w:val="002025E1"/>
    <w:rsid w:val="00206D42"/>
    <w:rsid w:val="0022077C"/>
    <w:rsid w:val="002220C5"/>
    <w:rsid w:val="00223453"/>
    <w:rsid w:val="00224DD3"/>
    <w:rsid w:val="00230D0F"/>
    <w:rsid w:val="00231FB5"/>
    <w:rsid w:val="00232479"/>
    <w:rsid w:val="00232DAB"/>
    <w:rsid w:val="00236C88"/>
    <w:rsid w:val="0024447B"/>
    <w:rsid w:val="00246888"/>
    <w:rsid w:val="00250037"/>
    <w:rsid w:val="00251D6A"/>
    <w:rsid w:val="00251FF9"/>
    <w:rsid w:val="002540CB"/>
    <w:rsid w:val="00255320"/>
    <w:rsid w:val="00256CFB"/>
    <w:rsid w:val="00257AA3"/>
    <w:rsid w:val="002607CC"/>
    <w:rsid w:val="00264F17"/>
    <w:rsid w:val="00273E8E"/>
    <w:rsid w:val="00276A17"/>
    <w:rsid w:val="002779EB"/>
    <w:rsid w:val="002859C9"/>
    <w:rsid w:val="0029007C"/>
    <w:rsid w:val="00292DC3"/>
    <w:rsid w:val="00293627"/>
    <w:rsid w:val="002952C6"/>
    <w:rsid w:val="00295866"/>
    <w:rsid w:val="0029733B"/>
    <w:rsid w:val="00297C1E"/>
    <w:rsid w:val="002B0283"/>
    <w:rsid w:val="002B146C"/>
    <w:rsid w:val="002B2597"/>
    <w:rsid w:val="002B2CFA"/>
    <w:rsid w:val="002B3EC5"/>
    <w:rsid w:val="002B446B"/>
    <w:rsid w:val="002B72CE"/>
    <w:rsid w:val="002B7532"/>
    <w:rsid w:val="002C051E"/>
    <w:rsid w:val="002C11F7"/>
    <w:rsid w:val="002C52A6"/>
    <w:rsid w:val="002D3F66"/>
    <w:rsid w:val="002E694C"/>
    <w:rsid w:val="002F304A"/>
    <w:rsid w:val="002F60E8"/>
    <w:rsid w:val="003012AF"/>
    <w:rsid w:val="00305336"/>
    <w:rsid w:val="00306423"/>
    <w:rsid w:val="003134B0"/>
    <w:rsid w:val="003147E4"/>
    <w:rsid w:val="00327575"/>
    <w:rsid w:val="00327B89"/>
    <w:rsid w:val="0033037A"/>
    <w:rsid w:val="00336DC3"/>
    <w:rsid w:val="003415A2"/>
    <w:rsid w:val="003447AE"/>
    <w:rsid w:val="00344AD3"/>
    <w:rsid w:val="003518BD"/>
    <w:rsid w:val="0035605E"/>
    <w:rsid w:val="00361821"/>
    <w:rsid w:val="00364B85"/>
    <w:rsid w:val="003718B9"/>
    <w:rsid w:val="00375F53"/>
    <w:rsid w:val="003767F5"/>
    <w:rsid w:val="00381632"/>
    <w:rsid w:val="00383494"/>
    <w:rsid w:val="003A4936"/>
    <w:rsid w:val="003B2C11"/>
    <w:rsid w:val="003C3854"/>
    <w:rsid w:val="003C75B9"/>
    <w:rsid w:val="003D1A53"/>
    <w:rsid w:val="003D636D"/>
    <w:rsid w:val="003D6B47"/>
    <w:rsid w:val="003E0A8A"/>
    <w:rsid w:val="003F7301"/>
    <w:rsid w:val="00405C49"/>
    <w:rsid w:val="004061BF"/>
    <w:rsid w:val="00410508"/>
    <w:rsid w:val="00410A9A"/>
    <w:rsid w:val="00417292"/>
    <w:rsid w:val="00422A55"/>
    <w:rsid w:val="00427DA2"/>
    <w:rsid w:val="00436745"/>
    <w:rsid w:val="0043729E"/>
    <w:rsid w:val="004578AD"/>
    <w:rsid w:val="00467704"/>
    <w:rsid w:val="004812E6"/>
    <w:rsid w:val="0048523B"/>
    <w:rsid w:val="00485971"/>
    <w:rsid w:val="00487DED"/>
    <w:rsid w:val="00490630"/>
    <w:rsid w:val="00496D15"/>
    <w:rsid w:val="004977C3"/>
    <w:rsid w:val="004A67DD"/>
    <w:rsid w:val="004B2869"/>
    <w:rsid w:val="004B4116"/>
    <w:rsid w:val="004B501A"/>
    <w:rsid w:val="004B6E01"/>
    <w:rsid w:val="004C1052"/>
    <w:rsid w:val="004D2B5E"/>
    <w:rsid w:val="004D72AF"/>
    <w:rsid w:val="004E2287"/>
    <w:rsid w:val="004F0D45"/>
    <w:rsid w:val="004F27E7"/>
    <w:rsid w:val="004F615A"/>
    <w:rsid w:val="005030B1"/>
    <w:rsid w:val="00503373"/>
    <w:rsid w:val="0052205C"/>
    <w:rsid w:val="005255F0"/>
    <w:rsid w:val="005324FA"/>
    <w:rsid w:val="005416D2"/>
    <w:rsid w:val="005464AA"/>
    <w:rsid w:val="00546735"/>
    <w:rsid w:val="005474C8"/>
    <w:rsid w:val="00553759"/>
    <w:rsid w:val="005549B8"/>
    <w:rsid w:val="005627AB"/>
    <w:rsid w:val="00565AF2"/>
    <w:rsid w:val="00565D3D"/>
    <w:rsid w:val="00573130"/>
    <w:rsid w:val="00576132"/>
    <w:rsid w:val="00576F19"/>
    <w:rsid w:val="00592405"/>
    <w:rsid w:val="00597BF6"/>
    <w:rsid w:val="005A0171"/>
    <w:rsid w:val="005A1844"/>
    <w:rsid w:val="005A27C3"/>
    <w:rsid w:val="005B239E"/>
    <w:rsid w:val="005B518E"/>
    <w:rsid w:val="005C08EC"/>
    <w:rsid w:val="005F1DCF"/>
    <w:rsid w:val="006002E5"/>
    <w:rsid w:val="00601526"/>
    <w:rsid w:val="00603D73"/>
    <w:rsid w:val="0061087E"/>
    <w:rsid w:val="00611E89"/>
    <w:rsid w:val="0061504C"/>
    <w:rsid w:val="00617B57"/>
    <w:rsid w:val="006221F8"/>
    <w:rsid w:val="00631EE2"/>
    <w:rsid w:val="00633BF3"/>
    <w:rsid w:val="00634DBB"/>
    <w:rsid w:val="0063667C"/>
    <w:rsid w:val="006379C7"/>
    <w:rsid w:val="00641F29"/>
    <w:rsid w:val="006538E1"/>
    <w:rsid w:val="00655F79"/>
    <w:rsid w:val="0066159F"/>
    <w:rsid w:val="0066721D"/>
    <w:rsid w:val="00667461"/>
    <w:rsid w:val="006810D8"/>
    <w:rsid w:val="00682F9B"/>
    <w:rsid w:val="00687740"/>
    <w:rsid w:val="00693901"/>
    <w:rsid w:val="006963A5"/>
    <w:rsid w:val="006973FA"/>
    <w:rsid w:val="006A0F2D"/>
    <w:rsid w:val="006A3385"/>
    <w:rsid w:val="006A56FD"/>
    <w:rsid w:val="006A63F7"/>
    <w:rsid w:val="006B06DB"/>
    <w:rsid w:val="006B13CC"/>
    <w:rsid w:val="006B62F2"/>
    <w:rsid w:val="006B6D3A"/>
    <w:rsid w:val="006C2311"/>
    <w:rsid w:val="006C2AAF"/>
    <w:rsid w:val="006D0BDC"/>
    <w:rsid w:val="006E2336"/>
    <w:rsid w:val="006E6852"/>
    <w:rsid w:val="006E79F4"/>
    <w:rsid w:val="006F1BFA"/>
    <w:rsid w:val="006F2373"/>
    <w:rsid w:val="006F40D9"/>
    <w:rsid w:val="006F50D5"/>
    <w:rsid w:val="006F7400"/>
    <w:rsid w:val="00700EEF"/>
    <w:rsid w:val="00706306"/>
    <w:rsid w:val="00706ACC"/>
    <w:rsid w:val="007112BE"/>
    <w:rsid w:val="0071428F"/>
    <w:rsid w:val="007149D6"/>
    <w:rsid w:val="00717BC5"/>
    <w:rsid w:val="00723005"/>
    <w:rsid w:val="00726562"/>
    <w:rsid w:val="00727EDF"/>
    <w:rsid w:val="007334B2"/>
    <w:rsid w:val="007334C8"/>
    <w:rsid w:val="00733560"/>
    <w:rsid w:val="00734B2C"/>
    <w:rsid w:val="00741FEC"/>
    <w:rsid w:val="00742F78"/>
    <w:rsid w:val="0074332D"/>
    <w:rsid w:val="00750AE3"/>
    <w:rsid w:val="00752275"/>
    <w:rsid w:val="00752FEF"/>
    <w:rsid w:val="00754145"/>
    <w:rsid w:val="007626E6"/>
    <w:rsid w:val="00763549"/>
    <w:rsid w:val="007658FD"/>
    <w:rsid w:val="007662FB"/>
    <w:rsid w:val="007712B0"/>
    <w:rsid w:val="007719B7"/>
    <w:rsid w:val="007760E2"/>
    <w:rsid w:val="007843B9"/>
    <w:rsid w:val="00785E48"/>
    <w:rsid w:val="007861B1"/>
    <w:rsid w:val="00791505"/>
    <w:rsid w:val="007A6518"/>
    <w:rsid w:val="007B0DFC"/>
    <w:rsid w:val="007B282F"/>
    <w:rsid w:val="007B36C4"/>
    <w:rsid w:val="007B45FC"/>
    <w:rsid w:val="007C4282"/>
    <w:rsid w:val="007C43B0"/>
    <w:rsid w:val="007D0DEF"/>
    <w:rsid w:val="007D1586"/>
    <w:rsid w:val="007D3A77"/>
    <w:rsid w:val="007D46D9"/>
    <w:rsid w:val="007E2A04"/>
    <w:rsid w:val="007E5A0D"/>
    <w:rsid w:val="007F11A7"/>
    <w:rsid w:val="007F5855"/>
    <w:rsid w:val="007F6C8A"/>
    <w:rsid w:val="00802646"/>
    <w:rsid w:val="00804EC9"/>
    <w:rsid w:val="00805529"/>
    <w:rsid w:val="008071D5"/>
    <w:rsid w:val="00810726"/>
    <w:rsid w:val="0081130B"/>
    <w:rsid w:val="00815DBB"/>
    <w:rsid w:val="0081743A"/>
    <w:rsid w:val="00821927"/>
    <w:rsid w:val="00822406"/>
    <w:rsid w:val="00824785"/>
    <w:rsid w:val="00824D92"/>
    <w:rsid w:val="008263F2"/>
    <w:rsid w:val="00827051"/>
    <w:rsid w:val="0083172F"/>
    <w:rsid w:val="008370E0"/>
    <w:rsid w:val="0084026C"/>
    <w:rsid w:val="008419FD"/>
    <w:rsid w:val="00841F6A"/>
    <w:rsid w:val="00845868"/>
    <w:rsid w:val="00847A56"/>
    <w:rsid w:val="00850BA0"/>
    <w:rsid w:val="00854F81"/>
    <w:rsid w:val="00857A55"/>
    <w:rsid w:val="0086015C"/>
    <w:rsid w:val="00873877"/>
    <w:rsid w:val="00873FF2"/>
    <w:rsid w:val="00885EE0"/>
    <w:rsid w:val="0089383D"/>
    <w:rsid w:val="008A7864"/>
    <w:rsid w:val="008B0BDE"/>
    <w:rsid w:val="008B17FB"/>
    <w:rsid w:val="008B2230"/>
    <w:rsid w:val="008B4372"/>
    <w:rsid w:val="008C3312"/>
    <w:rsid w:val="008C42B4"/>
    <w:rsid w:val="008D3EE8"/>
    <w:rsid w:val="008D5040"/>
    <w:rsid w:val="008D7CC1"/>
    <w:rsid w:val="008E4889"/>
    <w:rsid w:val="008E4AAA"/>
    <w:rsid w:val="008F4C57"/>
    <w:rsid w:val="008F5AA7"/>
    <w:rsid w:val="008F6651"/>
    <w:rsid w:val="008F7B36"/>
    <w:rsid w:val="009034BB"/>
    <w:rsid w:val="0091113E"/>
    <w:rsid w:val="009137D2"/>
    <w:rsid w:val="00917213"/>
    <w:rsid w:val="00921DB5"/>
    <w:rsid w:val="009230A8"/>
    <w:rsid w:val="00933228"/>
    <w:rsid w:val="009432B0"/>
    <w:rsid w:val="0094334C"/>
    <w:rsid w:val="00960298"/>
    <w:rsid w:val="00960F59"/>
    <w:rsid w:val="009617EB"/>
    <w:rsid w:val="00963315"/>
    <w:rsid w:val="00963690"/>
    <w:rsid w:val="00965737"/>
    <w:rsid w:val="00970F53"/>
    <w:rsid w:val="00980E44"/>
    <w:rsid w:val="009929D4"/>
    <w:rsid w:val="00995A32"/>
    <w:rsid w:val="00996312"/>
    <w:rsid w:val="009979A7"/>
    <w:rsid w:val="009A180C"/>
    <w:rsid w:val="009A1EFD"/>
    <w:rsid w:val="009A2813"/>
    <w:rsid w:val="009A38FD"/>
    <w:rsid w:val="009A71AA"/>
    <w:rsid w:val="009B064C"/>
    <w:rsid w:val="009B1CB9"/>
    <w:rsid w:val="009D0603"/>
    <w:rsid w:val="009D186B"/>
    <w:rsid w:val="009D7644"/>
    <w:rsid w:val="009F1350"/>
    <w:rsid w:val="009F3514"/>
    <w:rsid w:val="009F3A00"/>
    <w:rsid w:val="009F65C0"/>
    <w:rsid w:val="009F7619"/>
    <w:rsid w:val="00A02E12"/>
    <w:rsid w:val="00A0753F"/>
    <w:rsid w:val="00A078E1"/>
    <w:rsid w:val="00A10FFD"/>
    <w:rsid w:val="00A11347"/>
    <w:rsid w:val="00A140F1"/>
    <w:rsid w:val="00A16D88"/>
    <w:rsid w:val="00A17363"/>
    <w:rsid w:val="00A32408"/>
    <w:rsid w:val="00A359FB"/>
    <w:rsid w:val="00A35DA3"/>
    <w:rsid w:val="00A46476"/>
    <w:rsid w:val="00A470FF"/>
    <w:rsid w:val="00A47B29"/>
    <w:rsid w:val="00A55AAA"/>
    <w:rsid w:val="00A63C00"/>
    <w:rsid w:val="00A6611B"/>
    <w:rsid w:val="00A70016"/>
    <w:rsid w:val="00A71AF4"/>
    <w:rsid w:val="00A72AC5"/>
    <w:rsid w:val="00A72B5C"/>
    <w:rsid w:val="00A76791"/>
    <w:rsid w:val="00A7768C"/>
    <w:rsid w:val="00A77BFF"/>
    <w:rsid w:val="00A85038"/>
    <w:rsid w:val="00A866D7"/>
    <w:rsid w:val="00A9001C"/>
    <w:rsid w:val="00A90AC8"/>
    <w:rsid w:val="00A9402E"/>
    <w:rsid w:val="00AA552D"/>
    <w:rsid w:val="00AA79D8"/>
    <w:rsid w:val="00AA7DFB"/>
    <w:rsid w:val="00AB1658"/>
    <w:rsid w:val="00AB2E3D"/>
    <w:rsid w:val="00AC0BB0"/>
    <w:rsid w:val="00AD18B4"/>
    <w:rsid w:val="00AD40C4"/>
    <w:rsid w:val="00AD4D69"/>
    <w:rsid w:val="00AE03E0"/>
    <w:rsid w:val="00AF3DA2"/>
    <w:rsid w:val="00AF45B0"/>
    <w:rsid w:val="00AF5C9F"/>
    <w:rsid w:val="00B13218"/>
    <w:rsid w:val="00B162F9"/>
    <w:rsid w:val="00B2081F"/>
    <w:rsid w:val="00B210EB"/>
    <w:rsid w:val="00B217B4"/>
    <w:rsid w:val="00B219DA"/>
    <w:rsid w:val="00B27F33"/>
    <w:rsid w:val="00B33E91"/>
    <w:rsid w:val="00B37C98"/>
    <w:rsid w:val="00B465AB"/>
    <w:rsid w:val="00B54B53"/>
    <w:rsid w:val="00B62A21"/>
    <w:rsid w:val="00B64FBF"/>
    <w:rsid w:val="00B65473"/>
    <w:rsid w:val="00B73ACE"/>
    <w:rsid w:val="00B822FA"/>
    <w:rsid w:val="00B82BB6"/>
    <w:rsid w:val="00B946F3"/>
    <w:rsid w:val="00B961E8"/>
    <w:rsid w:val="00BA0BF9"/>
    <w:rsid w:val="00BA5F8A"/>
    <w:rsid w:val="00BA5FD9"/>
    <w:rsid w:val="00BA707B"/>
    <w:rsid w:val="00BB4988"/>
    <w:rsid w:val="00BB5D38"/>
    <w:rsid w:val="00BB7CEE"/>
    <w:rsid w:val="00BC43C0"/>
    <w:rsid w:val="00BD0C46"/>
    <w:rsid w:val="00BD4436"/>
    <w:rsid w:val="00BD7715"/>
    <w:rsid w:val="00BE0EAC"/>
    <w:rsid w:val="00BE6757"/>
    <w:rsid w:val="00BE678E"/>
    <w:rsid w:val="00BF0CD7"/>
    <w:rsid w:val="00BF0EE6"/>
    <w:rsid w:val="00C0105B"/>
    <w:rsid w:val="00C120C7"/>
    <w:rsid w:val="00C12D57"/>
    <w:rsid w:val="00C200A6"/>
    <w:rsid w:val="00C2070C"/>
    <w:rsid w:val="00C20DA0"/>
    <w:rsid w:val="00C236A5"/>
    <w:rsid w:val="00C238D6"/>
    <w:rsid w:val="00C24427"/>
    <w:rsid w:val="00C251F3"/>
    <w:rsid w:val="00C3075C"/>
    <w:rsid w:val="00C33E96"/>
    <w:rsid w:val="00C34D9C"/>
    <w:rsid w:val="00C42CD1"/>
    <w:rsid w:val="00C43FA9"/>
    <w:rsid w:val="00C47731"/>
    <w:rsid w:val="00C54200"/>
    <w:rsid w:val="00C629C3"/>
    <w:rsid w:val="00C631AC"/>
    <w:rsid w:val="00C67050"/>
    <w:rsid w:val="00C72C22"/>
    <w:rsid w:val="00C77A2E"/>
    <w:rsid w:val="00C80E9D"/>
    <w:rsid w:val="00C83DFC"/>
    <w:rsid w:val="00CA64BF"/>
    <w:rsid w:val="00CB5ECE"/>
    <w:rsid w:val="00CB6A6E"/>
    <w:rsid w:val="00CC7923"/>
    <w:rsid w:val="00CD2376"/>
    <w:rsid w:val="00CD310E"/>
    <w:rsid w:val="00CD41F3"/>
    <w:rsid w:val="00CE0B79"/>
    <w:rsid w:val="00CE3B33"/>
    <w:rsid w:val="00CF07DD"/>
    <w:rsid w:val="00CF0A1D"/>
    <w:rsid w:val="00CF170E"/>
    <w:rsid w:val="00CF3297"/>
    <w:rsid w:val="00CF3733"/>
    <w:rsid w:val="00CF4258"/>
    <w:rsid w:val="00CF723C"/>
    <w:rsid w:val="00D01EC6"/>
    <w:rsid w:val="00D02E98"/>
    <w:rsid w:val="00D21910"/>
    <w:rsid w:val="00D24FF8"/>
    <w:rsid w:val="00D33045"/>
    <w:rsid w:val="00D33395"/>
    <w:rsid w:val="00D3426A"/>
    <w:rsid w:val="00D35DA3"/>
    <w:rsid w:val="00D41489"/>
    <w:rsid w:val="00D417CF"/>
    <w:rsid w:val="00D43DBF"/>
    <w:rsid w:val="00D44A37"/>
    <w:rsid w:val="00D50E2F"/>
    <w:rsid w:val="00D54D60"/>
    <w:rsid w:val="00D56153"/>
    <w:rsid w:val="00D61765"/>
    <w:rsid w:val="00D73731"/>
    <w:rsid w:val="00D7598E"/>
    <w:rsid w:val="00D85EA8"/>
    <w:rsid w:val="00D87C8B"/>
    <w:rsid w:val="00D94B50"/>
    <w:rsid w:val="00D94CD8"/>
    <w:rsid w:val="00D95B3D"/>
    <w:rsid w:val="00D96472"/>
    <w:rsid w:val="00D97990"/>
    <w:rsid w:val="00DA0633"/>
    <w:rsid w:val="00DA31E9"/>
    <w:rsid w:val="00DA5A75"/>
    <w:rsid w:val="00DA6A25"/>
    <w:rsid w:val="00DB3143"/>
    <w:rsid w:val="00DB41D1"/>
    <w:rsid w:val="00DB7EA6"/>
    <w:rsid w:val="00DD686C"/>
    <w:rsid w:val="00DD6DBF"/>
    <w:rsid w:val="00DE0F91"/>
    <w:rsid w:val="00DE2BF4"/>
    <w:rsid w:val="00DE5E76"/>
    <w:rsid w:val="00DF228D"/>
    <w:rsid w:val="00DF6526"/>
    <w:rsid w:val="00E10A1A"/>
    <w:rsid w:val="00E15A05"/>
    <w:rsid w:val="00E21A8F"/>
    <w:rsid w:val="00E21DBF"/>
    <w:rsid w:val="00E26BE6"/>
    <w:rsid w:val="00E34EE4"/>
    <w:rsid w:val="00E37CB8"/>
    <w:rsid w:val="00E42EA9"/>
    <w:rsid w:val="00E43076"/>
    <w:rsid w:val="00E466BB"/>
    <w:rsid w:val="00E57B62"/>
    <w:rsid w:val="00E6392A"/>
    <w:rsid w:val="00E6745D"/>
    <w:rsid w:val="00E702C1"/>
    <w:rsid w:val="00E731A7"/>
    <w:rsid w:val="00E740A0"/>
    <w:rsid w:val="00E75D67"/>
    <w:rsid w:val="00E8410C"/>
    <w:rsid w:val="00E847EA"/>
    <w:rsid w:val="00E85D4E"/>
    <w:rsid w:val="00E87FC3"/>
    <w:rsid w:val="00E93335"/>
    <w:rsid w:val="00E967CB"/>
    <w:rsid w:val="00EA0E29"/>
    <w:rsid w:val="00EA3D09"/>
    <w:rsid w:val="00EB515A"/>
    <w:rsid w:val="00EC1E2B"/>
    <w:rsid w:val="00EC3A3D"/>
    <w:rsid w:val="00EC3BBD"/>
    <w:rsid w:val="00EC6C83"/>
    <w:rsid w:val="00EC7CE2"/>
    <w:rsid w:val="00ED2F8E"/>
    <w:rsid w:val="00EE4BB8"/>
    <w:rsid w:val="00EE7958"/>
    <w:rsid w:val="00EF28C1"/>
    <w:rsid w:val="00EF3066"/>
    <w:rsid w:val="00EF3D5F"/>
    <w:rsid w:val="00EF4574"/>
    <w:rsid w:val="00EF6A01"/>
    <w:rsid w:val="00EF6F93"/>
    <w:rsid w:val="00F01F00"/>
    <w:rsid w:val="00F03595"/>
    <w:rsid w:val="00F3393A"/>
    <w:rsid w:val="00F44C6A"/>
    <w:rsid w:val="00F51990"/>
    <w:rsid w:val="00F54973"/>
    <w:rsid w:val="00F5595C"/>
    <w:rsid w:val="00F62419"/>
    <w:rsid w:val="00F650DD"/>
    <w:rsid w:val="00F6546F"/>
    <w:rsid w:val="00F71D7E"/>
    <w:rsid w:val="00F71FB8"/>
    <w:rsid w:val="00F73B1E"/>
    <w:rsid w:val="00F74E04"/>
    <w:rsid w:val="00F82445"/>
    <w:rsid w:val="00F844E7"/>
    <w:rsid w:val="00F8796A"/>
    <w:rsid w:val="00F87B82"/>
    <w:rsid w:val="00F93E30"/>
    <w:rsid w:val="00F9629C"/>
    <w:rsid w:val="00FA4306"/>
    <w:rsid w:val="00FC2E5C"/>
    <w:rsid w:val="00FC3038"/>
    <w:rsid w:val="00FC7B0B"/>
    <w:rsid w:val="00FD0E78"/>
    <w:rsid w:val="00FD1D7B"/>
    <w:rsid w:val="00FD3B5A"/>
    <w:rsid w:val="00FD4BA4"/>
    <w:rsid w:val="00FE11D1"/>
    <w:rsid w:val="00FE447E"/>
    <w:rsid w:val="00FE7456"/>
    <w:rsid w:val="00FE746E"/>
    <w:rsid w:val="00FF21B8"/>
    <w:rsid w:val="00FF2D2B"/>
    <w:rsid w:val="00FF5D33"/>
    <w:rsid w:val="00FF5FA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1E8EFC22"/>
  <w15:docId w15:val="{4B4E317B-6662-4FD0-976E-19E993E5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E694C"/>
    <w:pPr>
      <w:suppressAutoHyphens/>
      <w:spacing w:line="240" w:lineRule="atLeast"/>
    </w:pPr>
    <w:rPr>
      <w:rFonts w:eastAsia="SimSun"/>
      <w:lang w:val="en-GB" w:eastAsia="zh-CN"/>
    </w:rPr>
  </w:style>
  <w:style w:type="paragraph" w:styleId="Heading1">
    <w:name w:val="heading 1"/>
    <w:aliases w:val="Table_G"/>
    <w:basedOn w:val="Normal"/>
    <w:next w:val="AnnoH23G"/>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963690"/>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963690"/>
    <w:pPr>
      <w:keepNext/>
      <w:keepLines/>
      <w:tabs>
        <w:tab w:val="right" w:pos="851"/>
      </w:tabs>
      <w:spacing w:before="240" w:after="120" w:line="240" w:lineRule="exact"/>
      <w:ind w:left="1134" w:right="1134" w:hanging="1134"/>
    </w:pPr>
  </w:style>
  <w:style w:type="paragraph" w:customStyle="1" w:styleId="SingleTxtG">
    <w:name w:val="_ Single Txt_G"/>
    <w:basedOn w:val="Normal"/>
    <w:rsid w:val="00963690"/>
    <w:pPr>
      <w:spacing w:after="120"/>
      <w:ind w:left="1134" w:right="1134"/>
      <w:jc w:val="both"/>
    </w:pPr>
    <w:rPr>
      <w:rFonts w:eastAsia="Times New Roman"/>
      <w:lang w:eastAsia="en-US"/>
    </w:rPr>
  </w:style>
  <w:style w:type="paragraph" w:customStyle="1" w:styleId="SLG">
    <w:name w:val="__S_L_G"/>
    <w:basedOn w:val="Normal"/>
    <w:next w:val="Normal"/>
    <w:rsid w:val="00963690"/>
    <w:pPr>
      <w:keepNext/>
      <w:keepLines/>
      <w:spacing w:before="240" w:after="240" w:line="580" w:lineRule="exact"/>
      <w:ind w:left="1134" w:right="1134"/>
    </w:pPr>
    <w:rPr>
      <w:b/>
      <w:sz w:val="56"/>
    </w:rPr>
  </w:style>
  <w:style w:type="paragraph" w:customStyle="1" w:styleId="SMG">
    <w:name w:val="__S_M_G"/>
    <w:basedOn w:val="Normal"/>
    <w:next w:val="Normal"/>
    <w:rsid w:val="00963690"/>
    <w:pPr>
      <w:keepNext/>
      <w:keepLines/>
      <w:spacing w:before="240" w:after="240" w:line="420" w:lineRule="exact"/>
      <w:ind w:left="1134" w:right="1134"/>
    </w:pPr>
    <w:rPr>
      <w:b/>
      <w:sz w:val="40"/>
    </w:rPr>
  </w:style>
  <w:style w:type="paragraph" w:customStyle="1" w:styleId="SSG">
    <w:name w:val="__S_S_G"/>
    <w:basedOn w:val="Normal"/>
    <w:next w:val="Normal"/>
    <w:rsid w:val="00963690"/>
    <w:pPr>
      <w:keepNext/>
      <w:keepLines/>
      <w:spacing w:before="240" w:after="240" w:line="300" w:lineRule="exact"/>
      <w:ind w:left="1134" w:right="1134"/>
    </w:pPr>
    <w:rPr>
      <w:b/>
      <w:sz w:val="28"/>
    </w:rPr>
  </w:style>
  <w:style w:type="paragraph" w:customStyle="1" w:styleId="XLargeG">
    <w:name w:val="__XLarge_G"/>
    <w:basedOn w:val="Normal"/>
    <w:next w:val="Normal"/>
    <w:rsid w:val="00963690"/>
    <w:pPr>
      <w:keepNext/>
      <w:keepLines/>
      <w:spacing w:before="240" w:after="240" w:line="420" w:lineRule="exact"/>
      <w:ind w:left="1134" w:right="1134"/>
    </w:pPr>
    <w:rPr>
      <w:b/>
      <w:sz w:val="40"/>
    </w:rPr>
  </w:style>
  <w:style w:type="paragraph" w:customStyle="1" w:styleId="Bullet1G">
    <w:name w:val="_Bullet 1_G"/>
    <w:basedOn w:val="Normal"/>
    <w:rsid w:val="00963690"/>
    <w:pPr>
      <w:numPr>
        <w:numId w:val="1"/>
      </w:numPr>
      <w:spacing w:after="120"/>
      <w:ind w:right="1134"/>
      <w:jc w:val="both"/>
    </w:pPr>
  </w:style>
  <w:style w:type="paragraph" w:customStyle="1" w:styleId="Bullet2G">
    <w:name w:val="_Bullet 2_G"/>
    <w:basedOn w:val="Normal"/>
    <w:rsid w:val="00963690"/>
    <w:pPr>
      <w:numPr>
        <w:numId w:val="2"/>
      </w:numPr>
      <w:spacing w:after="120"/>
      <w:ind w:right="1134"/>
      <w:jc w:val="both"/>
    </w:pPr>
  </w:style>
  <w:style w:type="paragraph" w:customStyle="1" w:styleId="AnnoHCHG">
    <w:name w:val="Anno _ H_CH_G"/>
    <w:basedOn w:val="Normal"/>
    <w:next w:val="AnnoH1G"/>
    <w:rsid w:val="00963690"/>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left="1134" w:right="1134" w:firstLine="0"/>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qForma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963690"/>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uiPriority w:val="99"/>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RegH1G"/>
    <w:rsid w:val="00963690"/>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963690"/>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963690"/>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963690"/>
    <w:pPr>
      <w:numPr>
        <w:ilvl w:val="3"/>
        <w:numId w:val="4"/>
      </w:numPr>
      <w:tabs>
        <w:tab w:val="left" w:pos="1701"/>
      </w:tabs>
      <w:spacing w:after="120"/>
      <w:ind w:right="1134"/>
      <w:jc w:val="both"/>
    </w:pPr>
  </w:style>
  <w:style w:type="paragraph" w:styleId="TOC1">
    <w:name w:val="toc 1"/>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semiHidden/>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semiHidden/>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semiHidden/>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styleId="TOC4">
    <w:name w:val="toc 4"/>
    <w:basedOn w:val="Normal"/>
    <w:next w:val="Normal"/>
    <w:autoRedefine/>
    <w:semiHidden/>
    <w:unhideWhenUsed/>
    <w:rsid w:val="00C2070C"/>
    <w:pPr>
      <w:ind w:left="600"/>
    </w:pPr>
  </w:style>
  <w:style w:type="paragraph" w:styleId="TOC5">
    <w:name w:val="toc 5"/>
    <w:basedOn w:val="Normal"/>
    <w:next w:val="Normal"/>
    <w:autoRedefine/>
    <w:semiHidden/>
    <w:unhideWhenUsed/>
    <w:rsid w:val="00C2070C"/>
    <w:pPr>
      <w:ind w:left="800"/>
    </w:pPr>
  </w:style>
  <w:style w:type="paragraph" w:styleId="TOC6">
    <w:name w:val="toc 6"/>
    <w:basedOn w:val="Normal"/>
    <w:next w:val="Normal"/>
    <w:autoRedefine/>
    <w:semiHidden/>
    <w:unhideWhenUsed/>
    <w:rsid w:val="00C2070C"/>
    <w:pPr>
      <w:ind w:left="1000"/>
    </w:pPr>
  </w:style>
  <w:style w:type="paragraph" w:styleId="TOC7">
    <w:name w:val="toc 7"/>
    <w:basedOn w:val="Normal"/>
    <w:next w:val="Normal"/>
    <w:autoRedefine/>
    <w:semiHidden/>
    <w:unhideWhenUsed/>
    <w:rsid w:val="00C2070C"/>
    <w:pPr>
      <w:ind w:left="1200"/>
    </w:pPr>
  </w:style>
  <w:style w:type="paragraph" w:styleId="TOC8">
    <w:name w:val="toc 8"/>
    <w:basedOn w:val="Normal"/>
    <w:next w:val="Normal"/>
    <w:autoRedefine/>
    <w:semiHidden/>
    <w:unhideWhenUsed/>
    <w:rsid w:val="00C2070C"/>
    <w:pPr>
      <w:ind w:left="1400"/>
    </w:pPr>
  </w:style>
  <w:style w:type="paragraph" w:styleId="TOC9">
    <w:name w:val="toc 9"/>
    <w:basedOn w:val="Normal"/>
    <w:next w:val="Normal"/>
    <w:autoRedefine/>
    <w:semiHidden/>
    <w:unhideWhenUsed/>
    <w:rsid w:val="00C2070C"/>
    <w:pPr>
      <w:ind w:left="1600"/>
    </w:pPr>
  </w:style>
  <w:style w:type="character" w:customStyle="1" w:styleId="RegSingleTxtGChar">
    <w:name w:val="Reg_Single Txt_G Char"/>
    <w:link w:val="RegSingleTxtG"/>
    <w:rsid w:val="00F844E7"/>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F844E7"/>
    <w:rPr>
      <w:rFonts w:eastAsia="SimSun"/>
      <w:sz w:val="18"/>
      <w:lang w:val="en-GB" w:eastAsia="zh-CN"/>
    </w:rPr>
  </w:style>
  <w:style w:type="character" w:customStyle="1" w:styleId="HeaderChar">
    <w:name w:val="Header Char"/>
    <w:aliases w:val="6_G Char"/>
    <w:basedOn w:val="DefaultParagraphFont"/>
    <w:link w:val="Header"/>
    <w:uiPriority w:val="99"/>
    <w:rsid w:val="002E694C"/>
    <w:rPr>
      <w:rFonts w:eastAsia="SimSun"/>
      <w:b/>
      <w:sz w:val="18"/>
      <w:lang w:val="en-GB" w:eastAsia="zh-CN"/>
    </w:rPr>
  </w:style>
  <w:style w:type="character" w:styleId="CommentReference">
    <w:name w:val="annotation reference"/>
    <w:basedOn w:val="DefaultParagraphFont"/>
    <w:rsid w:val="003E0A8A"/>
    <w:rPr>
      <w:sz w:val="16"/>
      <w:szCs w:val="16"/>
    </w:rPr>
  </w:style>
  <w:style w:type="character" w:customStyle="1" w:styleId="FooterChar">
    <w:name w:val="Footer Char"/>
    <w:aliases w:val="3_G Char"/>
    <w:basedOn w:val="DefaultParagraphFont"/>
    <w:link w:val="Footer"/>
    <w:uiPriority w:val="99"/>
    <w:rsid w:val="00CE0B79"/>
    <w:rPr>
      <w:rFonts w:eastAsia="SimSun"/>
      <w:sz w:val="16"/>
      <w:lang w:val="en-GB" w:eastAsia="zh-CN"/>
    </w:rPr>
  </w:style>
  <w:style w:type="paragraph" w:styleId="CommentText">
    <w:name w:val="annotation text"/>
    <w:basedOn w:val="Normal"/>
    <w:link w:val="CommentTextChar"/>
    <w:semiHidden/>
    <w:unhideWhenUsed/>
    <w:rsid w:val="00A359FB"/>
    <w:pPr>
      <w:spacing w:line="240" w:lineRule="auto"/>
    </w:pPr>
  </w:style>
  <w:style w:type="character" w:customStyle="1" w:styleId="CommentTextChar">
    <w:name w:val="Comment Text Char"/>
    <w:basedOn w:val="DefaultParagraphFont"/>
    <w:link w:val="CommentText"/>
    <w:semiHidden/>
    <w:rsid w:val="00A359FB"/>
    <w:rPr>
      <w:rFonts w:eastAsia="SimSun"/>
      <w:lang w:val="en-GB" w:eastAsia="zh-CN"/>
    </w:rPr>
  </w:style>
  <w:style w:type="paragraph" w:styleId="CommentSubject">
    <w:name w:val="annotation subject"/>
    <w:basedOn w:val="CommentText"/>
    <w:next w:val="CommentText"/>
    <w:link w:val="CommentSubjectChar"/>
    <w:semiHidden/>
    <w:unhideWhenUsed/>
    <w:rsid w:val="00A359FB"/>
    <w:rPr>
      <w:b/>
      <w:bCs/>
    </w:rPr>
  </w:style>
  <w:style w:type="character" w:customStyle="1" w:styleId="CommentSubjectChar">
    <w:name w:val="Comment Subject Char"/>
    <w:basedOn w:val="CommentTextChar"/>
    <w:link w:val="CommentSubject"/>
    <w:semiHidden/>
    <w:rsid w:val="00A359FB"/>
    <w:rPr>
      <w:rFonts w:eastAsia="SimSun"/>
      <w:b/>
      <w:bCs/>
      <w:lang w:val="en-GB" w:eastAsia="zh-CN"/>
    </w:rPr>
  </w:style>
  <w:style w:type="character" w:customStyle="1" w:styleId="HChGChar">
    <w:name w:val="_ H _Ch_G Char"/>
    <w:link w:val="HChG"/>
    <w:rsid w:val="00D35DA3"/>
    <w:rPr>
      <w:rFonts w:eastAsia="SimSun"/>
      <w:b/>
      <w:sz w:val="28"/>
      <w:lang w:val="en-GB" w:eastAsia="zh-CN"/>
    </w:rPr>
  </w:style>
  <w:style w:type="paragraph" w:customStyle="1" w:styleId="Default">
    <w:name w:val="Default"/>
    <w:rsid w:val="0033037A"/>
    <w:pPr>
      <w:autoSpaceDE w:val="0"/>
      <w:autoSpaceDN w:val="0"/>
      <w:adjustRightInd w:val="0"/>
    </w:pPr>
    <w:rPr>
      <w:color w:val="000000"/>
      <w:sz w:val="24"/>
      <w:szCs w:val="24"/>
      <w:lang w:val="en-AU"/>
    </w:rPr>
  </w:style>
  <w:style w:type="character" w:styleId="Hyperlink">
    <w:name w:val="Hyperlink"/>
    <w:basedOn w:val="DefaultParagraphFont"/>
    <w:unhideWhenUsed/>
    <w:rsid w:val="00FC2E5C"/>
    <w:rPr>
      <w:color w:val="0000FF" w:themeColor="hyperlink"/>
      <w:u w:val="single"/>
    </w:rPr>
  </w:style>
  <w:style w:type="paragraph" w:styleId="Revision">
    <w:name w:val="Revision"/>
    <w:hidden/>
    <w:uiPriority w:val="99"/>
    <w:semiHidden/>
    <w:rsid w:val="00255320"/>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5.xml"/><Relationship Id="rId39" Type="http://schemas.openxmlformats.org/officeDocument/2006/relationships/header" Target="header16.xml"/><Relationship Id="rId21" Type="http://schemas.openxmlformats.org/officeDocument/2006/relationships/header" Target="header6.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header" Target="header20.xml"/><Relationship Id="rId50" Type="http://schemas.openxmlformats.org/officeDocument/2006/relationships/header" Target="header21.xml"/><Relationship Id="rId55" Type="http://schemas.openxmlformats.org/officeDocument/2006/relationships/header" Target="header24.xml"/><Relationship Id="rId63" Type="http://schemas.openxmlformats.org/officeDocument/2006/relationships/footer" Target="footer2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oter" Target="footer7.xml"/><Relationship Id="rId41" Type="http://schemas.openxmlformats.org/officeDocument/2006/relationships/footer" Target="footer13.xml"/><Relationship Id="rId54" Type="http://schemas.openxmlformats.org/officeDocument/2006/relationships/header" Target="header23.xml"/><Relationship Id="rId62"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footer" Target="footer8.xm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footer" Target="footer15.xml"/><Relationship Id="rId53" Type="http://schemas.openxmlformats.org/officeDocument/2006/relationships/footer" Target="footer19.xml"/><Relationship Id="rId58" Type="http://schemas.openxmlformats.org/officeDocument/2006/relationships/header" Target="header2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eader" Target="header10.xml"/><Relationship Id="rId36" Type="http://schemas.openxmlformats.org/officeDocument/2006/relationships/footer" Target="footer10.xml"/><Relationship Id="rId49" Type="http://schemas.openxmlformats.org/officeDocument/2006/relationships/footer" Target="footer17.xml"/><Relationship Id="rId57" Type="http://schemas.openxmlformats.org/officeDocument/2006/relationships/footer" Target="footer21.xml"/><Relationship Id="rId61" Type="http://schemas.openxmlformats.org/officeDocument/2006/relationships/header" Target="header27.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2.xml"/><Relationship Id="rId44" Type="http://schemas.openxmlformats.org/officeDocument/2006/relationships/footer" Target="footer14.xml"/><Relationship Id="rId52" Type="http://schemas.openxmlformats.org/officeDocument/2006/relationships/footer" Target="footer18.xml"/><Relationship Id="rId60" Type="http://schemas.openxmlformats.org/officeDocument/2006/relationships/header" Target="header26.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oter" Target="footer6.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16.xml"/><Relationship Id="rId56" Type="http://schemas.openxmlformats.org/officeDocument/2006/relationships/footer" Target="footer20.xm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eader" Target="header22.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9.xml"/><Relationship Id="rId33" Type="http://schemas.openxmlformats.org/officeDocument/2006/relationships/footer" Target="footer9.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footer" Target="foot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1EDB-3762-4349-856B-0A5FE660CF5C}"/>
</file>

<file path=customXml/itemProps2.xml><?xml version="1.0" encoding="utf-8"?>
<ds:datastoreItem xmlns:ds="http://schemas.openxmlformats.org/officeDocument/2006/customXml" ds:itemID="{98E762C4-B68E-4BB3-8139-BD0C508DEF72}">
  <ds:schemaRefs>
    <ds:schemaRef ds:uri="http://schemas.microsoft.com/sharepoint/v3/contenttype/forms"/>
  </ds:schemaRefs>
</ds:datastoreItem>
</file>

<file path=customXml/itemProps3.xml><?xml version="1.0" encoding="utf-8"?>
<ds:datastoreItem xmlns:ds="http://schemas.openxmlformats.org/officeDocument/2006/customXml" ds:itemID="{A2A92C72-C8F0-49B5-9B1F-476AE96D865E}">
  <ds:schemaRefs>
    <ds:schemaRef ds:uri="http://schemas.microsoft.com/office/infopath/2007/PartnerControls"/>
    <ds:schemaRef ds:uri="67dad47e-2fca-4711-b9e4-b0642648f99b"/>
    <ds:schemaRef ds:uri="http://purl.org/dc/elements/1.1/"/>
    <ds:schemaRef ds:uri="http://www.w3.org/XML/1998/namespace"/>
    <ds:schemaRef ds:uri="http://schemas.openxmlformats.org/package/2006/metadata/core-properties"/>
    <ds:schemaRef ds:uri="http://schemas.microsoft.com/office/2006/metadata/properties"/>
    <ds:schemaRef ds:uri="95878e15-3eca-40ea-8e2a-b8ac110e97d5"/>
    <ds:schemaRef ds:uri="http://schemas.microsoft.com/office/2006/documentManagement/types"/>
    <ds:schemaRef ds:uri="http://schemas.microsoft.com/sharepoint/v3"/>
    <ds:schemaRef ds:uri="http://purl.org/dc/dcmitype/"/>
    <ds:schemaRef ds:uri="http://purl.org/dc/terms/"/>
  </ds:schemaRefs>
</ds:datastoreItem>
</file>

<file path=customXml/itemProps4.xml><?xml version="1.0" encoding="utf-8"?>
<ds:datastoreItem xmlns:ds="http://schemas.openxmlformats.org/officeDocument/2006/customXml" ds:itemID="{82C6824F-E873-426E-B9E7-C3651156F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0</TotalTime>
  <Pages>29</Pages>
  <Words>8333</Words>
  <Characters>47501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Report of the Conference of the Parties on its twenty-first session, held in Paris from 30 November to 11 December 2015. Addendum. Part two: Action taken by the Conference of the Parties at its twenty-first session.</vt:lpstr>
    </vt:vector>
  </TitlesOfParts>
  <Company>UNFCCC</Company>
  <LinksUpToDate>false</LinksUpToDate>
  <CharactersWithSpaces>55723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twenty-first session, held in Paris from 30 November to 11 December 2015. Addendum. Part two: Action taken by the Conference of the Parties at its twenty-first session.</dc:title>
  <dc:creator>Esmeralda Fratta Dormond di Rickli</dc:creator>
  <cp:lastModifiedBy>Corinne Loeschner</cp:lastModifiedBy>
  <cp:revision>3</cp:revision>
  <cp:lastPrinted>2016-01-28T09:44:00Z</cp:lastPrinted>
  <dcterms:created xsi:type="dcterms:W3CDTF">2016-01-28T14:08:00Z</dcterms:created>
  <dcterms:modified xsi:type="dcterms:W3CDTF">2018-04-10T07:46:00Z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0x0101002BEBFA4AD3D067488A4F8AE22F38BF68</vt:lpwstr>
  </property>
  <property fmtid="{D5CDD505-2E9C-101B-9397-08002B2CF9AE}" pid="3" name="docSymbol1">
    <vt:lpwstr>FCCC/CP/2015/10/Add.2</vt:lpwstr>
  </property>
  <property fmtid="{D5CDD505-2E9C-101B-9397-08002B2CF9AE}" pid="4" name="docSymbol2">
    <vt:lpwstr/>
  </property>
  <property fmtid="{D5CDD505-2E9C-101B-9397-08002B2CF9AE}" pid="5" name="Order">
    <vt:r8>3200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