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F5FEE" w:rsidTr="008061E0">
        <w:trPr>
          <w:cantSplit/>
          <w:trHeight w:hRule="exact" w:val="1134"/>
        </w:trPr>
        <w:tc>
          <w:tcPr>
            <w:tcW w:w="1242" w:type="dxa"/>
            <w:vAlign w:val="bottom"/>
          </w:tcPr>
          <w:p w:rsidR="003F5FEE" w:rsidRPr="003F5FEE" w:rsidRDefault="00681A37" w:rsidP="003F5FEE">
            <w:bookmarkStart w:id="0" w:name="_GoBack" w:colFirst="0" w:colLast="0"/>
            <w:r>
              <w:rPr>
                <w:noProof/>
                <w:lang w:val="en-US" w:eastAsia="en-US"/>
              </w:rPr>
              <w:drawing>
                <wp:inline distT="0" distB="0" distL="0" distR="0">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rsidR="003F5FEE" w:rsidRPr="00A86746" w:rsidRDefault="003F5FEE" w:rsidP="0027419E">
            <w:pPr>
              <w:ind w:left="113"/>
              <w:rPr>
                <w:sz w:val="28"/>
                <w:szCs w:val="28"/>
              </w:rPr>
            </w:pPr>
            <w:r w:rsidRPr="00A86746">
              <w:rPr>
                <w:sz w:val="28"/>
                <w:szCs w:val="28"/>
              </w:rPr>
              <w:t>United Nations</w:t>
            </w:r>
          </w:p>
        </w:tc>
        <w:tc>
          <w:tcPr>
            <w:tcW w:w="5845" w:type="dxa"/>
            <w:gridSpan w:val="3"/>
            <w:vAlign w:val="bottom"/>
          </w:tcPr>
          <w:p w:rsidR="003F5FEE" w:rsidRPr="004B101D" w:rsidRDefault="004B101D" w:rsidP="009E330F">
            <w:pPr>
              <w:jc w:val="right"/>
            </w:pPr>
            <w:r w:rsidRPr="004B101D">
              <w:rPr>
                <w:sz w:val="40"/>
              </w:rPr>
              <w:t>FCCC</w:t>
            </w:r>
            <w:r>
              <w:t>/CP/2016/</w:t>
            </w:r>
            <w:r w:rsidR="009E330F">
              <w:t>10</w:t>
            </w:r>
            <w:r>
              <w:t>/Add.2</w:t>
            </w:r>
          </w:p>
        </w:tc>
      </w:tr>
      <w:bookmarkEnd w:id="0"/>
      <w:tr w:rsidR="003F5FEE" w:rsidTr="008061E0">
        <w:trPr>
          <w:cantSplit/>
          <w:trHeight w:hRule="exact" w:val="2552"/>
        </w:trPr>
        <w:tc>
          <w:tcPr>
            <w:tcW w:w="4511" w:type="dxa"/>
            <w:gridSpan w:val="3"/>
          </w:tcPr>
          <w:p w:rsidR="00497529" w:rsidRPr="003F5FEE" w:rsidRDefault="00497529" w:rsidP="00497529">
            <w:r>
              <w:rPr>
                <w:noProof/>
                <w:lang w:val="en-US" w:eastAsia="en-US"/>
              </w:rPr>
              <w:drawing>
                <wp:anchor distT="0" distB="0" distL="114300" distR="114300" simplePos="0" relativeHeight="251659264" behindDoc="1" locked="0" layoutInCell="1" allowOverlap="1" wp14:anchorId="489FB709" wp14:editId="323DB6F4">
                  <wp:simplePos x="0" y="0"/>
                  <wp:positionH relativeFrom="margin">
                    <wp:posOffset>-30480</wp:posOffset>
                  </wp:positionH>
                  <wp:positionV relativeFrom="paragraph">
                    <wp:posOffset>635</wp:posOffset>
                  </wp:positionV>
                  <wp:extent cx="2398395" cy="56070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pic:spPr>
                      </pic:pic>
                    </a:graphicData>
                  </a:graphic>
                  <wp14:sizeRelH relativeFrom="page">
                    <wp14:pctWidth>0</wp14:pctWidth>
                  </wp14:sizeRelH>
                  <wp14:sizeRelV relativeFrom="page">
                    <wp14:pctHeight>0</wp14:pctHeight>
                  </wp14:sizeRelV>
                </wp:anchor>
              </w:drawing>
            </w:r>
          </w:p>
          <w:p w:rsidR="003F5FEE" w:rsidRPr="00497529" w:rsidRDefault="003F5FEE" w:rsidP="00497529"/>
        </w:tc>
        <w:tc>
          <w:tcPr>
            <w:tcW w:w="2293" w:type="dxa"/>
          </w:tcPr>
          <w:p w:rsidR="003F5FEE" w:rsidRPr="003F5FEE" w:rsidRDefault="003F5FEE" w:rsidP="003F5FEE"/>
        </w:tc>
        <w:tc>
          <w:tcPr>
            <w:tcW w:w="2835" w:type="dxa"/>
          </w:tcPr>
          <w:p w:rsidR="003F5FEE" w:rsidRDefault="004B101D" w:rsidP="004B101D">
            <w:pPr>
              <w:spacing w:before="240" w:line="240" w:lineRule="exact"/>
            </w:pPr>
            <w:r>
              <w:t>Distr.: General</w:t>
            </w:r>
          </w:p>
          <w:p w:rsidR="004B101D" w:rsidRDefault="000529F7" w:rsidP="004B101D">
            <w:pPr>
              <w:spacing w:line="240" w:lineRule="exact"/>
            </w:pPr>
            <w:r>
              <w:t>31 January 2017</w:t>
            </w:r>
          </w:p>
          <w:p w:rsidR="004B101D" w:rsidRDefault="004B101D" w:rsidP="004B101D">
            <w:pPr>
              <w:spacing w:line="240" w:lineRule="exact"/>
            </w:pPr>
          </w:p>
          <w:p w:rsidR="004B101D" w:rsidRPr="00E0470D" w:rsidRDefault="004B101D" w:rsidP="004B101D">
            <w:pPr>
              <w:spacing w:line="240" w:lineRule="exact"/>
            </w:pPr>
            <w:r>
              <w:t>Original: English</w:t>
            </w:r>
          </w:p>
        </w:tc>
      </w:tr>
    </w:tbl>
    <w:p w:rsidR="004B101D" w:rsidRPr="00A470FF" w:rsidRDefault="004B101D" w:rsidP="004B101D">
      <w:pPr>
        <w:spacing w:before="120"/>
        <w:rPr>
          <w:bCs/>
        </w:rPr>
      </w:pPr>
      <w:r w:rsidRPr="00A470FF">
        <w:rPr>
          <w:b/>
          <w:bCs/>
          <w:sz w:val="24"/>
          <w:szCs w:val="24"/>
        </w:rPr>
        <w:t>Conference of the Parties</w:t>
      </w:r>
    </w:p>
    <w:p w:rsidR="004B101D" w:rsidRPr="00A470FF" w:rsidRDefault="004B101D" w:rsidP="004B101D">
      <w:pPr>
        <w:pStyle w:val="HChG"/>
        <w:spacing w:after="0"/>
      </w:pPr>
      <w:r w:rsidRPr="00A470FF">
        <w:tab/>
      </w:r>
      <w:r w:rsidRPr="00A470FF">
        <w:tab/>
        <w:t>Report of the Conference of the Parties on its twenty-</w:t>
      </w:r>
      <w:r>
        <w:t>second</w:t>
      </w:r>
      <w:r w:rsidRPr="00A470FF">
        <w:t xml:space="preserve"> session, held in </w:t>
      </w:r>
      <w:r>
        <w:t>Marrakech</w:t>
      </w:r>
      <w:r w:rsidRPr="00A470FF">
        <w:t xml:space="preserve"> from </w:t>
      </w:r>
      <w:r>
        <w:t>7</w:t>
      </w:r>
      <w:r w:rsidRPr="00A470FF">
        <w:t xml:space="preserve"> to 1</w:t>
      </w:r>
      <w:r>
        <w:t>8</w:t>
      </w:r>
      <w:r w:rsidRPr="00A470FF">
        <w:t xml:space="preserve"> </w:t>
      </w:r>
      <w:r>
        <w:t>November</w:t>
      </w:r>
      <w:r w:rsidRPr="00A470FF">
        <w:t xml:space="preserve"> 201</w:t>
      </w:r>
      <w:r>
        <w:t>6</w:t>
      </w:r>
    </w:p>
    <w:p w:rsidR="004B101D" w:rsidRPr="00A470FF" w:rsidRDefault="004B101D" w:rsidP="00D92EFE">
      <w:pPr>
        <w:pStyle w:val="H1G"/>
        <w:spacing w:before="240"/>
      </w:pPr>
      <w:r w:rsidRPr="00A470FF">
        <w:tab/>
        <w:t>Addendum</w:t>
      </w:r>
    </w:p>
    <w:p w:rsidR="004B101D" w:rsidRPr="00A470FF" w:rsidRDefault="00CA07A9" w:rsidP="00CA07A9">
      <w:pPr>
        <w:pStyle w:val="H1G"/>
      </w:pPr>
      <w:r>
        <w:tab/>
      </w:r>
      <w:r w:rsidR="004B101D" w:rsidRPr="00A470FF">
        <w:t>Part two: Action taken by the Conference of the Parties at its twenty-</w:t>
      </w:r>
      <w:r w:rsidR="004B101D">
        <w:t>second</w:t>
      </w:r>
      <w:r w:rsidR="004B101D" w:rsidRPr="00A470FF">
        <w:t xml:space="preserve"> session</w:t>
      </w:r>
    </w:p>
    <w:p w:rsidR="004B101D" w:rsidRPr="00A470FF" w:rsidRDefault="004B101D" w:rsidP="00A75B55">
      <w:pPr>
        <w:spacing w:after="120"/>
        <w:rPr>
          <w:sz w:val="28"/>
        </w:rPr>
      </w:pPr>
      <w:r w:rsidRPr="00A470FF">
        <w:rPr>
          <w:sz w:val="28"/>
        </w:rPr>
        <w:t>Contents</w:t>
      </w:r>
    </w:p>
    <w:p w:rsidR="004B101D" w:rsidRPr="00A470FF" w:rsidRDefault="004B101D" w:rsidP="00A75B55">
      <w:pPr>
        <w:pStyle w:val="HChG"/>
        <w:spacing w:before="0" w:after="120"/>
      </w:pPr>
      <w:r w:rsidRPr="00A470FF">
        <w:tab/>
      </w:r>
      <w:r w:rsidRPr="00A470FF">
        <w:tab/>
        <w:t>Decisions adopted by the Conference of the Parties</w:t>
      </w:r>
    </w:p>
    <w:p w:rsidR="004B101D" w:rsidRPr="00A470FF" w:rsidRDefault="004B101D" w:rsidP="004B101D">
      <w:pPr>
        <w:tabs>
          <w:tab w:val="right" w:pos="8929"/>
          <w:tab w:val="right" w:pos="9638"/>
        </w:tabs>
        <w:spacing w:after="120"/>
        <w:ind w:left="1134"/>
      </w:pPr>
      <w:r w:rsidRPr="00A470FF">
        <w:rPr>
          <w:i/>
          <w:sz w:val="18"/>
        </w:rPr>
        <w:t>Decision</w:t>
      </w:r>
      <w:r w:rsidRPr="00A470FF">
        <w:rPr>
          <w:i/>
          <w:sz w:val="18"/>
        </w:rPr>
        <w:tab/>
      </w:r>
      <w:r w:rsidRPr="00A470FF">
        <w:rPr>
          <w:i/>
          <w:sz w:val="18"/>
        </w:rPr>
        <w:tab/>
        <w:t>Page</w:t>
      </w:r>
    </w:p>
    <w:p w:rsidR="004B101D" w:rsidRDefault="004B101D" w:rsidP="004B101D">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t>1</w:t>
      </w:r>
      <w:r w:rsidR="00A75B55">
        <w:t>4</w:t>
      </w:r>
      <w:r w:rsidRPr="00A470FF">
        <w:t>/CP.2</w:t>
      </w:r>
      <w:r>
        <w:t>2</w:t>
      </w:r>
      <w:r w:rsidRPr="00A470FF">
        <w:tab/>
      </w:r>
      <w:r w:rsidRPr="00A470FF">
        <w:tab/>
      </w:r>
      <w:r w:rsidR="00A75B55">
        <w:t>Linkages between the Technology Mechanism and the Financial Mechanism</w:t>
      </w:r>
      <w:r w:rsidR="00A75B55">
        <w:br/>
      </w:r>
      <w:r w:rsidR="00A75B55">
        <w:tab/>
        <w:t>of the Convention</w:t>
      </w:r>
      <w:r w:rsidRPr="00A470FF">
        <w:tab/>
      </w:r>
      <w:r w:rsidR="00022E91">
        <w:tab/>
      </w:r>
      <w:r w:rsidR="00717921">
        <w:t>3</w:t>
      </w:r>
    </w:p>
    <w:p w:rsidR="00A75B55" w:rsidRDefault="00A75B55" w:rsidP="00A75B55">
      <w:pPr>
        <w:tabs>
          <w:tab w:val="right" w:pos="850"/>
          <w:tab w:val="left" w:pos="1134"/>
          <w:tab w:val="left" w:pos="1559"/>
          <w:tab w:val="left" w:pos="2268"/>
          <w:tab w:val="right" w:leader="dot" w:pos="8929"/>
          <w:tab w:val="right" w:pos="9638"/>
        </w:tabs>
        <w:spacing w:after="120"/>
        <w:ind w:left="2265" w:hanging="2265"/>
      </w:pPr>
      <w:r>
        <w:tab/>
      </w:r>
      <w:r>
        <w:tab/>
        <w:t>15/CP.22</w:t>
      </w:r>
      <w:r>
        <w:tab/>
      </w:r>
      <w:r>
        <w:tab/>
        <w:t xml:space="preserve">Enhancing climate technology development and transfer through the </w:t>
      </w:r>
      <w:r>
        <w:br/>
      </w:r>
      <w:r>
        <w:tab/>
        <w:t>Technology Mechanism</w:t>
      </w:r>
      <w:r w:rsidRPr="00A470FF">
        <w:tab/>
      </w:r>
      <w:r w:rsidRPr="00A470FF">
        <w:tab/>
      </w:r>
      <w:r w:rsidR="00717921">
        <w:t>5</w:t>
      </w:r>
    </w:p>
    <w:p w:rsidR="00A75B55" w:rsidRDefault="00A75B55" w:rsidP="00A75B55">
      <w:pPr>
        <w:tabs>
          <w:tab w:val="right" w:pos="850"/>
          <w:tab w:val="left" w:pos="1134"/>
          <w:tab w:val="left" w:pos="1559"/>
          <w:tab w:val="left" w:pos="2268"/>
          <w:tab w:val="right" w:leader="dot" w:pos="8929"/>
          <w:tab w:val="right" w:pos="9638"/>
        </w:tabs>
        <w:spacing w:after="120"/>
        <w:ind w:left="2265" w:hanging="2265"/>
      </w:pPr>
      <w:r>
        <w:tab/>
      </w:r>
      <w:r>
        <w:tab/>
        <w:t>16/CP.22</w:t>
      </w:r>
      <w:r>
        <w:tab/>
        <w:t xml:space="preserve">Third comprehensive review of the implementation of the framework for </w:t>
      </w:r>
      <w:r>
        <w:br/>
        <w:t>capacity-building in developing countries under the Convention</w:t>
      </w:r>
      <w:r>
        <w:tab/>
      </w:r>
      <w:r>
        <w:tab/>
      </w:r>
      <w:r w:rsidR="00717921">
        <w:t>7</w:t>
      </w:r>
    </w:p>
    <w:p w:rsidR="004B101D" w:rsidRDefault="004B101D" w:rsidP="004B101D">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t>1</w:t>
      </w:r>
      <w:r w:rsidR="00A75B55">
        <w:t>7</w:t>
      </w:r>
      <w:r>
        <w:t>/CP.22</w:t>
      </w:r>
      <w:r>
        <w:tab/>
        <w:t>Improving the effectiveness of the Doha work programme on Article 6</w:t>
      </w:r>
      <w:r>
        <w:br/>
      </w:r>
      <w:r>
        <w:tab/>
        <w:t>of the Convention</w:t>
      </w:r>
      <w:r>
        <w:tab/>
      </w:r>
      <w:r>
        <w:tab/>
      </w:r>
      <w:r w:rsidR="00717921">
        <w:t>10</w:t>
      </w:r>
    </w:p>
    <w:p w:rsidR="004B101D" w:rsidRDefault="005F7367" w:rsidP="004B101D">
      <w:pPr>
        <w:tabs>
          <w:tab w:val="right" w:pos="850"/>
          <w:tab w:val="left" w:pos="1134"/>
          <w:tab w:val="left" w:pos="1559"/>
          <w:tab w:val="left" w:pos="2268"/>
          <w:tab w:val="right" w:leader="dot" w:pos="8929"/>
          <w:tab w:val="right" w:pos="9638"/>
        </w:tabs>
        <w:spacing w:after="120"/>
        <w:ind w:left="2265" w:hanging="2265"/>
      </w:pPr>
      <w:r>
        <w:tab/>
      </w:r>
      <w:r>
        <w:tab/>
      </w:r>
      <w:r w:rsidR="004B101D">
        <w:t>1</w:t>
      </w:r>
      <w:r w:rsidR="00A75B55">
        <w:t>8</w:t>
      </w:r>
      <w:r w:rsidR="004B101D">
        <w:t>/CP.22</w:t>
      </w:r>
      <w:r w:rsidR="004B101D">
        <w:tab/>
        <w:t>Outcome of the first round of the international assessment and review process</w:t>
      </w:r>
      <w:r w:rsidR="004B101D">
        <w:br/>
        <w:t>(2014–2015)</w:t>
      </w:r>
      <w:r w:rsidR="004B101D">
        <w:tab/>
      </w:r>
      <w:r w:rsidR="004B101D">
        <w:tab/>
      </w:r>
      <w:r w:rsidR="00022E91">
        <w:t>1</w:t>
      </w:r>
      <w:r w:rsidR="00717921">
        <w:t>3</w:t>
      </w:r>
    </w:p>
    <w:p w:rsidR="00D55F9D" w:rsidRDefault="004B101D" w:rsidP="004B101D">
      <w:pPr>
        <w:tabs>
          <w:tab w:val="right" w:pos="850"/>
          <w:tab w:val="left" w:pos="1134"/>
          <w:tab w:val="left" w:pos="1559"/>
          <w:tab w:val="left" w:pos="2268"/>
          <w:tab w:val="right" w:leader="dot" w:pos="8929"/>
          <w:tab w:val="right" w:pos="9638"/>
        </w:tabs>
        <w:spacing w:after="120"/>
        <w:ind w:left="2265" w:hanging="2265"/>
      </w:pPr>
      <w:r>
        <w:tab/>
      </w:r>
      <w:r>
        <w:tab/>
        <w:t>1</w:t>
      </w:r>
      <w:r w:rsidR="00A75B55">
        <w:t>9</w:t>
      </w:r>
      <w:r>
        <w:t>/CP.22</w:t>
      </w:r>
      <w:r>
        <w:tab/>
      </w:r>
      <w:r w:rsidR="00D55F9D">
        <w:tab/>
        <w:t>Implementation of the global observing system for climate</w:t>
      </w:r>
      <w:r w:rsidR="00D55F9D">
        <w:tab/>
      </w:r>
      <w:r w:rsidR="00D55F9D">
        <w:tab/>
      </w:r>
      <w:r w:rsidR="00022E91">
        <w:t>1</w:t>
      </w:r>
      <w:r w:rsidR="00717921">
        <w:t>4</w:t>
      </w:r>
    </w:p>
    <w:p w:rsidR="00D55F9D" w:rsidRDefault="00D55F9D" w:rsidP="004B101D">
      <w:pPr>
        <w:tabs>
          <w:tab w:val="right" w:pos="850"/>
          <w:tab w:val="left" w:pos="1134"/>
          <w:tab w:val="left" w:pos="1559"/>
          <w:tab w:val="left" w:pos="2268"/>
          <w:tab w:val="right" w:leader="dot" w:pos="8929"/>
          <w:tab w:val="right" w:pos="9638"/>
        </w:tabs>
        <w:spacing w:after="120"/>
        <w:ind w:left="2265" w:hanging="2265"/>
      </w:pPr>
      <w:r>
        <w:tab/>
      </w:r>
      <w:r>
        <w:tab/>
      </w:r>
      <w:r w:rsidR="00A75B55">
        <w:t>20</w:t>
      </w:r>
      <w:r>
        <w:t>/CP.22</w:t>
      </w:r>
      <w:r>
        <w:tab/>
        <w:t>Work of the Consultative Group of Experts on National Communications from</w:t>
      </w:r>
      <w:r>
        <w:br/>
        <w:t>Parties not included in Annex I to the Convention</w:t>
      </w:r>
      <w:r>
        <w:tab/>
      </w:r>
      <w:r>
        <w:tab/>
      </w:r>
      <w:r w:rsidR="00022E91">
        <w:t>1</w:t>
      </w:r>
      <w:r w:rsidR="00717921">
        <w:t>6</w:t>
      </w:r>
    </w:p>
    <w:p w:rsidR="00D55F9D" w:rsidRDefault="00D55F9D" w:rsidP="004B101D">
      <w:pPr>
        <w:tabs>
          <w:tab w:val="right" w:pos="850"/>
          <w:tab w:val="left" w:pos="1134"/>
          <w:tab w:val="left" w:pos="1559"/>
          <w:tab w:val="left" w:pos="2268"/>
          <w:tab w:val="right" w:leader="dot" w:pos="8929"/>
          <w:tab w:val="right" w:pos="9638"/>
        </w:tabs>
        <w:spacing w:after="120"/>
        <w:ind w:left="2265" w:hanging="2265"/>
      </w:pPr>
      <w:r>
        <w:tab/>
      </w:r>
      <w:r>
        <w:tab/>
        <w:t>2</w:t>
      </w:r>
      <w:r w:rsidR="00A75B55">
        <w:t>1</w:t>
      </w:r>
      <w:r>
        <w:t>/CP.22</w:t>
      </w:r>
      <w:r>
        <w:tab/>
      </w:r>
      <w:r w:rsidR="008D05A2">
        <w:t>Gender and climate change</w:t>
      </w:r>
      <w:r>
        <w:tab/>
      </w:r>
      <w:r>
        <w:tab/>
      </w:r>
      <w:r w:rsidR="00022E91">
        <w:t>1</w:t>
      </w:r>
      <w:r w:rsidR="00717921">
        <w:t>7</w:t>
      </w:r>
    </w:p>
    <w:p w:rsidR="00D55F9D" w:rsidRDefault="008D05A2" w:rsidP="004B101D">
      <w:pPr>
        <w:tabs>
          <w:tab w:val="right" w:pos="850"/>
          <w:tab w:val="left" w:pos="1134"/>
          <w:tab w:val="left" w:pos="1559"/>
          <w:tab w:val="left" w:pos="2268"/>
          <w:tab w:val="right" w:leader="dot" w:pos="8929"/>
          <w:tab w:val="right" w:pos="9638"/>
        </w:tabs>
        <w:spacing w:after="120"/>
        <w:ind w:left="2265" w:hanging="2265"/>
      </w:pPr>
      <w:r>
        <w:tab/>
      </w:r>
      <w:r>
        <w:tab/>
        <w:t>2</w:t>
      </w:r>
      <w:r w:rsidR="00A75B55">
        <w:t>2</w:t>
      </w:r>
      <w:r>
        <w:t>/CP.22</w:t>
      </w:r>
      <w:r>
        <w:tab/>
      </w:r>
      <w:r w:rsidR="00D55F9D">
        <w:tab/>
        <w:t>Financial and budgetary matters</w:t>
      </w:r>
      <w:r w:rsidR="00D55F9D">
        <w:tab/>
      </w:r>
      <w:r w:rsidR="00D55F9D">
        <w:tab/>
      </w:r>
      <w:r w:rsidR="00717921">
        <w:t>21</w:t>
      </w:r>
    </w:p>
    <w:p w:rsidR="00D55F9D" w:rsidRDefault="00D55F9D" w:rsidP="004B101D">
      <w:pPr>
        <w:tabs>
          <w:tab w:val="right" w:pos="850"/>
          <w:tab w:val="left" w:pos="1134"/>
          <w:tab w:val="left" w:pos="1559"/>
          <w:tab w:val="left" w:pos="2268"/>
          <w:tab w:val="right" w:leader="dot" w:pos="8929"/>
          <w:tab w:val="right" w:pos="9638"/>
        </w:tabs>
        <w:spacing w:after="120"/>
        <w:ind w:left="2265" w:hanging="2265"/>
      </w:pPr>
      <w:r>
        <w:tab/>
      </w:r>
      <w:r>
        <w:tab/>
        <w:t>2</w:t>
      </w:r>
      <w:r w:rsidR="00C54FEE">
        <w:t>3</w:t>
      </w:r>
      <w:r>
        <w:t>/CP.22</w:t>
      </w:r>
      <w:r>
        <w:tab/>
        <w:t>Administrative, financial and institutional matters</w:t>
      </w:r>
      <w:r>
        <w:tab/>
      </w:r>
      <w:r>
        <w:tab/>
      </w:r>
      <w:r w:rsidR="00022E91">
        <w:t>2</w:t>
      </w:r>
      <w:r w:rsidR="00717921">
        <w:t>2</w:t>
      </w:r>
    </w:p>
    <w:p w:rsidR="00D55F9D" w:rsidRDefault="00D55F9D" w:rsidP="004B101D">
      <w:pPr>
        <w:tabs>
          <w:tab w:val="right" w:pos="850"/>
          <w:tab w:val="left" w:pos="1134"/>
          <w:tab w:val="left" w:pos="1559"/>
          <w:tab w:val="left" w:pos="2268"/>
          <w:tab w:val="right" w:leader="dot" w:pos="8929"/>
          <w:tab w:val="right" w:pos="9638"/>
        </w:tabs>
        <w:spacing w:after="120"/>
        <w:ind w:left="2265" w:hanging="2265"/>
      </w:pPr>
      <w:r>
        <w:tab/>
      </w:r>
      <w:r>
        <w:tab/>
        <w:t>2</w:t>
      </w:r>
      <w:r w:rsidR="00C54FEE">
        <w:t>4</w:t>
      </w:r>
      <w:r>
        <w:t>/CP.22</w:t>
      </w:r>
      <w:r>
        <w:tab/>
        <w:t xml:space="preserve">Dates and venues </w:t>
      </w:r>
      <w:r w:rsidR="008061E0">
        <w:t>of</w:t>
      </w:r>
      <w:r>
        <w:t xml:space="preserve"> future sessions</w:t>
      </w:r>
      <w:r>
        <w:tab/>
      </w:r>
      <w:r>
        <w:tab/>
      </w:r>
      <w:r w:rsidR="00717921">
        <w:t>30</w:t>
      </w:r>
    </w:p>
    <w:p w:rsidR="00C54FEE" w:rsidRDefault="00C54FEE" w:rsidP="00C54FEE">
      <w:pPr>
        <w:tabs>
          <w:tab w:val="right" w:pos="850"/>
          <w:tab w:val="left" w:pos="1134"/>
          <w:tab w:val="left" w:pos="1559"/>
          <w:tab w:val="left" w:pos="2268"/>
          <w:tab w:val="right" w:leader="dot" w:pos="8929"/>
          <w:tab w:val="right" w:pos="9638"/>
        </w:tabs>
        <w:spacing w:after="120"/>
        <w:ind w:left="2265" w:hanging="2265"/>
      </w:pPr>
      <w:r w:rsidRPr="00C54FEE">
        <w:tab/>
      </w:r>
      <w:r w:rsidRPr="00C54FEE">
        <w:tab/>
        <w:t>25/CP.22</w:t>
      </w:r>
      <w:r w:rsidRPr="00C54FEE">
        <w:tab/>
        <w:t xml:space="preserve">Rules of procedure of the Conference of the Parties serving as the meeting of the </w:t>
      </w:r>
      <w:r w:rsidRPr="00C54FEE">
        <w:br/>
        <w:t>Parties to the Paris Agreement</w:t>
      </w:r>
      <w:r>
        <w:tab/>
      </w:r>
      <w:r>
        <w:tab/>
      </w:r>
      <w:r w:rsidR="00F114C6">
        <w:t>3</w:t>
      </w:r>
      <w:r w:rsidR="00717921">
        <w:t>2</w:t>
      </w:r>
    </w:p>
    <w:p w:rsidR="00717921" w:rsidRDefault="00717921" w:rsidP="0045052E">
      <w:pPr>
        <w:tabs>
          <w:tab w:val="right" w:pos="8929"/>
          <w:tab w:val="right" w:pos="9638"/>
        </w:tabs>
        <w:spacing w:after="120"/>
        <w:ind w:left="1134"/>
        <w:rPr>
          <w:i/>
          <w:sz w:val="18"/>
        </w:rPr>
      </w:pPr>
    </w:p>
    <w:p w:rsidR="00717921" w:rsidRDefault="00717921">
      <w:pPr>
        <w:suppressAutoHyphens w:val="0"/>
        <w:spacing w:line="240" w:lineRule="auto"/>
        <w:rPr>
          <w:i/>
          <w:sz w:val="18"/>
        </w:rPr>
      </w:pPr>
      <w:r>
        <w:rPr>
          <w:i/>
          <w:sz w:val="18"/>
        </w:rPr>
        <w:br w:type="page"/>
      </w:r>
    </w:p>
    <w:p w:rsidR="0045052E" w:rsidRPr="00A470FF" w:rsidRDefault="0045052E" w:rsidP="0045052E">
      <w:pPr>
        <w:tabs>
          <w:tab w:val="right" w:pos="8929"/>
          <w:tab w:val="right" w:pos="9638"/>
        </w:tabs>
        <w:spacing w:after="120"/>
        <w:ind w:left="1134"/>
      </w:pPr>
      <w:r>
        <w:rPr>
          <w:i/>
          <w:sz w:val="18"/>
        </w:rPr>
        <w:lastRenderedPageBreak/>
        <w:t>Resolution</w:t>
      </w:r>
    </w:p>
    <w:p w:rsidR="00D55F9D" w:rsidRDefault="00D55F9D" w:rsidP="00EF7A31">
      <w:pPr>
        <w:tabs>
          <w:tab w:val="right" w:pos="850"/>
          <w:tab w:val="left" w:pos="1134"/>
          <w:tab w:val="left" w:pos="1559"/>
          <w:tab w:val="left" w:pos="2268"/>
          <w:tab w:val="right" w:leader="dot" w:pos="8929"/>
          <w:tab w:val="right" w:pos="9638"/>
        </w:tabs>
        <w:spacing w:after="120"/>
        <w:ind w:left="2265" w:hanging="2265"/>
      </w:pPr>
      <w:r>
        <w:tab/>
      </w:r>
      <w:r>
        <w:tab/>
      </w:r>
      <w:r w:rsidR="0045052E">
        <w:t>1</w:t>
      </w:r>
      <w:r>
        <w:t>/CP.22</w:t>
      </w:r>
      <w:r>
        <w:tab/>
        <w:t>Expression of gratitude to the Government of the Kingdom of Morocco and</w:t>
      </w:r>
      <w:r>
        <w:br/>
        <w:t>the people of Marrakech</w:t>
      </w:r>
      <w:r>
        <w:tab/>
      </w:r>
      <w:r>
        <w:tab/>
      </w:r>
      <w:r w:rsidR="00022E91">
        <w:t>3</w:t>
      </w:r>
      <w:r w:rsidR="00717921">
        <w:t>4</w:t>
      </w:r>
    </w:p>
    <w:p w:rsidR="00D55F9D" w:rsidRDefault="00D55F9D" w:rsidP="004B101D">
      <w:pPr>
        <w:tabs>
          <w:tab w:val="right" w:pos="850"/>
          <w:tab w:val="left" w:pos="1134"/>
          <w:tab w:val="left" w:pos="1559"/>
          <w:tab w:val="left" w:pos="2268"/>
          <w:tab w:val="right" w:leader="dot" w:pos="8929"/>
          <w:tab w:val="right" w:pos="9638"/>
        </w:tabs>
        <w:spacing w:after="120"/>
        <w:ind w:left="2265" w:hanging="2265"/>
        <w:sectPr w:rsidR="00D55F9D" w:rsidSect="007F4962">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1560" w:left="1134" w:header="1134" w:footer="1701" w:gutter="0"/>
          <w:cols w:space="708"/>
          <w:titlePg/>
          <w:docGrid w:linePitch="360"/>
        </w:sectPr>
      </w:pPr>
    </w:p>
    <w:p w:rsidR="00D55F9D" w:rsidRDefault="00D55F9D" w:rsidP="00D55F9D">
      <w:pPr>
        <w:pStyle w:val="HChG"/>
        <w:ind w:firstLine="0"/>
      </w:pPr>
      <w:r w:rsidRPr="00D55F9D">
        <w:rPr>
          <w:bCs/>
        </w:rPr>
        <w:lastRenderedPageBreak/>
        <w:t>Decision</w:t>
      </w:r>
      <w:r>
        <w:t xml:space="preserve"> 1</w:t>
      </w:r>
      <w:r w:rsidR="00A75B55">
        <w:t>4</w:t>
      </w:r>
      <w:r w:rsidRPr="00A470FF">
        <w:t>/CP.2</w:t>
      </w:r>
      <w:r>
        <w:t>2</w:t>
      </w:r>
    </w:p>
    <w:p w:rsidR="00A75B55" w:rsidRDefault="00D55F9D" w:rsidP="00384210">
      <w:pPr>
        <w:pStyle w:val="HChG"/>
      </w:pPr>
      <w:r>
        <w:tab/>
      </w:r>
      <w:r>
        <w:tab/>
      </w:r>
      <w:r w:rsidR="00A75B55">
        <w:t>Linkages between the Technology Mechanism and the Financial Mechanism of the Convention</w:t>
      </w:r>
    </w:p>
    <w:p w:rsidR="00A75B55" w:rsidRDefault="00A75B55" w:rsidP="00384210">
      <w:pPr>
        <w:spacing w:before="120"/>
        <w:ind w:left="1134" w:right="1174" w:firstLine="567"/>
        <w:rPr>
          <w:i/>
        </w:rPr>
      </w:pPr>
      <w:r>
        <w:rPr>
          <w:i/>
        </w:rPr>
        <w:t>The Conference of the Parties</w:t>
      </w:r>
      <w:r>
        <w:t>,</w:t>
      </w:r>
    </w:p>
    <w:p w:rsidR="00A75B55" w:rsidRDefault="00A75B55" w:rsidP="00384210">
      <w:pPr>
        <w:spacing w:before="120"/>
        <w:ind w:left="1134" w:right="1174" w:firstLine="567"/>
        <w:jc w:val="both"/>
      </w:pPr>
      <w:r>
        <w:rPr>
          <w:i/>
        </w:rPr>
        <w:t>Recalling</w:t>
      </w:r>
      <w:r>
        <w:t xml:space="preserve"> decisions 1/CP.18, paragraph 62, and 13/CP.21,</w:t>
      </w:r>
    </w:p>
    <w:p w:rsidR="00A75B55" w:rsidRDefault="00A75B55" w:rsidP="00384210">
      <w:pPr>
        <w:spacing w:before="120"/>
        <w:ind w:left="1134" w:right="1174" w:firstLine="567"/>
        <w:jc w:val="both"/>
      </w:pPr>
      <w:r>
        <w:rPr>
          <w:i/>
        </w:rPr>
        <w:t>Emphasizing</w:t>
      </w:r>
      <w:r>
        <w:t xml:space="preserve"> the importance of financial resources at all stages of the technology cycle, including at the early stages, in order to enable Parties to enhance their mitigation and adaptation action,</w:t>
      </w:r>
    </w:p>
    <w:p w:rsidR="00A75B55" w:rsidRDefault="00663684" w:rsidP="00663684">
      <w:pPr>
        <w:pStyle w:val="RegSingleTxtG"/>
        <w:numPr>
          <w:ilvl w:val="0"/>
          <w:numId w:val="0"/>
        </w:numPr>
        <w:tabs>
          <w:tab w:val="left" w:pos="568"/>
        </w:tabs>
        <w:spacing w:before="120"/>
        <w:ind w:left="1135"/>
      </w:pPr>
      <w:r>
        <w:t>1.</w:t>
      </w:r>
      <w:r>
        <w:tab/>
      </w:r>
      <w:r w:rsidR="00A75B55">
        <w:rPr>
          <w:i/>
        </w:rPr>
        <w:t xml:space="preserve">Welcomes with appreciation </w:t>
      </w:r>
      <w:r w:rsidR="00A75B55">
        <w:t>the progress made by the Technology Executive Committee, the Climate Technology Centre and Network and the operating entities of the Financial Mechanism in further elaborating the linkages between the Technology Mechanism and the Financial Mechanism, including through an in-session workshop;</w:t>
      </w:r>
      <w:r w:rsidR="00A75B55">
        <w:rPr>
          <w:rStyle w:val="FootnoteReference"/>
        </w:rPr>
        <w:footnoteReference w:id="1"/>
      </w:r>
    </w:p>
    <w:p w:rsidR="00A75B55" w:rsidRDefault="00663684" w:rsidP="00663684">
      <w:pPr>
        <w:pStyle w:val="RegSingleTxtG"/>
        <w:numPr>
          <w:ilvl w:val="0"/>
          <w:numId w:val="0"/>
        </w:numPr>
        <w:tabs>
          <w:tab w:val="left" w:pos="568"/>
        </w:tabs>
        <w:spacing w:before="120"/>
        <w:ind w:left="1135"/>
      </w:pPr>
      <w:r>
        <w:t>2.</w:t>
      </w:r>
      <w:r>
        <w:tab/>
      </w:r>
      <w:r w:rsidR="00A75B55">
        <w:rPr>
          <w:i/>
        </w:rPr>
        <w:t xml:space="preserve">Welcomes </w:t>
      </w:r>
      <w:r w:rsidR="00A75B55">
        <w:t>the decision of the Board of the Green Climate Fund to hold annual meetings between the Green Climate Fund and the constituted bodies under the Convention, including the Technology Executive Committee and the Climate Technology Centre and Network, and its invitation to the Chairs of those bodies to its 14</w:t>
      </w:r>
      <w:r w:rsidR="00A75B55">
        <w:rPr>
          <w:vertAlign w:val="superscript"/>
        </w:rPr>
        <w:t>th</w:t>
      </w:r>
      <w:r w:rsidR="00A75B55">
        <w:t xml:space="preserve"> meeting;</w:t>
      </w:r>
    </w:p>
    <w:p w:rsidR="00A75B55" w:rsidRDefault="00663684" w:rsidP="00663684">
      <w:pPr>
        <w:pStyle w:val="RegSingleTxtG"/>
        <w:numPr>
          <w:ilvl w:val="0"/>
          <w:numId w:val="0"/>
        </w:numPr>
        <w:tabs>
          <w:tab w:val="left" w:pos="568"/>
        </w:tabs>
        <w:spacing w:before="120"/>
        <w:ind w:left="1135"/>
      </w:pPr>
      <w:r>
        <w:t>3.</w:t>
      </w:r>
      <w:r>
        <w:tab/>
      </w:r>
      <w:r w:rsidR="00A75B55">
        <w:rPr>
          <w:i/>
        </w:rPr>
        <w:t xml:space="preserve">Encourages </w:t>
      </w:r>
      <w:r w:rsidR="00A75B55">
        <w:t>the Board of the Green Climate Fund to continue to invite the Chairs of the Technology Executive Committee and the Advisory Board of the Climate Technology Centre and Network to future meetings of the Board of the Green Climate Fund on issues of common interest in order to strengthen the existing linkages between the Technology Mechanism and the Financial Mechanism;</w:t>
      </w:r>
    </w:p>
    <w:p w:rsidR="00A75B55" w:rsidRDefault="00663684" w:rsidP="00663684">
      <w:pPr>
        <w:pStyle w:val="RegSingleTxtG"/>
        <w:numPr>
          <w:ilvl w:val="0"/>
          <w:numId w:val="0"/>
        </w:numPr>
        <w:tabs>
          <w:tab w:val="left" w:pos="568"/>
        </w:tabs>
        <w:ind w:left="1135"/>
      </w:pPr>
      <w:r>
        <w:t>4.</w:t>
      </w:r>
      <w:r>
        <w:tab/>
      </w:r>
      <w:r w:rsidR="00A75B55">
        <w:rPr>
          <w:i/>
        </w:rPr>
        <w:t>Welcomes</w:t>
      </w:r>
      <w:r w:rsidR="00A75B55">
        <w:t xml:space="preserve"> the increased engagement between the Green Climate Fund and the Climate Technology Centre and Network, particularly with respect to utilizing the Readiness and Preparatory Support Programme and the Project Preparation Facility of the fund, noting the potential of such engagement in supporting developing country Parties to build their capacity for implementing technology projects and programmes;</w:t>
      </w:r>
    </w:p>
    <w:p w:rsidR="00A75B55" w:rsidRDefault="00663684" w:rsidP="00663684">
      <w:pPr>
        <w:pStyle w:val="RegSingleTxtG"/>
        <w:numPr>
          <w:ilvl w:val="0"/>
          <w:numId w:val="0"/>
        </w:numPr>
        <w:tabs>
          <w:tab w:val="left" w:pos="568"/>
        </w:tabs>
        <w:spacing w:before="120"/>
        <w:ind w:left="1135"/>
      </w:pPr>
      <w:r>
        <w:t>5.</w:t>
      </w:r>
      <w:r>
        <w:tab/>
      </w:r>
      <w:r w:rsidR="00A75B55">
        <w:rPr>
          <w:i/>
        </w:rPr>
        <w:t xml:space="preserve">Notes with appreciation </w:t>
      </w:r>
      <w:r w:rsidR="00A75B55">
        <w:t>the progress made by the Green Climate Fund in response to decision 13/CP.21 regarding support for facilitating access to environmentally sound technologies in developing country Parties and for undertaking collaborative research and development for enabling developing country Parties to enhance their mitigation and adaptation action;</w:t>
      </w:r>
      <w:r w:rsidR="00A75B55">
        <w:rPr>
          <w:rStyle w:val="FootnoteReference"/>
        </w:rPr>
        <w:footnoteReference w:id="2"/>
      </w:r>
    </w:p>
    <w:p w:rsidR="00A75B55" w:rsidRDefault="00663684" w:rsidP="00663684">
      <w:pPr>
        <w:pStyle w:val="RegSingleTxtG"/>
        <w:numPr>
          <w:ilvl w:val="0"/>
          <w:numId w:val="0"/>
        </w:numPr>
        <w:tabs>
          <w:tab w:val="left" w:pos="568"/>
        </w:tabs>
        <w:ind w:left="1135"/>
      </w:pPr>
      <w:r>
        <w:t>6.</w:t>
      </w:r>
      <w:r>
        <w:tab/>
      </w:r>
      <w:r w:rsidR="00A75B55">
        <w:rPr>
          <w:i/>
        </w:rPr>
        <w:t xml:space="preserve">Invites </w:t>
      </w:r>
      <w:r w:rsidR="00A75B55">
        <w:t>Green Climate Fund national designated authorities and focal points to use the support available to them under the Readiness and Preparatory Support Programme to, inter alia, conduct technology needs assessments and develop technology action plans;</w:t>
      </w:r>
    </w:p>
    <w:p w:rsidR="00A75B55" w:rsidRDefault="00663684" w:rsidP="00663684">
      <w:pPr>
        <w:pStyle w:val="RegSingleTxtG"/>
        <w:numPr>
          <w:ilvl w:val="0"/>
          <w:numId w:val="0"/>
        </w:numPr>
        <w:tabs>
          <w:tab w:val="left" w:pos="568"/>
        </w:tabs>
        <w:spacing w:before="120"/>
        <w:ind w:left="1135"/>
        <w:rPr>
          <w:i/>
        </w:rPr>
      </w:pPr>
      <w:r>
        <w:t>7.</w:t>
      </w:r>
      <w:r>
        <w:tab/>
      </w:r>
      <w:r w:rsidR="00A75B55">
        <w:rPr>
          <w:i/>
        </w:rPr>
        <w:t>Also invites</w:t>
      </w:r>
      <w:r w:rsidR="00A75B55">
        <w:t xml:space="preserve"> developing country Parties to develop and submit technology-related projects, including those resulting from technology needs assessments and from the technical assistance of the Climate Technology Centre and Network, to the operating entities of the Financial Mechanism for implementation, in accordance with their respective policies and processes;</w:t>
      </w:r>
    </w:p>
    <w:p w:rsidR="00A75B55" w:rsidRDefault="00663684" w:rsidP="00663684">
      <w:pPr>
        <w:pStyle w:val="RegSingleTxtG"/>
        <w:numPr>
          <w:ilvl w:val="0"/>
          <w:numId w:val="0"/>
        </w:numPr>
        <w:tabs>
          <w:tab w:val="left" w:pos="568"/>
        </w:tabs>
        <w:ind w:left="1135"/>
      </w:pPr>
      <w:r>
        <w:lastRenderedPageBreak/>
        <w:t>8.</w:t>
      </w:r>
      <w:r>
        <w:tab/>
      </w:r>
      <w:r w:rsidR="00A75B55">
        <w:rPr>
          <w:i/>
        </w:rPr>
        <w:t xml:space="preserve">Encourages </w:t>
      </w:r>
      <w:r w:rsidR="00A75B55">
        <w:t>the Technology Executive Committee, the Climate Technology Centre and Network and the operating entities of the Financial Mechanism to enhance the involvement of relevant stakeholders as they undertake actions to strengthen the linkages between the Technology Mechanism and the Financial Mechanism;</w:t>
      </w:r>
    </w:p>
    <w:p w:rsidR="00A75B55" w:rsidRDefault="00663684" w:rsidP="00663684">
      <w:pPr>
        <w:pStyle w:val="RegSingleTxtG"/>
        <w:numPr>
          <w:ilvl w:val="0"/>
          <w:numId w:val="0"/>
        </w:numPr>
        <w:tabs>
          <w:tab w:val="left" w:pos="568"/>
        </w:tabs>
        <w:ind w:left="1135"/>
      </w:pPr>
      <w:r>
        <w:t>9.</w:t>
      </w:r>
      <w:r>
        <w:tab/>
      </w:r>
      <w:r w:rsidR="00A75B55">
        <w:rPr>
          <w:i/>
        </w:rPr>
        <w:t>Invites</w:t>
      </w:r>
      <w:r w:rsidR="00A75B55">
        <w:t xml:space="preserve"> the Technology Executive Committee, the Climate Technology Centre and Network and the operating entities of the Financial Mechanism to provide information on their actions in strengthening the linkages between the Technology Mechanism and the Financial Mechanism in their annual reports to the Conference of the Parties for guidance on further actions if needed;</w:t>
      </w:r>
    </w:p>
    <w:p w:rsidR="00A75B55" w:rsidRDefault="00663684" w:rsidP="00663684">
      <w:pPr>
        <w:pStyle w:val="RegSingleTxtG"/>
        <w:numPr>
          <w:ilvl w:val="0"/>
          <w:numId w:val="0"/>
        </w:numPr>
        <w:tabs>
          <w:tab w:val="left" w:pos="568"/>
        </w:tabs>
        <w:ind w:left="1135"/>
        <w:rPr>
          <w:rFonts w:eastAsia="Times New Roman"/>
          <w:sz w:val="24"/>
          <w:szCs w:val="24"/>
          <w:lang w:val="en-US" w:eastAsia="en-US"/>
        </w:rPr>
      </w:pPr>
      <w:r>
        <w:rPr>
          <w:rFonts w:eastAsia="Times New Roman"/>
          <w:szCs w:val="24"/>
          <w:lang w:val="en-US" w:eastAsia="en-US"/>
        </w:rPr>
        <w:t>10.</w:t>
      </w:r>
      <w:r>
        <w:rPr>
          <w:rFonts w:eastAsia="Times New Roman"/>
          <w:szCs w:val="24"/>
          <w:lang w:val="en-US" w:eastAsia="en-US"/>
        </w:rPr>
        <w:tab/>
      </w:r>
      <w:r w:rsidR="00A75B55">
        <w:rPr>
          <w:i/>
        </w:rPr>
        <w:t xml:space="preserve">Agrees </w:t>
      </w:r>
      <w:r w:rsidR="00A75B55">
        <w:t>to continue its consideration of this matter at its twenty-fourth session (</w:t>
      </w:r>
      <w:r w:rsidR="00023B53">
        <w:t xml:space="preserve">December </w:t>
      </w:r>
      <w:r w:rsidR="00A75B55">
        <w:t>2018).</w:t>
      </w:r>
      <w:r w:rsidR="00A75B55">
        <w:rPr>
          <w:rFonts w:eastAsia="Times New Roman"/>
          <w:sz w:val="24"/>
          <w:szCs w:val="24"/>
          <w:lang w:val="en-US" w:eastAsia="en-US"/>
        </w:rPr>
        <w:t xml:space="preserve"> </w:t>
      </w:r>
    </w:p>
    <w:p w:rsidR="00A75B55" w:rsidRPr="00A470FF" w:rsidRDefault="00A75B55" w:rsidP="00A75B55">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DC5415" w:rsidRDefault="00A75B55" w:rsidP="00DC5415">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sidR="00DC5415">
        <w:rPr>
          <w:i/>
          <w:lang w:eastAsia="en-US"/>
        </w:rPr>
        <w:t>6</w:t>
      </w:r>
    </w:p>
    <w:p w:rsidR="00DC5415" w:rsidRDefault="00DC5415" w:rsidP="00DC5415">
      <w:pPr>
        <w:pStyle w:val="RegSingleTxtG"/>
        <w:numPr>
          <w:ilvl w:val="0"/>
          <w:numId w:val="0"/>
        </w:numPr>
        <w:suppressAutoHyphens w:val="0"/>
        <w:autoSpaceDE w:val="0"/>
        <w:autoSpaceDN w:val="0"/>
        <w:adjustRightInd w:val="0"/>
        <w:spacing w:after="0" w:line="240" w:lineRule="auto"/>
        <w:ind w:right="-1"/>
        <w:rPr>
          <w:i/>
          <w:lang w:eastAsia="en-US"/>
        </w:rPr>
        <w:sectPr w:rsidR="00DC5415" w:rsidSect="008061E0">
          <w:headerReference w:type="even" r:id="rId18"/>
          <w:headerReference w:type="default" r:id="rId19"/>
          <w:footnotePr>
            <w:numRestart w:val="eachSect"/>
          </w:footnotePr>
          <w:pgSz w:w="11906" w:h="16838" w:code="9"/>
          <w:pgMar w:top="1701" w:right="1134" w:bottom="2268" w:left="1134" w:header="1134" w:footer="1701" w:gutter="0"/>
          <w:cols w:space="708"/>
          <w:docGrid w:linePitch="360"/>
        </w:sectPr>
      </w:pPr>
    </w:p>
    <w:p w:rsidR="00A75B55" w:rsidRPr="00A75B55" w:rsidRDefault="00A75B55" w:rsidP="00A75B55">
      <w:pPr>
        <w:pStyle w:val="HChG"/>
        <w:ind w:firstLine="0"/>
        <w:rPr>
          <w:bCs/>
        </w:rPr>
      </w:pPr>
      <w:r w:rsidRPr="00A75B55">
        <w:rPr>
          <w:bCs/>
        </w:rPr>
        <w:lastRenderedPageBreak/>
        <w:t>Decision 15/CP.22</w:t>
      </w:r>
    </w:p>
    <w:p w:rsidR="00D55F9D" w:rsidRDefault="00A75B55" w:rsidP="00D55F9D">
      <w:pPr>
        <w:pStyle w:val="HChG"/>
      </w:pPr>
      <w:r>
        <w:tab/>
      </w:r>
      <w:r>
        <w:tab/>
      </w:r>
      <w:r w:rsidR="00D55F9D">
        <w:t>Enhancing climate technology development and transfer through the Technology Mechanism</w:t>
      </w:r>
    </w:p>
    <w:p w:rsidR="00C339FA" w:rsidRPr="00C339FA" w:rsidRDefault="00C339FA" w:rsidP="00C339FA">
      <w:pPr>
        <w:tabs>
          <w:tab w:val="left" w:pos="1701"/>
        </w:tabs>
        <w:spacing w:after="120"/>
        <w:ind w:left="1135" w:right="1134"/>
        <w:jc w:val="both"/>
        <w:rPr>
          <w:i/>
        </w:rPr>
      </w:pPr>
      <w:r w:rsidRPr="00C339FA">
        <w:rPr>
          <w:i/>
        </w:rPr>
        <w:tab/>
        <w:t>The Conference of the Parties</w:t>
      </w:r>
      <w:r w:rsidRPr="00C339FA">
        <w:t>,</w:t>
      </w:r>
    </w:p>
    <w:p w:rsidR="00C339FA" w:rsidRPr="00C339FA" w:rsidRDefault="00C339FA" w:rsidP="00C339FA">
      <w:pPr>
        <w:tabs>
          <w:tab w:val="left" w:pos="1701"/>
        </w:tabs>
        <w:spacing w:after="120"/>
        <w:ind w:left="1135" w:right="1134"/>
        <w:jc w:val="both"/>
      </w:pPr>
      <w:r w:rsidRPr="00C339FA">
        <w:rPr>
          <w:i/>
        </w:rPr>
        <w:tab/>
        <w:t>Recalling</w:t>
      </w:r>
      <w:r w:rsidRPr="00C339FA">
        <w:t xml:space="preserve"> decisions 1/CP.16, 2/CP.17, 4/CP.17, 1/CP.18, 13/CP.18, 14/CP.18, 25/CP.19, 16/CP.20, 17/CP.20 and 12/CP.21,</w:t>
      </w:r>
    </w:p>
    <w:p w:rsidR="00C339FA" w:rsidRPr="00C339FA" w:rsidRDefault="00663684" w:rsidP="00663684">
      <w:pPr>
        <w:pStyle w:val="RegSingleTxtG"/>
        <w:numPr>
          <w:ilvl w:val="0"/>
          <w:numId w:val="0"/>
        </w:numPr>
        <w:tabs>
          <w:tab w:val="left" w:pos="568"/>
        </w:tabs>
        <w:ind w:left="1135"/>
      </w:pPr>
      <w:r w:rsidRPr="00C339FA">
        <w:t>1.</w:t>
      </w:r>
      <w:r w:rsidRPr="00C339FA">
        <w:tab/>
      </w:r>
      <w:r w:rsidR="00C339FA" w:rsidRPr="00A75B55">
        <w:rPr>
          <w:i/>
        </w:rPr>
        <w:t xml:space="preserve">Welcomes </w:t>
      </w:r>
      <w:r w:rsidR="00C339FA" w:rsidRPr="00C339FA">
        <w:t>the joint annual report of the Technology Executive Committee and the Climate Technology Centre and Network for 2016, including the key messages and recommendations contained therein, and the progress of their work in facilitating the effective implementation of the Technology Mechanism;</w:t>
      </w:r>
      <w:r w:rsidR="00C339FA" w:rsidRPr="00C339FA">
        <w:rPr>
          <w:sz w:val="18"/>
          <w:vertAlign w:val="superscript"/>
        </w:rPr>
        <w:footnoteReference w:id="3"/>
      </w:r>
    </w:p>
    <w:p w:rsidR="00C339FA" w:rsidRPr="00C339FA" w:rsidRDefault="00663684" w:rsidP="00663684">
      <w:pPr>
        <w:tabs>
          <w:tab w:val="left" w:pos="568"/>
          <w:tab w:val="left" w:pos="1701"/>
        </w:tabs>
        <w:spacing w:after="120"/>
        <w:ind w:left="1135" w:right="1134"/>
        <w:jc w:val="both"/>
      </w:pPr>
      <w:r w:rsidRPr="00C339FA">
        <w:t>2.</w:t>
      </w:r>
      <w:r w:rsidRPr="00C339FA">
        <w:tab/>
      </w:r>
      <w:r w:rsidR="00C339FA" w:rsidRPr="00C339FA">
        <w:rPr>
          <w:i/>
        </w:rPr>
        <w:t>Notes with appreciation</w:t>
      </w:r>
      <w:r w:rsidR="00C339FA" w:rsidRPr="00C339FA">
        <w:t xml:space="preserve"> the collaboration between the Technology Executive Committee and the Climate Technology Centre and Network, including on climate technology financing and research, development and demonstration;</w:t>
      </w:r>
    </w:p>
    <w:p w:rsidR="00C339FA" w:rsidRPr="00C339FA" w:rsidRDefault="00663684" w:rsidP="00663684">
      <w:pPr>
        <w:tabs>
          <w:tab w:val="left" w:pos="568"/>
          <w:tab w:val="left" w:pos="1701"/>
        </w:tabs>
        <w:spacing w:after="120"/>
        <w:ind w:left="1135" w:right="1134"/>
        <w:jc w:val="both"/>
      </w:pPr>
      <w:r w:rsidRPr="00C339FA">
        <w:t>3.</w:t>
      </w:r>
      <w:r w:rsidRPr="00C339FA">
        <w:tab/>
      </w:r>
      <w:r w:rsidR="00C339FA" w:rsidRPr="00C339FA">
        <w:rPr>
          <w:i/>
        </w:rPr>
        <w:t>Welcomes</w:t>
      </w:r>
      <w:r w:rsidR="00C339FA" w:rsidRPr="00C339FA">
        <w:t xml:space="preserve"> </w:t>
      </w:r>
      <w:r w:rsidR="00C339FA" w:rsidRPr="00C339FA">
        <w:rPr>
          <w:i/>
        </w:rPr>
        <w:t xml:space="preserve">with appreciation </w:t>
      </w:r>
      <w:r w:rsidR="00C339FA" w:rsidRPr="00C339FA">
        <w:t>the collaboration of the Technology Executive Committee and the Climate Technology Centre and Network with the constituted bodies under the Convention and relevant stakeholders, enabling the bodies of the Technology Mechanism to successfully implement their activities in 2016;</w:t>
      </w:r>
    </w:p>
    <w:p w:rsidR="00C339FA" w:rsidRPr="00C339FA" w:rsidRDefault="00663684" w:rsidP="00663684">
      <w:pPr>
        <w:tabs>
          <w:tab w:val="left" w:pos="568"/>
          <w:tab w:val="left" w:pos="1701"/>
        </w:tabs>
        <w:spacing w:after="120"/>
        <w:ind w:left="1135" w:right="1134"/>
        <w:jc w:val="both"/>
      </w:pPr>
      <w:r w:rsidRPr="00C339FA">
        <w:t>4.</w:t>
      </w:r>
      <w:r w:rsidRPr="00C339FA">
        <w:tab/>
      </w:r>
      <w:r w:rsidR="00C339FA" w:rsidRPr="00C339FA">
        <w:rPr>
          <w:i/>
        </w:rPr>
        <w:t>Encourages</w:t>
      </w:r>
      <w:r w:rsidR="00C339FA" w:rsidRPr="00C339FA">
        <w:t xml:space="preserve"> the Technology Executive Committee and the Climate Technology Centre and Network to continue collaborating in order to enhance coherence and synergy in the work of the Technology Mechanism;</w:t>
      </w:r>
    </w:p>
    <w:p w:rsidR="00C339FA" w:rsidRPr="00C339FA" w:rsidRDefault="00663684" w:rsidP="00663684">
      <w:pPr>
        <w:tabs>
          <w:tab w:val="left" w:pos="568"/>
          <w:tab w:val="left" w:pos="1701"/>
        </w:tabs>
        <w:spacing w:after="120"/>
        <w:ind w:left="1135" w:right="1134"/>
        <w:jc w:val="both"/>
      </w:pPr>
      <w:r w:rsidRPr="00C339FA">
        <w:t>5.</w:t>
      </w:r>
      <w:r w:rsidRPr="00C339FA">
        <w:tab/>
      </w:r>
      <w:r w:rsidR="00C339FA" w:rsidRPr="00C339FA">
        <w:rPr>
          <w:i/>
        </w:rPr>
        <w:t xml:space="preserve">Also encourages </w:t>
      </w:r>
      <w:r w:rsidR="00C339FA" w:rsidRPr="00C339FA">
        <w:t>the Technology Executive Committee and the Advisory Board of the Climate Technology Centre and Network to continue updating the procedures</w:t>
      </w:r>
      <w:r w:rsidR="00C339FA" w:rsidRPr="00C339FA">
        <w:rPr>
          <w:sz w:val="18"/>
          <w:vertAlign w:val="superscript"/>
        </w:rPr>
        <w:footnoteReference w:id="4"/>
      </w:r>
      <w:r w:rsidR="00C339FA" w:rsidRPr="00C339FA">
        <w:t xml:space="preserve"> for preparing the joint chapter of their joint annual report in accordance with decision 12/CP.21, paragraph 2, and to report on the outcome of this work in their joint annual report to the Conference of the Parties at its twenty-third session (November 2017);</w:t>
      </w:r>
    </w:p>
    <w:p w:rsidR="00C339FA" w:rsidRPr="00C339FA" w:rsidRDefault="00663684" w:rsidP="00663684">
      <w:pPr>
        <w:tabs>
          <w:tab w:val="left" w:pos="568"/>
          <w:tab w:val="left" w:pos="1701"/>
        </w:tabs>
        <w:spacing w:after="120"/>
        <w:ind w:left="1135" w:right="1134"/>
        <w:jc w:val="both"/>
      </w:pPr>
      <w:r w:rsidRPr="00C339FA">
        <w:t>6.</w:t>
      </w:r>
      <w:r w:rsidRPr="00C339FA">
        <w:tab/>
      </w:r>
      <w:r w:rsidR="00C339FA" w:rsidRPr="00C339FA">
        <w:rPr>
          <w:i/>
        </w:rPr>
        <w:t xml:space="preserve">Invites </w:t>
      </w:r>
      <w:r w:rsidR="00C339FA" w:rsidRPr="00C339FA">
        <w:t>the Technology Executive Committee and the Climate Technology Centre and Network to include information in the respective chapters of their future joint annual reports on challenges and lessons learned in implementing their respective mandates;</w:t>
      </w:r>
    </w:p>
    <w:p w:rsidR="00C339FA" w:rsidRPr="00C339FA" w:rsidRDefault="00C339FA" w:rsidP="00C339FA">
      <w:pPr>
        <w:widowControl w:val="0"/>
        <w:tabs>
          <w:tab w:val="left" w:pos="1701"/>
        </w:tabs>
        <w:suppressAutoHyphens w:val="0"/>
        <w:spacing w:before="240" w:after="120"/>
        <w:ind w:left="1134" w:right="1134"/>
        <w:jc w:val="both"/>
        <w:rPr>
          <w:b/>
        </w:rPr>
      </w:pPr>
      <w:r w:rsidRPr="00C339FA">
        <w:rPr>
          <w:b/>
        </w:rPr>
        <w:t>Activities and performance of the Technology Executive Committee in 2016</w:t>
      </w:r>
    </w:p>
    <w:p w:rsidR="00C339FA" w:rsidRPr="00C339FA" w:rsidRDefault="00663684" w:rsidP="00663684">
      <w:pPr>
        <w:tabs>
          <w:tab w:val="left" w:pos="568"/>
          <w:tab w:val="left" w:pos="1701"/>
        </w:tabs>
        <w:spacing w:after="120"/>
        <w:ind w:left="1135" w:right="1134"/>
        <w:jc w:val="both"/>
      </w:pPr>
      <w:r w:rsidRPr="00C339FA">
        <w:t>7.</w:t>
      </w:r>
      <w:r w:rsidRPr="00C339FA">
        <w:tab/>
      </w:r>
      <w:r w:rsidR="00C339FA" w:rsidRPr="00C339FA">
        <w:rPr>
          <w:i/>
        </w:rPr>
        <w:t>Welcomes</w:t>
      </w:r>
      <w:r w:rsidR="00C339FA" w:rsidRPr="00C339FA">
        <w:t xml:space="preserve"> the rolling workplan of the Technology Executive Committee for 2016–2018</w:t>
      </w:r>
      <w:r w:rsidR="00C339FA" w:rsidRPr="00C339FA">
        <w:rPr>
          <w:sz w:val="18"/>
          <w:vertAlign w:val="superscript"/>
        </w:rPr>
        <w:footnoteReference w:id="5"/>
      </w:r>
      <w:r w:rsidR="00C339FA" w:rsidRPr="00C339FA">
        <w:t xml:space="preserve"> and the progress made by the committee in advancing its implementation, including in the areas of adaptation; climate technology financing; emerging and cross-cutting issues; innovation and research, development and demonstration; mitigation; and technology needs assessments;</w:t>
      </w:r>
    </w:p>
    <w:p w:rsidR="00C339FA" w:rsidRPr="00C339FA" w:rsidRDefault="00663684" w:rsidP="00663684">
      <w:pPr>
        <w:tabs>
          <w:tab w:val="left" w:pos="568"/>
          <w:tab w:val="left" w:pos="1701"/>
        </w:tabs>
        <w:spacing w:after="120"/>
        <w:ind w:left="1135" w:right="1134"/>
        <w:jc w:val="both"/>
      </w:pPr>
      <w:r w:rsidRPr="00C339FA">
        <w:t>8.</w:t>
      </w:r>
      <w:r w:rsidRPr="00C339FA">
        <w:tab/>
      </w:r>
      <w:r w:rsidR="00C339FA" w:rsidRPr="00C339FA">
        <w:rPr>
          <w:i/>
        </w:rPr>
        <w:t>Invites</w:t>
      </w:r>
      <w:r w:rsidR="00C339FA" w:rsidRPr="00C339FA">
        <w:t xml:space="preserve"> Parties and all relevant stakeholders working on technology development and transfer to consider the key messages of the Technology Executive Committee</w:t>
      </w:r>
      <w:r w:rsidR="00C339FA" w:rsidRPr="00C339FA">
        <w:rPr>
          <w:sz w:val="18"/>
          <w:vertAlign w:val="superscript"/>
        </w:rPr>
        <w:footnoteReference w:id="6"/>
      </w:r>
      <w:r w:rsidR="00C339FA" w:rsidRPr="00C339FA">
        <w:t xml:space="preserve"> when implementing climate technology action, noting that they are on the areas of climate </w:t>
      </w:r>
      <w:r w:rsidR="00C339FA" w:rsidRPr="00C339FA">
        <w:lastRenderedPageBreak/>
        <w:t xml:space="preserve">technology financing, South–South cooperation and triangular cooperation on technologies for adaptation, and technology needs assessments; </w:t>
      </w:r>
    </w:p>
    <w:p w:rsidR="00C339FA" w:rsidRPr="00C339FA" w:rsidRDefault="00663684" w:rsidP="00663684">
      <w:pPr>
        <w:tabs>
          <w:tab w:val="left" w:pos="568"/>
          <w:tab w:val="left" w:pos="1701"/>
        </w:tabs>
        <w:spacing w:after="120"/>
        <w:ind w:left="1135" w:right="1134"/>
        <w:jc w:val="both"/>
      </w:pPr>
      <w:r w:rsidRPr="00C339FA">
        <w:t>9.</w:t>
      </w:r>
      <w:r w:rsidRPr="00C339FA">
        <w:tab/>
      </w:r>
      <w:r w:rsidR="00C339FA" w:rsidRPr="00C339FA">
        <w:rPr>
          <w:i/>
        </w:rPr>
        <w:t xml:space="preserve">Notes </w:t>
      </w:r>
      <w:r w:rsidR="00C339FA" w:rsidRPr="00C339FA">
        <w:t>that strengthening linkages between the technology needs assessments, nationally determined contributions and national adaptation plan processes would enhance their effectiveness and responsiveness towards implementation in countries;</w:t>
      </w:r>
    </w:p>
    <w:p w:rsidR="00C339FA" w:rsidRPr="00C339FA" w:rsidRDefault="00C339FA" w:rsidP="00C339FA">
      <w:pPr>
        <w:tabs>
          <w:tab w:val="left" w:pos="1701"/>
        </w:tabs>
        <w:spacing w:after="120"/>
        <w:ind w:left="1135" w:right="1134"/>
        <w:jc w:val="both"/>
        <w:rPr>
          <w:b/>
        </w:rPr>
      </w:pPr>
      <w:r w:rsidRPr="00C339FA">
        <w:rPr>
          <w:b/>
        </w:rPr>
        <w:t>Activities and performance of the Climate Technology Centre and Network in 2016</w:t>
      </w:r>
    </w:p>
    <w:p w:rsidR="00C339FA" w:rsidRPr="00C339FA" w:rsidRDefault="00663684" w:rsidP="00663684">
      <w:pPr>
        <w:tabs>
          <w:tab w:val="left" w:pos="568"/>
          <w:tab w:val="left" w:pos="1701"/>
        </w:tabs>
        <w:spacing w:after="120"/>
        <w:ind w:left="1135" w:right="1134"/>
        <w:jc w:val="both"/>
      </w:pPr>
      <w:r w:rsidRPr="00C339FA">
        <w:t>10.</w:t>
      </w:r>
      <w:r w:rsidRPr="00C339FA">
        <w:tab/>
      </w:r>
      <w:r w:rsidR="00C339FA" w:rsidRPr="00C339FA">
        <w:rPr>
          <w:i/>
        </w:rPr>
        <w:t xml:space="preserve">Welcomes </w:t>
      </w:r>
      <w:r w:rsidR="00C339FA" w:rsidRPr="00C339FA">
        <w:t>the progress made by the Climate Technology Centre and Network in 2016 in implementing its programme of work, and the increased demand for technical assistance and other services of the Climate Technology Centre and Network;</w:t>
      </w:r>
    </w:p>
    <w:p w:rsidR="00C339FA" w:rsidRPr="00C339FA" w:rsidRDefault="00663684" w:rsidP="00663684">
      <w:pPr>
        <w:tabs>
          <w:tab w:val="left" w:pos="568"/>
          <w:tab w:val="left" w:pos="1701"/>
        </w:tabs>
        <w:spacing w:after="120"/>
        <w:ind w:left="1135" w:right="1134"/>
        <w:jc w:val="both"/>
      </w:pPr>
      <w:r w:rsidRPr="00C339FA">
        <w:t>11.</w:t>
      </w:r>
      <w:r w:rsidRPr="00C339FA">
        <w:tab/>
      </w:r>
      <w:r w:rsidR="00C339FA" w:rsidRPr="00C339FA">
        <w:rPr>
          <w:i/>
        </w:rPr>
        <w:t xml:space="preserve">Notes </w:t>
      </w:r>
      <w:r w:rsidR="00C339FA" w:rsidRPr="00C339FA">
        <w:t>that the Climate Technology Centre and Network may play a key role in supporting the developing country Parties, at their request, to implement technology action plans, including through the Request Incubator Programme for the least developed country Parties;</w:t>
      </w:r>
      <w:r w:rsidR="00C339FA" w:rsidRPr="00C339FA">
        <w:rPr>
          <w:sz w:val="18"/>
          <w:vertAlign w:val="superscript"/>
        </w:rPr>
        <w:footnoteReference w:id="7"/>
      </w:r>
    </w:p>
    <w:p w:rsidR="00C339FA" w:rsidRPr="00C339FA" w:rsidRDefault="00663684" w:rsidP="00663684">
      <w:pPr>
        <w:tabs>
          <w:tab w:val="left" w:pos="568"/>
          <w:tab w:val="left" w:pos="1701"/>
        </w:tabs>
        <w:spacing w:after="120"/>
        <w:ind w:left="1135" w:right="1134"/>
        <w:jc w:val="both"/>
      </w:pPr>
      <w:r w:rsidRPr="00C339FA">
        <w:t>12.</w:t>
      </w:r>
      <w:r w:rsidRPr="00C339FA">
        <w:tab/>
      </w:r>
      <w:r w:rsidR="00C339FA" w:rsidRPr="00C339FA">
        <w:rPr>
          <w:i/>
        </w:rPr>
        <w:t>Encourages</w:t>
      </w:r>
      <w:r w:rsidR="00C339FA" w:rsidRPr="00C339FA">
        <w:t xml:space="preserve"> the Global Environment Facility and the Climate Technology Centre to enhance their collaboration with respect to exploring new ways of supporting climate technology related requests for technical assistance; </w:t>
      </w:r>
    </w:p>
    <w:p w:rsidR="00C339FA" w:rsidRPr="00C339FA" w:rsidRDefault="00663684" w:rsidP="00663684">
      <w:pPr>
        <w:tabs>
          <w:tab w:val="left" w:pos="568"/>
          <w:tab w:val="left" w:pos="1701"/>
        </w:tabs>
        <w:spacing w:after="120"/>
        <w:ind w:left="1135" w:right="1134"/>
        <w:jc w:val="both"/>
      </w:pPr>
      <w:r w:rsidRPr="00C339FA">
        <w:t>13.</w:t>
      </w:r>
      <w:r w:rsidRPr="00C339FA">
        <w:tab/>
      </w:r>
      <w:r w:rsidR="00C339FA" w:rsidRPr="00C339FA">
        <w:rPr>
          <w:i/>
        </w:rPr>
        <w:t>Underlines</w:t>
      </w:r>
      <w:r w:rsidR="00C339FA" w:rsidRPr="00C339FA">
        <w:t xml:space="preserve"> the importance of well-functioning and strengthened collaboration between the national designated authorities for the Green Climate Fund, the focal points for the Global Environment Facility and the national designated entities for technology development and transfer;</w:t>
      </w:r>
    </w:p>
    <w:p w:rsidR="00C339FA" w:rsidRPr="00C339FA" w:rsidRDefault="00663684" w:rsidP="00663684">
      <w:pPr>
        <w:tabs>
          <w:tab w:val="left" w:pos="568"/>
          <w:tab w:val="left" w:pos="1701"/>
        </w:tabs>
        <w:spacing w:after="120"/>
        <w:ind w:left="1135" w:right="1134"/>
        <w:jc w:val="both"/>
      </w:pPr>
      <w:r w:rsidRPr="00C339FA">
        <w:t>14.</w:t>
      </w:r>
      <w:r w:rsidRPr="00C339FA">
        <w:tab/>
      </w:r>
      <w:r w:rsidR="00C339FA" w:rsidRPr="00C339FA">
        <w:rPr>
          <w:i/>
        </w:rPr>
        <w:t xml:space="preserve">Notes </w:t>
      </w:r>
      <w:r w:rsidR="00C339FA" w:rsidRPr="00C339FA">
        <w:t>that the Climate Technology Centre and Network faces challenges that need attention regarding sustainable funding for implementing its functions and that further financial support should be provided to it;</w:t>
      </w:r>
    </w:p>
    <w:p w:rsidR="00C339FA" w:rsidRPr="00C339FA" w:rsidRDefault="00663684" w:rsidP="00663684">
      <w:pPr>
        <w:tabs>
          <w:tab w:val="left" w:pos="568"/>
          <w:tab w:val="left" w:pos="1701"/>
        </w:tabs>
        <w:spacing w:after="120"/>
        <w:ind w:left="1135" w:right="1134"/>
        <w:jc w:val="both"/>
        <w:rPr>
          <w:u w:val="single"/>
        </w:rPr>
      </w:pPr>
      <w:r w:rsidRPr="00C339FA">
        <w:t>15.</w:t>
      </w:r>
      <w:r w:rsidRPr="00C339FA">
        <w:tab/>
      </w:r>
      <w:r w:rsidR="00C339FA" w:rsidRPr="00C339FA">
        <w:rPr>
          <w:i/>
        </w:rPr>
        <w:t xml:space="preserve">Welcomes </w:t>
      </w:r>
      <w:r w:rsidR="00C339FA" w:rsidRPr="00C339FA">
        <w:t>the increased engagement between the Green Climate Fund and the Climate Technology Centre and Network, particularly with respect to utilizing the Readiness and Preparatory Support Programme and the Project Preparation Facility of the fund in order to respond to country-driven requests for technical assistance;</w:t>
      </w:r>
    </w:p>
    <w:p w:rsidR="00C339FA" w:rsidRPr="00C339FA" w:rsidRDefault="00663684" w:rsidP="00663684">
      <w:pPr>
        <w:tabs>
          <w:tab w:val="left" w:pos="568"/>
          <w:tab w:val="left" w:pos="1701"/>
        </w:tabs>
        <w:spacing w:after="120"/>
        <w:ind w:left="1135" w:right="1134"/>
        <w:jc w:val="both"/>
        <w:rPr>
          <w:u w:val="single"/>
        </w:rPr>
      </w:pPr>
      <w:r w:rsidRPr="00C339FA">
        <w:t>16.</w:t>
      </w:r>
      <w:r w:rsidRPr="00C339FA">
        <w:tab/>
      </w:r>
      <w:r w:rsidR="00C339FA" w:rsidRPr="00C339FA">
        <w:rPr>
          <w:i/>
        </w:rPr>
        <w:t>Encourages</w:t>
      </w:r>
      <w:r w:rsidR="00C339FA" w:rsidRPr="00C339FA">
        <w:t xml:space="preserve"> the advancement of the engagement referred to in paragraph 15 above, including through the strengthening of collaboration between national designated authorities for the Green Climate Fund and national designated entities for technology development and transfer;</w:t>
      </w:r>
    </w:p>
    <w:p w:rsidR="00C339FA" w:rsidRPr="00C339FA" w:rsidRDefault="00663684" w:rsidP="00663684">
      <w:pPr>
        <w:tabs>
          <w:tab w:val="left" w:pos="568"/>
          <w:tab w:val="left" w:pos="1701"/>
        </w:tabs>
        <w:spacing w:after="120"/>
        <w:ind w:left="1135" w:right="1134"/>
        <w:jc w:val="both"/>
        <w:rPr>
          <w:u w:val="single"/>
        </w:rPr>
      </w:pPr>
      <w:r w:rsidRPr="00C339FA">
        <w:t>17.</w:t>
      </w:r>
      <w:r w:rsidRPr="00C339FA">
        <w:tab/>
      </w:r>
      <w:r w:rsidR="00C339FA" w:rsidRPr="00C339FA">
        <w:rPr>
          <w:i/>
        </w:rPr>
        <w:t>Invites</w:t>
      </w:r>
      <w:r w:rsidR="00C339FA" w:rsidRPr="00C339FA">
        <w:t xml:space="preserve"> the Climate Technology Centre and Network to include the outcomes of the engagement referred to in paragraphs 15 and 16 above in its annual report to the Conference of the Parties at its twenty-third session</w:t>
      </w:r>
      <w:r w:rsidR="00C339FA" w:rsidRPr="00C339FA">
        <w:rPr>
          <w:i/>
        </w:rPr>
        <w:t>.</w:t>
      </w:r>
    </w:p>
    <w:p w:rsidR="00D55F9D" w:rsidRPr="00A470FF" w:rsidRDefault="00C07551" w:rsidP="00D55F9D">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D55F9D" w:rsidRPr="00A470FF">
        <w:rPr>
          <w:i/>
          <w:vertAlign w:val="superscript"/>
          <w:lang w:eastAsia="en-US"/>
        </w:rPr>
        <w:t>th</w:t>
      </w:r>
      <w:r w:rsidR="00D55F9D" w:rsidRPr="00A470FF">
        <w:rPr>
          <w:i/>
          <w:lang w:eastAsia="en-US"/>
        </w:rPr>
        <w:t xml:space="preserve"> plenary meeting</w:t>
      </w:r>
    </w:p>
    <w:p w:rsidR="00D55F9D" w:rsidRDefault="00C07551" w:rsidP="00D55F9D">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00D55F9D" w:rsidRPr="00A470FF">
        <w:rPr>
          <w:i/>
          <w:lang w:eastAsia="en-US"/>
        </w:rPr>
        <w:t xml:space="preserve"> </w:t>
      </w:r>
      <w:r w:rsidR="00D55F9D">
        <w:rPr>
          <w:i/>
          <w:lang w:eastAsia="en-US"/>
        </w:rPr>
        <w:t xml:space="preserve">November </w:t>
      </w:r>
      <w:r w:rsidR="00D55F9D" w:rsidRPr="00A470FF">
        <w:rPr>
          <w:i/>
          <w:lang w:eastAsia="en-US"/>
        </w:rPr>
        <w:t>201</w:t>
      </w:r>
      <w:r w:rsidR="00D55F9D">
        <w:rPr>
          <w:i/>
          <w:lang w:eastAsia="en-US"/>
        </w:rPr>
        <w:t>6</w:t>
      </w:r>
    </w:p>
    <w:p w:rsidR="00D55F9D" w:rsidRDefault="00D55F9D" w:rsidP="00D55F9D">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D55F9D" w:rsidSect="007F4962">
          <w:headerReference w:type="default" r:id="rId20"/>
          <w:footnotePr>
            <w:numRestart w:val="eachSect"/>
          </w:footnotePr>
          <w:pgSz w:w="11906" w:h="16838" w:code="9"/>
          <w:pgMar w:top="1701" w:right="1134" w:bottom="2268" w:left="1134" w:header="1134" w:footer="1701" w:gutter="0"/>
          <w:cols w:space="708"/>
          <w:docGrid w:linePitch="360"/>
        </w:sectPr>
      </w:pPr>
    </w:p>
    <w:p w:rsidR="00A75B55" w:rsidRPr="00A75B55" w:rsidRDefault="00A75B55" w:rsidP="00A75B55">
      <w:pPr>
        <w:pStyle w:val="HChG"/>
        <w:ind w:firstLine="0"/>
        <w:rPr>
          <w:bCs/>
        </w:rPr>
      </w:pPr>
      <w:r w:rsidRPr="00A75B55">
        <w:rPr>
          <w:bCs/>
        </w:rPr>
        <w:lastRenderedPageBreak/>
        <w:t>Decision 1</w:t>
      </w:r>
      <w:r>
        <w:rPr>
          <w:bCs/>
        </w:rPr>
        <w:t>6</w:t>
      </w:r>
      <w:r w:rsidRPr="00A75B55">
        <w:rPr>
          <w:bCs/>
        </w:rPr>
        <w:t>/CP.22</w:t>
      </w:r>
    </w:p>
    <w:p w:rsidR="00A75B55" w:rsidRPr="002E5630" w:rsidRDefault="00A75B55" w:rsidP="00384210">
      <w:pPr>
        <w:pStyle w:val="HChG"/>
        <w:jc w:val="both"/>
      </w:pPr>
      <w:r>
        <w:tab/>
      </w:r>
      <w:r>
        <w:tab/>
      </w:r>
      <w:r w:rsidRPr="002E5630">
        <w:t>Third comprehensive review of the implementation of the framework for capacity-building in developing countries under the Convention</w:t>
      </w:r>
    </w:p>
    <w:p w:rsidR="00A75B55" w:rsidRPr="002E5630" w:rsidRDefault="00A75B55" w:rsidP="004941BD">
      <w:pPr>
        <w:spacing w:before="120"/>
        <w:ind w:left="1134" w:right="1531" w:firstLine="567"/>
        <w:jc w:val="both"/>
        <w:rPr>
          <w:i/>
        </w:rPr>
      </w:pPr>
      <w:r w:rsidRPr="002E5630">
        <w:rPr>
          <w:i/>
        </w:rPr>
        <w:t>The Conference of the Parties</w:t>
      </w:r>
      <w:r w:rsidRPr="002E5630">
        <w:t>,</w:t>
      </w:r>
    </w:p>
    <w:p w:rsidR="00A75B55" w:rsidRPr="002E5630" w:rsidRDefault="00A75B55" w:rsidP="004941BD">
      <w:pPr>
        <w:spacing w:before="120"/>
        <w:ind w:left="1134" w:right="1531" w:firstLine="567"/>
        <w:jc w:val="both"/>
        <w:rPr>
          <w:i/>
        </w:rPr>
      </w:pPr>
      <w:r w:rsidRPr="002E5630">
        <w:rPr>
          <w:i/>
        </w:rPr>
        <w:t xml:space="preserve">Recalling </w:t>
      </w:r>
      <w:r w:rsidRPr="002E5630">
        <w:t xml:space="preserve">decisions 2/CP.7, 1/CP.21, and 14/CP.21, </w:t>
      </w:r>
    </w:p>
    <w:p w:rsidR="00A75B55" w:rsidRPr="002E5630" w:rsidRDefault="00A75B55" w:rsidP="004941BD">
      <w:pPr>
        <w:tabs>
          <w:tab w:val="left" w:pos="8505"/>
        </w:tabs>
        <w:spacing w:before="120"/>
        <w:ind w:left="1134" w:right="1133" w:firstLine="567"/>
        <w:jc w:val="both"/>
      </w:pPr>
      <w:r w:rsidRPr="002E5630">
        <w:rPr>
          <w:i/>
        </w:rPr>
        <w:t xml:space="preserve">Reaffirming </w:t>
      </w:r>
      <w:r w:rsidRPr="002E5630">
        <w:t>that capacity-building should be a participatory, country-driven and continuous process consistent with national priorities and circumstances,</w:t>
      </w:r>
    </w:p>
    <w:p w:rsidR="00A75B55" w:rsidRPr="002E5630" w:rsidRDefault="00A75B55" w:rsidP="004941BD">
      <w:pPr>
        <w:tabs>
          <w:tab w:val="left" w:pos="8505"/>
        </w:tabs>
        <w:spacing w:before="120"/>
        <w:ind w:left="1134" w:right="1133" w:firstLine="567"/>
        <w:jc w:val="both"/>
        <w:rPr>
          <w:i/>
        </w:rPr>
      </w:pPr>
      <w:r w:rsidRPr="002E5630">
        <w:rPr>
          <w:i/>
        </w:rPr>
        <w:t xml:space="preserve">Also reaffirming </w:t>
      </w:r>
      <w:r w:rsidRPr="002E5630">
        <w:t>that capacity-building is an integral component of the means of implementation to enable developing country Parties to implement the Convention and the Paris Agreement,</w:t>
      </w:r>
    </w:p>
    <w:p w:rsidR="00A75B55" w:rsidRPr="002E5630" w:rsidRDefault="00A75B55" w:rsidP="004941BD">
      <w:pPr>
        <w:tabs>
          <w:tab w:val="left" w:pos="8505"/>
        </w:tabs>
        <w:spacing w:before="120" w:after="120"/>
        <w:ind w:left="1134" w:right="1133" w:firstLine="567"/>
        <w:jc w:val="both"/>
      </w:pPr>
      <w:r w:rsidRPr="00C339FA">
        <w:rPr>
          <w:i/>
        </w:rPr>
        <w:t>Noting with appreciation</w:t>
      </w:r>
      <w:r w:rsidRPr="002E5630">
        <w:t xml:space="preserve"> the technical paper prepared by the secretariat on the third comprehensive review of the implementation of the framework for capacity-building in developing countries,</w:t>
      </w:r>
      <w:r w:rsidRPr="002E5630">
        <w:rPr>
          <w:rStyle w:val="FootnoteReference"/>
        </w:rPr>
        <w:footnoteReference w:id="8"/>
      </w:r>
    </w:p>
    <w:p w:rsidR="00A75B55" w:rsidRPr="002E5630" w:rsidRDefault="00A75B55" w:rsidP="004941BD">
      <w:pPr>
        <w:tabs>
          <w:tab w:val="left" w:pos="8505"/>
        </w:tabs>
        <w:spacing w:before="120"/>
        <w:ind w:left="1134" w:right="1133" w:firstLine="567"/>
        <w:jc w:val="both"/>
      </w:pPr>
      <w:r w:rsidRPr="002E5630">
        <w:rPr>
          <w:i/>
        </w:rPr>
        <w:t xml:space="preserve">Recognizing </w:t>
      </w:r>
      <w:r w:rsidRPr="002E5630">
        <w:t>the active engagement of a wide spectrum of stakeholders, including State and non-State actors, in planning, implementing and monitoring activities with capacity-building components,</w:t>
      </w:r>
    </w:p>
    <w:p w:rsidR="00A75B55" w:rsidRPr="002E5630" w:rsidRDefault="00A75B55" w:rsidP="004941BD">
      <w:pPr>
        <w:tabs>
          <w:tab w:val="left" w:pos="8505"/>
        </w:tabs>
        <w:spacing w:before="120"/>
        <w:ind w:left="1135" w:right="1133" w:firstLine="566"/>
        <w:jc w:val="both"/>
      </w:pPr>
      <w:r w:rsidRPr="002E5630">
        <w:rPr>
          <w:i/>
        </w:rPr>
        <w:t xml:space="preserve">Also recognizing </w:t>
      </w:r>
      <w:r w:rsidRPr="002E5630">
        <w:t xml:space="preserve">the significant increase of information on capacity-building activities made available by Parties, international organizations, the operating entities of the Financial Mechanism, United Nations specialized agencies and other institutions, </w:t>
      </w:r>
    </w:p>
    <w:p w:rsidR="00A75B55" w:rsidRPr="002E5630" w:rsidRDefault="00A75B55" w:rsidP="004941BD">
      <w:pPr>
        <w:tabs>
          <w:tab w:val="left" w:pos="8505"/>
        </w:tabs>
        <w:spacing w:before="120"/>
        <w:ind w:left="1135" w:right="1133" w:firstLine="566"/>
        <w:jc w:val="both"/>
      </w:pPr>
      <w:r w:rsidRPr="002E5630">
        <w:rPr>
          <w:i/>
        </w:rPr>
        <w:t>Noting with appreciation</w:t>
      </w:r>
      <w:r w:rsidRPr="002E5630">
        <w:t xml:space="preserve"> the success of the 5</w:t>
      </w:r>
      <w:r w:rsidRPr="002E5630">
        <w:rPr>
          <w:vertAlign w:val="superscript"/>
        </w:rPr>
        <w:t>th</w:t>
      </w:r>
      <w:r w:rsidRPr="002E5630">
        <w:t xml:space="preserve"> meeting of the Durban Forum for in-depth discussion on capacity-building, held during the forty-fourth session of the Subsidiary Body for Implementation, </w:t>
      </w:r>
    </w:p>
    <w:p w:rsidR="00A75B55" w:rsidRPr="002E5630" w:rsidRDefault="00A75B55" w:rsidP="004941BD">
      <w:pPr>
        <w:tabs>
          <w:tab w:val="left" w:pos="8505"/>
        </w:tabs>
        <w:spacing w:before="120"/>
        <w:ind w:left="1135" w:right="1133" w:firstLine="566"/>
        <w:jc w:val="both"/>
      </w:pPr>
      <w:r w:rsidRPr="002E5630">
        <w:rPr>
          <w:i/>
        </w:rPr>
        <w:t xml:space="preserve">Noting </w:t>
      </w:r>
      <w:r w:rsidRPr="002E5630">
        <w:t>the significant participation of non-State actors in the 5</w:t>
      </w:r>
      <w:r w:rsidRPr="002E5630">
        <w:rPr>
          <w:vertAlign w:val="superscript"/>
        </w:rPr>
        <w:t>th</w:t>
      </w:r>
      <w:r w:rsidRPr="002E5630">
        <w:t xml:space="preserve"> meeting of the Durban Forum and their useful contributions to the discussions, </w:t>
      </w:r>
    </w:p>
    <w:p w:rsidR="00A75B55" w:rsidRPr="002E5630" w:rsidRDefault="00A75B55" w:rsidP="004941BD">
      <w:pPr>
        <w:tabs>
          <w:tab w:val="left" w:pos="8505"/>
        </w:tabs>
        <w:spacing w:before="120" w:after="120"/>
        <w:ind w:left="1135" w:right="1133" w:firstLine="566"/>
        <w:jc w:val="both"/>
      </w:pPr>
      <w:r w:rsidRPr="002E5630">
        <w:rPr>
          <w:i/>
        </w:rPr>
        <w:t xml:space="preserve">Also noting </w:t>
      </w:r>
      <w:r w:rsidRPr="002E5630">
        <w:t>good practices in capacity-building that foster country-driven processes, country ownership, South–South cooperation, participatory as well as iterative approaches to capacity-building,</w:t>
      </w:r>
    </w:p>
    <w:p w:rsidR="00A75B55" w:rsidRPr="002E5630" w:rsidRDefault="00663684" w:rsidP="00663684">
      <w:pPr>
        <w:pStyle w:val="RegSingleTxtG"/>
        <w:numPr>
          <w:ilvl w:val="0"/>
          <w:numId w:val="0"/>
        </w:numPr>
        <w:tabs>
          <w:tab w:val="left" w:pos="568"/>
        </w:tabs>
        <w:ind w:left="1135"/>
      </w:pPr>
      <w:r w:rsidRPr="002E5630">
        <w:t>1.</w:t>
      </w:r>
      <w:r w:rsidRPr="002E5630">
        <w:tab/>
      </w:r>
      <w:r w:rsidR="00A75B55" w:rsidRPr="00C339FA">
        <w:rPr>
          <w:i/>
        </w:rPr>
        <w:t>Recognizes</w:t>
      </w:r>
      <w:r w:rsidR="00A75B55" w:rsidRPr="002E5630">
        <w:t xml:space="preserve"> that, while the objective and scope of capacity-building in developing countries as contained in decision 2/CP.7 are still relevant, current and emerging areas in the context of the Convention and the Paris Agreement should also be taken into account in the further implementation of the framework for capacity-building in developing countries;</w:t>
      </w:r>
    </w:p>
    <w:p w:rsidR="00A75B55" w:rsidRPr="002E5630" w:rsidRDefault="00663684" w:rsidP="00663684">
      <w:pPr>
        <w:pStyle w:val="RegSingleTxtG"/>
        <w:numPr>
          <w:ilvl w:val="0"/>
          <w:numId w:val="0"/>
        </w:numPr>
        <w:tabs>
          <w:tab w:val="left" w:pos="568"/>
        </w:tabs>
        <w:ind w:left="1135"/>
      </w:pPr>
      <w:r w:rsidRPr="002E5630">
        <w:t>2.</w:t>
      </w:r>
      <w:r w:rsidRPr="002E5630">
        <w:tab/>
      </w:r>
      <w:r w:rsidR="00A75B55" w:rsidRPr="002E5630">
        <w:rPr>
          <w:i/>
        </w:rPr>
        <w:t xml:space="preserve">Recalls </w:t>
      </w:r>
      <w:r w:rsidR="00A75B55" w:rsidRPr="002E5630">
        <w:t xml:space="preserve">that the Paris Committee on Capacity-building aims to address both current and emerging gaps and needs in implementing capacity-building in developing country Parties and to further enhance capacity-building efforts, including with regard to coherence and coordination in capacity-building activities under the Convention; </w:t>
      </w:r>
    </w:p>
    <w:p w:rsidR="00A75B55" w:rsidRPr="002E5630" w:rsidRDefault="00663684" w:rsidP="00663684">
      <w:pPr>
        <w:pStyle w:val="RegSingleTxtG"/>
        <w:numPr>
          <w:ilvl w:val="0"/>
          <w:numId w:val="0"/>
        </w:numPr>
        <w:tabs>
          <w:tab w:val="left" w:pos="568"/>
        </w:tabs>
        <w:ind w:left="1135"/>
      </w:pPr>
      <w:r w:rsidRPr="002E5630">
        <w:t>3.</w:t>
      </w:r>
      <w:r w:rsidRPr="002E5630">
        <w:tab/>
      </w:r>
      <w:r w:rsidR="00A75B55" w:rsidRPr="002E5630">
        <w:rPr>
          <w:i/>
        </w:rPr>
        <w:t>Invites</w:t>
      </w:r>
      <w:r w:rsidR="00A75B55" w:rsidRPr="002E5630">
        <w:t xml:space="preserve"> Parties to consider how to enhance existing reporting on the impacts of capacity-building activities, good practices and lessons learned and on how these are fed back into relevant processes to enhance the implementation of capacity-building activities;</w:t>
      </w:r>
    </w:p>
    <w:p w:rsidR="00A75B55" w:rsidRPr="002E5630" w:rsidRDefault="00663684" w:rsidP="00663684">
      <w:pPr>
        <w:pStyle w:val="RegSingleTxtG"/>
        <w:numPr>
          <w:ilvl w:val="0"/>
          <w:numId w:val="0"/>
        </w:numPr>
        <w:tabs>
          <w:tab w:val="left" w:pos="568"/>
        </w:tabs>
        <w:ind w:left="1135"/>
      </w:pPr>
      <w:r w:rsidRPr="002E5630">
        <w:lastRenderedPageBreak/>
        <w:t>4.</w:t>
      </w:r>
      <w:r w:rsidRPr="002E5630">
        <w:tab/>
      </w:r>
      <w:r w:rsidR="00A75B55" w:rsidRPr="002E5630">
        <w:rPr>
          <w:i/>
        </w:rPr>
        <w:t>Also invites</w:t>
      </w:r>
      <w:r w:rsidR="00A75B55" w:rsidRPr="002E5630">
        <w:t xml:space="preserve"> the Paris Committee on Capacity-building, in managing the 2016–2020 workplan: </w:t>
      </w:r>
    </w:p>
    <w:p w:rsidR="00A75B55" w:rsidRPr="00C40C4E" w:rsidRDefault="00663684" w:rsidP="00663684">
      <w:pPr>
        <w:pStyle w:val="RegSingleTxtG"/>
        <w:numPr>
          <w:ilvl w:val="0"/>
          <w:numId w:val="0"/>
        </w:numPr>
        <w:tabs>
          <w:tab w:val="left" w:pos="2269"/>
        </w:tabs>
        <w:ind w:left="1135" w:firstLine="567"/>
        <w:rPr>
          <w:lang w:val="en-US"/>
        </w:rPr>
      </w:pPr>
      <w:r w:rsidRPr="00C40C4E">
        <w:rPr>
          <w:lang w:val="en-US"/>
        </w:rPr>
        <w:t>(a)</w:t>
      </w:r>
      <w:r w:rsidRPr="00C40C4E">
        <w:rPr>
          <w:lang w:val="en-US"/>
        </w:rPr>
        <w:tab/>
      </w:r>
      <w:r w:rsidR="00A75B55" w:rsidRPr="00C40C4E">
        <w:rPr>
          <w:lang w:val="en-US"/>
        </w:rPr>
        <w:t xml:space="preserve">To take into consideration cross-cutting issues such as gender responsiveness, human rights and indigenous peoples’ knowledge; </w:t>
      </w:r>
    </w:p>
    <w:p w:rsidR="00A75B55" w:rsidRPr="00C339FA" w:rsidRDefault="00663684" w:rsidP="00663684">
      <w:pPr>
        <w:pStyle w:val="RegSingleTxtG"/>
        <w:numPr>
          <w:ilvl w:val="0"/>
          <w:numId w:val="0"/>
        </w:numPr>
        <w:tabs>
          <w:tab w:val="left" w:pos="2269"/>
          <w:tab w:val="num" w:pos="2410"/>
        </w:tabs>
        <w:ind w:left="1135" w:firstLine="567"/>
        <w:rPr>
          <w:lang w:val="en-US"/>
        </w:rPr>
      </w:pPr>
      <w:r w:rsidRPr="00C339FA">
        <w:rPr>
          <w:lang w:val="en-US"/>
        </w:rPr>
        <w:t>(b)</w:t>
      </w:r>
      <w:r w:rsidRPr="00C339FA">
        <w:rPr>
          <w:lang w:val="en-US"/>
        </w:rPr>
        <w:tab/>
      </w:r>
      <w:r w:rsidR="00A75B55" w:rsidRPr="00C339FA">
        <w:rPr>
          <w:lang w:val="en-US"/>
        </w:rPr>
        <w:t>To take into consideration the outcomes of the third comprehensive review of the implementation of the framework for capacity-building in developing countries;</w:t>
      </w:r>
    </w:p>
    <w:p w:rsidR="00A75B55" w:rsidRPr="00C339FA" w:rsidRDefault="00663684" w:rsidP="00663684">
      <w:pPr>
        <w:pStyle w:val="RegSingleTxtG"/>
        <w:numPr>
          <w:ilvl w:val="0"/>
          <w:numId w:val="0"/>
        </w:numPr>
        <w:tabs>
          <w:tab w:val="left" w:pos="2269"/>
          <w:tab w:val="num" w:pos="2410"/>
        </w:tabs>
        <w:ind w:left="1135" w:firstLine="567"/>
        <w:rPr>
          <w:lang w:val="en-US"/>
        </w:rPr>
      </w:pPr>
      <w:r w:rsidRPr="00C339FA">
        <w:rPr>
          <w:lang w:val="en-US"/>
        </w:rPr>
        <w:t>(c)</w:t>
      </w:r>
      <w:r w:rsidRPr="00C339FA">
        <w:rPr>
          <w:lang w:val="en-US"/>
        </w:rPr>
        <w:tab/>
      </w:r>
      <w:r w:rsidR="00A75B55" w:rsidRPr="00C339FA">
        <w:rPr>
          <w:lang w:val="en-US"/>
        </w:rPr>
        <w:t>To take into consideration previous work undertaken on indicators for capacity-building;</w:t>
      </w:r>
    </w:p>
    <w:p w:rsidR="00A75B55" w:rsidRPr="00C339FA" w:rsidRDefault="00663684" w:rsidP="00663684">
      <w:pPr>
        <w:pStyle w:val="RegSingleTxtG"/>
        <w:numPr>
          <w:ilvl w:val="0"/>
          <w:numId w:val="0"/>
        </w:numPr>
        <w:tabs>
          <w:tab w:val="left" w:pos="2269"/>
        </w:tabs>
        <w:ind w:left="1135" w:firstLine="567"/>
        <w:rPr>
          <w:lang w:val="en-US"/>
        </w:rPr>
      </w:pPr>
      <w:r w:rsidRPr="00C339FA">
        <w:rPr>
          <w:lang w:val="en-US"/>
        </w:rPr>
        <w:t>(d)</w:t>
      </w:r>
      <w:r w:rsidRPr="00C339FA">
        <w:rPr>
          <w:lang w:val="en-US"/>
        </w:rPr>
        <w:tab/>
      </w:r>
      <w:r w:rsidR="00A75B55" w:rsidRPr="00C339FA">
        <w:rPr>
          <w:lang w:val="en-US"/>
        </w:rPr>
        <w:t xml:space="preserve">To promote and explore linkages with other constituted bodies under the Convention and the Paris Agreement, as appropriate, that include capacity-building in their scopes; </w:t>
      </w:r>
    </w:p>
    <w:p w:rsidR="00A75B55" w:rsidRPr="00C339FA" w:rsidRDefault="00663684" w:rsidP="00663684">
      <w:pPr>
        <w:pStyle w:val="RegSingleTxtG"/>
        <w:numPr>
          <w:ilvl w:val="0"/>
          <w:numId w:val="0"/>
        </w:numPr>
        <w:tabs>
          <w:tab w:val="left" w:pos="2269"/>
        </w:tabs>
        <w:ind w:left="1135" w:firstLine="567"/>
        <w:rPr>
          <w:lang w:val="en-US"/>
        </w:rPr>
      </w:pPr>
      <w:r w:rsidRPr="00C339FA">
        <w:rPr>
          <w:lang w:val="en-US"/>
        </w:rPr>
        <w:t>(e)</w:t>
      </w:r>
      <w:r w:rsidRPr="00C339FA">
        <w:rPr>
          <w:lang w:val="en-US"/>
        </w:rPr>
        <w:tab/>
      </w:r>
      <w:r w:rsidR="00A75B55" w:rsidRPr="00C339FA">
        <w:rPr>
          <w:lang w:val="en-US"/>
        </w:rPr>
        <w:t xml:space="preserve">To promote and explore synergies for enhanced collaboration with institutions outside the Convention and the Paris Agreement engaged in implementing capacity-building activities; </w:t>
      </w:r>
    </w:p>
    <w:p w:rsidR="00A75B55" w:rsidRPr="002E5630" w:rsidRDefault="00663684" w:rsidP="00663684">
      <w:pPr>
        <w:pStyle w:val="RegSingleTxtG"/>
        <w:numPr>
          <w:ilvl w:val="0"/>
          <w:numId w:val="0"/>
        </w:numPr>
        <w:tabs>
          <w:tab w:val="left" w:pos="2269"/>
        </w:tabs>
        <w:ind w:left="1135" w:firstLine="567"/>
      </w:pPr>
      <w:r w:rsidRPr="002E5630">
        <w:t>(f)</w:t>
      </w:r>
      <w:r w:rsidRPr="002E5630">
        <w:tab/>
      </w:r>
      <w:r w:rsidR="00A75B55" w:rsidRPr="00C339FA">
        <w:rPr>
          <w:lang w:val="en-US"/>
        </w:rPr>
        <w:t>To take into consideration ways of enhancing reporting on capacity-building activities, taking into account</w:t>
      </w:r>
      <w:r w:rsidR="00A75B55" w:rsidRPr="00C40C4E">
        <w:rPr>
          <w:rFonts w:ascii="TimesNewRoman" w:hAnsi="TimesNewRoman" w:cs="TimesNewRoman"/>
          <w:lang w:val="en-US"/>
        </w:rPr>
        <w:t xml:space="preserve"> all initiatives, actions and measures on capacity-</w:t>
      </w:r>
      <w:r w:rsidR="00A75B55" w:rsidRPr="002E5630">
        <w:t>building under the Convention and the Paris Agreement as well as existing reporting mandates, in order to achieve coherence and coordination;</w:t>
      </w:r>
    </w:p>
    <w:p w:rsidR="00A75B55" w:rsidRPr="002E5630" w:rsidRDefault="00663684" w:rsidP="00663684">
      <w:pPr>
        <w:pStyle w:val="RegSingleTxtG"/>
        <w:numPr>
          <w:ilvl w:val="0"/>
          <w:numId w:val="0"/>
        </w:numPr>
        <w:tabs>
          <w:tab w:val="left" w:pos="568"/>
        </w:tabs>
        <w:ind w:left="1135"/>
      </w:pPr>
      <w:r w:rsidRPr="002E5630">
        <w:t>5.</w:t>
      </w:r>
      <w:r w:rsidRPr="002E5630">
        <w:tab/>
      </w:r>
      <w:r w:rsidR="00A75B55" w:rsidRPr="002E5630">
        <w:rPr>
          <w:i/>
        </w:rPr>
        <w:tab/>
        <w:t>Further invites</w:t>
      </w:r>
      <w:r w:rsidR="00A75B55" w:rsidRPr="002E5630">
        <w:t xml:space="preserve"> Parties to foster networking and enhance their collaboration with academia and research centres, with a view to promoting individual, institutional and systemic capacity-building through education, training and public awareness; </w:t>
      </w:r>
    </w:p>
    <w:p w:rsidR="00A75B55" w:rsidRPr="002E5630" w:rsidRDefault="00663684" w:rsidP="00663684">
      <w:pPr>
        <w:pStyle w:val="RegSingleTxtG"/>
        <w:numPr>
          <w:ilvl w:val="0"/>
          <w:numId w:val="0"/>
        </w:numPr>
        <w:tabs>
          <w:tab w:val="left" w:pos="568"/>
        </w:tabs>
        <w:ind w:left="1135"/>
      </w:pPr>
      <w:r w:rsidRPr="002E5630">
        <w:t>6.</w:t>
      </w:r>
      <w:r w:rsidRPr="002E5630">
        <w:tab/>
      </w:r>
      <w:r w:rsidR="00A75B55" w:rsidRPr="002E5630">
        <w:rPr>
          <w:i/>
        </w:rPr>
        <w:tab/>
        <w:t xml:space="preserve">Invites </w:t>
      </w:r>
      <w:r w:rsidR="00A75B55" w:rsidRPr="002E5630">
        <w:t>the Subsidiary Body for Implementation to facilitate complementarity between the Durban Forum and the Paris Committee on Capacity-building;</w:t>
      </w:r>
    </w:p>
    <w:p w:rsidR="00A75B55" w:rsidRPr="002E5630" w:rsidRDefault="00663684" w:rsidP="00663684">
      <w:pPr>
        <w:pStyle w:val="RegSingleTxtG"/>
        <w:numPr>
          <w:ilvl w:val="0"/>
          <w:numId w:val="0"/>
        </w:numPr>
        <w:tabs>
          <w:tab w:val="left" w:pos="568"/>
        </w:tabs>
        <w:ind w:left="1135"/>
      </w:pPr>
      <w:r w:rsidRPr="002E5630">
        <w:t>7.</w:t>
      </w:r>
      <w:r w:rsidRPr="002E5630">
        <w:tab/>
      </w:r>
      <w:r w:rsidR="00A75B55" w:rsidRPr="002E5630">
        <w:tab/>
      </w:r>
      <w:r w:rsidR="00A75B55" w:rsidRPr="002E5630">
        <w:rPr>
          <w:i/>
        </w:rPr>
        <w:t>Also invites</w:t>
      </w:r>
      <w:r w:rsidR="00A75B55" w:rsidRPr="002E5630">
        <w:t xml:space="preserve"> Parties to cooperate in order to enhance the capacity of developing country Parties to implement the Convention and the Paris Agreement, and </w:t>
      </w:r>
      <w:r w:rsidR="00A75B55" w:rsidRPr="002E5630">
        <w:rPr>
          <w:i/>
        </w:rPr>
        <w:t>further invites</w:t>
      </w:r>
      <w:r w:rsidR="00A75B55" w:rsidRPr="002E5630">
        <w:t xml:space="preserve"> developed country Parties to enhance support for capacity-building actions in developing country Parties;</w:t>
      </w:r>
    </w:p>
    <w:p w:rsidR="00A75B55" w:rsidRPr="002E5630" w:rsidRDefault="00663684" w:rsidP="00663684">
      <w:pPr>
        <w:pStyle w:val="RegSingleTxtG"/>
        <w:numPr>
          <w:ilvl w:val="0"/>
          <w:numId w:val="0"/>
        </w:numPr>
        <w:tabs>
          <w:tab w:val="left" w:pos="568"/>
        </w:tabs>
        <w:ind w:left="1135"/>
      </w:pPr>
      <w:r w:rsidRPr="002E5630">
        <w:t>8.</w:t>
      </w:r>
      <w:r w:rsidRPr="002E5630">
        <w:tab/>
      </w:r>
      <w:r w:rsidR="00A75B55" w:rsidRPr="002E5630">
        <w:rPr>
          <w:i/>
        </w:rPr>
        <w:tab/>
      </w:r>
      <w:r w:rsidR="004E13D8">
        <w:rPr>
          <w:i/>
        </w:rPr>
        <w:t>Further i</w:t>
      </w:r>
      <w:r w:rsidR="00A75B55" w:rsidRPr="002E5630">
        <w:rPr>
          <w:i/>
        </w:rPr>
        <w:t>nvites</w:t>
      </w:r>
      <w:r w:rsidR="00A75B55" w:rsidRPr="002E5630">
        <w:t xml:space="preserve"> relevant intergovernmental and non-governmental organizations, as well as the private sector, academia and other stakeholders, to continue incorporating into their work programmes the scope of needs referred to in paragraph 1 above as contained in decision 2/CP.7;</w:t>
      </w:r>
      <w:r w:rsidR="004E13D8">
        <w:t xml:space="preserve"> </w:t>
      </w:r>
    </w:p>
    <w:p w:rsidR="00A75B55" w:rsidRDefault="00663684" w:rsidP="00663684">
      <w:pPr>
        <w:pStyle w:val="RegSingleTxtG"/>
        <w:numPr>
          <w:ilvl w:val="0"/>
          <w:numId w:val="0"/>
        </w:numPr>
        <w:tabs>
          <w:tab w:val="left" w:pos="568"/>
        </w:tabs>
        <w:ind w:left="1135"/>
      </w:pPr>
      <w:r>
        <w:t>9.</w:t>
      </w:r>
      <w:r>
        <w:tab/>
      </w:r>
      <w:r w:rsidR="00A75B55" w:rsidRPr="002E5630">
        <w:tab/>
      </w:r>
      <w:r w:rsidR="00A75B55" w:rsidRPr="002E5630">
        <w:rPr>
          <w:i/>
        </w:rPr>
        <w:t>Invites</w:t>
      </w:r>
      <w:r w:rsidR="00A75B55" w:rsidRPr="002E5630">
        <w:t xml:space="preserve"> United Nations agencies, multilateral organizations and relevant admitted observer organizations engaged in providing capacity-building support to developing countries to provide information to the secretariat to be uploaded on the capacity-building portal;</w:t>
      </w:r>
      <w:r w:rsidR="00A75B55" w:rsidRPr="002E5630">
        <w:rPr>
          <w:rStyle w:val="FootnoteReference"/>
        </w:rPr>
        <w:footnoteReference w:id="9"/>
      </w:r>
    </w:p>
    <w:p w:rsidR="00A75B55" w:rsidRDefault="00663684" w:rsidP="00663684">
      <w:pPr>
        <w:pStyle w:val="RegSingleTxtG"/>
        <w:numPr>
          <w:ilvl w:val="0"/>
          <w:numId w:val="0"/>
        </w:numPr>
        <w:tabs>
          <w:tab w:val="left" w:pos="568"/>
        </w:tabs>
        <w:ind w:left="1135"/>
      </w:pPr>
      <w:r>
        <w:t>10.</w:t>
      </w:r>
      <w:r>
        <w:tab/>
      </w:r>
      <w:r w:rsidR="00A75B55">
        <w:rPr>
          <w:i/>
        </w:rPr>
        <w:tab/>
        <w:t xml:space="preserve">Also invites </w:t>
      </w:r>
      <w:r w:rsidR="00A75B55">
        <w:t>Parties to submit, by 9 March 2017, their views on potential topics for the 6</w:t>
      </w:r>
      <w:r w:rsidR="00A75B55" w:rsidRPr="005B4227">
        <w:rPr>
          <w:vertAlign w:val="superscript"/>
        </w:rPr>
        <w:t>th</w:t>
      </w:r>
      <w:r w:rsidR="00A75B55">
        <w:t xml:space="preserve"> meeting of the Durban Forum;</w:t>
      </w:r>
      <w:r w:rsidR="00A75B55" w:rsidRPr="0019018E">
        <w:rPr>
          <w:rStyle w:val="FootnoteReference"/>
        </w:rPr>
        <w:t xml:space="preserve"> </w:t>
      </w:r>
      <w:r w:rsidR="00A75B55">
        <w:rPr>
          <w:rStyle w:val="FootnoteReference"/>
        </w:rPr>
        <w:footnoteReference w:id="10"/>
      </w:r>
    </w:p>
    <w:p w:rsidR="00A75B55" w:rsidRDefault="00663684" w:rsidP="00663684">
      <w:pPr>
        <w:pStyle w:val="RegSingleTxtG"/>
        <w:numPr>
          <w:ilvl w:val="0"/>
          <w:numId w:val="0"/>
        </w:numPr>
        <w:tabs>
          <w:tab w:val="left" w:pos="568"/>
        </w:tabs>
        <w:ind w:left="1135"/>
      </w:pPr>
      <w:r>
        <w:t>11.</w:t>
      </w:r>
      <w:r>
        <w:tab/>
      </w:r>
      <w:r w:rsidR="00A75B55">
        <w:rPr>
          <w:i/>
        </w:rPr>
        <w:tab/>
        <w:t xml:space="preserve">Further invites </w:t>
      </w:r>
      <w:r w:rsidR="00A75B55">
        <w:t>Parties to submit, by 9 March 2017, their views on the fourth review of the implementation of the framework for capacity-building in countries with economies in transition, to be conducted at the forty-sixth session of the Subsidiary Body for Implementation (May 2017) and concluded at the twenty-third session of the Conference of the Parties (November 2017);</w:t>
      </w:r>
      <w:r w:rsidR="00A75B55" w:rsidRPr="0019018E">
        <w:rPr>
          <w:rStyle w:val="FootnoteReference"/>
        </w:rPr>
        <w:t xml:space="preserve"> </w:t>
      </w:r>
      <w:r w:rsidR="00A75B55">
        <w:rPr>
          <w:rStyle w:val="FootnoteReference"/>
        </w:rPr>
        <w:footnoteReference w:id="11"/>
      </w:r>
      <w:r w:rsidR="00A75B55">
        <w:t xml:space="preserve"> </w:t>
      </w:r>
    </w:p>
    <w:p w:rsidR="00A75B55" w:rsidRPr="0085535E" w:rsidRDefault="00663684" w:rsidP="00663684">
      <w:pPr>
        <w:pStyle w:val="RegSingleTxtG"/>
        <w:numPr>
          <w:ilvl w:val="0"/>
          <w:numId w:val="0"/>
        </w:numPr>
        <w:tabs>
          <w:tab w:val="left" w:pos="568"/>
        </w:tabs>
        <w:ind w:left="1135"/>
      </w:pPr>
      <w:r w:rsidRPr="0085535E">
        <w:lastRenderedPageBreak/>
        <w:t>12.</w:t>
      </w:r>
      <w:r w:rsidRPr="0085535E">
        <w:tab/>
      </w:r>
      <w:r w:rsidR="00A75B55" w:rsidRPr="0085535E">
        <w:tab/>
      </w:r>
      <w:r w:rsidR="00A75B55" w:rsidRPr="00C4403B">
        <w:rPr>
          <w:i/>
        </w:rPr>
        <w:t xml:space="preserve">Decides </w:t>
      </w:r>
      <w:r w:rsidR="00A75B55" w:rsidRPr="00C4403B">
        <w:t xml:space="preserve">to conclude the third comprehensive review of the implementation of the framework for capacity-building in developing countries </w:t>
      </w:r>
      <w:r w:rsidR="00A75B55">
        <w:t xml:space="preserve">under the Convention </w:t>
      </w:r>
      <w:r w:rsidR="00A75B55" w:rsidRPr="00C4403B">
        <w:t xml:space="preserve">and to initiate the fourth comprehensive review </w:t>
      </w:r>
      <w:r w:rsidR="00A75B55">
        <w:t xml:space="preserve">thereof </w:t>
      </w:r>
      <w:r w:rsidR="00A75B55" w:rsidRPr="00C4403B">
        <w:t>at the fiftieth session of the Subsidiary Body for Implementation (June 2019)</w:t>
      </w:r>
      <w:r w:rsidR="00A75B55">
        <w:t>,</w:t>
      </w:r>
      <w:r w:rsidR="00A75B55" w:rsidRPr="00C4403B">
        <w:t xml:space="preserve"> with a view to completing th</w:t>
      </w:r>
      <w:r w:rsidR="00A75B55">
        <w:t>at</w:t>
      </w:r>
      <w:r w:rsidR="00A75B55" w:rsidRPr="00C4403B">
        <w:t xml:space="preserve"> review at the twenty-fifth session of the Conference of the Parties (November 2019);</w:t>
      </w:r>
    </w:p>
    <w:p w:rsidR="00A75B55" w:rsidRDefault="00663684" w:rsidP="00663684">
      <w:pPr>
        <w:pStyle w:val="RegSingleTxtG"/>
        <w:numPr>
          <w:ilvl w:val="0"/>
          <w:numId w:val="0"/>
        </w:numPr>
        <w:tabs>
          <w:tab w:val="left" w:pos="568"/>
        </w:tabs>
        <w:ind w:left="1135"/>
      </w:pPr>
      <w:r>
        <w:t>13.</w:t>
      </w:r>
      <w:r>
        <w:tab/>
      </w:r>
      <w:r w:rsidR="00A75B55">
        <w:tab/>
      </w:r>
      <w:r w:rsidR="00A75B55" w:rsidRPr="005D660A">
        <w:rPr>
          <w:i/>
        </w:rPr>
        <w:t>Takes note</w:t>
      </w:r>
      <w:r w:rsidR="00A75B55">
        <w:t xml:space="preserve"> of the budgetary implications of the activities to be undertaken by the secretariat pursuant to the provisions contained in paragraph 4</w:t>
      </w:r>
      <w:r w:rsidR="00A75B55" w:rsidDel="00F756FC">
        <w:t xml:space="preserve"> </w:t>
      </w:r>
      <w:r w:rsidR="00A75B55">
        <w:t>above;</w:t>
      </w:r>
    </w:p>
    <w:p w:rsidR="00A75B55" w:rsidRPr="00772B9C" w:rsidRDefault="00663684" w:rsidP="00663684">
      <w:pPr>
        <w:pStyle w:val="RegSingleTxtG"/>
        <w:numPr>
          <w:ilvl w:val="0"/>
          <w:numId w:val="0"/>
        </w:numPr>
        <w:tabs>
          <w:tab w:val="left" w:pos="568"/>
        </w:tabs>
        <w:ind w:left="1135"/>
      </w:pPr>
      <w:r w:rsidRPr="00772B9C">
        <w:t>14.</w:t>
      </w:r>
      <w:r w:rsidRPr="00772B9C">
        <w:tab/>
      </w:r>
      <w:r w:rsidR="00A75B55">
        <w:tab/>
      </w:r>
      <w:r w:rsidR="00A75B55" w:rsidRPr="005D660A">
        <w:rPr>
          <w:i/>
        </w:rPr>
        <w:t>Requests</w:t>
      </w:r>
      <w:r w:rsidR="00A75B55">
        <w:t xml:space="preserve"> that the actions of the secretariat called for in this decision be undertaken subject to the availability of financial resources.</w:t>
      </w:r>
    </w:p>
    <w:p w:rsidR="00A75B55" w:rsidRPr="00A470FF" w:rsidRDefault="00A75B55" w:rsidP="00A75B55">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A75B55" w:rsidRDefault="00A75B55" w:rsidP="00A75B55">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A75B55" w:rsidRDefault="00A75B55" w:rsidP="00A75B55">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A75B55" w:rsidSect="007F4962">
          <w:headerReference w:type="even" r:id="rId21"/>
          <w:headerReference w:type="default" r:id="rId22"/>
          <w:footnotePr>
            <w:numRestart w:val="eachSect"/>
          </w:footnotePr>
          <w:pgSz w:w="11906" w:h="16838" w:code="9"/>
          <w:pgMar w:top="1701" w:right="1134" w:bottom="2268" w:left="1134" w:header="1134" w:footer="1701" w:gutter="0"/>
          <w:cols w:space="708"/>
          <w:docGrid w:linePitch="360"/>
        </w:sectPr>
      </w:pPr>
    </w:p>
    <w:p w:rsidR="00D55F9D" w:rsidRPr="00D55F9D" w:rsidRDefault="00D55F9D" w:rsidP="00D55F9D">
      <w:pPr>
        <w:pStyle w:val="HChG"/>
        <w:ind w:firstLine="0"/>
        <w:rPr>
          <w:bCs/>
        </w:rPr>
      </w:pPr>
      <w:r w:rsidRPr="00D55F9D">
        <w:rPr>
          <w:bCs/>
        </w:rPr>
        <w:lastRenderedPageBreak/>
        <w:t>Decision 1</w:t>
      </w:r>
      <w:r w:rsidR="00A75B55">
        <w:rPr>
          <w:bCs/>
        </w:rPr>
        <w:t>7</w:t>
      </w:r>
      <w:r w:rsidRPr="00D55F9D">
        <w:rPr>
          <w:bCs/>
        </w:rPr>
        <w:t>/CP.22</w:t>
      </w:r>
    </w:p>
    <w:p w:rsidR="00D55F9D" w:rsidRDefault="00D55F9D" w:rsidP="00384210">
      <w:pPr>
        <w:pStyle w:val="HChG"/>
      </w:pPr>
      <w:r>
        <w:tab/>
      </w:r>
      <w:r>
        <w:tab/>
        <w:t>Improving the effectiveness of the Doha work programme on Article 6 of the Convention</w:t>
      </w:r>
    </w:p>
    <w:p w:rsidR="00CD2B0C" w:rsidRPr="000754FC" w:rsidRDefault="00CD2B0C" w:rsidP="00384210">
      <w:pPr>
        <w:spacing w:before="120"/>
        <w:ind w:left="1134" w:right="1174" w:firstLine="567"/>
        <w:jc w:val="both"/>
        <w:rPr>
          <w:i/>
        </w:rPr>
      </w:pPr>
      <w:r w:rsidRPr="000754FC">
        <w:rPr>
          <w:i/>
        </w:rPr>
        <w:t>The Conference of the Parties</w:t>
      </w:r>
      <w:r w:rsidRPr="003F5A5B">
        <w:t>,</w:t>
      </w:r>
    </w:p>
    <w:p w:rsidR="00CD2B0C" w:rsidRDefault="00CD2B0C" w:rsidP="00384210">
      <w:pPr>
        <w:spacing w:before="120"/>
        <w:ind w:left="1134" w:right="1174" w:firstLine="567"/>
        <w:jc w:val="both"/>
      </w:pPr>
      <w:r w:rsidRPr="000754FC">
        <w:rPr>
          <w:i/>
        </w:rPr>
        <w:t>Recalling</w:t>
      </w:r>
      <w:r>
        <w:t xml:space="preserve"> </w:t>
      </w:r>
      <w:r w:rsidRPr="004E77DD">
        <w:t>Articles 4 and 6 of the Convention</w:t>
      </w:r>
      <w:r>
        <w:t>,</w:t>
      </w:r>
    </w:p>
    <w:p w:rsidR="00CD2B0C" w:rsidRDefault="00CD2B0C" w:rsidP="00384210">
      <w:pPr>
        <w:spacing w:before="120"/>
        <w:ind w:left="1134" w:right="1174" w:firstLine="567"/>
        <w:jc w:val="both"/>
      </w:pPr>
      <w:r w:rsidRPr="004E77DD">
        <w:rPr>
          <w:i/>
        </w:rPr>
        <w:t>Also recalling</w:t>
      </w:r>
      <w:r w:rsidRPr="004E77DD">
        <w:t xml:space="preserve"> decisions 15/CP.18, 19/CP.20 and 15/CP.21</w:t>
      </w:r>
      <w:r>
        <w:t>,</w:t>
      </w:r>
    </w:p>
    <w:p w:rsidR="00CD2B0C" w:rsidRDefault="00CD2B0C" w:rsidP="00384210">
      <w:pPr>
        <w:spacing w:before="120"/>
        <w:ind w:left="1134" w:right="1174" w:firstLine="567"/>
        <w:jc w:val="both"/>
      </w:pPr>
      <w:r w:rsidRPr="004E77DD">
        <w:rPr>
          <w:i/>
        </w:rPr>
        <w:t>Further recalling</w:t>
      </w:r>
      <w:r w:rsidRPr="004E77DD">
        <w:t xml:space="preserve"> Article 12 of the Paris Agreement, which states that Parties shall cooperate in taking measures, as appropriate, to enhance climate change education, training, public awareness, public participation and public access to information, recognizing the importance of these steps with respect to enhancing climate change adaptation and mitigation actions under the Agreement</w:t>
      </w:r>
      <w:r>
        <w:t>,</w:t>
      </w:r>
    </w:p>
    <w:p w:rsidR="00CD2B0C" w:rsidRDefault="00CD2B0C" w:rsidP="00384210">
      <w:pPr>
        <w:spacing w:before="120"/>
        <w:ind w:left="1134" w:right="1174" w:firstLine="567"/>
        <w:jc w:val="both"/>
      </w:pPr>
      <w:r w:rsidRPr="004E77DD">
        <w:rPr>
          <w:i/>
        </w:rPr>
        <w:t>Recognizing</w:t>
      </w:r>
      <w:r w:rsidRPr="004E77DD">
        <w:t xml:space="preserve"> </w:t>
      </w:r>
      <w:r w:rsidRPr="00B54A95">
        <w:t xml:space="preserve">that ensuring the availability of sufficient financial and technical resources continues to be a challenge for the adequate implementation of Article 6 of the Convention for all Parties, </w:t>
      </w:r>
      <w:r>
        <w:t xml:space="preserve">particularly </w:t>
      </w:r>
      <w:r w:rsidRPr="00B54A95">
        <w:t>developing countr</w:t>
      </w:r>
      <w:r>
        <w:t>y Parties,</w:t>
      </w:r>
    </w:p>
    <w:p w:rsidR="00CD2B0C" w:rsidRDefault="00CD2B0C" w:rsidP="00384210">
      <w:pPr>
        <w:spacing w:before="120"/>
        <w:ind w:left="1134" w:right="1174" w:firstLine="567"/>
        <w:jc w:val="both"/>
      </w:pPr>
      <w:r w:rsidRPr="004E77DD">
        <w:rPr>
          <w:i/>
        </w:rPr>
        <w:t>Reaffirming</w:t>
      </w:r>
      <w:r w:rsidRPr="004E77DD">
        <w:t xml:space="preserve"> the key role that youth, women and civil</w:t>
      </w:r>
      <w:r>
        <w:t xml:space="preserve"> </w:t>
      </w:r>
      <w:r w:rsidRPr="004E77DD">
        <w:t>society organizations play in the implementation of Article 6 of the Convention</w:t>
      </w:r>
      <w:r>
        <w:t>,</w:t>
      </w:r>
    </w:p>
    <w:p w:rsidR="00CD2B0C" w:rsidRDefault="00CD2B0C" w:rsidP="00384210">
      <w:pPr>
        <w:spacing w:before="120"/>
        <w:ind w:left="1134" w:right="1174" w:firstLine="567"/>
        <w:jc w:val="both"/>
      </w:pPr>
      <w:r w:rsidRPr="004E77DD">
        <w:rPr>
          <w:i/>
        </w:rPr>
        <w:t>Acknowledging</w:t>
      </w:r>
      <w:r w:rsidRPr="004E77DD">
        <w:t xml:space="preserve"> the valuable support provided by international organizations, including the members of the United Nations Alliance on Climate Change Education, Training and Public Awareness, in strengthening international cooperation to scale up all elements of Article 6 of the Convention, including through the implementation of regional, national and local projects</w:t>
      </w:r>
      <w:r>
        <w:t>,</w:t>
      </w:r>
    </w:p>
    <w:p w:rsidR="00CD2B0C" w:rsidRDefault="00CD2B0C" w:rsidP="00384210">
      <w:pPr>
        <w:spacing w:before="120" w:after="120"/>
        <w:ind w:left="1134" w:right="1174" w:firstLine="567"/>
        <w:jc w:val="both"/>
      </w:pPr>
      <w:r w:rsidRPr="00374881">
        <w:rPr>
          <w:i/>
        </w:rPr>
        <w:t>Having completed</w:t>
      </w:r>
      <w:r>
        <w:t xml:space="preserve"> </w:t>
      </w:r>
      <w:r w:rsidRPr="00374881">
        <w:t>the intermediate review of the Doha work programme on Article 6 of the Convention</w:t>
      </w:r>
      <w:r>
        <w:t>,</w:t>
      </w:r>
    </w:p>
    <w:p w:rsidR="00CD2B0C" w:rsidRDefault="00663684" w:rsidP="00663684">
      <w:pPr>
        <w:pStyle w:val="RegSingleTxtG"/>
        <w:numPr>
          <w:ilvl w:val="0"/>
          <w:numId w:val="0"/>
        </w:numPr>
        <w:tabs>
          <w:tab w:val="left" w:pos="568"/>
        </w:tabs>
        <w:spacing w:before="120"/>
        <w:ind w:left="1135"/>
      </w:pPr>
      <w:r>
        <w:t>1.</w:t>
      </w:r>
      <w:r>
        <w:tab/>
      </w:r>
      <w:r w:rsidR="00CD2B0C" w:rsidRPr="00E90D8B">
        <w:rPr>
          <w:i/>
        </w:rPr>
        <w:t>Recognizes</w:t>
      </w:r>
      <w:r w:rsidR="00CD2B0C">
        <w:t xml:space="preserve"> </w:t>
      </w:r>
      <w:r w:rsidR="00CD2B0C" w:rsidRPr="004E77DD">
        <w:t>that progress has been made by Parties and other relevant stakeholders in planning, coordinating and implementing climate change education, training, public awareness, public participation and public access to information, as well as international cooperation on these matters</w:t>
      </w:r>
      <w:r w:rsidR="00CD2B0C">
        <w:t xml:space="preserve">; </w:t>
      </w:r>
    </w:p>
    <w:p w:rsidR="00CD2B0C" w:rsidRDefault="00663684" w:rsidP="00663684">
      <w:pPr>
        <w:pStyle w:val="RegSingleTxtG"/>
        <w:numPr>
          <w:ilvl w:val="0"/>
          <w:numId w:val="0"/>
        </w:numPr>
        <w:tabs>
          <w:tab w:val="left" w:pos="568"/>
        </w:tabs>
        <w:ind w:left="1135"/>
      </w:pPr>
      <w:r>
        <w:t>2.</w:t>
      </w:r>
      <w:r>
        <w:tab/>
      </w:r>
      <w:r w:rsidR="00CD2B0C">
        <w:rPr>
          <w:i/>
        </w:rPr>
        <w:t>Encourages</w:t>
      </w:r>
      <w:r w:rsidR="00CD2B0C" w:rsidRPr="00810775">
        <w:t xml:space="preserve"> </w:t>
      </w:r>
      <w:r w:rsidR="00CD2B0C" w:rsidRPr="004E77DD">
        <w:t>Parties to continue to promote the systematic integration of gender-sensitive and participatory education, training, public awareness, public participation and public access to information into all mitigation and adaptation activities implemented under the Convention, as well as under the Paris Agreement, including into the implementation of their nationally determined contributions and the formulation of long-term low greenhouse gas emission development strategies</w:t>
      </w:r>
      <w:r w:rsidR="00CD2B0C">
        <w:t>;</w:t>
      </w:r>
    </w:p>
    <w:p w:rsidR="00CD2B0C" w:rsidRDefault="00663684" w:rsidP="00663684">
      <w:pPr>
        <w:pStyle w:val="RegSingleTxtG"/>
        <w:numPr>
          <w:ilvl w:val="0"/>
          <w:numId w:val="0"/>
        </w:numPr>
        <w:tabs>
          <w:tab w:val="left" w:pos="568"/>
        </w:tabs>
        <w:ind w:left="1135"/>
      </w:pPr>
      <w:r>
        <w:t>3.</w:t>
      </w:r>
      <w:r>
        <w:tab/>
      </w:r>
      <w:r w:rsidR="00CD2B0C" w:rsidRPr="004E77DD">
        <w:rPr>
          <w:i/>
        </w:rPr>
        <w:t>Also encourages</w:t>
      </w:r>
      <w:r w:rsidR="00CD2B0C">
        <w:t xml:space="preserve"> </w:t>
      </w:r>
      <w:r w:rsidR="00CD2B0C" w:rsidRPr="004E77DD">
        <w:t>Parties to foster the participation of relevant stakeholders in all mitigation and adaptation activities implemented under the Convention</w:t>
      </w:r>
      <w:r w:rsidR="00CD2B0C">
        <w:t>;</w:t>
      </w:r>
    </w:p>
    <w:p w:rsidR="00CD2B0C" w:rsidRDefault="00663684" w:rsidP="00663684">
      <w:pPr>
        <w:pStyle w:val="RegSingleTxtG"/>
        <w:numPr>
          <w:ilvl w:val="0"/>
          <w:numId w:val="0"/>
        </w:numPr>
        <w:tabs>
          <w:tab w:val="left" w:pos="568"/>
        </w:tabs>
        <w:ind w:left="1135"/>
      </w:pPr>
      <w:r>
        <w:t>4.</w:t>
      </w:r>
      <w:r>
        <w:tab/>
      </w:r>
      <w:r w:rsidR="00CD2B0C" w:rsidRPr="004E77DD">
        <w:rPr>
          <w:i/>
        </w:rPr>
        <w:t>Urges</w:t>
      </w:r>
      <w:r w:rsidR="00CD2B0C">
        <w:t xml:space="preserve"> </w:t>
      </w:r>
      <w:r w:rsidR="00CD2B0C" w:rsidRPr="004E77DD">
        <w:t>Parties, intergovernmental organizations, non-governmental organizations, academia, research institutions, the private sector, state and local governments and youth to continue to implement policies and activities pursuant to Article 6 of the Convention</w:t>
      </w:r>
      <w:r w:rsidR="00CD2B0C">
        <w:t>;</w:t>
      </w:r>
    </w:p>
    <w:p w:rsidR="00CD2B0C" w:rsidRDefault="00663684" w:rsidP="00663684">
      <w:pPr>
        <w:pStyle w:val="RegSingleTxtG"/>
        <w:numPr>
          <w:ilvl w:val="0"/>
          <w:numId w:val="0"/>
        </w:numPr>
        <w:tabs>
          <w:tab w:val="left" w:pos="568"/>
        </w:tabs>
        <w:ind w:left="1135"/>
      </w:pPr>
      <w:r>
        <w:t>5.</w:t>
      </w:r>
      <w:r>
        <w:tab/>
      </w:r>
      <w:r w:rsidR="00CD2B0C" w:rsidRPr="004E77DD">
        <w:rPr>
          <w:i/>
        </w:rPr>
        <w:t>Invites</w:t>
      </w:r>
      <w:r w:rsidR="00CD2B0C">
        <w:t xml:space="preserve"> </w:t>
      </w:r>
      <w:r w:rsidR="00CD2B0C" w:rsidRPr="004E77DD">
        <w:t>Parties to enhance cross-sectoral coordination among all ministries dealing with climate change and ministries with responsibilities for education, training, public awareness and international cooperation</w:t>
      </w:r>
      <w:r w:rsidR="00CD2B0C">
        <w:t>;</w:t>
      </w:r>
    </w:p>
    <w:p w:rsidR="00CD2B0C" w:rsidRDefault="00663684" w:rsidP="00663684">
      <w:pPr>
        <w:pStyle w:val="RegSingleTxtG"/>
        <w:numPr>
          <w:ilvl w:val="0"/>
          <w:numId w:val="0"/>
        </w:numPr>
        <w:tabs>
          <w:tab w:val="left" w:pos="568"/>
        </w:tabs>
        <w:ind w:left="1135"/>
      </w:pPr>
      <w:r>
        <w:lastRenderedPageBreak/>
        <w:t>6.</w:t>
      </w:r>
      <w:r>
        <w:tab/>
      </w:r>
      <w:r w:rsidR="00CD2B0C" w:rsidRPr="004E77DD">
        <w:rPr>
          <w:i/>
        </w:rPr>
        <w:t>Encourages</w:t>
      </w:r>
      <w:r w:rsidR="00CD2B0C">
        <w:t xml:space="preserve"> </w:t>
      </w:r>
      <w:r w:rsidR="00CD2B0C" w:rsidRPr="004E77DD">
        <w:t xml:space="preserve">Parties to submit information as part of their national communications, and where possible </w:t>
      </w:r>
      <w:r w:rsidR="00CD2B0C">
        <w:t>in other reporting under the Convention</w:t>
      </w:r>
      <w:r w:rsidR="00CD2B0C" w:rsidRPr="004E77DD">
        <w:t xml:space="preserve">, on their actions taken to implement the Doha work programme on Article 6 of the Convention and to share their experiences and best practices for the purpose of reviewing the Doha work programme in 2020, noting that the six elements of Article 6 of the Convention provide a useful guide for </w:t>
      </w:r>
      <w:r w:rsidR="00CD2B0C">
        <w:t>such</w:t>
      </w:r>
      <w:r w:rsidR="00CD2B0C" w:rsidRPr="004E77DD">
        <w:t xml:space="preserve"> reporting</w:t>
      </w:r>
      <w:r w:rsidR="00CD2B0C">
        <w:t>;</w:t>
      </w:r>
    </w:p>
    <w:p w:rsidR="00CD2B0C" w:rsidRDefault="00663684" w:rsidP="00663684">
      <w:pPr>
        <w:pStyle w:val="RegSingleTxtG"/>
        <w:numPr>
          <w:ilvl w:val="0"/>
          <w:numId w:val="0"/>
        </w:numPr>
        <w:tabs>
          <w:tab w:val="left" w:pos="568"/>
        </w:tabs>
        <w:ind w:left="1135"/>
      </w:pPr>
      <w:r>
        <w:t>7.</w:t>
      </w:r>
      <w:r>
        <w:tab/>
      </w:r>
      <w:r w:rsidR="00CD2B0C">
        <w:rPr>
          <w:i/>
        </w:rPr>
        <w:t>Also e</w:t>
      </w:r>
      <w:r w:rsidR="00CD2B0C" w:rsidRPr="00714AA6">
        <w:rPr>
          <w:i/>
        </w:rPr>
        <w:t>ncourages</w:t>
      </w:r>
      <w:r w:rsidR="00CD2B0C">
        <w:t xml:space="preserve"> </w:t>
      </w:r>
      <w:r w:rsidR="00CD2B0C" w:rsidRPr="00714AA6">
        <w:t>Parties that have not already done so to designate a national focal point for Article 6 of the Convention and to inform the secretariat accordingly</w:t>
      </w:r>
      <w:r w:rsidR="00CD2B0C">
        <w:t>;</w:t>
      </w:r>
    </w:p>
    <w:p w:rsidR="00CD2B0C" w:rsidRDefault="00663684" w:rsidP="00663684">
      <w:pPr>
        <w:pStyle w:val="RegSingleTxtG"/>
        <w:numPr>
          <w:ilvl w:val="0"/>
          <w:numId w:val="0"/>
        </w:numPr>
        <w:tabs>
          <w:tab w:val="left" w:pos="568"/>
        </w:tabs>
        <w:ind w:left="1135"/>
      </w:pPr>
      <w:r>
        <w:t>8.</w:t>
      </w:r>
      <w:r>
        <w:tab/>
      </w:r>
      <w:r w:rsidR="00CD2B0C" w:rsidRPr="00714AA6">
        <w:rPr>
          <w:i/>
        </w:rPr>
        <w:t>Welcomes</w:t>
      </w:r>
      <w:r w:rsidR="00CD2B0C">
        <w:t xml:space="preserve"> </w:t>
      </w:r>
      <w:r w:rsidR="00CD2B0C" w:rsidRPr="00714AA6">
        <w:t xml:space="preserve">the initiative of the Government of Morocco, as the host of </w:t>
      </w:r>
      <w:r w:rsidR="00CD2B0C">
        <w:t>the twenty-second session of the Conference of the Parties and the</w:t>
      </w:r>
      <w:r w:rsidR="00CD2B0C" w:rsidRPr="00714AA6">
        <w:t xml:space="preserve"> </w:t>
      </w:r>
      <w:r w:rsidR="00CD2B0C">
        <w:t xml:space="preserve">twelfth session of the Conference of the Parties serving as the meeting of the Parties to the Kyoto Protocol, </w:t>
      </w:r>
      <w:r w:rsidR="00CD2B0C" w:rsidRPr="00714AA6">
        <w:t>to organize an education day</w:t>
      </w:r>
      <w:r w:rsidR="00CD2B0C">
        <w:t xml:space="preserve"> during those sessions;</w:t>
      </w:r>
    </w:p>
    <w:p w:rsidR="00CD2B0C" w:rsidRDefault="00663684" w:rsidP="00663684">
      <w:pPr>
        <w:pStyle w:val="RegSingleTxtG"/>
        <w:numPr>
          <w:ilvl w:val="0"/>
          <w:numId w:val="0"/>
        </w:numPr>
        <w:tabs>
          <w:tab w:val="left" w:pos="568"/>
        </w:tabs>
        <w:ind w:left="1135"/>
      </w:pPr>
      <w:r>
        <w:t>9.</w:t>
      </w:r>
      <w:r>
        <w:tab/>
      </w:r>
      <w:r w:rsidR="00CD2B0C" w:rsidRPr="00714AA6">
        <w:t xml:space="preserve"> </w:t>
      </w:r>
      <w:r w:rsidR="00CD2B0C" w:rsidRPr="00222E7D">
        <w:rPr>
          <w:i/>
        </w:rPr>
        <w:t xml:space="preserve">Encourages </w:t>
      </w:r>
      <w:r w:rsidR="00CD2B0C">
        <w:t>the p</w:t>
      </w:r>
      <w:r w:rsidR="00CD2B0C" w:rsidRPr="00714AA6">
        <w:t xml:space="preserve">residencies </w:t>
      </w:r>
      <w:r w:rsidR="00CD2B0C">
        <w:t xml:space="preserve">of subsequent sessions </w:t>
      </w:r>
      <w:r w:rsidR="00CD2B0C" w:rsidRPr="00714AA6">
        <w:t>to hold similar thematic events related to Article 6 of the Convention</w:t>
      </w:r>
      <w:r w:rsidR="00CD2B0C">
        <w:t xml:space="preserve"> to that referred to in paragraph 8 above;</w:t>
      </w:r>
    </w:p>
    <w:p w:rsidR="00CD2B0C" w:rsidRDefault="00663684" w:rsidP="00663684">
      <w:pPr>
        <w:pStyle w:val="RegSingleTxtG"/>
        <w:numPr>
          <w:ilvl w:val="0"/>
          <w:numId w:val="0"/>
        </w:numPr>
        <w:tabs>
          <w:tab w:val="left" w:pos="568"/>
        </w:tabs>
        <w:ind w:left="1135"/>
      </w:pPr>
      <w:r>
        <w:t>10.</w:t>
      </w:r>
      <w:r>
        <w:tab/>
      </w:r>
      <w:r w:rsidR="00CD2B0C" w:rsidRPr="00714AA6">
        <w:rPr>
          <w:i/>
        </w:rPr>
        <w:t>Invites</w:t>
      </w:r>
      <w:r w:rsidR="00CD2B0C">
        <w:t xml:space="preserve"> </w:t>
      </w:r>
      <w:r w:rsidR="00CD2B0C" w:rsidRPr="00714AA6">
        <w:t>multilateral and bilateral institutions and organizations, including operating entities of the Financial Mechanism, to provide, or to continue to provide, financial resources to support activities related to the implementation of Article 6 of the Convention</w:t>
      </w:r>
      <w:r w:rsidR="00CD2B0C">
        <w:t>;</w:t>
      </w:r>
    </w:p>
    <w:p w:rsidR="00CD2B0C" w:rsidRDefault="00663684" w:rsidP="00663684">
      <w:pPr>
        <w:pStyle w:val="RegSingleTxtG"/>
        <w:numPr>
          <w:ilvl w:val="0"/>
          <w:numId w:val="0"/>
        </w:numPr>
        <w:tabs>
          <w:tab w:val="left" w:pos="568"/>
        </w:tabs>
        <w:ind w:left="1135"/>
      </w:pPr>
      <w:r>
        <w:t>11.</w:t>
      </w:r>
      <w:r>
        <w:tab/>
      </w:r>
      <w:r w:rsidR="00CD2B0C" w:rsidRPr="00714AA6">
        <w:rPr>
          <w:i/>
        </w:rPr>
        <w:t>Requests</w:t>
      </w:r>
      <w:r w:rsidR="00CD2B0C">
        <w:t xml:space="preserve"> </w:t>
      </w:r>
      <w:r w:rsidR="00CD2B0C" w:rsidRPr="00714AA6">
        <w:t>the Global Environment Facility to continue to provide financial resources to Parties not included in Annex I to the Convention, in particular African countries, the least developed countries and small island developing States, in order to support activities related to the implementation of Article 6 of the Convention</w:t>
      </w:r>
      <w:r w:rsidR="00CD2B0C">
        <w:t>;</w:t>
      </w:r>
    </w:p>
    <w:p w:rsidR="00CD2B0C" w:rsidRDefault="00663684" w:rsidP="00663684">
      <w:pPr>
        <w:pStyle w:val="RegSingleTxtG"/>
        <w:numPr>
          <w:ilvl w:val="0"/>
          <w:numId w:val="0"/>
        </w:numPr>
        <w:tabs>
          <w:tab w:val="left" w:pos="568"/>
        </w:tabs>
        <w:ind w:left="1135"/>
      </w:pPr>
      <w:r>
        <w:t>12.</w:t>
      </w:r>
      <w:r>
        <w:tab/>
      </w:r>
      <w:r w:rsidR="00CD2B0C" w:rsidRPr="00714AA6">
        <w:rPr>
          <w:i/>
        </w:rPr>
        <w:t>Invites</w:t>
      </w:r>
      <w:r w:rsidR="00CD2B0C">
        <w:t xml:space="preserve"> </w:t>
      </w:r>
      <w:r w:rsidR="00CD2B0C" w:rsidRPr="00714AA6">
        <w:t xml:space="preserve">relevant international organizations, including United Nations organizations, such as the members of the United Nations Alliance on Climate Change Education, Training and Public Awareness, and the United Nations </w:t>
      </w:r>
      <w:r w:rsidR="00CD2B0C">
        <w:t>r</w:t>
      </w:r>
      <w:r w:rsidR="00CD2B0C" w:rsidRPr="00714AA6">
        <w:t xml:space="preserve">egional </w:t>
      </w:r>
      <w:r w:rsidR="00CD2B0C">
        <w:t>c</w:t>
      </w:r>
      <w:r w:rsidR="00CD2B0C" w:rsidRPr="00714AA6">
        <w:t>ommissions, to continue supporting Parties and stakeholders in the implementation of the Doha work programme by</w:t>
      </w:r>
      <w:r w:rsidR="00CD2B0C">
        <w:t>:</w:t>
      </w:r>
    </w:p>
    <w:p w:rsidR="00CD2B0C" w:rsidRDefault="00663684" w:rsidP="00663684">
      <w:pPr>
        <w:pStyle w:val="RegSingleTxtG"/>
        <w:numPr>
          <w:ilvl w:val="0"/>
          <w:numId w:val="0"/>
        </w:numPr>
        <w:tabs>
          <w:tab w:val="left" w:pos="2269"/>
        </w:tabs>
        <w:spacing w:before="120"/>
        <w:ind w:left="1135" w:firstLine="567"/>
      </w:pPr>
      <w:r>
        <w:t>(a)</w:t>
      </w:r>
      <w:r>
        <w:tab/>
      </w:r>
      <w:r w:rsidR="00CD2B0C">
        <w:t xml:space="preserve">Organizing </w:t>
      </w:r>
      <w:r w:rsidR="00CD2B0C" w:rsidRPr="00714AA6">
        <w:t>regional and subregional multi-stakeholder workshops on Article</w:t>
      </w:r>
      <w:r w:rsidR="00CD2B0C">
        <w:t> </w:t>
      </w:r>
      <w:r w:rsidR="00CD2B0C" w:rsidRPr="00714AA6">
        <w:t>6 of the Convention to facilitate a regular exchange of views, good practices and lessons learned</w:t>
      </w:r>
      <w:r w:rsidR="00CD2B0C">
        <w:t>;</w:t>
      </w:r>
    </w:p>
    <w:p w:rsidR="00CD2B0C" w:rsidRDefault="00663684" w:rsidP="00663684">
      <w:pPr>
        <w:pStyle w:val="RegSingleTxtG"/>
        <w:numPr>
          <w:ilvl w:val="0"/>
          <w:numId w:val="0"/>
        </w:numPr>
        <w:tabs>
          <w:tab w:val="left" w:pos="2269"/>
        </w:tabs>
        <w:spacing w:before="120"/>
        <w:ind w:left="1135" w:firstLine="567"/>
      </w:pPr>
      <w:r>
        <w:t>(b)</w:t>
      </w:r>
      <w:r>
        <w:tab/>
      </w:r>
      <w:r w:rsidR="00CD2B0C">
        <w:t xml:space="preserve">Providing </w:t>
      </w:r>
      <w:r w:rsidR="00CD2B0C" w:rsidRPr="00714AA6">
        <w:t>technical and financial support for enhancing the implementation of the Doha work programme</w:t>
      </w:r>
      <w:r w:rsidR="00CD2B0C">
        <w:t>;</w:t>
      </w:r>
    </w:p>
    <w:p w:rsidR="00CD2B0C" w:rsidRDefault="00663684" w:rsidP="00663684">
      <w:pPr>
        <w:pStyle w:val="RegSingleTxtG"/>
        <w:numPr>
          <w:ilvl w:val="0"/>
          <w:numId w:val="0"/>
        </w:numPr>
        <w:tabs>
          <w:tab w:val="left" w:pos="2269"/>
        </w:tabs>
        <w:spacing w:before="120"/>
        <w:ind w:left="1135" w:firstLine="567"/>
      </w:pPr>
      <w:r>
        <w:t>(c)</w:t>
      </w:r>
      <w:r>
        <w:tab/>
      </w:r>
      <w:r w:rsidR="00CD2B0C">
        <w:t xml:space="preserve">Supporting </w:t>
      </w:r>
      <w:r w:rsidR="00CD2B0C" w:rsidRPr="00714AA6">
        <w:t>the development of national strategies on Article 6 of the Convention</w:t>
      </w:r>
      <w:r w:rsidR="00CD2B0C">
        <w:t>;</w:t>
      </w:r>
    </w:p>
    <w:p w:rsidR="00CD2B0C" w:rsidRDefault="00663684" w:rsidP="00663684">
      <w:pPr>
        <w:pStyle w:val="RegSingleTxtG"/>
        <w:numPr>
          <w:ilvl w:val="0"/>
          <w:numId w:val="0"/>
        </w:numPr>
        <w:tabs>
          <w:tab w:val="left" w:pos="2269"/>
        </w:tabs>
        <w:spacing w:before="120"/>
        <w:ind w:left="1135" w:firstLine="567"/>
      </w:pPr>
      <w:r>
        <w:t>(d)</w:t>
      </w:r>
      <w:r>
        <w:tab/>
      </w:r>
      <w:r w:rsidR="00CD2B0C">
        <w:t xml:space="preserve">Disseminating </w:t>
      </w:r>
      <w:r w:rsidR="00CD2B0C" w:rsidRPr="00714AA6">
        <w:t>information and resource materials, as well as good practices, on the six elements of Article 6 of the Convention</w:t>
      </w:r>
      <w:r w:rsidR="00CD2B0C">
        <w:t>;</w:t>
      </w:r>
    </w:p>
    <w:p w:rsidR="00CD2B0C" w:rsidRDefault="00663684" w:rsidP="00663684">
      <w:pPr>
        <w:pStyle w:val="RegSingleTxtG"/>
        <w:numPr>
          <w:ilvl w:val="0"/>
          <w:numId w:val="0"/>
        </w:numPr>
        <w:tabs>
          <w:tab w:val="left" w:pos="568"/>
        </w:tabs>
        <w:ind w:left="1135"/>
      </w:pPr>
      <w:r>
        <w:t>13.</w:t>
      </w:r>
      <w:r>
        <w:tab/>
      </w:r>
      <w:r w:rsidR="00CD2B0C" w:rsidRPr="004D600C">
        <w:rPr>
          <w:i/>
        </w:rPr>
        <w:t>Requests</w:t>
      </w:r>
      <w:r w:rsidR="00CD2B0C">
        <w:t xml:space="preserve"> the secretariat: </w:t>
      </w:r>
    </w:p>
    <w:p w:rsidR="00CD2B0C" w:rsidRDefault="00663684" w:rsidP="00663684">
      <w:pPr>
        <w:pStyle w:val="RegSingleTxtG"/>
        <w:numPr>
          <w:ilvl w:val="0"/>
          <w:numId w:val="0"/>
        </w:numPr>
        <w:tabs>
          <w:tab w:val="left" w:pos="2269"/>
        </w:tabs>
        <w:spacing w:before="120"/>
        <w:ind w:left="1135" w:firstLine="567"/>
      </w:pPr>
      <w:r>
        <w:t>(a)</w:t>
      </w:r>
      <w:r>
        <w:tab/>
      </w:r>
      <w:r w:rsidR="00CD2B0C">
        <w:t xml:space="preserve">To </w:t>
      </w:r>
      <w:r w:rsidR="00CD2B0C" w:rsidRPr="00714AA6">
        <w:t>continue facilitating a regular exchange of views, good practices and lessons learned among the national focal points for Article 6 of the Convention</w:t>
      </w:r>
      <w:r w:rsidR="00CD2B0C">
        <w:t>;</w:t>
      </w:r>
    </w:p>
    <w:p w:rsidR="00CD2B0C" w:rsidRDefault="00663684" w:rsidP="00663684">
      <w:pPr>
        <w:pStyle w:val="RegSingleTxtG"/>
        <w:numPr>
          <w:ilvl w:val="0"/>
          <w:numId w:val="0"/>
        </w:numPr>
        <w:tabs>
          <w:tab w:val="left" w:pos="2269"/>
        </w:tabs>
        <w:spacing w:before="120"/>
        <w:ind w:left="1135" w:firstLine="567"/>
      </w:pPr>
      <w:r>
        <w:t>(b)</w:t>
      </w:r>
      <w:r>
        <w:tab/>
      </w:r>
      <w:r w:rsidR="00CD2B0C">
        <w:t xml:space="preserve">To </w:t>
      </w:r>
      <w:r w:rsidR="00CD2B0C" w:rsidRPr="00714AA6">
        <w:t xml:space="preserve">organize workshops, videoconferences and activities at the international and regional levels in order to build and strengthen the existing skills and capacity of the national focal points for Article 6 of the Convention, taking into account opportunities to integrate such efforts into workshops held by </w:t>
      </w:r>
      <w:r w:rsidR="00CD2B0C">
        <w:t>relevant</w:t>
      </w:r>
      <w:r w:rsidR="00CD2B0C" w:rsidRPr="00714AA6">
        <w:t xml:space="preserve"> bodies</w:t>
      </w:r>
      <w:r w:rsidR="00CD2B0C">
        <w:t xml:space="preserve"> under the Convention;</w:t>
      </w:r>
    </w:p>
    <w:p w:rsidR="00CD2B0C" w:rsidRDefault="00663684" w:rsidP="00663684">
      <w:pPr>
        <w:pStyle w:val="RegSingleTxtG"/>
        <w:numPr>
          <w:ilvl w:val="0"/>
          <w:numId w:val="0"/>
        </w:numPr>
        <w:tabs>
          <w:tab w:val="left" w:pos="2269"/>
        </w:tabs>
        <w:spacing w:before="120"/>
        <w:ind w:left="1135" w:firstLine="567"/>
      </w:pPr>
      <w:r>
        <w:t>(c)</w:t>
      </w:r>
      <w:r>
        <w:tab/>
      </w:r>
      <w:r w:rsidR="00CD2B0C">
        <w:t xml:space="preserve">To </w:t>
      </w:r>
      <w:r w:rsidR="00CD2B0C" w:rsidRPr="00714AA6">
        <w:t xml:space="preserve">explore ways to develop linkages, synergies and alignment with technical assistance activities being organized in the context of the work of relevant bodies under the Convention, including the in-session </w:t>
      </w:r>
      <w:r w:rsidR="00CD2B0C">
        <w:t>D</w:t>
      </w:r>
      <w:r w:rsidR="00CD2B0C" w:rsidRPr="00714AA6">
        <w:t>ialogues</w:t>
      </w:r>
      <w:r w:rsidR="00CD2B0C">
        <w:t xml:space="preserve"> on Action for Climate Empowerment;</w:t>
      </w:r>
    </w:p>
    <w:p w:rsidR="00CD2B0C" w:rsidRDefault="00663684" w:rsidP="00663684">
      <w:pPr>
        <w:pStyle w:val="RegSingleTxtG"/>
        <w:numPr>
          <w:ilvl w:val="0"/>
          <w:numId w:val="0"/>
        </w:numPr>
        <w:tabs>
          <w:tab w:val="left" w:pos="2269"/>
        </w:tabs>
        <w:spacing w:before="120"/>
        <w:ind w:left="1135" w:firstLine="567"/>
      </w:pPr>
      <w:r>
        <w:lastRenderedPageBreak/>
        <w:t>(d)</w:t>
      </w:r>
      <w:r>
        <w:tab/>
      </w:r>
      <w:r w:rsidR="00CD2B0C">
        <w:t xml:space="preserve">To </w:t>
      </w:r>
      <w:r w:rsidR="00CD2B0C" w:rsidRPr="00714AA6">
        <w:t>continue collaborating with admitted observer organizations, other stakeholders and international organizations, such as the members of the United Nations Alliance on Climate Change Education, Training and Public Awareness, with a view to catalysing further action in fulfilment of Article 6 of the Convention</w:t>
      </w:r>
      <w:r w:rsidR="00CD2B0C">
        <w:t>;</w:t>
      </w:r>
    </w:p>
    <w:p w:rsidR="00CD2B0C" w:rsidRDefault="00663684" w:rsidP="00663684">
      <w:pPr>
        <w:pStyle w:val="RegSingleTxtG"/>
        <w:numPr>
          <w:ilvl w:val="0"/>
          <w:numId w:val="0"/>
        </w:numPr>
        <w:tabs>
          <w:tab w:val="left" w:pos="2269"/>
        </w:tabs>
        <w:spacing w:before="120"/>
        <w:ind w:left="1135" w:firstLine="567"/>
      </w:pPr>
      <w:r>
        <w:t>(e)</w:t>
      </w:r>
      <w:r>
        <w:tab/>
      </w:r>
      <w:r w:rsidR="00CD2B0C">
        <w:t xml:space="preserve">To </w:t>
      </w:r>
      <w:r w:rsidR="00CD2B0C" w:rsidRPr="00714AA6">
        <w:t>continue its work on the United Nations Joint Framework Initiative on Children, Youth and Climate Change in order to enhance the involvement and participation of youth in activities related to Article 6 of the Convention</w:t>
      </w:r>
      <w:r w:rsidR="00CD2B0C">
        <w:t>;</w:t>
      </w:r>
    </w:p>
    <w:p w:rsidR="00CD2B0C" w:rsidRDefault="00663684" w:rsidP="00663684">
      <w:pPr>
        <w:pStyle w:val="RegSingleTxtG"/>
        <w:numPr>
          <w:ilvl w:val="0"/>
          <w:numId w:val="0"/>
        </w:numPr>
        <w:tabs>
          <w:tab w:val="left" w:pos="2269"/>
        </w:tabs>
        <w:spacing w:before="120"/>
        <w:ind w:left="1135" w:firstLine="567"/>
      </w:pPr>
      <w:r>
        <w:t>(f)</w:t>
      </w:r>
      <w:r>
        <w:tab/>
      </w:r>
      <w:r w:rsidR="00CD2B0C">
        <w:t xml:space="preserve">To </w:t>
      </w:r>
      <w:r w:rsidR="00CD2B0C" w:rsidRPr="00714AA6">
        <w:t xml:space="preserve">cease the maintenance and development of </w:t>
      </w:r>
      <w:r w:rsidR="00CD2B0C">
        <w:t xml:space="preserve">the </w:t>
      </w:r>
      <w:r w:rsidR="00CD2B0C" w:rsidRPr="00714AA6">
        <w:t>climate change information network clearing house CC:iN</w:t>
      </w:r>
      <w:r w:rsidR="00CD2B0C">
        <w:t>et</w:t>
      </w:r>
      <w:r w:rsidR="00CD2B0C" w:rsidRPr="00714AA6">
        <w:t xml:space="preserve"> and to integrate its featured content into other UNFCCC web-based resources and communication activities, including the UNFCCC website, the UNFCCC Newsroom and multiple UNFCCC social media outlets, as a way to enhance the implementation of Article 6 of the Convention</w:t>
      </w:r>
      <w:r w:rsidR="00CD2B0C">
        <w:t>;</w:t>
      </w:r>
    </w:p>
    <w:p w:rsidR="00CD2B0C" w:rsidRDefault="00663684" w:rsidP="00663684">
      <w:pPr>
        <w:pStyle w:val="RegSingleTxtG"/>
        <w:numPr>
          <w:ilvl w:val="0"/>
          <w:numId w:val="0"/>
        </w:numPr>
        <w:tabs>
          <w:tab w:val="left" w:pos="2269"/>
        </w:tabs>
        <w:spacing w:before="120"/>
        <w:ind w:left="1135" w:firstLine="567"/>
      </w:pPr>
      <w:r>
        <w:t>(g)</w:t>
      </w:r>
      <w:r>
        <w:tab/>
      </w:r>
      <w:r w:rsidR="00CD2B0C">
        <w:t xml:space="preserve">To </w:t>
      </w:r>
      <w:r w:rsidR="00CD2B0C" w:rsidRPr="00714AA6">
        <w:t xml:space="preserve">continue to collect </w:t>
      </w:r>
      <w:r w:rsidR="00CD2B0C">
        <w:t xml:space="preserve">the </w:t>
      </w:r>
      <w:r w:rsidR="00CD2B0C" w:rsidRPr="00714AA6">
        <w:t xml:space="preserve">contact details </w:t>
      </w:r>
      <w:r w:rsidR="00CD2B0C">
        <w:t>of</w:t>
      </w:r>
      <w:r w:rsidR="00CD2B0C" w:rsidRPr="00714AA6">
        <w:t xml:space="preserve"> the nominated national focal points for Article 6 of the Convention and to update the designated UNFCCC web</w:t>
      </w:r>
      <w:r w:rsidR="00CD2B0C">
        <w:t xml:space="preserve"> </w:t>
      </w:r>
      <w:r w:rsidR="00CD2B0C" w:rsidRPr="00714AA6">
        <w:t>page</w:t>
      </w:r>
      <w:r w:rsidR="00CD2B0C">
        <w:t>;</w:t>
      </w:r>
    </w:p>
    <w:p w:rsidR="00CD2B0C" w:rsidRDefault="00663684" w:rsidP="00663684">
      <w:pPr>
        <w:pStyle w:val="RegSingleTxtG"/>
        <w:numPr>
          <w:ilvl w:val="0"/>
          <w:numId w:val="0"/>
        </w:numPr>
        <w:tabs>
          <w:tab w:val="left" w:pos="2269"/>
        </w:tabs>
        <w:spacing w:before="120"/>
        <w:ind w:left="1135" w:firstLine="567"/>
      </w:pPr>
      <w:r>
        <w:t>(h)</w:t>
      </w:r>
      <w:r>
        <w:tab/>
      </w:r>
      <w:r w:rsidR="00CD2B0C">
        <w:t xml:space="preserve">To </w:t>
      </w:r>
      <w:r w:rsidR="00CD2B0C" w:rsidRPr="00714AA6">
        <w:t>organize, in collaboration with the Government of Morocco, a multi-stakeholder education day to showcase and galvanize good practices in implementing the Doha work programme</w:t>
      </w:r>
      <w:r w:rsidR="00CD2B0C">
        <w:t>;</w:t>
      </w:r>
    </w:p>
    <w:p w:rsidR="00CD2B0C" w:rsidRDefault="00663684" w:rsidP="00663684">
      <w:pPr>
        <w:pStyle w:val="RegSingleTxtG"/>
        <w:numPr>
          <w:ilvl w:val="0"/>
          <w:numId w:val="0"/>
        </w:numPr>
        <w:tabs>
          <w:tab w:val="left" w:pos="568"/>
        </w:tabs>
        <w:ind w:left="1135"/>
      </w:pPr>
      <w:r>
        <w:t>14.</w:t>
      </w:r>
      <w:r>
        <w:tab/>
      </w:r>
      <w:r w:rsidR="00CD2B0C" w:rsidRPr="004D600C">
        <w:rPr>
          <w:i/>
        </w:rPr>
        <w:t>Decides</w:t>
      </w:r>
      <w:r w:rsidR="00CD2B0C">
        <w:t xml:space="preserve"> </w:t>
      </w:r>
      <w:r w:rsidR="00CD2B0C" w:rsidRPr="004D600C">
        <w:t>that efforts related to the implementation of Article 6 of the Convention shall be referred to as Action for Climate Empowerment</w:t>
      </w:r>
      <w:r w:rsidR="00CD2B0C">
        <w:t>;</w:t>
      </w:r>
    </w:p>
    <w:p w:rsidR="00CD2B0C" w:rsidRDefault="00663684" w:rsidP="00663684">
      <w:pPr>
        <w:pStyle w:val="RegSingleTxtG"/>
        <w:numPr>
          <w:ilvl w:val="0"/>
          <w:numId w:val="0"/>
        </w:numPr>
        <w:tabs>
          <w:tab w:val="left" w:pos="568"/>
        </w:tabs>
        <w:ind w:left="1135"/>
      </w:pPr>
      <w:r>
        <w:t>15.</w:t>
      </w:r>
      <w:r>
        <w:tab/>
      </w:r>
      <w:r w:rsidR="00CD2B0C" w:rsidRPr="004D600C">
        <w:rPr>
          <w:i/>
        </w:rPr>
        <w:t>Takes note</w:t>
      </w:r>
      <w:r w:rsidR="00CD2B0C">
        <w:t xml:space="preserve"> </w:t>
      </w:r>
      <w:r w:rsidR="00CD2B0C" w:rsidRPr="004D600C">
        <w:t>of the estimated budgetary implications of the activities to be undertaken by the secretariat referred to in paragraph 1</w:t>
      </w:r>
      <w:r w:rsidR="00CD2B0C">
        <w:t>3</w:t>
      </w:r>
      <w:r w:rsidR="00CD2B0C" w:rsidRPr="004D600C">
        <w:t xml:space="preserve"> above</w:t>
      </w:r>
      <w:r w:rsidR="00CD2B0C">
        <w:t>;</w:t>
      </w:r>
    </w:p>
    <w:p w:rsidR="00CD2B0C" w:rsidRDefault="00663684" w:rsidP="00663684">
      <w:pPr>
        <w:pStyle w:val="RegSingleTxtG"/>
        <w:numPr>
          <w:ilvl w:val="0"/>
          <w:numId w:val="0"/>
        </w:numPr>
        <w:tabs>
          <w:tab w:val="left" w:pos="568"/>
        </w:tabs>
        <w:ind w:left="1135"/>
      </w:pPr>
      <w:r>
        <w:t>16.</w:t>
      </w:r>
      <w:r>
        <w:tab/>
      </w:r>
      <w:r w:rsidR="00CD2B0C" w:rsidRPr="004D600C">
        <w:rPr>
          <w:i/>
        </w:rPr>
        <w:t>Requests</w:t>
      </w:r>
      <w:r w:rsidR="00CD2B0C">
        <w:t xml:space="preserve"> </w:t>
      </w:r>
      <w:r w:rsidR="00CD2B0C" w:rsidRPr="004D600C">
        <w:t>that the actions of the secretariat called for in this decision be undertaken subject to the availability of financial resources</w:t>
      </w:r>
      <w:r w:rsidR="00CD2B0C">
        <w:t>.</w:t>
      </w:r>
    </w:p>
    <w:p w:rsidR="00D55F9D" w:rsidRPr="00A470FF" w:rsidRDefault="00C07551" w:rsidP="00D55F9D">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D55F9D" w:rsidRPr="00A470FF">
        <w:rPr>
          <w:i/>
          <w:vertAlign w:val="superscript"/>
          <w:lang w:eastAsia="en-US"/>
        </w:rPr>
        <w:t>th</w:t>
      </w:r>
      <w:r w:rsidR="00D55F9D" w:rsidRPr="00A470FF">
        <w:rPr>
          <w:i/>
          <w:lang w:eastAsia="en-US"/>
        </w:rPr>
        <w:t xml:space="preserve"> plenary meeting</w:t>
      </w:r>
    </w:p>
    <w:p w:rsidR="00B94B0F" w:rsidRDefault="00C07551" w:rsidP="00D55F9D">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D55F9D">
          <w:headerReference w:type="even" r:id="rId23"/>
          <w:footnotePr>
            <w:numRestart w:val="eachSect"/>
          </w:footnotePr>
          <w:pgSz w:w="11906" w:h="16838" w:code="9"/>
          <w:pgMar w:top="1701" w:right="1134" w:bottom="2268" w:left="1134" w:header="1134" w:footer="1701" w:gutter="0"/>
          <w:cols w:space="708"/>
          <w:docGrid w:linePitch="360"/>
        </w:sectPr>
      </w:pPr>
      <w:r>
        <w:rPr>
          <w:i/>
          <w:lang w:eastAsia="en-US"/>
        </w:rPr>
        <w:t>17</w:t>
      </w:r>
      <w:r w:rsidR="00D55F9D" w:rsidRPr="00A470FF">
        <w:rPr>
          <w:i/>
          <w:lang w:eastAsia="en-US"/>
        </w:rPr>
        <w:t xml:space="preserve"> </w:t>
      </w:r>
      <w:r w:rsidR="00D55F9D">
        <w:rPr>
          <w:i/>
          <w:lang w:eastAsia="en-US"/>
        </w:rPr>
        <w:t xml:space="preserve">November </w:t>
      </w:r>
      <w:r w:rsidR="00D55F9D" w:rsidRPr="00A470FF">
        <w:rPr>
          <w:i/>
          <w:lang w:eastAsia="en-US"/>
        </w:rPr>
        <w:t>201</w:t>
      </w:r>
      <w:r w:rsidR="00D55F9D">
        <w:rPr>
          <w:i/>
          <w:lang w:eastAsia="en-US"/>
        </w:rPr>
        <w:t>6</w:t>
      </w:r>
    </w:p>
    <w:p w:rsidR="00B94B0F" w:rsidRPr="00D55F9D" w:rsidRDefault="00B94B0F" w:rsidP="00B94B0F">
      <w:pPr>
        <w:pStyle w:val="HChG"/>
        <w:rPr>
          <w:bCs/>
        </w:rPr>
      </w:pPr>
      <w:r>
        <w:lastRenderedPageBreak/>
        <w:tab/>
      </w:r>
      <w:r>
        <w:tab/>
      </w:r>
      <w:r w:rsidRPr="00D55F9D">
        <w:rPr>
          <w:bCs/>
        </w:rPr>
        <w:t>Decision 1</w:t>
      </w:r>
      <w:r>
        <w:rPr>
          <w:bCs/>
        </w:rPr>
        <w:t>8</w:t>
      </w:r>
      <w:r w:rsidRPr="00D55F9D">
        <w:rPr>
          <w:bCs/>
        </w:rPr>
        <w:t>/CP.22</w:t>
      </w:r>
    </w:p>
    <w:p w:rsidR="00B94B0F" w:rsidRDefault="00B94B0F" w:rsidP="00B94B0F">
      <w:pPr>
        <w:pStyle w:val="HChG"/>
      </w:pPr>
      <w:r>
        <w:tab/>
      </w:r>
      <w:r>
        <w:tab/>
        <w:t>Outcome of the first round of the international assessment and review process (2014–2015)</w:t>
      </w:r>
    </w:p>
    <w:p w:rsidR="00B94B0F" w:rsidRDefault="00B94B0F" w:rsidP="00A63878">
      <w:pPr>
        <w:pStyle w:val="RegSingleTxtG"/>
        <w:numPr>
          <w:ilvl w:val="0"/>
          <w:numId w:val="0"/>
        </w:numPr>
        <w:ind w:left="1133"/>
        <w:rPr>
          <w:rFonts w:eastAsia="Times New Roman"/>
          <w:sz w:val="19"/>
          <w:szCs w:val="19"/>
          <w:lang w:eastAsia="en-GB"/>
        </w:rPr>
      </w:pPr>
      <w:r>
        <w:rPr>
          <w:rFonts w:eastAsia="Times New Roman"/>
          <w:i/>
          <w:iCs/>
          <w:sz w:val="19"/>
          <w:szCs w:val="19"/>
          <w:lang w:eastAsia="en-GB"/>
        </w:rPr>
        <w:tab/>
        <w:t>The Conference of the Parties</w:t>
      </w:r>
      <w:r>
        <w:rPr>
          <w:rFonts w:eastAsia="Times New Roman"/>
          <w:sz w:val="19"/>
          <w:szCs w:val="19"/>
          <w:lang w:eastAsia="en-GB"/>
        </w:rPr>
        <w:t>,</w:t>
      </w:r>
    </w:p>
    <w:p w:rsidR="00B94B0F" w:rsidRPr="00113D4E" w:rsidRDefault="00B94B0F" w:rsidP="00A63878">
      <w:pPr>
        <w:spacing w:before="120" w:after="120"/>
        <w:ind w:left="1134" w:right="1174" w:firstLine="567"/>
        <w:jc w:val="both"/>
      </w:pPr>
      <w:r w:rsidRPr="00075AB2">
        <w:rPr>
          <w:i/>
          <w:lang w:val="en-US"/>
        </w:rPr>
        <w:t xml:space="preserve">Noting </w:t>
      </w:r>
      <w:r w:rsidRPr="00113D4E">
        <w:rPr>
          <w:lang w:val="en-US"/>
        </w:rPr>
        <w:t xml:space="preserve">that the </w:t>
      </w:r>
      <w:r w:rsidRPr="00113D4E">
        <w:t xml:space="preserve">Subsidiary Body for Implementation </w:t>
      </w:r>
      <w:r>
        <w:t xml:space="preserve">has </w:t>
      </w:r>
      <w:r w:rsidRPr="00113D4E">
        <w:t>concluded its consideration of the outcome of the first round of the international assessment and review process referred to in decision 2/CP.17, annex II, paragraph 12</w:t>
      </w:r>
      <w:r>
        <w:t>,</w:t>
      </w:r>
    </w:p>
    <w:p w:rsidR="00B94B0F" w:rsidRPr="00113D4E" w:rsidRDefault="00B94B0F" w:rsidP="00A63878">
      <w:pPr>
        <w:pStyle w:val="RegSingleTxtG"/>
        <w:numPr>
          <w:ilvl w:val="0"/>
          <w:numId w:val="0"/>
        </w:numPr>
        <w:ind w:left="1133"/>
        <w:rPr>
          <w:lang w:val="en-US"/>
        </w:rPr>
      </w:pPr>
      <w:r>
        <w:rPr>
          <w:i/>
          <w:lang w:val="en-US"/>
        </w:rPr>
        <w:tab/>
      </w:r>
      <w:r w:rsidRPr="00CD2B0C">
        <w:rPr>
          <w:rFonts w:eastAsia="Times New Roman"/>
          <w:i/>
          <w:iCs/>
          <w:sz w:val="19"/>
          <w:szCs w:val="19"/>
          <w:lang w:eastAsia="en-GB"/>
        </w:rPr>
        <w:t>Recalling</w:t>
      </w:r>
      <w:r w:rsidRPr="00075AB2">
        <w:rPr>
          <w:i/>
          <w:lang w:val="en-US"/>
        </w:rPr>
        <w:t xml:space="preserve"> </w:t>
      </w:r>
      <w:r w:rsidRPr="00113D4E">
        <w:rPr>
          <w:lang w:val="en-US"/>
        </w:rPr>
        <w:t>decision 2/CP.17, paragraph 26</w:t>
      </w:r>
      <w:r>
        <w:rPr>
          <w:lang w:val="en-US"/>
        </w:rPr>
        <w:t>,</w:t>
      </w:r>
    </w:p>
    <w:p w:rsidR="00B94B0F" w:rsidRPr="00033A1D" w:rsidRDefault="00663684" w:rsidP="00663684">
      <w:pPr>
        <w:pStyle w:val="RegSingleTxtG"/>
        <w:numPr>
          <w:ilvl w:val="0"/>
          <w:numId w:val="0"/>
        </w:numPr>
        <w:tabs>
          <w:tab w:val="left" w:pos="568"/>
        </w:tabs>
        <w:ind w:left="1135"/>
      </w:pPr>
      <w:r w:rsidRPr="00033A1D">
        <w:t>1.</w:t>
      </w:r>
      <w:r w:rsidRPr="00033A1D">
        <w:tab/>
      </w:r>
      <w:r w:rsidR="00B94B0F" w:rsidRPr="00113D4E">
        <w:rPr>
          <w:i/>
        </w:rPr>
        <w:t>Welcome</w:t>
      </w:r>
      <w:r w:rsidR="00B94B0F">
        <w:rPr>
          <w:i/>
        </w:rPr>
        <w:t>s</w:t>
      </w:r>
      <w:r w:rsidR="00B94B0F" w:rsidRPr="00113D4E">
        <w:rPr>
          <w:i/>
        </w:rPr>
        <w:t xml:space="preserve"> </w:t>
      </w:r>
      <w:r w:rsidR="00B94B0F" w:rsidRPr="00033A1D">
        <w:t xml:space="preserve">the implementation of the first round of the </w:t>
      </w:r>
      <w:r w:rsidR="00B94B0F" w:rsidRPr="00784781">
        <w:t>international assessment and review</w:t>
      </w:r>
      <w:r w:rsidR="00B94B0F" w:rsidRPr="00033A1D">
        <w:t xml:space="preserve"> process, as outlined in decision 2/CP.17, annex II, paragraph 3;</w:t>
      </w:r>
    </w:p>
    <w:p w:rsidR="00B94B0F" w:rsidRPr="00033A1D" w:rsidRDefault="00663684" w:rsidP="00663684">
      <w:pPr>
        <w:pStyle w:val="RegSingleTxtG"/>
        <w:numPr>
          <w:ilvl w:val="0"/>
          <w:numId w:val="0"/>
        </w:numPr>
        <w:tabs>
          <w:tab w:val="left" w:pos="568"/>
        </w:tabs>
        <w:ind w:left="1135"/>
      </w:pPr>
      <w:r w:rsidRPr="00033A1D">
        <w:t>2.</w:t>
      </w:r>
      <w:r w:rsidRPr="00033A1D">
        <w:tab/>
      </w:r>
      <w:r w:rsidR="00B94B0F" w:rsidRPr="00113D4E">
        <w:rPr>
          <w:i/>
        </w:rPr>
        <w:t>Invite</w:t>
      </w:r>
      <w:r w:rsidR="00B94B0F">
        <w:rPr>
          <w:i/>
        </w:rPr>
        <w:t>s</w:t>
      </w:r>
      <w:r w:rsidR="00B94B0F" w:rsidRPr="00033A1D">
        <w:t xml:space="preserve"> Parties</w:t>
      </w:r>
      <w:r w:rsidR="00B94B0F">
        <w:rPr>
          <w:rStyle w:val="FootnoteReference"/>
        </w:rPr>
        <w:footnoteReference w:id="12"/>
      </w:r>
      <w:r w:rsidR="00B94B0F" w:rsidRPr="00033A1D">
        <w:t xml:space="preserve"> to submit </w:t>
      </w:r>
      <w:r w:rsidR="00B94B0F">
        <w:t>by 1</w:t>
      </w:r>
      <w:r w:rsidR="00B94B0F" w:rsidRPr="00033A1D">
        <w:t xml:space="preserve"> March 2017 their views on the revision of the modalities and procedures for </w:t>
      </w:r>
      <w:r w:rsidR="00B94B0F" w:rsidRPr="00784781">
        <w:t>international assessment and review</w:t>
      </w:r>
      <w:r w:rsidR="00B94B0F" w:rsidRPr="00033A1D">
        <w:t xml:space="preserve"> on the basis of the experience gained in the first round of </w:t>
      </w:r>
      <w:r w:rsidR="00B94B0F" w:rsidRPr="00784781">
        <w:t>international assessment and review</w:t>
      </w:r>
      <w:r w:rsidR="00B94B0F" w:rsidRPr="00033A1D">
        <w:t xml:space="preserve">; </w:t>
      </w:r>
    </w:p>
    <w:p w:rsidR="00B94B0F" w:rsidRPr="00D77D8E" w:rsidRDefault="00663684" w:rsidP="00663684">
      <w:pPr>
        <w:pStyle w:val="RegSingleTxtG"/>
        <w:numPr>
          <w:ilvl w:val="0"/>
          <w:numId w:val="0"/>
        </w:numPr>
        <w:tabs>
          <w:tab w:val="left" w:pos="568"/>
        </w:tabs>
        <w:ind w:left="1135"/>
        <w:rPr>
          <w:lang w:val="en-US"/>
        </w:rPr>
      </w:pPr>
      <w:r w:rsidRPr="00D77D8E">
        <w:rPr>
          <w:lang w:val="en-US"/>
        </w:rPr>
        <w:t>3.</w:t>
      </w:r>
      <w:r w:rsidRPr="00D77D8E">
        <w:rPr>
          <w:lang w:val="en-US"/>
        </w:rPr>
        <w:tab/>
      </w:r>
      <w:r w:rsidR="00B94B0F" w:rsidRPr="00113D4E">
        <w:rPr>
          <w:i/>
          <w:lang w:val="en-US"/>
        </w:rPr>
        <w:t>Request</w:t>
      </w:r>
      <w:r w:rsidR="00B94B0F">
        <w:rPr>
          <w:i/>
          <w:lang w:val="en-US"/>
        </w:rPr>
        <w:t>s</w:t>
      </w:r>
      <w:r w:rsidR="00B94B0F" w:rsidRPr="00D77D8E">
        <w:rPr>
          <w:lang w:val="en-US"/>
        </w:rPr>
        <w:t xml:space="preserve"> the </w:t>
      </w:r>
      <w:r w:rsidR="00B94B0F" w:rsidRPr="00784781">
        <w:t>Subsidiary Body for Implementation</w:t>
      </w:r>
      <w:r w:rsidR="00B94B0F" w:rsidRPr="00D77D8E">
        <w:rPr>
          <w:lang w:val="en-US"/>
        </w:rPr>
        <w:t xml:space="preserve"> to </w:t>
      </w:r>
      <w:r w:rsidR="00B94B0F">
        <w:rPr>
          <w:lang w:val="en-US"/>
        </w:rPr>
        <w:t>revise</w:t>
      </w:r>
      <w:r w:rsidR="00B94B0F" w:rsidRPr="00D77D8E">
        <w:rPr>
          <w:lang w:val="en-US"/>
        </w:rPr>
        <w:t xml:space="preserve"> the modalities and procedures</w:t>
      </w:r>
      <w:r w:rsidR="00B94B0F" w:rsidRPr="00784781">
        <w:t xml:space="preserve"> </w:t>
      </w:r>
      <w:r w:rsidR="00B94B0F">
        <w:t xml:space="preserve">for </w:t>
      </w:r>
      <w:r w:rsidR="00B94B0F" w:rsidRPr="00784781">
        <w:t>international assessment and review</w:t>
      </w:r>
      <w:r w:rsidR="00B94B0F" w:rsidRPr="00D77D8E">
        <w:rPr>
          <w:lang w:val="en-US"/>
        </w:rPr>
        <w:t xml:space="preserve"> </w:t>
      </w:r>
      <w:r w:rsidR="00B94B0F">
        <w:rPr>
          <w:lang w:val="en-US"/>
        </w:rPr>
        <w:t xml:space="preserve">on the basis of the experience gained in the first round of international assessment and review, </w:t>
      </w:r>
      <w:r w:rsidR="00B94B0F" w:rsidRPr="00D77D8E">
        <w:rPr>
          <w:lang w:val="en-US"/>
        </w:rPr>
        <w:t xml:space="preserve">taking into </w:t>
      </w:r>
      <w:r w:rsidR="00B94B0F" w:rsidRPr="00033A1D">
        <w:t>account</w:t>
      </w:r>
      <w:r w:rsidR="00B94B0F" w:rsidRPr="00D77D8E">
        <w:rPr>
          <w:lang w:val="en-US"/>
        </w:rPr>
        <w:t xml:space="preserve"> any submissions received</w:t>
      </w:r>
      <w:r w:rsidR="00B94B0F">
        <w:rPr>
          <w:lang w:val="en-US"/>
        </w:rPr>
        <w:t xml:space="preserve"> from Parties</w:t>
      </w:r>
      <w:r w:rsidR="00B94B0F" w:rsidRPr="00D77D8E">
        <w:rPr>
          <w:lang w:val="en-US"/>
        </w:rPr>
        <w:t xml:space="preserve">, with a view to recommending </w:t>
      </w:r>
      <w:r w:rsidR="00B94B0F">
        <w:rPr>
          <w:lang w:val="en-US"/>
        </w:rPr>
        <w:t xml:space="preserve">revised modalities and procedures </w:t>
      </w:r>
      <w:r w:rsidR="00B94B0F" w:rsidRPr="00D77D8E">
        <w:rPr>
          <w:lang w:val="en-US"/>
        </w:rPr>
        <w:t xml:space="preserve">for consideration and adoption at </w:t>
      </w:r>
      <w:r w:rsidR="00B94B0F">
        <w:rPr>
          <w:lang w:val="en-US"/>
        </w:rPr>
        <w:t>the twenty-third session of the Conference of the Parties</w:t>
      </w:r>
      <w:r w:rsidR="00B94B0F" w:rsidRPr="00D77D8E">
        <w:rPr>
          <w:lang w:val="en-US"/>
        </w:rPr>
        <w:t xml:space="preserve"> (November 2017).</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7F4962">
          <w:headerReference w:type="even" r:id="rId24"/>
          <w:headerReference w:type="default" r:id="rId25"/>
          <w:footnotePr>
            <w:numRestart w:val="eachSect"/>
          </w:footnotePr>
          <w:pgSz w:w="11906" w:h="16838" w:code="9"/>
          <w:pgMar w:top="1701" w:right="1134" w:bottom="2268" w:left="1134" w:header="1134" w:footer="1701" w:gutter="0"/>
          <w:cols w:space="708"/>
          <w:docGrid w:linePitch="360"/>
        </w:sect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Pr="00D55F9D" w:rsidRDefault="00B94B0F" w:rsidP="00B94B0F">
      <w:pPr>
        <w:pStyle w:val="HChG"/>
        <w:ind w:firstLine="0"/>
        <w:rPr>
          <w:bCs/>
        </w:rPr>
      </w:pPr>
      <w:r w:rsidRPr="00D55F9D">
        <w:rPr>
          <w:bCs/>
        </w:rPr>
        <w:lastRenderedPageBreak/>
        <w:t>Decision 1</w:t>
      </w:r>
      <w:r>
        <w:rPr>
          <w:bCs/>
        </w:rPr>
        <w:t>9</w:t>
      </w:r>
      <w:r w:rsidRPr="00D55F9D">
        <w:rPr>
          <w:bCs/>
        </w:rPr>
        <w:t>/CP.22</w:t>
      </w:r>
    </w:p>
    <w:p w:rsidR="00B94B0F" w:rsidRDefault="00FC5DF3" w:rsidP="00B94B0F">
      <w:pPr>
        <w:pStyle w:val="HChG"/>
      </w:pPr>
      <w:r>
        <w:tab/>
      </w:r>
      <w:r>
        <w:tab/>
      </w:r>
      <w:r w:rsidR="00B94B0F">
        <w:t>Implementation of the global observing system for climate</w:t>
      </w:r>
    </w:p>
    <w:p w:rsidR="00B94B0F" w:rsidRPr="00555C46" w:rsidRDefault="00B94B0F" w:rsidP="00A63878">
      <w:pPr>
        <w:spacing w:after="120"/>
        <w:ind w:left="1259" w:right="1133" w:firstLine="595"/>
        <w:jc w:val="both"/>
        <w:rPr>
          <w:i/>
          <w:iCs/>
        </w:rPr>
      </w:pPr>
      <w:r w:rsidRPr="00555C46">
        <w:rPr>
          <w:i/>
          <w:iCs/>
        </w:rPr>
        <w:t>The Conference of the Parties</w:t>
      </w:r>
      <w:r w:rsidRPr="00EC7F22">
        <w:rPr>
          <w:iCs/>
        </w:rPr>
        <w:t>,</w:t>
      </w:r>
    </w:p>
    <w:p w:rsidR="00B94B0F" w:rsidRPr="006A6B5F" w:rsidRDefault="00B94B0F" w:rsidP="00A63878">
      <w:pPr>
        <w:spacing w:after="120"/>
        <w:ind w:left="1134" w:right="1133" w:firstLine="720"/>
        <w:jc w:val="both"/>
      </w:pPr>
      <w:r w:rsidRPr="006A6B5F">
        <w:rPr>
          <w:i/>
        </w:rPr>
        <w:t>Recalling</w:t>
      </w:r>
      <w:r w:rsidRPr="006A6B5F">
        <w:t xml:space="preserve"> Article 4, paragraph 1(g) and (h), and Article 5 of the Convention,</w:t>
      </w:r>
    </w:p>
    <w:p w:rsidR="00B94B0F" w:rsidRDefault="00B94B0F" w:rsidP="00A63878">
      <w:pPr>
        <w:spacing w:after="120"/>
        <w:ind w:left="1134" w:right="1133" w:firstLine="720"/>
        <w:jc w:val="both"/>
      </w:pPr>
      <w:r w:rsidRPr="006A6B5F">
        <w:rPr>
          <w:i/>
        </w:rPr>
        <w:t xml:space="preserve">Also recalling </w:t>
      </w:r>
      <w:r w:rsidRPr="006A6B5F">
        <w:t>decisions 8/CP.3, 14/CP.4, 5/CP.5, 11/CP.9, 5/CP.10,</w:t>
      </w:r>
      <w:r>
        <w:t xml:space="preserve"> </w:t>
      </w:r>
      <w:r w:rsidRPr="006A6B5F">
        <w:t>9/CP.15,</w:t>
      </w:r>
    </w:p>
    <w:p w:rsidR="00B94B0F" w:rsidRDefault="00B94B0F" w:rsidP="00A63878">
      <w:pPr>
        <w:spacing w:after="120"/>
        <w:ind w:left="1134" w:right="1133" w:firstLine="720"/>
        <w:jc w:val="both"/>
      </w:pPr>
      <w:r>
        <w:rPr>
          <w:i/>
        </w:rPr>
        <w:t>Further recalling</w:t>
      </w:r>
      <w:r>
        <w:t xml:space="preserve"> Article 7 of the Paris Agreement,</w:t>
      </w:r>
    </w:p>
    <w:p w:rsidR="00B94B0F" w:rsidRDefault="00B94B0F" w:rsidP="00A63878">
      <w:pPr>
        <w:spacing w:after="120"/>
        <w:ind w:left="1134" w:right="1133" w:firstLine="720"/>
        <w:jc w:val="both"/>
        <w:rPr>
          <w:i/>
        </w:rPr>
      </w:pPr>
      <w:r>
        <w:rPr>
          <w:i/>
        </w:rPr>
        <w:t xml:space="preserve">Noting </w:t>
      </w:r>
      <w:r w:rsidRPr="004F4618">
        <w:t>the</w:t>
      </w:r>
      <w:r>
        <w:t xml:space="preserve"> important role of the Global Climate Observing System in meeting the need for climate observation and climate services under the Convention,</w:t>
      </w:r>
    </w:p>
    <w:p w:rsidR="00B94B0F" w:rsidRPr="00D96286" w:rsidRDefault="00B94B0F" w:rsidP="00A63878">
      <w:pPr>
        <w:spacing w:after="120"/>
        <w:ind w:left="1134" w:right="1133" w:firstLine="720"/>
        <w:jc w:val="both"/>
      </w:pPr>
      <w:r>
        <w:rPr>
          <w:i/>
        </w:rPr>
        <w:t xml:space="preserve">Recognizing </w:t>
      </w:r>
      <w:r w:rsidRPr="00D96286">
        <w:t>the</w:t>
      </w:r>
      <w:r>
        <w:rPr>
          <w:i/>
        </w:rPr>
        <w:t xml:space="preserve"> </w:t>
      </w:r>
      <w:r w:rsidRPr="00D96286">
        <w:t>importance of and continued need for capacity-building</w:t>
      </w:r>
      <w:r>
        <w:t xml:space="preserve"> to support systematic observation,</w:t>
      </w:r>
    </w:p>
    <w:p w:rsidR="00B94B0F" w:rsidRDefault="00663684" w:rsidP="00663684">
      <w:pPr>
        <w:pStyle w:val="RegSingleTxtG"/>
        <w:numPr>
          <w:ilvl w:val="0"/>
          <w:numId w:val="0"/>
        </w:numPr>
        <w:tabs>
          <w:tab w:val="left" w:pos="568"/>
        </w:tabs>
        <w:ind w:left="1135"/>
      </w:pPr>
      <w:r>
        <w:t>1.</w:t>
      </w:r>
      <w:r>
        <w:tab/>
      </w:r>
      <w:r w:rsidR="00B94B0F" w:rsidRPr="00F2440B">
        <w:rPr>
          <w:i/>
        </w:rPr>
        <w:t>Welcomes</w:t>
      </w:r>
      <w:r w:rsidR="00B94B0F">
        <w:t xml:space="preserve"> </w:t>
      </w:r>
      <w:r w:rsidR="00B94B0F" w:rsidRPr="005A5A5F">
        <w:t xml:space="preserve">the </w:t>
      </w:r>
      <w:r w:rsidR="00B94B0F">
        <w:t xml:space="preserve">2016 implementation plan of the </w:t>
      </w:r>
      <w:r w:rsidR="00B94B0F" w:rsidRPr="002E6377">
        <w:t>Global Climate Observing System</w:t>
      </w:r>
      <w:r w:rsidR="00B94B0F">
        <w:t>,</w:t>
      </w:r>
      <w:r w:rsidR="00B94B0F" w:rsidRPr="005A5A5F">
        <w:t xml:space="preserve"> </w:t>
      </w:r>
      <w:r w:rsidR="00B94B0F">
        <w:rPr>
          <w:i/>
        </w:rPr>
        <w:t>T</w:t>
      </w:r>
      <w:r w:rsidR="00B94B0F" w:rsidRPr="004B1DE7">
        <w:rPr>
          <w:i/>
        </w:rPr>
        <w:t>he Global Observing System for Climate: Implementation Needs</w:t>
      </w:r>
      <w:r w:rsidR="00B94B0F" w:rsidRPr="00E00CCA">
        <w:t xml:space="preserve"> (hereinafter referred to as </w:t>
      </w:r>
      <w:r w:rsidR="00B94B0F">
        <w:t>the implementation plan</w:t>
      </w:r>
      <w:r w:rsidR="00B94B0F" w:rsidRPr="00E00CCA">
        <w:t>)</w:t>
      </w:r>
      <w:r w:rsidR="00B94B0F">
        <w:t>,</w:t>
      </w:r>
      <w:r w:rsidR="00B94B0F">
        <w:rPr>
          <w:rStyle w:val="FootnoteReference"/>
        </w:rPr>
        <w:footnoteReference w:id="13"/>
      </w:r>
      <w:r w:rsidR="00B94B0F">
        <w:t xml:space="preserve"> submitted by the secretariat of the </w:t>
      </w:r>
      <w:r w:rsidR="00B94B0F" w:rsidRPr="002E6377">
        <w:t>Global Climate Observing System</w:t>
      </w:r>
      <w:r w:rsidR="00B94B0F">
        <w:t xml:space="preserve"> and prepared under the guidance of the </w:t>
      </w:r>
      <w:r w:rsidR="00B94B0F" w:rsidRPr="002E6377">
        <w:t>Global Climate Observing System</w:t>
      </w:r>
      <w:r w:rsidR="00B94B0F">
        <w:t xml:space="preserve"> Steering Committee;</w:t>
      </w:r>
    </w:p>
    <w:p w:rsidR="00B94B0F" w:rsidRDefault="00663684" w:rsidP="00663684">
      <w:pPr>
        <w:pStyle w:val="RegSingleTxtG"/>
        <w:numPr>
          <w:ilvl w:val="0"/>
          <w:numId w:val="0"/>
        </w:numPr>
        <w:tabs>
          <w:tab w:val="left" w:pos="568"/>
        </w:tabs>
        <w:ind w:left="1135"/>
      </w:pPr>
      <w:r>
        <w:t>2.</w:t>
      </w:r>
      <w:r>
        <w:tab/>
      </w:r>
      <w:r w:rsidR="00B94B0F">
        <w:rPr>
          <w:i/>
        </w:rPr>
        <w:t>Also</w:t>
      </w:r>
      <w:r w:rsidR="00B94B0F" w:rsidRPr="00F2440B">
        <w:rPr>
          <w:i/>
        </w:rPr>
        <w:t xml:space="preserve"> welcomes</w:t>
      </w:r>
      <w:r w:rsidR="00B94B0F">
        <w:t xml:space="preserve"> the contributions by organizations and experts to the implementation plan;</w:t>
      </w:r>
    </w:p>
    <w:p w:rsidR="00B94B0F" w:rsidRDefault="00663684" w:rsidP="00663684">
      <w:pPr>
        <w:pStyle w:val="RegSingleTxtG"/>
        <w:numPr>
          <w:ilvl w:val="0"/>
          <w:numId w:val="0"/>
        </w:numPr>
        <w:tabs>
          <w:tab w:val="left" w:pos="568"/>
        </w:tabs>
        <w:ind w:left="1135"/>
      </w:pPr>
      <w:r>
        <w:t>3.</w:t>
      </w:r>
      <w:r>
        <w:tab/>
      </w:r>
      <w:r w:rsidR="00B94B0F" w:rsidRPr="00F2440B">
        <w:rPr>
          <w:i/>
        </w:rPr>
        <w:t>Notes</w:t>
      </w:r>
      <w:r w:rsidR="00B94B0F">
        <w:t xml:space="preserve"> that the </w:t>
      </w:r>
      <w:r w:rsidR="00B94B0F" w:rsidRPr="002E6377">
        <w:t>Global Climate Observing System</w:t>
      </w:r>
      <w:r w:rsidR="00B94B0F">
        <w:t xml:space="preserve"> considered the outcomes of the twenty-first session of the Conference of the Parties when preparing the implementation plan;</w:t>
      </w:r>
      <w:r w:rsidR="00B94B0F">
        <w:rPr>
          <w:rStyle w:val="FootnoteReference"/>
        </w:rPr>
        <w:footnoteReference w:id="14"/>
      </w:r>
      <w:r w:rsidR="00B94B0F" w:rsidRPr="00FA4A7E">
        <w:t xml:space="preserve"> </w:t>
      </w:r>
    </w:p>
    <w:p w:rsidR="00B94B0F" w:rsidRDefault="00663684" w:rsidP="00663684">
      <w:pPr>
        <w:pStyle w:val="RegSingleTxtG"/>
        <w:numPr>
          <w:ilvl w:val="0"/>
          <w:numId w:val="0"/>
        </w:numPr>
        <w:tabs>
          <w:tab w:val="left" w:pos="568"/>
        </w:tabs>
        <w:ind w:left="1135"/>
      </w:pPr>
      <w:r>
        <w:t>4.</w:t>
      </w:r>
      <w:r>
        <w:tab/>
      </w:r>
      <w:r w:rsidR="00B94B0F" w:rsidRPr="00F2440B">
        <w:rPr>
          <w:i/>
        </w:rPr>
        <w:t>Notes with appreciation</w:t>
      </w:r>
      <w:r w:rsidR="00B94B0F" w:rsidRPr="002157CF">
        <w:t xml:space="preserve"> the assessment of climate-related observations that the </w:t>
      </w:r>
      <w:r w:rsidR="00B94B0F">
        <w:t xml:space="preserve">implementation plan </w:t>
      </w:r>
      <w:r w:rsidR="00B94B0F" w:rsidRPr="002157CF">
        <w:t xml:space="preserve">provides </w:t>
      </w:r>
      <w:r w:rsidR="00B94B0F">
        <w:t>for multiple uses;</w:t>
      </w:r>
    </w:p>
    <w:p w:rsidR="00B94B0F" w:rsidRDefault="00663684" w:rsidP="00663684">
      <w:pPr>
        <w:pStyle w:val="RegSingleTxtG"/>
        <w:numPr>
          <w:ilvl w:val="0"/>
          <w:numId w:val="0"/>
        </w:numPr>
        <w:tabs>
          <w:tab w:val="left" w:pos="568"/>
        </w:tabs>
        <w:ind w:left="1135"/>
      </w:pPr>
      <w:r>
        <w:t>5.</w:t>
      </w:r>
      <w:r>
        <w:tab/>
      </w:r>
      <w:r w:rsidR="00B94B0F">
        <w:rPr>
          <w:i/>
        </w:rPr>
        <w:t>N</w:t>
      </w:r>
      <w:r w:rsidR="00B94B0F" w:rsidRPr="00F2440B">
        <w:rPr>
          <w:i/>
        </w:rPr>
        <w:t>otes</w:t>
      </w:r>
      <w:r w:rsidR="00B94B0F">
        <w:t xml:space="preserve"> </w:t>
      </w:r>
      <w:r w:rsidR="00B94B0F" w:rsidRPr="002157CF">
        <w:t>the introduction of new essential climate variables</w:t>
      </w:r>
      <w:r w:rsidR="00B94B0F">
        <w:rPr>
          <w:rStyle w:val="FootnoteReference"/>
        </w:rPr>
        <w:footnoteReference w:id="15"/>
      </w:r>
      <w:r w:rsidR="00B94B0F" w:rsidRPr="002157CF">
        <w:t xml:space="preserve"> and the plan’s wider consideration of </w:t>
      </w:r>
      <w:r w:rsidR="00B94B0F">
        <w:t xml:space="preserve">atmospheric, oceanic and terrestrial </w:t>
      </w:r>
      <w:r w:rsidR="00B94B0F" w:rsidRPr="002157CF">
        <w:t xml:space="preserve">observation requirements and their connection to mitigation and adaptation, </w:t>
      </w:r>
      <w:r w:rsidR="00B94B0F">
        <w:t xml:space="preserve">particularly early warning systems, </w:t>
      </w:r>
      <w:r w:rsidR="00B94B0F" w:rsidRPr="002157CF">
        <w:t xml:space="preserve">including the relationship of </w:t>
      </w:r>
      <w:r w:rsidR="00B94B0F">
        <w:t xml:space="preserve">the </w:t>
      </w:r>
      <w:r w:rsidR="00B94B0F" w:rsidRPr="002157CF">
        <w:t>essential climate variables to the Earth’s water, carbon and energy cycles</w:t>
      </w:r>
      <w:r w:rsidR="00B94B0F">
        <w:t>;</w:t>
      </w:r>
    </w:p>
    <w:p w:rsidR="00B94B0F" w:rsidRPr="00FD1DE3" w:rsidRDefault="00663684" w:rsidP="00663684">
      <w:pPr>
        <w:pStyle w:val="RegSingleTxtG"/>
        <w:numPr>
          <w:ilvl w:val="0"/>
          <w:numId w:val="0"/>
        </w:numPr>
        <w:tabs>
          <w:tab w:val="left" w:pos="568"/>
        </w:tabs>
        <w:ind w:left="1135"/>
      </w:pPr>
      <w:r w:rsidRPr="00FD1DE3">
        <w:t>6.</w:t>
      </w:r>
      <w:r w:rsidRPr="00FD1DE3">
        <w:tab/>
      </w:r>
      <w:r w:rsidR="00B94B0F" w:rsidRPr="00F2440B">
        <w:rPr>
          <w:i/>
        </w:rPr>
        <w:t>Encourages</w:t>
      </w:r>
      <w:r w:rsidR="00B94B0F">
        <w:t xml:space="preserve"> </w:t>
      </w:r>
      <w:r w:rsidR="00B94B0F" w:rsidRPr="00FD1DE3">
        <w:t>Partie</w:t>
      </w:r>
      <w:r w:rsidR="00B94B0F">
        <w:t xml:space="preserve">s to </w:t>
      </w:r>
      <w:r w:rsidR="00B94B0F" w:rsidRPr="00FD1DE3">
        <w:t xml:space="preserve">work towards </w:t>
      </w:r>
      <w:r w:rsidR="00B94B0F">
        <w:t xml:space="preserve">the </w:t>
      </w:r>
      <w:r w:rsidR="00B94B0F" w:rsidRPr="00FD1DE3">
        <w:t>full</w:t>
      </w:r>
      <w:r w:rsidR="00B94B0F">
        <w:t xml:space="preserve"> </w:t>
      </w:r>
      <w:r w:rsidR="00B94B0F" w:rsidRPr="00FD1DE3">
        <w:t xml:space="preserve">implementation of the </w:t>
      </w:r>
      <w:r w:rsidR="00B94B0F">
        <w:t>implementation plan and to consider what actions they can take to contribute towards its implementation;</w:t>
      </w:r>
    </w:p>
    <w:p w:rsidR="00B94B0F" w:rsidRDefault="00663684" w:rsidP="00663684">
      <w:pPr>
        <w:pStyle w:val="RegSingleTxtG"/>
        <w:numPr>
          <w:ilvl w:val="0"/>
          <w:numId w:val="0"/>
        </w:numPr>
        <w:tabs>
          <w:tab w:val="left" w:pos="568"/>
        </w:tabs>
        <w:ind w:left="1135"/>
      </w:pPr>
      <w:r>
        <w:t>7.</w:t>
      </w:r>
      <w:r>
        <w:tab/>
      </w:r>
      <w:r w:rsidR="00B94B0F" w:rsidRPr="00F2440B">
        <w:rPr>
          <w:i/>
        </w:rPr>
        <w:t>Invites</w:t>
      </w:r>
      <w:r w:rsidR="00B94B0F">
        <w:t xml:space="preserve"> </w:t>
      </w:r>
      <w:r w:rsidR="00B94B0F" w:rsidRPr="009A471E">
        <w:rPr>
          <w:iCs/>
        </w:rPr>
        <w:t xml:space="preserve">United Nations agencies and international organizations </w:t>
      </w:r>
      <w:r w:rsidR="00B94B0F">
        <w:t>to support the full implementation of the implementation plan, as appropriate;</w:t>
      </w:r>
    </w:p>
    <w:p w:rsidR="00B94B0F" w:rsidRDefault="00663684" w:rsidP="00663684">
      <w:pPr>
        <w:pStyle w:val="RegSingleTxtG"/>
        <w:numPr>
          <w:ilvl w:val="0"/>
          <w:numId w:val="0"/>
        </w:numPr>
        <w:tabs>
          <w:tab w:val="left" w:pos="568"/>
        </w:tabs>
        <w:ind w:left="1135"/>
      </w:pPr>
      <w:r>
        <w:t>8.</w:t>
      </w:r>
      <w:r>
        <w:tab/>
      </w:r>
      <w:r w:rsidR="00B94B0F" w:rsidRPr="00F2440B">
        <w:rPr>
          <w:i/>
        </w:rPr>
        <w:t>Emphasizes</w:t>
      </w:r>
      <w:r w:rsidR="00B94B0F">
        <w:t>, with regard to the implementation plan,</w:t>
      </w:r>
      <w:r w:rsidR="00B94B0F" w:rsidRPr="00555C46">
        <w:t xml:space="preserve"> the need to </w:t>
      </w:r>
      <w:r w:rsidR="00B94B0F">
        <w:t xml:space="preserve">maintain, </w:t>
      </w:r>
      <w:r w:rsidR="00B94B0F" w:rsidRPr="00555C46">
        <w:t xml:space="preserve">strengthen </w:t>
      </w:r>
      <w:r w:rsidR="00B94B0F">
        <w:t xml:space="preserve">and build </w:t>
      </w:r>
      <w:r w:rsidR="00B94B0F" w:rsidRPr="00555C46">
        <w:t xml:space="preserve">capacities </w:t>
      </w:r>
      <w:r w:rsidR="00B94B0F">
        <w:t>for</w:t>
      </w:r>
      <w:r w:rsidR="00B94B0F" w:rsidRPr="00555C46">
        <w:t xml:space="preserve"> climate observations</w:t>
      </w:r>
      <w:r w:rsidR="00B94B0F">
        <w:t>, monitoring and</w:t>
      </w:r>
      <w:r w:rsidR="00B94B0F" w:rsidRPr="00555C46">
        <w:t xml:space="preserve"> data </w:t>
      </w:r>
      <w:r w:rsidR="00B94B0F">
        <w:t xml:space="preserve">management, including data rescue, digitization, </w:t>
      </w:r>
      <w:r w:rsidR="00B94B0F" w:rsidRPr="00555C46">
        <w:t>analysis</w:t>
      </w:r>
      <w:r w:rsidR="00B94B0F">
        <w:t>, archiving and sharing;</w:t>
      </w:r>
    </w:p>
    <w:p w:rsidR="00B94B0F" w:rsidRDefault="00663684" w:rsidP="00663684">
      <w:pPr>
        <w:pStyle w:val="RegSingleTxtG"/>
        <w:numPr>
          <w:ilvl w:val="0"/>
          <w:numId w:val="0"/>
        </w:numPr>
        <w:tabs>
          <w:tab w:val="left" w:pos="568"/>
        </w:tabs>
        <w:ind w:left="1135"/>
      </w:pPr>
      <w:r>
        <w:lastRenderedPageBreak/>
        <w:t>9.</w:t>
      </w:r>
      <w:r>
        <w:tab/>
      </w:r>
      <w:r w:rsidR="00B94B0F" w:rsidRPr="00F2440B">
        <w:rPr>
          <w:i/>
        </w:rPr>
        <w:t>Also emphasizes</w:t>
      </w:r>
      <w:r w:rsidR="00B94B0F">
        <w:t xml:space="preserve"> the need to build capacity in </w:t>
      </w:r>
      <w:r w:rsidR="00B94B0F" w:rsidRPr="00555C46">
        <w:t xml:space="preserve">developing countries </w:t>
      </w:r>
      <w:r w:rsidR="00B94B0F">
        <w:t xml:space="preserve">through existing relevant mechanisms, including the </w:t>
      </w:r>
      <w:r w:rsidR="00B94B0F" w:rsidRPr="002E6377">
        <w:t>Global Climate Observing System</w:t>
      </w:r>
      <w:r w:rsidR="00B94B0F" w:rsidRPr="00555C46">
        <w:t xml:space="preserve"> </w:t>
      </w:r>
      <w:r w:rsidR="00B94B0F">
        <w:t>C</w:t>
      </w:r>
      <w:r w:rsidR="00B94B0F" w:rsidRPr="0070285D">
        <w:t>ooperation</w:t>
      </w:r>
      <w:r w:rsidR="00B94B0F" w:rsidRPr="00555C46">
        <w:t xml:space="preserve"> </w:t>
      </w:r>
      <w:r w:rsidR="00B94B0F">
        <w:t>M</w:t>
      </w:r>
      <w:r w:rsidR="00B94B0F" w:rsidRPr="00555C46">
        <w:t>echanism</w:t>
      </w:r>
      <w:r w:rsidR="00B94B0F">
        <w:t>.</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7F4962">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sidRPr="00C84A66">
        <w:rPr>
          <w:bCs/>
        </w:rPr>
        <w:lastRenderedPageBreak/>
        <w:t xml:space="preserve">Decision </w:t>
      </w:r>
      <w:r>
        <w:rPr>
          <w:bCs/>
        </w:rPr>
        <w:t>20</w:t>
      </w:r>
      <w:r w:rsidRPr="00C84A66">
        <w:rPr>
          <w:bCs/>
        </w:rPr>
        <w:t>/CP.22</w:t>
      </w:r>
    </w:p>
    <w:p w:rsidR="00B94B0F" w:rsidRDefault="00B94B0F" w:rsidP="00B94B0F">
      <w:pPr>
        <w:pStyle w:val="HChG"/>
      </w:pPr>
      <w:r>
        <w:tab/>
      </w:r>
      <w:r>
        <w:tab/>
        <w:t>Work of the Consultative Group of Experts on National Communications from Parties not included in Annex I to the Convention</w:t>
      </w:r>
    </w:p>
    <w:p w:rsidR="00B94B0F" w:rsidRPr="00182CFE" w:rsidRDefault="00B94B0F" w:rsidP="00A63878">
      <w:pPr>
        <w:spacing w:before="120"/>
        <w:ind w:left="1134" w:right="1174" w:firstLine="567"/>
        <w:jc w:val="both"/>
        <w:rPr>
          <w:i/>
        </w:rPr>
      </w:pPr>
      <w:r w:rsidRPr="00182CFE">
        <w:rPr>
          <w:i/>
        </w:rPr>
        <w:t>The Conference of the Parties</w:t>
      </w:r>
      <w:r w:rsidRPr="005F3089">
        <w:t>,</w:t>
      </w:r>
    </w:p>
    <w:p w:rsidR="00B94B0F" w:rsidRPr="00182CFE" w:rsidRDefault="00B94B0F" w:rsidP="00A63878">
      <w:pPr>
        <w:spacing w:before="120"/>
        <w:ind w:left="1134" w:right="1174" w:firstLine="567"/>
        <w:jc w:val="both"/>
        <w:rPr>
          <w:i/>
        </w:rPr>
      </w:pPr>
      <w:r w:rsidRPr="00182CFE">
        <w:rPr>
          <w:i/>
        </w:rPr>
        <w:t xml:space="preserve">Recalling </w:t>
      </w:r>
      <w:r w:rsidRPr="00182CFE">
        <w:t>the relevant provisions of the Convention, in particular Article 4, paragraphs 1, 3 and 7, and Article 12, paragraphs 1, 4, 5 and 7,</w:t>
      </w:r>
    </w:p>
    <w:p w:rsidR="00B94B0F" w:rsidRPr="00182CFE" w:rsidRDefault="00B94B0F" w:rsidP="00A63878">
      <w:pPr>
        <w:spacing w:before="120"/>
        <w:ind w:left="1134" w:right="1174" w:firstLine="567"/>
        <w:jc w:val="both"/>
      </w:pPr>
      <w:r w:rsidRPr="00182CFE">
        <w:rPr>
          <w:i/>
        </w:rPr>
        <w:t xml:space="preserve">Also recalling </w:t>
      </w:r>
      <w:r w:rsidRPr="00182CFE">
        <w:t>decisions 3/CP.8, 17/CP.8, 1/CP.16, 2/CP.17 and 19/CP.19,</w:t>
      </w:r>
    </w:p>
    <w:p w:rsidR="00B94B0F" w:rsidRPr="00182CFE" w:rsidRDefault="00B94B0F" w:rsidP="00A63878">
      <w:pPr>
        <w:spacing w:before="120"/>
        <w:ind w:left="1134" w:right="1174" w:firstLine="567"/>
        <w:jc w:val="both"/>
        <w:rPr>
          <w:i/>
        </w:rPr>
      </w:pPr>
      <w:r w:rsidRPr="00182CFE">
        <w:rPr>
          <w:i/>
        </w:rPr>
        <w:t xml:space="preserve">Acknowledging </w:t>
      </w:r>
      <w:r w:rsidRPr="00182CFE">
        <w:t>the contributions of the Consultative Group of Experts on National Communications from Parties not included in Annex I to the Convention to enhancing capacity-building and participation in measurement, reporting and verification arrangements for developing countries under the Convention</w:t>
      </w:r>
      <w:r w:rsidRPr="00182CFE">
        <w:rPr>
          <w:i/>
        </w:rPr>
        <w:t xml:space="preserve">, </w:t>
      </w:r>
    </w:p>
    <w:p w:rsidR="00B94B0F" w:rsidRPr="00182CFE" w:rsidRDefault="00B94B0F" w:rsidP="00A63878">
      <w:pPr>
        <w:spacing w:before="120"/>
        <w:ind w:left="1134" w:right="1174" w:firstLine="567"/>
        <w:jc w:val="both"/>
        <w:rPr>
          <w:i/>
        </w:rPr>
      </w:pPr>
      <w:r w:rsidRPr="00182CFE">
        <w:rPr>
          <w:i/>
        </w:rPr>
        <w:t xml:space="preserve">Noting </w:t>
      </w:r>
      <w:r w:rsidRPr="00182CFE">
        <w:t>the progress made by the Consultative Group of Experts as reflected in its 2016 progress report,</w:t>
      </w:r>
      <w:r w:rsidRPr="00182CFE">
        <w:rPr>
          <w:i/>
        </w:rPr>
        <w:t xml:space="preserve"> </w:t>
      </w:r>
    </w:p>
    <w:p w:rsidR="00B94B0F" w:rsidRPr="00182CFE" w:rsidRDefault="00B94B0F" w:rsidP="00A63878">
      <w:pPr>
        <w:spacing w:before="120"/>
        <w:ind w:left="1134" w:right="1174" w:firstLine="567"/>
        <w:jc w:val="both"/>
      </w:pPr>
      <w:r>
        <w:rPr>
          <w:i/>
        </w:rPr>
        <w:t>Also n</w:t>
      </w:r>
      <w:r w:rsidRPr="00182CFE">
        <w:rPr>
          <w:i/>
        </w:rPr>
        <w:t xml:space="preserve">oting </w:t>
      </w:r>
      <w:r w:rsidRPr="00182CFE">
        <w:t xml:space="preserve">that the Consultative Group of Experts was mandated to continue for a period of five years from 2014 to 2018, </w:t>
      </w:r>
    </w:p>
    <w:p w:rsidR="00B94B0F" w:rsidRPr="00182CFE" w:rsidRDefault="00B94B0F" w:rsidP="00A63878">
      <w:pPr>
        <w:spacing w:before="120"/>
        <w:ind w:left="1134" w:right="1174" w:firstLine="567"/>
        <w:jc w:val="both"/>
      </w:pPr>
      <w:r w:rsidRPr="00182CFE">
        <w:rPr>
          <w:i/>
        </w:rPr>
        <w:t xml:space="preserve">Having reviewed </w:t>
      </w:r>
      <w:r w:rsidRPr="00182CFE">
        <w:t xml:space="preserve">the mandate and terms of reference of the Consultative Group of Experts, </w:t>
      </w:r>
    </w:p>
    <w:p w:rsidR="00B94B0F" w:rsidRPr="00E9109F" w:rsidRDefault="00663684" w:rsidP="00663684">
      <w:pPr>
        <w:pStyle w:val="RegSingleTxtG"/>
        <w:numPr>
          <w:ilvl w:val="0"/>
          <w:numId w:val="0"/>
        </w:numPr>
        <w:tabs>
          <w:tab w:val="left" w:pos="568"/>
        </w:tabs>
        <w:spacing w:before="120"/>
        <w:ind w:left="1135"/>
      </w:pPr>
      <w:r w:rsidRPr="00E9109F">
        <w:t>1.</w:t>
      </w:r>
      <w:r w:rsidRPr="00E9109F">
        <w:tab/>
      </w:r>
      <w:r w:rsidR="00B94B0F" w:rsidRPr="004F4E03">
        <w:rPr>
          <w:i/>
        </w:rPr>
        <w:t xml:space="preserve">Decides </w:t>
      </w:r>
      <w:r w:rsidR="00B94B0F" w:rsidRPr="00182CFE">
        <w:t>that the mandate and terms of reference of the Consultative Group of Experts on National Communications from Parties not included in Annex I to the Convention as contained in decision 19/CP.19 and the annex thereto shall remain unchanged;</w:t>
      </w:r>
    </w:p>
    <w:p w:rsidR="00B94B0F" w:rsidRPr="00182CFE" w:rsidRDefault="00663684" w:rsidP="00663684">
      <w:pPr>
        <w:pStyle w:val="RegSingleTxtG"/>
        <w:numPr>
          <w:ilvl w:val="0"/>
          <w:numId w:val="0"/>
        </w:numPr>
        <w:tabs>
          <w:tab w:val="left" w:pos="568"/>
        </w:tabs>
        <w:ind w:left="1135"/>
      </w:pPr>
      <w:r w:rsidRPr="00182CFE">
        <w:t>2.</w:t>
      </w:r>
      <w:r w:rsidRPr="00182CFE">
        <w:tab/>
      </w:r>
      <w:r w:rsidR="00B94B0F" w:rsidRPr="00182CFE">
        <w:rPr>
          <w:i/>
        </w:rPr>
        <w:t xml:space="preserve">Requests </w:t>
      </w:r>
      <w:r w:rsidR="00B94B0F" w:rsidRPr="00182CFE">
        <w:t>the Subsidiary Body for Implementation, at its forty-eighth session (April–May 2018), to consider a review of the term and mandate, including the terms of reference, of the Consultative Group of Experts with a view to recommending a draft decision thereon for consideration and adoption by the Conference of the Parties at its twenty-fourth session (</w:t>
      </w:r>
      <w:r w:rsidR="00B94B0F">
        <w:t xml:space="preserve">December </w:t>
      </w:r>
      <w:r w:rsidR="00B94B0F" w:rsidRPr="00182CFE">
        <w:t>2018);</w:t>
      </w:r>
    </w:p>
    <w:p w:rsidR="00B94B0F" w:rsidRPr="00E9109F" w:rsidRDefault="00663684" w:rsidP="00663684">
      <w:pPr>
        <w:pStyle w:val="RegSingleTxtG"/>
        <w:numPr>
          <w:ilvl w:val="0"/>
          <w:numId w:val="0"/>
        </w:numPr>
        <w:tabs>
          <w:tab w:val="left" w:pos="568"/>
        </w:tabs>
        <w:ind w:left="1135"/>
      </w:pPr>
      <w:r w:rsidRPr="00E9109F">
        <w:t>3.</w:t>
      </w:r>
      <w:r w:rsidRPr="00E9109F">
        <w:tab/>
      </w:r>
      <w:r w:rsidR="00B94B0F" w:rsidRPr="00182CFE">
        <w:rPr>
          <w:i/>
        </w:rPr>
        <w:t xml:space="preserve">Requests </w:t>
      </w:r>
      <w:r w:rsidR="00B94B0F" w:rsidRPr="00182CFE">
        <w:t>the secretariat to facilitate the actions of the Consultative Group of Experts called for in paragraph 1 above, subject to the availability of financial resources.</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8061E0">
          <w:headerReference w:type="even" r:id="rId26"/>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sidRPr="00C84A66">
        <w:rPr>
          <w:bCs/>
        </w:rPr>
        <w:lastRenderedPageBreak/>
        <w:t xml:space="preserve">Decision </w:t>
      </w:r>
      <w:r>
        <w:rPr>
          <w:bCs/>
        </w:rPr>
        <w:t>21</w:t>
      </w:r>
      <w:r w:rsidRPr="00C84A66">
        <w:rPr>
          <w:bCs/>
        </w:rPr>
        <w:t>/CP.22</w:t>
      </w:r>
    </w:p>
    <w:p w:rsidR="00B94B0F" w:rsidRPr="00C84A66" w:rsidRDefault="00B94B0F" w:rsidP="00B94B0F">
      <w:pPr>
        <w:pStyle w:val="HChG"/>
      </w:pPr>
      <w:r>
        <w:tab/>
      </w:r>
      <w:r>
        <w:tab/>
        <w:t>G</w:t>
      </w:r>
      <w:r w:rsidRPr="00C84A66">
        <w:t>ender</w:t>
      </w:r>
      <w:r>
        <w:t xml:space="preserve"> and climate change</w:t>
      </w:r>
    </w:p>
    <w:p w:rsidR="00B94B0F" w:rsidRPr="000754FC" w:rsidRDefault="00B94B0F" w:rsidP="00B94B0F">
      <w:pPr>
        <w:spacing w:before="120"/>
        <w:ind w:left="1134" w:right="1174" w:firstLine="567"/>
        <w:rPr>
          <w:i/>
        </w:rPr>
      </w:pPr>
      <w:r w:rsidRPr="000754FC">
        <w:rPr>
          <w:i/>
        </w:rPr>
        <w:t>The Conference of the Parties</w:t>
      </w:r>
      <w:r w:rsidRPr="003F5A5B">
        <w:t>,</w:t>
      </w:r>
    </w:p>
    <w:p w:rsidR="00B94B0F" w:rsidRDefault="00B94B0F" w:rsidP="00B94B0F">
      <w:pPr>
        <w:spacing w:before="120"/>
        <w:ind w:left="1134" w:right="1174" w:firstLine="567"/>
        <w:jc w:val="both"/>
      </w:pPr>
      <w:r w:rsidRPr="000754FC">
        <w:rPr>
          <w:i/>
        </w:rPr>
        <w:t>Recalling</w:t>
      </w:r>
      <w:r>
        <w:t xml:space="preserve"> </w:t>
      </w:r>
      <w:r w:rsidRPr="00D07E15">
        <w:t>decisions 36/CP.7, 1/CP.16, 23/CP.18, 18/CP.20 and 1/CP</w:t>
      </w:r>
      <w:r>
        <w:t>.</w:t>
      </w:r>
      <w:r w:rsidRPr="00D07E15">
        <w:t>21 and the Paris Agreement</w:t>
      </w:r>
      <w:r>
        <w:t>,</w:t>
      </w:r>
    </w:p>
    <w:p w:rsidR="00B94B0F" w:rsidRPr="008A48CF" w:rsidRDefault="00B94B0F" w:rsidP="00B94B0F">
      <w:pPr>
        <w:spacing w:before="120"/>
        <w:ind w:left="1134" w:right="1174" w:firstLine="567"/>
        <w:jc w:val="both"/>
      </w:pPr>
      <w:r w:rsidRPr="008A48CF">
        <w:rPr>
          <w:i/>
        </w:rPr>
        <w:t>Underscoring</w:t>
      </w:r>
      <w:r w:rsidRPr="008A48CF">
        <w:t xml:space="preserve"> the importance of coherence between gender-responsive climate policies and </w:t>
      </w:r>
      <w:r>
        <w:t xml:space="preserve">the </w:t>
      </w:r>
      <w:r w:rsidRPr="008A48CF">
        <w:t>balanced participation of women and men in the Convention process and the provisions of international instruments and outcomes such as the Convention on the Elimination of All Forms of Discrimination against Women,</w:t>
      </w:r>
      <w:r w:rsidRPr="000C7C80">
        <w:rPr>
          <w:sz w:val="18"/>
          <w:vertAlign w:val="superscript"/>
        </w:rPr>
        <w:footnoteReference w:id="16"/>
      </w:r>
      <w:r w:rsidRPr="008A48CF">
        <w:t xml:space="preserve"> the Beijing Declaration and Platform for Action</w:t>
      </w:r>
      <w:r w:rsidRPr="000C7C80">
        <w:rPr>
          <w:sz w:val="18"/>
          <w:vertAlign w:val="superscript"/>
        </w:rPr>
        <w:footnoteReference w:id="17"/>
      </w:r>
      <w:r w:rsidRPr="008A48CF">
        <w:t xml:space="preserve"> and the 2030 Agenda for Sustainable Development,</w:t>
      </w:r>
      <w:r w:rsidRPr="000C7C80">
        <w:rPr>
          <w:sz w:val="18"/>
          <w:vertAlign w:val="superscript"/>
        </w:rPr>
        <w:footnoteReference w:id="18"/>
      </w:r>
    </w:p>
    <w:p w:rsidR="00B94B0F" w:rsidRPr="008A48CF" w:rsidRDefault="00B94B0F" w:rsidP="00B94B0F">
      <w:pPr>
        <w:spacing w:before="120"/>
        <w:ind w:left="1134" w:right="1174" w:firstLine="567"/>
        <w:jc w:val="both"/>
      </w:pPr>
      <w:r w:rsidRPr="008A48CF">
        <w:rPr>
          <w:i/>
        </w:rPr>
        <w:t>Noting</w:t>
      </w:r>
      <w:r w:rsidRPr="008A48CF">
        <w:t xml:space="preserve"> that, notwithstanding the progress made by Parties in implementing the decisions referred to above, there is a need for women to be represented in all aspects of the Convention process, including through membership of their national delegations and the chairing and facilitation of formal and informal negotiating groups,</w:t>
      </w:r>
    </w:p>
    <w:p w:rsidR="00B94B0F" w:rsidRPr="008A48CF" w:rsidRDefault="00B94B0F" w:rsidP="00B94B0F">
      <w:pPr>
        <w:spacing w:before="120"/>
        <w:ind w:left="1134" w:right="1174" w:firstLine="567"/>
        <w:jc w:val="both"/>
      </w:pPr>
      <w:r w:rsidRPr="008A48CF">
        <w:rPr>
          <w:i/>
        </w:rPr>
        <w:t xml:space="preserve">Acknowledging with appreciation </w:t>
      </w:r>
      <w:r w:rsidRPr="008A48CF">
        <w:t>the important role of the two-year Lima work programme on gender in the incorporation of a gender perspective in the work of the Parties and the secretariat in implementing the Convention,</w:t>
      </w:r>
    </w:p>
    <w:p w:rsidR="00B94B0F" w:rsidRPr="008A48CF" w:rsidRDefault="00B94B0F" w:rsidP="00B94B0F">
      <w:pPr>
        <w:spacing w:before="120"/>
        <w:ind w:left="1134" w:right="1174" w:firstLine="567"/>
        <w:jc w:val="both"/>
        <w:rPr>
          <w:lang w:val="en-US"/>
        </w:rPr>
      </w:pPr>
      <w:r w:rsidRPr="008A48CF">
        <w:rPr>
          <w:i/>
        </w:rPr>
        <w:t xml:space="preserve">Noting </w:t>
      </w:r>
      <w:r w:rsidRPr="008A48CF">
        <w:rPr>
          <w:i/>
          <w:lang w:val="en-US"/>
        </w:rPr>
        <w:t xml:space="preserve">with appreciation </w:t>
      </w:r>
      <w:r w:rsidRPr="008A48CF">
        <w:rPr>
          <w:lang w:val="en-US"/>
        </w:rPr>
        <w:t>the contributions received in support of the work undertaken so far,</w:t>
      </w:r>
    </w:p>
    <w:p w:rsidR="00B94B0F" w:rsidRPr="008A48CF" w:rsidRDefault="00B94B0F" w:rsidP="00B94B0F">
      <w:pPr>
        <w:spacing w:before="120"/>
        <w:ind w:left="1134" w:right="1174" w:firstLine="567"/>
        <w:jc w:val="both"/>
      </w:pPr>
      <w:r w:rsidRPr="008A48CF">
        <w:rPr>
          <w:i/>
        </w:rPr>
        <w:t>Also noting</w:t>
      </w:r>
      <w:r w:rsidRPr="008A48CF">
        <w:t xml:space="preserve"> that gender-responsive climate policy still requires further strengthening in all activities concerning adaptation, mitigation and related means of implementation (finance, technology development and transfer and capacity-building) as well as decision-making on the implementation of climate policies,</w:t>
      </w:r>
    </w:p>
    <w:p w:rsidR="00B94B0F" w:rsidRPr="008A48CF" w:rsidRDefault="00663684" w:rsidP="00663684">
      <w:pPr>
        <w:pStyle w:val="RegSingleTxtG"/>
        <w:numPr>
          <w:ilvl w:val="0"/>
          <w:numId w:val="0"/>
        </w:numPr>
        <w:tabs>
          <w:tab w:val="left" w:pos="568"/>
        </w:tabs>
        <w:spacing w:before="120"/>
        <w:ind w:left="1135"/>
      </w:pPr>
      <w:r w:rsidRPr="008A48CF">
        <w:t>1.</w:t>
      </w:r>
      <w:r w:rsidRPr="008A48CF">
        <w:tab/>
      </w:r>
      <w:r w:rsidR="00B94B0F" w:rsidRPr="00DA6CAE">
        <w:rPr>
          <w:i/>
        </w:rPr>
        <w:t xml:space="preserve">Welcomes </w:t>
      </w:r>
      <w:r w:rsidR="00B94B0F" w:rsidRPr="008A48CF">
        <w:t>the report by the secretariat on the in-session workshop on gender-responsive climate policy with a focus on adaptation, capacity-building and training for delegates on gender issues,</w:t>
      </w:r>
      <w:r w:rsidR="00B94B0F" w:rsidRPr="000C7C80">
        <w:rPr>
          <w:sz w:val="18"/>
          <w:vertAlign w:val="superscript"/>
        </w:rPr>
        <w:footnoteReference w:id="19"/>
      </w:r>
      <w:r w:rsidR="00B94B0F" w:rsidRPr="00DA6CAE">
        <w:rPr>
          <w:vertAlign w:val="superscript"/>
        </w:rPr>
        <w:t xml:space="preserve"> </w:t>
      </w:r>
      <w:r w:rsidR="00B94B0F" w:rsidRPr="008A48CF">
        <w:t>which was held during the forty-fourth sessions of the subsidiary bodies;</w:t>
      </w:r>
    </w:p>
    <w:p w:rsidR="00B94B0F" w:rsidRPr="008A48CF" w:rsidRDefault="00663684" w:rsidP="00663684">
      <w:pPr>
        <w:pStyle w:val="RegSingleTxtG"/>
        <w:numPr>
          <w:ilvl w:val="0"/>
          <w:numId w:val="0"/>
        </w:numPr>
        <w:tabs>
          <w:tab w:val="left" w:pos="568"/>
        </w:tabs>
        <w:spacing w:before="120"/>
        <w:ind w:left="1134"/>
      </w:pPr>
      <w:r w:rsidRPr="008A48CF">
        <w:t>2.</w:t>
      </w:r>
      <w:r w:rsidRPr="008A48CF">
        <w:tab/>
      </w:r>
      <w:r w:rsidR="00B94B0F" w:rsidRPr="008A48CF">
        <w:rPr>
          <w:i/>
        </w:rPr>
        <w:t xml:space="preserve">Notes </w:t>
      </w:r>
      <w:r w:rsidR="00B94B0F" w:rsidRPr="000F388A">
        <w:rPr>
          <w:i/>
        </w:rPr>
        <w:t>with appreciation</w:t>
      </w:r>
      <w:r w:rsidR="00B94B0F" w:rsidRPr="008A48CF">
        <w:t xml:space="preserve"> the submissions from Parties and observers as input </w:t>
      </w:r>
      <w:r w:rsidR="00B94B0F">
        <w:t>for</w:t>
      </w:r>
      <w:r w:rsidR="00B94B0F" w:rsidRPr="008A48CF">
        <w:t xml:space="preserve"> the workshop referred to in </w:t>
      </w:r>
      <w:r w:rsidR="00B94B0F" w:rsidRPr="00442DDC">
        <w:t>paragraph 1 above</w:t>
      </w:r>
      <w:r w:rsidR="00B94B0F" w:rsidRPr="008A48CF">
        <w:t>;</w:t>
      </w:r>
    </w:p>
    <w:p w:rsidR="00B94B0F" w:rsidRPr="008A48CF" w:rsidRDefault="00663684" w:rsidP="00663684">
      <w:pPr>
        <w:pStyle w:val="RegSingleTxtG"/>
        <w:numPr>
          <w:ilvl w:val="0"/>
          <w:numId w:val="0"/>
        </w:numPr>
        <w:tabs>
          <w:tab w:val="left" w:pos="568"/>
        </w:tabs>
        <w:spacing w:before="120"/>
        <w:ind w:left="1134"/>
      </w:pPr>
      <w:r w:rsidRPr="008A48CF">
        <w:t>3.</w:t>
      </w:r>
      <w:r w:rsidRPr="008A48CF">
        <w:tab/>
      </w:r>
      <w:r w:rsidR="00B94B0F" w:rsidRPr="008A48CF">
        <w:rPr>
          <w:i/>
        </w:rPr>
        <w:t>Takes note</w:t>
      </w:r>
      <w:r w:rsidR="00B94B0F" w:rsidRPr="008A48CF">
        <w:t xml:space="preserve"> of the report by the secretariat on the gender composition of constituted bodies established under the Convention and its Kyoto Protocol,</w:t>
      </w:r>
      <w:r w:rsidR="00B94B0F" w:rsidRPr="000C7C80">
        <w:rPr>
          <w:sz w:val="18"/>
          <w:vertAlign w:val="superscript"/>
        </w:rPr>
        <w:footnoteReference w:id="20"/>
      </w:r>
      <w:r w:rsidR="00B94B0F" w:rsidRPr="008A48CF">
        <w:t xml:space="preserve"> and the urgent need to improve the representation of women in all of the bodies established under the Convention, the Kyoto Protocol and the Paris Agreement;</w:t>
      </w:r>
    </w:p>
    <w:p w:rsidR="00B94B0F" w:rsidRPr="008A48CF" w:rsidRDefault="00663684" w:rsidP="00663684">
      <w:pPr>
        <w:pStyle w:val="RegSingleTxtG"/>
        <w:numPr>
          <w:ilvl w:val="0"/>
          <w:numId w:val="0"/>
        </w:numPr>
        <w:tabs>
          <w:tab w:val="left" w:pos="568"/>
        </w:tabs>
        <w:spacing w:before="120"/>
        <w:ind w:left="1134"/>
      </w:pPr>
      <w:r w:rsidRPr="008A48CF">
        <w:t>4.</w:t>
      </w:r>
      <w:r w:rsidRPr="008A48CF">
        <w:tab/>
      </w:r>
      <w:r w:rsidR="00B94B0F" w:rsidRPr="008A48CF">
        <w:rPr>
          <w:i/>
        </w:rPr>
        <w:t xml:space="preserve">Urges </w:t>
      </w:r>
      <w:r w:rsidR="00B94B0F" w:rsidRPr="008A48CF">
        <w:t>Parties to enhance their efforts in advancing the implementation of decisions 36/CP.7, 1/CP.16, 23/CP.18 and 18/CP.20;</w:t>
      </w:r>
    </w:p>
    <w:p w:rsidR="00B94B0F" w:rsidRPr="008A48CF" w:rsidRDefault="00663684" w:rsidP="00663684">
      <w:pPr>
        <w:pStyle w:val="RegSingleTxtG"/>
        <w:numPr>
          <w:ilvl w:val="0"/>
          <w:numId w:val="0"/>
        </w:numPr>
        <w:tabs>
          <w:tab w:val="left" w:pos="568"/>
        </w:tabs>
        <w:spacing w:before="120"/>
        <w:ind w:left="1134"/>
      </w:pPr>
      <w:r w:rsidRPr="008A48CF">
        <w:lastRenderedPageBreak/>
        <w:t>5.</w:t>
      </w:r>
      <w:r w:rsidRPr="008A48CF">
        <w:tab/>
      </w:r>
      <w:r w:rsidR="00B94B0F" w:rsidRPr="008A48CF">
        <w:rPr>
          <w:i/>
        </w:rPr>
        <w:t xml:space="preserve">Takes note </w:t>
      </w:r>
      <w:r w:rsidR="00B94B0F" w:rsidRPr="008A48CF">
        <w:t>of the submissions from Parties and observers on possible elements and guiding principles for continuing and enhancing the Lima work programme on gender,</w:t>
      </w:r>
      <w:r w:rsidR="00B94B0F" w:rsidRPr="000C7C80">
        <w:rPr>
          <w:sz w:val="18"/>
          <w:vertAlign w:val="superscript"/>
        </w:rPr>
        <w:footnoteReference w:id="21"/>
      </w:r>
      <w:r w:rsidR="00B94B0F" w:rsidRPr="000C7C80">
        <w:rPr>
          <w:sz w:val="18"/>
          <w:vertAlign w:val="superscript"/>
        </w:rPr>
        <w:t xml:space="preserve"> </w:t>
      </w:r>
      <w:r w:rsidR="00B94B0F" w:rsidRPr="008A48CF">
        <w:t>including information from Parties on progress made towards achieving the goals of gender balance and gender-responsive climate policy in response to the invitation contained in decision 18/CP.20, paragraph 1;</w:t>
      </w:r>
    </w:p>
    <w:p w:rsidR="00B94B0F" w:rsidRPr="008A48CF" w:rsidRDefault="00663684" w:rsidP="00663684">
      <w:pPr>
        <w:pStyle w:val="RegSingleTxtG"/>
        <w:numPr>
          <w:ilvl w:val="0"/>
          <w:numId w:val="0"/>
        </w:numPr>
        <w:tabs>
          <w:tab w:val="left" w:pos="568"/>
        </w:tabs>
        <w:spacing w:before="120"/>
        <w:ind w:left="1134"/>
      </w:pPr>
      <w:r w:rsidRPr="008A48CF">
        <w:t>6.</w:t>
      </w:r>
      <w:r w:rsidRPr="008A48CF">
        <w:tab/>
      </w:r>
      <w:r w:rsidR="00B94B0F" w:rsidRPr="008A48CF">
        <w:rPr>
          <w:i/>
        </w:rPr>
        <w:t>Decides</w:t>
      </w:r>
      <w:r w:rsidR="00B94B0F" w:rsidRPr="008A48CF">
        <w:t xml:space="preserve"> to continue and enhance the Lima work programme on gender for </w:t>
      </w:r>
      <w:r w:rsidR="00B94B0F">
        <w:t xml:space="preserve">a period of </w:t>
      </w:r>
      <w:r w:rsidR="00B94B0F" w:rsidRPr="008A48CF">
        <w:t xml:space="preserve">three years as set out in paragraphs 7–30 below and to undertake, at </w:t>
      </w:r>
      <w:r w:rsidR="00B94B0F">
        <w:t>the</w:t>
      </w:r>
      <w:r w:rsidR="00B94B0F" w:rsidRPr="008A48CF">
        <w:t xml:space="preserve"> twenty-fifth session </w:t>
      </w:r>
      <w:r w:rsidR="00B94B0F">
        <w:t xml:space="preserve">of the Conference of the Parties </w:t>
      </w:r>
      <w:r w:rsidR="00B94B0F" w:rsidRPr="008A48CF">
        <w:t>(November 2019), a review of the work programme;</w:t>
      </w:r>
    </w:p>
    <w:p w:rsidR="00B94B0F" w:rsidRPr="008A48CF" w:rsidRDefault="00663684" w:rsidP="00663684">
      <w:pPr>
        <w:pStyle w:val="RegSingleTxtG"/>
        <w:numPr>
          <w:ilvl w:val="0"/>
          <w:numId w:val="0"/>
        </w:numPr>
        <w:tabs>
          <w:tab w:val="left" w:pos="568"/>
        </w:tabs>
        <w:spacing w:before="120"/>
        <w:ind w:left="1134"/>
      </w:pPr>
      <w:r w:rsidRPr="008A48CF">
        <w:t>7.</w:t>
      </w:r>
      <w:r w:rsidRPr="008A48CF">
        <w:tab/>
      </w:r>
      <w:r w:rsidR="00B94B0F" w:rsidRPr="008A48CF">
        <w:rPr>
          <w:i/>
        </w:rPr>
        <w:t>Invites</w:t>
      </w:r>
      <w:r w:rsidR="00B94B0F" w:rsidRPr="008A48CF">
        <w:t xml:space="preserve"> Parties to continue to assist: </w:t>
      </w:r>
    </w:p>
    <w:p w:rsidR="00B94B0F" w:rsidRPr="008A48CF" w:rsidRDefault="00663684" w:rsidP="00663684">
      <w:pPr>
        <w:pStyle w:val="RegSingleTxtG"/>
        <w:numPr>
          <w:ilvl w:val="0"/>
          <w:numId w:val="0"/>
        </w:numPr>
        <w:tabs>
          <w:tab w:val="left" w:pos="2269"/>
        </w:tabs>
        <w:spacing w:before="120"/>
        <w:ind w:left="1135" w:firstLine="567"/>
      </w:pPr>
      <w:r w:rsidRPr="008A48CF">
        <w:t>(a)</w:t>
      </w:r>
      <w:r w:rsidRPr="008A48CF">
        <w:tab/>
      </w:r>
      <w:r w:rsidR="00B94B0F" w:rsidRPr="008A48CF">
        <w:t>Training and awareness-raising for female and male delegates on issues related to gender balance and climate change;</w:t>
      </w:r>
    </w:p>
    <w:p w:rsidR="00B94B0F" w:rsidRPr="008A48CF" w:rsidRDefault="00663684" w:rsidP="00663684">
      <w:pPr>
        <w:pStyle w:val="RegSingleTxtG"/>
        <w:numPr>
          <w:ilvl w:val="0"/>
          <w:numId w:val="0"/>
        </w:numPr>
        <w:tabs>
          <w:tab w:val="left" w:pos="2269"/>
        </w:tabs>
        <w:spacing w:before="120"/>
        <w:ind w:left="1135" w:firstLine="567"/>
      </w:pPr>
      <w:r w:rsidRPr="008A48CF">
        <w:t>(b)</w:t>
      </w:r>
      <w:r w:rsidRPr="008A48CF">
        <w:tab/>
      </w:r>
      <w:r w:rsidR="00B94B0F">
        <w:t>B</w:t>
      </w:r>
      <w:r w:rsidR="00B94B0F" w:rsidRPr="008A48CF">
        <w:t xml:space="preserve">uilding the skills and capacity of their female delegates to participate effectively in UNFCCC meetings through training on, inter alia, negotiation skills, </w:t>
      </w:r>
      <w:r w:rsidR="00B94B0F">
        <w:t xml:space="preserve">the </w:t>
      </w:r>
      <w:r w:rsidR="00B94B0F" w:rsidRPr="008A48CF">
        <w:t>drafting of legal documents and strategic communication;</w:t>
      </w:r>
    </w:p>
    <w:p w:rsidR="00B94B0F" w:rsidRPr="008A48CF" w:rsidRDefault="00663684" w:rsidP="00663684">
      <w:pPr>
        <w:pStyle w:val="RegSingleTxtG"/>
        <w:numPr>
          <w:ilvl w:val="0"/>
          <w:numId w:val="0"/>
        </w:numPr>
        <w:tabs>
          <w:tab w:val="left" w:pos="568"/>
        </w:tabs>
        <w:spacing w:before="120"/>
        <w:ind w:left="1134"/>
      </w:pPr>
      <w:r w:rsidRPr="008A48CF">
        <w:t>8.</w:t>
      </w:r>
      <w:r w:rsidRPr="008A48CF">
        <w:tab/>
      </w:r>
      <w:r w:rsidR="00B94B0F" w:rsidRPr="008A48CF">
        <w:rPr>
          <w:i/>
        </w:rPr>
        <w:t>Also invites</w:t>
      </w:r>
      <w:r w:rsidR="00B94B0F" w:rsidRPr="008A48CF">
        <w:t xml:space="preserve"> Parties and relevant organizations to continue to assist the activities referred to in paragraph 7 above, with a special focus on training and capacity-building for delegates from Parties that are particularly vulnerable to the adverse effects of climate change;</w:t>
      </w:r>
    </w:p>
    <w:p w:rsidR="00B94B0F" w:rsidRPr="008A48CF" w:rsidRDefault="00663684" w:rsidP="00663684">
      <w:pPr>
        <w:pStyle w:val="RegSingleTxtG"/>
        <w:numPr>
          <w:ilvl w:val="0"/>
          <w:numId w:val="0"/>
        </w:numPr>
        <w:tabs>
          <w:tab w:val="left" w:pos="568"/>
        </w:tabs>
        <w:spacing w:before="120"/>
        <w:ind w:left="1134"/>
      </w:pPr>
      <w:r w:rsidRPr="008A48CF">
        <w:t>9.</w:t>
      </w:r>
      <w:r w:rsidRPr="008A48CF">
        <w:tab/>
      </w:r>
      <w:r w:rsidR="00B94B0F" w:rsidRPr="008A48CF">
        <w:rPr>
          <w:i/>
        </w:rPr>
        <w:t xml:space="preserve">Requests </w:t>
      </w:r>
      <w:r w:rsidR="00B94B0F" w:rsidRPr="008A48CF">
        <w:t>the secretariat to continue to support the organization of the training and capacity-building efforts referred to in paragraphs 7 and 8 above, inter alia, in conjunction with sessions of the subsidiary bodies;</w:t>
      </w:r>
    </w:p>
    <w:p w:rsidR="00B94B0F" w:rsidRPr="008A48CF" w:rsidRDefault="00663684" w:rsidP="00663684">
      <w:pPr>
        <w:pStyle w:val="RegSingleTxtG"/>
        <w:numPr>
          <w:ilvl w:val="0"/>
          <w:numId w:val="0"/>
        </w:numPr>
        <w:tabs>
          <w:tab w:val="left" w:pos="568"/>
        </w:tabs>
        <w:spacing w:before="120"/>
        <w:ind w:left="1134"/>
      </w:pPr>
      <w:r w:rsidRPr="008A48CF">
        <w:t>10.</w:t>
      </w:r>
      <w:r w:rsidRPr="008A48CF">
        <w:tab/>
      </w:r>
      <w:r w:rsidR="00B94B0F" w:rsidRPr="008A48CF">
        <w:rPr>
          <w:i/>
        </w:rPr>
        <w:t>Invites</w:t>
      </w:r>
      <w:r w:rsidR="00B94B0F" w:rsidRPr="008A48CF">
        <w:t xml:space="preserve"> Parties to increase the representation and active participation of women in the bodies established under the Convention;</w:t>
      </w:r>
    </w:p>
    <w:p w:rsidR="00B94B0F" w:rsidRPr="008A48CF" w:rsidRDefault="00663684" w:rsidP="00663684">
      <w:pPr>
        <w:pStyle w:val="RegSingleTxtG"/>
        <w:numPr>
          <w:ilvl w:val="0"/>
          <w:numId w:val="0"/>
        </w:numPr>
        <w:tabs>
          <w:tab w:val="left" w:pos="568"/>
        </w:tabs>
        <w:spacing w:before="120"/>
        <w:ind w:left="1134"/>
      </w:pPr>
      <w:r w:rsidRPr="008A48CF">
        <w:t>11.</w:t>
      </w:r>
      <w:r w:rsidRPr="008A48CF">
        <w:tab/>
      </w:r>
      <w:r w:rsidR="00B94B0F" w:rsidRPr="008A48CF">
        <w:rPr>
          <w:i/>
        </w:rPr>
        <w:t>Decides</w:t>
      </w:r>
      <w:r w:rsidR="00B94B0F" w:rsidRPr="008A48CF">
        <w:t xml:space="preserve"> that annual in-session workshops will be held in conjunction with </w:t>
      </w:r>
      <w:r w:rsidR="00B94B0F">
        <w:t xml:space="preserve">the </w:t>
      </w:r>
      <w:r w:rsidR="00B94B0F" w:rsidRPr="008A48CF">
        <w:t>sessions of the subsidiary bodies in the first sessional period of 2018 and 2019;</w:t>
      </w:r>
    </w:p>
    <w:p w:rsidR="00B94B0F" w:rsidRPr="00442DDC" w:rsidRDefault="00663684" w:rsidP="00663684">
      <w:pPr>
        <w:pStyle w:val="RegSingleTxtG"/>
        <w:numPr>
          <w:ilvl w:val="0"/>
          <w:numId w:val="0"/>
        </w:numPr>
        <w:tabs>
          <w:tab w:val="left" w:pos="568"/>
        </w:tabs>
        <w:spacing w:before="120"/>
        <w:ind w:left="1134"/>
      </w:pPr>
      <w:r w:rsidRPr="00442DDC">
        <w:t>12.</w:t>
      </w:r>
      <w:r w:rsidRPr="00442DDC">
        <w:tab/>
      </w:r>
      <w:r w:rsidR="00B94B0F" w:rsidRPr="008A48CF">
        <w:rPr>
          <w:i/>
        </w:rPr>
        <w:t>Requests</w:t>
      </w:r>
      <w:r w:rsidR="00B94B0F" w:rsidRPr="008A48CF">
        <w:t xml:space="preserve"> the Subsidiary Body for Implementation to elaborate the topics for the workshops </w:t>
      </w:r>
      <w:r w:rsidR="00B94B0F" w:rsidRPr="00442DDC">
        <w:t>referred to in paragraph 11 above during 2017 and to report on the topics that it recommends for the workshops to the Conference of the Parties at its twenty-third session (November 2017);</w:t>
      </w:r>
    </w:p>
    <w:p w:rsidR="00B94B0F" w:rsidRPr="00442DDC" w:rsidRDefault="00663684" w:rsidP="00663684">
      <w:pPr>
        <w:pStyle w:val="RegSingleTxtG"/>
        <w:numPr>
          <w:ilvl w:val="0"/>
          <w:numId w:val="0"/>
        </w:numPr>
        <w:tabs>
          <w:tab w:val="left" w:pos="568"/>
        </w:tabs>
        <w:spacing w:before="120"/>
        <w:ind w:left="1134"/>
      </w:pPr>
      <w:r w:rsidRPr="00442DDC">
        <w:t>13.</w:t>
      </w:r>
      <w:r w:rsidRPr="00442DDC">
        <w:tab/>
      </w:r>
      <w:r w:rsidR="00B94B0F" w:rsidRPr="00442DDC">
        <w:rPr>
          <w:i/>
        </w:rPr>
        <w:t>Also requests</w:t>
      </w:r>
      <w:r w:rsidR="00B94B0F" w:rsidRPr="00442DDC">
        <w:t xml:space="preserve"> the secretariat to prepare a technical paper identifying entry points for integrating gender considerations in workstreams under the UNFCCC process for consideration by the Subsidiary Body for Implementation at its forty-eighth session (April–May 2018);</w:t>
      </w:r>
    </w:p>
    <w:p w:rsidR="00B94B0F" w:rsidRPr="00442DDC" w:rsidRDefault="00663684" w:rsidP="00663684">
      <w:pPr>
        <w:pStyle w:val="RegSingleTxtG"/>
        <w:numPr>
          <w:ilvl w:val="0"/>
          <w:numId w:val="0"/>
        </w:numPr>
        <w:tabs>
          <w:tab w:val="left" w:pos="568"/>
        </w:tabs>
        <w:spacing w:before="120"/>
        <w:ind w:left="1134"/>
      </w:pPr>
      <w:r w:rsidRPr="00442DDC">
        <w:t>14.</w:t>
      </w:r>
      <w:r w:rsidRPr="00442DDC">
        <w:tab/>
      </w:r>
      <w:r w:rsidR="00B94B0F" w:rsidRPr="00442DDC">
        <w:rPr>
          <w:i/>
        </w:rPr>
        <w:t>Further requests</w:t>
      </w:r>
      <w:r w:rsidR="00B94B0F" w:rsidRPr="00442DDC">
        <w:t xml:space="preserve"> all constituted bodies under the UNFCCC process to include in their regular reports information on progress made towards integrating a gender perspective in their processes according to the entry points identified in the technical paper referred to in paragraph 13 above;</w:t>
      </w:r>
    </w:p>
    <w:p w:rsidR="00B94B0F" w:rsidRPr="008A48CF" w:rsidRDefault="00663684" w:rsidP="00663684">
      <w:pPr>
        <w:pStyle w:val="RegSingleTxtG"/>
        <w:numPr>
          <w:ilvl w:val="0"/>
          <w:numId w:val="0"/>
        </w:numPr>
        <w:tabs>
          <w:tab w:val="left" w:pos="568"/>
        </w:tabs>
        <w:spacing w:before="120"/>
        <w:ind w:left="1134"/>
      </w:pPr>
      <w:r w:rsidRPr="008A48CF">
        <w:t>15.</w:t>
      </w:r>
      <w:r w:rsidRPr="008A48CF">
        <w:tab/>
      </w:r>
      <w:r w:rsidR="00B94B0F" w:rsidRPr="008A48CF">
        <w:rPr>
          <w:i/>
        </w:rPr>
        <w:t>Requests</w:t>
      </w:r>
      <w:r w:rsidR="00B94B0F" w:rsidRPr="008A48CF">
        <w:t xml:space="preserve"> the secretariat to prepare biennial synthesis reports on the information contained in the reports referred to in paragraph 14 above for consideration by the Conference of the Parties, with the first biennial synthesis report to be prepared for the consideration of the Conference of the Parties at its twenty-fifth session (November 2019);</w:t>
      </w:r>
    </w:p>
    <w:p w:rsidR="00B94B0F" w:rsidRPr="008A48CF" w:rsidRDefault="00663684" w:rsidP="00663684">
      <w:pPr>
        <w:pStyle w:val="RegSingleTxtG"/>
        <w:numPr>
          <w:ilvl w:val="0"/>
          <w:numId w:val="0"/>
        </w:numPr>
        <w:tabs>
          <w:tab w:val="left" w:pos="568"/>
        </w:tabs>
        <w:spacing w:before="120"/>
        <w:ind w:left="1134"/>
      </w:pPr>
      <w:r w:rsidRPr="008A48CF">
        <w:lastRenderedPageBreak/>
        <w:t>16.</w:t>
      </w:r>
      <w:r w:rsidRPr="008A48CF">
        <w:tab/>
      </w:r>
      <w:r w:rsidR="00B94B0F" w:rsidRPr="008A48CF">
        <w:rPr>
          <w:i/>
        </w:rPr>
        <w:t>Encourages</w:t>
      </w:r>
      <w:r w:rsidR="00B94B0F" w:rsidRPr="008A48CF">
        <w:t xml:space="preserve"> Parties and the secretariat to take into consideration a gender perspective in the organization of the technical expert meetings on mitigation and adaptation, in accordance with decision 1/CP.21, paragraphs 111 and 129;</w:t>
      </w:r>
    </w:p>
    <w:p w:rsidR="00B94B0F" w:rsidRPr="008A48CF" w:rsidRDefault="00663684" w:rsidP="00663684">
      <w:pPr>
        <w:pStyle w:val="RegSingleTxtG"/>
        <w:numPr>
          <w:ilvl w:val="0"/>
          <w:numId w:val="0"/>
        </w:numPr>
        <w:tabs>
          <w:tab w:val="left" w:pos="568"/>
        </w:tabs>
        <w:spacing w:before="120"/>
        <w:ind w:left="1134"/>
      </w:pPr>
      <w:r w:rsidRPr="008A48CF">
        <w:t>17.</w:t>
      </w:r>
      <w:r w:rsidRPr="008A48CF">
        <w:tab/>
      </w:r>
      <w:r w:rsidR="00B94B0F" w:rsidRPr="008A48CF">
        <w:rPr>
          <w:i/>
        </w:rPr>
        <w:t xml:space="preserve">Invites </w:t>
      </w:r>
      <w:r w:rsidR="00B94B0F" w:rsidRPr="008A48CF">
        <w:t xml:space="preserve">Parties to mainstream a gender perspective in the enhancement of climate technology development and transfer; </w:t>
      </w:r>
    </w:p>
    <w:p w:rsidR="00B94B0F" w:rsidRPr="008A48CF" w:rsidRDefault="00663684" w:rsidP="00663684">
      <w:pPr>
        <w:pStyle w:val="RegSingleTxtG"/>
        <w:numPr>
          <w:ilvl w:val="0"/>
          <w:numId w:val="0"/>
        </w:numPr>
        <w:tabs>
          <w:tab w:val="left" w:pos="568"/>
        </w:tabs>
        <w:spacing w:before="120"/>
        <w:ind w:left="1134"/>
      </w:pPr>
      <w:r w:rsidRPr="008A48CF">
        <w:t>18.</w:t>
      </w:r>
      <w:r w:rsidRPr="008A48CF">
        <w:tab/>
      </w:r>
      <w:r w:rsidR="00B94B0F" w:rsidRPr="008A48CF">
        <w:rPr>
          <w:i/>
        </w:rPr>
        <w:t xml:space="preserve">Requests </w:t>
      </w:r>
      <w:r w:rsidR="00B94B0F">
        <w:t>the secretariat, if</w:t>
      </w:r>
      <w:r w:rsidR="00B94B0F" w:rsidRPr="008A48CF">
        <w:t xml:space="preserve"> updating the accreditation process for the Parties</w:t>
      </w:r>
      <w:r w:rsidR="00B94B0F">
        <w:t>,</w:t>
      </w:r>
      <w:r w:rsidR="00B94B0F" w:rsidRPr="008A48CF">
        <w:t xml:space="preserve"> to improve, as appropriate, the accuracy of data on the gender of the participants as a means </w:t>
      </w:r>
      <w:r w:rsidR="00B94B0F">
        <w:t>of</w:t>
      </w:r>
      <w:r w:rsidR="00B94B0F" w:rsidRPr="008A48CF">
        <w:t xml:space="preserve"> provid</w:t>
      </w:r>
      <w:r w:rsidR="00B94B0F">
        <w:t>ing</w:t>
      </w:r>
      <w:r w:rsidR="00B94B0F" w:rsidRPr="008A48CF">
        <w:t xml:space="preserve"> accurate data to assess progress </w:t>
      </w:r>
      <w:r w:rsidR="00B94B0F">
        <w:t xml:space="preserve">made </w:t>
      </w:r>
      <w:r w:rsidR="00B94B0F" w:rsidRPr="008A48CF">
        <w:t xml:space="preserve">on the participation of women delegates in UNFCCC meetings and </w:t>
      </w:r>
      <w:r w:rsidR="00B94B0F">
        <w:t xml:space="preserve">those of </w:t>
      </w:r>
      <w:r w:rsidR="00B94B0F" w:rsidRPr="008A48CF">
        <w:t>constituted bodies;</w:t>
      </w:r>
    </w:p>
    <w:p w:rsidR="00B94B0F" w:rsidRPr="008A48CF" w:rsidRDefault="00663684" w:rsidP="00663684">
      <w:pPr>
        <w:pStyle w:val="RegSingleTxtG"/>
        <w:numPr>
          <w:ilvl w:val="0"/>
          <w:numId w:val="0"/>
        </w:numPr>
        <w:tabs>
          <w:tab w:val="left" w:pos="568"/>
        </w:tabs>
        <w:spacing w:before="120"/>
        <w:ind w:left="1134"/>
      </w:pPr>
      <w:r w:rsidRPr="008A48CF">
        <w:t>19.</w:t>
      </w:r>
      <w:r w:rsidRPr="008A48CF">
        <w:tab/>
      </w:r>
      <w:r w:rsidR="00B94B0F" w:rsidRPr="008A48CF">
        <w:rPr>
          <w:i/>
        </w:rPr>
        <w:t>Also requests</w:t>
      </w:r>
      <w:r w:rsidR="00B94B0F" w:rsidRPr="008A48CF">
        <w:t xml:space="preserve"> the secretariat to continue to prepare an annual report on gender composition in accordance with decisions 23/CP.18 and 18/CP.20;</w:t>
      </w:r>
    </w:p>
    <w:p w:rsidR="00B94B0F" w:rsidRPr="008A48CF" w:rsidRDefault="00663684" w:rsidP="00663684">
      <w:pPr>
        <w:pStyle w:val="RegSingleTxtG"/>
        <w:numPr>
          <w:ilvl w:val="0"/>
          <w:numId w:val="0"/>
        </w:numPr>
        <w:tabs>
          <w:tab w:val="left" w:pos="568"/>
        </w:tabs>
        <w:spacing w:before="120"/>
        <w:ind w:left="1134"/>
      </w:pPr>
      <w:r w:rsidRPr="008A48CF">
        <w:t>20.</w:t>
      </w:r>
      <w:r w:rsidRPr="008A48CF">
        <w:tab/>
      </w:r>
      <w:r w:rsidR="00B94B0F" w:rsidRPr="008A48CF">
        <w:rPr>
          <w:i/>
        </w:rPr>
        <w:t>Further requests</w:t>
      </w:r>
      <w:r w:rsidR="00B94B0F" w:rsidRPr="008A48CF">
        <w:t xml:space="preserve"> the secretariat to undertake research and analysis on challenges to the full and equal participation of women in climate-related processes and activities and to prepare a technical paper on achieving the goal of gender balance as mandated by decisions 36/CP.7, 1/CP.16 and 23/CP.18, based on submissions and its own research for consideration by the Conference of the Parties at its twenty-third session;</w:t>
      </w:r>
    </w:p>
    <w:p w:rsidR="00B94B0F" w:rsidRPr="008A48CF" w:rsidRDefault="00663684" w:rsidP="00663684">
      <w:pPr>
        <w:pStyle w:val="RegSingleTxtG"/>
        <w:numPr>
          <w:ilvl w:val="0"/>
          <w:numId w:val="0"/>
        </w:numPr>
        <w:tabs>
          <w:tab w:val="left" w:pos="568"/>
        </w:tabs>
        <w:spacing w:before="120"/>
        <w:ind w:left="1134"/>
      </w:pPr>
      <w:r w:rsidRPr="008A48CF">
        <w:t>21.</w:t>
      </w:r>
      <w:r w:rsidRPr="008A48CF">
        <w:tab/>
      </w:r>
      <w:r w:rsidR="00B94B0F" w:rsidRPr="008A48CF">
        <w:rPr>
          <w:i/>
        </w:rPr>
        <w:t>Requests</w:t>
      </w:r>
      <w:r w:rsidR="00B94B0F" w:rsidRPr="008A48CF">
        <w:t xml:space="preserve"> the Financial Mechanism and its operating entities to include in their respective annual reports to the Conference of the Parties information on the integration of gender considerations in all aspects of their work;</w:t>
      </w:r>
    </w:p>
    <w:p w:rsidR="00B94B0F" w:rsidRPr="008A48CF" w:rsidRDefault="00663684" w:rsidP="00663684">
      <w:pPr>
        <w:pStyle w:val="RegSingleTxtG"/>
        <w:numPr>
          <w:ilvl w:val="0"/>
          <w:numId w:val="0"/>
        </w:numPr>
        <w:tabs>
          <w:tab w:val="left" w:pos="568"/>
        </w:tabs>
        <w:spacing w:before="120"/>
        <w:ind w:left="1134"/>
      </w:pPr>
      <w:r w:rsidRPr="008A48CF">
        <w:t>22.</w:t>
      </w:r>
      <w:r w:rsidRPr="008A48CF">
        <w:tab/>
      </w:r>
      <w:r w:rsidR="00B94B0F" w:rsidRPr="008A48CF">
        <w:rPr>
          <w:i/>
        </w:rPr>
        <w:t>Invites</w:t>
      </w:r>
      <w:r w:rsidR="00B94B0F" w:rsidRPr="008A48CF">
        <w:t xml:space="preserve"> Parties to appoint and provide support for a national gender focal point for climate negotiations, implementation and monitoring;</w:t>
      </w:r>
    </w:p>
    <w:p w:rsidR="00B94B0F" w:rsidRPr="008A48CF" w:rsidRDefault="00663684" w:rsidP="00663684">
      <w:pPr>
        <w:pStyle w:val="RegSingleTxtG"/>
        <w:numPr>
          <w:ilvl w:val="0"/>
          <w:numId w:val="0"/>
        </w:numPr>
        <w:tabs>
          <w:tab w:val="left" w:pos="568"/>
        </w:tabs>
        <w:spacing w:before="120"/>
        <w:ind w:left="1134"/>
      </w:pPr>
      <w:r w:rsidRPr="008A48CF">
        <w:t>23.</w:t>
      </w:r>
      <w:r w:rsidRPr="008A48CF">
        <w:tab/>
      </w:r>
      <w:r w:rsidR="00B94B0F" w:rsidRPr="008A48CF">
        <w:rPr>
          <w:i/>
        </w:rPr>
        <w:t>Encourages</w:t>
      </w:r>
      <w:r w:rsidR="00B94B0F" w:rsidRPr="008A48CF">
        <w:t xml:space="preserve"> Parties, when reporting on their climate policies under the UNFCCC process, to include information on how they are integrating gender considerations into such policies;</w:t>
      </w:r>
    </w:p>
    <w:p w:rsidR="00B94B0F" w:rsidRPr="008A48CF" w:rsidRDefault="00663684" w:rsidP="00663684">
      <w:pPr>
        <w:pStyle w:val="RegSingleTxtG"/>
        <w:numPr>
          <w:ilvl w:val="0"/>
          <w:numId w:val="0"/>
        </w:numPr>
        <w:tabs>
          <w:tab w:val="left" w:pos="568"/>
        </w:tabs>
        <w:spacing w:before="120"/>
        <w:ind w:left="1134"/>
      </w:pPr>
      <w:r w:rsidRPr="008A48CF">
        <w:t>24.</w:t>
      </w:r>
      <w:r w:rsidRPr="008A48CF">
        <w:tab/>
      </w:r>
      <w:r w:rsidR="00B94B0F" w:rsidRPr="008A48CF">
        <w:rPr>
          <w:i/>
        </w:rPr>
        <w:t>Also encourages</w:t>
      </w:r>
      <w:r w:rsidR="00B94B0F" w:rsidRPr="008A48CF">
        <w:t xml:space="preserve"> Parties to integrate local and traditional knowledge in the formulation of climate policy and to recognize the value of </w:t>
      </w:r>
      <w:r w:rsidR="00B94B0F">
        <w:t xml:space="preserve">the </w:t>
      </w:r>
      <w:r w:rsidR="00B94B0F" w:rsidRPr="008A48CF">
        <w:t>participation of grassroots women in gender-responsive climate action at all levels;</w:t>
      </w:r>
    </w:p>
    <w:p w:rsidR="00B94B0F" w:rsidRPr="008A48CF" w:rsidRDefault="00663684" w:rsidP="00663684">
      <w:pPr>
        <w:pStyle w:val="RegSingleTxtG"/>
        <w:numPr>
          <w:ilvl w:val="0"/>
          <w:numId w:val="0"/>
        </w:numPr>
        <w:tabs>
          <w:tab w:val="left" w:pos="568"/>
        </w:tabs>
        <w:spacing w:before="120"/>
        <w:ind w:left="1134"/>
      </w:pPr>
      <w:r w:rsidRPr="008A48CF">
        <w:t>25.</w:t>
      </w:r>
      <w:r w:rsidRPr="008A48CF">
        <w:tab/>
      </w:r>
      <w:r w:rsidR="00B94B0F" w:rsidRPr="008A48CF">
        <w:rPr>
          <w:i/>
        </w:rPr>
        <w:t>Requests</w:t>
      </w:r>
      <w:r w:rsidR="00B94B0F" w:rsidRPr="008A48CF">
        <w:t xml:space="preserve"> the secretariat to maintain and regularly update its web pages</w:t>
      </w:r>
      <w:r w:rsidR="00B94B0F" w:rsidRPr="000C7C80">
        <w:rPr>
          <w:sz w:val="18"/>
          <w:vertAlign w:val="superscript"/>
        </w:rPr>
        <w:footnoteReference w:id="22"/>
      </w:r>
      <w:r w:rsidR="00B94B0F" w:rsidRPr="008A48CF">
        <w:t xml:space="preserve"> for sharing information on women’s participation and on gender-responsive climate policy</w:t>
      </w:r>
      <w:r w:rsidR="00B94B0F">
        <w:t>;</w:t>
      </w:r>
      <w:r w:rsidR="00B94B0F" w:rsidRPr="008A48CF">
        <w:t xml:space="preserve"> </w:t>
      </w:r>
    </w:p>
    <w:p w:rsidR="00B94B0F" w:rsidRPr="008A48CF" w:rsidRDefault="00663684" w:rsidP="00663684">
      <w:pPr>
        <w:pStyle w:val="RegSingleTxtG"/>
        <w:numPr>
          <w:ilvl w:val="0"/>
          <w:numId w:val="0"/>
        </w:numPr>
        <w:tabs>
          <w:tab w:val="left" w:pos="568"/>
        </w:tabs>
        <w:spacing w:before="120"/>
        <w:ind w:left="1134"/>
      </w:pPr>
      <w:r w:rsidRPr="008A48CF">
        <w:t>26.</w:t>
      </w:r>
      <w:r w:rsidRPr="008A48CF">
        <w:tab/>
      </w:r>
      <w:r w:rsidR="00B94B0F" w:rsidRPr="008A48CF">
        <w:rPr>
          <w:i/>
        </w:rPr>
        <w:t>Invites</w:t>
      </w:r>
      <w:r w:rsidR="00B94B0F" w:rsidRPr="008A48CF">
        <w:t xml:space="preserve"> Parties and non-Party stakeholders to share information on their work related to integrating a gender perspective in the activities and work under the Convention, the Kyoto Protocol and the Paris Agreement;</w:t>
      </w:r>
    </w:p>
    <w:p w:rsidR="00B94B0F" w:rsidRPr="008A48CF" w:rsidRDefault="00663684" w:rsidP="00663684">
      <w:pPr>
        <w:pStyle w:val="RegSingleTxtG"/>
        <w:numPr>
          <w:ilvl w:val="0"/>
          <w:numId w:val="0"/>
        </w:numPr>
        <w:tabs>
          <w:tab w:val="left" w:pos="568"/>
        </w:tabs>
        <w:spacing w:before="120"/>
        <w:ind w:left="1134"/>
      </w:pPr>
      <w:r w:rsidRPr="008A48CF">
        <w:t>27.</w:t>
      </w:r>
      <w:r w:rsidRPr="008A48CF">
        <w:tab/>
      </w:r>
      <w:r w:rsidR="00B94B0F">
        <w:rPr>
          <w:i/>
        </w:rPr>
        <w:t>R</w:t>
      </w:r>
      <w:r w:rsidR="00B94B0F" w:rsidRPr="008A48CF">
        <w:rPr>
          <w:i/>
        </w:rPr>
        <w:t>equests</w:t>
      </w:r>
      <w:r w:rsidR="00B94B0F" w:rsidRPr="008A48CF">
        <w:t xml:space="preserve"> the Subsidiary Body for Implementation to develop a gender action plan in order to support the implementation of gender-related decisions and mandates under the UNFCCC process, which may include priority areas, key activities and indicators, timelines for implementation, the responsible and key actors and indicative resource requirements for each activity, and further elaborate its process of review and monitoring; </w:t>
      </w:r>
    </w:p>
    <w:p w:rsidR="00B94B0F" w:rsidRPr="00442DDC" w:rsidRDefault="00663684" w:rsidP="00663684">
      <w:pPr>
        <w:pStyle w:val="RegSingleTxtG"/>
        <w:numPr>
          <w:ilvl w:val="0"/>
          <w:numId w:val="0"/>
        </w:numPr>
        <w:tabs>
          <w:tab w:val="left" w:pos="568"/>
        </w:tabs>
        <w:spacing w:before="120"/>
        <w:ind w:left="1134"/>
      </w:pPr>
      <w:r w:rsidRPr="00442DDC">
        <w:t>28.</w:t>
      </w:r>
      <w:r w:rsidRPr="00442DDC">
        <w:tab/>
      </w:r>
      <w:r w:rsidR="00B94B0F" w:rsidRPr="008A48CF">
        <w:rPr>
          <w:i/>
        </w:rPr>
        <w:t>Invites</w:t>
      </w:r>
      <w:r w:rsidR="00B94B0F" w:rsidRPr="008A48CF">
        <w:t xml:space="preserve"> Parties, members of constituted bodies, United Nations organizations, observers and other stakeholders to consult through meetings, prior to the forty-sixth sessions of the subsidiary </w:t>
      </w:r>
      <w:r w:rsidR="00B94B0F" w:rsidRPr="00442DDC">
        <w:t>bodies (May 2017), in order to provide inputs to the formulation of the gender action plan referred to in paragraph 27 above;</w:t>
      </w:r>
    </w:p>
    <w:p w:rsidR="00B94B0F" w:rsidRPr="00442DDC" w:rsidRDefault="00663684" w:rsidP="00663684">
      <w:pPr>
        <w:pStyle w:val="RegSingleTxtG"/>
        <w:numPr>
          <w:ilvl w:val="0"/>
          <w:numId w:val="0"/>
        </w:numPr>
        <w:tabs>
          <w:tab w:val="left" w:pos="568"/>
        </w:tabs>
        <w:spacing w:before="120"/>
        <w:ind w:left="1134"/>
      </w:pPr>
      <w:r w:rsidRPr="00442DDC">
        <w:t>29.</w:t>
      </w:r>
      <w:r w:rsidRPr="00442DDC">
        <w:tab/>
      </w:r>
      <w:r w:rsidR="00B94B0F" w:rsidRPr="00442DDC">
        <w:rPr>
          <w:i/>
        </w:rPr>
        <w:t xml:space="preserve">Requests </w:t>
      </w:r>
      <w:r w:rsidR="00B94B0F" w:rsidRPr="00442DDC">
        <w:t xml:space="preserve">the secretariat to convene, in cooperation with Parties and interested observers and other stakeholders, an in-session workshop during the forty-sixth sessions of the subsidiary bodies to develop possible elements of the gender action plan referred to in </w:t>
      </w:r>
      <w:r w:rsidR="00B94B0F" w:rsidRPr="00442DDC">
        <w:lastRenderedPageBreak/>
        <w:t>paragraph 27 above for consideration by the Subsidiary Body for Implementation at its forty-seventh session (November 2017);</w:t>
      </w:r>
    </w:p>
    <w:p w:rsidR="00B94B0F" w:rsidRPr="00442DDC" w:rsidRDefault="00663684" w:rsidP="00663684">
      <w:pPr>
        <w:pStyle w:val="RegSingleTxtG"/>
        <w:numPr>
          <w:ilvl w:val="0"/>
          <w:numId w:val="0"/>
        </w:numPr>
        <w:tabs>
          <w:tab w:val="left" w:pos="568"/>
        </w:tabs>
        <w:spacing w:before="120"/>
        <w:ind w:left="1134"/>
      </w:pPr>
      <w:r w:rsidRPr="00442DDC">
        <w:t>30.</w:t>
      </w:r>
      <w:r w:rsidRPr="00442DDC">
        <w:tab/>
      </w:r>
      <w:r w:rsidR="00B94B0F" w:rsidRPr="00442DDC">
        <w:rPr>
          <w:i/>
        </w:rPr>
        <w:t>Invites</w:t>
      </w:r>
      <w:r w:rsidR="00B94B0F" w:rsidRPr="00442DDC">
        <w:t xml:space="preserve"> submissions from Parties, observers and other stakeholders, by 25 January 2017, on their views on the matters to be addressed at the in-session workshop referred to in paragraph 29 above;</w:t>
      </w:r>
      <w:r w:rsidR="00B94B0F" w:rsidRPr="000C7C80">
        <w:rPr>
          <w:sz w:val="18"/>
          <w:vertAlign w:val="superscript"/>
        </w:rPr>
        <w:footnoteReference w:id="23"/>
      </w:r>
    </w:p>
    <w:p w:rsidR="00B94B0F" w:rsidRPr="008A48CF" w:rsidRDefault="00663684" w:rsidP="00663684">
      <w:pPr>
        <w:pStyle w:val="RegSingleTxtG"/>
        <w:numPr>
          <w:ilvl w:val="0"/>
          <w:numId w:val="0"/>
        </w:numPr>
        <w:tabs>
          <w:tab w:val="left" w:pos="568"/>
        </w:tabs>
        <w:spacing w:before="120"/>
        <w:ind w:left="1134"/>
      </w:pPr>
      <w:r w:rsidRPr="008A48CF">
        <w:t>31.</w:t>
      </w:r>
      <w:r w:rsidRPr="008A48CF">
        <w:tab/>
      </w:r>
      <w:r w:rsidR="00B94B0F" w:rsidRPr="008A48CF">
        <w:rPr>
          <w:i/>
        </w:rPr>
        <w:t>Takes note</w:t>
      </w:r>
      <w:r w:rsidR="00B94B0F" w:rsidRPr="008A48CF">
        <w:t xml:space="preserve"> of the estimated budgetary implications of the activities to be undertaken by the secretariat referred to in this decision;</w:t>
      </w:r>
    </w:p>
    <w:p w:rsidR="00B94B0F" w:rsidRPr="008A48CF" w:rsidRDefault="00663684" w:rsidP="00663684">
      <w:pPr>
        <w:pStyle w:val="RegSingleTxtG"/>
        <w:numPr>
          <w:ilvl w:val="0"/>
          <w:numId w:val="0"/>
        </w:numPr>
        <w:tabs>
          <w:tab w:val="left" w:pos="568"/>
        </w:tabs>
        <w:spacing w:before="120"/>
        <w:ind w:left="1134"/>
      </w:pPr>
      <w:r w:rsidRPr="008A48CF">
        <w:t>32.</w:t>
      </w:r>
      <w:r w:rsidRPr="008A48CF">
        <w:tab/>
      </w:r>
      <w:r w:rsidR="00B94B0F" w:rsidRPr="008A48CF">
        <w:rPr>
          <w:i/>
        </w:rPr>
        <w:t>Requests</w:t>
      </w:r>
      <w:r w:rsidR="00B94B0F" w:rsidRPr="008A48CF">
        <w:t xml:space="preserve"> that the actions of the secretariat called for in this decision be undertaken subject to the availability of financial resources</w:t>
      </w:r>
      <w:r w:rsidR="00B94B0F" w:rsidRPr="008A48CF">
        <w:rPr>
          <w:i/>
        </w:rPr>
        <w:t>;</w:t>
      </w:r>
    </w:p>
    <w:p w:rsidR="00B94B0F" w:rsidRDefault="00663684" w:rsidP="00663684">
      <w:pPr>
        <w:pStyle w:val="RegSingleTxtG"/>
        <w:numPr>
          <w:ilvl w:val="0"/>
          <w:numId w:val="0"/>
        </w:numPr>
        <w:tabs>
          <w:tab w:val="left" w:pos="568"/>
        </w:tabs>
        <w:spacing w:before="120"/>
        <w:ind w:left="1134"/>
      </w:pPr>
      <w:r>
        <w:t>33.</w:t>
      </w:r>
      <w:r>
        <w:tab/>
      </w:r>
      <w:r w:rsidR="00B94B0F" w:rsidRPr="008A48CF">
        <w:rPr>
          <w:i/>
        </w:rPr>
        <w:t>Invites</w:t>
      </w:r>
      <w:r w:rsidR="00B94B0F" w:rsidRPr="008A48CF">
        <w:t xml:space="preserve"> Parties and relevant organizations to participate and engage in implementing gender-related activities within the work programme.</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C84A66">
          <w:headerReference w:type="even" r:id="rId27"/>
          <w:headerReference w:type="default" r:id="rId28"/>
          <w:footnotePr>
            <w:numRestart w:val="eachSect"/>
          </w:footnotePr>
          <w:pgSz w:w="11906" w:h="16838" w:code="9"/>
          <w:pgMar w:top="1701" w:right="1134" w:bottom="2268" w:left="1134" w:header="1134" w:footer="1701" w:gutter="0"/>
          <w:cols w:space="708"/>
          <w:docGrid w:linePitch="360"/>
        </w:sect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Pr="00C84A66" w:rsidRDefault="00B94B0F" w:rsidP="00B94B0F">
      <w:pPr>
        <w:pStyle w:val="HChG"/>
        <w:ind w:firstLine="0"/>
        <w:rPr>
          <w:bCs/>
        </w:rPr>
      </w:pPr>
      <w:r w:rsidRPr="00C84A66">
        <w:rPr>
          <w:bCs/>
        </w:rPr>
        <w:lastRenderedPageBreak/>
        <w:t>Decision 2</w:t>
      </w:r>
      <w:r>
        <w:rPr>
          <w:bCs/>
        </w:rPr>
        <w:t>2</w:t>
      </w:r>
      <w:r w:rsidRPr="00C84A66">
        <w:rPr>
          <w:bCs/>
        </w:rPr>
        <w:t>/CP.22</w:t>
      </w:r>
    </w:p>
    <w:p w:rsidR="00B94B0F" w:rsidRDefault="00B94B0F" w:rsidP="007970EF">
      <w:pPr>
        <w:pStyle w:val="HChG"/>
        <w:jc w:val="both"/>
      </w:pPr>
      <w:r>
        <w:tab/>
      </w:r>
      <w:r>
        <w:tab/>
        <w:t>Financial and budgetary matters</w:t>
      </w:r>
    </w:p>
    <w:p w:rsidR="00B94B0F" w:rsidRPr="007674F2" w:rsidRDefault="00B94B0F" w:rsidP="007970EF">
      <w:pPr>
        <w:ind w:left="1134" w:firstLine="567"/>
        <w:jc w:val="both"/>
        <w:rPr>
          <w:i/>
        </w:rPr>
      </w:pPr>
      <w:r w:rsidRPr="007674F2">
        <w:rPr>
          <w:i/>
        </w:rPr>
        <w:t>The Conference of the Parties</w:t>
      </w:r>
      <w:r w:rsidRPr="00C15AC0">
        <w:t>,</w:t>
      </w:r>
    </w:p>
    <w:p w:rsidR="00B94B0F" w:rsidRDefault="00B94B0F" w:rsidP="007970EF">
      <w:pPr>
        <w:spacing w:before="120"/>
        <w:ind w:left="1134" w:right="1174" w:firstLine="567"/>
        <w:jc w:val="both"/>
      </w:pPr>
      <w:r w:rsidRPr="007674F2">
        <w:rPr>
          <w:i/>
        </w:rPr>
        <w:t>Recalling</w:t>
      </w:r>
      <w:r w:rsidRPr="007674F2">
        <w:t xml:space="preserve"> </w:t>
      </w:r>
      <w:r>
        <w:t>decision 12/CP.15, table 2, in relation to the possible upgrading of the position of Assistant Secretary-General to Under-Secretary-General and the possible upgrading of one position from D-2 to Assistant Secretary-General level,</w:t>
      </w:r>
    </w:p>
    <w:p w:rsidR="00B94B0F" w:rsidRPr="00244590" w:rsidRDefault="00B94B0F" w:rsidP="007970EF">
      <w:pPr>
        <w:spacing w:before="120"/>
        <w:ind w:left="1134" w:right="1174" w:firstLine="567"/>
        <w:jc w:val="both"/>
      </w:pPr>
      <w:r>
        <w:rPr>
          <w:i/>
        </w:rPr>
        <w:t xml:space="preserve">Also recalling </w:t>
      </w:r>
      <w:r>
        <w:t xml:space="preserve">decision 22/CP.21 on the programme budget for the biennium </w:t>
      </w:r>
      <w:r>
        <w:br/>
        <w:t>2016–2017,</w:t>
      </w:r>
    </w:p>
    <w:p w:rsidR="00B94B0F" w:rsidRPr="00BE4156" w:rsidRDefault="00B94B0F" w:rsidP="007970EF">
      <w:pPr>
        <w:spacing w:before="120"/>
        <w:ind w:left="1134" w:right="1174" w:firstLine="567"/>
        <w:jc w:val="both"/>
      </w:pPr>
      <w:r>
        <w:rPr>
          <w:i/>
        </w:rPr>
        <w:t xml:space="preserve">Taking note </w:t>
      </w:r>
      <w:r>
        <w:t xml:space="preserve">of the Secretary-General’s proposal to the Bureau of the Conference of the Parties made in February 2016 to upgrade the position of Executive Secretary from Assistant Secretary-General to Under-Secretary-General, </w:t>
      </w:r>
    </w:p>
    <w:p w:rsidR="00B94B0F" w:rsidRDefault="00B94B0F" w:rsidP="007970EF">
      <w:pPr>
        <w:spacing w:before="120"/>
        <w:ind w:left="1134" w:right="1174" w:firstLine="567"/>
        <w:jc w:val="both"/>
        <w:rPr>
          <w:iCs/>
        </w:rPr>
      </w:pPr>
      <w:r>
        <w:rPr>
          <w:i/>
        </w:rPr>
        <w:t xml:space="preserve">Noting </w:t>
      </w:r>
      <w:r w:rsidRPr="00C15AC0">
        <w:t>that</w:t>
      </w:r>
      <w:r>
        <w:rPr>
          <w:i/>
        </w:rPr>
        <w:t xml:space="preserve"> </w:t>
      </w:r>
      <w:r>
        <w:t>the Bureau welcomed and endorsed the proposal of the Secretary-General</w:t>
      </w:r>
      <w:r>
        <w:rPr>
          <w:iCs/>
        </w:rPr>
        <w:t>,</w:t>
      </w:r>
    </w:p>
    <w:p w:rsidR="00B94B0F" w:rsidRDefault="00B94B0F" w:rsidP="007970EF">
      <w:pPr>
        <w:spacing w:before="120" w:after="120"/>
        <w:ind w:left="1134" w:right="1174" w:firstLine="567"/>
        <w:jc w:val="both"/>
      </w:pPr>
      <w:r>
        <w:rPr>
          <w:i/>
        </w:rPr>
        <w:t xml:space="preserve">Taking note </w:t>
      </w:r>
      <w:r>
        <w:t xml:space="preserve">of the Secretary-General’s decision to upgrade one of the D-2 positions included in the approved staffing table to the level of Assistant Secretary-General to serve as Deputy Executive Secretary and to implement this decision once the new Executive Secretary assumes office, </w:t>
      </w:r>
    </w:p>
    <w:p w:rsidR="00B94B0F" w:rsidRDefault="00663684" w:rsidP="00663684">
      <w:pPr>
        <w:pStyle w:val="RegSingleTxtG"/>
        <w:numPr>
          <w:ilvl w:val="0"/>
          <w:numId w:val="0"/>
        </w:numPr>
        <w:tabs>
          <w:tab w:val="left" w:pos="568"/>
        </w:tabs>
        <w:spacing w:before="120" w:after="0"/>
        <w:ind w:left="1135"/>
      </w:pPr>
      <w:r>
        <w:t>1.</w:t>
      </w:r>
      <w:r>
        <w:tab/>
      </w:r>
      <w:r w:rsidR="00B94B0F" w:rsidRPr="00DA6CAE">
        <w:rPr>
          <w:i/>
        </w:rPr>
        <w:t>Approves</w:t>
      </w:r>
      <w:r w:rsidR="00B94B0F">
        <w:t xml:space="preserve"> that the </w:t>
      </w:r>
      <w:r w:rsidR="00B94B0F" w:rsidRPr="00F94BCF">
        <w:t xml:space="preserve">upgrade </w:t>
      </w:r>
      <w:r w:rsidR="00B94B0F">
        <w:t xml:space="preserve">of </w:t>
      </w:r>
      <w:r w:rsidR="00B94B0F" w:rsidRPr="00F94BCF">
        <w:t xml:space="preserve">the current </w:t>
      </w:r>
      <w:r w:rsidR="00B94B0F">
        <w:t>Assistant Secretary-General position</w:t>
      </w:r>
      <w:r w:rsidR="00B94B0F" w:rsidRPr="00F94BCF">
        <w:t xml:space="preserve"> to the level of </w:t>
      </w:r>
      <w:r w:rsidR="00B94B0F">
        <w:t xml:space="preserve">Under-Secretary-General be reflected </w:t>
      </w:r>
      <w:r w:rsidR="00B94B0F" w:rsidRPr="00F94BCF">
        <w:t>in the approved staffing table for the biennium 2016</w:t>
      </w:r>
      <w:r w:rsidR="00B94B0F">
        <w:t>–</w:t>
      </w:r>
      <w:r w:rsidR="00B94B0F" w:rsidRPr="00F94BCF">
        <w:t>2017</w:t>
      </w:r>
      <w:r w:rsidR="00B94B0F">
        <w:t>;</w:t>
      </w:r>
    </w:p>
    <w:p w:rsidR="00B94B0F" w:rsidRDefault="00663684" w:rsidP="00663684">
      <w:pPr>
        <w:pStyle w:val="RegSingleTxtG"/>
        <w:numPr>
          <w:ilvl w:val="0"/>
          <w:numId w:val="0"/>
        </w:numPr>
        <w:tabs>
          <w:tab w:val="left" w:pos="568"/>
        </w:tabs>
        <w:spacing w:before="120" w:after="0"/>
        <w:ind w:left="1134"/>
        <w:rPr>
          <w:i/>
        </w:rPr>
      </w:pPr>
      <w:r>
        <w:t>2.</w:t>
      </w:r>
      <w:r>
        <w:tab/>
      </w:r>
      <w:r w:rsidR="00B94B0F" w:rsidRPr="00B0387C">
        <w:rPr>
          <w:i/>
        </w:rPr>
        <w:t xml:space="preserve">Decides </w:t>
      </w:r>
      <w:r w:rsidR="00B94B0F" w:rsidRPr="00B0387C">
        <w:t xml:space="preserve">that any additional costs resulting from the approval in paragraph 1 </w:t>
      </w:r>
      <w:r w:rsidR="00B94B0F">
        <w:t xml:space="preserve">above and the upgrading of a D-2 position </w:t>
      </w:r>
      <w:r w:rsidR="00B94B0F" w:rsidRPr="00B0387C">
        <w:t xml:space="preserve">will be absorbed from existing resources available under the approved programme budget for the </w:t>
      </w:r>
      <w:r w:rsidR="00B94B0F" w:rsidRPr="00025C31">
        <w:t>biennium 2016</w:t>
      </w:r>
      <w:r w:rsidR="00B94B0F">
        <w:t>–2017;</w:t>
      </w:r>
    </w:p>
    <w:p w:rsidR="00B94B0F" w:rsidRDefault="00663684" w:rsidP="00663684">
      <w:pPr>
        <w:pStyle w:val="RegSingleTxtG"/>
        <w:numPr>
          <w:ilvl w:val="0"/>
          <w:numId w:val="0"/>
        </w:numPr>
        <w:tabs>
          <w:tab w:val="left" w:pos="568"/>
        </w:tabs>
        <w:spacing w:before="120" w:after="0"/>
        <w:ind w:left="1134"/>
      </w:pPr>
      <w:r>
        <w:t>3.</w:t>
      </w:r>
      <w:r>
        <w:tab/>
      </w:r>
      <w:r w:rsidR="00B94B0F" w:rsidRPr="00F521AB">
        <w:rPr>
          <w:i/>
        </w:rPr>
        <w:t>Also</w:t>
      </w:r>
      <w:r w:rsidR="00B94B0F" w:rsidRPr="00404791">
        <w:t xml:space="preserve"> </w:t>
      </w:r>
      <w:r w:rsidR="00B94B0F" w:rsidRPr="00F521AB">
        <w:rPr>
          <w:i/>
        </w:rPr>
        <w:t>decides</w:t>
      </w:r>
      <w:r w:rsidR="00B94B0F" w:rsidRPr="00404791">
        <w:t xml:space="preserve"> that one of the three D-2 positions contained in the approved staffing table for the biennium 2016–2017 </w:t>
      </w:r>
      <w:r w:rsidR="00B94B0F">
        <w:t xml:space="preserve">shall </w:t>
      </w:r>
      <w:r w:rsidR="00B94B0F" w:rsidRPr="00404791">
        <w:t xml:space="preserve">be abolished as soon as the Deputy Executive Secretary assumes office at the level of </w:t>
      </w:r>
      <w:r w:rsidR="00B94B0F">
        <w:t>Assistant Secretary-General</w:t>
      </w:r>
      <w:r w:rsidR="00B94B0F" w:rsidRPr="00404791">
        <w:t>.</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C84A66">
          <w:headerReference w:type="even" r:id="rId29"/>
          <w:headerReference w:type="default" r:id="rId30"/>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sidRPr="00C84A66">
        <w:rPr>
          <w:bCs/>
        </w:rPr>
        <w:lastRenderedPageBreak/>
        <w:t>Decision 2</w:t>
      </w:r>
      <w:r>
        <w:rPr>
          <w:bCs/>
        </w:rPr>
        <w:t>3</w:t>
      </w:r>
      <w:r w:rsidRPr="00C84A66">
        <w:rPr>
          <w:bCs/>
        </w:rPr>
        <w:t>/CP.22</w:t>
      </w:r>
    </w:p>
    <w:p w:rsidR="00B94B0F" w:rsidRDefault="00B94B0F" w:rsidP="00663684">
      <w:pPr>
        <w:pStyle w:val="RegHChG"/>
        <w:numPr>
          <w:ilvl w:val="0"/>
          <w:numId w:val="0"/>
        </w:numPr>
        <w:ind w:left="1135" w:hanging="454"/>
      </w:pPr>
      <w:r>
        <w:t>Administrative, financial and institutional matters</w:t>
      </w:r>
    </w:p>
    <w:p w:rsidR="00B94B0F" w:rsidRDefault="00B94B0F" w:rsidP="00A63878">
      <w:pPr>
        <w:spacing w:after="120"/>
        <w:ind w:left="1134" w:right="1174" w:firstLine="567"/>
        <w:jc w:val="both"/>
        <w:rPr>
          <w:i/>
        </w:rPr>
      </w:pPr>
      <w:r w:rsidRPr="003606C2">
        <w:rPr>
          <w:i/>
        </w:rPr>
        <w:t>The Conference of the Parties</w:t>
      </w:r>
      <w:r w:rsidRPr="0026155A">
        <w:t>,</w:t>
      </w:r>
    </w:p>
    <w:p w:rsidR="00B94B0F" w:rsidRPr="005F1E09" w:rsidRDefault="00B94B0F" w:rsidP="00A63878">
      <w:pPr>
        <w:spacing w:before="120"/>
        <w:ind w:left="1134" w:right="1174" w:firstLine="567"/>
        <w:jc w:val="both"/>
      </w:pPr>
      <w:r w:rsidRPr="005F1E09">
        <w:rPr>
          <w:i/>
        </w:rPr>
        <w:t xml:space="preserve">Recalling </w:t>
      </w:r>
      <w:r w:rsidRPr="000B5FBE">
        <w:t xml:space="preserve">decision </w:t>
      </w:r>
      <w:r w:rsidRPr="00C058C5">
        <w:t>22/CP.21</w:t>
      </w:r>
      <w:r w:rsidRPr="00883441">
        <w:t>, through</w:t>
      </w:r>
      <w:r w:rsidRPr="005F1E09">
        <w:t xml:space="preserve"> which the programme budget for the biennium </w:t>
      </w:r>
      <w:r w:rsidRPr="000B5FBE">
        <w:t>201</w:t>
      </w:r>
      <w:r>
        <w:t>6</w:t>
      </w:r>
      <w:r w:rsidRPr="000B5FBE">
        <w:t>–201</w:t>
      </w:r>
      <w:r>
        <w:t>7</w:t>
      </w:r>
      <w:r w:rsidRPr="000B5FBE">
        <w:t xml:space="preserve"> was approved,</w:t>
      </w:r>
      <w:r w:rsidRPr="005F1E09">
        <w:t xml:space="preserve"> </w:t>
      </w:r>
    </w:p>
    <w:p w:rsidR="00B94B0F" w:rsidRDefault="00B94B0F" w:rsidP="00A63878">
      <w:pPr>
        <w:spacing w:before="120"/>
        <w:ind w:left="1134" w:right="1174" w:firstLine="567"/>
        <w:jc w:val="both"/>
      </w:pPr>
      <w:r w:rsidRPr="005F1E09">
        <w:rPr>
          <w:i/>
        </w:rPr>
        <w:t xml:space="preserve">Also recalling </w:t>
      </w:r>
      <w:r w:rsidRPr="005F1E09">
        <w:t xml:space="preserve">paragraph 11 of the financial procedures </w:t>
      </w:r>
      <w:r>
        <w:t>for</w:t>
      </w:r>
      <w:r w:rsidRPr="005F1E09">
        <w:t xml:space="preserve"> the Conference of the Parties</w:t>
      </w:r>
      <w:r>
        <w:t xml:space="preserve"> </w:t>
      </w:r>
      <w:r w:rsidRPr="00707ADB">
        <w:t>to the United Nations Framework Convention on Climate Change, its subsidiary bodies and its permanent secretariat</w:t>
      </w:r>
      <w:r w:rsidRPr="005F1E09">
        <w:t>,</w:t>
      </w:r>
      <w:r>
        <w:rPr>
          <w:rStyle w:val="FootnoteReference"/>
        </w:rPr>
        <w:footnoteReference w:id="24"/>
      </w:r>
    </w:p>
    <w:p w:rsidR="00B94B0F" w:rsidRDefault="00B94B0F" w:rsidP="00A63878">
      <w:pPr>
        <w:pStyle w:val="RegSingleTxtG"/>
        <w:numPr>
          <w:ilvl w:val="0"/>
          <w:numId w:val="0"/>
        </w:numPr>
        <w:spacing w:before="120"/>
        <w:ind w:left="1134" w:right="1174" w:firstLine="567"/>
      </w:pPr>
      <w:r w:rsidRPr="005F1E09">
        <w:rPr>
          <w:i/>
        </w:rPr>
        <w:t xml:space="preserve">Having considered </w:t>
      </w:r>
      <w:r w:rsidRPr="005F1E09">
        <w:t>the information contained in the documents prepared by the secretariat on administrative, financial and institutional matters</w:t>
      </w:r>
      <w:r>
        <w:t>,</w:t>
      </w:r>
      <w:r>
        <w:rPr>
          <w:rStyle w:val="FootnoteReference"/>
        </w:rPr>
        <w:footnoteReference w:id="25"/>
      </w:r>
    </w:p>
    <w:p w:rsidR="00B94B0F" w:rsidRDefault="00663684" w:rsidP="00663684">
      <w:pPr>
        <w:pStyle w:val="RegHChG"/>
        <w:numPr>
          <w:ilvl w:val="0"/>
          <w:numId w:val="0"/>
        </w:numPr>
        <w:tabs>
          <w:tab w:val="left" w:pos="1135"/>
        </w:tabs>
        <w:ind w:left="1135" w:hanging="454"/>
      </w:pPr>
      <w:r>
        <w:t>I.</w:t>
      </w:r>
      <w:r>
        <w:tab/>
      </w:r>
      <w:r w:rsidR="00B94B0F" w:rsidRPr="00C94384">
        <w:t>Budget performance for the biennium 2016–2017</w:t>
      </w:r>
    </w:p>
    <w:p w:rsidR="00B94B0F" w:rsidRPr="00B54EAE" w:rsidRDefault="00663684" w:rsidP="00663684">
      <w:pPr>
        <w:pStyle w:val="RegSingleTxtG"/>
        <w:numPr>
          <w:ilvl w:val="0"/>
          <w:numId w:val="0"/>
        </w:numPr>
        <w:tabs>
          <w:tab w:val="left" w:pos="568"/>
        </w:tabs>
        <w:ind w:left="1135"/>
        <w:rPr>
          <w:lang w:eastAsia="en-US"/>
        </w:rPr>
      </w:pPr>
      <w:r w:rsidRPr="00B54EAE">
        <w:rPr>
          <w:lang w:eastAsia="en-US"/>
        </w:rPr>
        <w:t>1.</w:t>
      </w:r>
      <w:r w:rsidRPr="00B54EAE">
        <w:rPr>
          <w:lang w:eastAsia="en-US"/>
        </w:rPr>
        <w:tab/>
      </w:r>
      <w:r w:rsidR="00B94B0F" w:rsidRPr="00DA6CAE">
        <w:rPr>
          <w:i/>
          <w:lang w:eastAsia="en-US"/>
        </w:rPr>
        <w:t>Takes note</w:t>
      </w:r>
      <w:r w:rsidR="00B94B0F" w:rsidRPr="00B54EAE">
        <w:rPr>
          <w:lang w:eastAsia="en-US"/>
        </w:rPr>
        <w:t xml:space="preserve"> of the information contained in the report on budget performance for the period 1 January 201</w:t>
      </w:r>
      <w:r w:rsidR="00B94B0F">
        <w:rPr>
          <w:lang w:eastAsia="en-US"/>
        </w:rPr>
        <w:t>6</w:t>
      </w:r>
      <w:r w:rsidR="00B94B0F" w:rsidRPr="00B54EAE">
        <w:rPr>
          <w:lang w:eastAsia="en-US"/>
        </w:rPr>
        <w:t xml:space="preserve"> to 30 June 201</w:t>
      </w:r>
      <w:r w:rsidR="00B94B0F">
        <w:rPr>
          <w:lang w:eastAsia="en-US"/>
        </w:rPr>
        <w:t>6,</w:t>
      </w:r>
      <w:r w:rsidR="00B94B0F">
        <w:rPr>
          <w:rStyle w:val="FootnoteReference"/>
          <w:rFonts w:eastAsia="Times New Roman"/>
          <w:lang w:eastAsia="en-US"/>
        </w:rPr>
        <w:footnoteReference w:id="26"/>
      </w:r>
      <w:r w:rsidR="00B94B0F">
        <w:rPr>
          <w:lang w:eastAsia="en-US"/>
        </w:rPr>
        <w:t xml:space="preserve"> </w:t>
      </w:r>
      <w:r w:rsidR="00B94B0F" w:rsidRPr="00B54EAE">
        <w:rPr>
          <w:lang w:eastAsia="en-US"/>
        </w:rPr>
        <w:t>the</w:t>
      </w:r>
      <w:r w:rsidR="00B94B0F">
        <w:rPr>
          <w:lang w:eastAsia="en-US"/>
        </w:rPr>
        <w:t xml:space="preserve"> note on the</w:t>
      </w:r>
      <w:r w:rsidR="00B94B0F" w:rsidRPr="00B54EAE">
        <w:rPr>
          <w:lang w:eastAsia="en-US"/>
        </w:rPr>
        <w:t xml:space="preserve"> status of contributions </w:t>
      </w:r>
      <w:r w:rsidR="00B94B0F">
        <w:rPr>
          <w:lang w:eastAsia="en-US"/>
        </w:rPr>
        <w:t xml:space="preserve">to the trust funds </w:t>
      </w:r>
      <w:r w:rsidR="00B94B0F" w:rsidRPr="00336FC7">
        <w:rPr>
          <w:lang w:eastAsia="en-US"/>
        </w:rPr>
        <w:t>administered by the secretariat</w:t>
      </w:r>
      <w:r w:rsidR="00B94B0F">
        <w:rPr>
          <w:lang w:eastAsia="en-US"/>
        </w:rPr>
        <w:t xml:space="preserve"> </w:t>
      </w:r>
      <w:r w:rsidR="00B94B0F" w:rsidRPr="00B54EAE">
        <w:rPr>
          <w:lang w:eastAsia="en-US"/>
        </w:rPr>
        <w:t xml:space="preserve">as at </w:t>
      </w:r>
      <w:r w:rsidR="00B94B0F">
        <w:rPr>
          <w:lang w:eastAsia="en-US"/>
        </w:rPr>
        <w:t>2</w:t>
      </w:r>
      <w:r w:rsidR="00B94B0F" w:rsidRPr="00B54EAE">
        <w:rPr>
          <w:lang w:eastAsia="en-US"/>
        </w:rPr>
        <w:t xml:space="preserve">1 </w:t>
      </w:r>
      <w:r w:rsidR="00B94B0F">
        <w:rPr>
          <w:lang w:eastAsia="en-US"/>
        </w:rPr>
        <w:t>October</w:t>
      </w:r>
      <w:r w:rsidR="00B94B0F" w:rsidRPr="00B54EAE">
        <w:rPr>
          <w:lang w:eastAsia="en-US"/>
        </w:rPr>
        <w:t xml:space="preserve"> 201</w:t>
      </w:r>
      <w:r w:rsidR="00B94B0F">
        <w:rPr>
          <w:lang w:eastAsia="en-US"/>
        </w:rPr>
        <w:t>6</w:t>
      </w:r>
      <w:r w:rsidR="00B94B0F">
        <w:rPr>
          <w:rStyle w:val="FootnoteReference"/>
          <w:rFonts w:eastAsia="Times New Roman"/>
          <w:lang w:eastAsia="en-US"/>
        </w:rPr>
        <w:footnoteReference w:id="27"/>
      </w:r>
      <w:r w:rsidR="00B94B0F" w:rsidRPr="00B54EAE">
        <w:rPr>
          <w:lang w:eastAsia="en-US"/>
        </w:rPr>
        <w:t xml:space="preserve"> </w:t>
      </w:r>
      <w:r w:rsidR="00B94B0F">
        <w:rPr>
          <w:lang w:eastAsia="en-US"/>
        </w:rPr>
        <w:t>and the note on the revised indicative contributions for the biennium 2016–2017;</w:t>
      </w:r>
      <w:r w:rsidR="00B94B0F">
        <w:rPr>
          <w:rStyle w:val="FootnoteReference"/>
          <w:rFonts w:eastAsia="Times New Roman"/>
          <w:lang w:eastAsia="en-US"/>
        </w:rPr>
        <w:footnoteReference w:id="28"/>
      </w:r>
      <w:r w:rsidR="00B94B0F">
        <w:rPr>
          <w:lang w:eastAsia="en-US"/>
        </w:rPr>
        <w:t xml:space="preserve"> </w:t>
      </w:r>
    </w:p>
    <w:p w:rsidR="00B94B0F" w:rsidRPr="00B76745" w:rsidRDefault="00663684" w:rsidP="00663684">
      <w:pPr>
        <w:pStyle w:val="RegSingleTxtG"/>
        <w:numPr>
          <w:ilvl w:val="0"/>
          <w:numId w:val="0"/>
        </w:numPr>
        <w:tabs>
          <w:tab w:val="left" w:pos="568"/>
        </w:tabs>
        <w:ind w:left="1135"/>
        <w:rPr>
          <w:lang w:eastAsia="en-US"/>
        </w:rPr>
      </w:pPr>
      <w:r w:rsidRPr="00B76745">
        <w:rPr>
          <w:lang w:eastAsia="en-US"/>
        </w:rPr>
        <w:t>2.</w:t>
      </w:r>
      <w:r w:rsidRPr="00B76745">
        <w:rPr>
          <w:lang w:eastAsia="en-US"/>
        </w:rPr>
        <w:tab/>
      </w:r>
      <w:r w:rsidR="00B94B0F" w:rsidRPr="00671029">
        <w:rPr>
          <w:i/>
          <w:lang w:eastAsia="en-US"/>
        </w:rPr>
        <w:t>Expresses</w:t>
      </w:r>
      <w:r w:rsidR="00B94B0F" w:rsidRPr="008C6C34">
        <w:rPr>
          <w:i/>
          <w:lang w:eastAsia="en-US"/>
        </w:rPr>
        <w:t xml:space="preserve"> its appreciation</w:t>
      </w:r>
      <w:r w:rsidR="00B94B0F" w:rsidRPr="00B76745">
        <w:rPr>
          <w:lang w:eastAsia="en-US"/>
        </w:rPr>
        <w:t xml:space="preserve"> to Parties that made contributions to the core budget in a</w:t>
      </w:r>
      <w:r w:rsidR="00B94B0F">
        <w:rPr>
          <w:lang w:eastAsia="en-US"/>
        </w:rPr>
        <w:t xml:space="preserve"> </w:t>
      </w:r>
      <w:r w:rsidR="00B94B0F" w:rsidRPr="00B76745">
        <w:rPr>
          <w:lang w:eastAsia="en-US"/>
        </w:rPr>
        <w:t>timely manner;</w:t>
      </w:r>
    </w:p>
    <w:p w:rsidR="00B94B0F" w:rsidRPr="00883441" w:rsidRDefault="00663684" w:rsidP="00663684">
      <w:pPr>
        <w:pStyle w:val="RegSingleTxtG"/>
        <w:numPr>
          <w:ilvl w:val="0"/>
          <w:numId w:val="0"/>
        </w:numPr>
        <w:tabs>
          <w:tab w:val="left" w:pos="568"/>
        </w:tabs>
        <w:ind w:left="1135"/>
        <w:rPr>
          <w:lang w:eastAsia="en-US"/>
        </w:rPr>
      </w:pPr>
      <w:r w:rsidRPr="00883441">
        <w:rPr>
          <w:lang w:eastAsia="en-US"/>
        </w:rPr>
        <w:t>3.</w:t>
      </w:r>
      <w:r w:rsidRPr="00883441">
        <w:rPr>
          <w:lang w:eastAsia="en-US"/>
        </w:rPr>
        <w:tab/>
      </w:r>
      <w:r w:rsidR="00B94B0F" w:rsidRPr="00883441">
        <w:rPr>
          <w:i/>
          <w:lang w:eastAsia="en-US"/>
        </w:rPr>
        <w:t>Expresses concern</w:t>
      </w:r>
      <w:r w:rsidR="00B94B0F" w:rsidRPr="00883441">
        <w:rPr>
          <w:lang w:eastAsia="en-US"/>
        </w:rPr>
        <w:t xml:space="preserve"> regarding the high level of outstanding contributions to the core budget for the current and previous bienniums which has resulted in difficulties with cash flow;</w:t>
      </w:r>
    </w:p>
    <w:p w:rsidR="00B94B0F" w:rsidRPr="00883441" w:rsidRDefault="00663684" w:rsidP="00663684">
      <w:pPr>
        <w:pStyle w:val="RegSingleTxtG"/>
        <w:numPr>
          <w:ilvl w:val="0"/>
          <w:numId w:val="0"/>
        </w:numPr>
        <w:tabs>
          <w:tab w:val="left" w:pos="568"/>
        </w:tabs>
        <w:ind w:left="1135"/>
        <w:rPr>
          <w:lang w:eastAsia="en-US"/>
        </w:rPr>
      </w:pPr>
      <w:r w:rsidRPr="00883441">
        <w:rPr>
          <w:lang w:eastAsia="en-US"/>
        </w:rPr>
        <w:t>4.</w:t>
      </w:r>
      <w:r w:rsidRPr="00883441">
        <w:rPr>
          <w:lang w:eastAsia="en-US"/>
        </w:rPr>
        <w:tab/>
      </w:r>
      <w:r w:rsidR="00B94B0F" w:rsidRPr="00883441">
        <w:rPr>
          <w:i/>
          <w:lang w:eastAsia="en-US"/>
        </w:rPr>
        <w:t>Strongly urges</w:t>
      </w:r>
      <w:r w:rsidR="00B94B0F" w:rsidRPr="00883441">
        <w:rPr>
          <w:lang w:eastAsia="en-US"/>
        </w:rPr>
        <w:t xml:space="preserve"> Parties that have not made contributions in full to the core budget for the current and/or previous bienniums to do so without further delay;</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t>5.</w:t>
      </w:r>
      <w:r w:rsidRPr="009F122E">
        <w:rPr>
          <w:lang w:eastAsia="en-US"/>
        </w:rPr>
        <w:tab/>
      </w:r>
      <w:r w:rsidR="00B94B0F" w:rsidRPr="00883441">
        <w:rPr>
          <w:i/>
          <w:lang w:eastAsia="en-US"/>
        </w:rPr>
        <w:t>Calls upon</w:t>
      </w:r>
      <w:r w:rsidR="00B94B0F" w:rsidRPr="00883441">
        <w:rPr>
          <w:lang w:eastAsia="en-US"/>
        </w:rPr>
        <w:t xml:space="preserve"> Parties to make their contributions to the core budget for the year 2017 in a </w:t>
      </w:r>
      <w:r w:rsidR="00B94B0F" w:rsidRPr="009F122E">
        <w:rPr>
          <w:lang w:eastAsia="en-US"/>
        </w:rPr>
        <w:t xml:space="preserve">timely manner, bearing in mind that contributions are due on 1 January of each year in accordance with the financial procedures </w:t>
      </w:r>
      <w:r w:rsidR="00B94B0F" w:rsidRPr="009F122E">
        <w:t>for the Conference of the Parties</w:t>
      </w:r>
      <w:r w:rsidR="00B94B0F" w:rsidRPr="009F122E">
        <w:rPr>
          <w:lang w:eastAsia="en-US"/>
        </w:rPr>
        <w:t>;</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t>6.</w:t>
      </w:r>
      <w:r w:rsidRPr="009F122E">
        <w:rPr>
          <w:lang w:eastAsia="en-US"/>
        </w:rPr>
        <w:tab/>
      </w:r>
      <w:r w:rsidR="00B94B0F" w:rsidRPr="009F122E">
        <w:rPr>
          <w:i/>
          <w:iCs/>
          <w:lang w:eastAsia="en-US"/>
        </w:rPr>
        <w:t>Requests</w:t>
      </w:r>
      <w:r w:rsidR="00B94B0F" w:rsidRPr="009F122E">
        <w:rPr>
          <w:iCs/>
          <w:lang w:eastAsia="en-US"/>
        </w:rPr>
        <w:t xml:space="preserve"> the secretariat to explore options on ways to address outstanding contributions to the core budget, for the consideration of the Subsidiary Body for Implementation at its forty-sixth session (May 2017);</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t>7.</w:t>
      </w:r>
      <w:r w:rsidRPr="009F122E">
        <w:rPr>
          <w:lang w:eastAsia="en-US"/>
        </w:rPr>
        <w:tab/>
      </w:r>
      <w:r w:rsidR="00B94B0F" w:rsidRPr="009F122E">
        <w:rPr>
          <w:i/>
          <w:lang w:eastAsia="en-US"/>
        </w:rPr>
        <w:t>Expresses its appreciation</w:t>
      </w:r>
      <w:r w:rsidR="00B94B0F" w:rsidRPr="009F122E">
        <w:rPr>
          <w:lang w:eastAsia="en-US"/>
        </w:rPr>
        <w:t xml:space="preserve"> for the contributions to the Trust Fund for Participation in the UNFCCC Process and to the Trust Fund for Supplementary Activities received from the Parties;</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t>8.</w:t>
      </w:r>
      <w:r w:rsidRPr="009F122E">
        <w:rPr>
          <w:lang w:eastAsia="en-US"/>
        </w:rPr>
        <w:tab/>
      </w:r>
      <w:r w:rsidR="00B94B0F" w:rsidRPr="009F122E">
        <w:rPr>
          <w:i/>
          <w:lang w:eastAsia="en-US"/>
        </w:rPr>
        <w:t>Urges</w:t>
      </w:r>
      <w:r w:rsidR="00B94B0F" w:rsidRPr="009F122E">
        <w:rPr>
          <w:lang w:eastAsia="en-US"/>
        </w:rPr>
        <w:t xml:space="preserve"> Parties to further contribute to the Trust Fund for Participation in the UNFCCC Process, in order to ensure the widest possible participation in the negotiations in 2017, and to the Trust Fund for Supplementary Activities;</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lastRenderedPageBreak/>
        <w:t>9.</w:t>
      </w:r>
      <w:r w:rsidRPr="009F122E">
        <w:rPr>
          <w:lang w:eastAsia="en-US"/>
        </w:rPr>
        <w:tab/>
      </w:r>
      <w:r w:rsidR="00B94B0F" w:rsidRPr="009F122E">
        <w:rPr>
          <w:i/>
          <w:lang w:eastAsia="en-US"/>
        </w:rPr>
        <w:t>Requests</w:t>
      </w:r>
      <w:r w:rsidR="00B94B0F" w:rsidRPr="009F122E">
        <w:rPr>
          <w:lang w:eastAsia="en-US"/>
        </w:rPr>
        <w:t xml:space="preserve"> the secretariat to explore options for increasing the flexibility of the funds in the Trust Fund for Supplementary Activities, for </w:t>
      </w:r>
      <w:r w:rsidR="00B94B0F" w:rsidRPr="009F122E">
        <w:rPr>
          <w:iCs/>
          <w:lang w:eastAsia="en-US"/>
        </w:rPr>
        <w:t>the consideration of the Subsidiary Body for Implementation at its forty-sixth session</w:t>
      </w:r>
      <w:r w:rsidR="00B94B0F" w:rsidRPr="009F122E">
        <w:rPr>
          <w:lang w:eastAsia="en-US"/>
        </w:rPr>
        <w:t>;</w:t>
      </w:r>
    </w:p>
    <w:p w:rsidR="00B94B0F" w:rsidRPr="009F122E" w:rsidRDefault="00663684" w:rsidP="00663684">
      <w:pPr>
        <w:pStyle w:val="RegSingleTxtG"/>
        <w:numPr>
          <w:ilvl w:val="0"/>
          <w:numId w:val="0"/>
        </w:numPr>
        <w:tabs>
          <w:tab w:val="left" w:pos="568"/>
        </w:tabs>
        <w:ind w:left="1135"/>
        <w:rPr>
          <w:lang w:eastAsia="en-US"/>
        </w:rPr>
      </w:pPr>
      <w:r w:rsidRPr="009F122E">
        <w:rPr>
          <w:lang w:eastAsia="en-US"/>
        </w:rPr>
        <w:t>10.</w:t>
      </w:r>
      <w:r w:rsidRPr="009F122E">
        <w:rPr>
          <w:lang w:eastAsia="en-US"/>
        </w:rPr>
        <w:tab/>
      </w:r>
      <w:r w:rsidR="00B94B0F" w:rsidRPr="009F122E">
        <w:rPr>
          <w:i/>
          <w:lang w:eastAsia="en-US"/>
        </w:rPr>
        <w:t>Reiterates</w:t>
      </w:r>
      <w:r w:rsidR="00B94B0F" w:rsidRPr="009F122E">
        <w:rPr>
          <w:lang w:eastAsia="en-US"/>
        </w:rPr>
        <w:t xml:space="preserve"> </w:t>
      </w:r>
      <w:r w:rsidR="00B94B0F" w:rsidRPr="009F122E">
        <w:rPr>
          <w:i/>
          <w:lang w:eastAsia="en-US"/>
        </w:rPr>
        <w:t>its appreciation</w:t>
      </w:r>
      <w:r w:rsidR="00B94B0F" w:rsidRPr="009F122E">
        <w:rPr>
          <w:lang w:eastAsia="en-US"/>
        </w:rPr>
        <w:t xml:space="preserve"> to the Government of Germany for its annual voluntary contribution to the core budget of EUR 766,938 and its special contribution of EUR 1,789,522 as Host Government of the secretariat;</w:t>
      </w:r>
    </w:p>
    <w:p w:rsidR="00B94B0F" w:rsidRDefault="00663684" w:rsidP="00663684">
      <w:pPr>
        <w:pStyle w:val="RegSingleTxtG"/>
        <w:numPr>
          <w:ilvl w:val="0"/>
          <w:numId w:val="0"/>
        </w:numPr>
        <w:tabs>
          <w:tab w:val="left" w:pos="568"/>
        </w:tabs>
        <w:ind w:left="1135"/>
        <w:rPr>
          <w:lang w:eastAsia="en-US"/>
        </w:rPr>
      </w:pPr>
      <w:r>
        <w:rPr>
          <w:lang w:eastAsia="en-US"/>
        </w:rPr>
        <w:t>11.</w:t>
      </w:r>
      <w:r>
        <w:rPr>
          <w:lang w:eastAsia="en-US"/>
        </w:rPr>
        <w:tab/>
      </w:r>
      <w:r w:rsidR="00B94B0F">
        <w:rPr>
          <w:i/>
          <w:lang w:eastAsia="en-US"/>
        </w:rPr>
        <w:t>Adopts</w:t>
      </w:r>
      <w:r w:rsidR="00B94B0F">
        <w:rPr>
          <w:lang w:eastAsia="en-US"/>
        </w:rPr>
        <w:t xml:space="preserve"> the </w:t>
      </w:r>
      <w:r w:rsidR="00B94B0F" w:rsidRPr="00C97D98">
        <w:rPr>
          <w:lang w:eastAsia="en-US"/>
        </w:rPr>
        <w:t>revised scale of contribution</w:t>
      </w:r>
      <w:r w:rsidR="00B94B0F">
        <w:rPr>
          <w:lang w:eastAsia="en-US"/>
        </w:rPr>
        <w:t>s for 2016–2017</w:t>
      </w:r>
      <w:r w:rsidR="00B94B0F" w:rsidRPr="00C97D98">
        <w:rPr>
          <w:lang w:eastAsia="en-US"/>
        </w:rPr>
        <w:t xml:space="preserve"> </w:t>
      </w:r>
      <w:r w:rsidR="00B94B0F">
        <w:rPr>
          <w:lang w:eastAsia="en-US"/>
        </w:rPr>
        <w:t>contained in the annex;</w:t>
      </w:r>
    </w:p>
    <w:p w:rsidR="00B94B0F" w:rsidRDefault="00663684" w:rsidP="00663684">
      <w:pPr>
        <w:pStyle w:val="RegHChG"/>
        <w:numPr>
          <w:ilvl w:val="0"/>
          <w:numId w:val="0"/>
        </w:numPr>
        <w:tabs>
          <w:tab w:val="left" w:pos="1135"/>
        </w:tabs>
        <w:ind w:left="1135" w:hanging="454"/>
      </w:pPr>
      <w:r>
        <w:t>II.</w:t>
      </w:r>
      <w:r>
        <w:tab/>
      </w:r>
      <w:r w:rsidR="00B94B0F" w:rsidRPr="00C94384">
        <w:t>Audit report and financial statements for 2015</w:t>
      </w:r>
    </w:p>
    <w:p w:rsidR="00B94B0F" w:rsidRPr="00777453" w:rsidRDefault="00663684" w:rsidP="00663684">
      <w:pPr>
        <w:pStyle w:val="RegSingleTxtG"/>
        <w:numPr>
          <w:ilvl w:val="0"/>
          <w:numId w:val="0"/>
        </w:numPr>
        <w:tabs>
          <w:tab w:val="left" w:pos="568"/>
        </w:tabs>
        <w:ind w:left="1135"/>
        <w:rPr>
          <w:lang w:eastAsia="en-US"/>
        </w:rPr>
      </w:pPr>
      <w:r w:rsidRPr="00777453">
        <w:rPr>
          <w:lang w:eastAsia="en-US"/>
        </w:rPr>
        <w:t>12.</w:t>
      </w:r>
      <w:r w:rsidRPr="00777453">
        <w:rPr>
          <w:lang w:eastAsia="en-US"/>
        </w:rPr>
        <w:tab/>
      </w:r>
      <w:r w:rsidR="00B94B0F" w:rsidRPr="00C94384">
        <w:rPr>
          <w:i/>
          <w:lang w:eastAsia="en-US"/>
        </w:rPr>
        <w:t>Takes note</w:t>
      </w:r>
      <w:r w:rsidR="00B94B0F" w:rsidRPr="00777453">
        <w:rPr>
          <w:lang w:eastAsia="en-US"/>
        </w:rPr>
        <w:t xml:space="preserve"> of the audit report of the United Nations Board of Auditors</w:t>
      </w:r>
      <w:r w:rsidR="00B94B0F">
        <w:rPr>
          <w:rStyle w:val="FootnoteReference"/>
          <w:rFonts w:eastAsia="Times New Roman"/>
          <w:lang w:eastAsia="en-US"/>
        </w:rPr>
        <w:footnoteReference w:id="29"/>
      </w:r>
      <w:r w:rsidR="00B94B0F" w:rsidRPr="00777453">
        <w:rPr>
          <w:lang w:eastAsia="en-US"/>
        </w:rPr>
        <w:t xml:space="preserve"> and the financial statements for 2015, which include recommendations, and the comments of the secretariat thereon;</w:t>
      </w:r>
    </w:p>
    <w:p w:rsidR="00B94B0F" w:rsidRPr="00777453" w:rsidRDefault="00663684" w:rsidP="00663684">
      <w:pPr>
        <w:pStyle w:val="RegSingleTxtG"/>
        <w:numPr>
          <w:ilvl w:val="0"/>
          <w:numId w:val="0"/>
        </w:numPr>
        <w:tabs>
          <w:tab w:val="left" w:pos="568"/>
        </w:tabs>
        <w:ind w:left="1135"/>
        <w:rPr>
          <w:lang w:eastAsia="en-US"/>
        </w:rPr>
      </w:pPr>
      <w:r w:rsidRPr="00777453">
        <w:rPr>
          <w:lang w:eastAsia="en-US"/>
        </w:rPr>
        <w:t>13.</w:t>
      </w:r>
      <w:r w:rsidRPr="00777453">
        <w:rPr>
          <w:lang w:eastAsia="en-US"/>
        </w:rPr>
        <w:tab/>
      </w:r>
      <w:r w:rsidR="00B94B0F" w:rsidRPr="00777453">
        <w:rPr>
          <w:i/>
          <w:lang w:eastAsia="en-US"/>
        </w:rPr>
        <w:t>Expresses its appreciation</w:t>
      </w:r>
      <w:r w:rsidR="00B94B0F" w:rsidRPr="00777453">
        <w:rPr>
          <w:lang w:eastAsia="en-US"/>
        </w:rPr>
        <w:t xml:space="preserve"> to the United Nations for arranging the audits of the accounts of the </w:t>
      </w:r>
      <w:r w:rsidR="00B94B0F">
        <w:rPr>
          <w:lang w:eastAsia="en-US"/>
        </w:rPr>
        <w:t>C</w:t>
      </w:r>
      <w:r w:rsidR="00B94B0F" w:rsidRPr="00777453">
        <w:rPr>
          <w:lang w:eastAsia="en-US"/>
        </w:rPr>
        <w:t>onvention and for valuable observations and recommendations of the auditors;</w:t>
      </w:r>
    </w:p>
    <w:p w:rsidR="00B94B0F" w:rsidRPr="00B76745" w:rsidRDefault="00663684" w:rsidP="00663684">
      <w:pPr>
        <w:pStyle w:val="RegSingleTxtG"/>
        <w:numPr>
          <w:ilvl w:val="0"/>
          <w:numId w:val="0"/>
        </w:numPr>
        <w:tabs>
          <w:tab w:val="left" w:pos="568"/>
        </w:tabs>
        <w:ind w:left="1135"/>
        <w:rPr>
          <w:lang w:eastAsia="en-US"/>
        </w:rPr>
      </w:pPr>
      <w:r w:rsidRPr="00B76745">
        <w:rPr>
          <w:lang w:eastAsia="en-US"/>
        </w:rPr>
        <w:t>14.</w:t>
      </w:r>
      <w:r w:rsidRPr="00B76745">
        <w:rPr>
          <w:lang w:eastAsia="en-US"/>
        </w:rPr>
        <w:tab/>
      </w:r>
      <w:r w:rsidR="00B94B0F" w:rsidRPr="00777453">
        <w:rPr>
          <w:i/>
        </w:rPr>
        <w:t xml:space="preserve">Urges </w:t>
      </w:r>
      <w:r w:rsidR="00B94B0F" w:rsidRPr="00777453">
        <w:t>the Executive Secretary to implement the recommendations of the auditors, as appropriate</w:t>
      </w:r>
      <w:r w:rsidR="00B94B0F">
        <w:t>;</w:t>
      </w:r>
    </w:p>
    <w:p w:rsidR="00B94B0F" w:rsidRDefault="00663684" w:rsidP="00663684">
      <w:pPr>
        <w:pStyle w:val="RegHChG"/>
        <w:numPr>
          <w:ilvl w:val="0"/>
          <w:numId w:val="0"/>
        </w:numPr>
        <w:tabs>
          <w:tab w:val="left" w:pos="1135"/>
        </w:tabs>
        <w:ind w:left="1135" w:hanging="454"/>
      </w:pPr>
      <w:r>
        <w:t>III.</w:t>
      </w:r>
      <w:r>
        <w:tab/>
      </w:r>
      <w:r w:rsidR="00B94B0F" w:rsidRPr="00C94384">
        <w:t>Other financial matters</w:t>
      </w:r>
    </w:p>
    <w:p w:rsidR="00B94B0F" w:rsidRPr="00C94384" w:rsidRDefault="00663684" w:rsidP="00663684">
      <w:pPr>
        <w:pStyle w:val="RegSingleTxtG"/>
        <w:numPr>
          <w:ilvl w:val="0"/>
          <w:numId w:val="0"/>
        </w:numPr>
        <w:tabs>
          <w:tab w:val="left" w:pos="568"/>
        </w:tabs>
        <w:ind w:left="1135"/>
        <w:rPr>
          <w:rFonts w:eastAsia="Times New Roman"/>
          <w:lang w:eastAsia="en-US"/>
        </w:rPr>
      </w:pPr>
      <w:r w:rsidRPr="00C94384">
        <w:rPr>
          <w:rFonts w:eastAsia="Times New Roman"/>
          <w:lang w:eastAsia="en-US"/>
        </w:rPr>
        <w:t>15.</w:t>
      </w:r>
      <w:r w:rsidRPr="00C94384">
        <w:rPr>
          <w:rFonts w:eastAsia="Times New Roman"/>
          <w:lang w:eastAsia="en-US"/>
        </w:rPr>
        <w:tab/>
      </w:r>
      <w:r w:rsidR="00B94B0F" w:rsidRPr="00C94384">
        <w:rPr>
          <w:rFonts w:eastAsia="Times New Roman"/>
          <w:i/>
          <w:lang w:eastAsia="en-US"/>
        </w:rPr>
        <w:t>Takes note</w:t>
      </w:r>
      <w:r w:rsidR="00B94B0F" w:rsidRPr="00C94384">
        <w:rPr>
          <w:rFonts w:eastAsia="Times New Roman"/>
          <w:lang w:eastAsia="en-US"/>
        </w:rPr>
        <w:t xml:space="preserve"> of the information contained in the note on the range of options for </w:t>
      </w:r>
      <w:r w:rsidR="00B94B0F" w:rsidRPr="00C231DE">
        <w:t xml:space="preserve">improving the efficiency and transparency of the UNFCCC budget process, and in the note on the evolving functions and operations of the secretariat in </w:t>
      </w:r>
      <w:r w:rsidR="00B94B0F">
        <w:t xml:space="preserve">the </w:t>
      </w:r>
      <w:r w:rsidR="00B94B0F" w:rsidRPr="00C231DE">
        <w:t xml:space="preserve">light of decision </w:t>
      </w:r>
      <w:r w:rsidR="00B94B0F" w:rsidRPr="004E63A6">
        <w:t>1/CP.21</w:t>
      </w:r>
      <w:r w:rsidR="00B94B0F" w:rsidRPr="00C231DE">
        <w:t>;</w:t>
      </w:r>
    </w:p>
    <w:p w:rsidR="00B94B0F" w:rsidRPr="008C6C34" w:rsidRDefault="00663684" w:rsidP="00663684">
      <w:pPr>
        <w:pStyle w:val="RegSingleTxtG"/>
        <w:numPr>
          <w:ilvl w:val="0"/>
          <w:numId w:val="0"/>
        </w:numPr>
        <w:tabs>
          <w:tab w:val="left" w:pos="568"/>
        </w:tabs>
        <w:ind w:left="1135"/>
        <w:rPr>
          <w:rFonts w:eastAsia="Times New Roman"/>
          <w:lang w:eastAsia="en-US"/>
        </w:rPr>
      </w:pPr>
      <w:r w:rsidRPr="008C6C34">
        <w:rPr>
          <w:rFonts w:eastAsia="Times New Roman"/>
          <w:lang w:eastAsia="en-US"/>
        </w:rPr>
        <w:t>16.</w:t>
      </w:r>
      <w:r w:rsidRPr="008C6C34">
        <w:rPr>
          <w:rFonts w:eastAsia="Times New Roman"/>
          <w:lang w:eastAsia="en-US"/>
        </w:rPr>
        <w:tab/>
      </w:r>
      <w:r w:rsidR="00B94B0F" w:rsidRPr="008C6C34">
        <w:rPr>
          <w:rFonts w:eastAsia="Times New Roman"/>
          <w:i/>
          <w:lang w:eastAsia="en-US"/>
        </w:rPr>
        <w:t xml:space="preserve">Welcomes </w:t>
      </w:r>
      <w:r w:rsidR="00B94B0F" w:rsidRPr="008C6C34">
        <w:rPr>
          <w:rFonts w:eastAsia="Times New Roman"/>
          <w:lang w:eastAsia="en-US"/>
        </w:rPr>
        <w:t>the Executive Secretary’s advance dialogue with Parties on the programme budget for the biennium 2018–2019;</w:t>
      </w:r>
    </w:p>
    <w:p w:rsidR="00B94B0F" w:rsidRPr="008C6C34" w:rsidRDefault="00663684" w:rsidP="00663684">
      <w:pPr>
        <w:pStyle w:val="RegSingleTxtG"/>
        <w:numPr>
          <w:ilvl w:val="0"/>
          <w:numId w:val="0"/>
        </w:numPr>
        <w:tabs>
          <w:tab w:val="left" w:pos="568"/>
        </w:tabs>
        <w:ind w:left="1135"/>
        <w:rPr>
          <w:rFonts w:eastAsia="Times New Roman"/>
          <w:lang w:eastAsia="en-US"/>
        </w:rPr>
      </w:pPr>
      <w:r w:rsidRPr="008C6C34">
        <w:rPr>
          <w:rFonts w:eastAsia="Times New Roman"/>
          <w:lang w:eastAsia="en-US"/>
        </w:rPr>
        <w:t>17.</w:t>
      </w:r>
      <w:r w:rsidRPr="008C6C34">
        <w:rPr>
          <w:rFonts w:eastAsia="Times New Roman"/>
          <w:lang w:eastAsia="en-US"/>
        </w:rPr>
        <w:tab/>
      </w:r>
      <w:r w:rsidR="00B94B0F" w:rsidRPr="008C6C34">
        <w:rPr>
          <w:rFonts w:eastAsia="Times New Roman"/>
          <w:i/>
          <w:lang w:eastAsia="en-US"/>
        </w:rPr>
        <w:t>Also welcomes</w:t>
      </w:r>
      <w:r w:rsidR="00B94B0F" w:rsidRPr="008C6C34">
        <w:rPr>
          <w:rFonts w:eastAsia="Times New Roman"/>
          <w:lang w:eastAsia="en-US"/>
        </w:rPr>
        <w:t xml:space="preserve"> the Executive Secretary’s initiative to take an integrated approach to the development of the programme </w:t>
      </w:r>
      <w:r w:rsidR="00B94B0F" w:rsidRPr="00883441">
        <w:rPr>
          <w:rFonts w:eastAsia="Times New Roman"/>
          <w:lang w:eastAsia="en-US"/>
        </w:rPr>
        <w:t>budget taking into account the</w:t>
      </w:r>
      <w:r w:rsidR="00B94B0F" w:rsidRPr="008C6C34">
        <w:rPr>
          <w:rFonts w:eastAsia="Times New Roman"/>
          <w:lang w:eastAsia="en-US"/>
        </w:rPr>
        <w:t xml:space="preserve"> core budget and activities to be funded from voluntary contributions;</w:t>
      </w:r>
    </w:p>
    <w:p w:rsidR="00B94B0F" w:rsidRDefault="00663684" w:rsidP="00663684">
      <w:pPr>
        <w:pStyle w:val="RegSingleTxtG"/>
        <w:numPr>
          <w:ilvl w:val="0"/>
          <w:numId w:val="0"/>
        </w:numPr>
        <w:tabs>
          <w:tab w:val="left" w:pos="568"/>
        </w:tabs>
        <w:ind w:left="1135"/>
        <w:rPr>
          <w:rFonts w:eastAsia="Times New Roman"/>
          <w:lang w:eastAsia="en-US"/>
        </w:rPr>
      </w:pPr>
      <w:r>
        <w:rPr>
          <w:rFonts w:eastAsia="Times New Roman"/>
          <w:lang w:eastAsia="en-US"/>
        </w:rPr>
        <w:t>18.</w:t>
      </w:r>
      <w:r>
        <w:rPr>
          <w:rFonts w:eastAsia="Times New Roman"/>
          <w:lang w:eastAsia="en-US"/>
        </w:rPr>
        <w:tab/>
      </w:r>
      <w:r w:rsidR="00B94B0F" w:rsidRPr="00E0642E">
        <w:rPr>
          <w:rFonts w:eastAsia="Times New Roman"/>
          <w:i/>
          <w:lang w:eastAsia="en-US"/>
        </w:rPr>
        <w:t>Requests</w:t>
      </w:r>
      <w:r w:rsidR="00B94B0F" w:rsidRPr="00E0642E">
        <w:rPr>
          <w:rFonts w:eastAsia="Times New Roman"/>
          <w:lang w:eastAsia="en-US"/>
        </w:rPr>
        <w:t xml:space="preserve"> the Executive Secretary to gradually enhance the transparency of the budget process through the provision of</w:t>
      </w:r>
      <w:r w:rsidR="00B94B0F" w:rsidRPr="008C6C34">
        <w:rPr>
          <w:rFonts w:eastAsia="Times New Roman"/>
          <w:lang w:eastAsia="en-US"/>
        </w:rPr>
        <w:t xml:space="preserve"> additional documentation, as outlined in </w:t>
      </w:r>
      <w:r w:rsidR="00B94B0F">
        <w:rPr>
          <w:rFonts w:eastAsia="Times New Roman"/>
          <w:lang w:eastAsia="en-US"/>
        </w:rPr>
        <w:t xml:space="preserve">document </w:t>
      </w:r>
      <w:r w:rsidR="00B94B0F" w:rsidRPr="00E0642E">
        <w:rPr>
          <w:rFonts w:eastAsia="Times New Roman"/>
          <w:lang w:eastAsia="en-US"/>
        </w:rPr>
        <w:t>FCCC/SBI/2016/INF.14, paragraph 17, in the official</w:t>
      </w:r>
      <w:r w:rsidR="00B94B0F" w:rsidRPr="00364492">
        <w:rPr>
          <w:rFonts w:eastAsia="Times New Roman"/>
          <w:lang w:eastAsia="en-US"/>
        </w:rPr>
        <w:t xml:space="preserve"> budget documents</w:t>
      </w:r>
      <w:r w:rsidR="00B94B0F">
        <w:rPr>
          <w:rFonts w:eastAsia="Times New Roman"/>
          <w:lang w:eastAsia="en-US"/>
        </w:rPr>
        <w:t>;</w:t>
      </w:r>
    </w:p>
    <w:p w:rsidR="00B94B0F" w:rsidRPr="00E0642E" w:rsidRDefault="00663684" w:rsidP="00663684">
      <w:pPr>
        <w:pStyle w:val="RegSingleTxtG"/>
        <w:numPr>
          <w:ilvl w:val="0"/>
          <w:numId w:val="0"/>
        </w:numPr>
        <w:tabs>
          <w:tab w:val="left" w:pos="568"/>
        </w:tabs>
        <w:ind w:left="1135"/>
        <w:rPr>
          <w:rFonts w:eastAsia="Times New Roman"/>
          <w:lang w:eastAsia="en-US"/>
        </w:rPr>
      </w:pPr>
      <w:r w:rsidRPr="00E0642E">
        <w:rPr>
          <w:rFonts w:eastAsia="Times New Roman"/>
          <w:lang w:eastAsia="en-US"/>
        </w:rPr>
        <w:t>19.</w:t>
      </w:r>
      <w:r w:rsidRPr="00E0642E">
        <w:rPr>
          <w:rFonts w:eastAsia="Times New Roman"/>
          <w:lang w:eastAsia="en-US"/>
        </w:rPr>
        <w:tab/>
      </w:r>
      <w:r w:rsidR="00B94B0F" w:rsidRPr="00E0642E">
        <w:rPr>
          <w:rFonts w:eastAsia="Times New Roman"/>
          <w:i/>
          <w:lang w:eastAsia="en-US"/>
        </w:rPr>
        <w:t xml:space="preserve">Also requests </w:t>
      </w:r>
      <w:r w:rsidR="00B94B0F" w:rsidRPr="00E0642E">
        <w:rPr>
          <w:rFonts w:eastAsia="Times New Roman"/>
          <w:lang w:eastAsia="en-US"/>
        </w:rPr>
        <w:t>the Executive Secretary to pursue other possible ways to increase the efficiency and transparency of the budget process as outlined in document FCCC/SBI/2016/INF.14, paragraphs 32–37;</w:t>
      </w:r>
    </w:p>
    <w:p w:rsidR="00B94B0F" w:rsidRPr="00E0642E" w:rsidDel="00DF0F0C" w:rsidRDefault="00663684" w:rsidP="00663684">
      <w:pPr>
        <w:pStyle w:val="RegSingleTxtG"/>
        <w:numPr>
          <w:ilvl w:val="0"/>
          <w:numId w:val="0"/>
        </w:numPr>
        <w:tabs>
          <w:tab w:val="left" w:pos="568"/>
        </w:tabs>
        <w:ind w:left="1135"/>
      </w:pPr>
      <w:r w:rsidRPr="00E0642E" w:rsidDel="00DF0F0C">
        <w:t>20.</w:t>
      </w:r>
      <w:r w:rsidRPr="00E0642E" w:rsidDel="00DF0F0C">
        <w:tab/>
      </w:r>
      <w:r w:rsidR="00B94B0F" w:rsidRPr="00E0642E">
        <w:rPr>
          <w:i/>
        </w:rPr>
        <w:t xml:space="preserve">Takes </w:t>
      </w:r>
      <w:r w:rsidR="00B94B0F" w:rsidRPr="00E0642E" w:rsidDel="00DF0F0C">
        <w:rPr>
          <w:i/>
        </w:rPr>
        <w:t>note</w:t>
      </w:r>
      <w:r w:rsidR="00B94B0F" w:rsidRPr="00E0642E" w:rsidDel="00DF0F0C">
        <w:t xml:space="preserve"> of the estimated budgetary implications of the activities to be undertaken by the secretariat pursuant to the provisions contained in </w:t>
      </w:r>
      <w:r w:rsidR="00B94B0F" w:rsidRPr="00883441" w:rsidDel="00DF0F0C">
        <w:t>paragraph</w:t>
      </w:r>
      <w:r w:rsidR="00B94B0F" w:rsidRPr="00883441">
        <w:t>s</w:t>
      </w:r>
      <w:r w:rsidR="00B94B0F" w:rsidRPr="00883441" w:rsidDel="00DF0F0C">
        <w:t xml:space="preserve"> </w:t>
      </w:r>
      <w:r w:rsidR="00B94B0F" w:rsidRPr="00883441">
        <w:t>1</w:t>
      </w:r>
      <w:r w:rsidR="00B94B0F">
        <w:t>8</w:t>
      </w:r>
      <w:r w:rsidR="00B94B0F" w:rsidRPr="00883441">
        <w:t xml:space="preserve"> and 1</w:t>
      </w:r>
      <w:r w:rsidR="00B94B0F">
        <w:t>9</w:t>
      </w:r>
      <w:r w:rsidR="00B94B0F" w:rsidRPr="00883441" w:rsidDel="00DF0F0C">
        <w:t xml:space="preserve"> above</w:t>
      </w:r>
      <w:r w:rsidR="00B94B0F" w:rsidRPr="00E0642E" w:rsidDel="00DF0F0C">
        <w:t>;</w:t>
      </w:r>
    </w:p>
    <w:p w:rsidR="00B94B0F" w:rsidRDefault="00663684" w:rsidP="00663684">
      <w:pPr>
        <w:pStyle w:val="RegSingleTxtG"/>
        <w:numPr>
          <w:ilvl w:val="0"/>
          <w:numId w:val="0"/>
        </w:numPr>
        <w:tabs>
          <w:tab w:val="left" w:pos="568"/>
        </w:tabs>
        <w:ind w:left="1135"/>
      </w:pPr>
      <w:r>
        <w:t>21.</w:t>
      </w:r>
      <w:r>
        <w:tab/>
      </w:r>
      <w:r w:rsidR="00B94B0F" w:rsidRPr="0002794A" w:rsidDel="00DF0F0C">
        <w:rPr>
          <w:i/>
        </w:rPr>
        <w:t xml:space="preserve">Requests </w:t>
      </w:r>
      <w:r w:rsidR="00B94B0F" w:rsidRPr="00E0642E" w:rsidDel="00DF0F0C">
        <w:t>that the actions of the secretariat called for in this decision be undertaken subject to the availability of financial resources</w:t>
      </w:r>
      <w:r w:rsidR="00B94B0F" w:rsidDel="00DF0F0C">
        <w:t>.</w:t>
      </w:r>
    </w:p>
    <w:p w:rsidR="00B94B0F" w:rsidRPr="00144942" w:rsidRDefault="00B94B0F" w:rsidP="00B94B0F">
      <w:pPr>
        <w:pStyle w:val="RegSingleTxtG"/>
        <w:numPr>
          <w:ilvl w:val="0"/>
          <w:numId w:val="0"/>
        </w:numPr>
        <w:ind w:left="1135"/>
      </w:pPr>
    </w:p>
    <w:p w:rsidR="00B94B0F" w:rsidRDefault="00B94B0F" w:rsidP="00B94B0F">
      <w:pPr>
        <w:sectPr w:rsidR="00B94B0F" w:rsidSect="0002794A">
          <w:headerReference w:type="even" r:id="rId31"/>
          <w:headerReference w:type="default" r:id="rId32"/>
          <w:footerReference w:type="even" r:id="rId33"/>
          <w:footerReference w:type="default" r:id="rId34"/>
          <w:headerReference w:type="first" r:id="rId35"/>
          <w:footnotePr>
            <w:numRestart w:val="eachSect"/>
          </w:footnotePr>
          <w:pgSz w:w="11906" w:h="16838" w:code="9"/>
          <w:pgMar w:top="1701" w:right="1134" w:bottom="2268" w:left="1134" w:header="1134" w:footer="1701" w:gutter="0"/>
          <w:cols w:space="708"/>
          <w:docGrid w:linePitch="360"/>
        </w:sectPr>
      </w:pPr>
    </w:p>
    <w:p w:rsidR="00B94B0F" w:rsidRDefault="00B94B0F" w:rsidP="00B94B0F">
      <w:pPr>
        <w:pStyle w:val="HChG"/>
        <w:spacing w:before="0"/>
      </w:pPr>
      <w:r>
        <w:lastRenderedPageBreak/>
        <w:t>Annex</w:t>
      </w:r>
    </w:p>
    <w:p w:rsidR="00B94B0F" w:rsidRPr="001636F7" w:rsidRDefault="00B94B0F" w:rsidP="00B94B0F">
      <w:pPr>
        <w:jc w:val="right"/>
      </w:pPr>
      <w:r>
        <w:t>[English only]</w:t>
      </w:r>
    </w:p>
    <w:p w:rsidR="00B94B0F" w:rsidRDefault="00B94B0F" w:rsidP="00B94B0F">
      <w:pPr>
        <w:keepNext/>
        <w:keepLines/>
        <w:suppressAutoHyphens w:val="0"/>
        <w:spacing w:before="360" w:after="240" w:line="270" w:lineRule="exact"/>
        <w:ind w:left="1134" w:right="1134"/>
        <w:rPr>
          <w:rFonts w:eastAsia="MS Mincho"/>
          <w:b/>
          <w:sz w:val="24"/>
          <w:lang w:eastAsia="de-DE"/>
        </w:rPr>
      </w:pPr>
      <w:r w:rsidRPr="00ED2270">
        <w:rPr>
          <w:rFonts w:eastAsia="MS Mincho"/>
          <w:b/>
          <w:sz w:val="24"/>
          <w:lang w:eastAsia="de-DE"/>
        </w:rPr>
        <w:t>Trust Fund for the Core Budget of the UNFCCC (Convention): revised indicative contributions for the biennium 2016–2017 in euros</w:t>
      </w:r>
    </w:p>
    <w:tbl>
      <w:tblPr>
        <w:tblStyle w:val="TableGrid"/>
        <w:tblW w:w="8505" w:type="dxa"/>
        <w:tblInd w:w="1134"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12"/>
        <w:gridCol w:w="1431"/>
        <w:gridCol w:w="1431"/>
        <w:gridCol w:w="1431"/>
      </w:tblGrid>
      <w:tr w:rsidR="00B94B0F" w:rsidRPr="00A965B8" w:rsidTr="0037277B">
        <w:trPr>
          <w:trHeight w:val="255"/>
          <w:tblHeader/>
        </w:trPr>
        <w:tc>
          <w:tcPr>
            <w:tcW w:w="4212"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80" w:after="80" w:line="200" w:lineRule="exact"/>
              <w:rPr>
                <w:i/>
                <w:sz w:val="16"/>
              </w:rPr>
            </w:pPr>
            <w:r w:rsidRPr="00A965B8">
              <w:rPr>
                <w:i/>
                <w:sz w:val="16"/>
              </w:rPr>
              <w:t>Party</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80" w:after="80" w:line="200" w:lineRule="exact"/>
              <w:ind w:left="49" w:right="57"/>
              <w:jc w:val="right"/>
              <w:rPr>
                <w:i/>
                <w:sz w:val="16"/>
              </w:rPr>
            </w:pPr>
            <w:r w:rsidRPr="00A965B8">
              <w:rPr>
                <w:i/>
                <w:sz w:val="16"/>
              </w:rPr>
              <w:br/>
              <w:t xml:space="preserve">United Nations revised scale of assessments </w:t>
            </w:r>
            <w:r>
              <w:rPr>
                <w:i/>
                <w:sz w:val="16"/>
              </w:rPr>
              <w:br/>
            </w:r>
            <w:r w:rsidRPr="00A965B8">
              <w:rPr>
                <w:i/>
                <w:sz w:val="16"/>
              </w:rPr>
              <w:t>2016–2018</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80" w:after="80" w:line="200" w:lineRule="exact"/>
              <w:ind w:left="113" w:right="57"/>
              <w:jc w:val="right"/>
              <w:rPr>
                <w:i/>
                <w:sz w:val="16"/>
              </w:rPr>
            </w:pPr>
            <w:r w:rsidRPr="00A965B8">
              <w:rPr>
                <w:i/>
                <w:sz w:val="16"/>
              </w:rPr>
              <w:br/>
              <w:t>UNFCCC revised indicative scale of contributions for 2016</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80" w:after="80" w:line="200" w:lineRule="exact"/>
              <w:ind w:left="113" w:right="57"/>
              <w:jc w:val="right"/>
              <w:rPr>
                <w:i/>
                <w:sz w:val="16"/>
              </w:rPr>
            </w:pPr>
            <w:r w:rsidRPr="00A965B8">
              <w:rPr>
                <w:i/>
                <w:sz w:val="16"/>
              </w:rPr>
              <w:t>UNFCCC revised indicative scale of contributions for 2017</w:t>
            </w:r>
          </w:p>
        </w:tc>
      </w:tr>
      <w:tr w:rsidR="00B94B0F" w:rsidRPr="00A965B8" w:rsidTr="0037277B">
        <w:trPr>
          <w:trHeight w:val="255"/>
        </w:trPr>
        <w:tc>
          <w:tcPr>
            <w:tcW w:w="4212" w:type="dxa"/>
            <w:tcBorders>
              <w:top w:val="single" w:sz="12" w:space="0" w:color="auto"/>
            </w:tcBorders>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Afghanistan</w:t>
            </w:r>
          </w:p>
        </w:tc>
        <w:tc>
          <w:tcPr>
            <w:tcW w:w="1431" w:type="dxa"/>
            <w:tcBorders>
              <w:top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r w:rsidRPr="00A965B8">
              <w:rPr>
                <w:i/>
                <w:sz w:val="18"/>
                <w:vertAlign w:val="superscript"/>
              </w:rPr>
              <w:t>a</w:t>
            </w:r>
          </w:p>
        </w:tc>
        <w:tc>
          <w:tcPr>
            <w:tcW w:w="1431" w:type="dxa"/>
            <w:tcBorders>
              <w:top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tcBorders>
              <w:top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Albania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Algeria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Andorra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Angola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Antigua and Barbuda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Argentina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0.892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0.870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0.870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Armenia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Australia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2.337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2.279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2.278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Austria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0.720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Azerbaijan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Bahamas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Bahrain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Bangladesh</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Barbados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Belarus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Belgium</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0.885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0.863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0.863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Belize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Benin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Bhutan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Bolivia (Plurinational State of)</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Bosnia and Herzegovina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Botswana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Brazil</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3.823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3.727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3.727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Brunei Darussalam</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Bulgaria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Burkina Faso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Burundi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Cabo Verde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Cambodia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Cameroon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Canada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2.921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2.848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2.848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lastRenderedPageBreak/>
              <w:t>Central African Republic</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Chad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Chile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0.399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0.389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0.389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China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7.921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7.723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7.722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Colombia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0.322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Comoros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Congo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Cook Islands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Costa Rica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Côte d’Ivoire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Croatia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Cuba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Cyprus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Czech</w:t>
            </w:r>
            <w:r>
              <w:rPr>
                <w:sz w:val="18"/>
              </w:rPr>
              <w:t>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0.344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0.335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0.335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 xml:space="preserve">Democratic People’s </w:t>
            </w:r>
            <w:r w:rsidRPr="00A965B8">
              <w:rPr>
                <w:sz w:val="18"/>
              </w:rPr>
              <w:br/>
              <w:t>Republic of Korea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 xml:space="preserve">Democratic Republic of </w:t>
            </w:r>
            <w:r w:rsidRPr="00A965B8">
              <w:rPr>
                <w:sz w:val="18"/>
              </w:rPr>
              <w:br/>
              <w:t>the Congo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Denmark</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0.584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0.569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0.569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Djibouti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Dominica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Dominican Republic</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Ecuador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Egypt</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0.148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0.148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El Salvador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Equatorial Guinea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Eritrea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Estonia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Ethiopia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European Union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2.500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2.500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2.500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Fiji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Finland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0.456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0.445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0.445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France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4.859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4.737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4.737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Gabon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Gambia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Georgia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Germany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6.389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6.229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6.229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Ghana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Greece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0.471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0.459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0.459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lastRenderedPageBreak/>
              <w:t>Grenada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Guatemala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Guinea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Guinea–Bissau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Guyana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Haiti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Honduras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Hungary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Iceland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India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0.737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0.719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0.719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Indonesia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0.491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0.491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Iran (Islamic Republic of)</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0.471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0.459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0.459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Iraq</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Ireland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0.335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0.327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0.327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Israel</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0.430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0.419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0.419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Italy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3.748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3.654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3.654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Jamaica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Japan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9.680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9.438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9.437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Jordan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Kazakhstan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0.191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0.186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0.186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Kenya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Kiribati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Kuwait</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0.285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0.278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0.278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Kyrgyzstan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Lao People’s Democratic Republic</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Latvia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Lebanon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0.045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Lesotho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Liberia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Libya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0.122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Liechtenstein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Lithuania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Luxembourg</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0.062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Madagascar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Malawi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Malaysia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0.322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Maldives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Mali</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lastRenderedPageBreak/>
              <w:t>Malta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Marshall Islands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Mauritania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Mauritius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Mexico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1.435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1.399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1.399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Micronesia (Federated States of)</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Monaco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Mongolia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Montenegro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Morocco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Mozambique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Myanmar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Namibia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Nauru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Nepal</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Netherlands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1.482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1.445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1.445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New Zealand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Nicaragua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Niger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Nigeria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Niue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Norway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0.849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0.828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0.828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Oman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0.113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Pakistan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0.091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Palau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Panama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Papua New Guinea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Paraguay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Peru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0.136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0.133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0.133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Philippines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Poland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0.841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0.820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0.820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Portugal</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0.392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0.382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0.382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Qatar</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0.262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Republic of Korea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2.039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1.988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1.988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Republic of Moldova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Romania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0.184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0.179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0.179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Russian Federation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3.088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3.011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3.011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Rwanda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lastRenderedPageBreak/>
              <w:t>Saint Kitts and Nevis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Saint Lucia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Saint Vincent and the Grenadines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Samoa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San Marino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Sao Tome and Principe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Saudi Arabia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1.146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1.117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1.117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Senegal</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Serbia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Seychelles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Sierra Leone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Singapore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0.447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0.436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0.436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Slovakia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0.160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0.156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Slovenia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0.084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0.082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0.082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Solomon Islands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Somalia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South Africa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0.364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0.355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0.355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South Sudan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Spain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2.443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2.382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2.382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Sri Lanka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State of Palestine</w:t>
            </w:r>
            <w:r w:rsidRPr="00A965B8">
              <w:rPr>
                <w:i/>
                <w:sz w:val="18"/>
                <w:vertAlign w:val="superscript"/>
              </w:rPr>
              <w:t>b</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Sudan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Suriname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0.006</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Swaziland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Sweden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0.956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0.932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0.932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Switzerland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1.140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1.111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1.111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Syrian Arab Republic</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Tajikistan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Thailand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0.291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0.284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0.284</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The former Yugoslav Republic of Macedonia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Timor–Leste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Togo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Tonga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Trinidad and Tobago</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0.033</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Tunisia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Turkey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1.018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0.993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0.992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Turkmenistan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0.026</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0.025</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0.025</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Tuvalu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lastRenderedPageBreak/>
              <w:t>Uganda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Ukraine</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0.103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0.100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0.100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United Arab Emirates</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0.604</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0.589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0.589</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United Kingdom of Great Britain and Northern Ireland</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4.463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4.351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4.351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United Republic of Tanzania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United States of America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22.000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21.449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21.448</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Uruguay</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0.079</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0.077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Uzbekistan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0.023</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0.022</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0.022</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Vanuatu</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0.001</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Venezuela (Bolivarian Republic of)</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0.571</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0.557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0.557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Viet Nam</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0.058</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0.057</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Yemen</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0.010</w:t>
            </w:r>
          </w:p>
        </w:tc>
      </w:tr>
      <w:tr w:rsidR="00B94B0F" w:rsidRPr="00A965B8" w:rsidTr="0037277B">
        <w:trPr>
          <w:trHeight w:val="255"/>
        </w:trPr>
        <w:tc>
          <w:tcPr>
            <w:tcW w:w="4212" w:type="dxa"/>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Zambia</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c>
          <w:tcPr>
            <w:tcW w:w="1431" w:type="dxa"/>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0.007</w:t>
            </w:r>
          </w:p>
        </w:tc>
      </w:tr>
      <w:tr w:rsidR="00B94B0F" w:rsidRPr="00A965B8" w:rsidTr="0037277B">
        <w:trPr>
          <w:trHeight w:val="255"/>
        </w:trPr>
        <w:tc>
          <w:tcPr>
            <w:tcW w:w="4212" w:type="dxa"/>
            <w:tcBorders>
              <w:bottom w:val="single" w:sz="4" w:space="0" w:color="auto"/>
            </w:tcBorders>
            <w:shd w:val="clear" w:color="auto" w:fill="auto"/>
            <w:noWrap/>
            <w:hideMark/>
          </w:tcPr>
          <w:p w:rsidR="00B94B0F" w:rsidRPr="00A965B8" w:rsidRDefault="00B94B0F" w:rsidP="0037277B">
            <w:pPr>
              <w:suppressAutoHyphens w:val="0"/>
              <w:spacing w:before="40" w:after="40" w:line="220" w:lineRule="exact"/>
              <w:rPr>
                <w:sz w:val="18"/>
              </w:rPr>
            </w:pPr>
            <w:r w:rsidRPr="00A965B8">
              <w:rPr>
                <w:sz w:val="18"/>
              </w:rPr>
              <w:t>Zimbabwe</w:t>
            </w:r>
          </w:p>
        </w:tc>
        <w:tc>
          <w:tcPr>
            <w:tcW w:w="1431" w:type="dxa"/>
            <w:tcBorders>
              <w:bottom w:val="single" w:sz="4"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tcBorders>
              <w:bottom w:val="single" w:sz="4"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c>
          <w:tcPr>
            <w:tcW w:w="1431" w:type="dxa"/>
            <w:tcBorders>
              <w:bottom w:val="single" w:sz="4"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sz w:val="18"/>
              </w:rPr>
            </w:pPr>
            <w:r w:rsidRPr="00A965B8">
              <w:rPr>
                <w:sz w:val="18"/>
              </w:rPr>
              <w:t>0.004</w:t>
            </w:r>
          </w:p>
        </w:tc>
      </w:tr>
      <w:tr w:rsidR="00B94B0F" w:rsidRPr="00A965B8" w:rsidTr="0037277B">
        <w:trPr>
          <w:trHeight w:val="255"/>
        </w:trPr>
        <w:tc>
          <w:tcPr>
            <w:tcW w:w="4212" w:type="dxa"/>
            <w:tcBorders>
              <w:top w:val="single" w:sz="4" w:space="0" w:color="auto"/>
              <w:bottom w:val="single" w:sz="12" w:space="0" w:color="auto"/>
            </w:tcBorders>
            <w:shd w:val="clear" w:color="auto" w:fill="auto"/>
            <w:noWrap/>
            <w:hideMark/>
          </w:tcPr>
          <w:p w:rsidR="00B94B0F" w:rsidRPr="00A965B8" w:rsidRDefault="00B94B0F" w:rsidP="0037277B">
            <w:pPr>
              <w:suppressAutoHyphens w:val="0"/>
              <w:spacing w:before="40" w:after="40" w:line="220" w:lineRule="exact"/>
              <w:ind w:left="284"/>
              <w:rPr>
                <w:b/>
                <w:sz w:val="18"/>
              </w:rPr>
            </w:pPr>
            <w:r w:rsidRPr="00A965B8">
              <w:rPr>
                <w:b/>
                <w:sz w:val="18"/>
              </w:rPr>
              <w:t>Total</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b/>
                <w:sz w:val="18"/>
              </w:rPr>
            </w:pPr>
            <w:r w:rsidRPr="00A965B8">
              <w:rPr>
                <w:b/>
                <w:sz w:val="18"/>
              </w:rPr>
              <w:t>102.509</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b/>
                <w:sz w:val="18"/>
              </w:rPr>
            </w:pPr>
            <w:r w:rsidRPr="00A965B8">
              <w:rPr>
                <w:b/>
                <w:sz w:val="18"/>
              </w:rPr>
              <w:t>100.000</w:t>
            </w:r>
          </w:p>
        </w:tc>
        <w:tc>
          <w:tcPr>
            <w:tcW w:w="1431" w:type="dxa"/>
            <w:tcBorders>
              <w:top w:val="single" w:sz="4" w:space="0" w:color="auto"/>
              <w:bottom w:val="single" w:sz="12" w:space="0" w:color="auto"/>
            </w:tcBorders>
            <w:shd w:val="clear" w:color="auto" w:fill="auto"/>
            <w:noWrap/>
            <w:vAlign w:val="bottom"/>
            <w:hideMark/>
          </w:tcPr>
          <w:p w:rsidR="00B94B0F" w:rsidRPr="00A965B8" w:rsidRDefault="00B94B0F" w:rsidP="0037277B">
            <w:pPr>
              <w:suppressAutoHyphens w:val="0"/>
              <w:spacing w:before="40" w:after="40" w:line="220" w:lineRule="exact"/>
              <w:ind w:left="113"/>
              <w:jc w:val="right"/>
              <w:rPr>
                <w:b/>
                <w:sz w:val="18"/>
              </w:rPr>
            </w:pPr>
            <w:r w:rsidRPr="00A965B8">
              <w:rPr>
                <w:b/>
                <w:sz w:val="18"/>
              </w:rPr>
              <w:t>100.000</w:t>
            </w:r>
          </w:p>
        </w:tc>
      </w:tr>
    </w:tbl>
    <w:p w:rsidR="00B94B0F" w:rsidRDefault="00663684" w:rsidP="00663684">
      <w:pPr>
        <w:pStyle w:val="FootnoteTable"/>
        <w:spacing w:before="120"/>
        <w:ind w:left="1134" w:firstLine="170"/>
      </w:pPr>
      <w:r>
        <w:rPr>
          <w:i/>
          <w:vertAlign w:val="superscript"/>
        </w:rPr>
        <w:t xml:space="preserve">a   </w:t>
      </w:r>
      <w:r w:rsidR="00B94B0F" w:rsidRPr="00D6105C">
        <w:t>For presentation purposes, all figures of the United Nations revised scale of assessments and of the UNFCCC revised indicative scale of contributions are given to three decimal places</w:t>
      </w:r>
      <w:r w:rsidR="00B94B0F">
        <w:t>.</w:t>
      </w:r>
    </w:p>
    <w:p w:rsidR="00B94B0F" w:rsidRDefault="00663684" w:rsidP="00663684">
      <w:pPr>
        <w:pStyle w:val="FootnoteTable"/>
        <w:ind w:left="1134" w:firstLine="170"/>
      </w:pPr>
      <w:r>
        <w:rPr>
          <w:i/>
          <w:vertAlign w:val="superscript"/>
        </w:rPr>
        <w:t xml:space="preserve">b   </w:t>
      </w:r>
      <w:r w:rsidR="00B94B0F" w:rsidRPr="00D6105C">
        <w:t>The State of Palestine became a Party to the Convention on 17 March 2016</w:t>
      </w:r>
      <w:r w:rsidR="00B94B0F">
        <w:t>.</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02794A">
          <w:headerReference w:type="even" r:id="rId36"/>
          <w:headerReference w:type="default" r:id="rId37"/>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sidRPr="00C84A66">
        <w:rPr>
          <w:bCs/>
        </w:rPr>
        <w:lastRenderedPageBreak/>
        <w:t>Decision 2</w:t>
      </w:r>
      <w:r>
        <w:rPr>
          <w:bCs/>
        </w:rPr>
        <w:t>4</w:t>
      </w:r>
      <w:r w:rsidRPr="00C84A66">
        <w:rPr>
          <w:bCs/>
        </w:rPr>
        <w:t>/CP.22</w:t>
      </w:r>
    </w:p>
    <w:p w:rsidR="00B94B0F" w:rsidRDefault="00B94B0F" w:rsidP="00B94B0F">
      <w:pPr>
        <w:pStyle w:val="HChG"/>
      </w:pPr>
      <w:r>
        <w:tab/>
      </w:r>
      <w:r>
        <w:tab/>
        <w:t>Dates and venues of future sessions</w:t>
      </w:r>
    </w:p>
    <w:p w:rsidR="00B94B0F" w:rsidRPr="000754FC" w:rsidRDefault="00B94B0F" w:rsidP="00A63878">
      <w:pPr>
        <w:spacing w:before="120"/>
        <w:ind w:left="1134" w:right="1174" w:firstLine="567"/>
        <w:jc w:val="both"/>
        <w:rPr>
          <w:i/>
        </w:rPr>
      </w:pPr>
      <w:r w:rsidRPr="000754FC">
        <w:rPr>
          <w:i/>
        </w:rPr>
        <w:t>The Conference of the Parties</w:t>
      </w:r>
      <w:r w:rsidRPr="00AF0F3C">
        <w:t>,</w:t>
      </w:r>
    </w:p>
    <w:p w:rsidR="00B94B0F" w:rsidRPr="00D43E5D" w:rsidRDefault="00B94B0F" w:rsidP="00A63878">
      <w:pPr>
        <w:spacing w:before="120"/>
        <w:ind w:left="1134" w:right="1174" w:firstLine="567"/>
        <w:jc w:val="both"/>
      </w:pPr>
      <w:r w:rsidRPr="000754FC">
        <w:rPr>
          <w:i/>
        </w:rPr>
        <w:t>Recalling</w:t>
      </w:r>
      <w:r>
        <w:t xml:space="preserve"> </w:t>
      </w:r>
      <w:r w:rsidRPr="00D43E5D">
        <w:t>Article 7, paragraph 4, of the Convention,</w:t>
      </w:r>
    </w:p>
    <w:p w:rsidR="00B94B0F" w:rsidRPr="00D43E5D" w:rsidRDefault="00B94B0F" w:rsidP="00A63878">
      <w:pPr>
        <w:spacing w:before="120"/>
        <w:ind w:left="1134" w:right="1174" w:firstLine="567"/>
        <w:jc w:val="both"/>
      </w:pPr>
      <w:r w:rsidRPr="00D43E5D">
        <w:rPr>
          <w:i/>
        </w:rPr>
        <w:t xml:space="preserve">Also recalling </w:t>
      </w:r>
      <w:r w:rsidRPr="00D43E5D">
        <w:t>United Nations General Assembly resolution 40/243 of 18 December 1985 on the pattern of conferences,</w:t>
      </w:r>
    </w:p>
    <w:p w:rsidR="00B94B0F" w:rsidRPr="00D43E5D" w:rsidRDefault="00B94B0F" w:rsidP="00A63878">
      <w:pPr>
        <w:spacing w:before="120"/>
        <w:ind w:left="1134" w:right="1174" w:firstLine="567"/>
        <w:jc w:val="both"/>
      </w:pPr>
      <w:r w:rsidRPr="00D43E5D">
        <w:rPr>
          <w:i/>
        </w:rPr>
        <w:t xml:space="preserve">Further recalling </w:t>
      </w:r>
      <w:r w:rsidRPr="00D43E5D">
        <w:t xml:space="preserve">rule 22, paragraph 1, of the draft rules of procedure being applied regarding the rotation of the office of President among the five regional groups, </w:t>
      </w:r>
    </w:p>
    <w:p w:rsidR="00B94B0F" w:rsidRPr="00530B0E" w:rsidRDefault="00B94B0F" w:rsidP="00A63878">
      <w:pPr>
        <w:spacing w:before="120"/>
        <w:ind w:left="1134" w:right="1174" w:firstLine="567"/>
        <w:jc w:val="both"/>
      </w:pPr>
      <w:r w:rsidRPr="00D43E5D">
        <w:rPr>
          <w:i/>
        </w:rPr>
        <w:t xml:space="preserve">Recalling </w:t>
      </w:r>
      <w:r w:rsidRPr="00D43E5D">
        <w:t xml:space="preserve">rule 3 </w:t>
      </w:r>
      <w:r w:rsidRPr="00530B0E">
        <w:t>of the draft rules of procedure being applied, which provides that the sessions of the Conference of the Parties shall take place at the seat of the secretariat, unless the Conference of the Parties decides otherwise or other appropriate arrangements are made by the secretariat in consultation with the Parties,</w:t>
      </w:r>
    </w:p>
    <w:p w:rsidR="00B94B0F" w:rsidRPr="00530B0E" w:rsidRDefault="00663684" w:rsidP="00663684">
      <w:pPr>
        <w:pStyle w:val="RegHChG"/>
        <w:numPr>
          <w:ilvl w:val="0"/>
          <w:numId w:val="0"/>
        </w:numPr>
        <w:tabs>
          <w:tab w:val="left" w:pos="1135"/>
        </w:tabs>
        <w:ind w:left="1135" w:hanging="454"/>
      </w:pPr>
      <w:r w:rsidRPr="00530B0E">
        <w:t>I.</w:t>
      </w:r>
      <w:r w:rsidRPr="00530B0E">
        <w:tab/>
      </w:r>
      <w:r w:rsidR="00B94B0F" w:rsidRPr="00530B0E">
        <w:t>Dates and venues of future sessions</w:t>
      </w:r>
    </w:p>
    <w:p w:rsidR="00B94B0F" w:rsidRPr="00530B0E" w:rsidRDefault="00663684" w:rsidP="00663684">
      <w:pPr>
        <w:pStyle w:val="RegH1G"/>
        <w:numPr>
          <w:ilvl w:val="0"/>
          <w:numId w:val="0"/>
        </w:numPr>
        <w:tabs>
          <w:tab w:val="left" w:pos="1135"/>
        </w:tabs>
        <w:ind w:left="1135" w:hanging="454"/>
      </w:pPr>
      <w:r w:rsidRPr="00530B0E">
        <w:t>A.</w:t>
      </w:r>
      <w:r w:rsidRPr="00530B0E">
        <w:tab/>
      </w:r>
      <w:r w:rsidR="00B94B0F" w:rsidRPr="00530B0E">
        <w:t>2017</w:t>
      </w:r>
    </w:p>
    <w:p w:rsidR="00B94B0F" w:rsidRPr="00530B0E" w:rsidRDefault="00663684" w:rsidP="00663684">
      <w:pPr>
        <w:pStyle w:val="RegSingleTxtG"/>
        <w:numPr>
          <w:ilvl w:val="0"/>
          <w:numId w:val="0"/>
        </w:numPr>
        <w:tabs>
          <w:tab w:val="left" w:pos="568"/>
        </w:tabs>
        <w:ind w:left="1135"/>
      </w:pPr>
      <w:r w:rsidRPr="00530B0E">
        <w:t>1.</w:t>
      </w:r>
      <w:r w:rsidRPr="00530B0E">
        <w:tab/>
      </w:r>
      <w:r w:rsidR="00B94B0F" w:rsidRPr="00DA6CAE">
        <w:rPr>
          <w:i/>
        </w:rPr>
        <w:t>Notes</w:t>
      </w:r>
      <w:r w:rsidR="00B94B0F" w:rsidRPr="00530B0E">
        <w:t xml:space="preserve"> that, in keeping with the principle of rotation among regional groups, the President to be elected at the sessions to be held from 6 to 17 November 2017 would come from the Asia-Pacific States;</w:t>
      </w:r>
    </w:p>
    <w:p w:rsidR="00B94B0F" w:rsidRPr="00530B0E" w:rsidRDefault="00663684" w:rsidP="00663684">
      <w:pPr>
        <w:pStyle w:val="RegSingleTxtG"/>
        <w:numPr>
          <w:ilvl w:val="0"/>
          <w:numId w:val="0"/>
        </w:numPr>
        <w:tabs>
          <w:tab w:val="left" w:pos="568"/>
        </w:tabs>
        <w:ind w:left="1135"/>
      </w:pPr>
      <w:r w:rsidRPr="00530B0E">
        <w:t>2.</w:t>
      </w:r>
      <w:r w:rsidRPr="00530B0E">
        <w:tab/>
      </w:r>
      <w:r w:rsidR="00B94B0F" w:rsidRPr="00530B0E">
        <w:rPr>
          <w:i/>
        </w:rPr>
        <w:t xml:space="preserve">Expresses </w:t>
      </w:r>
      <w:r w:rsidR="00B94B0F" w:rsidRPr="00530B0E">
        <w:t>its</w:t>
      </w:r>
      <w:r w:rsidR="00B94B0F" w:rsidRPr="00530B0E">
        <w:rPr>
          <w:i/>
        </w:rPr>
        <w:t xml:space="preserve"> </w:t>
      </w:r>
      <w:r w:rsidR="00B94B0F" w:rsidRPr="00530B0E">
        <w:t xml:space="preserve">appreciation for the nomination received from the Asia-Pacific States of a representative of the Government of Fiji to serve as President at the sessions referred to in paragraph 1 above; </w:t>
      </w:r>
    </w:p>
    <w:p w:rsidR="00B94B0F" w:rsidRPr="00530B0E" w:rsidRDefault="00663684" w:rsidP="00663684">
      <w:pPr>
        <w:pStyle w:val="RegSingleTxtG"/>
        <w:numPr>
          <w:ilvl w:val="0"/>
          <w:numId w:val="0"/>
        </w:numPr>
        <w:tabs>
          <w:tab w:val="left" w:pos="568"/>
        </w:tabs>
        <w:ind w:left="1135"/>
      </w:pPr>
      <w:r w:rsidRPr="00530B0E">
        <w:t>3.</w:t>
      </w:r>
      <w:r w:rsidRPr="00530B0E">
        <w:tab/>
      </w:r>
      <w:r w:rsidR="00B94B0F" w:rsidRPr="00530B0E">
        <w:rPr>
          <w:i/>
        </w:rPr>
        <w:t xml:space="preserve">Decides </w:t>
      </w:r>
      <w:r w:rsidR="00B94B0F" w:rsidRPr="00530B0E">
        <w:t xml:space="preserve">that the sessions referred to in paragraph 1 above will be convened at the seat of the secretariat; </w:t>
      </w:r>
    </w:p>
    <w:p w:rsidR="00B94B0F" w:rsidRPr="00AD5B30" w:rsidRDefault="00663684" w:rsidP="00663684">
      <w:pPr>
        <w:pStyle w:val="RegSingleTxtG"/>
        <w:numPr>
          <w:ilvl w:val="0"/>
          <w:numId w:val="0"/>
        </w:numPr>
        <w:tabs>
          <w:tab w:val="left" w:pos="568"/>
        </w:tabs>
        <w:ind w:left="1135"/>
      </w:pPr>
      <w:r w:rsidRPr="00AD5B30">
        <w:t>4.</w:t>
      </w:r>
      <w:r w:rsidRPr="00AD5B30">
        <w:tab/>
      </w:r>
      <w:r w:rsidR="00B94B0F" w:rsidRPr="00AD5B30">
        <w:rPr>
          <w:i/>
        </w:rPr>
        <w:t xml:space="preserve">Requests </w:t>
      </w:r>
      <w:r w:rsidR="00B94B0F" w:rsidRPr="00AD5B30">
        <w:t xml:space="preserve">the Executive Secretary to make the necessary arrangements for convening the sessions referred to in paragraph 1 above at the seat of the secretariat; </w:t>
      </w:r>
    </w:p>
    <w:p w:rsidR="00B94B0F" w:rsidRPr="00530B0E" w:rsidRDefault="00663684" w:rsidP="00663684">
      <w:pPr>
        <w:pStyle w:val="RegSingleTxtG"/>
        <w:numPr>
          <w:ilvl w:val="0"/>
          <w:numId w:val="0"/>
        </w:numPr>
        <w:tabs>
          <w:tab w:val="left" w:pos="568"/>
        </w:tabs>
        <w:ind w:left="1135"/>
      </w:pPr>
      <w:r w:rsidRPr="00530B0E">
        <w:t>5.</w:t>
      </w:r>
      <w:r w:rsidRPr="00530B0E">
        <w:tab/>
      </w:r>
      <w:r w:rsidR="00B94B0F" w:rsidRPr="00530B0E">
        <w:rPr>
          <w:i/>
        </w:rPr>
        <w:t>Acknowledges</w:t>
      </w:r>
      <w:r w:rsidR="00B94B0F" w:rsidRPr="00530B0E">
        <w:t xml:space="preserve"> that organizing sessions of the supreme bodies of the Convention at the seat of the secretariat requires special arrangements, including those for the funding of such sessions;</w:t>
      </w:r>
    </w:p>
    <w:p w:rsidR="00B94B0F" w:rsidRPr="00530B0E" w:rsidRDefault="00663684" w:rsidP="00663684">
      <w:pPr>
        <w:pStyle w:val="RegSingleTxtG"/>
        <w:numPr>
          <w:ilvl w:val="0"/>
          <w:numId w:val="0"/>
        </w:numPr>
        <w:tabs>
          <w:tab w:val="left" w:pos="568"/>
        </w:tabs>
        <w:ind w:left="1135"/>
      </w:pPr>
      <w:r w:rsidRPr="00530B0E">
        <w:t>6.</w:t>
      </w:r>
      <w:r w:rsidRPr="00530B0E">
        <w:tab/>
      </w:r>
      <w:r w:rsidR="00B94B0F" w:rsidRPr="00530B0E">
        <w:rPr>
          <w:i/>
        </w:rPr>
        <w:t>Notes</w:t>
      </w:r>
      <w:r w:rsidR="00B94B0F" w:rsidRPr="00530B0E">
        <w:t xml:space="preserve"> the high costs associated with convening sessions of the supreme bodies of the Convention and </w:t>
      </w:r>
      <w:r w:rsidR="00B94B0F" w:rsidRPr="00530B0E">
        <w:rPr>
          <w:i/>
        </w:rPr>
        <w:t>requests</w:t>
      </w:r>
      <w:r w:rsidR="00B94B0F" w:rsidRPr="00530B0E">
        <w:t xml:space="preserve"> the Subsidiary Body for Implementation to consider this matter at its forty-sixth session (May 2017) in the context of arrangements for intergovernmental meetings; </w:t>
      </w:r>
    </w:p>
    <w:p w:rsidR="00B94B0F" w:rsidRPr="00530B0E" w:rsidRDefault="00663684" w:rsidP="00663684">
      <w:pPr>
        <w:pStyle w:val="RegH1G"/>
        <w:numPr>
          <w:ilvl w:val="0"/>
          <w:numId w:val="0"/>
        </w:numPr>
        <w:tabs>
          <w:tab w:val="left" w:pos="1135"/>
        </w:tabs>
        <w:ind w:left="1135" w:hanging="454"/>
      </w:pPr>
      <w:r w:rsidRPr="00530B0E">
        <w:t>B.</w:t>
      </w:r>
      <w:r w:rsidRPr="00530B0E">
        <w:tab/>
      </w:r>
      <w:r w:rsidR="00B94B0F" w:rsidRPr="00530B0E">
        <w:t>2018</w:t>
      </w:r>
    </w:p>
    <w:p w:rsidR="00B94B0F" w:rsidRPr="00487303" w:rsidRDefault="00663684" w:rsidP="00663684">
      <w:pPr>
        <w:pStyle w:val="RegSingleTxtG"/>
        <w:numPr>
          <w:ilvl w:val="0"/>
          <w:numId w:val="0"/>
        </w:numPr>
        <w:tabs>
          <w:tab w:val="left" w:pos="568"/>
        </w:tabs>
        <w:ind w:left="1135"/>
      </w:pPr>
      <w:r w:rsidRPr="00487303">
        <w:t>7.</w:t>
      </w:r>
      <w:r w:rsidRPr="00487303">
        <w:tab/>
      </w:r>
      <w:r w:rsidR="00B94B0F" w:rsidRPr="00487303">
        <w:rPr>
          <w:i/>
        </w:rPr>
        <w:t xml:space="preserve">Decides </w:t>
      </w:r>
      <w:r w:rsidR="00B94B0F" w:rsidRPr="00487303">
        <w:t>t</w:t>
      </w:r>
      <w:r w:rsidR="00B94B0F">
        <w:t>o adjust the previously agreed dates</w:t>
      </w:r>
      <w:r w:rsidR="00B94B0F">
        <w:rPr>
          <w:rStyle w:val="FootnoteReference"/>
        </w:rPr>
        <w:footnoteReference w:id="30"/>
      </w:r>
      <w:r w:rsidR="00B94B0F">
        <w:t xml:space="preserve"> of the sessions in the second </w:t>
      </w:r>
      <w:r w:rsidR="00B94B0F" w:rsidRPr="00487303">
        <w:t xml:space="preserve">sessional period in 2018 </w:t>
      </w:r>
      <w:r w:rsidR="00B94B0F">
        <w:t xml:space="preserve">to </w:t>
      </w:r>
      <w:r w:rsidR="00B94B0F" w:rsidRPr="00487303">
        <w:t xml:space="preserve">Monday, 3 </w:t>
      </w:r>
      <w:r w:rsidR="00B94B0F">
        <w:t xml:space="preserve">December, </w:t>
      </w:r>
      <w:r w:rsidR="00B94B0F" w:rsidRPr="00487303">
        <w:t>to Friday, 14 December 2018;</w:t>
      </w:r>
    </w:p>
    <w:p w:rsidR="00B94B0F" w:rsidRPr="00487303" w:rsidRDefault="00663684" w:rsidP="00663684">
      <w:pPr>
        <w:pStyle w:val="RegSingleTxtG"/>
        <w:numPr>
          <w:ilvl w:val="0"/>
          <w:numId w:val="0"/>
        </w:numPr>
        <w:tabs>
          <w:tab w:val="left" w:pos="568"/>
        </w:tabs>
        <w:ind w:left="1135"/>
      </w:pPr>
      <w:r w:rsidRPr="00487303">
        <w:lastRenderedPageBreak/>
        <w:t>8.</w:t>
      </w:r>
      <w:r w:rsidRPr="00487303">
        <w:tab/>
      </w:r>
      <w:r w:rsidR="00B94B0F" w:rsidRPr="00487303">
        <w:rPr>
          <w:i/>
        </w:rPr>
        <w:t xml:space="preserve">Notes </w:t>
      </w:r>
      <w:r w:rsidR="00B94B0F" w:rsidRPr="00487303">
        <w:t>that in keeping with the principle of rotation among regional groups, the President of the sessions referred to in paragraph 7 above would come from the Eastern European States;</w:t>
      </w:r>
    </w:p>
    <w:p w:rsidR="00B94B0F" w:rsidRPr="00487303" w:rsidRDefault="00663684" w:rsidP="00663684">
      <w:pPr>
        <w:pStyle w:val="RegSingleTxtG"/>
        <w:numPr>
          <w:ilvl w:val="0"/>
          <w:numId w:val="0"/>
        </w:numPr>
        <w:tabs>
          <w:tab w:val="left" w:pos="568"/>
        </w:tabs>
        <w:ind w:left="1135"/>
        <w:rPr>
          <w:i/>
        </w:rPr>
      </w:pPr>
      <w:r w:rsidRPr="00487303">
        <w:t>9.</w:t>
      </w:r>
      <w:r w:rsidRPr="00487303">
        <w:tab/>
      </w:r>
      <w:r w:rsidR="00B94B0F" w:rsidRPr="00487303">
        <w:rPr>
          <w:i/>
        </w:rPr>
        <w:t xml:space="preserve">Decides </w:t>
      </w:r>
      <w:r w:rsidR="00B94B0F" w:rsidRPr="00487303">
        <w:t>to accept with appreciation the offer by the Government of Poland to host the sessions referred to in paragraph 7 above;</w:t>
      </w:r>
      <w:r w:rsidR="00B94B0F">
        <w:rPr>
          <w:i/>
        </w:rPr>
        <w:t xml:space="preserve"> </w:t>
      </w:r>
    </w:p>
    <w:p w:rsidR="00B94B0F" w:rsidRPr="00487303" w:rsidRDefault="00663684" w:rsidP="00663684">
      <w:pPr>
        <w:pStyle w:val="RegSingleTxtG"/>
        <w:numPr>
          <w:ilvl w:val="0"/>
          <w:numId w:val="0"/>
        </w:numPr>
        <w:tabs>
          <w:tab w:val="left" w:pos="568"/>
        </w:tabs>
        <w:ind w:left="1135"/>
        <w:rPr>
          <w:i/>
        </w:rPr>
      </w:pPr>
      <w:r w:rsidRPr="00487303">
        <w:t>10.</w:t>
      </w:r>
      <w:r w:rsidRPr="00487303">
        <w:tab/>
      </w:r>
      <w:r w:rsidR="00B94B0F" w:rsidRPr="00487303">
        <w:rPr>
          <w:i/>
        </w:rPr>
        <w:t xml:space="preserve">Requests </w:t>
      </w:r>
      <w:r w:rsidR="00B94B0F" w:rsidRPr="00487303">
        <w:t xml:space="preserve">the Executive Secretary to consult with the Government of Poland and to negotiate and finalize a Host Country Agreement for convening the sessions in conformity with United Nations General Assembly resolution 40/243 and in compliance with the provisions of the United Nations administrative instruction ST/AI/342, with a view to concluding and signing the Host Country Agreement not later than the twenty-third session of the Conference of the Parties (November 2017) </w:t>
      </w:r>
      <w:r w:rsidR="00B94B0F">
        <w:t xml:space="preserve">to allow </w:t>
      </w:r>
      <w:r w:rsidR="00B94B0F" w:rsidRPr="00487303">
        <w:t>for its prompt</w:t>
      </w:r>
      <w:r w:rsidR="00B94B0F">
        <w:t xml:space="preserve"> </w:t>
      </w:r>
      <w:r w:rsidR="00B94B0F" w:rsidRPr="00487303">
        <w:t>implementation;</w:t>
      </w:r>
    </w:p>
    <w:p w:rsidR="00B94B0F" w:rsidRPr="00487303" w:rsidRDefault="00663684" w:rsidP="00663684">
      <w:pPr>
        <w:pStyle w:val="RegSingleTxtG"/>
        <w:numPr>
          <w:ilvl w:val="0"/>
          <w:numId w:val="0"/>
        </w:numPr>
        <w:tabs>
          <w:tab w:val="left" w:pos="568"/>
        </w:tabs>
        <w:ind w:left="1135"/>
      </w:pPr>
      <w:r w:rsidRPr="00487303">
        <w:t>11.</w:t>
      </w:r>
      <w:r w:rsidRPr="00487303">
        <w:tab/>
      </w:r>
      <w:r w:rsidR="00B94B0F" w:rsidRPr="00487303">
        <w:rPr>
          <w:i/>
        </w:rPr>
        <w:t xml:space="preserve">Also requests </w:t>
      </w:r>
      <w:r w:rsidR="00B94B0F" w:rsidRPr="00487303">
        <w:t>the Executive Secretary to provide the host country with technical support and guidance on UNFCCC polices and requirements, taking into account the issues raised by Parties regarding the organization</w:t>
      </w:r>
      <w:r w:rsidR="00B94B0F" w:rsidRPr="00487303">
        <w:rPr>
          <w:i/>
        </w:rPr>
        <w:t xml:space="preserve"> </w:t>
      </w:r>
      <w:r w:rsidR="00B94B0F" w:rsidRPr="00487303">
        <w:t>of such sessions, and to report back regularly to the Bureau;</w:t>
      </w:r>
    </w:p>
    <w:p w:rsidR="00B94B0F" w:rsidRPr="00530B0E" w:rsidRDefault="00663684" w:rsidP="00663684">
      <w:pPr>
        <w:pStyle w:val="RegH1G"/>
        <w:numPr>
          <w:ilvl w:val="0"/>
          <w:numId w:val="0"/>
        </w:numPr>
        <w:tabs>
          <w:tab w:val="left" w:pos="1135"/>
        </w:tabs>
        <w:ind w:left="1135" w:hanging="454"/>
      </w:pPr>
      <w:r w:rsidRPr="00530B0E">
        <w:t>C.</w:t>
      </w:r>
      <w:r w:rsidRPr="00530B0E">
        <w:tab/>
      </w:r>
      <w:r w:rsidR="00B94B0F" w:rsidRPr="00530B0E">
        <w:t xml:space="preserve">2019 </w:t>
      </w:r>
    </w:p>
    <w:p w:rsidR="00B94B0F" w:rsidRPr="00530B0E" w:rsidRDefault="00663684" w:rsidP="00663684">
      <w:pPr>
        <w:pStyle w:val="RegSingleTxtG"/>
        <w:numPr>
          <w:ilvl w:val="0"/>
          <w:numId w:val="0"/>
        </w:numPr>
        <w:tabs>
          <w:tab w:val="left" w:pos="568"/>
        </w:tabs>
        <w:ind w:left="1135"/>
      </w:pPr>
      <w:r w:rsidRPr="00530B0E">
        <w:t>12.</w:t>
      </w:r>
      <w:r w:rsidRPr="00530B0E">
        <w:tab/>
      </w:r>
      <w:r w:rsidR="00B94B0F" w:rsidRPr="00530B0E">
        <w:rPr>
          <w:i/>
          <w:iCs/>
          <w:lang w:val="en-US"/>
        </w:rPr>
        <w:t>Notes</w:t>
      </w:r>
      <w:r w:rsidR="00B94B0F" w:rsidRPr="00530B0E">
        <w:rPr>
          <w:lang w:val="en-US"/>
        </w:rPr>
        <w:t xml:space="preserve"> that, in keeping with the principle of rotation among regional groups, the President to be elected at </w:t>
      </w:r>
      <w:r w:rsidR="00B94B0F" w:rsidRPr="00530B0E">
        <w:t xml:space="preserve">the sessions to be held from 11 to 22 November 2019 </w:t>
      </w:r>
      <w:r w:rsidR="00B94B0F" w:rsidRPr="00530B0E">
        <w:rPr>
          <w:lang w:val="en-US"/>
        </w:rPr>
        <w:t>would come from the Latin American and Caribbean States;</w:t>
      </w:r>
    </w:p>
    <w:p w:rsidR="00B94B0F" w:rsidRPr="00530B0E" w:rsidRDefault="00663684" w:rsidP="00663684">
      <w:pPr>
        <w:pStyle w:val="RegSingleTxtG"/>
        <w:numPr>
          <w:ilvl w:val="0"/>
          <w:numId w:val="0"/>
        </w:numPr>
        <w:tabs>
          <w:tab w:val="left" w:pos="568"/>
        </w:tabs>
        <w:ind w:left="1135"/>
      </w:pPr>
      <w:r w:rsidRPr="00530B0E">
        <w:t>13.</w:t>
      </w:r>
      <w:r w:rsidRPr="00530B0E">
        <w:tab/>
      </w:r>
      <w:r w:rsidR="00B94B0F" w:rsidRPr="00530B0E">
        <w:rPr>
          <w:i/>
          <w:lang w:val="en-US"/>
        </w:rPr>
        <w:t xml:space="preserve">Invites </w:t>
      </w:r>
      <w:r w:rsidR="00B94B0F" w:rsidRPr="00530B0E">
        <w:rPr>
          <w:lang w:val="en-US"/>
        </w:rPr>
        <w:t xml:space="preserve">Parties to undertake further consultations on the hosting of </w:t>
      </w:r>
      <w:r w:rsidR="00B94B0F" w:rsidRPr="00530B0E">
        <w:t>the sess</w:t>
      </w:r>
      <w:r w:rsidR="00B94B0F">
        <w:t>ions referred to in paragraph 12</w:t>
      </w:r>
      <w:r w:rsidR="00B94B0F" w:rsidRPr="00530B0E">
        <w:t xml:space="preserve"> above;</w:t>
      </w:r>
    </w:p>
    <w:p w:rsidR="00B94B0F" w:rsidRPr="00530B0E" w:rsidRDefault="00663684" w:rsidP="00663684">
      <w:pPr>
        <w:pStyle w:val="RegSingleTxtG"/>
        <w:numPr>
          <w:ilvl w:val="0"/>
          <w:numId w:val="0"/>
        </w:numPr>
        <w:tabs>
          <w:tab w:val="left" w:pos="568"/>
        </w:tabs>
        <w:ind w:left="1135"/>
      </w:pPr>
      <w:r w:rsidRPr="00530B0E">
        <w:t>14.</w:t>
      </w:r>
      <w:r w:rsidRPr="00530B0E">
        <w:tab/>
      </w:r>
      <w:r w:rsidR="00B94B0F" w:rsidRPr="00530B0E">
        <w:rPr>
          <w:i/>
          <w:lang w:val="en-US"/>
        </w:rPr>
        <w:t>Requests</w:t>
      </w:r>
      <w:r w:rsidR="00B94B0F" w:rsidRPr="00530B0E">
        <w:rPr>
          <w:lang w:val="en-US"/>
        </w:rPr>
        <w:t xml:space="preserve"> the </w:t>
      </w:r>
      <w:r w:rsidR="00B94B0F" w:rsidRPr="00530B0E">
        <w:t>Subsidiary Body for Implementation</w:t>
      </w:r>
      <w:r w:rsidR="00B94B0F" w:rsidRPr="00530B0E">
        <w:rPr>
          <w:lang w:val="en-US"/>
        </w:rPr>
        <w:t xml:space="preserve">, at its </w:t>
      </w:r>
      <w:r w:rsidR="00B94B0F" w:rsidRPr="00530B0E">
        <w:t>forty-sixth session</w:t>
      </w:r>
      <w:r w:rsidR="00B94B0F" w:rsidRPr="00530B0E">
        <w:rPr>
          <w:lang w:val="en-US"/>
        </w:rPr>
        <w:t xml:space="preserve">, to consider the issue of the host of </w:t>
      </w:r>
      <w:r w:rsidR="00B94B0F" w:rsidRPr="00530B0E">
        <w:t>the sessions referred to in parag</w:t>
      </w:r>
      <w:r w:rsidR="00B94B0F">
        <w:t>raph 12</w:t>
      </w:r>
      <w:r w:rsidR="00B94B0F" w:rsidRPr="00530B0E">
        <w:t xml:space="preserve"> above </w:t>
      </w:r>
      <w:r w:rsidR="00B94B0F" w:rsidRPr="00530B0E">
        <w:rPr>
          <w:lang w:val="en-US"/>
        </w:rPr>
        <w:t xml:space="preserve">and </w:t>
      </w:r>
      <w:r w:rsidR="00B94B0F" w:rsidRPr="00530B0E">
        <w:t xml:space="preserve">to recommend a draft decision on this matter </w:t>
      </w:r>
      <w:r w:rsidR="00B94B0F" w:rsidRPr="00530B0E">
        <w:rPr>
          <w:lang w:val="en-US" w:eastAsia="en-US"/>
        </w:rPr>
        <w:t>for consideration and adoption by the Conference of the Parties at its twenty-third session;</w:t>
      </w:r>
    </w:p>
    <w:p w:rsidR="00B94B0F" w:rsidRPr="00530B0E" w:rsidRDefault="00663684" w:rsidP="00663684">
      <w:pPr>
        <w:pStyle w:val="RegHChG"/>
        <w:numPr>
          <w:ilvl w:val="0"/>
          <w:numId w:val="0"/>
        </w:numPr>
        <w:tabs>
          <w:tab w:val="left" w:pos="1135"/>
        </w:tabs>
        <w:ind w:left="1135" w:hanging="454"/>
      </w:pPr>
      <w:r w:rsidRPr="00530B0E">
        <w:t>II.</w:t>
      </w:r>
      <w:r w:rsidRPr="00530B0E">
        <w:tab/>
      </w:r>
      <w:r w:rsidR="00B94B0F" w:rsidRPr="00530B0E">
        <w:t>Calendar of meetings of the Convention and Kyoto Protocol bodies</w:t>
      </w:r>
    </w:p>
    <w:p w:rsidR="00B94B0F" w:rsidRPr="00530B0E" w:rsidRDefault="00663684" w:rsidP="00663684">
      <w:pPr>
        <w:pStyle w:val="RegSingleTxtG"/>
        <w:numPr>
          <w:ilvl w:val="0"/>
          <w:numId w:val="0"/>
        </w:numPr>
        <w:tabs>
          <w:tab w:val="left" w:pos="568"/>
        </w:tabs>
        <w:ind w:left="1135"/>
      </w:pPr>
      <w:r w:rsidRPr="00530B0E">
        <w:t>15.</w:t>
      </w:r>
      <w:r w:rsidRPr="00530B0E">
        <w:tab/>
      </w:r>
      <w:r w:rsidR="00B94B0F" w:rsidRPr="00530B0E">
        <w:rPr>
          <w:i/>
        </w:rPr>
        <w:t>Decides</w:t>
      </w:r>
      <w:r w:rsidR="00B94B0F" w:rsidRPr="00530B0E">
        <w:t xml:space="preserve"> to adopt the following dates for the sessional periods in 2021: </w:t>
      </w:r>
    </w:p>
    <w:p w:rsidR="00B94B0F" w:rsidRPr="00530B0E" w:rsidRDefault="00663684" w:rsidP="00663684">
      <w:pPr>
        <w:pStyle w:val="RegSingleTxtG"/>
        <w:numPr>
          <w:ilvl w:val="0"/>
          <w:numId w:val="0"/>
        </w:numPr>
        <w:tabs>
          <w:tab w:val="left" w:pos="2269"/>
        </w:tabs>
        <w:ind w:left="1135" w:firstLine="567"/>
      </w:pPr>
      <w:r w:rsidRPr="00530B0E">
        <w:t>(a)</w:t>
      </w:r>
      <w:r w:rsidRPr="00530B0E">
        <w:tab/>
      </w:r>
      <w:r w:rsidR="00B94B0F" w:rsidRPr="00530B0E">
        <w:t xml:space="preserve">First sessional period: Monday, 31 May, to Thursday, 10 June; </w:t>
      </w:r>
    </w:p>
    <w:p w:rsidR="00B94B0F" w:rsidRDefault="00663684" w:rsidP="00663684">
      <w:pPr>
        <w:pStyle w:val="RegSingleTxtG"/>
        <w:numPr>
          <w:ilvl w:val="0"/>
          <w:numId w:val="0"/>
        </w:numPr>
        <w:tabs>
          <w:tab w:val="left" w:pos="2269"/>
        </w:tabs>
        <w:ind w:left="1135" w:firstLine="567"/>
      </w:pPr>
      <w:r>
        <w:t>(b)</w:t>
      </w:r>
      <w:r>
        <w:tab/>
      </w:r>
      <w:r w:rsidR="00B94B0F" w:rsidRPr="00530B0E">
        <w:t>Second sessional period: Monday, 8 November, to Friday, 19 November.</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10</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18</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B94B0F" w:rsidSect="00C84A66">
          <w:headerReference w:type="even" r:id="rId38"/>
          <w:headerReference w:type="default" r:id="rId39"/>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sidRPr="00C84A66">
        <w:rPr>
          <w:bCs/>
        </w:rPr>
        <w:lastRenderedPageBreak/>
        <w:t>Decision 2</w:t>
      </w:r>
      <w:r>
        <w:rPr>
          <w:bCs/>
        </w:rPr>
        <w:t>5</w:t>
      </w:r>
      <w:r w:rsidRPr="00C84A66">
        <w:rPr>
          <w:bCs/>
        </w:rPr>
        <w:t>/CP.22</w:t>
      </w:r>
    </w:p>
    <w:p w:rsidR="00B94B0F" w:rsidRDefault="00B94B0F" w:rsidP="00B94B0F">
      <w:pPr>
        <w:pStyle w:val="HChG"/>
      </w:pPr>
      <w:r w:rsidRPr="0045052E">
        <w:tab/>
      </w:r>
      <w:r w:rsidRPr="0045052E">
        <w:tab/>
      </w:r>
      <w:r w:rsidRPr="006272D6">
        <w:t>Rules of procedure of the Conference of the Parties serving as the meeting of the Parties to the Paris Agreement</w:t>
      </w:r>
    </w:p>
    <w:p w:rsidR="00B94B0F" w:rsidRPr="000754FC" w:rsidRDefault="00B94B0F" w:rsidP="0053363E">
      <w:pPr>
        <w:spacing w:before="120"/>
        <w:ind w:left="1134" w:right="1174" w:firstLine="567"/>
        <w:jc w:val="both"/>
        <w:rPr>
          <w:i/>
        </w:rPr>
      </w:pPr>
      <w:r w:rsidRPr="000754FC">
        <w:rPr>
          <w:i/>
        </w:rPr>
        <w:t>The Conference of the Parties</w:t>
      </w:r>
      <w:r w:rsidRPr="008146AE">
        <w:t>,</w:t>
      </w:r>
    </w:p>
    <w:p w:rsidR="00B94B0F" w:rsidRPr="00B82D52" w:rsidRDefault="00B94B0F" w:rsidP="0053363E">
      <w:pPr>
        <w:spacing w:before="120"/>
        <w:ind w:left="1134" w:right="1174" w:firstLine="567"/>
        <w:jc w:val="both"/>
      </w:pPr>
      <w:r w:rsidRPr="00B82D52">
        <w:rPr>
          <w:i/>
        </w:rPr>
        <w:t xml:space="preserve">Taking note </w:t>
      </w:r>
      <w:r w:rsidRPr="00B82D52">
        <w:t>of Articles 16 and 18 of the Paris Agreement,</w:t>
      </w:r>
    </w:p>
    <w:p w:rsidR="00B94B0F" w:rsidRPr="00B82D52" w:rsidRDefault="00B94B0F" w:rsidP="0053363E">
      <w:pPr>
        <w:spacing w:before="120"/>
        <w:ind w:left="1134" w:right="1174" w:firstLine="567"/>
        <w:jc w:val="both"/>
        <w:rPr>
          <w:i/>
        </w:rPr>
      </w:pPr>
      <w:r w:rsidRPr="00B82D52">
        <w:rPr>
          <w:i/>
        </w:rPr>
        <w:t xml:space="preserve">Also taking note </w:t>
      </w:r>
      <w:r w:rsidRPr="00B82D52">
        <w:t>of decision 1/CP.21, paragraph 8,</w:t>
      </w:r>
      <w:r>
        <w:rPr>
          <w:i/>
        </w:rPr>
        <w:t xml:space="preserve"> </w:t>
      </w:r>
    </w:p>
    <w:p w:rsidR="00B94B0F" w:rsidRPr="00B82D52" w:rsidRDefault="00B94B0F" w:rsidP="0053363E">
      <w:pPr>
        <w:spacing w:before="120"/>
        <w:ind w:left="1134" w:right="1174" w:firstLine="567"/>
        <w:jc w:val="both"/>
      </w:pPr>
      <w:r w:rsidRPr="00B82D52">
        <w:rPr>
          <w:i/>
        </w:rPr>
        <w:t xml:space="preserve">Having considered </w:t>
      </w:r>
      <w:r w:rsidRPr="00B82D52">
        <w:t>the relevant recommendations of the Ad Hoc Working Group on the Paris Agreement at the second part of its resumed first session,</w:t>
      </w:r>
    </w:p>
    <w:p w:rsidR="00B94B0F" w:rsidRDefault="00B94B0F" w:rsidP="0053363E">
      <w:pPr>
        <w:pStyle w:val="RegSingleTxtG"/>
        <w:numPr>
          <w:ilvl w:val="0"/>
          <w:numId w:val="0"/>
        </w:numPr>
        <w:spacing w:before="120"/>
        <w:ind w:left="1135"/>
      </w:pPr>
      <w:r>
        <w:rPr>
          <w:i/>
        </w:rPr>
        <w:tab/>
      </w:r>
      <w:r w:rsidRPr="00B82D52">
        <w:rPr>
          <w:i/>
        </w:rPr>
        <w:t xml:space="preserve">Recommends </w:t>
      </w:r>
      <w:r w:rsidRPr="00B82D52">
        <w:t xml:space="preserve">that the Conference of the Parties serving as the meeting of the Parties to the Paris Agreement, at its first session, adopt the draft decision contained </w:t>
      </w:r>
      <w:r>
        <w:t>below.</w:t>
      </w:r>
    </w:p>
    <w:p w:rsidR="00B94B0F" w:rsidRDefault="00B94B0F" w:rsidP="00B94B0F">
      <w:pPr>
        <w:pStyle w:val="H1G"/>
        <w:ind w:firstLine="0"/>
        <w:jc w:val="both"/>
      </w:pPr>
      <w:r>
        <w:t>Draft d</w:t>
      </w:r>
      <w:r w:rsidRPr="006272D6">
        <w:t xml:space="preserve">ecision </w:t>
      </w:r>
      <w:r>
        <w:t>-</w:t>
      </w:r>
      <w:r w:rsidRPr="006272D6">
        <w:t>/CMA.1</w:t>
      </w:r>
    </w:p>
    <w:p w:rsidR="00B94B0F" w:rsidRDefault="00B94B0F" w:rsidP="00B94B0F">
      <w:pPr>
        <w:pStyle w:val="H1G"/>
        <w:ind w:firstLine="0"/>
        <w:jc w:val="both"/>
      </w:pPr>
      <w:r w:rsidRPr="006272D6">
        <w:t>Rules of procedure of the Conference of the Parties serving as the meeting of th</w:t>
      </w:r>
      <w:r>
        <w:t>e Parties to the Paris Agreement</w:t>
      </w:r>
    </w:p>
    <w:p w:rsidR="00B94B0F" w:rsidRPr="00B82D52" w:rsidRDefault="00B94B0F" w:rsidP="00A63878">
      <w:pPr>
        <w:spacing w:before="120"/>
        <w:ind w:left="1134" w:right="1174" w:firstLine="567"/>
        <w:jc w:val="both"/>
        <w:rPr>
          <w:i/>
        </w:rPr>
      </w:pPr>
      <w:r w:rsidRPr="00B82D52">
        <w:rPr>
          <w:i/>
        </w:rPr>
        <w:t xml:space="preserve">The Conference of the Parties serving as the meeting of the Parties to the Paris Agreement, </w:t>
      </w:r>
    </w:p>
    <w:p w:rsidR="00B94B0F" w:rsidRDefault="00B94B0F" w:rsidP="00A63878">
      <w:pPr>
        <w:spacing w:before="120"/>
        <w:ind w:left="1134" w:right="1174" w:firstLine="567"/>
        <w:jc w:val="both"/>
        <w:rPr>
          <w:i/>
        </w:rPr>
      </w:pPr>
      <w:r w:rsidRPr="00B82D52">
        <w:rPr>
          <w:i/>
        </w:rPr>
        <w:t xml:space="preserve">Recalling </w:t>
      </w:r>
      <w:r w:rsidRPr="00B82D52">
        <w:t>Articles 16 and 18 of the Paris Agreement</w:t>
      </w:r>
      <w:r w:rsidRPr="00B82D52">
        <w:rPr>
          <w:i/>
        </w:rPr>
        <w:t xml:space="preserve">, </w:t>
      </w:r>
    </w:p>
    <w:p w:rsidR="00B94B0F" w:rsidRDefault="00B94B0F" w:rsidP="00A63878">
      <w:pPr>
        <w:spacing w:before="120"/>
        <w:ind w:left="1134" w:right="1174" w:firstLine="567"/>
        <w:jc w:val="both"/>
      </w:pPr>
      <w:r w:rsidRPr="00B82D52">
        <w:rPr>
          <w:i/>
        </w:rPr>
        <w:t xml:space="preserve">Decides </w:t>
      </w:r>
      <w:r w:rsidRPr="00B82D52">
        <w:t>that when applying the draft rules of procedure of the Conference of the Parties,</w:t>
      </w:r>
      <w:r>
        <w:rPr>
          <w:rStyle w:val="FootnoteReference"/>
        </w:rPr>
        <w:footnoteReference w:id="31"/>
      </w:r>
      <w:r w:rsidRPr="00B82D52">
        <w:t xml:space="preserve"> pursuant to Article 16, paragraph 5, of the Paris Agreement, it should be understood that</w:t>
      </w:r>
      <w:r>
        <w:t>:</w:t>
      </w:r>
    </w:p>
    <w:p w:rsidR="00B94B0F" w:rsidRPr="007F616D" w:rsidRDefault="00663684" w:rsidP="00663684">
      <w:pPr>
        <w:pStyle w:val="RegSingleTxtG"/>
        <w:numPr>
          <w:ilvl w:val="0"/>
          <w:numId w:val="0"/>
        </w:numPr>
        <w:tabs>
          <w:tab w:val="left" w:pos="2269"/>
        </w:tabs>
        <w:ind w:left="1135" w:firstLine="567"/>
      </w:pPr>
      <w:r w:rsidRPr="007F616D">
        <w:t>(a)</w:t>
      </w:r>
      <w:r w:rsidRPr="007F616D">
        <w:tab/>
      </w:r>
      <w:r w:rsidR="00B94B0F" w:rsidRPr="00B82D52">
        <w:rPr>
          <w:rFonts w:eastAsia="Times New Roman"/>
        </w:rPr>
        <w:t>With respect to draft rules 22–26, the term of office of any replacement officer elected by and from among Parties to the Paris Agreement in accordance with Article 16, paragraph 3, and Article 18, paragraph 3, of the Paris Agreement would expire at the same time as that of the officer being replaced;</w:t>
      </w:r>
    </w:p>
    <w:p w:rsidR="00B94B0F" w:rsidRPr="007F616D" w:rsidRDefault="00663684" w:rsidP="00663684">
      <w:pPr>
        <w:pStyle w:val="RegSingleTxtG"/>
        <w:numPr>
          <w:ilvl w:val="0"/>
          <w:numId w:val="0"/>
        </w:numPr>
        <w:tabs>
          <w:tab w:val="left" w:pos="2269"/>
        </w:tabs>
        <w:ind w:left="1135" w:firstLine="567"/>
      </w:pPr>
      <w:r w:rsidRPr="007F616D">
        <w:t>(b)</w:t>
      </w:r>
      <w:r w:rsidRPr="007F616D">
        <w:tab/>
      </w:r>
      <w:r w:rsidR="00B94B0F" w:rsidRPr="00144018">
        <w:t>With</w:t>
      </w:r>
      <w:r w:rsidR="00B94B0F" w:rsidRPr="00B82D52">
        <w:rPr>
          <w:rFonts w:eastAsia="Times New Roman"/>
        </w:rPr>
        <w:t xml:space="preserve"> respect to draft rules 17–21:</w:t>
      </w:r>
    </w:p>
    <w:p w:rsidR="00B94B0F" w:rsidRPr="007F616D" w:rsidRDefault="00663684" w:rsidP="00663684">
      <w:pPr>
        <w:pStyle w:val="RegSingleTxtG"/>
        <w:numPr>
          <w:ilvl w:val="0"/>
          <w:numId w:val="0"/>
        </w:numPr>
        <w:tabs>
          <w:tab w:val="left" w:pos="2269"/>
        </w:tabs>
        <w:ind w:left="1702"/>
      </w:pPr>
      <w:r w:rsidRPr="007F616D">
        <w:t>(i)</w:t>
      </w:r>
      <w:r w:rsidRPr="007F616D">
        <w:tab/>
      </w:r>
      <w:r w:rsidR="00B94B0F" w:rsidRPr="00144018">
        <w:t>The</w:t>
      </w:r>
      <w:r w:rsidR="00B94B0F" w:rsidRPr="00B82D52">
        <w:rPr>
          <w:rFonts w:eastAsia="Times New Roman"/>
        </w:rPr>
        <w:t xml:space="preserve"> credentials of representatives of Parties to the Paris Agreement would apply to their representatives participating in sessions of the Conference of the </w:t>
      </w:r>
      <w:r w:rsidR="00B94B0F" w:rsidRPr="00453751">
        <w:t>Parties</w:t>
      </w:r>
      <w:r w:rsidR="00B94B0F" w:rsidRPr="00B82D52">
        <w:rPr>
          <w:rFonts w:eastAsia="Times New Roman"/>
        </w:rPr>
        <w:t xml:space="preserve"> and the Conference of the Parties serving as the meeting of the P</w:t>
      </w:r>
      <w:r w:rsidR="00B94B0F">
        <w:rPr>
          <w:rFonts w:eastAsia="Times New Roman"/>
        </w:rPr>
        <w:t>arties to the Paris Agreement;</w:t>
      </w:r>
    </w:p>
    <w:p w:rsidR="00B94B0F" w:rsidRDefault="00663684" w:rsidP="00663684">
      <w:pPr>
        <w:pStyle w:val="RegSingleTxtG"/>
        <w:numPr>
          <w:ilvl w:val="0"/>
          <w:numId w:val="0"/>
        </w:numPr>
        <w:tabs>
          <w:tab w:val="left" w:pos="2269"/>
        </w:tabs>
        <w:ind w:left="1702"/>
      </w:pPr>
      <w:r>
        <w:t>(ii)</w:t>
      </w:r>
      <w:r>
        <w:tab/>
      </w:r>
      <w:r w:rsidR="00B94B0F" w:rsidRPr="00453751">
        <w:t>A single report on credentials would be submitted for approval, following established procedures, by the Bureau of the Conference of the Parties to the Conference of the Parties serving as the meeting of the Parties to the Paris Agreement;</w:t>
      </w:r>
    </w:p>
    <w:p w:rsidR="00B94B0F" w:rsidRDefault="00B94B0F" w:rsidP="00B94B0F">
      <w:pPr>
        <w:pStyle w:val="RegSingleTxtG"/>
        <w:numPr>
          <w:ilvl w:val="0"/>
          <w:numId w:val="0"/>
        </w:numPr>
        <w:ind w:left="1702"/>
      </w:pPr>
      <w:r>
        <w:br w:type="page"/>
      </w:r>
    </w:p>
    <w:p w:rsidR="00B94B0F" w:rsidRPr="007F616D" w:rsidRDefault="00663684" w:rsidP="00663684">
      <w:pPr>
        <w:pStyle w:val="RegSingleTxtG"/>
        <w:numPr>
          <w:ilvl w:val="0"/>
          <w:numId w:val="0"/>
        </w:numPr>
        <w:tabs>
          <w:tab w:val="left" w:pos="2269"/>
        </w:tabs>
        <w:ind w:left="1135" w:firstLine="567"/>
      </w:pPr>
      <w:r w:rsidRPr="007F616D">
        <w:lastRenderedPageBreak/>
        <w:t>(c)</w:t>
      </w:r>
      <w:r w:rsidRPr="007F616D">
        <w:tab/>
      </w:r>
      <w:r w:rsidR="00B94B0F" w:rsidRPr="00144018">
        <w:t>With</w:t>
      </w:r>
      <w:r w:rsidR="00B94B0F" w:rsidRPr="00B82D52">
        <w:rPr>
          <w:rFonts w:eastAsia="Times New Roman"/>
        </w:rPr>
        <w:t xml:space="preserve"> respect to draft rules 6 and 7:</w:t>
      </w:r>
    </w:p>
    <w:p w:rsidR="00B94B0F" w:rsidRDefault="00663684" w:rsidP="00663684">
      <w:pPr>
        <w:pStyle w:val="RegSingleTxtG"/>
        <w:numPr>
          <w:ilvl w:val="0"/>
          <w:numId w:val="0"/>
        </w:numPr>
        <w:tabs>
          <w:tab w:val="left" w:pos="2269"/>
        </w:tabs>
        <w:ind w:left="1702"/>
      </w:pPr>
      <w:r>
        <w:t>(i)</w:t>
      </w:r>
      <w:r>
        <w:tab/>
      </w:r>
      <w:r w:rsidR="00B94B0F" w:rsidRPr="00453751">
        <w:t xml:space="preserve">Organizations admitted as observers to previous sessions of the Conference of the Parties would be </w:t>
      </w:r>
      <w:r w:rsidR="00B94B0F" w:rsidRPr="00144018">
        <w:t>admitted</w:t>
      </w:r>
      <w:r w:rsidR="00B94B0F" w:rsidRPr="00453751">
        <w:t xml:space="preserve"> to the first session of the Conference of the Parties serving as the meeting of the Parties to the Paris Agreement;</w:t>
      </w:r>
    </w:p>
    <w:p w:rsidR="00B94B0F" w:rsidRDefault="00663684" w:rsidP="00663684">
      <w:pPr>
        <w:pStyle w:val="RegSingleTxtG"/>
        <w:numPr>
          <w:ilvl w:val="0"/>
          <w:numId w:val="0"/>
        </w:numPr>
        <w:tabs>
          <w:tab w:val="left" w:pos="2269"/>
        </w:tabs>
        <w:ind w:left="1702"/>
      </w:pPr>
      <w:r>
        <w:t>(ii)</w:t>
      </w:r>
      <w:r>
        <w:tab/>
      </w:r>
      <w:r w:rsidR="00B94B0F" w:rsidRPr="00453751">
        <w:t>A single process would be used for the admission of observer organizations to sessions of the Conference of the Parties and the Conference of the Parties serving as the meeting of the Parties to the Paris Agreement, with decisions on the admission of observer organizations being taken by the Conference of the Parties.</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Pr="00A470FF">
        <w:rPr>
          <w:i/>
          <w:lang w:eastAsia="en-US"/>
        </w:rPr>
        <w:t xml:space="preserve"> </w:t>
      </w:r>
      <w:r>
        <w:rPr>
          <w:i/>
          <w:lang w:eastAsia="en-US"/>
        </w:rPr>
        <w:t xml:space="preserve">November </w:t>
      </w:r>
      <w:r w:rsidRPr="00A470FF">
        <w:rPr>
          <w:i/>
          <w:lang w:eastAsia="en-US"/>
        </w:rPr>
        <w:t>201</w:t>
      </w:r>
      <w:r>
        <w:rPr>
          <w:i/>
          <w:lang w:eastAsia="en-US"/>
        </w:rPr>
        <w:t>6</w:t>
      </w:r>
    </w:p>
    <w:p w:rsidR="00B94B0F" w:rsidRDefault="00B94B0F" w:rsidP="00B94B0F">
      <w:pPr>
        <w:pStyle w:val="RegSingleTxtG"/>
        <w:numPr>
          <w:ilvl w:val="0"/>
          <w:numId w:val="0"/>
        </w:numPr>
        <w:ind w:left="1702"/>
        <w:sectPr w:rsidR="00B94B0F" w:rsidSect="00D55F9D">
          <w:headerReference w:type="even" r:id="rId40"/>
          <w:headerReference w:type="default" r:id="rId41"/>
          <w:footnotePr>
            <w:numRestart w:val="eachSect"/>
          </w:footnotePr>
          <w:pgSz w:w="11906" w:h="16838" w:code="9"/>
          <w:pgMar w:top="1701" w:right="1134" w:bottom="2268" w:left="1134" w:header="1134" w:footer="1701" w:gutter="0"/>
          <w:cols w:space="708"/>
          <w:docGrid w:linePitch="360"/>
        </w:sectPr>
      </w:pPr>
    </w:p>
    <w:p w:rsidR="00B94B0F" w:rsidRPr="00C84A66" w:rsidRDefault="00B94B0F" w:rsidP="00B94B0F">
      <w:pPr>
        <w:pStyle w:val="HChG"/>
        <w:ind w:firstLine="0"/>
        <w:rPr>
          <w:bCs/>
        </w:rPr>
      </w:pPr>
      <w:r>
        <w:rPr>
          <w:bCs/>
        </w:rPr>
        <w:lastRenderedPageBreak/>
        <w:t>Resolution 1</w:t>
      </w:r>
      <w:r w:rsidRPr="00C84A66">
        <w:rPr>
          <w:bCs/>
        </w:rPr>
        <w:t>/CP.22</w:t>
      </w:r>
    </w:p>
    <w:p w:rsidR="00B94B0F" w:rsidRDefault="00B94B0F" w:rsidP="00B94B0F">
      <w:pPr>
        <w:pStyle w:val="HChG"/>
      </w:pPr>
      <w:r>
        <w:tab/>
      </w:r>
      <w:r>
        <w:tab/>
        <w:t>Expression of gratitude to the Government of the Kingdom of Morocco and the people of Marrakech</w:t>
      </w:r>
    </w:p>
    <w:p w:rsidR="00B94B0F" w:rsidRDefault="00B94B0F" w:rsidP="00756043">
      <w:pPr>
        <w:pStyle w:val="H1G"/>
        <w:ind w:firstLine="0"/>
        <w:jc w:val="both"/>
      </w:pPr>
      <w:r w:rsidRPr="00F311DE">
        <w:t xml:space="preserve">Draft resolution submitted by </w:t>
      </w:r>
      <w:r>
        <w:t>Fiji</w:t>
      </w:r>
    </w:p>
    <w:p w:rsidR="00B94B0F" w:rsidRPr="009B306B" w:rsidRDefault="00B94B0F" w:rsidP="00A63878">
      <w:pPr>
        <w:spacing w:before="120"/>
        <w:ind w:left="1134" w:right="1174" w:firstLine="567"/>
        <w:jc w:val="both"/>
      </w:pPr>
      <w:r w:rsidRPr="005558D6">
        <w:rPr>
          <w:i/>
        </w:rPr>
        <w:t>The Conference of the Parties</w:t>
      </w:r>
      <w:r>
        <w:rPr>
          <w:i/>
        </w:rPr>
        <w:t>,</w:t>
      </w:r>
      <w:r w:rsidRPr="005558D6">
        <w:rPr>
          <w:i/>
        </w:rPr>
        <w:t xml:space="preserve"> the Conference of the Parties serving as the meeting of the Parties to the Kyoto Protocol</w:t>
      </w:r>
      <w:r>
        <w:rPr>
          <w:i/>
        </w:rPr>
        <w:t xml:space="preserve"> and the </w:t>
      </w:r>
      <w:r w:rsidRPr="002F13A7">
        <w:rPr>
          <w:i/>
        </w:rPr>
        <w:t>Conference of the Parties serving as the meeting of the Parties to the Paris Agreement</w:t>
      </w:r>
      <w:r>
        <w:t>,</w:t>
      </w:r>
    </w:p>
    <w:p w:rsidR="00B94B0F" w:rsidRDefault="00B94B0F" w:rsidP="00A63878">
      <w:pPr>
        <w:spacing w:before="120"/>
        <w:ind w:left="1134" w:right="1174" w:firstLine="567"/>
        <w:jc w:val="both"/>
      </w:pPr>
      <w:r w:rsidRPr="005558D6">
        <w:rPr>
          <w:i/>
        </w:rPr>
        <w:t>Having met</w:t>
      </w:r>
      <w:r>
        <w:t xml:space="preserve"> in Marrakech from 7 to 18 November 2016 at the invitation of the Government of the Kingdom of Morocco,</w:t>
      </w:r>
    </w:p>
    <w:p w:rsidR="00B94B0F" w:rsidRDefault="00663684" w:rsidP="00663684">
      <w:pPr>
        <w:pStyle w:val="RegSingleTxtG"/>
        <w:numPr>
          <w:ilvl w:val="0"/>
          <w:numId w:val="0"/>
        </w:numPr>
        <w:tabs>
          <w:tab w:val="left" w:pos="568"/>
        </w:tabs>
        <w:spacing w:before="120" w:after="0"/>
        <w:ind w:left="1135"/>
      </w:pPr>
      <w:r>
        <w:t>1.</w:t>
      </w:r>
      <w:r>
        <w:tab/>
      </w:r>
      <w:r w:rsidR="00B94B0F" w:rsidRPr="00DA6CAE">
        <w:rPr>
          <w:i/>
        </w:rPr>
        <w:t>Express</w:t>
      </w:r>
      <w:r w:rsidR="00B94B0F" w:rsidRPr="00932AB2">
        <w:t xml:space="preserve"> </w:t>
      </w:r>
      <w:r w:rsidR="00B94B0F" w:rsidRPr="00DA6CAE">
        <w:rPr>
          <w:i/>
        </w:rPr>
        <w:t>their profound gratitude</w:t>
      </w:r>
      <w:r w:rsidR="00B94B0F" w:rsidRPr="00932AB2">
        <w:t xml:space="preserve"> to the Government of </w:t>
      </w:r>
      <w:r w:rsidR="00B94B0F">
        <w:t>the Kingdom of Morocco</w:t>
      </w:r>
      <w:r w:rsidR="00B94B0F" w:rsidRPr="00932AB2">
        <w:t xml:space="preserve"> for having made it possible for the twenty-</w:t>
      </w:r>
      <w:r w:rsidR="00B94B0F">
        <w:t>second</w:t>
      </w:r>
      <w:r w:rsidR="00B94B0F" w:rsidRPr="00932AB2">
        <w:t xml:space="preserve"> session of the Conference of the Parties</w:t>
      </w:r>
      <w:r w:rsidR="00B94B0F">
        <w:t>,</w:t>
      </w:r>
      <w:r w:rsidR="00B94B0F" w:rsidRPr="00932AB2">
        <w:t xml:space="preserve"> the </w:t>
      </w:r>
      <w:r w:rsidR="00B94B0F">
        <w:t>twelfth</w:t>
      </w:r>
      <w:r w:rsidR="00B94B0F" w:rsidRPr="00932AB2">
        <w:t xml:space="preserve"> session </w:t>
      </w:r>
      <w:r w:rsidR="00B94B0F" w:rsidRPr="005042ED">
        <w:t xml:space="preserve">of the Conference of the Parties serving as the meeting of the Parties to the Kyoto Protocol and the </w:t>
      </w:r>
      <w:r w:rsidR="00B94B0F">
        <w:t xml:space="preserve">first session of the </w:t>
      </w:r>
      <w:r w:rsidR="00B94B0F" w:rsidRPr="005042ED">
        <w:t>Conference of the Parties serving as the meeting of the Parties to the Paris Agreement to be held in Marrakech;</w:t>
      </w:r>
    </w:p>
    <w:p w:rsidR="00B94B0F" w:rsidRPr="005042ED" w:rsidRDefault="00663684" w:rsidP="00663684">
      <w:pPr>
        <w:pStyle w:val="RegSingleTxtG"/>
        <w:numPr>
          <w:ilvl w:val="0"/>
          <w:numId w:val="0"/>
        </w:numPr>
        <w:tabs>
          <w:tab w:val="left" w:pos="568"/>
        </w:tabs>
        <w:spacing w:before="120" w:after="0"/>
        <w:ind w:left="1134"/>
      </w:pPr>
      <w:r w:rsidRPr="005042ED">
        <w:t>2.</w:t>
      </w:r>
      <w:r w:rsidRPr="005042ED">
        <w:tab/>
      </w:r>
      <w:r w:rsidR="00B94B0F" w:rsidRPr="00D50829">
        <w:rPr>
          <w:i/>
        </w:rPr>
        <w:t>Request</w:t>
      </w:r>
      <w:r w:rsidR="00B94B0F" w:rsidRPr="00932AB2">
        <w:t xml:space="preserve"> the Government of </w:t>
      </w:r>
      <w:r w:rsidR="00B94B0F">
        <w:t>the Kingdom of Morocco</w:t>
      </w:r>
      <w:r w:rsidR="00B94B0F" w:rsidRPr="00932AB2">
        <w:t xml:space="preserve"> to convey to the city and people of </w:t>
      </w:r>
      <w:r w:rsidR="00B94B0F">
        <w:t>Marrakech</w:t>
      </w:r>
      <w:r w:rsidR="00B94B0F" w:rsidRPr="00932AB2">
        <w:t xml:space="preserve"> the gratitude of the Conference of the Parties</w:t>
      </w:r>
      <w:r w:rsidR="00B94B0F">
        <w:t>,</w:t>
      </w:r>
      <w:r w:rsidR="00B94B0F" w:rsidRPr="00932AB2">
        <w:t xml:space="preserve"> the Conference of the Parties serving as the meeting of the Parties to the Kyoto Protocol </w:t>
      </w:r>
      <w:r w:rsidR="00B94B0F">
        <w:t xml:space="preserve">and the </w:t>
      </w:r>
      <w:r w:rsidR="00B94B0F" w:rsidRPr="005042ED">
        <w:t>Conference of the Parties serving as the meeting of the Parties to the Paris Agreement for the hospitality and warmth extended to the participants.</w:t>
      </w:r>
    </w:p>
    <w:p w:rsidR="00B94B0F" w:rsidRPr="00A470F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10</w:t>
      </w:r>
      <w:r w:rsidRPr="00A470FF">
        <w:rPr>
          <w:i/>
          <w:vertAlign w:val="superscript"/>
          <w:lang w:eastAsia="en-US"/>
        </w:rPr>
        <w:t>th</w:t>
      </w:r>
      <w:r w:rsidRPr="00A470FF">
        <w:rPr>
          <w:i/>
          <w:lang w:eastAsia="en-US"/>
        </w:rPr>
        <w:t xml:space="preserve"> plenary meeting</w:t>
      </w:r>
    </w:p>
    <w:p w:rsidR="00B94B0F" w:rsidRDefault="00B94B0F" w:rsidP="00B94B0F">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18</w:t>
      </w:r>
      <w:r w:rsidRPr="00A470FF">
        <w:rPr>
          <w:i/>
          <w:lang w:eastAsia="en-US"/>
        </w:rPr>
        <w:t xml:space="preserve"> </w:t>
      </w:r>
      <w:r>
        <w:rPr>
          <w:i/>
          <w:lang w:eastAsia="en-US"/>
        </w:rPr>
        <w:t>November 2016</w:t>
      </w:r>
    </w:p>
    <w:p w:rsidR="00B94B0F" w:rsidRPr="00DC5415" w:rsidRDefault="00B94B0F" w:rsidP="00B94B0F">
      <w:pPr>
        <w:pStyle w:val="RegSingleTxtG"/>
        <w:numPr>
          <w:ilvl w:val="0"/>
          <w:numId w:val="0"/>
        </w:numPr>
        <w:autoSpaceDE w:val="0"/>
        <w:autoSpaceDN w:val="0"/>
        <w:adjustRightInd w:val="0"/>
        <w:spacing w:before="240" w:after="0"/>
        <w:ind w:left="1134"/>
        <w:jc w:val="center"/>
        <w:rPr>
          <w:u w:val="single"/>
        </w:rPr>
      </w:pPr>
      <w:r>
        <w:rPr>
          <w:i/>
          <w:u w:val="single"/>
          <w:lang w:eastAsia="en-US"/>
        </w:rPr>
        <w:tab/>
      </w:r>
      <w:r>
        <w:rPr>
          <w:i/>
          <w:u w:val="single"/>
          <w:lang w:eastAsia="en-US"/>
        </w:rPr>
        <w:tab/>
      </w:r>
      <w:r>
        <w:rPr>
          <w:i/>
          <w:u w:val="single"/>
          <w:lang w:eastAsia="en-US"/>
        </w:rPr>
        <w:tab/>
      </w:r>
    </w:p>
    <w:p w:rsidR="00D55F9D" w:rsidRDefault="00D55F9D" w:rsidP="00B94B0F">
      <w:pPr>
        <w:rPr>
          <w:lang w:eastAsia="en-US"/>
        </w:rPr>
      </w:pPr>
    </w:p>
    <w:sectPr w:rsidR="00D55F9D" w:rsidSect="00D55F9D">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59" w:rsidRDefault="00A97459">
      <w:r>
        <w:separator/>
      </w:r>
    </w:p>
  </w:endnote>
  <w:endnote w:type="continuationSeparator" w:id="0">
    <w:p w:rsidR="00A97459" w:rsidRDefault="00A9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4B101D" w:rsidRDefault="009E330F" w:rsidP="004B101D">
    <w:pPr>
      <w:pStyle w:val="Footer"/>
      <w:tabs>
        <w:tab w:val="right" w:pos="9638"/>
      </w:tabs>
    </w:pPr>
    <w:r w:rsidRPr="004B101D">
      <w:rPr>
        <w:b/>
        <w:sz w:val="18"/>
      </w:rPr>
      <w:fldChar w:fldCharType="begin"/>
    </w:r>
    <w:r w:rsidRPr="004B101D">
      <w:rPr>
        <w:b/>
        <w:sz w:val="18"/>
      </w:rPr>
      <w:instrText xml:space="preserve"> PAGE  \* MERGEFORMAT </w:instrText>
    </w:r>
    <w:r w:rsidRPr="004B101D">
      <w:rPr>
        <w:b/>
        <w:sz w:val="18"/>
      </w:rPr>
      <w:fldChar w:fldCharType="separate"/>
    </w:r>
    <w:r w:rsidR="00663684">
      <w:rPr>
        <w:b/>
        <w:noProof/>
        <w:sz w:val="18"/>
      </w:rPr>
      <w:t>2</w:t>
    </w:r>
    <w:r w:rsidRPr="004B101D">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4B101D" w:rsidRDefault="009E330F" w:rsidP="004B101D">
    <w:pPr>
      <w:pStyle w:val="Footer"/>
      <w:tabs>
        <w:tab w:val="right" w:pos="9638"/>
      </w:tabs>
      <w:rPr>
        <w:b/>
        <w:sz w:val="18"/>
      </w:rPr>
    </w:pPr>
    <w:r>
      <w:tab/>
    </w:r>
    <w:r w:rsidRPr="004B101D">
      <w:rPr>
        <w:b/>
        <w:sz w:val="18"/>
      </w:rPr>
      <w:fldChar w:fldCharType="begin"/>
    </w:r>
    <w:r w:rsidRPr="004B101D">
      <w:rPr>
        <w:b/>
        <w:sz w:val="18"/>
      </w:rPr>
      <w:instrText xml:space="preserve"> PAGE  \* MERGEFORMAT </w:instrText>
    </w:r>
    <w:r w:rsidRPr="004B101D">
      <w:rPr>
        <w:b/>
        <w:sz w:val="18"/>
      </w:rPr>
      <w:fldChar w:fldCharType="separate"/>
    </w:r>
    <w:r w:rsidR="00663684">
      <w:rPr>
        <w:b/>
        <w:noProof/>
        <w:sz w:val="18"/>
      </w:rPr>
      <w:t>21</w:t>
    </w:r>
    <w:r w:rsidRPr="004B101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4E584F" w:rsidRDefault="00B94B0F" w:rsidP="008061E0">
    <w:pPr>
      <w:pStyle w:val="Footer"/>
      <w:tabs>
        <w:tab w:val="right" w:pos="9638"/>
      </w:tabs>
    </w:pPr>
    <w:r w:rsidRPr="004E584F">
      <w:rPr>
        <w:b/>
        <w:sz w:val="18"/>
      </w:rPr>
      <w:fldChar w:fldCharType="begin"/>
    </w:r>
    <w:r w:rsidRPr="004E584F">
      <w:rPr>
        <w:b/>
        <w:sz w:val="18"/>
      </w:rPr>
      <w:instrText xml:space="preserve"> PAGE  \* MERGEFORMAT </w:instrText>
    </w:r>
    <w:r w:rsidRPr="004E584F">
      <w:rPr>
        <w:b/>
        <w:sz w:val="18"/>
      </w:rPr>
      <w:fldChar w:fldCharType="separate"/>
    </w:r>
    <w:r w:rsidR="00663684">
      <w:rPr>
        <w:b/>
        <w:noProof/>
        <w:sz w:val="18"/>
      </w:rPr>
      <w:t>22</w:t>
    </w:r>
    <w:r w:rsidRPr="004E584F">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4E584F" w:rsidRDefault="00B94B0F" w:rsidP="008061E0">
    <w:pPr>
      <w:pStyle w:val="Footer"/>
      <w:tabs>
        <w:tab w:val="right" w:pos="9638"/>
      </w:tabs>
      <w:rPr>
        <w:b/>
        <w:sz w:val="18"/>
      </w:rPr>
    </w:pPr>
    <w:r>
      <w:tab/>
    </w:r>
    <w:r w:rsidRPr="004E584F">
      <w:rPr>
        <w:b/>
        <w:sz w:val="18"/>
      </w:rPr>
      <w:fldChar w:fldCharType="begin"/>
    </w:r>
    <w:r w:rsidRPr="004E584F">
      <w:rPr>
        <w:b/>
        <w:sz w:val="18"/>
      </w:rPr>
      <w:instrText xml:space="preserve"> PAGE  \* MERGEFORMAT </w:instrText>
    </w:r>
    <w:r w:rsidRPr="004E584F">
      <w:rPr>
        <w:b/>
        <w:sz w:val="18"/>
      </w:rPr>
      <w:fldChar w:fldCharType="separate"/>
    </w:r>
    <w:r w:rsidR="00663684">
      <w:rPr>
        <w:b/>
        <w:noProof/>
        <w:sz w:val="18"/>
      </w:rPr>
      <w:t>23</w:t>
    </w:r>
    <w:r w:rsidRPr="004E584F">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59" w:rsidRDefault="00A97459">
      <w:r>
        <w:separator/>
      </w:r>
    </w:p>
  </w:footnote>
  <w:footnote w:type="continuationSeparator" w:id="0">
    <w:p w:rsidR="00A97459" w:rsidRDefault="00A97459">
      <w:r>
        <w:continuationSeparator/>
      </w:r>
    </w:p>
  </w:footnote>
  <w:footnote w:id="1">
    <w:p w:rsidR="009E330F" w:rsidRPr="002655AA" w:rsidRDefault="009E330F" w:rsidP="00A75B55">
      <w:pPr>
        <w:pStyle w:val="FootnoteText"/>
        <w:widowControl w:val="0"/>
        <w:tabs>
          <w:tab w:val="clear" w:pos="1021"/>
          <w:tab w:val="right" w:pos="1020"/>
        </w:tabs>
        <w:rPr>
          <w:lang w:val="en-US"/>
        </w:rPr>
      </w:pPr>
      <w:r>
        <w:tab/>
      </w:r>
      <w:r>
        <w:rPr>
          <w:rStyle w:val="FootnoteReference"/>
        </w:rPr>
        <w:footnoteRef/>
      </w:r>
      <w:r>
        <w:tab/>
        <w:t xml:space="preserve">See annex I to document </w:t>
      </w:r>
      <w:r w:rsidRPr="00733E2A">
        <w:t>FCCC/SB/2016/1</w:t>
      </w:r>
      <w:r>
        <w:t xml:space="preserve"> and document </w:t>
      </w:r>
      <w:r w:rsidRPr="00733E2A">
        <w:t>FCCC/CP/2016/7/Rev.1</w:t>
      </w:r>
      <w:r>
        <w:t xml:space="preserve"> and </w:t>
      </w:r>
      <w:r w:rsidRPr="00733E2A">
        <w:t>Add.1</w:t>
      </w:r>
      <w:r>
        <w:t>.</w:t>
      </w:r>
    </w:p>
  </w:footnote>
  <w:footnote w:id="2">
    <w:p w:rsidR="009E330F" w:rsidRPr="002655AA" w:rsidRDefault="009E330F" w:rsidP="00A75B55">
      <w:pPr>
        <w:pStyle w:val="FootnoteText"/>
        <w:widowControl w:val="0"/>
        <w:tabs>
          <w:tab w:val="clear" w:pos="1021"/>
          <w:tab w:val="right" w:pos="1020"/>
        </w:tabs>
        <w:rPr>
          <w:lang w:val="en-US"/>
        </w:rPr>
      </w:pPr>
      <w:r>
        <w:tab/>
      </w:r>
      <w:r>
        <w:rPr>
          <w:rStyle w:val="FootnoteReference"/>
        </w:rPr>
        <w:footnoteRef/>
      </w:r>
      <w:r>
        <w:tab/>
      </w:r>
      <w:r>
        <w:rPr>
          <w:lang w:val="en-US"/>
        </w:rPr>
        <w:t>Green Climate Fund Board decision B.14/02. Available at &lt;</w:t>
      </w:r>
      <w:r w:rsidRPr="00020B6E">
        <w:t>http://www.greenclimate.fund/boardroom/board-meetings/documents</w:t>
      </w:r>
      <w:r>
        <w:t>&gt;.</w:t>
      </w:r>
    </w:p>
  </w:footnote>
  <w:footnote w:id="3">
    <w:p w:rsidR="009E330F" w:rsidRPr="001E2C85" w:rsidRDefault="009E330F" w:rsidP="00C339FA">
      <w:pPr>
        <w:pStyle w:val="FootnoteText"/>
        <w:widowControl w:val="0"/>
        <w:tabs>
          <w:tab w:val="clear" w:pos="1021"/>
          <w:tab w:val="right" w:pos="1020"/>
        </w:tabs>
        <w:rPr>
          <w:lang w:val="en-US"/>
        </w:rPr>
      </w:pPr>
      <w:r>
        <w:tab/>
      </w:r>
      <w:r>
        <w:rPr>
          <w:rStyle w:val="FootnoteReference"/>
        </w:rPr>
        <w:footnoteRef/>
      </w:r>
      <w:r>
        <w:tab/>
      </w:r>
      <w:r w:rsidRPr="00B80244">
        <w:rPr>
          <w:lang w:val="en-US"/>
        </w:rPr>
        <w:t>FCCC/SB/2016/1</w:t>
      </w:r>
      <w:r w:rsidRPr="001E2C85">
        <w:rPr>
          <w:lang w:val="en-US"/>
        </w:rPr>
        <w:t>.</w:t>
      </w:r>
      <w:r w:rsidRPr="001E2C85">
        <w:t xml:space="preserve"> </w:t>
      </w:r>
    </w:p>
  </w:footnote>
  <w:footnote w:id="4">
    <w:p w:rsidR="009E330F" w:rsidRPr="003D277D" w:rsidRDefault="009E330F" w:rsidP="00C339FA">
      <w:pPr>
        <w:pStyle w:val="FootnoteText"/>
        <w:widowControl w:val="0"/>
        <w:tabs>
          <w:tab w:val="clear" w:pos="1021"/>
          <w:tab w:val="right" w:pos="1020"/>
        </w:tabs>
        <w:rPr>
          <w:lang w:val="en-US"/>
        </w:rPr>
      </w:pPr>
      <w:r w:rsidRPr="001E2C85">
        <w:tab/>
      </w:r>
      <w:r w:rsidRPr="001E2C85">
        <w:rPr>
          <w:rStyle w:val="FootnoteReference"/>
        </w:rPr>
        <w:footnoteRef/>
      </w:r>
      <w:r w:rsidRPr="001E2C85">
        <w:tab/>
      </w:r>
      <w:r w:rsidRPr="001E2C85">
        <w:rPr>
          <w:lang w:val="en-US"/>
        </w:rPr>
        <w:t xml:space="preserve">See document </w:t>
      </w:r>
      <w:r w:rsidRPr="00B80244">
        <w:rPr>
          <w:lang w:val="en-US"/>
        </w:rPr>
        <w:t>FCCC/SB/2013/1, paragraph 3</w:t>
      </w:r>
      <w:r w:rsidRPr="001E2C85">
        <w:rPr>
          <w:lang w:val="en-US"/>
        </w:rPr>
        <w:t>.</w:t>
      </w:r>
    </w:p>
  </w:footnote>
  <w:footnote w:id="5">
    <w:p w:rsidR="009E330F" w:rsidRPr="001E2C85" w:rsidRDefault="009E330F" w:rsidP="00C339FA">
      <w:pPr>
        <w:pStyle w:val="FootnoteText"/>
        <w:widowControl w:val="0"/>
        <w:tabs>
          <w:tab w:val="clear" w:pos="1021"/>
          <w:tab w:val="right" w:pos="1020"/>
        </w:tabs>
        <w:rPr>
          <w:lang w:val="en-US"/>
        </w:rPr>
      </w:pPr>
      <w:r w:rsidRPr="003D277D">
        <w:tab/>
      </w:r>
      <w:r w:rsidRPr="003D277D">
        <w:rPr>
          <w:rStyle w:val="FootnoteReference"/>
        </w:rPr>
        <w:footnoteRef/>
      </w:r>
      <w:r w:rsidRPr="003D277D">
        <w:tab/>
      </w:r>
      <w:r>
        <w:t xml:space="preserve">Technology Executive Committee document </w:t>
      </w:r>
      <w:r w:rsidRPr="001E2C85">
        <w:t>TEC/2016/12/13-an. Available at &lt;https://goo.gl/nybgmc&gt;.</w:t>
      </w:r>
    </w:p>
  </w:footnote>
  <w:footnote w:id="6">
    <w:p w:rsidR="009E330F" w:rsidRPr="001E2C85" w:rsidRDefault="009E330F" w:rsidP="00C339FA">
      <w:pPr>
        <w:pStyle w:val="FootnoteText"/>
        <w:widowControl w:val="0"/>
        <w:tabs>
          <w:tab w:val="clear" w:pos="1021"/>
          <w:tab w:val="right" w:pos="1020"/>
        </w:tabs>
        <w:rPr>
          <w:lang w:val="en-US"/>
        </w:rPr>
      </w:pPr>
      <w:r w:rsidRPr="003D277D">
        <w:tab/>
      </w:r>
      <w:r w:rsidRPr="003D277D">
        <w:rPr>
          <w:rStyle w:val="FootnoteReference"/>
        </w:rPr>
        <w:footnoteRef/>
      </w:r>
      <w:r w:rsidRPr="003D277D">
        <w:tab/>
      </w:r>
      <w:r w:rsidRPr="00B80244">
        <w:t>Annex II to FCCC/SB/2016/1</w:t>
      </w:r>
      <w:r w:rsidRPr="001E2C85">
        <w:t>.</w:t>
      </w:r>
    </w:p>
  </w:footnote>
  <w:footnote w:id="7">
    <w:p w:rsidR="009E330F" w:rsidRPr="001E2C85" w:rsidRDefault="009E330F" w:rsidP="00C339FA">
      <w:pPr>
        <w:pStyle w:val="FootnoteText"/>
        <w:widowControl w:val="0"/>
        <w:tabs>
          <w:tab w:val="clear" w:pos="1021"/>
          <w:tab w:val="right" w:pos="1020"/>
        </w:tabs>
        <w:rPr>
          <w:lang w:val="en-US"/>
        </w:rPr>
      </w:pPr>
      <w:r w:rsidRPr="001E2C85">
        <w:tab/>
      </w:r>
      <w:r w:rsidRPr="001E2C85">
        <w:rPr>
          <w:rStyle w:val="FootnoteReference"/>
        </w:rPr>
        <w:footnoteRef/>
      </w:r>
      <w:r w:rsidRPr="001E2C85">
        <w:tab/>
      </w:r>
      <w:r w:rsidRPr="00B80244">
        <w:t>FCCC/SB/2016/1, paragraph 106</w:t>
      </w:r>
      <w:r w:rsidRPr="001E2C85">
        <w:t>.</w:t>
      </w:r>
    </w:p>
  </w:footnote>
  <w:footnote w:id="8">
    <w:p w:rsidR="009E330F" w:rsidRPr="004C666F" w:rsidRDefault="009E330F" w:rsidP="00A75B55">
      <w:pPr>
        <w:pStyle w:val="FootnoteText"/>
        <w:rPr>
          <w:lang w:val="en-US"/>
        </w:rPr>
      </w:pPr>
      <w:r>
        <w:tab/>
      </w:r>
      <w:r>
        <w:rPr>
          <w:rStyle w:val="FootnoteReference"/>
        </w:rPr>
        <w:footnoteRef/>
      </w:r>
      <w:r>
        <w:tab/>
      </w:r>
      <w:r w:rsidRPr="004C666F">
        <w:t>FCCC/TP/2016/1</w:t>
      </w:r>
      <w:r>
        <w:t>.</w:t>
      </w:r>
    </w:p>
  </w:footnote>
  <w:footnote w:id="9">
    <w:p w:rsidR="009E330F" w:rsidRPr="004C666F" w:rsidRDefault="009E330F" w:rsidP="00A75B55">
      <w:pPr>
        <w:pStyle w:val="FootnoteText"/>
        <w:rPr>
          <w:lang w:val="en-US"/>
        </w:rPr>
      </w:pPr>
      <w:r>
        <w:tab/>
      </w:r>
      <w:r>
        <w:rPr>
          <w:rStyle w:val="FootnoteReference"/>
        </w:rPr>
        <w:footnoteRef/>
      </w:r>
      <w:r>
        <w:tab/>
        <w:t>Available at &lt;</w:t>
      </w:r>
      <w:r w:rsidRPr="00D2577B">
        <w:t>http://unfccc.int/capacitybuilding/core/activities.html</w:t>
      </w:r>
      <w:r>
        <w:t>&gt;.</w:t>
      </w:r>
    </w:p>
  </w:footnote>
  <w:footnote w:id="10">
    <w:p w:rsidR="009E330F" w:rsidRPr="008D477B" w:rsidRDefault="009E330F" w:rsidP="00A75B55">
      <w:pPr>
        <w:pStyle w:val="FootnoteText"/>
        <w:rPr>
          <w:lang w:val="en-US"/>
        </w:rPr>
      </w:pPr>
      <w:r>
        <w:tab/>
      </w:r>
      <w:r>
        <w:rPr>
          <w:rStyle w:val="FootnoteReference"/>
        </w:rPr>
        <w:footnoteRef/>
      </w:r>
      <w:r>
        <w:tab/>
      </w:r>
      <w:r w:rsidRPr="000413F1">
        <w:t>Parties should submit their views via the submissions portal at &lt;http://www.unfccc.int/5900&gt;.</w:t>
      </w:r>
    </w:p>
  </w:footnote>
  <w:footnote w:id="11">
    <w:p w:rsidR="009E330F" w:rsidRPr="00B80165" w:rsidRDefault="009E330F" w:rsidP="00A75B55">
      <w:pPr>
        <w:pStyle w:val="FootnoteText"/>
        <w:rPr>
          <w:lang w:val="en-US"/>
        </w:rPr>
      </w:pPr>
      <w:r>
        <w:tab/>
      </w:r>
      <w:r>
        <w:rPr>
          <w:rStyle w:val="FootnoteReference"/>
        </w:rPr>
        <w:footnoteRef/>
      </w:r>
      <w:r>
        <w:tab/>
        <w:t>As footnote 3 above.</w:t>
      </w:r>
    </w:p>
  </w:footnote>
  <w:footnote w:id="12">
    <w:p w:rsidR="00B94B0F" w:rsidRPr="00A44BF6" w:rsidRDefault="00B94B0F" w:rsidP="00B94B0F">
      <w:pPr>
        <w:pStyle w:val="FootnoteText"/>
        <w:widowControl w:val="0"/>
        <w:tabs>
          <w:tab w:val="clear" w:pos="1021"/>
          <w:tab w:val="right" w:pos="1020"/>
        </w:tabs>
        <w:rPr>
          <w:lang w:val="en-US"/>
        </w:rPr>
      </w:pPr>
      <w:r>
        <w:tab/>
      </w:r>
      <w:r w:rsidRPr="00DB3B10">
        <w:rPr>
          <w:rStyle w:val="FootnoteReference"/>
        </w:rPr>
        <w:footnoteRef/>
      </w:r>
      <w:r w:rsidRPr="00DB3B10">
        <w:tab/>
        <w:t>Parties should submit their views via the submissions portal at &lt;</w:t>
      </w:r>
      <w:r w:rsidRPr="00325C5C">
        <w:t>http://www.unfccc.int/5900</w:t>
      </w:r>
      <w:r w:rsidRPr="00DB3B10">
        <w:t>&gt;.</w:t>
      </w:r>
      <w:r>
        <w:t xml:space="preserve"> </w:t>
      </w:r>
    </w:p>
  </w:footnote>
  <w:footnote w:id="13">
    <w:p w:rsidR="00B94B0F" w:rsidRPr="00BD6EC2" w:rsidRDefault="00B94B0F" w:rsidP="00B94B0F">
      <w:pPr>
        <w:pStyle w:val="FootnoteText"/>
        <w:tabs>
          <w:tab w:val="clear" w:pos="1021"/>
          <w:tab w:val="right" w:pos="1020"/>
        </w:tabs>
        <w:rPr>
          <w:szCs w:val="18"/>
        </w:rPr>
      </w:pPr>
      <w:r w:rsidRPr="00BD6EC2">
        <w:rPr>
          <w:szCs w:val="18"/>
        </w:rPr>
        <w:tab/>
      </w:r>
      <w:r w:rsidRPr="00A06150">
        <w:rPr>
          <w:szCs w:val="18"/>
          <w:vertAlign w:val="superscript"/>
        </w:rPr>
        <w:footnoteRef/>
      </w:r>
      <w:r w:rsidRPr="00BD6EC2">
        <w:rPr>
          <w:szCs w:val="18"/>
        </w:rPr>
        <w:tab/>
      </w:r>
      <w:r>
        <w:rPr>
          <w:szCs w:val="18"/>
        </w:rPr>
        <w:t>Available at &lt;</w:t>
      </w:r>
      <w:r w:rsidRPr="00F2440B">
        <w:rPr>
          <w:szCs w:val="18"/>
        </w:rPr>
        <w:t>http://unfccc.int/files/science/workstreams/systematic_observation/application/pdf/</w:t>
      </w:r>
      <w:r>
        <w:rPr>
          <w:szCs w:val="18"/>
        </w:rPr>
        <w:br/>
      </w:r>
      <w:r w:rsidRPr="00F2440B">
        <w:rPr>
          <w:szCs w:val="18"/>
        </w:rPr>
        <w:t>gcos_ip_10oct2016.pdf</w:t>
      </w:r>
      <w:r>
        <w:rPr>
          <w:szCs w:val="18"/>
        </w:rPr>
        <w:t xml:space="preserve">&gt; and </w:t>
      </w:r>
      <w:r w:rsidRPr="00F2440B">
        <w:rPr>
          <w:szCs w:val="18"/>
        </w:rPr>
        <w:t>&lt;http://gcos.wmo.int&gt;.</w:t>
      </w:r>
    </w:p>
  </w:footnote>
  <w:footnote w:id="14">
    <w:p w:rsidR="00B94B0F" w:rsidRPr="006575BE" w:rsidRDefault="00B94B0F" w:rsidP="00B94B0F">
      <w:pPr>
        <w:pStyle w:val="FootnoteText"/>
        <w:tabs>
          <w:tab w:val="clear" w:pos="1021"/>
          <w:tab w:val="right" w:pos="1020"/>
        </w:tabs>
        <w:rPr>
          <w:szCs w:val="18"/>
        </w:rPr>
      </w:pPr>
      <w:r>
        <w:rPr>
          <w:szCs w:val="18"/>
        </w:rPr>
        <w:tab/>
      </w:r>
      <w:r w:rsidRPr="006575BE">
        <w:rPr>
          <w:szCs w:val="18"/>
          <w:vertAlign w:val="superscript"/>
        </w:rPr>
        <w:footnoteRef/>
      </w:r>
      <w:r>
        <w:rPr>
          <w:szCs w:val="18"/>
        </w:rPr>
        <w:tab/>
        <w:t xml:space="preserve">See document </w:t>
      </w:r>
      <w:r w:rsidRPr="006575BE">
        <w:rPr>
          <w:szCs w:val="18"/>
        </w:rPr>
        <w:t xml:space="preserve">FCCC/SBSTA/2015/5, </w:t>
      </w:r>
      <w:r w:rsidRPr="006A6B5F">
        <w:rPr>
          <w:szCs w:val="18"/>
        </w:rPr>
        <w:t>paragraph 28</w:t>
      </w:r>
      <w:r w:rsidRPr="006575BE">
        <w:rPr>
          <w:szCs w:val="18"/>
        </w:rPr>
        <w:t>.</w:t>
      </w:r>
    </w:p>
  </w:footnote>
  <w:footnote w:id="15">
    <w:p w:rsidR="00B94B0F" w:rsidRPr="003D2539" w:rsidRDefault="00B94B0F" w:rsidP="00B94B0F">
      <w:pPr>
        <w:pStyle w:val="FootnoteText"/>
        <w:tabs>
          <w:tab w:val="clear" w:pos="1021"/>
          <w:tab w:val="right" w:pos="1020"/>
        </w:tabs>
        <w:rPr>
          <w:szCs w:val="18"/>
        </w:rPr>
      </w:pPr>
      <w:r>
        <w:rPr>
          <w:szCs w:val="18"/>
        </w:rPr>
        <w:tab/>
      </w:r>
      <w:r w:rsidRPr="003D2539">
        <w:rPr>
          <w:szCs w:val="18"/>
          <w:vertAlign w:val="superscript"/>
        </w:rPr>
        <w:footnoteRef/>
      </w:r>
      <w:r>
        <w:rPr>
          <w:szCs w:val="18"/>
        </w:rPr>
        <w:tab/>
      </w:r>
      <w:r w:rsidRPr="003D2539">
        <w:rPr>
          <w:szCs w:val="18"/>
        </w:rPr>
        <w:t xml:space="preserve">The new essential climate variables identified in the </w:t>
      </w:r>
      <w:r>
        <w:rPr>
          <w:szCs w:val="18"/>
        </w:rPr>
        <w:t>implementation plan</w:t>
      </w:r>
      <w:r w:rsidRPr="003D2539">
        <w:rPr>
          <w:szCs w:val="18"/>
        </w:rPr>
        <w:t xml:space="preserve"> are: lightning, ocean surface stress, ocean surface heat flux, nitrous oxide, marine habitat properties, land surface temperature and greenhouse gas fluxes. The full list of essential climate variables is </w:t>
      </w:r>
      <w:r>
        <w:rPr>
          <w:szCs w:val="18"/>
        </w:rPr>
        <w:t>contained in table 1 of the implementation plan.</w:t>
      </w:r>
    </w:p>
  </w:footnote>
  <w:footnote w:id="16">
    <w:p w:rsidR="00B94B0F" w:rsidRPr="00220DA7" w:rsidRDefault="00B94B0F" w:rsidP="00B94B0F">
      <w:pPr>
        <w:pStyle w:val="FootnoteText"/>
        <w:rPr>
          <w:lang w:val="en-US"/>
        </w:rPr>
      </w:pPr>
      <w:r>
        <w:tab/>
      </w:r>
      <w:r>
        <w:rPr>
          <w:rStyle w:val="FootnoteReference"/>
        </w:rPr>
        <w:footnoteRef/>
      </w:r>
      <w:r>
        <w:tab/>
        <w:t>United Nations General Assembly resolution A/RES/34/180, “Convention on the Elimination of All Forms of Discrimination against Women”.</w:t>
      </w:r>
    </w:p>
  </w:footnote>
  <w:footnote w:id="17">
    <w:p w:rsidR="00B94B0F" w:rsidRPr="00220DA7" w:rsidRDefault="00B94B0F" w:rsidP="00B94B0F">
      <w:pPr>
        <w:pStyle w:val="FootnoteText"/>
        <w:rPr>
          <w:lang w:val="en-US"/>
        </w:rPr>
      </w:pPr>
      <w:r>
        <w:tab/>
      </w:r>
      <w:r>
        <w:rPr>
          <w:rStyle w:val="FootnoteReference"/>
        </w:rPr>
        <w:footnoteRef/>
      </w:r>
      <w:r>
        <w:tab/>
        <w:t>United Nations</w:t>
      </w:r>
      <w:r w:rsidRPr="000F388A">
        <w:t>,</w:t>
      </w:r>
      <w:r>
        <w:t xml:space="preserve"> Beijing Declaration and Platform of Action, adopted at the Fourth World Conference on Women, 27 October 1995.</w:t>
      </w:r>
    </w:p>
  </w:footnote>
  <w:footnote w:id="18">
    <w:p w:rsidR="00B94B0F" w:rsidRPr="009E74C5" w:rsidRDefault="00B94B0F" w:rsidP="00B94B0F">
      <w:pPr>
        <w:pStyle w:val="FootnoteText"/>
        <w:rPr>
          <w:szCs w:val="18"/>
        </w:rPr>
      </w:pPr>
      <w:r>
        <w:tab/>
      </w:r>
      <w:r>
        <w:rPr>
          <w:rStyle w:val="FootnoteReference"/>
        </w:rPr>
        <w:footnoteRef/>
      </w:r>
      <w:r>
        <w:tab/>
      </w:r>
      <w:r w:rsidRPr="009E74C5">
        <w:rPr>
          <w:szCs w:val="18"/>
          <w:lang w:val="en-US"/>
        </w:rPr>
        <w:t>United Nations General Assembly resolution A/RES/70/1, “Transforming our world: the 2030 Agenda for Sustainable Development”.</w:t>
      </w:r>
    </w:p>
  </w:footnote>
  <w:footnote w:id="19">
    <w:p w:rsidR="00B94B0F" w:rsidRPr="00442DDC" w:rsidRDefault="00B94B0F" w:rsidP="00B94B0F">
      <w:pPr>
        <w:pStyle w:val="FootnoteText"/>
        <w:widowControl w:val="0"/>
        <w:rPr>
          <w:lang w:val="en-US"/>
        </w:rPr>
      </w:pPr>
      <w:r w:rsidRPr="00206523">
        <w:tab/>
      </w:r>
      <w:r w:rsidRPr="00F15B26">
        <w:rPr>
          <w:rStyle w:val="FootnoteReference"/>
        </w:rPr>
        <w:footnoteRef/>
      </w:r>
      <w:r>
        <w:tab/>
      </w:r>
      <w:r w:rsidRPr="00442DDC">
        <w:rPr>
          <w:lang w:val="en-US"/>
        </w:rPr>
        <w:t>FCCC/SBI/2016/10.</w:t>
      </w:r>
    </w:p>
  </w:footnote>
  <w:footnote w:id="20">
    <w:p w:rsidR="00B94B0F" w:rsidRPr="00442DDC" w:rsidRDefault="00B94B0F" w:rsidP="00B94B0F">
      <w:pPr>
        <w:pStyle w:val="FootnoteText"/>
        <w:rPr>
          <w:lang w:val="en-US"/>
        </w:rPr>
      </w:pPr>
      <w:r w:rsidRPr="00442DDC">
        <w:tab/>
      </w:r>
      <w:r w:rsidRPr="00442DDC">
        <w:rPr>
          <w:rStyle w:val="FootnoteReference"/>
        </w:rPr>
        <w:footnoteRef/>
      </w:r>
      <w:r w:rsidRPr="00442DDC">
        <w:tab/>
      </w:r>
      <w:r w:rsidRPr="00442DDC">
        <w:rPr>
          <w:lang w:val="en-US"/>
        </w:rPr>
        <w:t>FCCC/CP/2016/4.</w:t>
      </w:r>
    </w:p>
  </w:footnote>
  <w:footnote w:id="21">
    <w:p w:rsidR="00B94B0F" w:rsidRPr="004D651F" w:rsidRDefault="00B94B0F" w:rsidP="00B94B0F">
      <w:pPr>
        <w:pStyle w:val="FootnoteText"/>
        <w:rPr>
          <w:rStyle w:val="FootnoteReference"/>
        </w:rPr>
      </w:pPr>
      <w:r w:rsidRPr="00442DDC">
        <w:tab/>
      </w:r>
      <w:r w:rsidRPr="00442DDC">
        <w:rPr>
          <w:vertAlign w:val="superscript"/>
        </w:rPr>
        <w:footnoteRef/>
      </w:r>
      <w:r w:rsidRPr="00442DDC">
        <w:tab/>
        <w:t>Submissions from Parties are available at &lt;http://www.unfccc.int/5900&gt;. Submissions from observers are available at &lt;http://www.unfccc.int/7478&gt;.</w:t>
      </w:r>
    </w:p>
  </w:footnote>
  <w:footnote w:id="22">
    <w:p w:rsidR="00B94B0F" w:rsidRDefault="00B94B0F" w:rsidP="00B94B0F">
      <w:pPr>
        <w:pStyle w:val="FootnoteText"/>
      </w:pPr>
      <w:r>
        <w:tab/>
      </w:r>
      <w:r>
        <w:rPr>
          <w:rStyle w:val="FootnoteReference"/>
        </w:rPr>
        <w:footnoteRef/>
      </w:r>
      <w:r>
        <w:tab/>
        <w:t>&lt;</w:t>
      </w:r>
      <w:r w:rsidRPr="00340377">
        <w:t>http://unfccc.int/gender_and_climate_change/items/7516.php</w:t>
      </w:r>
      <w:r>
        <w:t>&gt;.</w:t>
      </w:r>
    </w:p>
  </w:footnote>
  <w:footnote w:id="23">
    <w:p w:rsidR="00B94B0F" w:rsidRPr="00340377" w:rsidRDefault="00B94B0F" w:rsidP="00B94B0F">
      <w:pPr>
        <w:pStyle w:val="FootnoteText"/>
        <w:rPr>
          <w:lang w:val="en-US"/>
        </w:rPr>
      </w:pPr>
      <w:r>
        <w:tab/>
      </w:r>
      <w:r>
        <w:rPr>
          <w:rStyle w:val="FootnoteReference"/>
        </w:rPr>
        <w:footnoteRef/>
      </w:r>
      <w:r>
        <w:tab/>
      </w:r>
      <w:r w:rsidRPr="00C95D36">
        <w:t>Parties should submit their views via the submission portal at &lt;http://www.unfccc.int/5900&gt;. Observers and other stakeholders should e-mail their submissions to &lt;secretariat@unfccc.int&gt;</w:t>
      </w:r>
      <w:r>
        <w:t>.</w:t>
      </w:r>
    </w:p>
  </w:footnote>
  <w:footnote w:id="24">
    <w:p w:rsidR="00B94B0F" w:rsidRPr="004D42B3" w:rsidRDefault="00B94B0F" w:rsidP="00B94B0F">
      <w:pPr>
        <w:pStyle w:val="FootnoteText"/>
        <w:widowControl w:val="0"/>
        <w:tabs>
          <w:tab w:val="clear" w:pos="1021"/>
          <w:tab w:val="right" w:pos="1020"/>
        </w:tabs>
        <w:rPr>
          <w:lang w:val="en-US"/>
        </w:rPr>
      </w:pPr>
      <w:r>
        <w:tab/>
      </w:r>
      <w:r>
        <w:rPr>
          <w:rStyle w:val="FootnoteReference"/>
        </w:rPr>
        <w:footnoteRef/>
      </w:r>
      <w:r>
        <w:tab/>
      </w:r>
      <w:r w:rsidRPr="00D91636">
        <w:t>Annex I to decision 15/CP.1</w:t>
      </w:r>
      <w:r>
        <w:t>.</w:t>
      </w:r>
    </w:p>
  </w:footnote>
  <w:footnote w:id="25">
    <w:p w:rsidR="00B94B0F" w:rsidRPr="004D42B3" w:rsidRDefault="00B94B0F" w:rsidP="00B94B0F">
      <w:pPr>
        <w:pStyle w:val="FootnoteText"/>
        <w:widowControl w:val="0"/>
        <w:tabs>
          <w:tab w:val="clear" w:pos="1021"/>
          <w:tab w:val="right" w:pos="1020"/>
        </w:tabs>
        <w:rPr>
          <w:lang w:val="en-US"/>
        </w:rPr>
      </w:pPr>
      <w:r>
        <w:tab/>
      </w:r>
      <w:r>
        <w:rPr>
          <w:rStyle w:val="FootnoteReference"/>
        </w:rPr>
        <w:footnoteRef/>
      </w:r>
      <w:r>
        <w:tab/>
      </w:r>
      <w:r w:rsidRPr="00D91636">
        <w:t>FCCC/SBI/2016/13</w:t>
      </w:r>
      <w:r w:rsidRPr="008E7212">
        <w:t>, FCCC/SBI/2016</w:t>
      </w:r>
      <w:r w:rsidRPr="00D478DC">
        <w:t>/INF.12 and Add.1</w:t>
      </w:r>
      <w:r>
        <w:t xml:space="preserve">, </w:t>
      </w:r>
      <w:r w:rsidRPr="00D91636">
        <w:t>FCCC/SBI/2016/INF.14</w:t>
      </w:r>
      <w:r>
        <w:t xml:space="preserve">, </w:t>
      </w:r>
      <w:r w:rsidRPr="00D91636">
        <w:t>FCCC/SBI/2016/INF.15</w:t>
      </w:r>
      <w:r w:rsidRPr="00D478DC">
        <w:t xml:space="preserve"> </w:t>
      </w:r>
      <w:r>
        <w:t xml:space="preserve">and </w:t>
      </w:r>
      <w:r w:rsidRPr="00D91636">
        <w:t>FCCC/SBI/2016/INF.19</w:t>
      </w:r>
      <w:r>
        <w:t>.</w:t>
      </w:r>
    </w:p>
  </w:footnote>
  <w:footnote w:id="26">
    <w:p w:rsidR="00B94B0F" w:rsidRPr="004D42B3" w:rsidRDefault="00B94B0F" w:rsidP="00B94B0F">
      <w:pPr>
        <w:pStyle w:val="FootnoteText"/>
        <w:widowControl w:val="0"/>
        <w:tabs>
          <w:tab w:val="clear" w:pos="1021"/>
          <w:tab w:val="right" w:pos="1020"/>
        </w:tabs>
        <w:rPr>
          <w:lang w:val="en-US"/>
        </w:rPr>
      </w:pPr>
      <w:r>
        <w:tab/>
      </w:r>
      <w:r>
        <w:rPr>
          <w:rStyle w:val="FootnoteReference"/>
        </w:rPr>
        <w:footnoteRef/>
      </w:r>
      <w:r>
        <w:tab/>
      </w:r>
      <w:r w:rsidRPr="00D91636">
        <w:t>FCCC/SBI/2016/13</w:t>
      </w:r>
      <w:r>
        <w:t>.</w:t>
      </w:r>
    </w:p>
  </w:footnote>
  <w:footnote w:id="27">
    <w:p w:rsidR="00B94B0F" w:rsidRPr="00AC337F" w:rsidRDefault="00B94B0F" w:rsidP="00B94B0F">
      <w:pPr>
        <w:pStyle w:val="FootnoteText"/>
        <w:widowControl w:val="0"/>
        <w:tabs>
          <w:tab w:val="clear" w:pos="1021"/>
          <w:tab w:val="right" w:pos="1020"/>
        </w:tabs>
        <w:rPr>
          <w:lang w:val="en-US"/>
        </w:rPr>
      </w:pPr>
      <w:r>
        <w:tab/>
      </w:r>
      <w:r>
        <w:rPr>
          <w:rStyle w:val="FootnoteReference"/>
        </w:rPr>
        <w:footnoteRef/>
      </w:r>
      <w:r>
        <w:tab/>
      </w:r>
      <w:r w:rsidRPr="00D91636">
        <w:t>FCCC/SBI/2016/INF.19</w:t>
      </w:r>
      <w:r>
        <w:t>.</w:t>
      </w:r>
    </w:p>
  </w:footnote>
  <w:footnote w:id="28">
    <w:p w:rsidR="00B94B0F" w:rsidRPr="001A6146" w:rsidRDefault="00B94B0F" w:rsidP="00B94B0F">
      <w:pPr>
        <w:pStyle w:val="FootnoteText"/>
        <w:widowControl w:val="0"/>
        <w:tabs>
          <w:tab w:val="clear" w:pos="1021"/>
          <w:tab w:val="right" w:pos="1020"/>
        </w:tabs>
        <w:rPr>
          <w:lang w:val="en-US"/>
        </w:rPr>
      </w:pPr>
      <w:r>
        <w:tab/>
      </w:r>
      <w:r>
        <w:rPr>
          <w:rStyle w:val="FootnoteReference"/>
        </w:rPr>
        <w:footnoteRef/>
      </w:r>
      <w:r>
        <w:tab/>
      </w:r>
      <w:r w:rsidRPr="00D91636">
        <w:t>FCCC/SBI/2016/INF.15</w:t>
      </w:r>
      <w:r>
        <w:t>.</w:t>
      </w:r>
    </w:p>
  </w:footnote>
  <w:footnote w:id="29">
    <w:p w:rsidR="00B94B0F" w:rsidRPr="00560CB4" w:rsidRDefault="00B94B0F" w:rsidP="00B94B0F">
      <w:pPr>
        <w:pStyle w:val="FootnoteText"/>
        <w:widowControl w:val="0"/>
        <w:tabs>
          <w:tab w:val="clear" w:pos="1021"/>
          <w:tab w:val="right" w:pos="1020"/>
        </w:tabs>
        <w:rPr>
          <w:lang w:val="en-US"/>
        </w:rPr>
      </w:pPr>
      <w:r>
        <w:tab/>
      </w:r>
      <w:r>
        <w:rPr>
          <w:rStyle w:val="FootnoteReference"/>
        </w:rPr>
        <w:footnoteRef/>
      </w:r>
      <w:r>
        <w:tab/>
      </w:r>
      <w:r w:rsidRPr="007940EA">
        <w:t>FCCC/SBI/2016/INF.12</w:t>
      </w:r>
      <w:r>
        <w:t>.</w:t>
      </w:r>
    </w:p>
  </w:footnote>
  <w:footnote w:id="30">
    <w:p w:rsidR="00B94B0F" w:rsidRPr="00E04AFC" w:rsidRDefault="00B94B0F" w:rsidP="00B94B0F">
      <w:pPr>
        <w:pStyle w:val="FootnoteText"/>
        <w:widowControl w:val="0"/>
        <w:tabs>
          <w:tab w:val="clear" w:pos="1021"/>
          <w:tab w:val="right" w:pos="1020"/>
        </w:tabs>
        <w:rPr>
          <w:lang w:val="en-US"/>
        </w:rPr>
      </w:pPr>
      <w:r>
        <w:tab/>
      </w:r>
      <w:r>
        <w:rPr>
          <w:rStyle w:val="FootnoteReference"/>
        </w:rPr>
        <w:footnoteRef/>
      </w:r>
      <w:r>
        <w:tab/>
        <w:t>Decision 28/CP.19.</w:t>
      </w:r>
    </w:p>
  </w:footnote>
  <w:footnote w:id="31">
    <w:p w:rsidR="00B94B0F" w:rsidRPr="00144018" w:rsidRDefault="00B94B0F" w:rsidP="00B94B0F">
      <w:pPr>
        <w:pStyle w:val="FootnoteText"/>
        <w:widowControl w:val="0"/>
        <w:tabs>
          <w:tab w:val="clear" w:pos="1021"/>
          <w:tab w:val="right" w:pos="1020"/>
        </w:tabs>
        <w:rPr>
          <w:lang w:val="en-US"/>
        </w:rPr>
      </w:pPr>
      <w:r>
        <w:tab/>
      </w:r>
      <w:r>
        <w:rPr>
          <w:rStyle w:val="FootnoteReference"/>
        </w:rPr>
        <w:footnoteRef/>
      </w:r>
      <w:r>
        <w:tab/>
      </w:r>
      <w:r w:rsidRPr="00144018">
        <w:t>See document FCCC/CP/1996/2.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4B101D" w:rsidRDefault="009E330F" w:rsidP="004B101D">
    <w:pPr>
      <w:pStyle w:val="Header"/>
    </w:pPr>
    <w:r>
      <w:t>FCCC/CP/2016/10/Add.2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7F4962" w:rsidRDefault="00B94B0F" w:rsidP="007F4962">
    <w:pPr>
      <w:pStyle w:val="Header"/>
    </w:pPr>
    <w:r>
      <w:t>FCCC/CP/2016/</w:t>
    </w:r>
    <w:r w:rsidR="00471CCA">
      <w:t>10</w:t>
    </w:r>
    <w:r>
      <w:t>/Add.2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4B101D" w:rsidRDefault="00B94B0F" w:rsidP="004B101D">
    <w:pPr>
      <w:pStyle w:val="Header"/>
      <w:jc w:val="right"/>
    </w:pPr>
    <w:r>
      <w:t>FCCC/CP/2016/10/Add.2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7503FA" w:rsidRDefault="00B94B0F" w:rsidP="008061E0">
    <w:pPr>
      <w:pStyle w:val="Header"/>
    </w:pPr>
    <w:r>
      <w:t>FCCC/CP/2016/10/Add.2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84A66" w:rsidRDefault="00B94B0F" w:rsidP="00C84A66">
    <w:pPr>
      <w:pStyle w:val="Header"/>
    </w:pPr>
    <w:r>
      <w:t>FCCC/CP/2016/10/Add.2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4B101D" w:rsidRDefault="00B94B0F" w:rsidP="004B101D">
    <w:pPr>
      <w:pStyle w:val="Header"/>
      <w:jc w:val="right"/>
    </w:pPr>
    <w:r>
      <w:t>FCCC/CP/2016/10/Add.2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84A66" w:rsidRDefault="00B94B0F" w:rsidP="00C84A66">
    <w:pPr>
      <w:pStyle w:val="Header"/>
    </w:pPr>
    <w:r>
      <w:t>FCCC/CP/2016/X/Add.2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4B101D" w:rsidRDefault="00B94B0F" w:rsidP="004B101D">
    <w:pPr>
      <w:pStyle w:val="Header"/>
      <w:jc w:val="right"/>
    </w:pPr>
    <w:r>
      <w:t>FCCC/CP/2016/10/Add.2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84A66" w:rsidRDefault="00B94B0F" w:rsidP="006C007A">
    <w:pPr>
      <w:pStyle w:val="Header"/>
    </w:pPr>
    <w:r>
      <w:t>FCCC/CP/2016/10/Add.2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02794A" w:rsidRDefault="00B94B0F" w:rsidP="0002794A">
    <w:pPr>
      <w:pStyle w:val="Header"/>
      <w:jc w:val="right"/>
    </w:pPr>
    <w:r>
      <w:t>FCCC/CP/2016/10/Add.2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Default="00B94B0F" w:rsidP="008061E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4B101D" w:rsidRDefault="009E330F" w:rsidP="004B101D">
    <w:pPr>
      <w:pStyle w:val="Header"/>
      <w:jc w:val="right"/>
    </w:pPr>
    <w:r>
      <w:t>FCCC/CP/2016/10/Add.2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7503FA" w:rsidRDefault="00B94B0F" w:rsidP="008061E0">
    <w:pPr>
      <w:pStyle w:val="Header"/>
    </w:pPr>
    <w:r>
      <w:t>FCCC/CP/2016/10/Add.2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54FEE" w:rsidRDefault="00B94B0F" w:rsidP="00B26569">
    <w:pPr>
      <w:pStyle w:val="Header"/>
      <w:jc w:val="right"/>
    </w:pPr>
    <w:r>
      <w:t>FCCC/CP/2016/10/Add.2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84A66" w:rsidRDefault="00B94B0F" w:rsidP="00C84A66">
    <w:pPr>
      <w:pStyle w:val="Header"/>
    </w:pPr>
    <w:r>
      <w:t>FCCC/CP/2016/10/Add.2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54FEE" w:rsidRDefault="00B94B0F" w:rsidP="00B26569">
    <w:pPr>
      <w:pStyle w:val="Header"/>
      <w:jc w:val="right"/>
    </w:pPr>
    <w:r>
      <w:t>FCCC/CP/2016/10/Add.2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C84A66" w:rsidRDefault="00B94B0F" w:rsidP="00C84A66">
    <w:pPr>
      <w:pStyle w:val="Header"/>
    </w:pPr>
    <w:r>
      <w:t>FCCC/CP/2016/10/Add.2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0F" w:rsidRPr="00D55F9D" w:rsidRDefault="00B94B0F" w:rsidP="00D55F9D">
    <w:pPr>
      <w:pStyle w:val="Header"/>
      <w:jc w:val="right"/>
    </w:pPr>
    <w:r>
      <w:t>FCCC/CP/2016/10/Add.2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CCA" w:rsidRDefault="00471CCA" w:rsidP="00471CC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7503FA" w:rsidRDefault="009E330F" w:rsidP="008061E0">
    <w:pPr>
      <w:pStyle w:val="Header"/>
    </w:pPr>
    <w:r>
      <w:t>FCCC/CP/2016/10/Add.</w:t>
    </w:r>
    <w:r w:rsidR="006C007A">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962" w:rsidRPr="004B101D" w:rsidRDefault="007F4962" w:rsidP="004B101D">
    <w:pPr>
      <w:pStyle w:val="Header"/>
      <w:jc w:val="right"/>
    </w:pPr>
    <w:r>
      <w:t>FCCC/CP/2016/10/Add.2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962" w:rsidRPr="007F4962" w:rsidRDefault="007F4962" w:rsidP="007F4962">
    <w:pPr>
      <w:pStyle w:val="Header"/>
      <w:jc w:val="right"/>
    </w:pPr>
    <w:r>
      <w:t>FCCC/CP/2016/</w:t>
    </w:r>
    <w:r w:rsidR="00471CCA">
      <w:t>10</w:t>
    </w:r>
    <w:r>
      <w:t>/Add.2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0F" w:rsidRPr="007F4962" w:rsidRDefault="007F4962" w:rsidP="007F4962">
    <w:pPr>
      <w:pStyle w:val="Header"/>
    </w:pPr>
    <w:r>
      <w:t>FCCC/CP/2016/</w:t>
    </w:r>
    <w:r w:rsidR="00471CCA">
      <w:t>10</w:t>
    </w:r>
    <w:r>
      <w:t>/Add.2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962" w:rsidRPr="007F4962" w:rsidRDefault="007F4962" w:rsidP="007F4962">
    <w:pPr>
      <w:pStyle w:val="Header"/>
      <w:jc w:val="right"/>
    </w:pPr>
    <w:r>
      <w:t>FCCC/CP/2016/</w:t>
    </w:r>
    <w:r w:rsidR="00471CCA">
      <w:t>10</w:t>
    </w:r>
    <w:r>
      <w:t>/Add.2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962" w:rsidRPr="00C84A66" w:rsidRDefault="007F4962" w:rsidP="00C84A66">
    <w:pPr>
      <w:pStyle w:val="Header"/>
    </w:pPr>
    <w:r>
      <w:t>FCCC/CP/2016/10/Add.2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467E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1A64F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B4F0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D2F5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02AA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10C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4081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1800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2DA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4641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200A6EF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5871CD"/>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0F72452E"/>
    <w:multiLevelType w:val="hybridMultilevel"/>
    <w:tmpl w:val="53A440D6"/>
    <w:lvl w:ilvl="0" w:tplc="7C263B30">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23354E"/>
    <w:multiLevelType w:val="multilevel"/>
    <w:tmpl w:val="57C472A4"/>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6" w15:restartNumberingAfterBreak="0">
    <w:nsid w:val="26862608"/>
    <w:multiLevelType w:val="hybridMultilevel"/>
    <w:tmpl w:val="8ABE4396"/>
    <w:lvl w:ilvl="0" w:tplc="54BAD898">
      <w:start w:val="1"/>
      <w:numFmt w:val="decimal"/>
      <w:lvlText w:val="%1."/>
      <w:lvlJc w:val="left"/>
      <w:pPr>
        <w:ind w:left="3391" w:hanging="555"/>
      </w:pPr>
      <w:rPr>
        <w:rFonts w:hint="default"/>
        <w:i w:val="0"/>
      </w:rPr>
    </w:lvl>
    <w:lvl w:ilvl="1" w:tplc="04090017">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7"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5"/>
  </w:num>
  <w:num w:numId="4">
    <w:abstractNumId w:val="1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2"/>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evenAndOddHeaders/>
  <w:noPunctuationKerning/>
  <w:characterSpacingControl w:val="doNotCompress"/>
  <w:hdrShapeDefaults>
    <o:shapedefaults v:ext="edit" spidmax="1228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1D"/>
    <w:rsid w:val="00004A30"/>
    <w:rsid w:val="00007089"/>
    <w:rsid w:val="00021BB6"/>
    <w:rsid w:val="00022E91"/>
    <w:rsid w:val="0002382B"/>
    <w:rsid w:val="00023B53"/>
    <w:rsid w:val="0002794A"/>
    <w:rsid w:val="00032DDE"/>
    <w:rsid w:val="00035CF6"/>
    <w:rsid w:val="000423A6"/>
    <w:rsid w:val="000529F7"/>
    <w:rsid w:val="000555B3"/>
    <w:rsid w:val="000561BD"/>
    <w:rsid w:val="00062505"/>
    <w:rsid w:val="00074855"/>
    <w:rsid w:val="00074EC5"/>
    <w:rsid w:val="00074FC8"/>
    <w:rsid w:val="00076113"/>
    <w:rsid w:val="00081C44"/>
    <w:rsid w:val="0008756E"/>
    <w:rsid w:val="00090016"/>
    <w:rsid w:val="000913E6"/>
    <w:rsid w:val="00093044"/>
    <w:rsid w:val="000A399F"/>
    <w:rsid w:val="000A566F"/>
    <w:rsid w:val="000B1FD0"/>
    <w:rsid w:val="000C0E05"/>
    <w:rsid w:val="000C24E3"/>
    <w:rsid w:val="000C2DCF"/>
    <w:rsid w:val="000C5173"/>
    <w:rsid w:val="000C7FAF"/>
    <w:rsid w:val="000D5DED"/>
    <w:rsid w:val="000D6D4A"/>
    <w:rsid w:val="000D6DDE"/>
    <w:rsid w:val="000E343D"/>
    <w:rsid w:val="000E44C5"/>
    <w:rsid w:val="000E5A58"/>
    <w:rsid w:val="000E6E68"/>
    <w:rsid w:val="000F379C"/>
    <w:rsid w:val="000F4528"/>
    <w:rsid w:val="001007C9"/>
    <w:rsid w:val="00102F94"/>
    <w:rsid w:val="00106384"/>
    <w:rsid w:val="001161E5"/>
    <w:rsid w:val="0011781E"/>
    <w:rsid w:val="00120901"/>
    <w:rsid w:val="001209A8"/>
    <w:rsid w:val="00120E84"/>
    <w:rsid w:val="00123C52"/>
    <w:rsid w:val="00127311"/>
    <w:rsid w:val="001328F9"/>
    <w:rsid w:val="00134F15"/>
    <w:rsid w:val="00136D61"/>
    <w:rsid w:val="00141710"/>
    <w:rsid w:val="00142A35"/>
    <w:rsid w:val="00152A6E"/>
    <w:rsid w:val="0015479F"/>
    <w:rsid w:val="001600D9"/>
    <w:rsid w:val="00172CF0"/>
    <w:rsid w:val="001738F1"/>
    <w:rsid w:val="00174A05"/>
    <w:rsid w:val="00177074"/>
    <w:rsid w:val="00184C03"/>
    <w:rsid w:val="00186A4F"/>
    <w:rsid w:val="001906D0"/>
    <w:rsid w:val="0019430F"/>
    <w:rsid w:val="001945C7"/>
    <w:rsid w:val="00194E11"/>
    <w:rsid w:val="00195018"/>
    <w:rsid w:val="00196E77"/>
    <w:rsid w:val="001A1FC1"/>
    <w:rsid w:val="001A3E9A"/>
    <w:rsid w:val="001A594B"/>
    <w:rsid w:val="001B085A"/>
    <w:rsid w:val="001B1483"/>
    <w:rsid w:val="001C3DE7"/>
    <w:rsid w:val="001C7B87"/>
    <w:rsid w:val="001D012A"/>
    <w:rsid w:val="001D0F0F"/>
    <w:rsid w:val="001D2FD8"/>
    <w:rsid w:val="001D6911"/>
    <w:rsid w:val="001E48A4"/>
    <w:rsid w:val="001E622A"/>
    <w:rsid w:val="001E7D13"/>
    <w:rsid w:val="001F0C87"/>
    <w:rsid w:val="001F2BBF"/>
    <w:rsid w:val="002008AA"/>
    <w:rsid w:val="002025E1"/>
    <w:rsid w:val="00202C1D"/>
    <w:rsid w:val="0021446A"/>
    <w:rsid w:val="00223453"/>
    <w:rsid w:val="00230D0F"/>
    <w:rsid w:val="00231FB5"/>
    <w:rsid w:val="00232479"/>
    <w:rsid w:val="00232EAA"/>
    <w:rsid w:val="0024447B"/>
    <w:rsid w:val="00246888"/>
    <w:rsid w:val="00247BF6"/>
    <w:rsid w:val="00250037"/>
    <w:rsid w:val="00251FF9"/>
    <w:rsid w:val="00256CFB"/>
    <w:rsid w:val="00257AA3"/>
    <w:rsid w:val="00264F17"/>
    <w:rsid w:val="00267B98"/>
    <w:rsid w:val="00273E8E"/>
    <w:rsid w:val="0027419E"/>
    <w:rsid w:val="00276A17"/>
    <w:rsid w:val="002779EB"/>
    <w:rsid w:val="002823A1"/>
    <w:rsid w:val="002859C9"/>
    <w:rsid w:val="0029007C"/>
    <w:rsid w:val="00290409"/>
    <w:rsid w:val="00292DC3"/>
    <w:rsid w:val="00295866"/>
    <w:rsid w:val="0029733B"/>
    <w:rsid w:val="00297C1E"/>
    <w:rsid w:val="002B0283"/>
    <w:rsid w:val="002B446B"/>
    <w:rsid w:val="002B72CE"/>
    <w:rsid w:val="002B7532"/>
    <w:rsid w:val="002C051E"/>
    <w:rsid w:val="002C11F7"/>
    <w:rsid w:val="002C52A6"/>
    <w:rsid w:val="002D3DF7"/>
    <w:rsid w:val="002D737B"/>
    <w:rsid w:val="002F304A"/>
    <w:rsid w:val="002F60E8"/>
    <w:rsid w:val="003012AF"/>
    <w:rsid w:val="00304BA1"/>
    <w:rsid w:val="00306423"/>
    <w:rsid w:val="003147E4"/>
    <w:rsid w:val="00317B8C"/>
    <w:rsid w:val="003250E7"/>
    <w:rsid w:val="00326242"/>
    <w:rsid w:val="00327575"/>
    <w:rsid w:val="00327B89"/>
    <w:rsid w:val="00331CF1"/>
    <w:rsid w:val="00332592"/>
    <w:rsid w:val="00332D7A"/>
    <w:rsid w:val="003354A0"/>
    <w:rsid w:val="00336DC3"/>
    <w:rsid w:val="003415A2"/>
    <w:rsid w:val="00344AD3"/>
    <w:rsid w:val="00350710"/>
    <w:rsid w:val="00352B6E"/>
    <w:rsid w:val="00361821"/>
    <w:rsid w:val="003643C9"/>
    <w:rsid w:val="00364B85"/>
    <w:rsid w:val="00375F53"/>
    <w:rsid w:val="00381632"/>
    <w:rsid w:val="00383494"/>
    <w:rsid w:val="00384210"/>
    <w:rsid w:val="003A04B4"/>
    <w:rsid w:val="003A4936"/>
    <w:rsid w:val="003A5323"/>
    <w:rsid w:val="003B2C11"/>
    <w:rsid w:val="003B4C6A"/>
    <w:rsid w:val="003C3854"/>
    <w:rsid w:val="003C75B9"/>
    <w:rsid w:val="003D1A53"/>
    <w:rsid w:val="003D6B47"/>
    <w:rsid w:val="003E05CD"/>
    <w:rsid w:val="003E3A52"/>
    <w:rsid w:val="003E7CA8"/>
    <w:rsid w:val="003F0BC6"/>
    <w:rsid w:val="003F1E27"/>
    <w:rsid w:val="003F3102"/>
    <w:rsid w:val="003F5FEE"/>
    <w:rsid w:val="003F7301"/>
    <w:rsid w:val="00403E2E"/>
    <w:rsid w:val="004061BF"/>
    <w:rsid w:val="00410508"/>
    <w:rsid w:val="00414BB0"/>
    <w:rsid w:val="00415EFB"/>
    <w:rsid w:val="00417292"/>
    <w:rsid w:val="00422A55"/>
    <w:rsid w:val="00427DA2"/>
    <w:rsid w:val="0043729E"/>
    <w:rsid w:val="00442AFD"/>
    <w:rsid w:val="00445627"/>
    <w:rsid w:val="0045052E"/>
    <w:rsid w:val="00455747"/>
    <w:rsid w:val="00455DE3"/>
    <w:rsid w:val="004578AD"/>
    <w:rsid w:val="00464BE9"/>
    <w:rsid w:val="00466B1C"/>
    <w:rsid w:val="00471CCA"/>
    <w:rsid w:val="004812E6"/>
    <w:rsid w:val="00484B74"/>
    <w:rsid w:val="0048523B"/>
    <w:rsid w:val="00485971"/>
    <w:rsid w:val="00487DED"/>
    <w:rsid w:val="004941BD"/>
    <w:rsid w:val="004954DC"/>
    <w:rsid w:val="00497529"/>
    <w:rsid w:val="004977C3"/>
    <w:rsid w:val="004A67DD"/>
    <w:rsid w:val="004B101D"/>
    <w:rsid w:val="004B2869"/>
    <w:rsid w:val="004B501A"/>
    <w:rsid w:val="004C1052"/>
    <w:rsid w:val="004D1767"/>
    <w:rsid w:val="004D26DD"/>
    <w:rsid w:val="004D72AF"/>
    <w:rsid w:val="004E13D8"/>
    <w:rsid w:val="004E2287"/>
    <w:rsid w:val="004E5A04"/>
    <w:rsid w:val="004E6C99"/>
    <w:rsid w:val="004F0D45"/>
    <w:rsid w:val="004F4E03"/>
    <w:rsid w:val="004F615A"/>
    <w:rsid w:val="00502589"/>
    <w:rsid w:val="005030B1"/>
    <w:rsid w:val="00503373"/>
    <w:rsid w:val="00517559"/>
    <w:rsid w:val="005255F0"/>
    <w:rsid w:val="00526D78"/>
    <w:rsid w:val="005279BE"/>
    <w:rsid w:val="005324FA"/>
    <w:rsid w:val="0053363E"/>
    <w:rsid w:val="00533AB8"/>
    <w:rsid w:val="005416D2"/>
    <w:rsid w:val="0054389A"/>
    <w:rsid w:val="00545616"/>
    <w:rsid w:val="005464AA"/>
    <w:rsid w:val="00546735"/>
    <w:rsid w:val="005474C8"/>
    <w:rsid w:val="005549B8"/>
    <w:rsid w:val="00556333"/>
    <w:rsid w:val="0055700C"/>
    <w:rsid w:val="0056250B"/>
    <w:rsid w:val="005627AB"/>
    <w:rsid w:val="005653A9"/>
    <w:rsid w:val="00565AF2"/>
    <w:rsid w:val="0057038E"/>
    <w:rsid w:val="00570F55"/>
    <w:rsid w:val="00572CB8"/>
    <w:rsid w:val="00573130"/>
    <w:rsid w:val="00576132"/>
    <w:rsid w:val="00576F19"/>
    <w:rsid w:val="005772A3"/>
    <w:rsid w:val="005773D1"/>
    <w:rsid w:val="00577949"/>
    <w:rsid w:val="0058341F"/>
    <w:rsid w:val="0058351E"/>
    <w:rsid w:val="00592405"/>
    <w:rsid w:val="005A0171"/>
    <w:rsid w:val="005A1844"/>
    <w:rsid w:val="005A30EA"/>
    <w:rsid w:val="005B1D36"/>
    <w:rsid w:val="005B4BFF"/>
    <w:rsid w:val="005C08EC"/>
    <w:rsid w:val="005C6895"/>
    <w:rsid w:val="005F7367"/>
    <w:rsid w:val="006002E5"/>
    <w:rsid w:val="00601526"/>
    <w:rsid w:val="00603D73"/>
    <w:rsid w:val="0060436D"/>
    <w:rsid w:val="0061173F"/>
    <w:rsid w:val="00611E89"/>
    <w:rsid w:val="006146BB"/>
    <w:rsid w:val="00617B57"/>
    <w:rsid w:val="00622643"/>
    <w:rsid w:val="00622B9F"/>
    <w:rsid w:val="00624D03"/>
    <w:rsid w:val="00631EE2"/>
    <w:rsid w:val="00633BF3"/>
    <w:rsid w:val="00634DBB"/>
    <w:rsid w:val="0063667C"/>
    <w:rsid w:val="006379C7"/>
    <w:rsid w:val="00641F29"/>
    <w:rsid w:val="00651BDB"/>
    <w:rsid w:val="00655F79"/>
    <w:rsid w:val="0066159F"/>
    <w:rsid w:val="00663684"/>
    <w:rsid w:val="0066779B"/>
    <w:rsid w:val="006771A4"/>
    <w:rsid w:val="006810D8"/>
    <w:rsid w:val="00681A37"/>
    <w:rsid w:val="0068552D"/>
    <w:rsid w:val="00687740"/>
    <w:rsid w:val="00693901"/>
    <w:rsid w:val="006973FA"/>
    <w:rsid w:val="006A3385"/>
    <w:rsid w:val="006A56FD"/>
    <w:rsid w:val="006A63F7"/>
    <w:rsid w:val="006B06DB"/>
    <w:rsid w:val="006B13CC"/>
    <w:rsid w:val="006B1C30"/>
    <w:rsid w:val="006B2FFC"/>
    <w:rsid w:val="006B62F2"/>
    <w:rsid w:val="006B6D3A"/>
    <w:rsid w:val="006C007A"/>
    <w:rsid w:val="006C590B"/>
    <w:rsid w:val="006D0BDC"/>
    <w:rsid w:val="006D1C4D"/>
    <w:rsid w:val="006E2336"/>
    <w:rsid w:val="006E62D7"/>
    <w:rsid w:val="006E6852"/>
    <w:rsid w:val="006F1BFA"/>
    <w:rsid w:val="006F2373"/>
    <w:rsid w:val="00700EEF"/>
    <w:rsid w:val="00706ACC"/>
    <w:rsid w:val="007112BE"/>
    <w:rsid w:val="0071428F"/>
    <w:rsid w:val="00717921"/>
    <w:rsid w:val="00717BC5"/>
    <w:rsid w:val="00725825"/>
    <w:rsid w:val="00726562"/>
    <w:rsid w:val="007334B2"/>
    <w:rsid w:val="007334C8"/>
    <w:rsid w:val="00733560"/>
    <w:rsid w:val="00741FEC"/>
    <w:rsid w:val="00742F78"/>
    <w:rsid w:val="00746018"/>
    <w:rsid w:val="00747C63"/>
    <w:rsid w:val="00750AE3"/>
    <w:rsid w:val="00752275"/>
    <w:rsid w:val="00752FEF"/>
    <w:rsid w:val="00754145"/>
    <w:rsid w:val="00756043"/>
    <w:rsid w:val="007626E6"/>
    <w:rsid w:val="007658FD"/>
    <w:rsid w:val="007662FB"/>
    <w:rsid w:val="007712B0"/>
    <w:rsid w:val="007719B7"/>
    <w:rsid w:val="007760E2"/>
    <w:rsid w:val="00783616"/>
    <w:rsid w:val="007965C4"/>
    <w:rsid w:val="007970EF"/>
    <w:rsid w:val="00797184"/>
    <w:rsid w:val="007B0DFC"/>
    <w:rsid w:val="007B282F"/>
    <w:rsid w:val="007C186F"/>
    <w:rsid w:val="007C4046"/>
    <w:rsid w:val="007C4282"/>
    <w:rsid w:val="007C43B0"/>
    <w:rsid w:val="007C60C6"/>
    <w:rsid w:val="007D0DEF"/>
    <w:rsid w:val="007D2FA6"/>
    <w:rsid w:val="007D3A77"/>
    <w:rsid w:val="007D46D9"/>
    <w:rsid w:val="007E2A04"/>
    <w:rsid w:val="007E5A0D"/>
    <w:rsid w:val="007E5C76"/>
    <w:rsid w:val="007F11A7"/>
    <w:rsid w:val="007F4962"/>
    <w:rsid w:val="007F5855"/>
    <w:rsid w:val="007F6C8A"/>
    <w:rsid w:val="00802646"/>
    <w:rsid w:val="00805529"/>
    <w:rsid w:val="008061E0"/>
    <w:rsid w:val="008071D5"/>
    <w:rsid w:val="00810726"/>
    <w:rsid w:val="0081743A"/>
    <w:rsid w:val="00820954"/>
    <w:rsid w:val="00821927"/>
    <w:rsid w:val="00822406"/>
    <w:rsid w:val="00824785"/>
    <w:rsid w:val="00824D92"/>
    <w:rsid w:val="008263F2"/>
    <w:rsid w:val="00827816"/>
    <w:rsid w:val="0083172F"/>
    <w:rsid w:val="008370E0"/>
    <w:rsid w:val="0084026C"/>
    <w:rsid w:val="00840B77"/>
    <w:rsid w:val="008419FD"/>
    <w:rsid w:val="00841F6A"/>
    <w:rsid w:val="008421F3"/>
    <w:rsid w:val="00842245"/>
    <w:rsid w:val="0084341D"/>
    <w:rsid w:val="00845317"/>
    <w:rsid w:val="00847A56"/>
    <w:rsid w:val="00850BA0"/>
    <w:rsid w:val="00854822"/>
    <w:rsid w:val="00854F81"/>
    <w:rsid w:val="00857A55"/>
    <w:rsid w:val="0086015C"/>
    <w:rsid w:val="00861DC7"/>
    <w:rsid w:val="00873FF2"/>
    <w:rsid w:val="00876FDD"/>
    <w:rsid w:val="00885EE0"/>
    <w:rsid w:val="008947F8"/>
    <w:rsid w:val="008A7864"/>
    <w:rsid w:val="008B0BDE"/>
    <w:rsid w:val="008B17FB"/>
    <w:rsid w:val="008B2230"/>
    <w:rsid w:val="008B4372"/>
    <w:rsid w:val="008C3312"/>
    <w:rsid w:val="008C42B4"/>
    <w:rsid w:val="008D05A2"/>
    <w:rsid w:val="008D1D78"/>
    <w:rsid w:val="008D2969"/>
    <w:rsid w:val="008D3EE8"/>
    <w:rsid w:val="008D49EA"/>
    <w:rsid w:val="008D7CC1"/>
    <w:rsid w:val="008E2B17"/>
    <w:rsid w:val="008E4889"/>
    <w:rsid w:val="008E4AAA"/>
    <w:rsid w:val="008E64F0"/>
    <w:rsid w:val="008F4C57"/>
    <w:rsid w:val="008F6651"/>
    <w:rsid w:val="008F7B36"/>
    <w:rsid w:val="009034BB"/>
    <w:rsid w:val="0091113E"/>
    <w:rsid w:val="0091119B"/>
    <w:rsid w:val="009137D2"/>
    <w:rsid w:val="00917213"/>
    <w:rsid w:val="00921DB5"/>
    <w:rsid w:val="009230A8"/>
    <w:rsid w:val="009252FD"/>
    <w:rsid w:val="00933228"/>
    <w:rsid w:val="0094334C"/>
    <w:rsid w:val="0094674B"/>
    <w:rsid w:val="00957A10"/>
    <w:rsid w:val="00960298"/>
    <w:rsid w:val="009617EB"/>
    <w:rsid w:val="00963690"/>
    <w:rsid w:val="00965737"/>
    <w:rsid w:val="00970F53"/>
    <w:rsid w:val="00980E44"/>
    <w:rsid w:val="0098401A"/>
    <w:rsid w:val="009929D4"/>
    <w:rsid w:val="00996312"/>
    <w:rsid w:val="009979A7"/>
    <w:rsid w:val="009A180C"/>
    <w:rsid w:val="009A1EFD"/>
    <w:rsid w:val="009A2813"/>
    <w:rsid w:val="009A38FD"/>
    <w:rsid w:val="009A71AA"/>
    <w:rsid w:val="009B064C"/>
    <w:rsid w:val="009B1CB9"/>
    <w:rsid w:val="009B6667"/>
    <w:rsid w:val="009D186B"/>
    <w:rsid w:val="009D7644"/>
    <w:rsid w:val="009D7985"/>
    <w:rsid w:val="009E330F"/>
    <w:rsid w:val="009E438A"/>
    <w:rsid w:val="009F29D4"/>
    <w:rsid w:val="009F3514"/>
    <w:rsid w:val="009F3A00"/>
    <w:rsid w:val="009F4969"/>
    <w:rsid w:val="009F6301"/>
    <w:rsid w:val="009F65C0"/>
    <w:rsid w:val="009F7619"/>
    <w:rsid w:val="009F7990"/>
    <w:rsid w:val="009F7A41"/>
    <w:rsid w:val="00A029EC"/>
    <w:rsid w:val="00A02E12"/>
    <w:rsid w:val="00A04983"/>
    <w:rsid w:val="00A05C5E"/>
    <w:rsid w:val="00A060B4"/>
    <w:rsid w:val="00A0753F"/>
    <w:rsid w:val="00A078E1"/>
    <w:rsid w:val="00A10FFD"/>
    <w:rsid w:val="00A11347"/>
    <w:rsid w:val="00A24371"/>
    <w:rsid w:val="00A30DE3"/>
    <w:rsid w:val="00A31DAA"/>
    <w:rsid w:val="00A32408"/>
    <w:rsid w:val="00A35DA3"/>
    <w:rsid w:val="00A44C01"/>
    <w:rsid w:val="00A46476"/>
    <w:rsid w:val="00A47AB3"/>
    <w:rsid w:val="00A51559"/>
    <w:rsid w:val="00A55AAA"/>
    <w:rsid w:val="00A60427"/>
    <w:rsid w:val="00A63878"/>
    <w:rsid w:val="00A63C00"/>
    <w:rsid w:val="00A66451"/>
    <w:rsid w:val="00A71AF4"/>
    <w:rsid w:val="00A72AC5"/>
    <w:rsid w:val="00A72B5C"/>
    <w:rsid w:val="00A75B55"/>
    <w:rsid w:val="00A76791"/>
    <w:rsid w:val="00A7755F"/>
    <w:rsid w:val="00A77684"/>
    <w:rsid w:val="00A7768C"/>
    <w:rsid w:val="00A77BFF"/>
    <w:rsid w:val="00A85038"/>
    <w:rsid w:val="00A866D7"/>
    <w:rsid w:val="00A86746"/>
    <w:rsid w:val="00A9001C"/>
    <w:rsid w:val="00A9402E"/>
    <w:rsid w:val="00A97459"/>
    <w:rsid w:val="00AA79D8"/>
    <w:rsid w:val="00AB1658"/>
    <w:rsid w:val="00AB2E3D"/>
    <w:rsid w:val="00AC1F08"/>
    <w:rsid w:val="00AD40C4"/>
    <w:rsid w:val="00AD4D69"/>
    <w:rsid w:val="00AD5B26"/>
    <w:rsid w:val="00AE03E0"/>
    <w:rsid w:val="00AE2044"/>
    <w:rsid w:val="00AE550C"/>
    <w:rsid w:val="00AE73B8"/>
    <w:rsid w:val="00AF45B0"/>
    <w:rsid w:val="00B03244"/>
    <w:rsid w:val="00B13218"/>
    <w:rsid w:val="00B217B4"/>
    <w:rsid w:val="00B24666"/>
    <w:rsid w:val="00B2560F"/>
    <w:rsid w:val="00B26569"/>
    <w:rsid w:val="00B27F33"/>
    <w:rsid w:val="00B30815"/>
    <w:rsid w:val="00B33E91"/>
    <w:rsid w:val="00B3411F"/>
    <w:rsid w:val="00B37C98"/>
    <w:rsid w:val="00B40093"/>
    <w:rsid w:val="00B43CCA"/>
    <w:rsid w:val="00B44597"/>
    <w:rsid w:val="00B465AB"/>
    <w:rsid w:val="00B52E86"/>
    <w:rsid w:val="00B55E67"/>
    <w:rsid w:val="00B62A21"/>
    <w:rsid w:val="00B64660"/>
    <w:rsid w:val="00B64FBF"/>
    <w:rsid w:val="00B73ACE"/>
    <w:rsid w:val="00B7627E"/>
    <w:rsid w:val="00B771ED"/>
    <w:rsid w:val="00B82BB6"/>
    <w:rsid w:val="00B82F22"/>
    <w:rsid w:val="00B871BA"/>
    <w:rsid w:val="00B91CC2"/>
    <w:rsid w:val="00B946F3"/>
    <w:rsid w:val="00B94B0F"/>
    <w:rsid w:val="00B94EE8"/>
    <w:rsid w:val="00B961E8"/>
    <w:rsid w:val="00BA0BF9"/>
    <w:rsid w:val="00BA151F"/>
    <w:rsid w:val="00BA5F8A"/>
    <w:rsid w:val="00BA707B"/>
    <w:rsid w:val="00BB0700"/>
    <w:rsid w:val="00BB4988"/>
    <w:rsid w:val="00BB7CEE"/>
    <w:rsid w:val="00BC43C0"/>
    <w:rsid w:val="00BD4436"/>
    <w:rsid w:val="00BD7715"/>
    <w:rsid w:val="00BE0EAC"/>
    <w:rsid w:val="00BE6757"/>
    <w:rsid w:val="00BF0EE6"/>
    <w:rsid w:val="00C0105B"/>
    <w:rsid w:val="00C07551"/>
    <w:rsid w:val="00C120C7"/>
    <w:rsid w:val="00C12D57"/>
    <w:rsid w:val="00C15432"/>
    <w:rsid w:val="00C200A6"/>
    <w:rsid w:val="00C20DA0"/>
    <w:rsid w:val="00C238D6"/>
    <w:rsid w:val="00C24427"/>
    <w:rsid w:val="00C248D8"/>
    <w:rsid w:val="00C251F3"/>
    <w:rsid w:val="00C27B1F"/>
    <w:rsid w:val="00C3075C"/>
    <w:rsid w:val="00C32058"/>
    <w:rsid w:val="00C339FA"/>
    <w:rsid w:val="00C33E96"/>
    <w:rsid w:val="00C34D9C"/>
    <w:rsid w:val="00C3697F"/>
    <w:rsid w:val="00C54200"/>
    <w:rsid w:val="00C54FEE"/>
    <w:rsid w:val="00C631AC"/>
    <w:rsid w:val="00C6456B"/>
    <w:rsid w:val="00C67050"/>
    <w:rsid w:val="00C72C22"/>
    <w:rsid w:val="00C737CA"/>
    <w:rsid w:val="00C77A2E"/>
    <w:rsid w:val="00C80E9D"/>
    <w:rsid w:val="00C83DFC"/>
    <w:rsid w:val="00C84A66"/>
    <w:rsid w:val="00CA07A9"/>
    <w:rsid w:val="00CA22E2"/>
    <w:rsid w:val="00CA64BF"/>
    <w:rsid w:val="00CA7E68"/>
    <w:rsid w:val="00CA7E96"/>
    <w:rsid w:val="00CB0F75"/>
    <w:rsid w:val="00CB3FFE"/>
    <w:rsid w:val="00CB5ECE"/>
    <w:rsid w:val="00CB6A6E"/>
    <w:rsid w:val="00CC7923"/>
    <w:rsid w:val="00CD2376"/>
    <w:rsid w:val="00CD2B0C"/>
    <w:rsid w:val="00CD310E"/>
    <w:rsid w:val="00CD41F3"/>
    <w:rsid w:val="00CD5538"/>
    <w:rsid w:val="00CE3E5B"/>
    <w:rsid w:val="00CE4CB4"/>
    <w:rsid w:val="00CF07DD"/>
    <w:rsid w:val="00CF0A1D"/>
    <w:rsid w:val="00CF15D9"/>
    <w:rsid w:val="00CF170E"/>
    <w:rsid w:val="00CF31BB"/>
    <w:rsid w:val="00CF3297"/>
    <w:rsid w:val="00CF3733"/>
    <w:rsid w:val="00CF5E23"/>
    <w:rsid w:val="00D01EC6"/>
    <w:rsid w:val="00D02E98"/>
    <w:rsid w:val="00D05B5F"/>
    <w:rsid w:val="00D07E3E"/>
    <w:rsid w:val="00D10569"/>
    <w:rsid w:val="00D11FDC"/>
    <w:rsid w:val="00D136DA"/>
    <w:rsid w:val="00D21910"/>
    <w:rsid w:val="00D33395"/>
    <w:rsid w:val="00D3426A"/>
    <w:rsid w:val="00D35384"/>
    <w:rsid w:val="00D36F34"/>
    <w:rsid w:val="00D41489"/>
    <w:rsid w:val="00D44A37"/>
    <w:rsid w:val="00D463CF"/>
    <w:rsid w:val="00D50E2F"/>
    <w:rsid w:val="00D54D60"/>
    <w:rsid w:val="00D55B8B"/>
    <w:rsid w:val="00D55F9D"/>
    <w:rsid w:val="00D56153"/>
    <w:rsid w:val="00D61765"/>
    <w:rsid w:val="00D6462F"/>
    <w:rsid w:val="00D7275D"/>
    <w:rsid w:val="00D756F9"/>
    <w:rsid w:val="00D7598E"/>
    <w:rsid w:val="00D85EA8"/>
    <w:rsid w:val="00D87C8B"/>
    <w:rsid w:val="00D92EFE"/>
    <w:rsid w:val="00D94CD8"/>
    <w:rsid w:val="00D94FDF"/>
    <w:rsid w:val="00D96472"/>
    <w:rsid w:val="00D97990"/>
    <w:rsid w:val="00DA0633"/>
    <w:rsid w:val="00DA0998"/>
    <w:rsid w:val="00DA31E9"/>
    <w:rsid w:val="00DA5A75"/>
    <w:rsid w:val="00DA6A25"/>
    <w:rsid w:val="00DA6CAE"/>
    <w:rsid w:val="00DB2054"/>
    <w:rsid w:val="00DB3143"/>
    <w:rsid w:val="00DB41D1"/>
    <w:rsid w:val="00DB7EA6"/>
    <w:rsid w:val="00DC5415"/>
    <w:rsid w:val="00DE0F91"/>
    <w:rsid w:val="00DE2BF4"/>
    <w:rsid w:val="00DF55C6"/>
    <w:rsid w:val="00E03ED0"/>
    <w:rsid w:val="00E10A1A"/>
    <w:rsid w:val="00E21A8F"/>
    <w:rsid w:val="00E21DBF"/>
    <w:rsid w:val="00E26BE6"/>
    <w:rsid w:val="00E33BDC"/>
    <w:rsid w:val="00E34EE4"/>
    <w:rsid w:val="00E37CB8"/>
    <w:rsid w:val="00E42EA9"/>
    <w:rsid w:val="00E43076"/>
    <w:rsid w:val="00E43CD8"/>
    <w:rsid w:val="00E466BB"/>
    <w:rsid w:val="00E569BC"/>
    <w:rsid w:val="00E57B62"/>
    <w:rsid w:val="00E6392A"/>
    <w:rsid w:val="00E6745D"/>
    <w:rsid w:val="00E7000B"/>
    <w:rsid w:val="00E702C1"/>
    <w:rsid w:val="00E714BA"/>
    <w:rsid w:val="00E7183E"/>
    <w:rsid w:val="00E731A7"/>
    <w:rsid w:val="00E75D67"/>
    <w:rsid w:val="00E8410C"/>
    <w:rsid w:val="00E847EA"/>
    <w:rsid w:val="00E85D4E"/>
    <w:rsid w:val="00E86C47"/>
    <w:rsid w:val="00E87FC3"/>
    <w:rsid w:val="00E967CB"/>
    <w:rsid w:val="00EA1029"/>
    <w:rsid w:val="00EA2634"/>
    <w:rsid w:val="00EA3D09"/>
    <w:rsid w:val="00EB1254"/>
    <w:rsid w:val="00EB5BB3"/>
    <w:rsid w:val="00EC1E2B"/>
    <w:rsid w:val="00EC3A3D"/>
    <w:rsid w:val="00EC3BBD"/>
    <w:rsid w:val="00EC5654"/>
    <w:rsid w:val="00ED2F8E"/>
    <w:rsid w:val="00EE244A"/>
    <w:rsid w:val="00EE2DC5"/>
    <w:rsid w:val="00EE379D"/>
    <w:rsid w:val="00EE7958"/>
    <w:rsid w:val="00EF28C1"/>
    <w:rsid w:val="00EF3D5F"/>
    <w:rsid w:val="00EF4682"/>
    <w:rsid w:val="00EF6F93"/>
    <w:rsid w:val="00EF7A31"/>
    <w:rsid w:val="00F03595"/>
    <w:rsid w:val="00F114C6"/>
    <w:rsid w:val="00F3393A"/>
    <w:rsid w:val="00F44C6A"/>
    <w:rsid w:val="00F516A8"/>
    <w:rsid w:val="00F51990"/>
    <w:rsid w:val="00F54973"/>
    <w:rsid w:val="00F5595C"/>
    <w:rsid w:val="00F62419"/>
    <w:rsid w:val="00F650DD"/>
    <w:rsid w:val="00F6546F"/>
    <w:rsid w:val="00F71266"/>
    <w:rsid w:val="00F71D7E"/>
    <w:rsid w:val="00F71FB8"/>
    <w:rsid w:val="00F73B1E"/>
    <w:rsid w:val="00F74E04"/>
    <w:rsid w:val="00F819FA"/>
    <w:rsid w:val="00F82445"/>
    <w:rsid w:val="00F87228"/>
    <w:rsid w:val="00F87B82"/>
    <w:rsid w:val="00F93E30"/>
    <w:rsid w:val="00F9629C"/>
    <w:rsid w:val="00FA3CE0"/>
    <w:rsid w:val="00FA4306"/>
    <w:rsid w:val="00FB2180"/>
    <w:rsid w:val="00FB3FA3"/>
    <w:rsid w:val="00FC024D"/>
    <w:rsid w:val="00FC5DF3"/>
    <w:rsid w:val="00FC7B0B"/>
    <w:rsid w:val="00FD1D7B"/>
    <w:rsid w:val="00FD3B5A"/>
    <w:rsid w:val="00FD4BA4"/>
    <w:rsid w:val="00FE11D1"/>
    <w:rsid w:val="00FE447E"/>
    <w:rsid w:val="00FE7456"/>
    <w:rsid w:val="00FE746E"/>
    <w:rsid w:val="00FF194A"/>
    <w:rsid w:val="00FF21B8"/>
    <w:rsid w:val="00FF2D2B"/>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CDCCB8D-2E92-4D47-BD37-632B963B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26242"/>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C0E0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C0E0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0C0E05"/>
    <w:pPr>
      <w:spacing w:after="120"/>
      <w:ind w:left="1134" w:right="1134"/>
      <w:jc w:val="both"/>
    </w:pPr>
    <w:rPr>
      <w:rFonts w:eastAsia="Times New Roman"/>
      <w:lang w:eastAsia="en-US"/>
    </w:rPr>
  </w:style>
  <w:style w:type="paragraph" w:customStyle="1" w:styleId="SLG">
    <w:name w:val="__S_L_G"/>
    <w:basedOn w:val="Normal"/>
    <w:next w:val="Normal"/>
    <w:rsid w:val="000C0E05"/>
    <w:pPr>
      <w:keepNext/>
      <w:keepLines/>
      <w:spacing w:before="240" w:after="240" w:line="580" w:lineRule="exact"/>
      <w:ind w:left="1134" w:right="1134"/>
    </w:pPr>
    <w:rPr>
      <w:b/>
      <w:sz w:val="56"/>
    </w:rPr>
  </w:style>
  <w:style w:type="paragraph" w:customStyle="1" w:styleId="SMG">
    <w:name w:val="__S_M_G"/>
    <w:basedOn w:val="Normal"/>
    <w:next w:val="Normal"/>
    <w:rsid w:val="000C0E05"/>
    <w:pPr>
      <w:keepNext/>
      <w:keepLines/>
      <w:spacing w:before="240" w:after="240" w:line="420" w:lineRule="exact"/>
      <w:ind w:left="1134" w:right="1134"/>
    </w:pPr>
    <w:rPr>
      <w:b/>
      <w:sz w:val="40"/>
    </w:rPr>
  </w:style>
  <w:style w:type="paragraph" w:customStyle="1" w:styleId="SSG">
    <w:name w:val="__S_S_G"/>
    <w:basedOn w:val="Normal"/>
    <w:next w:val="Normal"/>
    <w:rsid w:val="000C0E05"/>
    <w:pPr>
      <w:keepNext/>
      <w:keepLines/>
      <w:spacing w:before="240" w:after="240" w:line="300" w:lineRule="exact"/>
      <w:ind w:left="1134" w:right="1134"/>
    </w:pPr>
    <w:rPr>
      <w:b/>
      <w:sz w:val="28"/>
    </w:rPr>
  </w:style>
  <w:style w:type="paragraph" w:customStyle="1" w:styleId="XLargeG">
    <w:name w:val="__XLarge_G"/>
    <w:basedOn w:val="Normal"/>
    <w:next w:val="Normal"/>
    <w:rsid w:val="000C0E05"/>
    <w:pPr>
      <w:keepNext/>
      <w:keepLines/>
      <w:spacing w:before="240" w:after="240" w:line="420" w:lineRule="exact"/>
      <w:ind w:left="1134" w:right="1134"/>
    </w:pPr>
    <w:rPr>
      <w:b/>
      <w:sz w:val="40"/>
    </w:rPr>
  </w:style>
  <w:style w:type="paragraph" w:customStyle="1" w:styleId="Bullet1G">
    <w:name w:val="_Bullet 1_G"/>
    <w:basedOn w:val="Normal"/>
    <w:rsid w:val="000C0E05"/>
    <w:pPr>
      <w:numPr>
        <w:numId w:val="1"/>
      </w:numPr>
      <w:spacing w:after="120"/>
      <w:ind w:right="1134"/>
      <w:jc w:val="both"/>
    </w:pPr>
  </w:style>
  <w:style w:type="paragraph" w:customStyle="1" w:styleId="Bullet2G">
    <w:name w:val="_Bullet 2_G"/>
    <w:basedOn w:val="Normal"/>
    <w:rsid w:val="000C0E05"/>
    <w:pPr>
      <w:numPr>
        <w:numId w:val="2"/>
      </w:numPr>
      <w:spacing w:after="120"/>
      <w:ind w:right="1134"/>
      <w:jc w:val="both"/>
    </w:pPr>
  </w:style>
  <w:style w:type="paragraph" w:customStyle="1" w:styleId="AnnoHCHG">
    <w:name w:val="Anno _ H_CH_G"/>
    <w:basedOn w:val="Normal"/>
    <w:next w:val="AnnoH1G"/>
    <w:rsid w:val="000C0E0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Normal"/>
    <w:rsid w:val="00FB2180"/>
    <w:pPr>
      <w:keepNext/>
      <w:keepLines/>
      <w:numPr>
        <w:numId w:val="4"/>
      </w:numPr>
      <w:spacing w:before="360" w:after="240" w:line="300" w:lineRule="exact"/>
      <w:ind w:right="1134"/>
    </w:pPr>
    <w:rPr>
      <w:b/>
      <w:sz w:val="28"/>
    </w:rPr>
  </w:style>
  <w:style w:type="paragraph" w:customStyle="1" w:styleId="RegH1G">
    <w:name w:val="Reg_H_1_G"/>
    <w:basedOn w:val="Normal"/>
    <w:next w:val="Normal"/>
    <w:rsid w:val="00FB2180"/>
    <w:pPr>
      <w:keepNext/>
      <w:keepLines/>
      <w:numPr>
        <w:ilvl w:val="1"/>
        <w:numId w:val="4"/>
      </w:numPr>
      <w:spacing w:before="360" w:after="240" w:line="270" w:lineRule="exact"/>
      <w:ind w:right="1134"/>
    </w:pPr>
    <w:rPr>
      <w:b/>
      <w:sz w:val="24"/>
    </w:rPr>
  </w:style>
  <w:style w:type="paragraph" w:customStyle="1" w:styleId="RegH23G">
    <w:name w:val="Reg_H_2/3_G"/>
    <w:basedOn w:val="Normal"/>
    <w:next w:val="Normal"/>
    <w:rsid w:val="00FB218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FB2180"/>
    <w:pPr>
      <w:numPr>
        <w:ilvl w:val="3"/>
        <w:numId w:val="4"/>
      </w:numPr>
      <w:tabs>
        <w:tab w:val="left" w:pos="1701"/>
      </w:tabs>
      <w:spacing w:after="120"/>
      <w:ind w:right="1134"/>
      <w:jc w:val="both"/>
    </w:pPr>
  </w:style>
  <w:style w:type="paragraph" w:styleId="TOC1">
    <w:name w:val="toc 1"/>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TableFootnote">
    <w:name w:val="TableFootnote"/>
    <w:basedOn w:val="FootnoteTable"/>
    <w:qFormat/>
    <w:rsid w:val="003354A0"/>
    <w:pPr>
      <w:ind w:left="1134"/>
    </w:pPr>
  </w:style>
  <w:style w:type="character" w:customStyle="1" w:styleId="HChGChar">
    <w:name w:val="_ H _Ch_G Char"/>
    <w:link w:val="HChG"/>
    <w:rsid w:val="004B101D"/>
    <w:rPr>
      <w:rFonts w:eastAsia="SimSun"/>
      <w:b/>
      <w:sz w:val="28"/>
      <w:lang w:val="en-GB" w:eastAsia="zh-CN"/>
    </w:rPr>
  </w:style>
  <w:style w:type="character" w:customStyle="1" w:styleId="HeaderChar">
    <w:name w:val="Header Char"/>
    <w:aliases w:val="6_G Char"/>
    <w:basedOn w:val="DefaultParagraphFont"/>
    <w:link w:val="Header"/>
    <w:rsid w:val="00D55F9D"/>
    <w:rPr>
      <w:rFonts w:eastAsia="SimSun"/>
      <w:b/>
      <w:sz w:val="18"/>
      <w:lang w:val="en-GB" w:eastAsia="zh-CN"/>
    </w:rPr>
  </w:style>
  <w:style w:type="character" w:customStyle="1" w:styleId="RegSingleTxtGChar">
    <w:name w:val="Reg_Single Txt_G Char"/>
    <w:link w:val="RegSingleTxtG"/>
    <w:rsid w:val="00D55F9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CD2B0C"/>
    <w:rPr>
      <w:rFonts w:eastAsia="SimSun"/>
      <w:sz w:val="18"/>
      <w:lang w:val="en-GB" w:eastAsia="zh-CN"/>
    </w:rPr>
  </w:style>
  <w:style w:type="character" w:customStyle="1" w:styleId="Heading1Char">
    <w:name w:val="Heading 1 Char"/>
    <w:aliases w:val="Table_G Char"/>
    <w:basedOn w:val="DefaultParagraphFont"/>
    <w:link w:val="Heading1"/>
    <w:rsid w:val="0002794A"/>
    <w:rPr>
      <w:rFonts w:eastAsia="SimSun"/>
      <w:lang w:val="en-GB" w:eastAsia="zh-CN"/>
    </w:rPr>
  </w:style>
  <w:style w:type="character" w:customStyle="1" w:styleId="EndnoteTextChar">
    <w:name w:val="Endnote Text Char"/>
    <w:aliases w:val="2_G Char"/>
    <w:basedOn w:val="DefaultParagraphFont"/>
    <w:link w:val="EndnoteText"/>
    <w:rsid w:val="0002794A"/>
    <w:rPr>
      <w:rFonts w:eastAsia="SimSun"/>
      <w:sz w:val="18"/>
      <w:lang w:val="en-GB" w:eastAsia="zh-CN"/>
    </w:rPr>
  </w:style>
  <w:style w:type="character" w:customStyle="1" w:styleId="FooterChar">
    <w:name w:val="Footer Char"/>
    <w:aliases w:val="3_G Char"/>
    <w:basedOn w:val="DefaultParagraphFont"/>
    <w:link w:val="Footer"/>
    <w:rsid w:val="0002794A"/>
    <w:rPr>
      <w:rFonts w:eastAsia="SimSun"/>
      <w:sz w:val="16"/>
      <w:lang w:val="en-GB" w:eastAsia="zh-CN"/>
    </w:rPr>
  </w:style>
  <w:style w:type="character" w:styleId="CommentReference">
    <w:name w:val="annotation reference"/>
    <w:basedOn w:val="DefaultParagraphFont"/>
    <w:rsid w:val="0002794A"/>
    <w:rPr>
      <w:sz w:val="16"/>
      <w:szCs w:val="16"/>
    </w:rPr>
  </w:style>
  <w:style w:type="paragraph" w:styleId="CommentText">
    <w:name w:val="annotation text"/>
    <w:basedOn w:val="Normal"/>
    <w:link w:val="CommentTextChar"/>
    <w:rsid w:val="0002794A"/>
    <w:pPr>
      <w:spacing w:line="240" w:lineRule="auto"/>
    </w:pPr>
  </w:style>
  <w:style w:type="character" w:customStyle="1" w:styleId="CommentTextChar">
    <w:name w:val="Comment Text Char"/>
    <w:basedOn w:val="DefaultParagraphFont"/>
    <w:link w:val="CommentText"/>
    <w:rsid w:val="0002794A"/>
    <w:rPr>
      <w:rFonts w:eastAsia="SimSun"/>
      <w:lang w:val="en-GB" w:eastAsia="zh-CN"/>
    </w:rPr>
  </w:style>
  <w:style w:type="paragraph" w:styleId="CommentSubject">
    <w:name w:val="annotation subject"/>
    <w:basedOn w:val="CommentText"/>
    <w:next w:val="CommentText"/>
    <w:link w:val="CommentSubjectChar"/>
    <w:rsid w:val="0002794A"/>
    <w:rPr>
      <w:b/>
      <w:bCs/>
    </w:rPr>
  </w:style>
  <w:style w:type="character" w:customStyle="1" w:styleId="CommentSubjectChar">
    <w:name w:val="Comment Subject Char"/>
    <w:basedOn w:val="CommentTextChar"/>
    <w:link w:val="CommentSubject"/>
    <w:rsid w:val="0002794A"/>
    <w:rPr>
      <w:rFonts w:eastAsia="SimSun"/>
      <w:b/>
      <w:bCs/>
      <w:lang w:val="en-GB" w:eastAsia="zh-CN"/>
    </w:rPr>
  </w:style>
  <w:style w:type="paragraph" w:customStyle="1" w:styleId="Default">
    <w:name w:val="Default"/>
    <w:rsid w:val="0002794A"/>
    <w:pPr>
      <w:autoSpaceDE w:val="0"/>
      <w:autoSpaceDN w:val="0"/>
      <w:adjustRightInd w:val="0"/>
    </w:pPr>
    <w:rPr>
      <w:color w:val="000000"/>
      <w:sz w:val="24"/>
      <w:szCs w:val="24"/>
      <w:lang w:eastAsia="en-GB"/>
    </w:rPr>
  </w:style>
  <w:style w:type="paragraph" w:customStyle="1" w:styleId="Body">
    <w:name w:val="Body"/>
    <w:rsid w:val="0002794A"/>
    <w:pPr>
      <w:pBdr>
        <w:top w:val="nil"/>
        <w:left w:val="nil"/>
        <w:bottom w:val="nil"/>
        <w:right w:val="nil"/>
        <w:between w:val="nil"/>
        <w:bar w:val="nil"/>
      </w:pBdr>
      <w:suppressAutoHyphens/>
      <w:spacing w:line="240" w:lineRule="atLeast"/>
    </w:pPr>
    <w:rPr>
      <w:color w:val="000000"/>
      <w:u w:color="000000"/>
      <w:bdr w:val="nil"/>
      <w:lang w:val="en-AU" w:eastAsia="en-AU"/>
    </w:rPr>
  </w:style>
  <w:style w:type="character" w:customStyle="1" w:styleId="SingleTxtGChar">
    <w:name w:val="_ Single Txt_G Char"/>
    <w:link w:val="SingleTxtG"/>
    <w:rsid w:val="0002794A"/>
    <w:rPr>
      <w:lang w:val="en-GB"/>
    </w:rPr>
  </w:style>
  <w:style w:type="character" w:customStyle="1" w:styleId="H1GChar">
    <w:name w:val="_ H_1_G Char"/>
    <w:link w:val="H1G"/>
    <w:locked/>
    <w:rsid w:val="0002794A"/>
    <w:rPr>
      <w:rFonts w:eastAsia="SimSun"/>
      <w:b/>
      <w:sz w:val="24"/>
      <w:lang w:val="en-GB" w:eastAsia="zh-CN"/>
    </w:rPr>
  </w:style>
  <w:style w:type="table" w:styleId="TableGrid">
    <w:name w:val="Table Grid"/>
    <w:basedOn w:val="TableNormal"/>
    <w:rsid w:val="0002794A"/>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94A"/>
    <w:rPr>
      <w:color w:val="0000FF"/>
      <w:u w:val="single"/>
    </w:rPr>
  </w:style>
  <w:style w:type="character" w:styleId="FollowedHyperlink">
    <w:name w:val="FollowedHyperlink"/>
    <w:basedOn w:val="DefaultParagraphFont"/>
    <w:uiPriority w:val="99"/>
    <w:unhideWhenUsed/>
    <w:rsid w:val="0002794A"/>
    <w:rPr>
      <w:color w:val="800080"/>
      <w:u w:val="single"/>
    </w:rPr>
  </w:style>
  <w:style w:type="paragraph" w:customStyle="1" w:styleId="xl69">
    <w:name w:val="xl69"/>
    <w:basedOn w:val="Normal"/>
    <w:rsid w:val="0002794A"/>
    <w:pPr>
      <w:suppressAutoHyphens w:val="0"/>
      <w:spacing w:before="100" w:beforeAutospacing="1" w:after="100" w:afterAutospacing="1" w:line="240" w:lineRule="auto"/>
      <w:jc w:val="right"/>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12.xml"/><Relationship Id="rId39" Type="http://schemas.openxmlformats.org/officeDocument/2006/relationships/header" Target="header23.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4.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11.xml"/><Relationship Id="rId33" Type="http://schemas.openxmlformats.org/officeDocument/2006/relationships/footer" Target="footer3.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19.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4B4E-43BB-4495-BD1C-3AC1E3BF179F}">
  <ds:schemaRefs>
    <ds:schemaRef ds:uri="http://schemas.microsoft.com/sharepoint/v3"/>
    <ds:schemaRef ds:uri="http://purl.org/dc/elements/1.1/"/>
    <ds:schemaRef ds:uri="http://www.w3.org/XML/1998/namespace"/>
    <ds:schemaRef ds:uri="95878e15-3eca-40ea-8e2a-b8ac110e97d5"/>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67dad47e-2fca-4711-b9e4-b0642648f99b"/>
    <ds:schemaRef ds:uri="http://purl.org/dc/terms/"/>
  </ds:schemaRefs>
</ds:datastoreItem>
</file>

<file path=customXml/itemProps2.xml><?xml version="1.0" encoding="utf-8"?>
<ds:datastoreItem xmlns:ds="http://schemas.openxmlformats.org/officeDocument/2006/customXml" ds:itemID="{0B1F6ADF-DFB0-497B-B5B3-91E3D1CE15E5}"/>
</file>

<file path=customXml/itemProps3.xml><?xml version="1.0" encoding="utf-8"?>
<ds:datastoreItem xmlns:ds="http://schemas.openxmlformats.org/officeDocument/2006/customXml" ds:itemID="{9D935448-7B6B-41E1-8B87-54D3199AC79A}">
  <ds:schemaRefs>
    <ds:schemaRef ds:uri="http://schemas.microsoft.com/sharepoint/v3/contenttype/forms"/>
  </ds:schemaRefs>
</ds:datastoreItem>
</file>

<file path=customXml/itemProps4.xml><?xml version="1.0" encoding="utf-8"?>
<ds:datastoreItem xmlns:ds="http://schemas.openxmlformats.org/officeDocument/2006/customXml" ds:itemID="{CC152E3C-4DC4-4728-9056-9BE1B3B0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35</TotalTime>
  <Pages>34</Pages>
  <Words>9150</Words>
  <Characters>52156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Report of the Conference of the Parties on its twenty-second session, held in Marrakech from 7 to 18 November 2016. Part two: Action taken by the Conference of the Parties at its twenty-second session.</vt:lpstr>
    </vt:vector>
  </TitlesOfParts>
  <Company>UNFCCC</Company>
  <LinksUpToDate>false</LinksUpToDate>
  <CharactersWithSpaces>61184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twenty-second session, held in Marrakech from 7 to 18 November 2016. Part two: Action taken by the Conference of the Parties at its twenty-second session.</dc:title>
  <dc:subject/>
  <dc:creator>Editor E</dc:creator>
  <cp:keywords/>
  <dc:description/>
  <cp:lastModifiedBy>Corinne Loeschner</cp:lastModifiedBy>
  <cp:revision>35</cp:revision>
  <cp:lastPrinted>2016-12-14T14:23:00Z</cp:lastPrinted>
  <dcterms:created xsi:type="dcterms:W3CDTF">2017-01-30T10:57:00Z</dcterms:created>
  <dcterms:modified xsi:type="dcterms:W3CDTF">2018-04-10T07:50:00Z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FCCC/CP/2016/X/Add.2</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Order">
    <vt:r8>7600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