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756BC7" w14:paraId="3EDA0A5A" w14:textId="77777777" w:rsidTr="00BC36B3">
        <w:trPr>
          <w:cantSplit/>
          <w:trHeight w:hRule="exact" w:val="1134"/>
        </w:trPr>
        <w:tc>
          <w:tcPr>
            <w:tcW w:w="1242" w:type="dxa"/>
            <w:vAlign w:val="bottom"/>
          </w:tcPr>
          <w:p w14:paraId="3EDA0A57" w14:textId="078FA238" w:rsidR="00756BC7" w:rsidRPr="003F5FEE" w:rsidRDefault="00C17DFD" w:rsidP="00831ADD">
            <w:pPr>
              <w:spacing w:line="240" w:lineRule="exact"/>
            </w:pPr>
            <w:bookmarkStart w:id="0" w:name="_GoBack" w:colFirst="0" w:colLast="0"/>
            <w:r>
              <w:rPr>
                <w:noProof/>
                <w:lang w:val="en-US" w:eastAsia="en-US"/>
              </w:rPr>
              <w:drawing>
                <wp:anchor distT="0" distB="0" distL="114300" distR="114300" simplePos="0" relativeHeight="251658240" behindDoc="0" locked="0" layoutInCell="1" allowOverlap="1" wp14:anchorId="05E640A8" wp14:editId="1DF62900">
                  <wp:simplePos x="0" y="0"/>
                  <wp:positionH relativeFrom="margin">
                    <wp:posOffset>-3810</wp:posOffset>
                  </wp:positionH>
                  <wp:positionV relativeFrom="margin">
                    <wp:posOffset>152400</wp:posOffset>
                  </wp:positionV>
                  <wp:extent cx="647700" cy="561975"/>
                  <wp:effectExtent l="0" t="0" r="0" b="0"/>
                  <wp:wrapSquare wrapText="bothSides"/>
                  <wp:docPr id="7" name="Picture 7"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700" cy="561975"/>
                          </a:xfrm>
                          <a:prstGeom prst="rect">
                            <a:avLst/>
                          </a:prstGeom>
                          <a:noFill/>
                        </pic:spPr>
                      </pic:pic>
                    </a:graphicData>
                  </a:graphic>
                  <wp14:sizeRelH relativeFrom="page">
                    <wp14:pctWidth>0</wp14:pctWidth>
                  </wp14:sizeRelH>
                  <wp14:sizeRelV relativeFrom="page">
                    <wp14:pctHeight>0</wp14:pctHeight>
                  </wp14:sizeRelV>
                </wp:anchor>
              </w:drawing>
            </w:r>
          </w:p>
        </w:tc>
        <w:tc>
          <w:tcPr>
            <w:tcW w:w="2552" w:type="dxa"/>
            <w:vAlign w:val="bottom"/>
          </w:tcPr>
          <w:p w14:paraId="3EDA0A58" w14:textId="77777777" w:rsidR="00756BC7" w:rsidRPr="00A86746" w:rsidRDefault="00756BC7" w:rsidP="00BE642F">
            <w:pPr>
              <w:ind w:left="113"/>
              <w:rPr>
                <w:sz w:val="28"/>
                <w:szCs w:val="28"/>
              </w:rPr>
            </w:pPr>
            <w:r w:rsidRPr="00A86746">
              <w:rPr>
                <w:sz w:val="28"/>
                <w:szCs w:val="28"/>
              </w:rPr>
              <w:t>United Nations</w:t>
            </w:r>
          </w:p>
        </w:tc>
        <w:tc>
          <w:tcPr>
            <w:tcW w:w="5845" w:type="dxa"/>
            <w:gridSpan w:val="3"/>
            <w:vAlign w:val="bottom"/>
          </w:tcPr>
          <w:p w14:paraId="3EDA0A59" w14:textId="57FC5529" w:rsidR="00756BC7" w:rsidRPr="00CA22E4" w:rsidRDefault="00CA22E4" w:rsidP="00CA22E4">
            <w:pPr>
              <w:jc w:val="right"/>
            </w:pPr>
            <w:r w:rsidRPr="00CA22E4">
              <w:rPr>
                <w:sz w:val="40"/>
              </w:rPr>
              <w:t>FCCC</w:t>
            </w:r>
            <w:r>
              <w:t>/CP/2017/</w:t>
            </w:r>
            <w:r w:rsidR="00E50C89">
              <w:t>11</w:t>
            </w:r>
            <w:r>
              <w:t>/Add.1</w:t>
            </w:r>
          </w:p>
        </w:tc>
      </w:tr>
      <w:bookmarkEnd w:id="0"/>
      <w:tr w:rsidR="00756BC7" w14:paraId="3EDA0A64" w14:textId="77777777" w:rsidTr="00BC36B3">
        <w:trPr>
          <w:cantSplit/>
          <w:trHeight w:hRule="exact" w:val="2552"/>
        </w:trPr>
        <w:tc>
          <w:tcPr>
            <w:tcW w:w="4511" w:type="dxa"/>
            <w:gridSpan w:val="3"/>
          </w:tcPr>
          <w:p w14:paraId="3EDA0A5E" w14:textId="1F105F00" w:rsidR="00756BC7" w:rsidRPr="003F5FEE" w:rsidRDefault="00C17DFD" w:rsidP="00EA53F6">
            <w:r>
              <w:rPr>
                <w:noProof/>
                <w:lang w:val="en-US" w:eastAsia="en-US"/>
              </w:rPr>
              <w:drawing>
                <wp:inline distT="0" distB="0" distL="0" distR="0" wp14:anchorId="3EDA0A8D" wp14:editId="58B47C46">
                  <wp:extent cx="2393315" cy="564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3315" cy="564515"/>
                          </a:xfrm>
                          <a:prstGeom prst="rect">
                            <a:avLst/>
                          </a:prstGeom>
                          <a:noFill/>
                          <a:ln>
                            <a:noFill/>
                          </a:ln>
                        </pic:spPr>
                      </pic:pic>
                    </a:graphicData>
                  </a:graphic>
                </wp:inline>
              </w:drawing>
            </w:r>
          </w:p>
        </w:tc>
        <w:tc>
          <w:tcPr>
            <w:tcW w:w="2293" w:type="dxa"/>
          </w:tcPr>
          <w:p w14:paraId="3EDA0A5F" w14:textId="77777777" w:rsidR="00756BC7" w:rsidRPr="003F5FEE" w:rsidRDefault="00756BC7" w:rsidP="00BE642F"/>
        </w:tc>
        <w:tc>
          <w:tcPr>
            <w:tcW w:w="2835" w:type="dxa"/>
          </w:tcPr>
          <w:p w14:paraId="1B259CE0" w14:textId="77777777" w:rsidR="00742296" w:rsidRDefault="00CA22E4" w:rsidP="00CA22E4">
            <w:pPr>
              <w:spacing w:before="240" w:line="240" w:lineRule="exact"/>
              <w:ind w:left="143"/>
            </w:pPr>
            <w:r>
              <w:t>Distr.: General</w:t>
            </w:r>
          </w:p>
          <w:p w14:paraId="0FF818E6" w14:textId="493651D2" w:rsidR="00CA22E4" w:rsidRDefault="003773AE" w:rsidP="00CA22E4">
            <w:pPr>
              <w:spacing w:line="240" w:lineRule="exact"/>
              <w:ind w:left="143"/>
            </w:pPr>
            <w:r>
              <w:t>31</w:t>
            </w:r>
            <w:r w:rsidR="00CA22E4" w:rsidRPr="00BF6550">
              <w:t xml:space="preserve"> </w:t>
            </w:r>
            <w:r w:rsidR="00BF6550">
              <w:t>January 2018</w:t>
            </w:r>
          </w:p>
          <w:p w14:paraId="168B81CA" w14:textId="77777777" w:rsidR="00CA22E4" w:rsidRDefault="00CA22E4" w:rsidP="00CA22E4">
            <w:pPr>
              <w:spacing w:line="240" w:lineRule="exact"/>
              <w:ind w:left="143"/>
            </w:pPr>
          </w:p>
          <w:p w14:paraId="3EDA0A63" w14:textId="00FEDB68" w:rsidR="00CA22E4" w:rsidRPr="00E0470D" w:rsidRDefault="00CA22E4" w:rsidP="00CA22E4">
            <w:pPr>
              <w:spacing w:line="240" w:lineRule="exact"/>
              <w:ind w:left="143"/>
            </w:pPr>
            <w:r>
              <w:t>Original: English</w:t>
            </w:r>
          </w:p>
        </w:tc>
      </w:tr>
    </w:tbl>
    <w:p w14:paraId="3EDA0A65" w14:textId="77777777" w:rsidR="00742296" w:rsidRDefault="00742296" w:rsidP="00742296">
      <w:pPr>
        <w:spacing w:before="120"/>
        <w:rPr>
          <w:b/>
          <w:sz w:val="24"/>
        </w:rPr>
      </w:pPr>
      <w:r>
        <w:rPr>
          <w:b/>
          <w:sz w:val="24"/>
        </w:rPr>
        <w:t>Conference of the Parties</w:t>
      </w:r>
    </w:p>
    <w:p w14:paraId="3EDA0A6B" w14:textId="122604F2" w:rsidR="00742296" w:rsidRDefault="00742296" w:rsidP="00742296">
      <w:pPr>
        <w:pStyle w:val="HChG"/>
      </w:pPr>
      <w:r>
        <w:tab/>
      </w:r>
      <w:r>
        <w:tab/>
      </w:r>
      <w:r w:rsidR="00F75669">
        <w:t xml:space="preserve">Report of the Conference of the Parties on its twenty-third session, held in Bonn from 6 to </w:t>
      </w:r>
      <w:r w:rsidR="00F75669" w:rsidRPr="00187DA8">
        <w:t>1</w:t>
      </w:r>
      <w:r w:rsidR="00187DA8">
        <w:t xml:space="preserve">8 </w:t>
      </w:r>
      <w:r w:rsidR="00F75669">
        <w:t>November 2017</w:t>
      </w:r>
    </w:p>
    <w:p w14:paraId="3EDA0A6C" w14:textId="25F808EE" w:rsidR="00742296" w:rsidRDefault="00F75669" w:rsidP="00742296">
      <w:pPr>
        <w:pStyle w:val="H1G"/>
        <w:ind w:firstLine="0"/>
      </w:pPr>
      <w:r>
        <w:t>Addendum</w:t>
      </w:r>
    </w:p>
    <w:p w14:paraId="377B6735" w14:textId="094A2F6A" w:rsidR="00F75669" w:rsidRPr="00F75669" w:rsidRDefault="00F75669" w:rsidP="00F75669">
      <w:pPr>
        <w:pStyle w:val="H1G"/>
      </w:pPr>
      <w:r>
        <w:tab/>
        <w:t>Part two: Action taken by the Conference of the Parties at its twenty-third session</w:t>
      </w:r>
    </w:p>
    <w:p w14:paraId="4E078AE7" w14:textId="77777777" w:rsidR="00F75669" w:rsidRDefault="00F75669" w:rsidP="00F75669">
      <w:pPr>
        <w:pStyle w:val="HChG"/>
      </w:pPr>
      <w:r w:rsidRPr="00F75669">
        <w:rPr>
          <w:b w:val="0"/>
        </w:rPr>
        <w:t>Contents</w:t>
      </w:r>
    </w:p>
    <w:p w14:paraId="74A98248" w14:textId="2B113413" w:rsidR="00F75669" w:rsidRDefault="00F75669" w:rsidP="00F75669">
      <w:pPr>
        <w:pStyle w:val="HChG"/>
      </w:pPr>
      <w:r>
        <w:tab/>
      </w:r>
      <w:r>
        <w:tab/>
        <w:t>Decisions adopted by the Conference of the Parties</w:t>
      </w:r>
    </w:p>
    <w:p w14:paraId="241616A9" w14:textId="484E1C8A" w:rsidR="00F75669" w:rsidRDefault="00F75669" w:rsidP="00F75669">
      <w:pPr>
        <w:tabs>
          <w:tab w:val="right" w:pos="8929"/>
          <w:tab w:val="right" w:pos="9638"/>
        </w:tabs>
        <w:spacing w:before="60" w:after="120"/>
        <w:ind w:left="1134"/>
      </w:pPr>
      <w:r>
        <w:rPr>
          <w:i/>
          <w:sz w:val="18"/>
        </w:rPr>
        <w:t>Decision</w:t>
      </w:r>
      <w:r>
        <w:rPr>
          <w:i/>
          <w:sz w:val="18"/>
        </w:rPr>
        <w:tab/>
        <w:t>Page</w:t>
      </w:r>
    </w:p>
    <w:p w14:paraId="01BFCD8F" w14:textId="77A9ADF9" w:rsidR="00F75669" w:rsidRDefault="00F75669" w:rsidP="00677F6C">
      <w:pPr>
        <w:tabs>
          <w:tab w:val="right" w:pos="850"/>
          <w:tab w:val="left" w:pos="1134"/>
          <w:tab w:val="left" w:pos="1559"/>
          <w:tab w:val="left" w:pos="2268"/>
          <w:tab w:val="left" w:leader="dot" w:pos="7654"/>
          <w:tab w:val="right" w:pos="8929"/>
          <w:tab w:val="right" w:pos="9638"/>
        </w:tabs>
        <w:spacing w:after="120"/>
      </w:pPr>
      <w:r>
        <w:tab/>
      </w:r>
      <w:r>
        <w:tab/>
        <w:t>1/CP.23</w:t>
      </w:r>
      <w:r>
        <w:tab/>
        <w:t>Fiji momentum for implementation</w:t>
      </w:r>
      <w:r>
        <w:tab/>
      </w:r>
      <w:r w:rsidR="00153DD9">
        <w:tab/>
        <w:t>2</w:t>
      </w:r>
    </w:p>
    <w:p w14:paraId="4E3346A3" w14:textId="4384337A" w:rsidR="00F75669" w:rsidRDefault="00F75669" w:rsidP="00677F6C">
      <w:pPr>
        <w:tabs>
          <w:tab w:val="right" w:pos="850"/>
          <w:tab w:val="left" w:pos="1134"/>
          <w:tab w:val="left" w:pos="1559"/>
          <w:tab w:val="left" w:pos="2268"/>
          <w:tab w:val="left" w:leader="dot" w:pos="7654"/>
          <w:tab w:val="right" w:pos="8929"/>
          <w:tab w:val="right" w:pos="9638"/>
        </w:tabs>
        <w:spacing w:after="120"/>
      </w:pPr>
      <w:r>
        <w:tab/>
      </w:r>
      <w:r>
        <w:tab/>
        <w:t>2/CP.23</w:t>
      </w:r>
      <w:r>
        <w:tab/>
        <w:t>Local communities and indigenous peoples platform</w:t>
      </w:r>
      <w:r>
        <w:tab/>
      </w:r>
      <w:r>
        <w:tab/>
      </w:r>
      <w:r w:rsidR="00153DD9">
        <w:t>11</w:t>
      </w:r>
    </w:p>
    <w:p w14:paraId="6874480F" w14:textId="41B79946" w:rsidR="00F75669" w:rsidRDefault="00F75669" w:rsidP="00677F6C">
      <w:pPr>
        <w:tabs>
          <w:tab w:val="right" w:pos="850"/>
          <w:tab w:val="left" w:pos="1134"/>
          <w:tab w:val="left" w:pos="1559"/>
          <w:tab w:val="left" w:pos="2268"/>
          <w:tab w:val="left" w:leader="dot" w:pos="7654"/>
          <w:tab w:val="right" w:pos="8929"/>
          <w:tab w:val="right" w:pos="9638"/>
        </w:tabs>
        <w:spacing w:after="120"/>
      </w:pPr>
      <w:r>
        <w:tab/>
      </w:r>
      <w:r>
        <w:tab/>
        <w:t>3/CP.23</w:t>
      </w:r>
      <w:r>
        <w:tab/>
        <w:t>Establishment of a gender action plan</w:t>
      </w:r>
      <w:r>
        <w:tab/>
      </w:r>
      <w:r>
        <w:tab/>
      </w:r>
      <w:r w:rsidR="00153DD9">
        <w:t>13</w:t>
      </w:r>
    </w:p>
    <w:p w14:paraId="6C9C068C" w14:textId="3B7FF6FC" w:rsidR="00F75669" w:rsidRDefault="00F75669" w:rsidP="00677F6C">
      <w:pPr>
        <w:tabs>
          <w:tab w:val="right" w:pos="850"/>
          <w:tab w:val="left" w:pos="1134"/>
          <w:tab w:val="left" w:pos="1559"/>
          <w:tab w:val="left" w:pos="2268"/>
          <w:tab w:val="left" w:leader="dot" w:pos="7654"/>
          <w:tab w:val="right" w:pos="8929"/>
          <w:tab w:val="right" w:pos="9638"/>
        </w:tabs>
        <w:spacing w:after="120"/>
      </w:pPr>
      <w:r>
        <w:tab/>
      </w:r>
      <w:r>
        <w:tab/>
        <w:t>4/CP.23</w:t>
      </w:r>
      <w:r>
        <w:tab/>
        <w:t>Koronivia joint work on agriculture</w:t>
      </w:r>
      <w:r>
        <w:tab/>
      </w:r>
      <w:r>
        <w:tab/>
      </w:r>
      <w:r w:rsidR="00153DD9">
        <w:t>19</w:t>
      </w:r>
    </w:p>
    <w:p w14:paraId="24DB628F" w14:textId="3732F23F" w:rsidR="00F75669" w:rsidRDefault="00F75669" w:rsidP="00677F6C">
      <w:pPr>
        <w:tabs>
          <w:tab w:val="right" w:pos="850"/>
          <w:tab w:val="left" w:pos="1134"/>
          <w:tab w:val="left" w:pos="1559"/>
          <w:tab w:val="left" w:pos="2268"/>
          <w:tab w:val="left" w:leader="dot" w:pos="7654"/>
          <w:tab w:val="right" w:pos="8929"/>
          <w:tab w:val="right" w:pos="9638"/>
        </w:tabs>
        <w:spacing w:after="120"/>
        <w:ind w:left="2268" w:hanging="2268"/>
      </w:pPr>
      <w:r>
        <w:tab/>
      </w:r>
      <w:r>
        <w:tab/>
        <w:t>5/CP.23</w:t>
      </w:r>
      <w:r>
        <w:tab/>
        <w:t>Warsaw International Mechanism for Loss and Damage associated</w:t>
      </w:r>
      <w:r>
        <w:br/>
        <w:t xml:space="preserve">with Climate Change </w:t>
      </w:r>
      <w:r w:rsidR="00340D65">
        <w:t>I</w:t>
      </w:r>
      <w:r>
        <w:t>mpacts</w:t>
      </w:r>
      <w:r>
        <w:tab/>
      </w:r>
      <w:r>
        <w:tab/>
      </w:r>
      <w:r w:rsidR="00153DD9">
        <w:t>20</w:t>
      </w:r>
    </w:p>
    <w:p w14:paraId="090B12C1" w14:textId="3884266A" w:rsidR="00F75669" w:rsidRDefault="00F75669" w:rsidP="00677F6C">
      <w:pPr>
        <w:tabs>
          <w:tab w:val="right" w:pos="850"/>
          <w:tab w:val="left" w:pos="1134"/>
          <w:tab w:val="left" w:pos="1559"/>
          <w:tab w:val="left" w:pos="2268"/>
          <w:tab w:val="left" w:leader="dot" w:pos="7654"/>
          <w:tab w:val="right" w:pos="8929"/>
          <w:tab w:val="right" w:pos="9638"/>
        </w:tabs>
        <w:spacing w:after="120"/>
        <w:ind w:left="2268" w:hanging="2268"/>
      </w:pPr>
      <w:r>
        <w:tab/>
      </w:r>
      <w:r>
        <w:tab/>
        <w:t>6/CP.23</w:t>
      </w:r>
      <w:r>
        <w:tab/>
      </w:r>
      <w:r w:rsidR="00677F6C">
        <w:t>Long-term climate finance</w:t>
      </w:r>
      <w:r w:rsidR="00677F6C">
        <w:tab/>
      </w:r>
      <w:r w:rsidR="00677F6C">
        <w:tab/>
      </w:r>
      <w:r w:rsidR="00153DD9">
        <w:t>23</w:t>
      </w:r>
    </w:p>
    <w:p w14:paraId="2F7766E8" w14:textId="40C28DF2" w:rsidR="00677F6C" w:rsidRDefault="00677F6C" w:rsidP="00677F6C">
      <w:pPr>
        <w:tabs>
          <w:tab w:val="right" w:pos="850"/>
          <w:tab w:val="left" w:pos="1134"/>
          <w:tab w:val="left" w:pos="1559"/>
          <w:tab w:val="left" w:pos="2268"/>
          <w:tab w:val="left" w:leader="dot" w:pos="7654"/>
          <w:tab w:val="right" w:pos="8929"/>
          <w:tab w:val="right" w:pos="9638"/>
        </w:tabs>
        <w:spacing w:after="120"/>
        <w:ind w:left="2268" w:hanging="2268"/>
      </w:pPr>
      <w:r>
        <w:tab/>
      </w:r>
      <w:r>
        <w:tab/>
        <w:t>7/CP.23</w:t>
      </w:r>
      <w:r>
        <w:tab/>
        <w:t>Report of the Standing Committee on Finance</w:t>
      </w:r>
      <w:r>
        <w:tab/>
      </w:r>
      <w:r>
        <w:tab/>
      </w:r>
      <w:r w:rsidR="00153DD9">
        <w:t>25</w:t>
      </w:r>
    </w:p>
    <w:p w14:paraId="1A353864" w14:textId="02CC43CD" w:rsidR="00677F6C" w:rsidRDefault="00677F6C" w:rsidP="00677F6C">
      <w:pPr>
        <w:tabs>
          <w:tab w:val="right" w:pos="850"/>
          <w:tab w:val="left" w:pos="1134"/>
          <w:tab w:val="left" w:pos="1559"/>
          <w:tab w:val="left" w:pos="2268"/>
          <w:tab w:val="left" w:leader="dot" w:pos="7654"/>
          <w:tab w:val="right" w:pos="8929"/>
          <w:tab w:val="right" w:pos="9638"/>
        </w:tabs>
        <w:spacing w:after="120"/>
        <w:ind w:left="2268" w:hanging="2268"/>
      </w:pPr>
      <w:r>
        <w:tab/>
      </w:r>
      <w:r>
        <w:tab/>
        <w:t>8/CP.23</w:t>
      </w:r>
      <w:r>
        <w:tab/>
        <w:t>Review of the functions of the Standing Committee on Finance</w:t>
      </w:r>
      <w:r>
        <w:tab/>
      </w:r>
      <w:r>
        <w:tab/>
      </w:r>
      <w:r w:rsidR="00153DD9">
        <w:t>27</w:t>
      </w:r>
    </w:p>
    <w:p w14:paraId="354483E6" w14:textId="7151BC80" w:rsidR="00677F6C" w:rsidRDefault="00677F6C" w:rsidP="00677F6C">
      <w:pPr>
        <w:tabs>
          <w:tab w:val="right" w:pos="850"/>
          <w:tab w:val="left" w:pos="1134"/>
          <w:tab w:val="left" w:pos="1559"/>
          <w:tab w:val="left" w:pos="2268"/>
          <w:tab w:val="left" w:leader="dot" w:pos="7654"/>
          <w:tab w:val="right" w:pos="8929"/>
          <w:tab w:val="right" w:pos="9638"/>
        </w:tabs>
        <w:spacing w:after="120"/>
        <w:ind w:left="2268" w:hanging="2268"/>
      </w:pPr>
      <w:r>
        <w:tab/>
      </w:r>
      <w:r>
        <w:tab/>
        <w:t>9/CP.23</w:t>
      </w:r>
      <w:r>
        <w:tab/>
        <w:t>Report of the Green Climate Fund to the Conference of the Parties</w:t>
      </w:r>
      <w:r>
        <w:br/>
        <w:t>and guidance to the Green Climate Fund</w:t>
      </w:r>
      <w:r>
        <w:tab/>
      </w:r>
      <w:r>
        <w:tab/>
      </w:r>
      <w:r w:rsidR="00153DD9">
        <w:t>29</w:t>
      </w:r>
    </w:p>
    <w:p w14:paraId="0A96C7EA" w14:textId="67B98112" w:rsidR="00677F6C" w:rsidRDefault="00677F6C" w:rsidP="00677F6C">
      <w:pPr>
        <w:tabs>
          <w:tab w:val="right" w:pos="850"/>
          <w:tab w:val="left" w:pos="1134"/>
          <w:tab w:val="left" w:pos="1559"/>
          <w:tab w:val="left" w:pos="2268"/>
          <w:tab w:val="left" w:leader="dot" w:pos="7654"/>
          <w:tab w:val="right" w:pos="8929"/>
          <w:tab w:val="right" w:pos="9638"/>
        </w:tabs>
        <w:spacing w:after="120"/>
        <w:ind w:left="2268" w:hanging="2268"/>
      </w:pPr>
      <w:r>
        <w:tab/>
      </w:r>
      <w:r>
        <w:tab/>
        <w:t>10/CP.23</w:t>
      </w:r>
      <w:r>
        <w:tab/>
        <w:t>Report of the Global Environment Facility to the Conference of</w:t>
      </w:r>
      <w:r>
        <w:br/>
        <w:t>the Parties and guidance to the Global Environment Facility</w:t>
      </w:r>
      <w:r>
        <w:tab/>
      </w:r>
      <w:r>
        <w:tab/>
      </w:r>
      <w:r w:rsidR="00153DD9">
        <w:t>32</w:t>
      </w:r>
    </w:p>
    <w:p w14:paraId="48E089FD" w14:textId="65886788" w:rsidR="00677F6C" w:rsidRDefault="00677F6C" w:rsidP="00677F6C">
      <w:pPr>
        <w:tabs>
          <w:tab w:val="right" w:pos="850"/>
          <w:tab w:val="left" w:pos="1134"/>
          <w:tab w:val="left" w:pos="1559"/>
          <w:tab w:val="left" w:pos="2268"/>
          <w:tab w:val="left" w:leader="dot" w:pos="7654"/>
          <w:tab w:val="right" w:pos="8929"/>
          <w:tab w:val="right" w:pos="9638"/>
        </w:tabs>
        <w:spacing w:after="120"/>
        <w:ind w:left="2268" w:hanging="2268"/>
      </w:pPr>
      <w:r>
        <w:tab/>
      </w:r>
      <w:r>
        <w:tab/>
        <w:t>11/CP.23</w:t>
      </w:r>
      <w:r>
        <w:tab/>
        <w:t xml:space="preserve">Sixth review of the </w:t>
      </w:r>
      <w:r w:rsidR="004A4BEA">
        <w:t>F</w:t>
      </w:r>
      <w:r>
        <w:t xml:space="preserve">inancial </w:t>
      </w:r>
      <w:r w:rsidR="004A4BEA">
        <w:t>M</w:t>
      </w:r>
      <w:r>
        <w:t>echanism</w:t>
      </w:r>
      <w:r>
        <w:tab/>
      </w:r>
      <w:r>
        <w:tab/>
      </w:r>
      <w:r w:rsidR="00153DD9">
        <w:t>34</w:t>
      </w:r>
    </w:p>
    <w:p w14:paraId="7FB3D1CA" w14:textId="672F4913" w:rsidR="00677F6C" w:rsidRDefault="00677F6C" w:rsidP="00677F6C">
      <w:pPr>
        <w:tabs>
          <w:tab w:val="right" w:pos="850"/>
          <w:tab w:val="left" w:pos="1134"/>
          <w:tab w:val="left" w:pos="1559"/>
          <w:tab w:val="left" w:pos="2268"/>
          <w:tab w:val="left" w:leader="dot" w:pos="7654"/>
          <w:tab w:val="right" w:pos="8929"/>
          <w:tab w:val="right" w:pos="9638"/>
        </w:tabs>
        <w:spacing w:after="120"/>
        <w:ind w:left="2268" w:hanging="2268"/>
      </w:pPr>
      <w:r>
        <w:tab/>
      </w:r>
      <w:r>
        <w:tab/>
        <w:t>12/CP.23</w:t>
      </w:r>
      <w:r>
        <w:tab/>
        <w:t xml:space="preserve">Process to identify the information to be provided by Parties in </w:t>
      </w:r>
      <w:r>
        <w:br/>
        <w:t>accordance with Article 9, paragraph 5, of the Paris Agreement</w:t>
      </w:r>
      <w:r>
        <w:tab/>
      </w:r>
      <w:r>
        <w:tab/>
      </w:r>
      <w:r w:rsidR="00153DD9">
        <w:t>35</w:t>
      </w:r>
    </w:p>
    <w:p w14:paraId="3EDA0A76" w14:textId="21E810A9" w:rsidR="00BC36B3" w:rsidRDefault="00742296" w:rsidP="00677F6C">
      <w:pPr>
        <w:pStyle w:val="HChG"/>
      </w:pPr>
      <w:r>
        <w:br w:type="page"/>
      </w:r>
      <w:r w:rsidR="00677F6C">
        <w:lastRenderedPageBreak/>
        <w:tab/>
      </w:r>
      <w:r w:rsidR="00677F6C">
        <w:tab/>
        <w:t>Decision 1/CP.23</w:t>
      </w:r>
    </w:p>
    <w:p w14:paraId="5ED3E242" w14:textId="630A6CCB" w:rsidR="00677F6C" w:rsidRDefault="00677F6C" w:rsidP="00677F6C">
      <w:pPr>
        <w:pStyle w:val="HChG"/>
      </w:pPr>
      <w:r>
        <w:tab/>
      </w:r>
      <w:r>
        <w:tab/>
        <w:t>Fiji momentum for implementation</w:t>
      </w:r>
    </w:p>
    <w:p w14:paraId="1D18362D" w14:textId="77777777" w:rsidR="00364659" w:rsidRPr="00EA2339" w:rsidRDefault="00364659" w:rsidP="00364659">
      <w:pPr>
        <w:pStyle w:val="RegSingleTxtG"/>
        <w:numPr>
          <w:ilvl w:val="0"/>
          <w:numId w:val="0"/>
        </w:numPr>
        <w:ind w:left="1134"/>
        <w:rPr>
          <w:i/>
        </w:rPr>
      </w:pPr>
      <w:r>
        <w:tab/>
      </w:r>
      <w:r w:rsidRPr="00EA2339">
        <w:rPr>
          <w:i/>
        </w:rPr>
        <w:t>The Conference of the Parties</w:t>
      </w:r>
      <w:r>
        <w:t>,</w:t>
      </w:r>
    </w:p>
    <w:p w14:paraId="44E321BB" w14:textId="77777777" w:rsidR="00364659" w:rsidRDefault="00364659" w:rsidP="00364659">
      <w:pPr>
        <w:pStyle w:val="RegSingleTxtG"/>
        <w:numPr>
          <w:ilvl w:val="0"/>
          <w:numId w:val="0"/>
        </w:numPr>
        <w:ind w:left="1134"/>
      </w:pPr>
      <w:r>
        <w:tab/>
      </w:r>
      <w:r w:rsidRPr="00EA2339">
        <w:rPr>
          <w:i/>
        </w:rPr>
        <w:t>Recalling</w:t>
      </w:r>
      <w:r>
        <w:t xml:space="preserve"> t</w:t>
      </w:r>
      <w:r w:rsidRPr="00A24700">
        <w:t>he Paris Agreement, adopted under the Convention</w:t>
      </w:r>
      <w:r>
        <w:t>,</w:t>
      </w:r>
    </w:p>
    <w:p w14:paraId="5891E46A" w14:textId="77777777" w:rsidR="00364659" w:rsidRDefault="00364659" w:rsidP="00364659">
      <w:pPr>
        <w:pStyle w:val="RegSingleTxtG"/>
        <w:numPr>
          <w:ilvl w:val="0"/>
          <w:numId w:val="0"/>
        </w:numPr>
        <w:ind w:left="1134"/>
      </w:pPr>
      <w:r>
        <w:tab/>
      </w:r>
      <w:r>
        <w:rPr>
          <w:i/>
        </w:rPr>
        <w:t xml:space="preserve">Also recalling </w:t>
      </w:r>
      <w:r w:rsidRPr="004D0D99">
        <w:t>decisions 1/CP.21, 1/CP.22 and 1/CMA.</w:t>
      </w:r>
      <w:r>
        <w:t>1,</w:t>
      </w:r>
    </w:p>
    <w:p w14:paraId="6FF49C68" w14:textId="77777777" w:rsidR="00364659" w:rsidRPr="004D0D99" w:rsidRDefault="00364659" w:rsidP="00364659">
      <w:pPr>
        <w:pStyle w:val="RegSingleTxtG"/>
        <w:numPr>
          <w:ilvl w:val="0"/>
          <w:numId w:val="0"/>
        </w:numPr>
        <w:ind w:left="1134"/>
        <w:rPr>
          <w:bCs/>
        </w:rPr>
      </w:pPr>
      <w:r>
        <w:tab/>
      </w:r>
      <w:r>
        <w:rPr>
          <w:i/>
        </w:rPr>
        <w:t xml:space="preserve">Congratulating </w:t>
      </w:r>
      <w:r>
        <w:rPr>
          <w:bCs/>
        </w:rPr>
        <w:t xml:space="preserve">Parties that have ratified, accepted or approved, or acceded to </w:t>
      </w:r>
      <w:r w:rsidRPr="004D0D99">
        <w:rPr>
          <w:bCs/>
        </w:rPr>
        <w:t xml:space="preserve">the Paris Agreement, </w:t>
      </w:r>
    </w:p>
    <w:p w14:paraId="1621432F" w14:textId="77777777" w:rsidR="00364659" w:rsidRDefault="00364659" w:rsidP="00364659">
      <w:pPr>
        <w:pStyle w:val="RegSingleTxtG"/>
        <w:numPr>
          <w:ilvl w:val="0"/>
          <w:numId w:val="0"/>
        </w:numPr>
        <w:ind w:left="1134"/>
      </w:pPr>
      <w:r>
        <w:tab/>
      </w:r>
      <w:r w:rsidRPr="004D0D99">
        <w:rPr>
          <w:i/>
        </w:rPr>
        <w:t xml:space="preserve">Underscoring </w:t>
      </w:r>
      <w:r w:rsidRPr="004D0D99">
        <w:t>the importance</w:t>
      </w:r>
      <w:r w:rsidRPr="004D0D99">
        <w:rPr>
          <w:i/>
        </w:rPr>
        <w:t xml:space="preserve"> </w:t>
      </w:r>
      <w:r w:rsidRPr="004D0D99">
        <w:t>of keeping the momentum and continuing to uphold the spirit and vision of the Paris Agreement,</w:t>
      </w:r>
      <w:r w:rsidRPr="004D0D99">
        <w:rPr>
          <w:i/>
        </w:rPr>
        <w:t xml:space="preserve"> </w:t>
      </w:r>
    </w:p>
    <w:p w14:paraId="151B303A" w14:textId="77777777" w:rsidR="00364659" w:rsidRDefault="00364659" w:rsidP="00364659">
      <w:pPr>
        <w:pStyle w:val="RegSingleTxtG"/>
        <w:numPr>
          <w:ilvl w:val="0"/>
          <w:numId w:val="0"/>
        </w:numPr>
        <w:ind w:left="1134"/>
      </w:pPr>
      <w:r>
        <w:rPr>
          <w:i/>
        </w:rPr>
        <w:tab/>
        <w:t>Highlight</w:t>
      </w:r>
      <w:r w:rsidRPr="004D0D99">
        <w:rPr>
          <w:i/>
        </w:rPr>
        <w:t xml:space="preserve">ing </w:t>
      </w:r>
      <w:r w:rsidRPr="004D0D99">
        <w:t>the urgency of the completion of the work prog</w:t>
      </w:r>
      <w:r>
        <w:t>ramme under the Paris Agreement,</w:t>
      </w:r>
    </w:p>
    <w:p w14:paraId="4F15E5DB" w14:textId="347BC2BD" w:rsidR="00364659" w:rsidRPr="001E2399" w:rsidRDefault="0032653E" w:rsidP="0032653E">
      <w:pPr>
        <w:pStyle w:val="RegHChG"/>
        <w:numPr>
          <w:ilvl w:val="0"/>
          <w:numId w:val="0"/>
        </w:numPr>
        <w:tabs>
          <w:tab w:val="left" w:pos="1135"/>
        </w:tabs>
        <w:ind w:left="1134" w:hanging="454"/>
      </w:pPr>
      <w:r w:rsidRPr="001E2399">
        <w:t>I.</w:t>
      </w:r>
      <w:r w:rsidRPr="001E2399">
        <w:tab/>
      </w:r>
      <w:r w:rsidR="00364659" w:rsidRPr="001E2399">
        <w:t xml:space="preserve">Completion of the work programme under the Paris Agreement </w:t>
      </w:r>
    </w:p>
    <w:p w14:paraId="161FD2A9" w14:textId="0E9991D1" w:rsidR="00364659" w:rsidRPr="001E2399" w:rsidRDefault="0032653E" w:rsidP="0032653E">
      <w:pPr>
        <w:pStyle w:val="RegSingleTxtG"/>
        <w:numPr>
          <w:ilvl w:val="0"/>
          <w:numId w:val="0"/>
        </w:numPr>
        <w:tabs>
          <w:tab w:val="left" w:pos="568"/>
        </w:tabs>
        <w:suppressAutoHyphens w:val="0"/>
        <w:spacing w:line="240" w:lineRule="auto"/>
        <w:ind w:left="1135"/>
        <w:rPr>
          <w:i/>
        </w:rPr>
      </w:pPr>
      <w:r w:rsidRPr="001E2399">
        <w:t>1.</w:t>
      </w:r>
      <w:r w:rsidRPr="001E2399">
        <w:tab/>
      </w:r>
      <w:r w:rsidR="00364659" w:rsidRPr="001E2399">
        <w:rPr>
          <w:i/>
        </w:rPr>
        <w:t xml:space="preserve">Welcomes </w:t>
      </w:r>
      <w:r w:rsidR="00364659" w:rsidRPr="00982874">
        <w:t>progress in the implementation of the work programme under the Paris Agreement</w:t>
      </w:r>
      <w:r w:rsidR="00364659">
        <w:t xml:space="preserve">, </w:t>
      </w:r>
      <w:r w:rsidR="00364659" w:rsidRPr="00D566EB">
        <w:t>described in decision 1/CMA.1 and decision 1/CP.22,</w:t>
      </w:r>
      <w:r w:rsidR="00364659" w:rsidRPr="00982874">
        <w:t xml:space="preserve"> </w:t>
      </w:r>
      <w:r w:rsidR="00364659">
        <w:t>by</w:t>
      </w:r>
      <w:r w:rsidR="00364659" w:rsidRPr="00982874">
        <w:t xml:space="preserve"> the Conference of the Parties, all three subsidiary bodies and the constituted bodies under the Convention;</w:t>
      </w:r>
      <w:r w:rsidR="00364659" w:rsidRPr="001E2399">
        <w:rPr>
          <w:i/>
        </w:rPr>
        <w:t xml:space="preserve"> </w:t>
      </w:r>
    </w:p>
    <w:p w14:paraId="5DE1578A" w14:textId="67E9C78E" w:rsidR="00364659" w:rsidRPr="00982874" w:rsidRDefault="0032653E" w:rsidP="0032653E">
      <w:pPr>
        <w:pStyle w:val="RegSingleTxtG"/>
        <w:numPr>
          <w:ilvl w:val="0"/>
          <w:numId w:val="0"/>
        </w:numPr>
        <w:tabs>
          <w:tab w:val="left" w:pos="568"/>
        </w:tabs>
        <w:suppressAutoHyphens w:val="0"/>
        <w:spacing w:line="240" w:lineRule="auto"/>
        <w:ind w:left="1135"/>
        <w:rPr>
          <w:i/>
        </w:rPr>
      </w:pPr>
      <w:r w:rsidRPr="00982874">
        <w:t>2.</w:t>
      </w:r>
      <w:r w:rsidRPr="00982874">
        <w:tab/>
      </w:r>
      <w:r w:rsidR="00364659" w:rsidRPr="00EC74F0">
        <w:rPr>
          <w:i/>
        </w:rPr>
        <w:t>Confirms</w:t>
      </w:r>
      <w:r w:rsidR="00364659" w:rsidRPr="001E2399">
        <w:rPr>
          <w:i/>
        </w:rPr>
        <w:t xml:space="preserve"> </w:t>
      </w:r>
      <w:r w:rsidR="00364659" w:rsidRPr="00982874">
        <w:t xml:space="preserve">its </w:t>
      </w:r>
      <w:r w:rsidR="00364659">
        <w:t>firm determination</w:t>
      </w:r>
      <w:r w:rsidR="00364659" w:rsidRPr="00982874">
        <w:t xml:space="preserve"> to oversee and accelerate the completion of the work programme under the Paris Agreement by </w:t>
      </w:r>
      <w:r w:rsidR="00364659">
        <w:t>its</w:t>
      </w:r>
      <w:r w:rsidR="00364659" w:rsidRPr="00982874">
        <w:t xml:space="preserve"> twenty-fourth session (December 2018) and to forward the outcome</w:t>
      </w:r>
      <w:r w:rsidR="00364659">
        <w:t>s</w:t>
      </w:r>
      <w:r w:rsidR="00364659" w:rsidRPr="00982874">
        <w:t xml:space="preserve"> for consideration and adoption </w:t>
      </w:r>
      <w:r w:rsidR="00364659">
        <w:t>by</w:t>
      </w:r>
      <w:r w:rsidR="00364659" w:rsidRPr="00982874">
        <w:t xml:space="preserve"> the Conference of the Parties serving as the meeting of the Parties to the Paris Agreement at the third part of its first session (December 2018);</w:t>
      </w:r>
    </w:p>
    <w:p w14:paraId="28E8212D" w14:textId="0F19B2B7" w:rsidR="00364659" w:rsidRPr="001E2399" w:rsidRDefault="0032653E" w:rsidP="0032653E">
      <w:pPr>
        <w:pStyle w:val="RegSingleTxtG"/>
        <w:numPr>
          <w:ilvl w:val="0"/>
          <w:numId w:val="0"/>
        </w:numPr>
        <w:tabs>
          <w:tab w:val="left" w:pos="568"/>
        </w:tabs>
        <w:suppressAutoHyphens w:val="0"/>
        <w:spacing w:line="240" w:lineRule="auto"/>
        <w:ind w:left="1135"/>
      </w:pPr>
      <w:r w:rsidRPr="001E2399">
        <w:t>3.</w:t>
      </w:r>
      <w:r w:rsidRPr="001E2399">
        <w:tab/>
      </w:r>
      <w:r w:rsidR="00364659" w:rsidRPr="001E2399">
        <w:rPr>
          <w:i/>
        </w:rPr>
        <w:t xml:space="preserve">Requests </w:t>
      </w:r>
      <w:r w:rsidR="00364659" w:rsidRPr="001E2399">
        <w:t>the secretariat to devel</w:t>
      </w:r>
      <w:r w:rsidR="00364659">
        <w:t>op an online platform that will</w:t>
      </w:r>
      <w:r w:rsidR="00364659" w:rsidRPr="001E2399">
        <w:t xml:space="preserve"> </w:t>
      </w:r>
      <w:r w:rsidR="00364659">
        <w:t xml:space="preserve">provide </w:t>
      </w:r>
      <w:r w:rsidR="00364659" w:rsidRPr="001E2399">
        <w:t>an overview</w:t>
      </w:r>
      <w:r w:rsidR="00364659">
        <w:t>,</w:t>
      </w:r>
      <w:r w:rsidR="00364659" w:rsidRPr="006B2A74">
        <w:t xml:space="preserve"> </w:t>
      </w:r>
      <w:r w:rsidR="00364659" w:rsidRPr="001E2399">
        <w:t>based on the list contained in annex</w:t>
      </w:r>
      <w:r w:rsidR="00364659">
        <w:t xml:space="preserve"> I, with weblinks to complete</w:t>
      </w:r>
      <w:r w:rsidR="00364659" w:rsidRPr="001E2399">
        <w:t xml:space="preserve"> information and references on the work of the Conference of the Parties and the subsidiary and constituted bodies</w:t>
      </w:r>
      <w:r w:rsidR="00364659" w:rsidRPr="001E2399" w:rsidDel="00AF6E66">
        <w:t xml:space="preserve"> </w:t>
      </w:r>
      <w:r w:rsidR="00364659" w:rsidRPr="001E2399">
        <w:t>on the work programme under the Paris Agreement</w:t>
      </w:r>
      <w:r w:rsidR="00364659" w:rsidRPr="006B2A74">
        <w:t>;</w:t>
      </w:r>
      <w:r w:rsidR="00794A6F">
        <w:rPr>
          <w:i/>
        </w:rPr>
        <w:t xml:space="preserve"> </w:t>
      </w:r>
    </w:p>
    <w:p w14:paraId="6C4D7F3B" w14:textId="2420884D" w:rsidR="00364659" w:rsidRPr="001E2399" w:rsidRDefault="0032653E" w:rsidP="0032653E">
      <w:pPr>
        <w:pStyle w:val="RegSingleTxtG"/>
        <w:numPr>
          <w:ilvl w:val="0"/>
          <w:numId w:val="0"/>
        </w:numPr>
        <w:tabs>
          <w:tab w:val="left" w:pos="568"/>
        </w:tabs>
        <w:suppressAutoHyphens w:val="0"/>
        <w:spacing w:line="240" w:lineRule="auto"/>
        <w:ind w:left="1135"/>
      </w:pPr>
      <w:r w:rsidRPr="001E2399">
        <w:t>4.</w:t>
      </w:r>
      <w:r w:rsidRPr="001E2399">
        <w:tab/>
      </w:r>
      <w:r w:rsidR="00364659" w:rsidRPr="001E2399">
        <w:rPr>
          <w:i/>
        </w:rPr>
        <w:t xml:space="preserve">Reiterates </w:t>
      </w:r>
      <w:r w:rsidR="00364659">
        <w:t>its</w:t>
      </w:r>
      <w:r w:rsidR="00364659" w:rsidRPr="001E2399">
        <w:t xml:space="preserve"> request to the subsidiary and constituted bodies to accelerate their work on the work programme under the Paris Agreement and to forward the outcomes to the Conference of the Parties at its twenty-fourth session at the latest;</w:t>
      </w:r>
      <w:r w:rsidR="00364659">
        <w:rPr>
          <w:rStyle w:val="FootnoteReference"/>
        </w:rPr>
        <w:footnoteReference w:id="2"/>
      </w:r>
    </w:p>
    <w:p w14:paraId="7416EA00" w14:textId="57503BD6" w:rsidR="00364659" w:rsidRPr="001E2399" w:rsidRDefault="0032653E" w:rsidP="0032653E">
      <w:pPr>
        <w:pStyle w:val="RegSingleTxtG"/>
        <w:numPr>
          <w:ilvl w:val="0"/>
          <w:numId w:val="0"/>
        </w:numPr>
        <w:tabs>
          <w:tab w:val="left" w:pos="568"/>
        </w:tabs>
        <w:suppressAutoHyphens w:val="0"/>
        <w:spacing w:line="240" w:lineRule="auto"/>
        <w:ind w:left="1135"/>
        <w:rPr>
          <w:i/>
        </w:rPr>
      </w:pPr>
      <w:bookmarkStart w:id="1" w:name="_Ref498678199"/>
      <w:r w:rsidRPr="001E2399">
        <w:t>5.</w:t>
      </w:r>
      <w:r w:rsidRPr="001E2399">
        <w:tab/>
      </w:r>
      <w:r w:rsidR="00364659" w:rsidRPr="001E2399">
        <w:rPr>
          <w:i/>
        </w:rPr>
        <w:t xml:space="preserve">Recognizes </w:t>
      </w:r>
      <w:r w:rsidR="00364659" w:rsidRPr="0021165C">
        <w:rPr>
          <w:lang w:val="en-US"/>
        </w:rPr>
        <w:t xml:space="preserve">that an additional negotiating session </w:t>
      </w:r>
      <w:r w:rsidR="00364659">
        <w:rPr>
          <w:lang w:val="en-US"/>
        </w:rPr>
        <w:t xml:space="preserve">for all three subsidiary bodies </w:t>
      </w:r>
      <w:r w:rsidR="00364659" w:rsidRPr="0021165C">
        <w:rPr>
          <w:lang w:val="en-US"/>
        </w:rPr>
        <w:t xml:space="preserve">may be needed </w:t>
      </w:r>
      <w:r w:rsidR="00364659" w:rsidRPr="001E2399">
        <w:t xml:space="preserve">between the forty-eighth sessions of the subsidiary bodies (April–May 2018) and the twenty-fourth session of the Conference of the Parties, to </w:t>
      </w:r>
      <w:r w:rsidR="00364659">
        <w:t>facilitate the timely</w:t>
      </w:r>
      <w:r w:rsidR="00364659" w:rsidRPr="001E2399">
        <w:t xml:space="preserve"> completion of the work programme under the Paris Agreement by the twenty-fourth session of the Conference of the Parties, in accordance with decisions 1/CP.22 and 1/CMA.1;</w:t>
      </w:r>
      <w:bookmarkEnd w:id="1"/>
    </w:p>
    <w:p w14:paraId="2E1BEDAC" w14:textId="16A872FE" w:rsidR="00364659" w:rsidRPr="001E2399" w:rsidRDefault="0032653E" w:rsidP="0032653E">
      <w:pPr>
        <w:pStyle w:val="RegSingleTxtG"/>
        <w:numPr>
          <w:ilvl w:val="0"/>
          <w:numId w:val="0"/>
        </w:numPr>
        <w:tabs>
          <w:tab w:val="left" w:pos="568"/>
        </w:tabs>
        <w:suppressAutoHyphens w:val="0"/>
        <w:spacing w:line="240" w:lineRule="auto"/>
        <w:ind w:left="1135"/>
      </w:pPr>
      <w:r w:rsidRPr="001E2399">
        <w:t>6.</w:t>
      </w:r>
      <w:r w:rsidRPr="001E2399">
        <w:tab/>
      </w:r>
      <w:r w:rsidR="00364659">
        <w:rPr>
          <w:i/>
        </w:rPr>
        <w:t>Decides</w:t>
      </w:r>
      <w:r w:rsidR="00364659" w:rsidRPr="001E2399">
        <w:t xml:space="preserve"> that </w:t>
      </w:r>
      <w:r w:rsidR="00364659">
        <w:t>its President,</w:t>
      </w:r>
      <w:r w:rsidR="00364659" w:rsidRPr="001E2399">
        <w:t xml:space="preserve"> in consultation with the </w:t>
      </w:r>
      <w:r w:rsidR="00364659">
        <w:t xml:space="preserve">Bureau of the Conference of the Parties and </w:t>
      </w:r>
      <w:r w:rsidR="00364659" w:rsidRPr="00615B16">
        <w:t>the Co-Chairs of the Ad Hoc Working Group on the Paris Agreement,</w:t>
      </w:r>
      <w:r w:rsidR="00364659" w:rsidRPr="001E2399">
        <w:t xml:space="preserve"> </w:t>
      </w:r>
      <w:r w:rsidR="00364659">
        <w:t xml:space="preserve">will assess the need for the additional negotiating session referred to in paragraph </w:t>
      </w:r>
      <w:r w:rsidR="00364659" w:rsidRPr="00A42FE9">
        <w:fldChar w:fldCharType="begin"/>
      </w:r>
      <w:r w:rsidR="00364659" w:rsidRPr="00A42FE9">
        <w:instrText xml:space="preserve"> REF _Ref498678199 \r \h  \* MERGEFORMAT </w:instrText>
      </w:r>
      <w:r w:rsidR="00364659" w:rsidRPr="00A42FE9">
        <w:fldChar w:fldCharType="separate"/>
      </w:r>
      <w:r w:rsidR="00E50C89">
        <w:t>5</w:t>
      </w:r>
      <w:r w:rsidR="00364659" w:rsidRPr="00A42FE9">
        <w:fldChar w:fldCharType="end"/>
      </w:r>
      <w:r w:rsidR="00364659">
        <w:t xml:space="preserve"> above</w:t>
      </w:r>
      <w:r w:rsidR="00364659" w:rsidRPr="001E2399">
        <w:t xml:space="preserve">, </w:t>
      </w:r>
      <w:r w:rsidR="00364659">
        <w:t xml:space="preserve">on the basis of the outcomes of the forty-eighth sessions of the </w:t>
      </w:r>
      <w:r w:rsidR="00364659" w:rsidRPr="00C312E3">
        <w:t>Subsidiary Body for Scientific and Technological Advice</w:t>
      </w:r>
      <w:r w:rsidR="00364659">
        <w:t xml:space="preserve"> and </w:t>
      </w:r>
      <w:r w:rsidR="00C43656">
        <w:t xml:space="preserve">the </w:t>
      </w:r>
      <w:r w:rsidR="00364659">
        <w:t xml:space="preserve">Subsidiary Body for Implementation and the fifth part of the first session of the Ad Hoc Working Group on the Paris Agreement </w:t>
      </w:r>
      <w:r w:rsidR="00364659" w:rsidRPr="001E2399">
        <w:t>(April–May 2018)</w:t>
      </w:r>
      <w:r w:rsidR="00364659">
        <w:t>, and guide the secretariat accordingly</w:t>
      </w:r>
      <w:r w:rsidR="00364659" w:rsidRPr="001E2399">
        <w:t>;</w:t>
      </w:r>
    </w:p>
    <w:p w14:paraId="0079BA14" w14:textId="572DE49E" w:rsidR="00364659" w:rsidRDefault="0032653E" w:rsidP="0032653E">
      <w:pPr>
        <w:pStyle w:val="RegSingleTxtG"/>
        <w:numPr>
          <w:ilvl w:val="0"/>
          <w:numId w:val="0"/>
        </w:numPr>
        <w:tabs>
          <w:tab w:val="left" w:pos="568"/>
        </w:tabs>
        <w:suppressAutoHyphens w:val="0"/>
        <w:spacing w:line="240" w:lineRule="auto"/>
        <w:ind w:left="1135"/>
      </w:pPr>
      <w:r>
        <w:t>7.</w:t>
      </w:r>
      <w:r>
        <w:tab/>
      </w:r>
      <w:r w:rsidR="00364659">
        <w:rPr>
          <w:i/>
        </w:rPr>
        <w:t>A</w:t>
      </w:r>
      <w:r w:rsidR="00364659" w:rsidRPr="001E2399">
        <w:rPr>
          <w:i/>
        </w:rPr>
        <w:t xml:space="preserve">grees </w:t>
      </w:r>
      <w:r w:rsidR="00364659" w:rsidRPr="001E2399">
        <w:t>that</w:t>
      </w:r>
      <w:r w:rsidR="00364659">
        <w:t>,</w:t>
      </w:r>
      <w:r w:rsidR="00364659" w:rsidRPr="001E2399">
        <w:t xml:space="preserve"> </w:t>
      </w:r>
      <w:r w:rsidR="00364659">
        <w:t xml:space="preserve">should </w:t>
      </w:r>
      <w:r w:rsidR="00364659" w:rsidRPr="001E2399">
        <w:t xml:space="preserve">the additional negotiating </w:t>
      </w:r>
      <w:r w:rsidR="00364659">
        <w:t>session</w:t>
      </w:r>
      <w:r w:rsidR="00364659" w:rsidRPr="001E2399">
        <w:t xml:space="preserve"> referred to in paragraph </w:t>
      </w:r>
      <w:r w:rsidR="00364659" w:rsidRPr="00A42FE9">
        <w:fldChar w:fldCharType="begin"/>
      </w:r>
      <w:r w:rsidR="00364659" w:rsidRPr="00A42FE9">
        <w:instrText xml:space="preserve"> REF _Ref498678199 \n \h  \* MERGEFORMAT </w:instrText>
      </w:r>
      <w:r w:rsidR="00364659" w:rsidRPr="00A42FE9">
        <w:fldChar w:fldCharType="separate"/>
      </w:r>
      <w:r w:rsidR="00E50C89">
        <w:t>5</w:t>
      </w:r>
      <w:r w:rsidR="00364659" w:rsidRPr="00A42FE9">
        <w:fldChar w:fldCharType="end"/>
      </w:r>
      <w:r w:rsidR="00364659" w:rsidRPr="001E2399">
        <w:t xml:space="preserve"> above </w:t>
      </w:r>
      <w:r w:rsidR="00364659">
        <w:t>be needed, it would address matters relating to the</w:t>
      </w:r>
      <w:r w:rsidR="00364659" w:rsidRPr="001E2399">
        <w:t xml:space="preserve"> work prog</w:t>
      </w:r>
      <w:r w:rsidR="00364659">
        <w:t>ramme under the Paris Agreement</w:t>
      </w:r>
      <w:r w:rsidR="00364659" w:rsidRPr="001E2399">
        <w:t xml:space="preserve"> </w:t>
      </w:r>
      <w:r w:rsidR="00364659">
        <w:t>being considered by the subsidiary bodies;</w:t>
      </w:r>
    </w:p>
    <w:p w14:paraId="58E43588" w14:textId="139F0921" w:rsidR="00364659" w:rsidRPr="001E2399" w:rsidRDefault="0032653E" w:rsidP="0032653E">
      <w:pPr>
        <w:pStyle w:val="RegSingleTxtG"/>
        <w:numPr>
          <w:ilvl w:val="0"/>
          <w:numId w:val="0"/>
        </w:numPr>
        <w:tabs>
          <w:tab w:val="left" w:pos="568"/>
        </w:tabs>
        <w:suppressAutoHyphens w:val="0"/>
        <w:spacing w:line="240" w:lineRule="auto"/>
        <w:ind w:left="1135"/>
      </w:pPr>
      <w:r w:rsidRPr="001E2399">
        <w:t>8.</w:t>
      </w:r>
      <w:r w:rsidRPr="001E2399">
        <w:tab/>
      </w:r>
      <w:r w:rsidR="00364659" w:rsidRPr="001B55D1">
        <w:rPr>
          <w:i/>
        </w:rPr>
        <w:t>Also agrees</w:t>
      </w:r>
      <w:r w:rsidR="00364659">
        <w:t xml:space="preserve"> that the </w:t>
      </w:r>
      <w:r w:rsidR="00364659" w:rsidRPr="001E2399">
        <w:t xml:space="preserve">additional negotiating </w:t>
      </w:r>
      <w:r w:rsidR="00364659">
        <w:t>session</w:t>
      </w:r>
      <w:r w:rsidR="00364659" w:rsidRPr="001E2399">
        <w:t xml:space="preserve"> referred to in paragraph </w:t>
      </w:r>
      <w:r w:rsidR="00364659" w:rsidRPr="00A42FE9">
        <w:fldChar w:fldCharType="begin"/>
      </w:r>
      <w:r w:rsidR="00364659" w:rsidRPr="00A42FE9">
        <w:instrText xml:space="preserve"> REF _Ref498678199 \n \h  \* MERGEFORMAT </w:instrText>
      </w:r>
      <w:r w:rsidR="00364659" w:rsidRPr="00A42FE9">
        <w:fldChar w:fldCharType="separate"/>
      </w:r>
      <w:r w:rsidR="00E50C89">
        <w:t>5</w:t>
      </w:r>
      <w:r w:rsidR="00364659" w:rsidRPr="00A42FE9">
        <w:fldChar w:fldCharType="end"/>
      </w:r>
      <w:r w:rsidR="00364659" w:rsidRPr="001E2399">
        <w:t xml:space="preserve"> above</w:t>
      </w:r>
      <w:r w:rsidR="00364659">
        <w:t xml:space="preserve"> </w:t>
      </w:r>
      <w:r w:rsidR="00364659" w:rsidRPr="001E2399">
        <w:t>should be organized in a cost-effective manner</w:t>
      </w:r>
      <w:r w:rsidR="00364659">
        <w:t xml:space="preserve">, </w:t>
      </w:r>
      <w:r w:rsidR="00364659" w:rsidRPr="000A5E25">
        <w:t xml:space="preserve">including with respect to the length of the session and related logistical matters such as interpretation and translation into </w:t>
      </w:r>
      <w:r w:rsidR="00364659">
        <w:t xml:space="preserve">the official </w:t>
      </w:r>
      <w:r w:rsidR="00364659" w:rsidRPr="000A5E25">
        <w:lastRenderedPageBreak/>
        <w:t>United Nations languages, while also allowing for the</w:t>
      </w:r>
      <w:r w:rsidR="00364659" w:rsidRPr="001E2399">
        <w:t xml:space="preserve"> effective participation of delegates from developing countries;</w:t>
      </w:r>
    </w:p>
    <w:p w14:paraId="45E678F3" w14:textId="6FCC81DE" w:rsidR="00364659" w:rsidRPr="001E2399" w:rsidRDefault="0032653E" w:rsidP="0032653E">
      <w:pPr>
        <w:pStyle w:val="RegSingleTxtG"/>
        <w:numPr>
          <w:ilvl w:val="0"/>
          <w:numId w:val="0"/>
        </w:numPr>
        <w:tabs>
          <w:tab w:val="left" w:pos="568"/>
        </w:tabs>
        <w:suppressAutoHyphens w:val="0"/>
        <w:spacing w:line="240" w:lineRule="auto"/>
        <w:ind w:left="1135"/>
      </w:pPr>
      <w:r w:rsidRPr="001E2399">
        <w:t>9.</w:t>
      </w:r>
      <w:r w:rsidRPr="001E2399">
        <w:tab/>
      </w:r>
      <w:r w:rsidR="00364659" w:rsidRPr="001E2399">
        <w:rPr>
          <w:i/>
        </w:rPr>
        <w:t xml:space="preserve">Requests </w:t>
      </w:r>
      <w:r w:rsidR="00364659" w:rsidRPr="001E2399">
        <w:t xml:space="preserve">the </w:t>
      </w:r>
      <w:r w:rsidR="00364659">
        <w:t xml:space="preserve">secretariat to make provisional and, if required, final </w:t>
      </w:r>
      <w:r w:rsidR="00364659" w:rsidRPr="001E2399">
        <w:t xml:space="preserve">arrangements for the </w:t>
      </w:r>
      <w:r w:rsidR="00364659" w:rsidRPr="00FF7A7E">
        <w:t xml:space="preserve">additional negotiating </w:t>
      </w:r>
      <w:r w:rsidR="00364659">
        <w:t>session</w:t>
      </w:r>
      <w:r w:rsidR="00364659" w:rsidRPr="00FF7A7E">
        <w:t xml:space="preserve"> referred to in paragraph </w:t>
      </w:r>
      <w:r w:rsidR="00364659" w:rsidRPr="00A42FE9">
        <w:fldChar w:fldCharType="begin"/>
      </w:r>
      <w:r w:rsidR="00364659" w:rsidRPr="00A42FE9">
        <w:instrText xml:space="preserve"> REF _Ref498678199 \n \h  \* MERGEFORMAT </w:instrText>
      </w:r>
      <w:r w:rsidR="00364659" w:rsidRPr="00A42FE9">
        <w:fldChar w:fldCharType="separate"/>
      </w:r>
      <w:r w:rsidR="00E50C89">
        <w:t>5</w:t>
      </w:r>
      <w:r w:rsidR="00364659" w:rsidRPr="00A42FE9">
        <w:fldChar w:fldCharType="end"/>
      </w:r>
      <w:r w:rsidR="00364659" w:rsidRPr="00FF7A7E">
        <w:t xml:space="preserve"> above</w:t>
      </w:r>
      <w:r w:rsidR="00364659" w:rsidRPr="001E2399">
        <w:t xml:space="preserve">, </w:t>
      </w:r>
      <w:r w:rsidR="00364659">
        <w:t xml:space="preserve">and to finalize the arrangements should the additional negotiating session be confirmed, </w:t>
      </w:r>
      <w:r w:rsidR="00364659" w:rsidRPr="001E2399">
        <w:t>subject to the availability of financial resources;</w:t>
      </w:r>
    </w:p>
    <w:p w14:paraId="35BADFB7" w14:textId="1BD9061F" w:rsidR="00364659" w:rsidRPr="001E2399" w:rsidRDefault="0032653E" w:rsidP="0032653E">
      <w:pPr>
        <w:pStyle w:val="RegHChG"/>
        <w:numPr>
          <w:ilvl w:val="0"/>
          <w:numId w:val="0"/>
        </w:numPr>
        <w:tabs>
          <w:tab w:val="left" w:pos="1135"/>
        </w:tabs>
        <w:ind w:left="1134" w:hanging="454"/>
      </w:pPr>
      <w:r w:rsidRPr="001E2399">
        <w:t>II.</w:t>
      </w:r>
      <w:r w:rsidRPr="001E2399">
        <w:tab/>
      </w:r>
      <w:r w:rsidR="00364659" w:rsidRPr="001E2399">
        <w:t xml:space="preserve">Talanoa </w:t>
      </w:r>
      <w:r w:rsidR="002657E2">
        <w:t>D</w:t>
      </w:r>
      <w:r w:rsidR="00364659" w:rsidRPr="001E2399">
        <w:t>ialogue</w:t>
      </w:r>
    </w:p>
    <w:p w14:paraId="5D25365C" w14:textId="003C1407" w:rsidR="00364659" w:rsidRPr="005D128A" w:rsidRDefault="0032653E" w:rsidP="0032653E">
      <w:pPr>
        <w:pStyle w:val="RegSingleTxtG"/>
        <w:numPr>
          <w:ilvl w:val="0"/>
          <w:numId w:val="0"/>
        </w:numPr>
        <w:tabs>
          <w:tab w:val="left" w:pos="568"/>
        </w:tabs>
        <w:suppressAutoHyphens w:val="0"/>
        <w:spacing w:line="240" w:lineRule="auto"/>
        <w:ind w:left="1135"/>
        <w:rPr>
          <w:i/>
        </w:rPr>
      </w:pPr>
      <w:r w:rsidRPr="005D128A">
        <w:t>10.</w:t>
      </w:r>
      <w:r w:rsidRPr="005D128A">
        <w:tab/>
      </w:r>
      <w:r w:rsidR="00364659" w:rsidRPr="005D128A">
        <w:rPr>
          <w:i/>
        </w:rPr>
        <w:t>Welcomes with appreciation</w:t>
      </w:r>
      <w:r w:rsidR="00364659" w:rsidRPr="008E656C">
        <w:t xml:space="preserve"> </w:t>
      </w:r>
      <w:r w:rsidR="00364659" w:rsidRPr="003B6037">
        <w:t xml:space="preserve">the </w:t>
      </w:r>
      <w:r w:rsidR="00364659">
        <w:t xml:space="preserve">design </w:t>
      </w:r>
      <w:r w:rsidR="00364659" w:rsidRPr="003B6037">
        <w:t xml:space="preserve">of the </w:t>
      </w:r>
      <w:r w:rsidR="00364659" w:rsidRPr="00F55D5D">
        <w:t xml:space="preserve">2018 facilitative dialogue, </w:t>
      </w:r>
      <w:r w:rsidR="00364659">
        <w:t xml:space="preserve">to be known as </w:t>
      </w:r>
      <w:r w:rsidR="00364659" w:rsidRPr="00F55D5D">
        <w:t>the</w:t>
      </w:r>
      <w:r w:rsidR="00364659">
        <w:t xml:space="preserve"> </w:t>
      </w:r>
      <w:r w:rsidR="00364659" w:rsidRPr="003B6037">
        <w:t xml:space="preserve">Talanoa </w:t>
      </w:r>
      <w:r w:rsidR="002657E2">
        <w:t>D</w:t>
      </w:r>
      <w:r w:rsidR="00364659" w:rsidRPr="003B6037">
        <w:t>ialogue</w:t>
      </w:r>
      <w:r w:rsidR="00364659">
        <w:t xml:space="preserve">, </w:t>
      </w:r>
      <w:r w:rsidR="00364659" w:rsidRPr="003B6037">
        <w:t xml:space="preserve">announced </w:t>
      </w:r>
      <w:r w:rsidR="00364659">
        <w:t xml:space="preserve">at the twenty-third session of the Conference of the Parties </w:t>
      </w:r>
      <w:r w:rsidR="00364659" w:rsidRPr="003B6037">
        <w:t>by the President</w:t>
      </w:r>
      <w:r w:rsidR="00364659">
        <w:t>s</w:t>
      </w:r>
      <w:r w:rsidR="00364659" w:rsidRPr="003B6037">
        <w:t xml:space="preserve"> of the twenty-second and </w:t>
      </w:r>
      <w:r w:rsidR="00364659">
        <w:t xml:space="preserve">twenty-third sessions </w:t>
      </w:r>
      <w:r w:rsidR="00364659" w:rsidRPr="003B6037">
        <w:t>of the Conference of the</w:t>
      </w:r>
      <w:r w:rsidR="00364659">
        <w:t xml:space="preserve"> Parties, as contained in the informal note by the Presidencies of the twenty-second and twenty-third sessions of the Conference of the Parties (see annex II)</w:t>
      </w:r>
      <w:r w:rsidR="00364659" w:rsidRPr="003B6037">
        <w:t>;</w:t>
      </w:r>
    </w:p>
    <w:p w14:paraId="77A3612D" w14:textId="4D2E31DF" w:rsidR="00364659" w:rsidRPr="005D128A" w:rsidRDefault="0032653E" w:rsidP="0032653E">
      <w:pPr>
        <w:pStyle w:val="RegSingleTxtG"/>
        <w:numPr>
          <w:ilvl w:val="0"/>
          <w:numId w:val="0"/>
        </w:numPr>
        <w:tabs>
          <w:tab w:val="left" w:pos="568"/>
        </w:tabs>
        <w:suppressAutoHyphens w:val="0"/>
        <w:spacing w:line="240" w:lineRule="auto"/>
        <w:ind w:left="1135"/>
        <w:rPr>
          <w:i/>
        </w:rPr>
      </w:pPr>
      <w:r w:rsidRPr="005D128A">
        <w:t>11.</w:t>
      </w:r>
      <w:r w:rsidRPr="005D128A">
        <w:tab/>
      </w:r>
      <w:r w:rsidR="00364659" w:rsidRPr="005D128A">
        <w:rPr>
          <w:i/>
        </w:rPr>
        <w:t xml:space="preserve">Launches </w:t>
      </w:r>
      <w:r w:rsidR="00364659">
        <w:t xml:space="preserve">the Talanoa </w:t>
      </w:r>
      <w:r w:rsidR="002657E2">
        <w:t>D</w:t>
      </w:r>
      <w:r w:rsidR="00364659">
        <w:t>ialogue, which will start in January 2018;</w:t>
      </w:r>
    </w:p>
    <w:p w14:paraId="51D401EB" w14:textId="2E8C087B" w:rsidR="00364659" w:rsidRDefault="0032653E" w:rsidP="0032653E">
      <w:pPr>
        <w:pStyle w:val="RegHChG"/>
        <w:numPr>
          <w:ilvl w:val="0"/>
          <w:numId w:val="0"/>
        </w:numPr>
        <w:tabs>
          <w:tab w:val="left" w:pos="1135"/>
        </w:tabs>
        <w:ind w:left="1134" w:hanging="454"/>
      </w:pPr>
      <w:r>
        <w:t>III.</w:t>
      </w:r>
      <w:r>
        <w:tab/>
      </w:r>
      <w:r w:rsidR="00364659">
        <w:t xml:space="preserve">Pre-2020 implementation and ambition </w:t>
      </w:r>
    </w:p>
    <w:p w14:paraId="4D5A76E7" w14:textId="77777777" w:rsidR="00364659" w:rsidRDefault="00364659" w:rsidP="00364659">
      <w:pPr>
        <w:spacing w:before="120"/>
        <w:ind w:left="1134" w:right="1174" w:firstLine="567"/>
        <w:jc w:val="both"/>
      </w:pPr>
      <w:r w:rsidRPr="00C312E3">
        <w:rPr>
          <w:i/>
        </w:rPr>
        <w:t xml:space="preserve">Noting </w:t>
      </w:r>
      <w:r w:rsidRPr="00C312E3">
        <w:t>that all Parties share the view that pre-2020 implementation and ambition are of utmost importance,</w:t>
      </w:r>
    </w:p>
    <w:p w14:paraId="2290504A" w14:textId="77777777" w:rsidR="00364659" w:rsidRDefault="00364659" w:rsidP="00364659">
      <w:pPr>
        <w:spacing w:before="120"/>
        <w:ind w:left="1134" w:right="1174" w:firstLine="567"/>
        <w:jc w:val="both"/>
      </w:pPr>
      <w:r w:rsidRPr="00065BD1">
        <w:rPr>
          <w:i/>
        </w:rPr>
        <w:t>Emphasizing</w:t>
      </w:r>
      <w:r>
        <w:rPr>
          <w:i/>
        </w:rPr>
        <w:t xml:space="preserve"> </w:t>
      </w:r>
      <w:r>
        <w:t>that enhanced pre-2020 ambition can lay a solid foundation for enhanced post-2020 ambition,</w:t>
      </w:r>
    </w:p>
    <w:p w14:paraId="1564EE98" w14:textId="77777777" w:rsidR="00364659" w:rsidRPr="00C312E3" w:rsidRDefault="00364659" w:rsidP="00364659">
      <w:pPr>
        <w:spacing w:before="120"/>
        <w:ind w:left="1134" w:right="1174" w:firstLine="567"/>
        <w:jc w:val="both"/>
        <w:rPr>
          <w:rFonts w:ascii="TimesNewRoman" w:hAnsi="TimesNewRoman" w:cs="TimesNewRoman"/>
        </w:rPr>
      </w:pPr>
      <w:r w:rsidRPr="00C312E3">
        <w:rPr>
          <w:rFonts w:ascii="TimesNewRoman" w:hAnsi="TimesNewRoman" w:cs="TimesNewRoman"/>
          <w:i/>
        </w:rPr>
        <w:t xml:space="preserve">Recognizing </w:t>
      </w:r>
      <w:r w:rsidRPr="00C312E3">
        <w:rPr>
          <w:rFonts w:ascii="TimesNewRoman" w:hAnsi="TimesNewRoman" w:cs="TimesNewRoman"/>
        </w:rPr>
        <w:t xml:space="preserve">the importance of </w:t>
      </w:r>
      <w:r>
        <w:rPr>
          <w:rFonts w:ascii="TimesNewRoman" w:hAnsi="TimesNewRoman" w:cs="TimesNewRoman"/>
        </w:rPr>
        <w:t>continued</w:t>
      </w:r>
      <w:r w:rsidRPr="00C312E3">
        <w:rPr>
          <w:rFonts w:ascii="TimesNewRoman" w:hAnsi="TimesNewRoman" w:cs="TimesNewRoman"/>
        </w:rPr>
        <w:t xml:space="preserve"> consideration by the Conference of the Parties of the </w:t>
      </w:r>
      <w:r w:rsidRPr="00C312E3">
        <w:t xml:space="preserve">efforts of Parties </w:t>
      </w:r>
      <w:r>
        <w:t>in relation to</w:t>
      </w:r>
      <w:r w:rsidRPr="00C312E3">
        <w:t xml:space="preserve"> action and support in the pre-2020 period</w:t>
      </w:r>
      <w:r w:rsidRPr="00C312E3">
        <w:rPr>
          <w:rFonts w:ascii="TimesNewRoman" w:hAnsi="TimesNewRoman" w:cs="TimesNewRoman"/>
        </w:rPr>
        <w:t>,</w:t>
      </w:r>
    </w:p>
    <w:p w14:paraId="5C21EA2D" w14:textId="77777777" w:rsidR="00364659" w:rsidRPr="00C312E3" w:rsidRDefault="00364659" w:rsidP="00364659">
      <w:pPr>
        <w:spacing w:before="120"/>
        <w:ind w:left="1134" w:right="1174" w:firstLine="567"/>
        <w:jc w:val="both"/>
        <w:rPr>
          <w:rFonts w:ascii="TimesNewRoman" w:hAnsi="TimesNewRoman" w:cs="TimesNewRoman"/>
        </w:rPr>
      </w:pPr>
      <w:r w:rsidRPr="00C312E3">
        <w:rPr>
          <w:rFonts w:ascii="TimesNewRoman" w:hAnsi="TimesNewRoman" w:cs="TimesNewRoman"/>
          <w:i/>
        </w:rPr>
        <w:t xml:space="preserve">Also recognizing </w:t>
      </w:r>
      <w:r w:rsidRPr="00C312E3">
        <w:rPr>
          <w:rFonts w:ascii="TimesNewRoman" w:hAnsi="TimesNewRoman" w:cs="TimesNewRoman"/>
        </w:rPr>
        <w:t>the importance</w:t>
      </w:r>
      <w:r w:rsidRPr="00C312E3">
        <w:rPr>
          <w:rFonts w:ascii="TimesNewRoman" w:hAnsi="TimesNewRoman" w:cs="TimesNewRoman"/>
          <w:i/>
        </w:rPr>
        <w:t xml:space="preserve"> </w:t>
      </w:r>
      <w:r w:rsidRPr="00C312E3">
        <w:rPr>
          <w:rFonts w:ascii="TimesNewRoman" w:hAnsi="TimesNewRoman" w:cs="TimesNewRoman"/>
        </w:rPr>
        <w:t>of bringing visibility to and creating a more coherent understanding of the pre-2020 work of the UNFCCC bodies,</w:t>
      </w:r>
    </w:p>
    <w:p w14:paraId="1C219997" w14:textId="77777777" w:rsidR="00364659" w:rsidRPr="00C312E3" w:rsidRDefault="00364659" w:rsidP="00364659">
      <w:pPr>
        <w:spacing w:before="120"/>
        <w:ind w:left="1134" w:right="1174" w:firstLine="567"/>
        <w:jc w:val="both"/>
        <w:rPr>
          <w:i/>
        </w:rPr>
      </w:pPr>
      <w:r w:rsidRPr="00C312E3">
        <w:rPr>
          <w:i/>
        </w:rPr>
        <w:t>Further recognizing</w:t>
      </w:r>
      <w:r w:rsidRPr="00C312E3">
        <w:t xml:space="preserve"> the commitment undertaken by developed country Parties to a goal of mobilizing jointly USD 100 billion annually by 2020 to address the needs of developing countries in the context of meaningful mitigation actions and transparency on implementation,</w:t>
      </w:r>
    </w:p>
    <w:p w14:paraId="500DF625" w14:textId="77777777" w:rsidR="00364659" w:rsidRPr="00C312E3" w:rsidRDefault="00364659" w:rsidP="00364659">
      <w:pPr>
        <w:spacing w:before="120"/>
        <w:ind w:left="1134" w:right="1174" w:firstLine="567"/>
        <w:jc w:val="both"/>
      </w:pPr>
      <w:r w:rsidRPr="00C312E3">
        <w:rPr>
          <w:i/>
        </w:rPr>
        <w:t xml:space="preserve">Noting </w:t>
      </w:r>
      <w:r w:rsidRPr="00C312E3">
        <w:t>that biennial high-level ministerial dialogues on climate finance will be held in 2018 and 2020 in accordance with decision 3/CP.19,</w:t>
      </w:r>
    </w:p>
    <w:p w14:paraId="42A8BD70" w14:textId="77777777" w:rsidR="00364659" w:rsidRPr="00C312E3" w:rsidRDefault="00364659" w:rsidP="00364659">
      <w:pPr>
        <w:spacing w:before="120" w:after="120"/>
        <w:ind w:left="1134" w:right="1174" w:firstLine="567"/>
        <w:jc w:val="both"/>
        <w:rPr>
          <w:rFonts w:ascii="TimesNewRoman" w:hAnsi="TimesNewRoman" w:cs="TimesNewRoman"/>
        </w:rPr>
      </w:pPr>
      <w:r w:rsidRPr="00C312E3">
        <w:rPr>
          <w:i/>
        </w:rPr>
        <w:t>Also noting</w:t>
      </w:r>
      <w:r w:rsidRPr="00C312E3">
        <w:t xml:space="preserve"> that</w:t>
      </w:r>
      <w:r w:rsidRPr="00C312E3">
        <w:rPr>
          <w:rFonts w:ascii="TimesNewRoman" w:hAnsi="TimesNewRoman" w:cs="TimesNewRoman"/>
        </w:rPr>
        <w:t xml:space="preserve"> the Standing Committee on Finance will prepare biennial assessments and overviews of climate finance flows in 2018 and 2020 in accordance with decision 2/CP.17,</w:t>
      </w:r>
    </w:p>
    <w:p w14:paraId="5E783CEA" w14:textId="0FEDBD83" w:rsidR="00364659" w:rsidRPr="005C545B" w:rsidRDefault="0032653E" w:rsidP="0032653E">
      <w:pPr>
        <w:pStyle w:val="RegSingleTxtG"/>
        <w:numPr>
          <w:ilvl w:val="0"/>
          <w:numId w:val="0"/>
        </w:numPr>
        <w:tabs>
          <w:tab w:val="left" w:pos="568"/>
        </w:tabs>
        <w:suppressAutoHyphens w:val="0"/>
        <w:spacing w:line="240" w:lineRule="auto"/>
        <w:ind w:left="1135"/>
      </w:pPr>
      <w:r w:rsidRPr="005C545B">
        <w:t>12.</w:t>
      </w:r>
      <w:r w:rsidRPr="005C545B">
        <w:tab/>
      </w:r>
      <w:r w:rsidR="00364659" w:rsidRPr="00C312E3">
        <w:rPr>
          <w:i/>
        </w:rPr>
        <w:t xml:space="preserve">Requests </w:t>
      </w:r>
      <w:r w:rsidR="00364659" w:rsidRPr="00C312E3">
        <w:t>the President of the Conference of the Parties and the</w:t>
      </w:r>
      <w:r w:rsidR="00364659">
        <w:t xml:space="preserve"> UNFCCC</w:t>
      </w:r>
      <w:r w:rsidR="00364659" w:rsidRPr="00C312E3">
        <w:t xml:space="preserve"> Executive Secretary to send joint letters to Parties to the Kyoto Protocol that are yet to ratify the Doha Amendment to the Kyoto Protocol </w:t>
      </w:r>
      <w:r w:rsidR="00364659">
        <w:t>urging</w:t>
      </w:r>
      <w:r w:rsidR="00364659" w:rsidRPr="00C312E3">
        <w:t xml:space="preserve"> them to deposit their instruments of acceptance with the Depositary as soon as possible;</w:t>
      </w:r>
    </w:p>
    <w:p w14:paraId="45C5C4EF" w14:textId="1AB0E92A" w:rsidR="00364659" w:rsidRPr="005C545B" w:rsidRDefault="0032653E" w:rsidP="0032653E">
      <w:pPr>
        <w:pStyle w:val="RegSingleTxtG"/>
        <w:numPr>
          <w:ilvl w:val="0"/>
          <w:numId w:val="0"/>
        </w:numPr>
        <w:tabs>
          <w:tab w:val="left" w:pos="568"/>
        </w:tabs>
        <w:suppressAutoHyphens w:val="0"/>
        <w:spacing w:line="240" w:lineRule="auto"/>
        <w:ind w:left="1135"/>
      </w:pPr>
      <w:r w:rsidRPr="005C545B">
        <w:t>13.</w:t>
      </w:r>
      <w:r w:rsidRPr="005C545B">
        <w:tab/>
      </w:r>
      <w:r w:rsidR="00364659" w:rsidRPr="00C312E3">
        <w:rPr>
          <w:i/>
        </w:rPr>
        <w:t>Also requests</w:t>
      </w:r>
      <w:r w:rsidR="00364659" w:rsidRPr="00C312E3">
        <w:t xml:space="preserve"> the secretariat to consult the United Nations Secretary-General on ways to promote the ratification of the Doha Amendment to the Kyoto Protocol;</w:t>
      </w:r>
    </w:p>
    <w:p w14:paraId="4F20DC31" w14:textId="70D277C5" w:rsidR="00364659" w:rsidRDefault="0032653E" w:rsidP="0032653E">
      <w:pPr>
        <w:pStyle w:val="RegSingleTxtG"/>
        <w:numPr>
          <w:ilvl w:val="0"/>
          <w:numId w:val="0"/>
        </w:numPr>
        <w:tabs>
          <w:tab w:val="left" w:pos="568"/>
        </w:tabs>
        <w:suppressAutoHyphens w:val="0"/>
        <w:spacing w:line="240" w:lineRule="auto"/>
        <w:ind w:left="1135"/>
      </w:pPr>
      <w:bookmarkStart w:id="2" w:name="_Ref498679596"/>
      <w:r>
        <w:t>14.</w:t>
      </w:r>
      <w:r>
        <w:tab/>
      </w:r>
      <w:r w:rsidR="00364659" w:rsidRPr="00C312E3">
        <w:rPr>
          <w:i/>
          <w:iCs/>
        </w:rPr>
        <w:t xml:space="preserve">Invites </w:t>
      </w:r>
      <w:r w:rsidR="00364659" w:rsidRPr="00C312E3">
        <w:t xml:space="preserve">Parties to submit </w:t>
      </w:r>
      <w:r w:rsidR="00364659">
        <w:t>via the submission portal</w:t>
      </w:r>
      <w:r w:rsidR="00843793">
        <w:t>,</w:t>
      </w:r>
      <w:r w:rsidR="00364659">
        <w:rPr>
          <w:rStyle w:val="FootnoteReference"/>
        </w:rPr>
        <w:footnoteReference w:id="3"/>
      </w:r>
      <w:r w:rsidR="00364659" w:rsidRPr="00C312E3">
        <w:t xml:space="preserve"> by 1 May 2018</w:t>
      </w:r>
      <w:r w:rsidR="00843793">
        <w:t>,</w:t>
      </w:r>
      <w:r w:rsidR="00364659" w:rsidRPr="00C312E3">
        <w:t xml:space="preserve"> </w:t>
      </w:r>
      <w:r w:rsidR="00364659">
        <w:t xml:space="preserve">additional </w:t>
      </w:r>
      <w:r w:rsidR="00364659" w:rsidRPr="00C312E3">
        <w:t xml:space="preserve">information on progress in implementing decision 1/CP.21, </w:t>
      </w:r>
      <w:r w:rsidR="00364659">
        <w:t>section</w:t>
      </w:r>
      <w:r w:rsidR="00364659" w:rsidRPr="00C312E3">
        <w:t xml:space="preserve"> IV: enhanced action prior to 2020;</w:t>
      </w:r>
      <w:bookmarkEnd w:id="2"/>
    </w:p>
    <w:p w14:paraId="3AAC15B3" w14:textId="1E990E9E" w:rsidR="00364659" w:rsidRDefault="0032653E" w:rsidP="0032653E">
      <w:pPr>
        <w:pStyle w:val="RegSingleTxtG"/>
        <w:numPr>
          <w:ilvl w:val="0"/>
          <w:numId w:val="0"/>
        </w:numPr>
        <w:tabs>
          <w:tab w:val="left" w:pos="568"/>
        </w:tabs>
        <w:suppressAutoHyphens w:val="0"/>
        <w:spacing w:line="240" w:lineRule="auto"/>
        <w:ind w:left="1135"/>
      </w:pPr>
      <w:r>
        <w:t>15.</w:t>
      </w:r>
      <w:r>
        <w:tab/>
      </w:r>
      <w:r w:rsidR="00364659">
        <w:rPr>
          <w:i/>
        </w:rPr>
        <w:t xml:space="preserve">Requests </w:t>
      </w:r>
      <w:r w:rsidR="00364659">
        <w:t>the secretariat to prepare a synthesis report o</w:t>
      </w:r>
      <w:r w:rsidR="00A04E14">
        <w:t>n</w:t>
      </w:r>
      <w:r w:rsidR="00364659">
        <w:t xml:space="preserve"> the submissions referred to in paragraph </w:t>
      </w:r>
      <w:r w:rsidR="00364659" w:rsidRPr="00A42FE9">
        <w:fldChar w:fldCharType="begin"/>
      </w:r>
      <w:r w:rsidR="00364659" w:rsidRPr="00A42FE9">
        <w:instrText xml:space="preserve"> REF _Ref498679596 \n \h  \* MERGEFORMAT </w:instrText>
      </w:r>
      <w:r w:rsidR="00364659" w:rsidRPr="00A42FE9">
        <w:fldChar w:fldCharType="separate"/>
      </w:r>
      <w:r w:rsidR="00E50C89">
        <w:t>14</w:t>
      </w:r>
      <w:r w:rsidR="00364659" w:rsidRPr="00A42FE9">
        <w:fldChar w:fldCharType="end"/>
      </w:r>
      <w:r w:rsidR="00364659">
        <w:t xml:space="preserve"> above as input to the stocktake referred to in paragraph </w:t>
      </w:r>
      <w:r w:rsidR="00364659" w:rsidRPr="00A42FE9">
        <w:fldChar w:fldCharType="begin"/>
      </w:r>
      <w:r w:rsidR="00364659" w:rsidRPr="00A42FE9">
        <w:instrText xml:space="preserve"> REF _Ref498679360 \n \h  \* MERGEFORMAT </w:instrText>
      </w:r>
      <w:r w:rsidR="00364659" w:rsidRPr="00A42FE9">
        <w:fldChar w:fldCharType="separate"/>
      </w:r>
      <w:r w:rsidR="00E50C89">
        <w:t>17</w:t>
      </w:r>
      <w:r w:rsidR="00364659" w:rsidRPr="00A42FE9">
        <w:fldChar w:fldCharType="end"/>
      </w:r>
      <w:r w:rsidR="00364659">
        <w:t xml:space="preserve"> below;</w:t>
      </w:r>
    </w:p>
    <w:p w14:paraId="76C93BF5" w14:textId="32BBE19E" w:rsidR="00364659" w:rsidRPr="00C312E3" w:rsidRDefault="0032653E" w:rsidP="0032653E">
      <w:pPr>
        <w:pStyle w:val="RegSingleTxtG"/>
        <w:numPr>
          <w:ilvl w:val="0"/>
          <w:numId w:val="0"/>
        </w:numPr>
        <w:tabs>
          <w:tab w:val="left" w:pos="568"/>
        </w:tabs>
        <w:suppressAutoHyphens w:val="0"/>
        <w:spacing w:line="240" w:lineRule="auto"/>
        <w:ind w:left="1135"/>
      </w:pPr>
      <w:bookmarkStart w:id="3" w:name="_Ref498679304"/>
      <w:r w:rsidRPr="00C312E3">
        <w:t>16.</w:t>
      </w:r>
      <w:r w:rsidRPr="00C312E3">
        <w:tab/>
      </w:r>
      <w:r w:rsidR="00364659" w:rsidRPr="00C312E3">
        <w:rPr>
          <w:i/>
        </w:rPr>
        <w:t>Welcomes</w:t>
      </w:r>
      <w:r w:rsidR="00364659" w:rsidRPr="00C312E3">
        <w:t xml:space="preserve"> the report </w:t>
      </w:r>
      <w:r w:rsidR="00364659">
        <w:t>of</w:t>
      </w:r>
      <w:r w:rsidR="00364659" w:rsidRPr="00C312E3">
        <w:t xml:space="preserve"> the President of the Conference of the Parties </w:t>
      </w:r>
      <w:r w:rsidR="00364659">
        <w:t>that</w:t>
      </w:r>
      <w:r w:rsidR="00364659" w:rsidRPr="00C312E3">
        <w:t xml:space="preserve"> noted that the 2018 facilitative dialogue</w:t>
      </w:r>
      <w:r w:rsidR="00364659" w:rsidRPr="00C312E3">
        <w:rPr>
          <w:rStyle w:val="FootnoteReference"/>
        </w:rPr>
        <w:footnoteReference w:id="4"/>
      </w:r>
      <w:r w:rsidR="00364659" w:rsidRPr="00C312E3">
        <w:t xml:space="preserve"> (Talanoa </w:t>
      </w:r>
      <w:r w:rsidR="002657E2">
        <w:t>D</w:t>
      </w:r>
      <w:r w:rsidR="00364659" w:rsidRPr="00C312E3">
        <w:t>ialogue) will consider</w:t>
      </w:r>
      <w:r w:rsidR="00364659">
        <w:t xml:space="preserve">, as an element of the </w:t>
      </w:r>
      <w:r w:rsidR="00364659">
        <w:lastRenderedPageBreak/>
        <w:t>dialogue,</w:t>
      </w:r>
      <w:r w:rsidR="00364659" w:rsidRPr="00C312E3">
        <w:t xml:space="preserve"> the efforts of Parties </w:t>
      </w:r>
      <w:r w:rsidR="00364659">
        <w:t>in relation to</w:t>
      </w:r>
      <w:r w:rsidR="00364659" w:rsidRPr="00C312E3">
        <w:t xml:space="preserve"> action and support</w:t>
      </w:r>
      <w:r w:rsidR="00364659">
        <w:t xml:space="preserve">, as appropriate, </w:t>
      </w:r>
      <w:r w:rsidR="00364659" w:rsidRPr="00C312E3">
        <w:t>in the pre-2020 period;</w:t>
      </w:r>
      <w:bookmarkEnd w:id="3"/>
      <w:r w:rsidR="00364659" w:rsidRPr="00C312E3">
        <w:t xml:space="preserve"> </w:t>
      </w:r>
    </w:p>
    <w:p w14:paraId="210E0E3B" w14:textId="59ECDA6F" w:rsidR="00364659" w:rsidRPr="00C312E3" w:rsidRDefault="0032653E" w:rsidP="0032653E">
      <w:pPr>
        <w:pStyle w:val="RegSingleTxtG"/>
        <w:numPr>
          <w:ilvl w:val="0"/>
          <w:numId w:val="0"/>
        </w:numPr>
        <w:tabs>
          <w:tab w:val="left" w:pos="568"/>
        </w:tabs>
        <w:suppressAutoHyphens w:val="0"/>
        <w:spacing w:line="240" w:lineRule="auto"/>
        <w:ind w:left="1135"/>
      </w:pPr>
      <w:bookmarkStart w:id="4" w:name="_Ref498679360"/>
      <w:r w:rsidRPr="00C312E3">
        <w:t>17.</w:t>
      </w:r>
      <w:r w:rsidRPr="00C312E3">
        <w:tab/>
      </w:r>
      <w:r w:rsidR="00364659" w:rsidRPr="00C312E3">
        <w:rPr>
          <w:i/>
        </w:rPr>
        <w:t>Decides</w:t>
      </w:r>
      <w:r w:rsidR="00364659" w:rsidRPr="00C312E3">
        <w:t xml:space="preserve"> to convene a stocktake on pre-2020 implementation and ambition at the twenty-fourth session of the Conference of the Parties, which will apply the </w:t>
      </w:r>
      <w:r w:rsidR="00364659">
        <w:t>format</w:t>
      </w:r>
      <w:r w:rsidR="00364659" w:rsidRPr="00C312E3">
        <w:t xml:space="preserve"> of the 2016 facilitative dialogue</w:t>
      </w:r>
      <w:r w:rsidR="00364659" w:rsidRPr="00C312E3">
        <w:rPr>
          <w:rStyle w:val="FootnoteReference"/>
        </w:rPr>
        <w:footnoteReference w:id="5"/>
      </w:r>
      <w:r w:rsidR="00364659" w:rsidRPr="00C312E3">
        <w:t xml:space="preserve"> and consider, inter alia:</w:t>
      </w:r>
      <w:bookmarkEnd w:id="4"/>
    </w:p>
    <w:p w14:paraId="3344BA63" w14:textId="24E0AA2A" w:rsidR="00364659" w:rsidRPr="00C312E3" w:rsidRDefault="0032653E" w:rsidP="0032653E">
      <w:pPr>
        <w:pStyle w:val="RegSingleTxtG2"/>
        <w:numPr>
          <w:ilvl w:val="0"/>
          <w:numId w:val="0"/>
        </w:numPr>
        <w:ind w:left="1134" w:firstLine="567"/>
      </w:pPr>
      <w:r w:rsidRPr="00C312E3">
        <w:rPr>
          <w:szCs w:val="28"/>
        </w:rPr>
        <w:t>(a)</w:t>
      </w:r>
      <w:r w:rsidRPr="00C312E3">
        <w:rPr>
          <w:szCs w:val="28"/>
        </w:rPr>
        <w:tab/>
      </w:r>
      <w:r w:rsidR="00364659" w:rsidRPr="00C312E3">
        <w:t xml:space="preserve">The inputs of the Conference of the Parties, the Conference of the Parties serving as the meeting of the Parties to the Kyoto Protocol, the Subsidiary Body for Implementation, the Subsidiary Body for Scientific and Technological Advice, the constituted bodies under the Convention and the Kyoto Protocol, and the operating entities of the Financial Mechanism; </w:t>
      </w:r>
    </w:p>
    <w:p w14:paraId="6EAF3058" w14:textId="06AC8E6D" w:rsidR="00364659" w:rsidRPr="00C312E3" w:rsidRDefault="0032653E" w:rsidP="0032653E">
      <w:pPr>
        <w:pStyle w:val="RegSingleTxtG2"/>
        <w:numPr>
          <w:ilvl w:val="0"/>
          <w:numId w:val="0"/>
        </w:numPr>
        <w:ind w:left="1134" w:firstLine="567"/>
      </w:pPr>
      <w:r w:rsidRPr="00C312E3">
        <w:rPr>
          <w:szCs w:val="28"/>
        </w:rPr>
        <w:t>(b)</w:t>
      </w:r>
      <w:r w:rsidRPr="00C312E3">
        <w:rPr>
          <w:szCs w:val="28"/>
        </w:rPr>
        <w:tab/>
      </w:r>
      <w:r w:rsidR="00364659" w:rsidRPr="00C312E3">
        <w:t>The mitigation efforts of Parties in the pre-2020 period;</w:t>
      </w:r>
    </w:p>
    <w:p w14:paraId="51DE8BA4" w14:textId="6B7871A4" w:rsidR="00364659" w:rsidRPr="008D550D" w:rsidRDefault="0032653E" w:rsidP="0032653E">
      <w:pPr>
        <w:pStyle w:val="RegSingleTxtG2"/>
        <w:numPr>
          <w:ilvl w:val="0"/>
          <w:numId w:val="0"/>
        </w:numPr>
        <w:ind w:left="1134" w:firstLine="567"/>
      </w:pPr>
      <w:r w:rsidRPr="008D550D">
        <w:rPr>
          <w:szCs w:val="28"/>
        </w:rPr>
        <w:t>(c)</w:t>
      </w:r>
      <w:r w:rsidRPr="008D550D">
        <w:rPr>
          <w:szCs w:val="28"/>
        </w:rPr>
        <w:tab/>
      </w:r>
      <w:r w:rsidR="00364659" w:rsidRPr="00C312E3">
        <w:t xml:space="preserve">The </w:t>
      </w:r>
      <w:r w:rsidR="00364659" w:rsidRPr="008D550D">
        <w:t>provision of support in the pre-2020 period;</w:t>
      </w:r>
    </w:p>
    <w:p w14:paraId="619FED2A" w14:textId="60CB1F30" w:rsidR="00364659" w:rsidRPr="00C312E3" w:rsidRDefault="0032653E" w:rsidP="0032653E">
      <w:pPr>
        <w:pStyle w:val="RegSingleTxtG2"/>
        <w:numPr>
          <w:ilvl w:val="0"/>
          <w:numId w:val="0"/>
        </w:numPr>
        <w:ind w:left="1134" w:firstLine="567"/>
      </w:pPr>
      <w:r w:rsidRPr="00C312E3">
        <w:rPr>
          <w:szCs w:val="28"/>
        </w:rPr>
        <w:t>(d)</w:t>
      </w:r>
      <w:r w:rsidRPr="00C312E3">
        <w:rPr>
          <w:szCs w:val="28"/>
        </w:rPr>
        <w:tab/>
      </w:r>
      <w:r w:rsidR="00364659" w:rsidRPr="008D550D">
        <w:t>The work of the Marrakech Partnership for Global Climate Action, including the summaries for policymakers of the technical examination processes and</w:t>
      </w:r>
      <w:r w:rsidR="00364659" w:rsidRPr="00C312E3">
        <w:t xml:space="preserve"> the yearbooks on climate action prepared by the high-level champions;</w:t>
      </w:r>
    </w:p>
    <w:p w14:paraId="4F5A5540" w14:textId="24A80641" w:rsidR="00364659" w:rsidRPr="00C312E3" w:rsidRDefault="0032653E" w:rsidP="0032653E">
      <w:pPr>
        <w:pStyle w:val="RegSingleTxtG"/>
        <w:numPr>
          <w:ilvl w:val="0"/>
          <w:numId w:val="0"/>
        </w:numPr>
        <w:tabs>
          <w:tab w:val="left" w:pos="568"/>
        </w:tabs>
        <w:suppressAutoHyphens w:val="0"/>
        <w:spacing w:line="240" w:lineRule="auto"/>
        <w:ind w:left="1135"/>
      </w:pPr>
      <w:bookmarkStart w:id="5" w:name="_Ref498679517"/>
      <w:r w:rsidRPr="00C312E3">
        <w:t>18.</w:t>
      </w:r>
      <w:r w:rsidRPr="00C312E3">
        <w:tab/>
      </w:r>
      <w:r w:rsidR="00364659" w:rsidRPr="00C312E3">
        <w:rPr>
          <w:rFonts w:ascii="TimesNewRoman" w:hAnsi="TimesNewRoman" w:cs="TimesNewRoman"/>
          <w:i/>
        </w:rPr>
        <w:t>Also d</w:t>
      </w:r>
      <w:r w:rsidR="00364659" w:rsidRPr="00C312E3">
        <w:rPr>
          <w:i/>
        </w:rPr>
        <w:t xml:space="preserve">ecides </w:t>
      </w:r>
      <w:r w:rsidR="00364659" w:rsidRPr="00C312E3">
        <w:t xml:space="preserve">to convene a stocktake on pre-2020 implementation and ambition at the twenty-fifth session of the Conference of the Parties (November 2019), which will apply the </w:t>
      </w:r>
      <w:r w:rsidR="00364659">
        <w:t>format</w:t>
      </w:r>
      <w:r w:rsidR="00364659" w:rsidRPr="00C312E3">
        <w:t xml:space="preserve"> of the stocktake referred to in paragraph </w:t>
      </w:r>
      <w:r w:rsidR="00364659" w:rsidRPr="00003A64">
        <w:fldChar w:fldCharType="begin"/>
      </w:r>
      <w:r w:rsidR="00364659" w:rsidRPr="00003A64">
        <w:instrText xml:space="preserve"> REF _Ref498679360 \n \h  \* MERGEFORMAT </w:instrText>
      </w:r>
      <w:r w:rsidR="00364659" w:rsidRPr="00003A64">
        <w:fldChar w:fldCharType="separate"/>
      </w:r>
      <w:r w:rsidR="00E50C89">
        <w:t>17</w:t>
      </w:r>
      <w:r w:rsidR="00364659" w:rsidRPr="00003A64">
        <w:fldChar w:fldCharType="end"/>
      </w:r>
      <w:r w:rsidR="00364659" w:rsidRPr="00C312E3">
        <w:t xml:space="preserve"> above and consider, inter alia:</w:t>
      </w:r>
      <w:bookmarkEnd w:id="5"/>
    </w:p>
    <w:p w14:paraId="57854ECB" w14:textId="5BAA05A9" w:rsidR="00364659" w:rsidRPr="00C312E3" w:rsidRDefault="0032653E" w:rsidP="0032653E">
      <w:pPr>
        <w:pStyle w:val="RegSingleTxtG2"/>
        <w:numPr>
          <w:ilvl w:val="0"/>
          <w:numId w:val="0"/>
        </w:numPr>
        <w:tabs>
          <w:tab w:val="left" w:pos="1702"/>
        </w:tabs>
        <w:ind w:left="1134" w:firstLine="567"/>
      </w:pPr>
      <w:r w:rsidRPr="00C312E3">
        <w:rPr>
          <w:szCs w:val="28"/>
        </w:rPr>
        <w:t>(a)</w:t>
      </w:r>
      <w:r w:rsidRPr="00C312E3">
        <w:rPr>
          <w:szCs w:val="28"/>
        </w:rPr>
        <w:tab/>
      </w:r>
      <w:r w:rsidR="00364659" w:rsidRPr="00C312E3">
        <w:t>The inputs of the Conference of the Parties, the Conference of the Parties serving as the meeting of the Parties to the Kyoto Protocol, the Subsidiary Body for Implementation, the Subsidiary Body for Scientific and Technological Advice, the constituted bodies under the Convention and the Kyoto Protocol, and the operating entities of the Financial Mechanism;</w:t>
      </w:r>
    </w:p>
    <w:p w14:paraId="302C93B8" w14:textId="4A34839D" w:rsidR="00364659" w:rsidRPr="00C312E3" w:rsidRDefault="0032653E" w:rsidP="0032653E">
      <w:pPr>
        <w:pStyle w:val="RegSingleTxtG2"/>
        <w:numPr>
          <w:ilvl w:val="0"/>
          <w:numId w:val="0"/>
        </w:numPr>
        <w:tabs>
          <w:tab w:val="left" w:pos="1702"/>
        </w:tabs>
        <w:ind w:left="1134" w:firstLine="567"/>
      </w:pPr>
      <w:r w:rsidRPr="00C312E3">
        <w:rPr>
          <w:szCs w:val="28"/>
        </w:rPr>
        <w:t>(b)</w:t>
      </w:r>
      <w:r w:rsidRPr="00C312E3">
        <w:rPr>
          <w:szCs w:val="28"/>
        </w:rPr>
        <w:tab/>
      </w:r>
      <w:r w:rsidR="00364659" w:rsidRPr="00C312E3">
        <w:t>The outcomes of the high-level ministerial dialogue on climate finance to be held at the twenty-fourth session of the Conference of the Parties;</w:t>
      </w:r>
    </w:p>
    <w:p w14:paraId="392BC8BE" w14:textId="068C2A04" w:rsidR="00364659" w:rsidRPr="00C312E3" w:rsidRDefault="0032653E" w:rsidP="0032653E">
      <w:pPr>
        <w:pStyle w:val="RegSingleTxtG2"/>
        <w:numPr>
          <w:ilvl w:val="0"/>
          <w:numId w:val="0"/>
        </w:numPr>
        <w:tabs>
          <w:tab w:val="left" w:pos="1702"/>
        </w:tabs>
        <w:ind w:left="1134" w:firstLine="567"/>
      </w:pPr>
      <w:r w:rsidRPr="00C312E3">
        <w:rPr>
          <w:szCs w:val="28"/>
        </w:rPr>
        <w:t>(c)</w:t>
      </w:r>
      <w:r w:rsidRPr="00C312E3">
        <w:rPr>
          <w:szCs w:val="28"/>
        </w:rPr>
        <w:tab/>
      </w:r>
      <w:r w:rsidR="00364659" w:rsidRPr="00C312E3">
        <w:t xml:space="preserve">The </w:t>
      </w:r>
      <w:r w:rsidR="00364659">
        <w:t xml:space="preserve">relevant </w:t>
      </w:r>
      <w:r w:rsidR="00364659" w:rsidRPr="00C312E3">
        <w:t xml:space="preserve">outcomes of the Talanoa </w:t>
      </w:r>
      <w:r w:rsidR="002657E2">
        <w:t>D</w:t>
      </w:r>
      <w:r w:rsidR="00364659" w:rsidRPr="00C312E3">
        <w:t xml:space="preserve">ialogue referred to in paragraph </w:t>
      </w:r>
      <w:r w:rsidR="00364659" w:rsidRPr="00003A64">
        <w:fldChar w:fldCharType="begin"/>
      </w:r>
      <w:r w:rsidR="00364659" w:rsidRPr="00003A64">
        <w:instrText xml:space="preserve"> REF _Ref498679304 \n \h  \* MERGEFORMAT </w:instrText>
      </w:r>
      <w:r w:rsidR="00364659" w:rsidRPr="00003A64">
        <w:fldChar w:fldCharType="separate"/>
      </w:r>
      <w:r w:rsidR="00E50C89">
        <w:t>16</w:t>
      </w:r>
      <w:r w:rsidR="00364659" w:rsidRPr="00003A64">
        <w:fldChar w:fldCharType="end"/>
      </w:r>
      <w:r w:rsidR="00364659" w:rsidRPr="00C312E3">
        <w:t xml:space="preserve"> above;</w:t>
      </w:r>
    </w:p>
    <w:p w14:paraId="5FC10520" w14:textId="3ED82EE7" w:rsidR="00364659" w:rsidRPr="00C312E3" w:rsidRDefault="0032653E" w:rsidP="0032653E">
      <w:pPr>
        <w:pStyle w:val="RegSingleTxtG2"/>
        <w:numPr>
          <w:ilvl w:val="0"/>
          <w:numId w:val="0"/>
        </w:numPr>
        <w:tabs>
          <w:tab w:val="left" w:pos="1702"/>
        </w:tabs>
        <w:ind w:left="1134" w:firstLine="567"/>
      </w:pPr>
      <w:r w:rsidRPr="00C312E3">
        <w:rPr>
          <w:szCs w:val="28"/>
        </w:rPr>
        <w:t>(d)</w:t>
      </w:r>
      <w:r w:rsidRPr="00C312E3">
        <w:rPr>
          <w:szCs w:val="28"/>
        </w:rPr>
        <w:tab/>
      </w:r>
      <w:r w:rsidR="00364659" w:rsidRPr="00C312E3">
        <w:t xml:space="preserve">The outcomes of the stocktake referred to in paragraph </w:t>
      </w:r>
      <w:r w:rsidR="00364659" w:rsidRPr="00003A64">
        <w:fldChar w:fldCharType="begin"/>
      </w:r>
      <w:r w:rsidR="00364659" w:rsidRPr="00003A64">
        <w:instrText xml:space="preserve"> REF _Ref498679360 \n \h  \* MERGEFORMAT </w:instrText>
      </w:r>
      <w:r w:rsidR="00364659" w:rsidRPr="00003A64">
        <w:fldChar w:fldCharType="separate"/>
      </w:r>
      <w:r w:rsidR="00E50C89">
        <w:t>17</w:t>
      </w:r>
      <w:r w:rsidR="00364659" w:rsidRPr="00003A64">
        <w:fldChar w:fldCharType="end"/>
      </w:r>
      <w:r w:rsidR="00364659" w:rsidRPr="00C312E3">
        <w:t xml:space="preserve"> above;</w:t>
      </w:r>
    </w:p>
    <w:p w14:paraId="0AEE903E" w14:textId="57C1BF63" w:rsidR="00364659" w:rsidRPr="00C312E3" w:rsidRDefault="0032653E" w:rsidP="0032653E">
      <w:pPr>
        <w:pStyle w:val="RegSingleTxtG2"/>
        <w:numPr>
          <w:ilvl w:val="0"/>
          <w:numId w:val="0"/>
        </w:numPr>
        <w:tabs>
          <w:tab w:val="left" w:pos="1702"/>
        </w:tabs>
        <w:ind w:left="1134" w:firstLine="567"/>
      </w:pPr>
      <w:r w:rsidRPr="00C312E3">
        <w:rPr>
          <w:szCs w:val="28"/>
        </w:rPr>
        <w:t>(e)</w:t>
      </w:r>
      <w:r w:rsidRPr="00C312E3">
        <w:rPr>
          <w:szCs w:val="28"/>
        </w:rPr>
        <w:tab/>
      </w:r>
      <w:r w:rsidR="00364659" w:rsidRPr="00C312E3">
        <w:t xml:space="preserve">The work of the Marrakech Partnership for Global Climate Action, including the summaries for policymakers of the technical examination </w:t>
      </w:r>
      <w:r w:rsidR="00364659" w:rsidRPr="008D550D">
        <w:t>processes a</w:t>
      </w:r>
      <w:r w:rsidR="00364659" w:rsidRPr="00C312E3">
        <w:t>nd the yearbooks on climate action prepared by the high-level champions;</w:t>
      </w:r>
    </w:p>
    <w:p w14:paraId="7D205869" w14:textId="62A10ECD" w:rsidR="00364659" w:rsidRPr="00C312E3" w:rsidRDefault="0032653E" w:rsidP="0032653E">
      <w:pPr>
        <w:pStyle w:val="RegSingleTxtG"/>
        <w:numPr>
          <w:ilvl w:val="0"/>
          <w:numId w:val="0"/>
        </w:numPr>
        <w:tabs>
          <w:tab w:val="left" w:pos="568"/>
        </w:tabs>
        <w:suppressAutoHyphens w:val="0"/>
        <w:spacing w:line="240" w:lineRule="auto"/>
        <w:ind w:left="1135"/>
      </w:pPr>
      <w:r w:rsidRPr="00C312E3">
        <w:t>19.</w:t>
      </w:r>
      <w:r w:rsidRPr="00C312E3">
        <w:tab/>
      </w:r>
      <w:r w:rsidR="00364659" w:rsidRPr="00C312E3">
        <w:rPr>
          <w:rFonts w:ascii="TimesNewRoman" w:hAnsi="TimesNewRoman" w:cs="TimesNewRoman"/>
          <w:i/>
        </w:rPr>
        <w:t>Requests</w:t>
      </w:r>
      <w:r w:rsidR="00364659" w:rsidRPr="00C312E3">
        <w:rPr>
          <w:rFonts w:ascii="TimesNewRoman" w:hAnsi="TimesNewRoman" w:cs="TimesNewRoman"/>
        </w:rPr>
        <w:t xml:space="preserve"> the secretariat to prepare reports on the stocktakes referred to in paragraphs </w:t>
      </w:r>
      <w:r w:rsidR="00364659" w:rsidRPr="00003A64">
        <w:rPr>
          <w:rFonts w:ascii="TimesNewRoman" w:hAnsi="TimesNewRoman" w:cs="TimesNewRoman"/>
        </w:rPr>
        <w:fldChar w:fldCharType="begin"/>
      </w:r>
      <w:r w:rsidR="00364659" w:rsidRPr="00003A64">
        <w:rPr>
          <w:rFonts w:ascii="TimesNewRoman" w:hAnsi="TimesNewRoman" w:cs="TimesNewRoman"/>
        </w:rPr>
        <w:instrText xml:space="preserve"> REF _Ref498679360 \n \h  \* MERGEFORMAT </w:instrText>
      </w:r>
      <w:r w:rsidR="00364659" w:rsidRPr="00003A64">
        <w:rPr>
          <w:rFonts w:ascii="TimesNewRoman" w:hAnsi="TimesNewRoman" w:cs="TimesNewRoman"/>
        </w:rPr>
      </w:r>
      <w:r w:rsidR="00364659" w:rsidRPr="00003A64">
        <w:rPr>
          <w:rFonts w:ascii="TimesNewRoman" w:hAnsi="TimesNewRoman" w:cs="TimesNewRoman"/>
        </w:rPr>
        <w:fldChar w:fldCharType="separate"/>
      </w:r>
      <w:r w:rsidR="00E50C89">
        <w:rPr>
          <w:rFonts w:ascii="TimesNewRoman" w:hAnsi="TimesNewRoman" w:cs="TimesNewRoman"/>
        </w:rPr>
        <w:t>17</w:t>
      </w:r>
      <w:r w:rsidR="00364659" w:rsidRPr="00003A64">
        <w:rPr>
          <w:rFonts w:ascii="TimesNewRoman" w:hAnsi="TimesNewRoman" w:cs="TimesNewRoman"/>
        </w:rPr>
        <w:fldChar w:fldCharType="end"/>
      </w:r>
      <w:r w:rsidR="00364659" w:rsidRPr="00C312E3">
        <w:rPr>
          <w:rFonts w:ascii="TimesNewRoman" w:hAnsi="TimesNewRoman" w:cs="TimesNewRoman"/>
        </w:rPr>
        <w:t xml:space="preserve"> and </w:t>
      </w:r>
      <w:r w:rsidR="00364659" w:rsidRPr="00003A64">
        <w:rPr>
          <w:rFonts w:ascii="TimesNewRoman" w:hAnsi="TimesNewRoman" w:cs="TimesNewRoman"/>
        </w:rPr>
        <w:fldChar w:fldCharType="begin"/>
      </w:r>
      <w:r w:rsidR="00364659" w:rsidRPr="00003A64">
        <w:rPr>
          <w:rFonts w:ascii="TimesNewRoman" w:hAnsi="TimesNewRoman" w:cs="TimesNewRoman"/>
        </w:rPr>
        <w:instrText xml:space="preserve"> REF _Ref498679517 \n \h  \* MERGEFORMAT </w:instrText>
      </w:r>
      <w:r w:rsidR="00364659" w:rsidRPr="00003A64">
        <w:rPr>
          <w:rFonts w:ascii="TimesNewRoman" w:hAnsi="TimesNewRoman" w:cs="TimesNewRoman"/>
        </w:rPr>
      </w:r>
      <w:r w:rsidR="00364659" w:rsidRPr="00003A64">
        <w:rPr>
          <w:rFonts w:ascii="TimesNewRoman" w:hAnsi="TimesNewRoman" w:cs="TimesNewRoman"/>
        </w:rPr>
        <w:fldChar w:fldCharType="separate"/>
      </w:r>
      <w:r w:rsidR="00E50C89">
        <w:rPr>
          <w:rFonts w:ascii="TimesNewRoman" w:hAnsi="TimesNewRoman" w:cs="TimesNewRoman"/>
        </w:rPr>
        <w:t>18</w:t>
      </w:r>
      <w:r w:rsidR="00364659" w:rsidRPr="00003A64">
        <w:rPr>
          <w:rFonts w:ascii="TimesNewRoman" w:hAnsi="TimesNewRoman" w:cs="TimesNewRoman"/>
        </w:rPr>
        <w:fldChar w:fldCharType="end"/>
      </w:r>
      <w:r w:rsidR="00364659" w:rsidRPr="00C312E3">
        <w:rPr>
          <w:rFonts w:ascii="TimesNewRoman" w:hAnsi="TimesNewRoman" w:cs="TimesNewRoman"/>
        </w:rPr>
        <w:t xml:space="preserve"> above</w:t>
      </w:r>
      <w:r w:rsidR="00364659">
        <w:rPr>
          <w:rFonts w:ascii="TimesNewRoman" w:hAnsi="TimesNewRoman" w:cs="TimesNewRoman"/>
        </w:rPr>
        <w:t>;</w:t>
      </w:r>
    </w:p>
    <w:p w14:paraId="5CECB5B2" w14:textId="081682B5" w:rsidR="00364659" w:rsidRPr="00ED1CF6" w:rsidRDefault="0032653E" w:rsidP="0032653E">
      <w:pPr>
        <w:pStyle w:val="RegSingleTxtG"/>
        <w:numPr>
          <w:ilvl w:val="0"/>
          <w:numId w:val="0"/>
        </w:numPr>
        <w:tabs>
          <w:tab w:val="left" w:pos="568"/>
        </w:tabs>
        <w:suppressAutoHyphens w:val="0"/>
        <w:spacing w:line="240" w:lineRule="auto"/>
        <w:ind w:left="1135"/>
        <w:rPr>
          <w:rFonts w:ascii="TimesNewRoman" w:hAnsi="TimesNewRoman" w:cs="TimesNewRoman"/>
        </w:rPr>
      </w:pPr>
      <w:r w:rsidRPr="00ED1CF6">
        <w:rPr>
          <w:rFonts w:ascii="TimesNewRoman" w:hAnsi="TimesNewRoman" w:cs="TimesNewRoman"/>
        </w:rPr>
        <w:t>20.</w:t>
      </w:r>
      <w:r w:rsidRPr="00ED1CF6">
        <w:rPr>
          <w:rFonts w:ascii="TimesNewRoman" w:hAnsi="TimesNewRoman" w:cs="TimesNewRoman"/>
        </w:rPr>
        <w:tab/>
      </w:r>
      <w:r w:rsidR="00364659" w:rsidRPr="00ED1CF6">
        <w:rPr>
          <w:rFonts w:ascii="TimesNewRoman" w:hAnsi="TimesNewRoman" w:cs="TimesNewRoman"/>
          <w:i/>
        </w:rPr>
        <w:t>Takes note</w:t>
      </w:r>
      <w:r w:rsidR="00364659" w:rsidRPr="00ED1CF6">
        <w:rPr>
          <w:rFonts w:ascii="TimesNewRoman" w:hAnsi="TimesNewRoman" w:cs="TimesNewRoman"/>
        </w:rPr>
        <w:t xml:space="preserve"> of the estimated budgetary implications of the activities to be undertaken by the secretariat referred to in this decision and </w:t>
      </w:r>
      <w:r w:rsidR="00364659" w:rsidRPr="00003A64">
        <w:rPr>
          <w:rFonts w:ascii="TimesNewRoman" w:hAnsi="TimesNewRoman" w:cs="TimesNewRoman"/>
          <w:i/>
        </w:rPr>
        <w:t>requests</w:t>
      </w:r>
      <w:r w:rsidR="00364659" w:rsidRPr="00ED1CF6">
        <w:rPr>
          <w:rFonts w:ascii="TimesNewRoman" w:hAnsi="TimesNewRoman" w:cs="TimesNewRoman"/>
        </w:rPr>
        <w:t xml:space="preserve"> that the actions called for in this decision be undertaken subject to the availability of financial resources.</w:t>
      </w:r>
    </w:p>
    <w:p w14:paraId="48D2CB00" w14:textId="77777777" w:rsidR="00364659" w:rsidRDefault="00364659" w:rsidP="00364659">
      <w:pPr>
        <w:spacing w:before="240"/>
        <w:ind w:left="1134" w:right="1134"/>
        <w:jc w:val="center"/>
        <w:rPr>
          <w:u w:val="single"/>
        </w:rPr>
        <w:sectPr w:rsidR="00364659" w:rsidSect="003773AE">
          <w:headerReference w:type="even" r:id="rId13"/>
          <w:headerReference w:type="default" r:id="rId14"/>
          <w:footerReference w:type="even" r:id="rId15"/>
          <w:footerReference w:type="default" r:id="rId16"/>
          <w:headerReference w:type="first" r:id="rId17"/>
          <w:footnotePr>
            <w:numRestart w:val="eachSect"/>
          </w:footnotePr>
          <w:pgSz w:w="11906" w:h="16838" w:code="9"/>
          <w:pgMar w:top="1418" w:right="1134" w:bottom="1134" w:left="1134" w:header="851" w:footer="567" w:gutter="0"/>
          <w:cols w:space="708"/>
          <w:titlePg/>
          <w:docGrid w:linePitch="360"/>
        </w:sectPr>
      </w:pPr>
    </w:p>
    <w:p w14:paraId="49CE0E44" w14:textId="21968DF3" w:rsidR="00364659" w:rsidRDefault="00364659" w:rsidP="00364659">
      <w:pPr>
        <w:pStyle w:val="HChG"/>
        <w:spacing w:before="0"/>
      </w:pPr>
      <w:r w:rsidRPr="00EF6BC6">
        <w:lastRenderedPageBreak/>
        <w:t>Annex I</w:t>
      </w:r>
    </w:p>
    <w:p w14:paraId="0106154F" w14:textId="7B2B3C7A" w:rsidR="00364659" w:rsidRDefault="00364659" w:rsidP="0032653E">
      <w:pPr>
        <w:pStyle w:val="RegHChG"/>
        <w:numPr>
          <w:ilvl w:val="0"/>
          <w:numId w:val="0"/>
        </w:numPr>
        <w:ind w:left="851" w:hanging="454"/>
      </w:pPr>
      <w:r w:rsidRPr="005A1C46">
        <w:t>Work of the Conference of the Parties and the subsidiary and constituted bodies on the work programme under the Paris Agreement</w:t>
      </w:r>
      <w:r>
        <w:t xml:space="preserve"> for the first session of the Conference of the Parties serving as the meeting of the Parties to the Paris Agreement</w:t>
      </w:r>
      <w:r w:rsidRPr="00A04E14">
        <w:rPr>
          <w:rStyle w:val="FootnoteReference"/>
          <w:b w:val="0"/>
        </w:rPr>
        <w:footnoteReference w:id="6"/>
      </w:r>
    </w:p>
    <w:p w14:paraId="0C92835E" w14:textId="1D8EBDDD" w:rsidR="00364659" w:rsidRPr="0032653E" w:rsidRDefault="0032653E" w:rsidP="0032653E">
      <w:pPr>
        <w:suppressAutoHyphens w:val="0"/>
        <w:spacing w:after="120" w:line="240" w:lineRule="exact"/>
        <w:ind w:left="1134" w:hanging="360"/>
        <w:rPr>
          <w:rFonts w:eastAsia="Calibri"/>
        </w:rPr>
      </w:pPr>
      <w:r w:rsidRPr="00F37BA5">
        <w:rPr>
          <w:rFonts w:ascii="Symbol" w:eastAsia="Calibri" w:hAnsi="Symbol"/>
        </w:rPr>
        <w:t></w:t>
      </w:r>
      <w:r w:rsidRPr="00F37BA5">
        <w:rPr>
          <w:rFonts w:ascii="Symbol" w:eastAsia="Calibri" w:hAnsi="Symbol"/>
        </w:rPr>
        <w:tab/>
      </w:r>
      <w:r w:rsidR="00364659" w:rsidRPr="005A1C46">
        <w:t>Matters relating to Article 4 of the Paris Agreement and paragraphs 22</w:t>
      </w:r>
      <w:r w:rsidR="00364659">
        <w:t>–</w:t>
      </w:r>
      <w:r w:rsidR="00364659" w:rsidRPr="005A1C46">
        <w:t>35 of decision 1/CP.21</w:t>
      </w:r>
    </w:p>
    <w:p w14:paraId="6BC6680A" w14:textId="67808252" w:rsidR="00364659" w:rsidRPr="00A52018" w:rsidRDefault="0032653E" w:rsidP="0032653E">
      <w:pPr>
        <w:pStyle w:val="RegSingleTxtG2"/>
        <w:numPr>
          <w:ilvl w:val="0"/>
          <w:numId w:val="0"/>
        </w:numPr>
        <w:tabs>
          <w:tab w:val="left" w:pos="1702"/>
        </w:tabs>
        <w:ind w:left="1134" w:firstLine="567"/>
      </w:pPr>
      <w:r w:rsidRPr="00A52018">
        <w:rPr>
          <w:szCs w:val="28"/>
        </w:rPr>
        <w:t>(a)</w:t>
      </w:r>
      <w:r w:rsidRPr="00A52018">
        <w:rPr>
          <w:szCs w:val="28"/>
        </w:rPr>
        <w:tab/>
      </w:r>
      <w:r w:rsidR="00364659" w:rsidRPr="00A52018">
        <w:t xml:space="preserve">Further guidance in relation to the mitigation section of decision 1/CP.21 </w:t>
      </w:r>
      <w:r w:rsidR="00364659" w:rsidRPr="00F230EF">
        <w:rPr>
          <w:i/>
        </w:rPr>
        <w:t>(APA</w:t>
      </w:r>
      <w:r w:rsidR="0048020D">
        <w:rPr>
          <w:rStyle w:val="FootnoteReference"/>
          <w:i/>
        </w:rPr>
        <w:footnoteReference w:customMarkFollows="1" w:id="7"/>
        <w:t>*</w:t>
      </w:r>
      <w:r w:rsidR="002B3102">
        <w:t>)</w:t>
      </w:r>
    </w:p>
    <w:p w14:paraId="35923EFF" w14:textId="63FC777A" w:rsidR="00364659" w:rsidRPr="00A52018" w:rsidRDefault="0032653E" w:rsidP="0032653E">
      <w:pPr>
        <w:pStyle w:val="RegSingleTxtG2"/>
        <w:numPr>
          <w:ilvl w:val="0"/>
          <w:numId w:val="0"/>
        </w:numPr>
        <w:tabs>
          <w:tab w:val="left" w:pos="1702"/>
        </w:tabs>
        <w:ind w:left="1134" w:firstLine="567"/>
      </w:pPr>
      <w:r w:rsidRPr="00A52018">
        <w:rPr>
          <w:szCs w:val="28"/>
        </w:rPr>
        <w:t>(b)</w:t>
      </w:r>
      <w:r w:rsidRPr="00A52018">
        <w:rPr>
          <w:szCs w:val="28"/>
        </w:rPr>
        <w:tab/>
      </w:r>
      <w:r w:rsidR="00364659" w:rsidRPr="00A52018">
        <w:t>Modalities and procedures for the operation and use of a public registry referred to in Article 4</w:t>
      </w:r>
      <w:r w:rsidR="00364659">
        <w:t xml:space="preserve">, paragraph </w:t>
      </w:r>
      <w:r w:rsidR="00364659" w:rsidRPr="00A52018">
        <w:t xml:space="preserve">12 (NDC registry) </w:t>
      </w:r>
      <w:r w:rsidR="00364659" w:rsidRPr="00A52018">
        <w:rPr>
          <w:i/>
        </w:rPr>
        <w:t>(SBI)</w:t>
      </w:r>
    </w:p>
    <w:p w14:paraId="46877DC0" w14:textId="27C8F8C5" w:rsidR="00364659" w:rsidRPr="00A52018" w:rsidRDefault="0032653E" w:rsidP="0032653E">
      <w:pPr>
        <w:pStyle w:val="RegSingleTxtG2"/>
        <w:numPr>
          <w:ilvl w:val="0"/>
          <w:numId w:val="0"/>
        </w:numPr>
        <w:tabs>
          <w:tab w:val="left" w:pos="1702"/>
        </w:tabs>
        <w:ind w:left="1134" w:firstLine="567"/>
      </w:pPr>
      <w:r w:rsidRPr="00A52018">
        <w:rPr>
          <w:szCs w:val="28"/>
        </w:rPr>
        <w:t>(c)</w:t>
      </w:r>
      <w:r w:rsidRPr="00A52018">
        <w:rPr>
          <w:szCs w:val="28"/>
        </w:rPr>
        <w:tab/>
      </w:r>
      <w:r w:rsidR="00364659" w:rsidRPr="00A52018">
        <w:t>Common time frames for NDCs (Article 4</w:t>
      </w:r>
      <w:r w:rsidR="00364659">
        <w:t>, paragraph</w:t>
      </w:r>
      <w:r w:rsidR="00364659" w:rsidRPr="00A52018">
        <w:t xml:space="preserve"> 10) </w:t>
      </w:r>
      <w:r w:rsidR="00364659" w:rsidRPr="00A52018">
        <w:rPr>
          <w:i/>
        </w:rPr>
        <w:t>(SBI)</w:t>
      </w:r>
    </w:p>
    <w:p w14:paraId="56F002AB" w14:textId="0BF09677" w:rsidR="00364659" w:rsidRPr="00A52018" w:rsidRDefault="0032653E" w:rsidP="0032653E">
      <w:pPr>
        <w:pStyle w:val="RegSingleTxtG2"/>
        <w:numPr>
          <w:ilvl w:val="0"/>
          <w:numId w:val="0"/>
        </w:numPr>
        <w:tabs>
          <w:tab w:val="left" w:pos="1702"/>
        </w:tabs>
        <w:ind w:left="1134" w:firstLine="567"/>
      </w:pPr>
      <w:r w:rsidRPr="00A52018">
        <w:rPr>
          <w:szCs w:val="28"/>
        </w:rPr>
        <w:t>(d)</w:t>
      </w:r>
      <w:r w:rsidRPr="00A52018">
        <w:rPr>
          <w:szCs w:val="28"/>
        </w:rPr>
        <w:tab/>
      </w:r>
      <w:r w:rsidR="00364659" w:rsidRPr="00A52018">
        <w:t xml:space="preserve">Modalities, work programme and functions under the Paris Agreement of the forum on the impact of the implementation of response measures </w:t>
      </w:r>
      <w:r w:rsidR="00364659" w:rsidRPr="00A52018">
        <w:rPr>
          <w:i/>
        </w:rPr>
        <w:t>(SBSTA/SBI)</w:t>
      </w:r>
    </w:p>
    <w:p w14:paraId="22911912" w14:textId="64EA4F49" w:rsidR="00364659" w:rsidRPr="00F37BA5" w:rsidRDefault="0032653E" w:rsidP="0032653E">
      <w:pPr>
        <w:suppressAutoHyphens w:val="0"/>
        <w:spacing w:after="120" w:line="240" w:lineRule="exact"/>
        <w:ind w:left="1134" w:hanging="360"/>
      </w:pPr>
      <w:r w:rsidRPr="00F37BA5">
        <w:rPr>
          <w:rFonts w:ascii="Symbol" w:hAnsi="Symbol"/>
        </w:rPr>
        <w:t></w:t>
      </w:r>
      <w:r w:rsidRPr="00F37BA5">
        <w:rPr>
          <w:rFonts w:ascii="Symbol" w:hAnsi="Symbol"/>
        </w:rPr>
        <w:tab/>
      </w:r>
      <w:r w:rsidR="00364659" w:rsidRPr="00F37BA5">
        <w:t xml:space="preserve">Matters relating to Article 6 of the Paris Agreement and paragraphs 36–40 of decision 1/CP.21 </w:t>
      </w:r>
    </w:p>
    <w:p w14:paraId="337B9E88" w14:textId="49B272DC" w:rsidR="00364659" w:rsidRPr="00F230EF" w:rsidRDefault="0032653E" w:rsidP="0032653E">
      <w:pPr>
        <w:pStyle w:val="RegSingleTxtG2"/>
        <w:numPr>
          <w:ilvl w:val="0"/>
          <w:numId w:val="0"/>
        </w:numPr>
        <w:tabs>
          <w:tab w:val="left" w:pos="1702"/>
        </w:tabs>
        <w:ind w:left="1134" w:firstLine="567"/>
      </w:pPr>
      <w:r w:rsidRPr="00F230EF">
        <w:rPr>
          <w:szCs w:val="28"/>
        </w:rPr>
        <w:t>(a)</w:t>
      </w:r>
      <w:r w:rsidRPr="00F230EF">
        <w:rPr>
          <w:szCs w:val="28"/>
        </w:rPr>
        <w:tab/>
      </w:r>
      <w:r w:rsidR="00364659" w:rsidRPr="00F230EF">
        <w:t>Guidance on cooperative approaches (Article 6, paragraph 2) (</w:t>
      </w:r>
      <w:r w:rsidR="00364659" w:rsidRPr="00F230EF">
        <w:rPr>
          <w:i/>
        </w:rPr>
        <w:t>SBSTA</w:t>
      </w:r>
      <w:r w:rsidR="00364659" w:rsidRPr="00F230EF">
        <w:t>)</w:t>
      </w:r>
    </w:p>
    <w:p w14:paraId="287D9CD4" w14:textId="0A506800" w:rsidR="00364659" w:rsidRPr="00F37BA5" w:rsidRDefault="0032653E" w:rsidP="0032653E">
      <w:pPr>
        <w:pStyle w:val="RegSingleTxtG2"/>
        <w:numPr>
          <w:ilvl w:val="0"/>
          <w:numId w:val="0"/>
        </w:numPr>
        <w:tabs>
          <w:tab w:val="left" w:pos="1702"/>
        </w:tabs>
        <w:ind w:left="1134" w:firstLine="567"/>
      </w:pPr>
      <w:r w:rsidRPr="00F37BA5">
        <w:rPr>
          <w:szCs w:val="28"/>
        </w:rPr>
        <w:t>(b)</w:t>
      </w:r>
      <w:r w:rsidRPr="00F37BA5">
        <w:rPr>
          <w:szCs w:val="28"/>
        </w:rPr>
        <w:tab/>
      </w:r>
      <w:r w:rsidR="00364659" w:rsidRPr="00F37BA5">
        <w:t>Rules, modalities and procedures for the mechanism (Article 6, paragraph 4) (</w:t>
      </w:r>
      <w:r w:rsidR="00364659" w:rsidRPr="00F230EF">
        <w:rPr>
          <w:i/>
        </w:rPr>
        <w:t>SBSTA</w:t>
      </w:r>
      <w:r w:rsidR="00364659" w:rsidRPr="00F37BA5">
        <w:t xml:space="preserve">) </w:t>
      </w:r>
    </w:p>
    <w:p w14:paraId="75F62730" w14:textId="638BEEAE" w:rsidR="00364659" w:rsidRPr="00A52018" w:rsidRDefault="0032653E" w:rsidP="0032653E">
      <w:pPr>
        <w:pStyle w:val="RegSingleTxtG2"/>
        <w:numPr>
          <w:ilvl w:val="0"/>
          <w:numId w:val="0"/>
        </w:numPr>
        <w:tabs>
          <w:tab w:val="left" w:pos="1702"/>
        </w:tabs>
        <w:ind w:left="1134" w:firstLine="567"/>
        <w:rPr>
          <w:rFonts w:eastAsia="Calibri"/>
        </w:rPr>
      </w:pPr>
      <w:r w:rsidRPr="00A52018">
        <w:rPr>
          <w:rFonts w:eastAsia="Calibri"/>
          <w:szCs w:val="28"/>
        </w:rPr>
        <w:t>(c)</w:t>
      </w:r>
      <w:r w:rsidRPr="00A52018">
        <w:rPr>
          <w:rFonts w:eastAsia="Calibri"/>
          <w:szCs w:val="28"/>
        </w:rPr>
        <w:tab/>
      </w:r>
      <w:r w:rsidR="00364659" w:rsidRPr="00F230EF">
        <w:t>Work</w:t>
      </w:r>
      <w:r w:rsidR="00364659" w:rsidRPr="00A52018">
        <w:rPr>
          <w:rFonts w:eastAsia="Calibri"/>
        </w:rPr>
        <w:t xml:space="preserve"> programme under the framework for non-market approaches (Art</w:t>
      </w:r>
      <w:r w:rsidR="00364659">
        <w:rPr>
          <w:rFonts w:eastAsia="Calibri"/>
        </w:rPr>
        <w:t>icle</w:t>
      </w:r>
      <w:r w:rsidR="00364659" w:rsidRPr="00A52018">
        <w:rPr>
          <w:rFonts w:eastAsia="Calibri"/>
        </w:rPr>
        <w:t xml:space="preserve"> 6</w:t>
      </w:r>
      <w:r w:rsidR="00364659">
        <w:rPr>
          <w:rFonts w:eastAsia="Calibri"/>
        </w:rPr>
        <w:t>, paragraph</w:t>
      </w:r>
      <w:r w:rsidR="00364659" w:rsidRPr="00A52018">
        <w:rPr>
          <w:rFonts w:eastAsia="Calibri"/>
        </w:rPr>
        <w:t xml:space="preserve"> 8) </w:t>
      </w:r>
      <w:r w:rsidR="00364659" w:rsidRPr="00A52018">
        <w:rPr>
          <w:rFonts w:eastAsia="Calibri"/>
          <w:i/>
        </w:rPr>
        <w:t>(SBSTA)</w:t>
      </w:r>
    </w:p>
    <w:p w14:paraId="5EF11E04" w14:textId="263F4021" w:rsidR="00364659" w:rsidRPr="0032653E" w:rsidRDefault="0032653E" w:rsidP="0032653E">
      <w:pPr>
        <w:suppressAutoHyphens w:val="0"/>
        <w:spacing w:after="120" w:line="240" w:lineRule="exact"/>
        <w:ind w:left="1134" w:hanging="360"/>
        <w:rPr>
          <w:rFonts w:eastAsia="Calibri"/>
        </w:rPr>
      </w:pPr>
      <w:r w:rsidRPr="00A52018">
        <w:rPr>
          <w:rFonts w:ascii="Symbol" w:eastAsia="Calibri" w:hAnsi="Symbol"/>
        </w:rPr>
        <w:t></w:t>
      </w:r>
      <w:r w:rsidRPr="00A52018">
        <w:rPr>
          <w:rFonts w:ascii="Symbol" w:eastAsia="Calibri" w:hAnsi="Symbol"/>
        </w:rPr>
        <w:tab/>
      </w:r>
      <w:r w:rsidR="00364659" w:rsidRPr="00F37BA5">
        <w:t>M</w:t>
      </w:r>
      <w:r w:rsidR="00364659" w:rsidRPr="0032653E">
        <w:rPr>
          <w:rFonts w:eastAsia="Calibri"/>
        </w:rPr>
        <w:t xml:space="preserve">atters relating to Article 7 of the Paris Agreement and paragraphs 41, 42 and 45 of decision 1/CP.21 </w:t>
      </w:r>
    </w:p>
    <w:p w14:paraId="6319692D" w14:textId="346D1825" w:rsidR="00364659" w:rsidRPr="00F230EF" w:rsidRDefault="0032653E" w:rsidP="0032653E">
      <w:pPr>
        <w:pStyle w:val="RegSingleTxtG2"/>
        <w:numPr>
          <w:ilvl w:val="0"/>
          <w:numId w:val="0"/>
        </w:numPr>
        <w:tabs>
          <w:tab w:val="left" w:pos="1702"/>
        </w:tabs>
        <w:ind w:left="1134" w:firstLine="567"/>
      </w:pPr>
      <w:r w:rsidRPr="00F230EF">
        <w:rPr>
          <w:szCs w:val="28"/>
        </w:rPr>
        <w:t>(a)</w:t>
      </w:r>
      <w:r w:rsidRPr="00F230EF">
        <w:rPr>
          <w:szCs w:val="28"/>
        </w:rPr>
        <w:tab/>
      </w:r>
      <w:r w:rsidR="00364659" w:rsidRPr="00F230EF">
        <w:t>Further guidance for the adaptation communication (</w:t>
      </w:r>
      <w:r w:rsidR="00364659" w:rsidRPr="00F230EF">
        <w:rPr>
          <w:i/>
        </w:rPr>
        <w:t>APA</w:t>
      </w:r>
      <w:r w:rsidR="00364659" w:rsidRPr="00F230EF">
        <w:t>)</w:t>
      </w:r>
    </w:p>
    <w:p w14:paraId="60E4C880" w14:textId="3A74F879" w:rsidR="00364659" w:rsidRPr="00F230EF" w:rsidRDefault="0032653E" w:rsidP="0032653E">
      <w:pPr>
        <w:pStyle w:val="RegSingleTxtG2"/>
        <w:numPr>
          <w:ilvl w:val="0"/>
          <w:numId w:val="0"/>
        </w:numPr>
        <w:tabs>
          <w:tab w:val="left" w:pos="1702"/>
        </w:tabs>
        <w:ind w:left="1134" w:firstLine="567"/>
      </w:pPr>
      <w:r w:rsidRPr="00F230EF">
        <w:rPr>
          <w:szCs w:val="28"/>
        </w:rPr>
        <w:t>(b)</w:t>
      </w:r>
      <w:r w:rsidRPr="00F230EF">
        <w:rPr>
          <w:szCs w:val="28"/>
        </w:rPr>
        <w:tab/>
      </w:r>
      <w:r w:rsidR="00364659" w:rsidRPr="00F230EF">
        <w:t>Modalities and procedures for the operation and use of a public registry referred to in Article 7, paragraph 12 (adaptation registry) (</w:t>
      </w:r>
      <w:r w:rsidR="00364659" w:rsidRPr="00F230EF">
        <w:rPr>
          <w:i/>
        </w:rPr>
        <w:t>SBI</w:t>
      </w:r>
      <w:r w:rsidR="00364659" w:rsidRPr="00F230EF">
        <w:t>)</w:t>
      </w:r>
    </w:p>
    <w:p w14:paraId="43ECB895" w14:textId="53D556EF" w:rsidR="00364659" w:rsidRPr="00F230EF" w:rsidRDefault="0032653E" w:rsidP="0032653E">
      <w:pPr>
        <w:pStyle w:val="RegSingleTxtG2"/>
        <w:numPr>
          <w:ilvl w:val="0"/>
          <w:numId w:val="0"/>
        </w:numPr>
        <w:tabs>
          <w:tab w:val="left" w:pos="1702"/>
        </w:tabs>
        <w:ind w:left="1134" w:firstLine="567"/>
      </w:pPr>
      <w:r w:rsidRPr="00F230EF">
        <w:rPr>
          <w:szCs w:val="28"/>
        </w:rPr>
        <w:t>(c)</w:t>
      </w:r>
      <w:r w:rsidRPr="00F230EF">
        <w:rPr>
          <w:szCs w:val="28"/>
        </w:rPr>
        <w:tab/>
      </w:r>
      <w:r w:rsidR="00364659" w:rsidRPr="00F230EF">
        <w:t>Review of adaptation-related institutional arrangements under the Convention (</w:t>
      </w:r>
      <w:r w:rsidR="00364659" w:rsidRPr="00F230EF">
        <w:rPr>
          <w:i/>
        </w:rPr>
        <w:t>AC; SBSTA/SBI</w:t>
      </w:r>
      <w:r w:rsidR="00364659" w:rsidRPr="00F230EF">
        <w:t xml:space="preserve">) </w:t>
      </w:r>
    </w:p>
    <w:p w14:paraId="6B71FD0D" w14:textId="1A629AB2" w:rsidR="00364659" w:rsidRPr="00F230EF" w:rsidRDefault="0032653E" w:rsidP="0032653E">
      <w:pPr>
        <w:pStyle w:val="RegSingleTxtG2"/>
        <w:numPr>
          <w:ilvl w:val="0"/>
          <w:numId w:val="0"/>
        </w:numPr>
        <w:tabs>
          <w:tab w:val="left" w:pos="1702"/>
        </w:tabs>
        <w:ind w:left="1134" w:firstLine="567"/>
      </w:pPr>
      <w:r w:rsidRPr="00F230EF">
        <w:rPr>
          <w:szCs w:val="28"/>
        </w:rPr>
        <w:t>(d)</w:t>
      </w:r>
      <w:r w:rsidRPr="00F230EF">
        <w:rPr>
          <w:szCs w:val="28"/>
        </w:rPr>
        <w:tab/>
      </w:r>
      <w:r w:rsidR="00364659" w:rsidRPr="00F230EF">
        <w:t>Methodologies for assessing adaptation needs with a view to assisting developing country Parties without placing an undue burden on them (</w:t>
      </w:r>
      <w:r w:rsidR="00364659" w:rsidRPr="00F230EF">
        <w:rPr>
          <w:i/>
        </w:rPr>
        <w:t>AC; SBSTA/SBI</w:t>
      </w:r>
      <w:r w:rsidR="00364659" w:rsidRPr="00F230EF">
        <w:t>)</w:t>
      </w:r>
    </w:p>
    <w:p w14:paraId="0F05BC29" w14:textId="557F9421" w:rsidR="00364659" w:rsidRPr="00F230EF" w:rsidRDefault="0032653E" w:rsidP="0032653E">
      <w:pPr>
        <w:pStyle w:val="RegSingleTxtG2"/>
        <w:numPr>
          <w:ilvl w:val="0"/>
          <w:numId w:val="0"/>
        </w:numPr>
        <w:tabs>
          <w:tab w:val="left" w:pos="1702"/>
        </w:tabs>
        <w:ind w:left="1134" w:firstLine="567"/>
      </w:pPr>
      <w:r w:rsidRPr="00F230EF">
        <w:rPr>
          <w:szCs w:val="28"/>
        </w:rPr>
        <w:t>(e)</w:t>
      </w:r>
      <w:r w:rsidRPr="00F230EF">
        <w:rPr>
          <w:szCs w:val="28"/>
        </w:rPr>
        <w:tab/>
      </w:r>
      <w:r w:rsidR="00364659" w:rsidRPr="00F230EF">
        <w:t>Modalities for the recognition of adaptation efforts of developing country Parties under Article 7, paragraph 3 (</w:t>
      </w:r>
      <w:r w:rsidR="00364659" w:rsidRPr="00F230EF">
        <w:rPr>
          <w:i/>
        </w:rPr>
        <w:t>AC/LEG; SBSTA/SBI</w:t>
      </w:r>
      <w:r w:rsidR="00364659" w:rsidRPr="00F230EF">
        <w:t>)</w:t>
      </w:r>
    </w:p>
    <w:p w14:paraId="6A101BAD" w14:textId="174537EF" w:rsidR="00364659" w:rsidRPr="00F230EF" w:rsidRDefault="0032653E" w:rsidP="0032653E">
      <w:pPr>
        <w:pStyle w:val="RegSingleTxtG2"/>
        <w:numPr>
          <w:ilvl w:val="0"/>
          <w:numId w:val="0"/>
        </w:numPr>
        <w:tabs>
          <w:tab w:val="left" w:pos="1702"/>
        </w:tabs>
        <w:ind w:left="1134" w:firstLine="567"/>
      </w:pPr>
      <w:r w:rsidRPr="00F230EF">
        <w:rPr>
          <w:szCs w:val="28"/>
        </w:rPr>
        <w:t>(f)</w:t>
      </w:r>
      <w:r w:rsidRPr="00F230EF">
        <w:rPr>
          <w:szCs w:val="28"/>
        </w:rPr>
        <w:tab/>
      </w:r>
      <w:r w:rsidR="00364659" w:rsidRPr="00F230EF">
        <w:t>Methodologies to facilitate the mobilization of support for adaptation in developing countries (</w:t>
      </w:r>
      <w:r w:rsidR="00364659" w:rsidRPr="00F230EF">
        <w:rPr>
          <w:i/>
        </w:rPr>
        <w:t>AC/LEG, in collaboration with SCF; SBSTA/SBI</w:t>
      </w:r>
      <w:r w:rsidR="00364659" w:rsidRPr="00F230EF">
        <w:t>)</w:t>
      </w:r>
    </w:p>
    <w:p w14:paraId="0702B130" w14:textId="5ACA2047" w:rsidR="00364659" w:rsidRPr="00F230EF" w:rsidRDefault="0032653E" w:rsidP="0032653E">
      <w:pPr>
        <w:pStyle w:val="RegSingleTxtG2"/>
        <w:numPr>
          <w:ilvl w:val="0"/>
          <w:numId w:val="0"/>
        </w:numPr>
        <w:tabs>
          <w:tab w:val="left" w:pos="1702"/>
        </w:tabs>
        <w:ind w:left="1134" w:firstLine="567"/>
        <w:rPr>
          <w:rFonts w:eastAsia="Calibri"/>
        </w:rPr>
      </w:pPr>
      <w:r w:rsidRPr="00F230EF">
        <w:rPr>
          <w:rFonts w:eastAsia="Calibri"/>
          <w:szCs w:val="28"/>
        </w:rPr>
        <w:t>(g)</w:t>
      </w:r>
      <w:r w:rsidRPr="00F230EF">
        <w:rPr>
          <w:rFonts w:eastAsia="Calibri"/>
          <w:szCs w:val="28"/>
        </w:rPr>
        <w:tab/>
      </w:r>
      <w:r w:rsidR="00364659" w:rsidRPr="00F230EF">
        <w:t>Methodologies on reviewing the adequacy and effectiveness of adaptation and support referred to in Article 7,</w:t>
      </w:r>
      <w:r w:rsidR="00364659" w:rsidRPr="00F230EF">
        <w:rPr>
          <w:rFonts w:eastAsia="Calibri"/>
        </w:rPr>
        <w:t xml:space="preserve"> paragraph 14(c) </w:t>
      </w:r>
      <w:r w:rsidR="00364659" w:rsidRPr="00F230EF">
        <w:rPr>
          <w:rFonts w:eastAsia="Calibri"/>
          <w:i/>
        </w:rPr>
        <w:t>(AC/LEG, in collaboration with SCF; SBSTA/SBI)</w:t>
      </w:r>
    </w:p>
    <w:p w14:paraId="74A0D1EF" w14:textId="4DC0069A" w:rsidR="00364659" w:rsidRPr="0032653E" w:rsidRDefault="0032653E" w:rsidP="0032653E">
      <w:pPr>
        <w:suppressAutoHyphens w:val="0"/>
        <w:spacing w:after="120" w:line="240" w:lineRule="exact"/>
        <w:ind w:left="1134" w:hanging="360"/>
        <w:rPr>
          <w:rFonts w:eastAsia="Calibri"/>
        </w:rPr>
      </w:pPr>
      <w:r w:rsidRPr="00A52018">
        <w:rPr>
          <w:rFonts w:ascii="Symbol" w:eastAsia="Calibri" w:hAnsi="Symbol"/>
        </w:rPr>
        <w:t></w:t>
      </w:r>
      <w:r w:rsidRPr="00A52018">
        <w:rPr>
          <w:rFonts w:ascii="Symbol" w:eastAsia="Calibri" w:hAnsi="Symbol"/>
        </w:rPr>
        <w:tab/>
      </w:r>
      <w:r w:rsidR="00364659" w:rsidRPr="0032653E">
        <w:rPr>
          <w:rFonts w:eastAsia="Calibri"/>
        </w:rPr>
        <w:t>Matters relating to Article 8 of the Paris Agreement and paragraphs 47–51 of decision 1/CP.21</w:t>
      </w:r>
    </w:p>
    <w:p w14:paraId="58A2A274" w14:textId="5842BA6F" w:rsidR="00364659" w:rsidRPr="00F230EF" w:rsidRDefault="0032653E" w:rsidP="0032653E">
      <w:pPr>
        <w:pStyle w:val="RegSingleTxtG2"/>
        <w:numPr>
          <w:ilvl w:val="0"/>
          <w:numId w:val="0"/>
        </w:numPr>
        <w:tabs>
          <w:tab w:val="left" w:pos="1702"/>
        </w:tabs>
        <w:ind w:left="1134" w:firstLine="567"/>
        <w:rPr>
          <w:rFonts w:eastAsia="Calibri"/>
        </w:rPr>
      </w:pPr>
      <w:r w:rsidRPr="00F230EF">
        <w:rPr>
          <w:rFonts w:eastAsia="Calibri"/>
          <w:szCs w:val="28"/>
        </w:rPr>
        <w:t>(a)</w:t>
      </w:r>
      <w:r w:rsidRPr="00F230EF">
        <w:rPr>
          <w:rFonts w:eastAsia="Calibri"/>
          <w:szCs w:val="28"/>
        </w:rPr>
        <w:tab/>
      </w:r>
      <w:r w:rsidR="00364659" w:rsidRPr="00F230EF">
        <w:t>Warsaw</w:t>
      </w:r>
      <w:r w:rsidR="00364659" w:rsidRPr="00F230EF">
        <w:rPr>
          <w:rFonts w:eastAsia="Calibri"/>
        </w:rPr>
        <w:t xml:space="preserve"> International Mechanism for Loss and Damage associated with Climate Change Impacts </w:t>
      </w:r>
      <w:r w:rsidR="00364659" w:rsidRPr="00F230EF">
        <w:rPr>
          <w:rFonts w:eastAsia="Calibri"/>
          <w:i/>
        </w:rPr>
        <w:t>(WIM Ex</w:t>
      </w:r>
      <w:r w:rsidR="00340D65">
        <w:rPr>
          <w:rFonts w:eastAsia="Calibri"/>
          <w:i/>
        </w:rPr>
        <w:t>c</w:t>
      </w:r>
      <w:r w:rsidR="00364659" w:rsidRPr="00F230EF">
        <w:rPr>
          <w:rFonts w:eastAsia="Calibri"/>
          <w:i/>
        </w:rPr>
        <w:t>om)</w:t>
      </w:r>
    </w:p>
    <w:p w14:paraId="78EA9379" w14:textId="3F2A63C8" w:rsidR="00364659" w:rsidRPr="0032653E" w:rsidRDefault="0032653E" w:rsidP="0032653E">
      <w:pPr>
        <w:suppressAutoHyphens w:val="0"/>
        <w:spacing w:after="120" w:line="240" w:lineRule="exact"/>
        <w:ind w:left="1134" w:hanging="360"/>
        <w:rPr>
          <w:rFonts w:eastAsia="Calibri"/>
        </w:rPr>
      </w:pPr>
      <w:r w:rsidRPr="00A52018">
        <w:rPr>
          <w:rFonts w:ascii="Symbol" w:eastAsia="Calibri" w:hAnsi="Symbol"/>
        </w:rPr>
        <w:lastRenderedPageBreak/>
        <w:t></w:t>
      </w:r>
      <w:r w:rsidRPr="00A52018">
        <w:rPr>
          <w:rFonts w:ascii="Symbol" w:eastAsia="Calibri" w:hAnsi="Symbol"/>
        </w:rPr>
        <w:tab/>
      </w:r>
      <w:r w:rsidR="00364659" w:rsidRPr="0032653E">
        <w:rPr>
          <w:rFonts w:eastAsia="Calibri"/>
        </w:rPr>
        <w:t>Matters relating to Article 9 of the Paris Agreement and paragraphs 52–64 of decision 1/CP.21</w:t>
      </w:r>
    </w:p>
    <w:p w14:paraId="5A288928" w14:textId="5BD80D5A" w:rsidR="00364659" w:rsidRPr="00F230EF" w:rsidRDefault="0032653E" w:rsidP="0032653E">
      <w:pPr>
        <w:pStyle w:val="RegSingleTxtG2"/>
        <w:numPr>
          <w:ilvl w:val="0"/>
          <w:numId w:val="0"/>
        </w:numPr>
        <w:tabs>
          <w:tab w:val="left" w:pos="1702"/>
        </w:tabs>
        <w:ind w:left="1134" w:firstLine="567"/>
        <w:rPr>
          <w:rFonts w:eastAsia="Calibri"/>
        </w:rPr>
      </w:pPr>
      <w:r w:rsidRPr="00F230EF">
        <w:rPr>
          <w:rFonts w:eastAsia="Calibri"/>
          <w:szCs w:val="28"/>
        </w:rPr>
        <w:t>(a)</w:t>
      </w:r>
      <w:r w:rsidRPr="00F230EF">
        <w:rPr>
          <w:rFonts w:eastAsia="Calibri"/>
          <w:szCs w:val="28"/>
        </w:rPr>
        <w:tab/>
      </w:r>
      <w:r w:rsidR="00364659" w:rsidRPr="00F230EF">
        <w:rPr>
          <w:rFonts w:eastAsia="Calibri"/>
        </w:rPr>
        <w:t xml:space="preserve">Modalities </w:t>
      </w:r>
      <w:r w:rsidR="00364659" w:rsidRPr="00F230EF">
        <w:t>for</w:t>
      </w:r>
      <w:r w:rsidR="00364659" w:rsidRPr="00F230EF">
        <w:rPr>
          <w:rFonts w:eastAsia="Calibri"/>
        </w:rPr>
        <w:t xml:space="preserve"> the accounting of financial resources provided and mobilized through public interventions in accordance with Article 9, paragraph 7 </w:t>
      </w:r>
      <w:r w:rsidR="00364659" w:rsidRPr="00F230EF">
        <w:rPr>
          <w:rFonts w:eastAsia="Calibri"/>
          <w:i/>
        </w:rPr>
        <w:t>(SBSTA)</w:t>
      </w:r>
    </w:p>
    <w:p w14:paraId="6022BBA4" w14:textId="288D9D4B" w:rsidR="00364659" w:rsidRPr="009E1F72" w:rsidRDefault="0032653E" w:rsidP="0032653E">
      <w:pPr>
        <w:pStyle w:val="RegSingleTxtG2"/>
        <w:numPr>
          <w:ilvl w:val="0"/>
          <w:numId w:val="0"/>
        </w:numPr>
        <w:tabs>
          <w:tab w:val="left" w:pos="1702"/>
        </w:tabs>
        <w:ind w:left="1134" w:firstLine="567"/>
        <w:rPr>
          <w:rFonts w:eastAsia="Calibri"/>
        </w:rPr>
      </w:pPr>
      <w:r w:rsidRPr="009E1F72">
        <w:rPr>
          <w:rFonts w:eastAsia="Calibri"/>
          <w:szCs w:val="28"/>
        </w:rPr>
        <w:t>(b)</w:t>
      </w:r>
      <w:r w:rsidRPr="009E1F72">
        <w:rPr>
          <w:rFonts w:eastAsia="Calibri"/>
          <w:szCs w:val="28"/>
        </w:rPr>
        <w:tab/>
      </w:r>
      <w:r w:rsidR="00364659" w:rsidRPr="009E1F72">
        <w:rPr>
          <w:rFonts w:eastAsia="Calibri"/>
        </w:rPr>
        <w:t>Process to identify information to be provided by Parties in accordance with Article 9, paragraph 5 (</w:t>
      </w:r>
      <w:r w:rsidR="00364659" w:rsidRPr="009E1F72">
        <w:rPr>
          <w:rFonts w:eastAsia="Calibri"/>
          <w:i/>
        </w:rPr>
        <w:t>COP</w:t>
      </w:r>
      <w:r w:rsidR="00364659" w:rsidRPr="009E1F72">
        <w:rPr>
          <w:rFonts w:eastAsia="Calibri"/>
        </w:rPr>
        <w:t>)</w:t>
      </w:r>
    </w:p>
    <w:p w14:paraId="2F8562F0" w14:textId="78A68D74" w:rsidR="00364659" w:rsidRPr="00F230EF" w:rsidRDefault="0032653E" w:rsidP="0032653E">
      <w:pPr>
        <w:pStyle w:val="RegSingleTxtG2"/>
        <w:numPr>
          <w:ilvl w:val="0"/>
          <w:numId w:val="0"/>
        </w:numPr>
        <w:tabs>
          <w:tab w:val="left" w:pos="1702"/>
        </w:tabs>
        <w:ind w:left="1134" w:firstLine="567"/>
        <w:rPr>
          <w:rFonts w:eastAsia="Calibri"/>
        </w:rPr>
      </w:pPr>
      <w:r w:rsidRPr="00F230EF">
        <w:rPr>
          <w:rFonts w:eastAsia="Calibri"/>
          <w:szCs w:val="28"/>
        </w:rPr>
        <w:t>(c)</w:t>
      </w:r>
      <w:r w:rsidRPr="00F230EF">
        <w:rPr>
          <w:rFonts w:eastAsia="Calibri"/>
          <w:szCs w:val="28"/>
        </w:rPr>
        <w:tab/>
      </w:r>
      <w:r w:rsidR="00364659" w:rsidRPr="00F230EF">
        <w:rPr>
          <w:rFonts w:eastAsia="Calibri"/>
        </w:rPr>
        <w:t xml:space="preserve">Adaptation Fund </w:t>
      </w:r>
      <w:r w:rsidR="00364659" w:rsidRPr="00F230EF">
        <w:rPr>
          <w:rFonts w:eastAsia="Calibri"/>
          <w:i/>
        </w:rPr>
        <w:t>(APA)</w:t>
      </w:r>
    </w:p>
    <w:p w14:paraId="1F881860" w14:textId="67245A3C" w:rsidR="00364659" w:rsidRPr="0032653E" w:rsidRDefault="0032653E" w:rsidP="0032653E">
      <w:pPr>
        <w:suppressAutoHyphens w:val="0"/>
        <w:spacing w:after="120" w:line="240" w:lineRule="exact"/>
        <w:ind w:left="1134" w:hanging="360"/>
        <w:rPr>
          <w:rFonts w:eastAsia="Calibri"/>
        </w:rPr>
      </w:pPr>
      <w:r w:rsidRPr="00A52018">
        <w:rPr>
          <w:rFonts w:ascii="Symbol" w:eastAsia="Calibri" w:hAnsi="Symbol"/>
        </w:rPr>
        <w:t></w:t>
      </w:r>
      <w:r w:rsidRPr="00A52018">
        <w:rPr>
          <w:rFonts w:ascii="Symbol" w:eastAsia="Calibri" w:hAnsi="Symbol"/>
        </w:rPr>
        <w:tab/>
      </w:r>
      <w:r w:rsidR="00364659" w:rsidRPr="0032653E">
        <w:rPr>
          <w:rFonts w:eastAsia="Calibri"/>
        </w:rPr>
        <w:t xml:space="preserve">Matters relating to Article 10 of the Paris Agreement and paragraphs 66–70 of decision 1/CP.21 </w:t>
      </w:r>
    </w:p>
    <w:p w14:paraId="431BE355" w14:textId="68B05060" w:rsidR="00364659" w:rsidRPr="00F230EF" w:rsidRDefault="0032653E" w:rsidP="0032653E">
      <w:pPr>
        <w:pStyle w:val="RegSingleTxtG2"/>
        <w:numPr>
          <w:ilvl w:val="0"/>
          <w:numId w:val="0"/>
        </w:numPr>
        <w:tabs>
          <w:tab w:val="left" w:pos="1702"/>
        </w:tabs>
        <w:ind w:left="1134" w:firstLine="567"/>
        <w:rPr>
          <w:rFonts w:eastAsia="Calibri"/>
        </w:rPr>
      </w:pPr>
      <w:r w:rsidRPr="00F230EF">
        <w:rPr>
          <w:rFonts w:eastAsia="Calibri"/>
          <w:szCs w:val="28"/>
        </w:rPr>
        <w:t>(a)</w:t>
      </w:r>
      <w:r w:rsidRPr="00F230EF">
        <w:rPr>
          <w:rFonts w:eastAsia="Calibri"/>
          <w:szCs w:val="28"/>
        </w:rPr>
        <w:tab/>
      </w:r>
      <w:r w:rsidR="00364659" w:rsidRPr="00F230EF">
        <w:rPr>
          <w:rFonts w:eastAsia="Calibri"/>
        </w:rPr>
        <w:t>Scope and modalities of the periodic assessment of the Technology Mechanism (</w:t>
      </w:r>
      <w:r w:rsidR="00364659" w:rsidRPr="00F230EF">
        <w:rPr>
          <w:rFonts w:eastAsia="Calibri"/>
          <w:i/>
        </w:rPr>
        <w:t>SBI</w:t>
      </w:r>
      <w:r w:rsidR="00364659" w:rsidRPr="00F230EF">
        <w:rPr>
          <w:rFonts w:eastAsia="Calibri"/>
        </w:rPr>
        <w:t>)</w:t>
      </w:r>
    </w:p>
    <w:p w14:paraId="1FED0028" w14:textId="2B0B39AC" w:rsidR="00364659" w:rsidRPr="00F230EF" w:rsidRDefault="0032653E" w:rsidP="0032653E">
      <w:pPr>
        <w:pStyle w:val="RegSingleTxtG2"/>
        <w:numPr>
          <w:ilvl w:val="0"/>
          <w:numId w:val="0"/>
        </w:numPr>
        <w:tabs>
          <w:tab w:val="left" w:pos="1702"/>
        </w:tabs>
        <w:ind w:left="1134" w:firstLine="567"/>
        <w:rPr>
          <w:rFonts w:eastAsia="Calibri"/>
        </w:rPr>
      </w:pPr>
      <w:r w:rsidRPr="00F230EF">
        <w:rPr>
          <w:rFonts w:eastAsia="Calibri"/>
          <w:szCs w:val="28"/>
        </w:rPr>
        <w:t>(b)</w:t>
      </w:r>
      <w:r w:rsidRPr="00F230EF">
        <w:rPr>
          <w:rFonts w:eastAsia="Calibri"/>
          <w:szCs w:val="28"/>
        </w:rPr>
        <w:tab/>
      </w:r>
      <w:r w:rsidR="00364659" w:rsidRPr="00F230EF">
        <w:rPr>
          <w:rFonts w:eastAsia="Calibri"/>
        </w:rPr>
        <w:t xml:space="preserve">Technology framework under Article 10, paragraph 4 </w:t>
      </w:r>
      <w:r w:rsidR="00364659" w:rsidRPr="00F230EF">
        <w:rPr>
          <w:rFonts w:eastAsia="Calibri"/>
          <w:i/>
        </w:rPr>
        <w:t>(SBSTA)</w:t>
      </w:r>
    </w:p>
    <w:p w14:paraId="46944C22" w14:textId="186D0FFE" w:rsidR="00364659" w:rsidRPr="0032653E" w:rsidRDefault="0032653E" w:rsidP="0032653E">
      <w:pPr>
        <w:suppressAutoHyphens w:val="0"/>
        <w:spacing w:after="120" w:line="240" w:lineRule="exact"/>
        <w:ind w:left="1134" w:hanging="360"/>
        <w:rPr>
          <w:rFonts w:eastAsia="Calibri"/>
        </w:rPr>
      </w:pPr>
      <w:r w:rsidRPr="00A52018">
        <w:rPr>
          <w:rFonts w:ascii="Symbol" w:eastAsia="Calibri" w:hAnsi="Symbol"/>
        </w:rPr>
        <w:t></w:t>
      </w:r>
      <w:r w:rsidRPr="00A52018">
        <w:rPr>
          <w:rFonts w:ascii="Symbol" w:eastAsia="Calibri" w:hAnsi="Symbol"/>
        </w:rPr>
        <w:tab/>
      </w:r>
      <w:r w:rsidR="00364659" w:rsidRPr="0032653E">
        <w:rPr>
          <w:rFonts w:eastAsia="Calibri"/>
        </w:rPr>
        <w:t>Matters relating to Article 11 of the Paris Agreement and paragraph 81 of decision 1/CP.21</w:t>
      </w:r>
    </w:p>
    <w:p w14:paraId="42398B7E" w14:textId="5E1DBF8A" w:rsidR="00364659" w:rsidRPr="00F230EF" w:rsidRDefault="0032653E" w:rsidP="0032653E">
      <w:pPr>
        <w:pStyle w:val="RegSingleTxtG2"/>
        <w:numPr>
          <w:ilvl w:val="0"/>
          <w:numId w:val="0"/>
        </w:numPr>
        <w:tabs>
          <w:tab w:val="left" w:pos="1702"/>
        </w:tabs>
        <w:ind w:left="1134" w:firstLine="567"/>
        <w:rPr>
          <w:rFonts w:eastAsia="Calibri"/>
        </w:rPr>
      </w:pPr>
      <w:r w:rsidRPr="00F230EF">
        <w:rPr>
          <w:rFonts w:eastAsia="Calibri"/>
          <w:szCs w:val="28"/>
        </w:rPr>
        <w:t>(a)</w:t>
      </w:r>
      <w:r w:rsidRPr="00F230EF">
        <w:rPr>
          <w:rFonts w:eastAsia="Calibri"/>
          <w:szCs w:val="28"/>
        </w:rPr>
        <w:tab/>
      </w:r>
      <w:r w:rsidR="00364659" w:rsidRPr="00F230EF">
        <w:rPr>
          <w:rFonts w:eastAsia="Calibri"/>
        </w:rPr>
        <w:t xml:space="preserve">Institutional arrangements on capacity-building to support the Paris Agreement (Article 11, paragraph 5) </w:t>
      </w:r>
      <w:r w:rsidR="00364659" w:rsidRPr="00F230EF">
        <w:rPr>
          <w:rFonts w:eastAsia="Calibri"/>
          <w:i/>
        </w:rPr>
        <w:t>(COP)</w:t>
      </w:r>
    </w:p>
    <w:p w14:paraId="5CA77A48" w14:textId="0E9DFDC9" w:rsidR="00364659" w:rsidRPr="0032653E" w:rsidRDefault="0032653E" w:rsidP="0032653E">
      <w:pPr>
        <w:suppressAutoHyphens w:val="0"/>
        <w:spacing w:after="120" w:line="240" w:lineRule="exact"/>
        <w:ind w:left="1134" w:hanging="360"/>
        <w:rPr>
          <w:rFonts w:eastAsia="Calibri"/>
        </w:rPr>
      </w:pPr>
      <w:r w:rsidRPr="00A52018">
        <w:rPr>
          <w:rFonts w:ascii="Symbol" w:eastAsia="Calibri" w:hAnsi="Symbol"/>
        </w:rPr>
        <w:t></w:t>
      </w:r>
      <w:r w:rsidRPr="00A52018">
        <w:rPr>
          <w:rFonts w:ascii="Symbol" w:eastAsia="Calibri" w:hAnsi="Symbol"/>
        </w:rPr>
        <w:tab/>
      </w:r>
      <w:r w:rsidR="00364659" w:rsidRPr="0032653E">
        <w:rPr>
          <w:rFonts w:eastAsia="Calibri"/>
        </w:rPr>
        <w:t xml:space="preserve">Matters relating to Article 12 of the Paris Agreement and paragraphs 82 and 83 of decision 1/CP.21 </w:t>
      </w:r>
    </w:p>
    <w:p w14:paraId="200B0343" w14:textId="53564B29" w:rsidR="00364659" w:rsidRPr="00F230EF" w:rsidRDefault="0032653E" w:rsidP="0032653E">
      <w:pPr>
        <w:pStyle w:val="RegSingleTxtG2"/>
        <w:numPr>
          <w:ilvl w:val="0"/>
          <w:numId w:val="0"/>
        </w:numPr>
        <w:tabs>
          <w:tab w:val="left" w:pos="1702"/>
        </w:tabs>
        <w:ind w:left="1134" w:firstLine="567"/>
        <w:rPr>
          <w:rFonts w:eastAsia="Calibri"/>
        </w:rPr>
      </w:pPr>
      <w:r w:rsidRPr="00F230EF">
        <w:rPr>
          <w:rFonts w:eastAsia="Calibri"/>
          <w:szCs w:val="28"/>
        </w:rPr>
        <w:t>(a)</w:t>
      </w:r>
      <w:r w:rsidRPr="00F230EF">
        <w:rPr>
          <w:rFonts w:eastAsia="Calibri"/>
          <w:szCs w:val="28"/>
        </w:rPr>
        <w:tab/>
      </w:r>
      <w:r w:rsidR="00364659" w:rsidRPr="00F230EF">
        <w:rPr>
          <w:rFonts w:eastAsia="Calibri"/>
        </w:rPr>
        <w:t xml:space="preserve">Enhancing the implementation of education, training, public awareness, public participation and public access to information </w:t>
      </w:r>
      <w:r w:rsidR="00364659" w:rsidRPr="00F230EF">
        <w:rPr>
          <w:rFonts w:eastAsia="Calibri"/>
          <w:i/>
        </w:rPr>
        <w:t>(SBI)</w:t>
      </w:r>
    </w:p>
    <w:p w14:paraId="58FD2BBC" w14:textId="2400F225" w:rsidR="00364659" w:rsidRPr="0032653E" w:rsidRDefault="0032653E" w:rsidP="0032653E">
      <w:pPr>
        <w:suppressAutoHyphens w:val="0"/>
        <w:spacing w:after="120" w:line="240" w:lineRule="exact"/>
        <w:ind w:left="1134" w:hanging="360"/>
        <w:rPr>
          <w:rFonts w:eastAsia="Calibri"/>
        </w:rPr>
      </w:pPr>
      <w:r w:rsidRPr="00A52018">
        <w:rPr>
          <w:rFonts w:ascii="Symbol" w:eastAsia="Calibri" w:hAnsi="Symbol"/>
        </w:rPr>
        <w:t></w:t>
      </w:r>
      <w:r w:rsidRPr="00A52018">
        <w:rPr>
          <w:rFonts w:ascii="Symbol" w:eastAsia="Calibri" w:hAnsi="Symbol"/>
        </w:rPr>
        <w:tab/>
      </w:r>
      <w:r w:rsidR="00364659" w:rsidRPr="0032653E">
        <w:rPr>
          <w:rFonts w:eastAsia="Calibri"/>
        </w:rPr>
        <w:t xml:space="preserve">Matters relating to Article 13 of the Paris Agreement and paragraphs 84–98 of decision 1/CP.21 </w:t>
      </w:r>
    </w:p>
    <w:p w14:paraId="0383B579" w14:textId="32176237" w:rsidR="00364659" w:rsidRPr="00F230EF" w:rsidRDefault="0032653E" w:rsidP="0032653E">
      <w:pPr>
        <w:pStyle w:val="RegSingleTxtG2"/>
        <w:numPr>
          <w:ilvl w:val="0"/>
          <w:numId w:val="0"/>
        </w:numPr>
        <w:tabs>
          <w:tab w:val="left" w:pos="1702"/>
        </w:tabs>
        <w:ind w:left="1134" w:firstLine="567"/>
        <w:rPr>
          <w:rFonts w:eastAsia="Calibri"/>
        </w:rPr>
      </w:pPr>
      <w:r w:rsidRPr="00F230EF">
        <w:rPr>
          <w:rFonts w:eastAsia="Calibri"/>
          <w:szCs w:val="28"/>
        </w:rPr>
        <w:t>(a)</w:t>
      </w:r>
      <w:r w:rsidRPr="00F230EF">
        <w:rPr>
          <w:rFonts w:eastAsia="Calibri"/>
          <w:szCs w:val="28"/>
        </w:rPr>
        <w:tab/>
      </w:r>
      <w:r w:rsidR="00364659" w:rsidRPr="00F230EF">
        <w:rPr>
          <w:rFonts w:eastAsia="Calibri"/>
        </w:rPr>
        <w:t xml:space="preserve">Modalities, procedures and guidelines for the enhanced transparency framework for action and support </w:t>
      </w:r>
      <w:r w:rsidR="00364659" w:rsidRPr="00F230EF">
        <w:rPr>
          <w:rFonts w:eastAsia="Calibri"/>
          <w:i/>
        </w:rPr>
        <w:t>(APA)</w:t>
      </w:r>
    </w:p>
    <w:p w14:paraId="6ED5A531" w14:textId="68C6EA4C" w:rsidR="00364659" w:rsidRPr="0032653E" w:rsidRDefault="0032653E" w:rsidP="0032653E">
      <w:pPr>
        <w:suppressAutoHyphens w:val="0"/>
        <w:spacing w:after="120" w:line="240" w:lineRule="exact"/>
        <w:ind w:left="1134" w:hanging="360"/>
        <w:rPr>
          <w:rFonts w:eastAsia="Calibri"/>
        </w:rPr>
      </w:pPr>
      <w:r w:rsidRPr="00A52018">
        <w:rPr>
          <w:rFonts w:ascii="Symbol" w:eastAsia="Calibri" w:hAnsi="Symbol"/>
        </w:rPr>
        <w:t></w:t>
      </w:r>
      <w:r w:rsidRPr="00A52018">
        <w:rPr>
          <w:rFonts w:ascii="Symbol" w:eastAsia="Calibri" w:hAnsi="Symbol"/>
        </w:rPr>
        <w:tab/>
      </w:r>
      <w:r w:rsidR="00364659" w:rsidRPr="0032653E">
        <w:rPr>
          <w:rFonts w:eastAsia="Calibri"/>
        </w:rPr>
        <w:t xml:space="preserve">Matters relating to Article 14 of the Paris Agreement and paragraphs 99–101 of decision 1/CP.21 </w:t>
      </w:r>
    </w:p>
    <w:p w14:paraId="152F3886" w14:textId="2CC02E44" w:rsidR="00364659" w:rsidRPr="00F230EF" w:rsidRDefault="0032653E" w:rsidP="0032653E">
      <w:pPr>
        <w:pStyle w:val="RegSingleTxtG2"/>
        <w:numPr>
          <w:ilvl w:val="0"/>
          <w:numId w:val="0"/>
        </w:numPr>
        <w:tabs>
          <w:tab w:val="left" w:pos="1702"/>
        </w:tabs>
        <w:ind w:left="1134" w:firstLine="567"/>
        <w:rPr>
          <w:rFonts w:eastAsia="Calibri"/>
        </w:rPr>
      </w:pPr>
      <w:r w:rsidRPr="00F230EF">
        <w:rPr>
          <w:rFonts w:eastAsia="Calibri"/>
          <w:szCs w:val="28"/>
        </w:rPr>
        <w:t>(a)</w:t>
      </w:r>
      <w:r w:rsidRPr="00F230EF">
        <w:rPr>
          <w:rFonts w:eastAsia="Calibri"/>
          <w:szCs w:val="28"/>
        </w:rPr>
        <w:tab/>
      </w:r>
      <w:r w:rsidR="00364659" w:rsidRPr="00F230EF">
        <w:rPr>
          <w:rFonts w:eastAsia="Calibri"/>
        </w:rPr>
        <w:t>Matters relating to the global stocktake (inputs/modalities) (</w:t>
      </w:r>
      <w:r w:rsidR="00364659" w:rsidRPr="00F230EF">
        <w:rPr>
          <w:rFonts w:eastAsia="Calibri"/>
          <w:i/>
        </w:rPr>
        <w:t>APA</w:t>
      </w:r>
      <w:r w:rsidR="00364659" w:rsidRPr="00F230EF">
        <w:rPr>
          <w:rFonts w:eastAsia="Calibri"/>
        </w:rPr>
        <w:t>)</w:t>
      </w:r>
    </w:p>
    <w:p w14:paraId="19197B96" w14:textId="0952136F" w:rsidR="00364659" w:rsidRPr="0032653E" w:rsidRDefault="0032653E" w:rsidP="0032653E">
      <w:pPr>
        <w:suppressAutoHyphens w:val="0"/>
        <w:spacing w:after="120" w:line="240" w:lineRule="exact"/>
        <w:ind w:left="1134" w:hanging="360"/>
        <w:rPr>
          <w:rFonts w:eastAsia="Calibri"/>
        </w:rPr>
      </w:pPr>
      <w:r w:rsidRPr="00A52018">
        <w:rPr>
          <w:rFonts w:ascii="Symbol" w:eastAsia="Calibri" w:hAnsi="Symbol"/>
        </w:rPr>
        <w:t></w:t>
      </w:r>
      <w:r w:rsidRPr="00A52018">
        <w:rPr>
          <w:rFonts w:ascii="Symbol" w:eastAsia="Calibri" w:hAnsi="Symbol"/>
        </w:rPr>
        <w:tab/>
      </w:r>
      <w:r w:rsidR="00364659" w:rsidRPr="0032653E">
        <w:rPr>
          <w:rFonts w:eastAsia="Calibri"/>
        </w:rPr>
        <w:t xml:space="preserve">Matters relating to Article 15 of the Paris Agreement and paragraphs 102 and 103 of decision 1/CP.21 </w:t>
      </w:r>
    </w:p>
    <w:p w14:paraId="01A6EDE8" w14:textId="24A7D6DB" w:rsidR="00364659" w:rsidRPr="00F230EF" w:rsidRDefault="0032653E" w:rsidP="0032653E">
      <w:pPr>
        <w:pStyle w:val="RegSingleTxtG2"/>
        <w:numPr>
          <w:ilvl w:val="0"/>
          <w:numId w:val="0"/>
        </w:numPr>
        <w:tabs>
          <w:tab w:val="left" w:pos="1702"/>
        </w:tabs>
        <w:ind w:left="1134" w:firstLine="567"/>
        <w:rPr>
          <w:rFonts w:eastAsia="Calibri"/>
        </w:rPr>
      </w:pPr>
      <w:r w:rsidRPr="00F230EF">
        <w:rPr>
          <w:rFonts w:eastAsia="Calibri"/>
          <w:szCs w:val="28"/>
        </w:rPr>
        <w:t>(a)</w:t>
      </w:r>
      <w:r w:rsidRPr="00F230EF">
        <w:rPr>
          <w:rFonts w:eastAsia="Calibri"/>
          <w:szCs w:val="28"/>
        </w:rPr>
        <w:tab/>
      </w:r>
      <w:r w:rsidR="00364659" w:rsidRPr="00F230EF">
        <w:rPr>
          <w:rFonts w:eastAsia="Calibri"/>
        </w:rPr>
        <w:t xml:space="preserve">Modalities and procedures for the effective operation of the committee to facilitate implementation and promote compliance </w:t>
      </w:r>
      <w:r w:rsidR="00364659" w:rsidRPr="00F230EF">
        <w:rPr>
          <w:rFonts w:eastAsia="Calibri"/>
          <w:i/>
        </w:rPr>
        <w:t>(APA)</w:t>
      </w:r>
    </w:p>
    <w:p w14:paraId="622C9EE2" w14:textId="3DE210B5" w:rsidR="00364659" w:rsidRPr="0032653E" w:rsidRDefault="0032653E" w:rsidP="0032653E">
      <w:pPr>
        <w:suppressAutoHyphens w:val="0"/>
        <w:spacing w:after="120" w:line="240" w:lineRule="exact"/>
        <w:ind w:left="1134" w:hanging="360"/>
        <w:rPr>
          <w:rFonts w:eastAsia="Calibri"/>
        </w:rPr>
      </w:pPr>
      <w:r w:rsidRPr="00A52018">
        <w:rPr>
          <w:rFonts w:ascii="Symbol" w:eastAsia="Calibri" w:hAnsi="Symbol"/>
        </w:rPr>
        <w:t></w:t>
      </w:r>
      <w:r w:rsidRPr="00A52018">
        <w:rPr>
          <w:rFonts w:ascii="Symbol" w:eastAsia="Calibri" w:hAnsi="Symbol"/>
        </w:rPr>
        <w:tab/>
      </w:r>
      <w:r w:rsidR="00364659" w:rsidRPr="0032653E">
        <w:rPr>
          <w:rFonts w:eastAsia="Calibri"/>
        </w:rPr>
        <w:t xml:space="preserve">Possible additional matters relating to the implementation of the Paris Agreement </w:t>
      </w:r>
      <w:r w:rsidR="00364659" w:rsidRPr="0032653E">
        <w:rPr>
          <w:rFonts w:eastAsia="Calibri"/>
          <w:i/>
        </w:rPr>
        <w:t>(APA)</w:t>
      </w:r>
      <w:r w:rsidR="00364659" w:rsidRPr="0048020D">
        <w:rPr>
          <w:rStyle w:val="FootnoteReference"/>
          <w:rFonts w:eastAsia="Calibri"/>
        </w:rPr>
        <w:footnoteReference w:id="8"/>
      </w:r>
    </w:p>
    <w:p w14:paraId="53322A83" w14:textId="6D70A81B" w:rsidR="00364659" w:rsidRPr="00E14C98" w:rsidRDefault="00364659" w:rsidP="00F230EF">
      <w:pPr>
        <w:pStyle w:val="HChG"/>
        <w:spacing w:before="0"/>
      </w:pPr>
      <w:r>
        <w:br w:type="page"/>
      </w:r>
      <w:r w:rsidRPr="00E14C98">
        <w:lastRenderedPageBreak/>
        <w:t>Annex II</w:t>
      </w:r>
      <w:r w:rsidRPr="00955580">
        <w:rPr>
          <w:b w:val="0"/>
          <w:sz w:val="18"/>
          <w:szCs w:val="18"/>
        </w:rPr>
        <w:footnoteReference w:customMarkFollows="1" w:id="9"/>
        <w:t>*</w:t>
      </w:r>
    </w:p>
    <w:p w14:paraId="4695D482" w14:textId="77777777" w:rsidR="00364659" w:rsidRDefault="00364659" w:rsidP="00364659">
      <w:pPr>
        <w:suppressAutoHyphens w:val="0"/>
        <w:spacing w:after="120" w:line="256" w:lineRule="auto"/>
        <w:jc w:val="right"/>
        <w:rPr>
          <w:rFonts w:eastAsia="Calibri"/>
        </w:rPr>
      </w:pPr>
      <w:r>
        <w:rPr>
          <w:rFonts w:eastAsia="Calibri"/>
        </w:rPr>
        <w:t>[</w:t>
      </w:r>
      <w:r w:rsidRPr="00955580">
        <w:rPr>
          <w:rFonts w:eastAsia="Calibri"/>
        </w:rPr>
        <w:t>English only</w:t>
      </w:r>
      <w:r>
        <w:rPr>
          <w:rFonts w:eastAsia="Calibri"/>
        </w:rPr>
        <w:t>]</w:t>
      </w:r>
    </w:p>
    <w:p w14:paraId="7D064ECC" w14:textId="77777777" w:rsidR="00364659" w:rsidRPr="00BC26A0" w:rsidRDefault="00364659" w:rsidP="00364659">
      <w:pPr>
        <w:spacing w:after="120" w:line="270" w:lineRule="exact"/>
        <w:ind w:left="1134" w:right="1134"/>
        <w:jc w:val="center"/>
        <w:rPr>
          <w:sz w:val="28"/>
          <w:szCs w:val="28"/>
        </w:rPr>
      </w:pPr>
      <w:r w:rsidRPr="00BC26A0">
        <w:rPr>
          <w:sz w:val="28"/>
          <w:szCs w:val="28"/>
        </w:rPr>
        <w:t>Informal note by the Presidencies of COP 22 and COP 23</w:t>
      </w:r>
    </w:p>
    <w:p w14:paraId="7609E490" w14:textId="77777777" w:rsidR="00364659" w:rsidRPr="00BC26A0" w:rsidRDefault="00364659" w:rsidP="00364659">
      <w:pPr>
        <w:spacing w:after="120" w:line="270" w:lineRule="exact"/>
        <w:ind w:left="1134" w:right="1134"/>
        <w:jc w:val="center"/>
        <w:rPr>
          <w:i/>
          <w:sz w:val="24"/>
          <w:szCs w:val="24"/>
          <w:u w:val="single"/>
        </w:rPr>
      </w:pPr>
      <w:r w:rsidRPr="00BC26A0">
        <w:rPr>
          <w:i/>
          <w:sz w:val="24"/>
          <w:szCs w:val="24"/>
          <w:u w:val="single"/>
        </w:rPr>
        <w:t>1</w:t>
      </w:r>
      <w:r>
        <w:rPr>
          <w:i/>
          <w:sz w:val="24"/>
          <w:szCs w:val="24"/>
          <w:u w:val="single"/>
        </w:rPr>
        <w:t>7</w:t>
      </w:r>
      <w:r w:rsidRPr="00BC26A0">
        <w:rPr>
          <w:i/>
          <w:sz w:val="24"/>
          <w:szCs w:val="24"/>
          <w:u w:val="single"/>
        </w:rPr>
        <w:t xml:space="preserve"> November 2017</w:t>
      </w:r>
    </w:p>
    <w:p w14:paraId="2E11351A" w14:textId="190A2D74" w:rsidR="00364659" w:rsidRPr="00BC26A0" w:rsidRDefault="00364659" w:rsidP="00364659">
      <w:pPr>
        <w:spacing w:before="360" w:after="240" w:line="270" w:lineRule="exact"/>
        <w:ind w:left="1135" w:right="1134"/>
        <w:jc w:val="center"/>
        <w:rPr>
          <w:b/>
          <w:sz w:val="40"/>
          <w:u w:val="single"/>
        </w:rPr>
      </w:pPr>
      <w:r w:rsidRPr="00BC26A0">
        <w:rPr>
          <w:b/>
          <w:sz w:val="40"/>
          <w:u w:val="single"/>
        </w:rPr>
        <w:t>Talanoa dialogue</w:t>
      </w:r>
    </w:p>
    <w:p w14:paraId="652EE4DC" w14:textId="77777777" w:rsidR="00364659" w:rsidRPr="00BC26A0" w:rsidRDefault="00364659" w:rsidP="00364659">
      <w:pPr>
        <w:spacing w:before="360" w:after="240" w:line="270" w:lineRule="exact"/>
        <w:ind w:left="1135" w:right="1134"/>
        <w:jc w:val="center"/>
        <w:rPr>
          <w:b/>
          <w:sz w:val="36"/>
        </w:rPr>
      </w:pPr>
      <w:r w:rsidRPr="00BC26A0">
        <w:rPr>
          <w:b/>
          <w:sz w:val="36"/>
        </w:rPr>
        <w:t>Approach</w:t>
      </w:r>
    </w:p>
    <w:p w14:paraId="530EB186" w14:textId="3BBE3EE7" w:rsidR="00364659" w:rsidRPr="00BC26A0" w:rsidRDefault="00364659" w:rsidP="00364659">
      <w:pPr>
        <w:spacing w:before="360" w:after="240" w:line="270" w:lineRule="exact"/>
        <w:ind w:left="1135" w:right="1134"/>
        <w:jc w:val="both"/>
        <w:rPr>
          <w:i/>
        </w:rPr>
      </w:pPr>
      <w:r w:rsidRPr="00BC26A0">
        <w:rPr>
          <w:i/>
        </w:rPr>
        <w:t xml:space="preserve">The Presidencies of COP 22 and COP 23 conducted extensive consultations on the Talanoa dialogue throughout 2017, which continued during the twenty-third session of the COP. This informal note has been prepared by the Presidencies of COP 22 and COP 23 on this basis. </w:t>
      </w:r>
    </w:p>
    <w:p w14:paraId="75BD4734" w14:textId="77777777" w:rsidR="00364659" w:rsidRPr="00BC26A0" w:rsidRDefault="00364659" w:rsidP="00364659">
      <w:pPr>
        <w:spacing w:before="360" w:after="240" w:line="270" w:lineRule="exact"/>
        <w:ind w:left="1135" w:right="1134"/>
        <w:rPr>
          <w:b/>
          <w:sz w:val="24"/>
        </w:rPr>
      </w:pPr>
      <w:r w:rsidRPr="00BC26A0">
        <w:rPr>
          <w:b/>
          <w:sz w:val="24"/>
        </w:rPr>
        <w:t>Mandate</w:t>
      </w:r>
    </w:p>
    <w:p w14:paraId="79619ACF" w14:textId="77777777" w:rsidR="00364659" w:rsidRPr="00BC26A0" w:rsidRDefault="00364659" w:rsidP="00364659">
      <w:pPr>
        <w:spacing w:after="120" w:line="240" w:lineRule="exact"/>
        <w:ind w:left="1134" w:right="1134"/>
        <w:jc w:val="both"/>
      </w:pPr>
      <w:r w:rsidRPr="00BC26A0">
        <w:t xml:space="preserve">The COP by its decision 1/CP.21, paragraph 20, decided to “convene a facilitative dialogue among Parties in 2018 to take stock of the collective efforts of Parties in relation to progress towards the long-term goal referred to in Article 4, paragraph 1, of the Agreement and to inform the preparation of nationally determined contributions pursuant to Article 4, paragraph 8, of the Agreement”. </w:t>
      </w:r>
    </w:p>
    <w:p w14:paraId="307D0065" w14:textId="45D22B19" w:rsidR="00364659" w:rsidRPr="00BC26A0" w:rsidRDefault="00364659" w:rsidP="00364659">
      <w:pPr>
        <w:spacing w:before="360" w:after="240" w:line="270" w:lineRule="exact"/>
        <w:ind w:left="1135" w:right="1134"/>
        <w:rPr>
          <w:b/>
          <w:sz w:val="24"/>
        </w:rPr>
      </w:pPr>
      <w:r w:rsidRPr="00BC26A0">
        <w:rPr>
          <w:b/>
          <w:sz w:val="24"/>
        </w:rPr>
        <w:t>Features of the Talanoa dialogue</w:t>
      </w:r>
    </w:p>
    <w:p w14:paraId="4684ECA5" w14:textId="77777777" w:rsidR="00364659" w:rsidRPr="00BC26A0" w:rsidRDefault="00364659" w:rsidP="00364659">
      <w:pPr>
        <w:spacing w:after="120" w:line="240" w:lineRule="exact"/>
        <w:ind w:left="1134" w:right="1134"/>
        <w:jc w:val="both"/>
      </w:pPr>
      <w:r w:rsidRPr="00BC26A0">
        <w:t>Based on input received by Parties, the main features of the dialogue are as follows:</w:t>
      </w:r>
    </w:p>
    <w:p w14:paraId="74775A7E" w14:textId="50B49C70" w:rsidR="00364659" w:rsidRPr="00BC26A0" w:rsidRDefault="0032653E" w:rsidP="0032653E">
      <w:pPr>
        <w:spacing w:after="120" w:line="240" w:lineRule="exact"/>
        <w:ind w:left="1854" w:right="1134" w:hanging="360"/>
        <w:jc w:val="both"/>
      </w:pPr>
      <w:r w:rsidRPr="00BC26A0">
        <w:t>−</w:t>
      </w:r>
      <w:r w:rsidRPr="00BC26A0">
        <w:tab/>
      </w:r>
      <w:r w:rsidR="00364659" w:rsidRPr="00BC26A0">
        <w:t>The dialogue should be constructive, facilitative and solutions oriented;</w:t>
      </w:r>
    </w:p>
    <w:p w14:paraId="21D78AD6" w14:textId="56E2AA85" w:rsidR="00364659" w:rsidRPr="00BC26A0" w:rsidRDefault="0032653E" w:rsidP="0032653E">
      <w:pPr>
        <w:spacing w:after="120" w:line="240" w:lineRule="exact"/>
        <w:ind w:left="1701" w:right="1134" w:hanging="207"/>
        <w:jc w:val="both"/>
      </w:pPr>
      <w:r w:rsidRPr="00BC26A0">
        <w:t>−</w:t>
      </w:r>
      <w:r w:rsidRPr="00BC26A0">
        <w:tab/>
      </w:r>
      <w:r w:rsidR="00364659" w:rsidRPr="00BC26A0">
        <w:t>The dialogue should not lead to discussions of a confrontational nature in which individual Parties or groups of Parties are singled out;</w:t>
      </w:r>
    </w:p>
    <w:p w14:paraId="64F5FF58" w14:textId="288A260E" w:rsidR="00364659" w:rsidRPr="00BC26A0" w:rsidRDefault="0032653E" w:rsidP="0032653E">
      <w:pPr>
        <w:spacing w:after="120" w:line="240" w:lineRule="exact"/>
        <w:ind w:left="1854" w:right="1134" w:hanging="360"/>
        <w:jc w:val="both"/>
      </w:pPr>
      <w:r w:rsidRPr="00BC26A0">
        <w:t>−</w:t>
      </w:r>
      <w:r w:rsidRPr="00BC26A0">
        <w:tab/>
      </w:r>
      <w:r w:rsidR="00364659" w:rsidRPr="00BC26A0">
        <w:t xml:space="preserve">The dialogue will be conducted in the spirit of the Pacific tradition of Talanoa: </w:t>
      </w:r>
    </w:p>
    <w:p w14:paraId="4C51B75F" w14:textId="4BEB9A45"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 xml:space="preserve">Talanoa is a traditional approach used in Fiji and the Pacific to engage in an inclusive, participatory and transparent dialogue; </w:t>
      </w:r>
    </w:p>
    <w:p w14:paraId="75F4A0A2" w14:textId="19B83C3C"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 xml:space="preserve">The purpose of Talanoa is to share stories, build empathy and trust; </w:t>
      </w:r>
    </w:p>
    <w:p w14:paraId="44C360FC" w14:textId="351C4CBA"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During the process, participants advance their knowledge through common understanding;</w:t>
      </w:r>
    </w:p>
    <w:p w14:paraId="166C8063" w14:textId="2B494657" w:rsidR="00364659" w:rsidRDefault="0032653E" w:rsidP="0032653E">
      <w:pPr>
        <w:spacing w:after="120" w:line="240" w:lineRule="exact"/>
        <w:ind w:left="2574" w:right="1134" w:hanging="360"/>
        <w:jc w:val="both"/>
      </w:pPr>
      <w:r>
        <w:rPr>
          <w:rFonts w:ascii="Courier New" w:hAnsi="Courier New" w:cs="Courier New"/>
        </w:rPr>
        <w:t>o</w:t>
      </w:r>
      <w:r>
        <w:rPr>
          <w:rFonts w:ascii="Courier New" w:hAnsi="Courier New" w:cs="Courier New"/>
        </w:rPr>
        <w:tab/>
      </w:r>
      <w:r w:rsidR="00364659" w:rsidRPr="00BC26A0">
        <w:t xml:space="preserve">It creates a platform of dialogue, which results in better decision-making for the collective good; </w:t>
      </w:r>
    </w:p>
    <w:p w14:paraId="5B860B76" w14:textId="6187A171" w:rsidR="00364659" w:rsidRDefault="0032653E" w:rsidP="0032653E">
      <w:pPr>
        <w:spacing w:after="120" w:line="240" w:lineRule="exact"/>
        <w:ind w:left="2574" w:right="1134" w:hanging="360"/>
        <w:jc w:val="both"/>
      </w:pPr>
      <w:r>
        <w:rPr>
          <w:rFonts w:ascii="Courier New" w:hAnsi="Courier New" w:cs="Courier New"/>
        </w:rPr>
        <w:t>o</w:t>
      </w:r>
      <w:r>
        <w:rPr>
          <w:rFonts w:ascii="Courier New" w:hAnsi="Courier New" w:cs="Courier New"/>
        </w:rPr>
        <w:tab/>
      </w:r>
      <w:r w:rsidR="00364659" w:rsidRPr="00BC26A0">
        <w:t>By focusing on the benefits of collective action, this process will inform decision-making and move the global climate agenda forward;</w:t>
      </w:r>
    </w:p>
    <w:p w14:paraId="4072A23B" w14:textId="76D842CD" w:rsidR="00364659" w:rsidRPr="00BC26A0" w:rsidRDefault="0032653E" w:rsidP="0032653E">
      <w:pPr>
        <w:spacing w:after="120" w:line="240" w:lineRule="exact"/>
        <w:ind w:left="1854" w:right="1134" w:hanging="360"/>
        <w:jc w:val="both"/>
      </w:pPr>
      <w:r w:rsidRPr="00BC26A0">
        <w:t>−</w:t>
      </w:r>
      <w:r w:rsidRPr="00BC26A0">
        <w:tab/>
      </w:r>
      <w:r w:rsidR="00364659" w:rsidRPr="00BC26A0">
        <w:t xml:space="preserve">The dialogue should be conducted in a manner that promotes cooperation; </w:t>
      </w:r>
    </w:p>
    <w:p w14:paraId="08C68EA6" w14:textId="2A8CCE6F" w:rsidR="00364659" w:rsidRPr="00BC26A0" w:rsidRDefault="0032653E" w:rsidP="0032653E">
      <w:pPr>
        <w:spacing w:after="120" w:line="240" w:lineRule="exact"/>
        <w:ind w:left="1854" w:right="1134" w:hanging="360"/>
        <w:jc w:val="both"/>
      </w:pPr>
      <w:r w:rsidRPr="00BC26A0">
        <w:t>−</w:t>
      </w:r>
      <w:r w:rsidRPr="00BC26A0">
        <w:tab/>
      </w:r>
      <w:r w:rsidR="00364659" w:rsidRPr="00BC26A0">
        <w:t xml:space="preserve">The dialogue will be structured around three general topics: </w:t>
      </w:r>
    </w:p>
    <w:p w14:paraId="445B2848" w14:textId="5D79F3DA"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 xml:space="preserve">Where are we? </w:t>
      </w:r>
    </w:p>
    <w:p w14:paraId="782531E9" w14:textId="759B2F7E"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 xml:space="preserve">Where do we want to go? </w:t>
      </w:r>
    </w:p>
    <w:p w14:paraId="45F8BD17" w14:textId="34387988"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How do we get there?</w:t>
      </w:r>
    </w:p>
    <w:p w14:paraId="7502EF78" w14:textId="733ADCE0" w:rsidR="00364659" w:rsidRPr="00BC26A0" w:rsidRDefault="0032653E" w:rsidP="0032653E">
      <w:pPr>
        <w:spacing w:after="120" w:line="240" w:lineRule="exact"/>
        <w:ind w:left="1701" w:right="1134" w:hanging="207"/>
        <w:jc w:val="both"/>
      </w:pPr>
      <w:r w:rsidRPr="00BC26A0">
        <w:lastRenderedPageBreak/>
        <w:t>−</w:t>
      </w:r>
      <w:r w:rsidRPr="00BC26A0">
        <w:tab/>
      </w:r>
      <w:r w:rsidR="00364659" w:rsidRPr="00BC26A0">
        <w:t>The dialogue will be conducted in a manner that promotes enhanced ambition. The dialogue will consider, as one of its elements, the efforts of Parties on action and support, as appropriate, in the pre-2020 period;</w:t>
      </w:r>
    </w:p>
    <w:p w14:paraId="0CA9B2ED" w14:textId="14754DEB" w:rsidR="00364659" w:rsidRPr="00BC26A0" w:rsidRDefault="0032653E" w:rsidP="0032653E">
      <w:pPr>
        <w:spacing w:after="120" w:line="240" w:lineRule="exact"/>
        <w:ind w:left="1701" w:right="1134" w:hanging="207"/>
        <w:jc w:val="both"/>
      </w:pPr>
      <w:r w:rsidRPr="00BC26A0">
        <w:t>−</w:t>
      </w:r>
      <w:r w:rsidRPr="00BC26A0">
        <w:tab/>
      </w:r>
      <w:r w:rsidR="00364659" w:rsidRPr="00BC26A0">
        <w:t>The dialogue will fulfil its mandate, in a comprehensive and non-restrictive manner;</w:t>
      </w:r>
    </w:p>
    <w:p w14:paraId="6541E9F7" w14:textId="3D7D8C1F" w:rsidR="00364659" w:rsidRPr="00BC26A0" w:rsidRDefault="0032653E" w:rsidP="0032653E">
      <w:pPr>
        <w:spacing w:after="120" w:line="240" w:lineRule="exact"/>
        <w:ind w:left="1701" w:right="1134" w:hanging="207"/>
        <w:jc w:val="both"/>
      </w:pPr>
      <w:r w:rsidRPr="00BC26A0">
        <w:t>−</w:t>
      </w:r>
      <w:r w:rsidRPr="00BC26A0">
        <w:tab/>
      </w:r>
      <w:r w:rsidR="00364659" w:rsidRPr="00BC26A0">
        <w:t>The dialogue will consist of a preparatory and a political phase;</w:t>
      </w:r>
    </w:p>
    <w:p w14:paraId="2CB98797" w14:textId="71E6C76D" w:rsidR="00364659" w:rsidRPr="00BC26A0" w:rsidDel="00DC43EF" w:rsidRDefault="0032653E" w:rsidP="0032653E">
      <w:pPr>
        <w:spacing w:after="120" w:line="240" w:lineRule="exact"/>
        <w:ind w:left="1701" w:right="1134" w:hanging="207"/>
        <w:jc w:val="both"/>
      </w:pPr>
      <w:r w:rsidRPr="00BC26A0" w:rsidDel="00DC43EF">
        <w:t>−</w:t>
      </w:r>
      <w:r w:rsidRPr="00BC26A0" w:rsidDel="00DC43EF">
        <w:tab/>
      </w:r>
      <w:r w:rsidR="00364659" w:rsidRPr="00BC26A0" w:rsidDel="00DC43EF">
        <w:t>The Presidencies of COP 23 and COP 24 will jointly lead both phases of the dialogue</w:t>
      </w:r>
      <w:r w:rsidR="00364659" w:rsidRPr="00BC26A0">
        <w:t xml:space="preserve"> and co-chair the political phase at COP 24;</w:t>
      </w:r>
    </w:p>
    <w:p w14:paraId="6493840B" w14:textId="73DC9FAE" w:rsidR="00364659" w:rsidRPr="00BC26A0" w:rsidRDefault="0032653E" w:rsidP="0032653E">
      <w:pPr>
        <w:spacing w:after="120" w:line="240" w:lineRule="exact"/>
        <w:ind w:left="1701" w:right="1134" w:hanging="207"/>
        <w:jc w:val="both"/>
      </w:pPr>
      <w:r w:rsidRPr="00BC26A0">
        <w:t>−</w:t>
      </w:r>
      <w:r w:rsidRPr="00BC26A0">
        <w:tab/>
      </w:r>
      <w:r w:rsidR="00364659" w:rsidRPr="00BC26A0">
        <w:t>A dedicated space will be provided in the dialogue, both during the preparatory and the political phase to facilitate the understanding of the implications of the Special Report by the Intergovernmental Panel on Climate Change on Global Warming of 1.5°C;</w:t>
      </w:r>
    </w:p>
    <w:p w14:paraId="0A3D922F" w14:textId="47932AC5" w:rsidR="00364659" w:rsidRPr="00BC26A0" w:rsidRDefault="0032653E" w:rsidP="0032653E">
      <w:pPr>
        <w:spacing w:after="120" w:line="240" w:lineRule="exact"/>
        <w:ind w:left="1854" w:right="1134" w:hanging="360"/>
        <w:jc w:val="both"/>
      </w:pPr>
      <w:r w:rsidRPr="00BC26A0">
        <w:t>−</w:t>
      </w:r>
      <w:r w:rsidRPr="00BC26A0">
        <w:tab/>
      </w:r>
      <w:r w:rsidR="00364659" w:rsidRPr="00BC26A0">
        <w:t xml:space="preserve">As regards inputs to the dialogue: </w:t>
      </w:r>
    </w:p>
    <w:p w14:paraId="771DD609" w14:textId="2BADDA0F"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The Special Report by the IPCC on global warming of 1.5</w:t>
      </w:r>
      <w:r w:rsidR="00364659" w:rsidRPr="00BC26A0">
        <w:rPr>
          <w:lang w:val="is-IS"/>
        </w:rPr>
        <w:t>°C requested by the COP will inform the dialogue;</w:t>
      </w:r>
    </w:p>
    <w:p w14:paraId="4EA9039E" w14:textId="7914BD44"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Parties, stakeholders and expert institutions are encouraged to prepare analytical and policy relevant inputs to inform the dialogue and submit these and other proposed inputs, including those from intergovernmental organisations and UNFCCC bodies, by 2 April 2018 for discussions in conjunction with the May session, and by 29 October 2018 for discussions in conjunction with COP 24;</w:t>
      </w:r>
    </w:p>
    <w:p w14:paraId="44FC910D" w14:textId="769624F5"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The Presidencies of COP 23 and COP 24 will also provide inputs to inform the dialogue;</w:t>
      </w:r>
    </w:p>
    <w:p w14:paraId="28557298" w14:textId="1FE02FCA"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An online platform will facilitate access to all inputs to the dialogue, which will be overseen by the Presidencies of COP 23 and COP 24;</w:t>
      </w:r>
    </w:p>
    <w:p w14:paraId="711A0702" w14:textId="0BE30915" w:rsidR="00364659" w:rsidRPr="00BC26A0" w:rsidRDefault="0032653E" w:rsidP="0032653E">
      <w:pPr>
        <w:suppressAutoHyphens w:val="0"/>
        <w:spacing w:after="120" w:line="240" w:lineRule="auto"/>
        <w:ind w:left="2574" w:right="1134" w:hanging="360"/>
        <w:jc w:val="both"/>
        <w:rPr>
          <w:b/>
        </w:rPr>
      </w:pPr>
      <w:r w:rsidRPr="00BC26A0">
        <w:rPr>
          <w:rFonts w:ascii="Courier New" w:hAnsi="Courier New" w:cs="Courier New"/>
        </w:rPr>
        <w:t>o</w:t>
      </w:r>
      <w:r w:rsidRPr="00BC26A0">
        <w:rPr>
          <w:rFonts w:ascii="Courier New" w:hAnsi="Courier New" w:cs="Courier New"/>
        </w:rPr>
        <w:tab/>
      </w:r>
      <w:r w:rsidR="00364659" w:rsidRPr="00BC26A0">
        <w:t>The secretariat will be requested to prepare relevant inputs and to develop and manage the online platform under the guidance of the Presidencies of COP 23 and COP 24;</w:t>
      </w:r>
    </w:p>
    <w:p w14:paraId="0E8BD71C" w14:textId="6FBB9F81" w:rsidR="00364659" w:rsidRPr="00BC26A0" w:rsidRDefault="0032653E" w:rsidP="0032653E">
      <w:pPr>
        <w:spacing w:after="120" w:line="240" w:lineRule="exact"/>
        <w:ind w:left="1701" w:right="1134" w:hanging="207"/>
        <w:jc w:val="both"/>
      </w:pPr>
      <w:r w:rsidRPr="00BC26A0">
        <w:t>−</w:t>
      </w:r>
      <w:r w:rsidRPr="00BC26A0">
        <w:tab/>
      </w:r>
      <w:r w:rsidR="00364659" w:rsidRPr="00BC26A0">
        <w:t>The preparatory phase will seek to build a strong evidence-based foundation for the political phase:</w:t>
      </w:r>
    </w:p>
    <w:p w14:paraId="25C7F88F" w14:textId="752035C4"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 xml:space="preserve">The preparatory phase will start </w:t>
      </w:r>
      <w:r w:rsidR="00364659">
        <w:t>after</w:t>
      </w:r>
      <w:r w:rsidR="00364659" w:rsidRPr="00BC26A0">
        <w:t xml:space="preserve"> the dialogue is launched at COP 23</w:t>
      </w:r>
      <w:r w:rsidR="00364659">
        <w:t>, in January 2018,</w:t>
      </w:r>
      <w:r w:rsidR="00364659" w:rsidRPr="00BC26A0">
        <w:t xml:space="preserve"> and will end at COP 24; </w:t>
      </w:r>
    </w:p>
    <w:p w14:paraId="03973FF3" w14:textId="33F5BB53"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Parties and non-Party stakeholders are invited to cooperate in convening local, national, regional or global events in support of the dialogue and to prepare and make available relevant inputs;</w:t>
      </w:r>
    </w:p>
    <w:p w14:paraId="5C7CF104" w14:textId="5453F548"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 xml:space="preserve">The May discussions will be used to explore the three central topics informed by inputs by various actors and institutions, including from the Technical Examination Process and Global Climate Action, with the support of the high-level champions; </w:t>
      </w:r>
    </w:p>
    <w:p w14:paraId="403718F2" w14:textId="5CBCDC15"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Summaries from all discussions will be prepared under the authority of the Presidencies of COP 23 and COP 24;</w:t>
      </w:r>
    </w:p>
    <w:p w14:paraId="1CC4C45F" w14:textId="59318B61"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 xml:space="preserve">The information and insights gained during the preparatory phase will be synthesised by the Presidencies of COP 23 and COP 24 to provide a foundation for the political phase; </w:t>
      </w:r>
    </w:p>
    <w:p w14:paraId="43AE3CCA" w14:textId="77777777" w:rsidR="00364659" w:rsidRPr="00BC26A0" w:rsidRDefault="00364659" w:rsidP="00364659">
      <w:pPr>
        <w:keepNext/>
        <w:keepLines/>
        <w:spacing w:before="240" w:after="120" w:line="240" w:lineRule="exact"/>
        <w:ind w:left="1287" w:right="1134" w:firstLine="567"/>
        <w:jc w:val="center"/>
        <w:rPr>
          <w:sz w:val="18"/>
        </w:rPr>
      </w:pPr>
      <w:r w:rsidRPr="00BC26A0">
        <w:rPr>
          <w:sz w:val="18"/>
        </w:rPr>
        <w:lastRenderedPageBreak/>
        <w:t>Figure 1 - Preparatory phase</w:t>
      </w:r>
    </w:p>
    <w:p w14:paraId="0E5EE7C7" w14:textId="71A41F7F" w:rsidR="00364659" w:rsidRPr="00BC26A0" w:rsidRDefault="00C17DFD" w:rsidP="00364659">
      <w:pPr>
        <w:spacing w:after="120" w:line="240" w:lineRule="auto"/>
        <w:ind w:right="1134"/>
        <w:jc w:val="both"/>
      </w:pPr>
      <w:r>
        <w:rPr>
          <w:noProof/>
          <w:lang w:val="en-US" w:eastAsia="en-US"/>
        </w:rPr>
        <w:drawing>
          <wp:inline distT="0" distB="0" distL="0" distR="0" wp14:anchorId="549A6AED" wp14:editId="6F0D708F">
            <wp:extent cx="6297295" cy="3347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7295" cy="3347720"/>
                    </a:xfrm>
                    <a:prstGeom prst="rect">
                      <a:avLst/>
                    </a:prstGeom>
                    <a:noFill/>
                    <a:ln>
                      <a:noFill/>
                    </a:ln>
                  </pic:spPr>
                </pic:pic>
              </a:graphicData>
            </a:graphic>
          </wp:inline>
        </w:drawing>
      </w:r>
    </w:p>
    <w:p w14:paraId="69EE8153" w14:textId="77777777" w:rsidR="00364659" w:rsidRPr="00BC26A0" w:rsidRDefault="00364659" w:rsidP="00364659">
      <w:pPr>
        <w:spacing w:after="120" w:line="240" w:lineRule="exact"/>
        <w:ind w:left="1854" w:right="1134"/>
        <w:jc w:val="both"/>
      </w:pPr>
    </w:p>
    <w:p w14:paraId="7DE44AA7" w14:textId="6A6C5624" w:rsidR="00364659" w:rsidRPr="00BC26A0" w:rsidRDefault="0032653E" w:rsidP="0032653E">
      <w:pPr>
        <w:spacing w:after="120" w:line="240" w:lineRule="exact"/>
        <w:ind w:left="1701" w:right="1134" w:hanging="207"/>
        <w:jc w:val="both"/>
      </w:pPr>
      <w:r w:rsidRPr="00BC26A0">
        <w:t>−</w:t>
      </w:r>
      <w:r w:rsidRPr="00BC26A0">
        <w:tab/>
      </w:r>
      <w:r w:rsidR="00364659" w:rsidRPr="00BC26A0">
        <w:t>The political phase will bring high-level representatives of Parties together to take stock of the collective efforts of Parties in relation to progress towards the long-term goal referred to in Article 4, paragraph 1, of the Agreement and to inform the preparation of nationally determined contributions pursuant to Article 4, paragraph 8, of the Agreement:</w:t>
      </w:r>
    </w:p>
    <w:p w14:paraId="3A10F263" w14:textId="16D7A89D"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 xml:space="preserve">The political phase will take place at COP 24 with the participation of Ministers; </w:t>
      </w:r>
    </w:p>
    <w:p w14:paraId="372F9469" w14:textId="1D851DDF"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 xml:space="preserve">This phase will build on the preparatory phase and focus on the objectives of the dialogue; </w:t>
      </w:r>
    </w:p>
    <w:p w14:paraId="375D4ED2" w14:textId="474AD974"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Political discussions will include roundtables to ensure focuss</w:t>
      </w:r>
      <w:r w:rsidR="00364659">
        <w:t xml:space="preserve">ed and interactive discussions </w:t>
      </w:r>
      <w:r w:rsidR="00364659" w:rsidRPr="00BC26A0">
        <w:t>among Ministers;</w:t>
      </w:r>
    </w:p>
    <w:p w14:paraId="11A59D7E" w14:textId="0606A093" w:rsidR="00364659" w:rsidRPr="00BC26A0" w:rsidRDefault="0032653E" w:rsidP="0032653E">
      <w:pPr>
        <w:spacing w:after="120" w:line="240" w:lineRule="exact"/>
        <w:ind w:left="2574" w:right="1134" w:hanging="360"/>
        <w:jc w:val="both"/>
      </w:pPr>
      <w:r w:rsidRPr="00BC26A0">
        <w:rPr>
          <w:rFonts w:ascii="Courier New" w:hAnsi="Courier New" w:cs="Courier New"/>
        </w:rPr>
        <w:t>o</w:t>
      </w:r>
      <w:r w:rsidRPr="00BC26A0">
        <w:rPr>
          <w:rFonts w:ascii="Courier New" w:hAnsi="Courier New" w:cs="Courier New"/>
        </w:rPr>
        <w:tab/>
      </w:r>
      <w:r w:rsidR="00364659" w:rsidRPr="00BC26A0">
        <w:t xml:space="preserve">At the closing meeting of the dialogue, the Presidencies of COP 23 and COP 24 will provide a summary of key messages from the roundtables; </w:t>
      </w:r>
    </w:p>
    <w:p w14:paraId="19979E07" w14:textId="77777777" w:rsidR="00364659" w:rsidRPr="00BC26A0" w:rsidRDefault="00364659" w:rsidP="00364659">
      <w:pPr>
        <w:keepNext/>
        <w:keepLines/>
        <w:spacing w:before="240" w:after="120" w:line="240" w:lineRule="exact"/>
        <w:ind w:left="1287" w:right="1134" w:firstLine="567"/>
        <w:jc w:val="center"/>
      </w:pPr>
      <w:r w:rsidRPr="00BC26A0">
        <w:lastRenderedPageBreak/>
        <w:t>Figure 2 - Political phase</w:t>
      </w:r>
    </w:p>
    <w:p w14:paraId="68962F4F" w14:textId="40DD1E11" w:rsidR="00364659" w:rsidRPr="00BC26A0" w:rsidRDefault="00C17DFD" w:rsidP="00364659">
      <w:pPr>
        <w:spacing w:before="240" w:after="120" w:line="240" w:lineRule="auto"/>
        <w:ind w:left="1854" w:right="1134" w:hanging="1003"/>
        <w:rPr>
          <w:b/>
        </w:rPr>
      </w:pPr>
      <w:r>
        <w:rPr>
          <w:b/>
          <w:noProof/>
          <w:lang w:val="en-US" w:eastAsia="en-US"/>
        </w:rPr>
        <w:drawing>
          <wp:inline distT="0" distB="0" distL="0" distR="0" wp14:anchorId="7A6DEB99" wp14:editId="415DA704">
            <wp:extent cx="5271770" cy="246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1770" cy="2465070"/>
                    </a:xfrm>
                    <a:prstGeom prst="rect">
                      <a:avLst/>
                    </a:prstGeom>
                    <a:noFill/>
                    <a:ln>
                      <a:noFill/>
                    </a:ln>
                  </pic:spPr>
                </pic:pic>
              </a:graphicData>
            </a:graphic>
          </wp:inline>
        </w:drawing>
      </w:r>
    </w:p>
    <w:p w14:paraId="64A1CF73" w14:textId="77777777" w:rsidR="00364659" w:rsidRPr="00BC26A0" w:rsidRDefault="00364659" w:rsidP="00364659">
      <w:pPr>
        <w:spacing w:after="120" w:line="240" w:lineRule="exact"/>
        <w:ind w:left="1854" w:right="1134"/>
        <w:jc w:val="both"/>
      </w:pPr>
    </w:p>
    <w:p w14:paraId="2EA0623E" w14:textId="29B453FC" w:rsidR="00364659" w:rsidRPr="00BC26A0" w:rsidRDefault="0032653E" w:rsidP="0032653E">
      <w:pPr>
        <w:spacing w:after="120" w:line="240" w:lineRule="exact"/>
        <w:ind w:left="1701" w:right="1134" w:hanging="207"/>
        <w:jc w:val="both"/>
      </w:pPr>
      <w:r w:rsidRPr="00BC26A0">
        <w:t>−</w:t>
      </w:r>
      <w:r w:rsidRPr="00BC26A0">
        <w:tab/>
      </w:r>
      <w:r w:rsidR="00364659" w:rsidRPr="00BC26A0">
        <w:t xml:space="preserve">It will be important to send clear forward looking signals to ensure that the outcome of the dialogue is greater confidence, courage and enhanced ambition; </w:t>
      </w:r>
    </w:p>
    <w:p w14:paraId="59E5BAD7" w14:textId="44CA8DF2" w:rsidR="00364659" w:rsidRPr="00BC26A0" w:rsidRDefault="0032653E" w:rsidP="0032653E">
      <w:pPr>
        <w:spacing w:after="120" w:line="240" w:lineRule="exact"/>
        <w:ind w:left="1701" w:right="1134" w:hanging="207"/>
        <w:jc w:val="both"/>
      </w:pPr>
      <w:r w:rsidRPr="00BC26A0">
        <w:t>−</w:t>
      </w:r>
      <w:r w:rsidRPr="00BC26A0">
        <w:tab/>
      </w:r>
      <w:r w:rsidR="00364659" w:rsidRPr="00BC26A0">
        <w:t>The outcome of the dialogue is expected to capture the political momentum, and help Parties to inform the preparation of nationally determined contributions;</w:t>
      </w:r>
    </w:p>
    <w:p w14:paraId="5D3DAD89" w14:textId="278F700E" w:rsidR="00364659" w:rsidRDefault="0032653E" w:rsidP="0032653E">
      <w:pPr>
        <w:spacing w:after="120" w:line="240" w:lineRule="exact"/>
        <w:ind w:left="1701" w:right="1134" w:hanging="207"/>
        <w:jc w:val="both"/>
      </w:pPr>
      <w:r>
        <w:t>−</w:t>
      </w:r>
      <w:r>
        <w:tab/>
      </w:r>
      <w:r w:rsidR="00364659" w:rsidRPr="00BC26A0">
        <w:t>The outputs of the dialogue will inclu</w:t>
      </w:r>
      <w:r w:rsidR="00364659">
        <w:t>de reports and summaries of the discussions.</w:t>
      </w:r>
    </w:p>
    <w:p w14:paraId="46B7DB00" w14:textId="51D17430" w:rsidR="00875B3E" w:rsidRPr="00CC4174" w:rsidRDefault="000D7190" w:rsidP="00875B3E">
      <w:pPr>
        <w:pStyle w:val="RegSingleTxtG"/>
        <w:numPr>
          <w:ilvl w:val="0"/>
          <w:numId w:val="0"/>
        </w:numPr>
        <w:suppressAutoHyphens w:val="0"/>
        <w:autoSpaceDE w:val="0"/>
        <w:autoSpaceDN w:val="0"/>
        <w:adjustRightInd w:val="0"/>
        <w:spacing w:after="0" w:line="240" w:lineRule="auto"/>
        <w:ind w:left="1494" w:right="-1"/>
        <w:jc w:val="right"/>
        <w:rPr>
          <w:i/>
          <w:lang w:eastAsia="en-US"/>
        </w:rPr>
      </w:pPr>
      <w:r w:rsidRPr="000D7190">
        <w:rPr>
          <w:i/>
          <w:lang w:eastAsia="en-US"/>
        </w:rPr>
        <w:t>14</w:t>
      </w:r>
      <w:r w:rsidR="00875B3E" w:rsidRPr="000D7190">
        <w:rPr>
          <w:i/>
          <w:vertAlign w:val="superscript"/>
          <w:lang w:eastAsia="en-US"/>
        </w:rPr>
        <w:t>th</w:t>
      </w:r>
      <w:r w:rsidR="00875B3E" w:rsidRPr="000D7190">
        <w:rPr>
          <w:i/>
          <w:lang w:eastAsia="en-US"/>
        </w:rPr>
        <w:t xml:space="preserve"> plenary meeting</w:t>
      </w:r>
    </w:p>
    <w:p w14:paraId="165961F3" w14:textId="7D04768E" w:rsidR="00875B3E" w:rsidRPr="00CC4174" w:rsidRDefault="00875B3E" w:rsidP="00875B3E">
      <w:pPr>
        <w:pStyle w:val="RegSingleTxtG"/>
        <w:numPr>
          <w:ilvl w:val="0"/>
          <w:numId w:val="0"/>
        </w:numPr>
        <w:suppressAutoHyphens w:val="0"/>
        <w:autoSpaceDE w:val="0"/>
        <w:autoSpaceDN w:val="0"/>
        <w:adjustRightInd w:val="0"/>
        <w:spacing w:after="0" w:line="240" w:lineRule="auto"/>
        <w:ind w:left="1494" w:right="-1"/>
        <w:jc w:val="right"/>
        <w:rPr>
          <w:i/>
          <w:lang w:eastAsia="en-US"/>
        </w:rPr>
      </w:pPr>
      <w:r w:rsidRPr="00CC4174">
        <w:rPr>
          <w:i/>
          <w:lang w:eastAsia="en-US"/>
        </w:rPr>
        <w:t>18 November 201</w:t>
      </w:r>
      <w:r>
        <w:rPr>
          <w:i/>
          <w:lang w:eastAsia="en-US"/>
        </w:rPr>
        <w:t>7</w:t>
      </w:r>
    </w:p>
    <w:p w14:paraId="0D2E4433" w14:textId="77777777" w:rsidR="00875B3E" w:rsidRDefault="00875B3E" w:rsidP="00742296">
      <w:pPr>
        <w:sectPr w:rsidR="00875B3E" w:rsidSect="00CA22E4">
          <w:headerReference w:type="even" r:id="rId20"/>
          <w:headerReference w:type="default" r:id="rId21"/>
          <w:footerReference w:type="even" r:id="rId22"/>
          <w:footerReference w:type="default" r:id="rId23"/>
          <w:footnotePr>
            <w:numRestart w:val="eachSect"/>
          </w:footnotePr>
          <w:pgSz w:w="11906" w:h="16838" w:code="9"/>
          <w:pgMar w:top="1417" w:right="1134" w:bottom="1134" w:left="1134" w:header="850" w:footer="567" w:gutter="0"/>
          <w:cols w:space="708"/>
          <w:docGrid w:linePitch="360"/>
        </w:sectPr>
      </w:pPr>
    </w:p>
    <w:p w14:paraId="3EDA0A8A" w14:textId="6743D2D4" w:rsidR="00742296" w:rsidRDefault="00875B3E" w:rsidP="00875B3E">
      <w:pPr>
        <w:pStyle w:val="HChG"/>
      </w:pPr>
      <w:r>
        <w:lastRenderedPageBreak/>
        <w:tab/>
      </w:r>
      <w:r>
        <w:tab/>
      </w:r>
      <w:r w:rsidRPr="00AC1022">
        <w:t>Decision 2/CP.23</w:t>
      </w:r>
    </w:p>
    <w:p w14:paraId="2FFC0CAC" w14:textId="135FAC9B" w:rsidR="00875B3E" w:rsidRDefault="00875B3E" w:rsidP="00875B3E">
      <w:pPr>
        <w:pStyle w:val="HChG"/>
      </w:pPr>
      <w:r>
        <w:tab/>
      </w:r>
      <w:r>
        <w:tab/>
        <w:t>Local communities and indigenous peoples platform</w:t>
      </w:r>
    </w:p>
    <w:p w14:paraId="293DA4DA" w14:textId="77777777" w:rsidR="00875B3E" w:rsidRPr="000754FC" w:rsidRDefault="00875B3E" w:rsidP="00875B3E">
      <w:pPr>
        <w:spacing w:before="120"/>
        <w:ind w:left="1134" w:right="1174" w:firstLine="567"/>
        <w:rPr>
          <w:i/>
        </w:rPr>
      </w:pPr>
      <w:r w:rsidRPr="000754FC">
        <w:rPr>
          <w:i/>
        </w:rPr>
        <w:t>The Conference of the Parties</w:t>
      </w:r>
      <w:r w:rsidRPr="008146AE">
        <w:t>,</w:t>
      </w:r>
    </w:p>
    <w:p w14:paraId="3CEA02EE" w14:textId="77777777" w:rsidR="00875B3E" w:rsidRDefault="00875B3E" w:rsidP="00875B3E">
      <w:pPr>
        <w:spacing w:before="120"/>
        <w:ind w:left="1134" w:right="1174" w:firstLine="567"/>
        <w:jc w:val="both"/>
      </w:pPr>
      <w:r w:rsidRPr="000754FC">
        <w:rPr>
          <w:i/>
        </w:rPr>
        <w:t>Recalling</w:t>
      </w:r>
      <w:r>
        <w:t xml:space="preserve"> </w:t>
      </w:r>
      <w:r w:rsidRPr="001872A5">
        <w:t>the United Nations Declaration on the Rights of Indigenous Peoples, decision 1/CP.21 and the Paris Agreement,</w:t>
      </w:r>
    </w:p>
    <w:p w14:paraId="787F4617" w14:textId="3E48F163" w:rsidR="00875B3E" w:rsidRDefault="00875B3E" w:rsidP="00875B3E">
      <w:pPr>
        <w:spacing w:before="120"/>
        <w:ind w:left="1134" w:right="1174" w:firstLine="567"/>
        <w:jc w:val="both"/>
      </w:pPr>
      <w:r w:rsidRPr="000754FC">
        <w:rPr>
          <w:i/>
        </w:rPr>
        <w:t>Acknowledging</w:t>
      </w:r>
      <w:r>
        <w:t xml:space="preserve"> </w:t>
      </w:r>
      <w:r w:rsidRPr="001872A5">
        <w:t>that Parties should, when taking action to address climate change, respect, promote and consider their respective obligations on the rights of indigenous peoples and local communities</w:t>
      </w:r>
      <w:r>
        <w:t>,</w:t>
      </w:r>
    </w:p>
    <w:p w14:paraId="45B0D432" w14:textId="3B21FAB9" w:rsidR="00875B3E" w:rsidRDefault="00875B3E" w:rsidP="00875B3E">
      <w:pPr>
        <w:spacing w:before="120"/>
        <w:ind w:left="1134" w:right="1174" w:firstLine="567"/>
        <w:jc w:val="both"/>
      </w:pPr>
      <w:r w:rsidRPr="001872A5">
        <w:rPr>
          <w:i/>
        </w:rPr>
        <w:t xml:space="preserve">Emphasizing </w:t>
      </w:r>
      <w:r w:rsidRPr="001872A5">
        <w:t xml:space="preserve">the role of local communities and indigenous peoples in achieving the targets and goals set </w:t>
      </w:r>
      <w:r w:rsidR="00C66538">
        <w:t xml:space="preserve">out </w:t>
      </w:r>
      <w:r w:rsidRPr="001872A5">
        <w:t xml:space="preserve">in the Convention, the Paris Agreement and the 2030 Agenda for Sustainable Development, and </w:t>
      </w:r>
      <w:r w:rsidRPr="00955580">
        <w:rPr>
          <w:i/>
        </w:rPr>
        <w:t>recognizing</w:t>
      </w:r>
      <w:r w:rsidRPr="001872A5">
        <w:t xml:space="preserve"> their vulnerability to climate change</w:t>
      </w:r>
      <w:r>
        <w:t>,</w:t>
      </w:r>
    </w:p>
    <w:p w14:paraId="2BC9551C" w14:textId="3303C765" w:rsidR="00875B3E" w:rsidRPr="001872A5" w:rsidRDefault="00875B3E" w:rsidP="00875B3E">
      <w:pPr>
        <w:spacing w:before="120"/>
        <w:ind w:left="1134" w:right="1174" w:firstLine="567"/>
        <w:jc w:val="both"/>
        <w:rPr>
          <w:i/>
        </w:rPr>
      </w:pPr>
      <w:r w:rsidRPr="001872A5">
        <w:rPr>
          <w:i/>
        </w:rPr>
        <w:t>Reaffirming</w:t>
      </w:r>
      <w:r>
        <w:rPr>
          <w:i/>
        </w:rPr>
        <w:t xml:space="preserve"> </w:t>
      </w:r>
      <w:r w:rsidRPr="001872A5">
        <w:t xml:space="preserve">the need to strengthen the knowledge, technologies, practices and efforts of local communities and indigenous peoples related to addressing and responding to climate change, and the importance of the platform established for the exchange of experience and sharing of best practices </w:t>
      </w:r>
      <w:r w:rsidR="00B35A02">
        <w:t>related to</w:t>
      </w:r>
      <w:r w:rsidRPr="001872A5">
        <w:t xml:space="preserve"> mitigation and adaptation in a holistic and integrated manner</w:t>
      </w:r>
      <w:r>
        <w:t xml:space="preserve">, </w:t>
      </w:r>
    </w:p>
    <w:p w14:paraId="65D2EFEE" w14:textId="12FA4E02" w:rsidR="00875B3E" w:rsidRPr="00CD340A" w:rsidRDefault="0032653E" w:rsidP="0032653E">
      <w:pPr>
        <w:pStyle w:val="RegSingleTxtG"/>
        <w:numPr>
          <w:ilvl w:val="0"/>
          <w:numId w:val="0"/>
        </w:numPr>
        <w:spacing w:before="120"/>
        <w:ind w:left="1134"/>
      </w:pPr>
      <w:r w:rsidRPr="00CD340A">
        <w:t>1.</w:t>
      </w:r>
      <w:r w:rsidRPr="00CD340A">
        <w:tab/>
      </w:r>
      <w:r w:rsidR="00875B3E" w:rsidRPr="00CD340A">
        <w:rPr>
          <w:i/>
        </w:rPr>
        <w:t xml:space="preserve">Notes with appreciation </w:t>
      </w:r>
      <w:r w:rsidR="00875B3E" w:rsidRPr="00CD340A">
        <w:t>the submissions from Parties,</w:t>
      </w:r>
      <w:r w:rsidR="00875B3E" w:rsidRPr="00CD340A">
        <w:rPr>
          <w:rStyle w:val="FootnoteReference"/>
        </w:rPr>
        <w:footnoteReference w:id="10"/>
      </w:r>
      <w:r w:rsidR="00875B3E" w:rsidRPr="00CD340A">
        <w:t xml:space="preserve"> indigenous peoples organizations and other relevant organizations</w:t>
      </w:r>
      <w:r w:rsidR="00875B3E" w:rsidRPr="00CD340A">
        <w:rPr>
          <w:rStyle w:val="FootnoteReference"/>
        </w:rPr>
        <w:footnoteReference w:id="11"/>
      </w:r>
      <w:r w:rsidR="00875B3E" w:rsidRPr="00CD340A">
        <w:t xml:space="preserve"> on the purpose, content and structure of the local communities and indigenous peoples platform (hereinafter referred to as the platform);</w:t>
      </w:r>
    </w:p>
    <w:p w14:paraId="684B78B7" w14:textId="56D3B602" w:rsidR="00875B3E" w:rsidRDefault="0032653E" w:rsidP="0032653E">
      <w:pPr>
        <w:pStyle w:val="RegSingleTxtG"/>
        <w:numPr>
          <w:ilvl w:val="0"/>
          <w:numId w:val="0"/>
        </w:numPr>
        <w:ind w:left="1134"/>
      </w:pPr>
      <w:r>
        <w:t>2.</w:t>
      </w:r>
      <w:r>
        <w:tab/>
      </w:r>
      <w:r w:rsidR="00875B3E" w:rsidRPr="00483914">
        <w:rPr>
          <w:rFonts w:eastAsia="Times New Roman"/>
          <w:i/>
          <w:lang w:val="en-US" w:eastAsia="en-GB"/>
        </w:rPr>
        <w:t>Acknowledges</w:t>
      </w:r>
      <w:r w:rsidR="00875B3E">
        <w:rPr>
          <w:rFonts w:eastAsia="Times New Roman"/>
          <w:lang w:val="en-US" w:eastAsia="en-GB"/>
        </w:rPr>
        <w:t xml:space="preserve"> the fruitful exchange of views </w:t>
      </w:r>
      <w:r w:rsidR="00AC1022">
        <w:rPr>
          <w:rFonts w:eastAsia="Times New Roman"/>
          <w:lang w:val="en-US" w:eastAsia="en-GB"/>
        </w:rPr>
        <w:t xml:space="preserve">that took place </w:t>
      </w:r>
      <w:r w:rsidR="00875B3E">
        <w:rPr>
          <w:rFonts w:eastAsia="Times New Roman"/>
          <w:lang w:val="en-US" w:eastAsia="en-GB"/>
        </w:rPr>
        <w:t>during the open m</w:t>
      </w:r>
      <w:r w:rsidR="00875B3E">
        <w:t xml:space="preserve">ulti-stakeholder dialogue that was convened by the Chair of the </w:t>
      </w:r>
      <w:r w:rsidR="00875B3E" w:rsidRPr="00243ADD">
        <w:t>Subsidiary Body for Scientific and Technological Advice</w:t>
      </w:r>
      <w:r w:rsidR="00875B3E">
        <w:t xml:space="preserve"> and co-moderated with a representative of indigenous peoples organizations during the forty-sixth session of the Subsidiary Body for Scientific and Technological Advice, on 16 and 17 May 2017;</w:t>
      </w:r>
      <w:r w:rsidR="00875B3E">
        <w:rPr>
          <w:rStyle w:val="FootnoteReference"/>
        </w:rPr>
        <w:footnoteReference w:id="12"/>
      </w:r>
    </w:p>
    <w:p w14:paraId="3262FCF7" w14:textId="1BACFF88" w:rsidR="00875B3E" w:rsidRPr="00F305EF" w:rsidRDefault="0032653E" w:rsidP="0032653E">
      <w:pPr>
        <w:pStyle w:val="RegSingleTxtG"/>
        <w:numPr>
          <w:ilvl w:val="0"/>
          <w:numId w:val="0"/>
        </w:numPr>
        <w:ind w:left="1134"/>
      </w:pPr>
      <w:r w:rsidRPr="00F305EF">
        <w:t>3.</w:t>
      </w:r>
      <w:r w:rsidRPr="00F305EF">
        <w:tab/>
      </w:r>
      <w:r w:rsidR="00875B3E">
        <w:rPr>
          <w:rFonts w:eastAsia="Times New Roman"/>
          <w:i/>
          <w:lang w:val="en-US" w:eastAsia="en-GB"/>
        </w:rPr>
        <w:t xml:space="preserve">Notes with </w:t>
      </w:r>
      <w:r w:rsidR="00875B3E" w:rsidRPr="00B127CF">
        <w:rPr>
          <w:i/>
        </w:rPr>
        <w:t>appreciation</w:t>
      </w:r>
      <w:r w:rsidR="00875B3E">
        <w:t xml:space="preserve"> the </w:t>
      </w:r>
      <w:r w:rsidR="00875B3E">
        <w:rPr>
          <w:rFonts w:eastAsia="Times New Roman"/>
          <w:lang w:val="en-US" w:eastAsia="en-GB"/>
        </w:rPr>
        <w:t xml:space="preserve">support provided </w:t>
      </w:r>
      <w:r w:rsidR="00875B3E" w:rsidRPr="00AC6F80">
        <w:rPr>
          <w:rFonts w:eastAsia="Times New Roman"/>
          <w:lang w:val="en-US" w:eastAsia="en-GB"/>
        </w:rPr>
        <w:t xml:space="preserve">by </w:t>
      </w:r>
      <w:r w:rsidR="00875B3E">
        <w:rPr>
          <w:rFonts w:eastAsia="Times New Roman"/>
          <w:lang w:val="en-US" w:eastAsia="en-GB"/>
        </w:rPr>
        <w:t xml:space="preserve">Belgium and New Zealand for </w:t>
      </w:r>
      <w:r w:rsidR="00875B3E" w:rsidRPr="000E1C44">
        <w:rPr>
          <w:rFonts w:eastAsia="Times New Roman"/>
          <w:lang w:val="en-US" w:eastAsia="en-GB"/>
        </w:rPr>
        <w:t xml:space="preserve">the participation of </w:t>
      </w:r>
      <w:r w:rsidR="00875B3E">
        <w:t xml:space="preserve">representatives of indigenous peoples organizations </w:t>
      </w:r>
      <w:r w:rsidR="00875B3E" w:rsidRPr="000E1C44">
        <w:rPr>
          <w:rFonts w:eastAsia="Times New Roman"/>
          <w:lang w:val="en-US" w:eastAsia="en-GB"/>
        </w:rPr>
        <w:t>in the multi</w:t>
      </w:r>
      <w:r w:rsidR="00875B3E">
        <w:rPr>
          <w:rFonts w:eastAsia="Times New Roman"/>
          <w:lang w:val="en-US" w:eastAsia="en-GB"/>
        </w:rPr>
        <w:t>-</w:t>
      </w:r>
      <w:r w:rsidR="00875B3E" w:rsidRPr="000E1C44">
        <w:rPr>
          <w:rFonts w:eastAsia="Times New Roman"/>
          <w:lang w:val="en-US" w:eastAsia="en-GB"/>
        </w:rPr>
        <w:t>stakeholder dialogue</w:t>
      </w:r>
      <w:r w:rsidR="00875B3E">
        <w:rPr>
          <w:rFonts w:eastAsia="Times New Roman"/>
          <w:lang w:val="en-US" w:eastAsia="en-GB"/>
        </w:rPr>
        <w:t xml:space="preserve"> referred to in </w:t>
      </w:r>
      <w:r w:rsidR="00875B3E" w:rsidRPr="00F305EF">
        <w:rPr>
          <w:rFonts w:eastAsia="Times New Roman"/>
          <w:lang w:val="en-US" w:eastAsia="en-GB"/>
        </w:rPr>
        <w:t>paragraph 2 above</w:t>
      </w:r>
      <w:r w:rsidR="00875B3E">
        <w:rPr>
          <w:rFonts w:eastAsia="Times New Roman"/>
          <w:lang w:val="en-US" w:eastAsia="en-GB"/>
        </w:rPr>
        <w:t>;</w:t>
      </w:r>
    </w:p>
    <w:p w14:paraId="1A8F6C92" w14:textId="13400FDB" w:rsidR="00875B3E" w:rsidRDefault="0032653E" w:rsidP="0032653E">
      <w:pPr>
        <w:pStyle w:val="RegSingleTxtG"/>
        <w:numPr>
          <w:ilvl w:val="0"/>
          <w:numId w:val="0"/>
        </w:numPr>
        <w:ind w:left="1134"/>
      </w:pPr>
      <w:r>
        <w:t>4.</w:t>
      </w:r>
      <w:r>
        <w:tab/>
      </w:r>
      <w:r w:rsidR="00875B3E" w:rsidRPr="00F305EF">
        <w:rPr>
          <w:i/>
        </w:rPr>
        <w:t>Welcomes</w:t>
      </w:r>
      <w:r w:rsidR="00875B3E" w:rsidRPr="00F305EF">
        <w:t xml:space="preserve"> the report on the proposals on the operationalization of the platform based on the open multi-stakeholder dialogue referred to in paragraph 2 above and</w:t>
      </w:r>
      <w:r w:rsidR="00875B3E">
        <w:t xml:space="preserve"> the submissions received;</w:t>
      </w:r>
      <w:r w:rsidR="00875B3E">
        <w:rPr>
          <w:rStyle w:val="FootnoteReference"/>
        </w:rPr>
        <w:footnoteReference w:id="13"/>
      </w:r>
    </w:p>
    <w:p w14:paraId="0B44D28B" w14:textId="6583FAF9" w:rsidR="00875B3E" w:rsidRDefault="0032653E" w:rsidP="0032653E">
      <w:pPr>
        <w:pStyle w:val="RegSingleTxtG"/>
        <w:numPr>
          <w:ilvl w:val="0"/>
          <w:numId w:val="0"/>
        </w:numPr>
        <w:ind w:left="1134"/>
      </w:pPr>
      <w:r>
        <w:t>5.</w:t>
      </w:r>
      <w:r>
        <w:tab/>
      </w:r>
      <w:r w:rsidR="00875B3E" w:rsidRPr="00543810">
        <w:rPr>
          <w:i/>
        </w:rPr>
        <w:t>Decides</w:t>
      </w:r>
      <w:r w:rsidR="00875B3E">
        <w:rPr>
          <w:i/>
        </w:rPr>
        <w:t xml:space="preserve"> </w:t>
      </w:r>
      <w:r w:rsidR="00875B3E" w:rsidRPr="00680FB0">
        <w:t>that</w:t>
      </w:r>
      <w:r w:rsidR="00875B3E" w:rsidRPr="00243ADD">
        <w:t xml:space="preserve"> t</w:t>
      </w:r>
      <w:r w:rsidR="00875B3E">
        <w:t>he overall purpose</w:t>
      </w:r>
      <w:r w:rsidR="00B35A02">
        <w:t>s</w:t>
      </w:r>
      <w:r w:rsidR="00875B3E">
        <w:t xml:space="preserve"> of the platform will be to strengthen the knowledge, technologies, practices and efforts of local communities and indigenous peoples related to addressing and responding to climate change, to facilitate the exchange of experience and the sharing of best practices and lessons learned </w:t>
      </w:r>
      <w:r w:rsidR="00B35A02">
        <w:t>related to</w:t>
      </w:r>
      <w:r w:rsidR="00875B3E">
        <w:t xml:space="preserve"> mitigation and adaptation in a holistic and integrated manner and to </w:t>
      </w:r>
      <w:r w:rsidR="00875B3E" w:rsidRPr="00543810">
        <w:t xml:space="preserve">enhance the engagement of </w:t>
      </w:r>
      <w:r w:rsidR="00875B3E">
        <w:t xml:space="preserve">local communities and </w:t>
      </w:r>
      <w:r w:rsidR="00875B3E" w:rsidRPr="00543810">
        <w:t>indigenous peoples in the UNFCCC process</w:t>
      </w:r>
      <w:r w:rsidR="00875B3E">
        <w:t>;</w:t>
      </w:r>
    </w:p>
    <w:p w14:paraId="6A4DC622" w14:textId="131D48F1" w:rsidR="00875B3E" w:rsidRDefault="0032653E" w:rsidP="0032653E">
      <w:pPr>
        <w:pStyle w:val="RegSingleTxtG"/>
        <w:numPr>
          <w:ilvl w:val="0"/>
          <w:numId w:val="0"/>
        </w:numPr>
        <w:ind w:left="1134"/>
      </w:pPr>
      <w:r>
        <w:t>6.</w:t>
      </w:r>
      <w:r>
        <w:tab/>
      </w:r>
      <w:r w:rsidR="00875B3E">
        <w:rPr>
          <w:i/>
        </w:rPr>
        <w:t>Also d</w:t>
      </w:r>
      <w:r w:rsidR="00875B3E" w:rsidRPr="00660461">
        <w:rPr>
          <w:i/>
        </w:rPr>
        <w:t>ecides</w:t>
      </w:r>
      <w:r w:rsidR="00875B3E">
        <w:t xml:space="preserve"> that the platform will </w:t>
      </w:r>
      <w:r w:rsidR="00B35A02">
        <w:t>perform</w:t>
      </w:r>
      <w:r w:rsidR="00875B3E">
        <w:t xml:space="preserve"> the following functions:</w:t>
      </w:r>
    </w:p>
    <w:p w14:paraId="44B6E390" w14:textId="62B9F5F3" w:rsidR="00875B3E" w:rsidRDefault="0032653E" w:rsidP="0032653E">
      <w:pPr>
        <w:pStyle w:val="RegSingleTxtG2"/>
        <w:numPr>
          <w:ilvl w:val="0"/>
          <w:numId w:val="0"/>
        </w:numPr>
        <w:ind w:left="1134" w:firstLine="567"/>
      </w:pPr>
      <w:r>
        <w:rPr>
          <w:szCs w:val="28"/>
        </w:rPr>
        <w:t>(a)</w:t>
      </w:r>
      <w:r>
        <w:rPr>
          <w:szCs w:val="28"/>
        </w:rPr>
        <w:tab/>
      </w:r>
      <w:r w:rsidR="00875B3E" w:rsidRPr="00875B3E">
        <w:rPr>
          <w:color w:val="000000"/>
        </w:rPr>
        <w:t>Knowledge</w:t>
      </w:r>
      <w:r w:rsidR="00875B3E" w:rsidRPr="00B44199">
        <w:t xml:space="preserve">: </w:t>
      </w:r>
      <w:r w:rsidR="00875B3E">
        <w:t>t</w:t>
      </w:r>
      <w:r w:rsidR="00875B3E" w:rsidRPr="00B44199">
        <w:t xml:space="preserve">he platform should </w:t>
      </w:r>
      <w:r w:rsidR="00875B3E">
        <w:t xml:space="preserve">promote the exchange of experience and best practices </w:t>
      </w:r>
      <w:r w:rsidR="00B35A02">
        <w:t>with a view to</w:t>
      </w:r>
      <w:r w:rsidR="00875B3E">
        <w:t xml:space="preserve"> applying, strengthening, protecting and preserving traditional knowledge, knowledge of indigenous peoples and local knowledge systems</w:t>
      </w:r>
      <w:r w:rsidR="00B35A02">
        <w:t>,</w:t>
      </w:r>
      <w:r w:rsidR="00875B3E">
        <w:t xml:space="preserve"> as well as technologies, practices and efforts of local communities and indigenous peoples related to </w:t>
      </w:r>
      <w:r w:rsidR="00875B3E">
        <w:lastRenderedPageBreak/>
        <w:t>addressing and responding to climate change, taking into account the free, prior and informed consent of the holders of such knowledge, innovations and practices;</w:t>
      </w:r>
    </w:p>
    <w:p w14:paraId="3744E3A7" w14:textId="4CC2A828" w:rsidR="00875B3E" w:rsidRDefault="0032653E" w:rsidP="0032653E">
      <w:pPr>
        <w:pStyle w:val="RegSingleTxtG2"/>
        <w:numPr>
          <w:ilvl w:val="0"/>
          <w:numId w:val="0"/>
        </w:numPr>
        <w:ind w:left="1134" w:firstLine="567"/>
      </w:pPr>
      <w:r>
        <w:rPr>
          <w:szCs w:val="28"/>
        </w:rPr>
        <w:t>(b)</w:t>
      </w:r>
      <w:r>
        <w:rPr>
          <w:szCs w:val="28"/>
        </w:rPr>
        <w:tab/>
      </w:r>
      <w:r w:rsidR="00875B3E" w:rsidRPr="00891C28">
        <w:t>Capacity for engagement</w:t>
      </w:r>
      <w:r w:rsidR="00875B3E" w:rsidRPr="00B44199">
        <w:t>:</w:t>
      </w:r>
      <w:r w:rsidR="00875B3E">
        <w:t xml:space="preserve"> t</w:t>
      </w:r>
      <w:r w:rsidR="00875B3E" w:rsidRPr="00B44199">
        <w:t>he platform should build the capacit</w:t>
      </w:r>
      <w:r w:rsidR="00B35A02">
        <w:t>y</w:t>
      </w:r>
      <w:r w:rsidR="00875B3E" w:rsidRPr="00B44199">
        <w:t xml:space="preserve"> of indigenous peoples and local communities to enable their engagement in the UNFCCC process</w:t>
      </w:r>
      <w:r w:rsidR="00AC1022">
        <w:t xml:space="preserve"> and</w:t>
      </w:r>
      <w:r w:rsidR="00875B3E">
        <w:t xml:space="preserve"> the capacit</w:t>
      </w:r>
      <w:r w:rsidR="00B35A02">
        <w:t>y</w:t>
      </w:r>
      <w:r w:rsidR="00875B3E">
        <w:t xml:space="preserve"> of Parties and other relevant stakeholders to engage with the platform and with local communities and indigenous peoples</w:t>
      </w:r>
      <w:r w:rsidR="00875B3E" w:rsidRPr="00B44199">
        <w:t xml:space="preserve">, including </w:t>
      </w:r>
      <w:r w:rsidR="00875B3E">
        <w:t xml:space="preserve">in </w:t>
      </w:r>
      <w:r w:rsidR="00875B3E" w:rsidRPr="00B44199">
        <w:t xml:space="preserve">the </w:t>
      </w:r>
      <w:r w:rsidR="00875B3E">
        <w:t xml:space="preserve">context of the </w:t>
      </w:r>
      <w:r w:rsidR="00875B3E" w:rsidRPr="00B44199">
        <w:t>implementation of the Paris Agreement and other climate change related processes</w:t>
      </w:r>
      <w:r w:rsidR="00875B3E">
        <w:t>;</w:t>
      </w:r>
    </w:p>
    <w:p w14:paraId="68DE5D6D" w14:textId="26560320" w:rsidR="00875B3E" w:rsidRDefault="0032653E" w:rsidP="0032653E">
      <w:pPr>
        <w:pStyle w:val="RegSingleTxtG2"/>
        <w:numPr>
          <w:ilvl w:val="0"/>
          <w:numId w:val="0"/>
        </w:numPr>
        <w:ind w:left="1134" w:firstLine="567"/>
      </w:pPr>
      <w:r>
        <w:rPr>
          <w:szCs w:val="28"/>
        </w:rPr>
        <w:t>(c)</w:t>
      </w:r>
      <w:r>
        <w:rPr>
          <w:szCs w:val="28"/>
        </w:rPr>
        <w:tab/>
      </w:r>
      <w:r w:rsidR="00875B3E" w:rsidRPr="00891C28">
        <w:t>Climate change policies and actions</w:t>
      </w:r>
      <w:r w:rsidR="00875B3E" w:rsidRPr="00B44199">
        <w:t xml:space="preserve">: </w:t>
      </w:r>
      <w:r w:rsidR="00875B3E">
        <w:t>t</w:t>
      </w:r>
      <w:r w:rsidR="00875B3E" w:rsidRPr="00B44199">
        <w:t xml:space="preserve">he platform should facilitate the integration of diverse knowledge systems, practices and innovations in </w:t>
      </w:r>
      <w:r w:rsidR="00875B3E">
        <w:t xml:space="preserve">designing and implementing international and national actions, programmes and policies in a manner that respects and promotes the rights and interests of local communities and indigenous peoples. The platform should </w:t>
      </w:r>
      <w:r w:rsidR="00B84D2E">
        <w:t xml:space="preserve">also </w:t>
      </w:r>
      <w:r w:rsidR="00875B3E">
        <w:t>facilitate</w:t>
      </w:r>
      <w:r w:rsidR="00A8481E">
        <w:t xml:space="preserve"> the undertaking of</w:t>
      </w:r>
      <w:r w:rsidR="00875B3E">
        <w:t xml:space="preserve"> stronger and more ambitious climate action by indigenous peoples and local communities that could contribute to the achievement of the nationally determined contributions of the Parties concerned;</w:t>
      </w:r>
    </w:p>
    <w:p w14:paraId="35B2FDAF" w14:textId="294710A3" w:rsidR="00875B3E" w:rsidRDefault="0032653E" w:rsidP="0032653E">
      <w:pPr>
        <w:pStyle w:val="RegSingleTxtG"/>
        <w:numPr>
          <w:ilvl w:val="0"/>
          <w:numId w:val="0"/>
        </w:numPr>
        <w:ind w:left="1134"/>
      </w:pPr>
      <w:r>
        <w:t>7.</w:t>
      </w:r>
      <w:r>
        <w:tab/>
      </w:r>
      <w:r w:rsidR="00875B3E">
        <w:rPr>
          <w:i/>
        </w:rPr>
        <w:t>Further decides</w:t>
      </w:r>
      <w:r w:rsidR="00875B3E">
        <w:t xml:space="preserve"> to continue to work towards the full operationalization of the platform;</w:t>
      </w:r>
    </w:p>
    <w:p w14:paraId="2EBAE94F" w14:textId="1B97CAAD" w:rsidR="00875B3E" w:rsidRDefault="0032653E" w:rsidP="0032653E">
      <w:pPr>
        <w:pStyle w:val="RegSingleTxtG"/>
        <w:numPr>
          <w:ilvl w:val="0"/>
          <w:numId w:val="0"/>
        </w:numPr>
        <w:ind w:left="1134"/>
      </w:pPr>
      <w:r>
        <w:t>8.</w:t>
      </w:r>
      <w:r>
        <w:tab/>
      </w:r>
      <w:r w:rsidR="00875B3E" w:rsidRPr="00F76DBE">
        <w:rPr>
          <w:i/>
        </w:rPr>
        <w:t>Recommends</w:t>
      </w:r>
      <w:r w:rsidR="00875B3E" w:rsidRPr="00F76DBE">
        <w:t xml:space="preserve"> </w:t>
      </w:r>
      <w:r w:rsidR="00875B3E" w:rsidRPr="00E83573">
        <w:t xml:space="preserve">that </w:t>
      </w:r>
      <w:r w:rsidR="00875B3E" w:rsidRPr="00462CF3">
        <w:t xml:space="preserve">the </w:t>
      </w:r>
      <w:r w:rsidR="00875B3E" w:rsidRPr="001B4340">
        <w:t>processes under</w:t>
      </w:r>
      <w:r w:rsidR="00875B3E" w:rsidRPr="00F76DBE">
        <w:t xml:space="preserve"> the</w:t>
      </w:r>
      <w:r w:rsidR="00875B3E" w:rsidRPr="001B4340">
        <w:t xml:space="preserve"> platform</w:t>
      </w:r>
      <w:r w:rsidR="00875B3E" w:rsidRPr="00F76DBE">
        <w:t>, including its operationalization</w:t>
      </w:r>
      <w:r w:rsidR="00875B3E">
        <w:t>,</w:t>
      </w:r>
      <w:r w:rsidR="00875B3E" w:rsidRPr="00F76DBE">
        <w:t xml:space="preserve"> </w:t>
      </w:r>
      <w:r w:rsidR="00875B3E" w:rsidRPr="00415147">
        <w:t>take into account, inter alia, the interests and views of local communities and indigenous peoples,</w:t>
      </w:r>
      <w:r w:rsidR="00875B3E">
        <w:t xml:space="preserve"> </w:t>
      </w:r>
      <w:r w:rsidR="00875B3E" w:rsidRPr="00DD2EF1">
        <w:t xml:space="preserve">as well as the </w:t>
      </w:r>
      <w:r w:rsidR="00A8481E">
        <w:t xml:space="preserve">following </w:t>
      </w:r>
      <w:r w:rsidR="00875B3E" w:rsidRPr="00DD2EF1">
        <w:t>principles proposed by indigenous peoples organizations</w:t>
      </w:r>
      <w:r w:rsidR="00A8481E">
        <w:t>:</w:t>
      </w:r>
      <w:r w:rsidR="00875B3E" w:rsidRPr="00DD2EF1">
        <w:t xml:space="preserve"> full and effective participation of indigenous peoples; equal status of indigenous peoples and Parties, including in leadership roles; self-selection of indigenous</w:t>
      </w:r>
      <w:r w:rsidR="00875B3E">
        <w:t xml:space="preserve"> peoples</w:t>
      </w:r>
      <w:r w:rsidR="00875B3E" w:rsidRPr="00DD2EF1">
        <w:t xml:space="preserve"> representatives in accordance with indigenous peoples’ own procedures; </w:t>
      </w:r>
      <w:r w:rsidR="00875B3E">
        <w:t xml:space="preserve">and </w:t>
      </w:r>
      <w:r w:rsidR="00875B3E" w:rsidRPr="00DD2EF1">
        <w:t xml:space="preserve">adequate funding from the </w:t>
      </w:r>
      <w:r w:rsidR="00875B3E">
        <w:t>s</w:t>
      </w:r>
      <w:r w:rsidR="00875B3E" w:rsidRPr="00DD2EF1">
        <w:t>ecretariat and voluntary contributi</w:t>
      </w:r>
      <w:r w:rsidR="00875B3E">
        <w:t>ons to enable the</w:t>
      </w:r>
      <w:r w:rsidR="00875B3E" w:rsidRPr="00DD2EF1">
        <w:t xml:space="preserve"> functions</w:t>
      </w:r>
      <w:r w:rsidR="00875B3E">
        <w:t xml:space="preserve"> referred to in paragraph 6 above;</w:t>
      </w:r>
    </w:p>
    <w:p w14:paraId="53954128" w14:textId="663BB4E6" w:rsidR="00875B3E" w:rsidRDefault="0032653E" w:rsidP="0032653E">
      <w:pPr>
        <w:pStyle w:val="RegSingleTxtG"/>
        <w:numPr>
          <w:ilvl w:val="0"/>
          <w:numId w:val="0"/>
        </w:numPr>
        <w:ind w:left="1134"/>
      </w:pPr>
      <w:r>
        <w:t>9.</w:t>
      </w:r>
      <w:r>
        <w:tab/>
      </w:r>
      <w:r w:rsidR="00875B3E" w:rsidRPr="0080298E">
        <w:rPr>
          <w:i/>
        </w:rPr>
        <w:t>Decides</w:t>
      </w:r>
      <w:r w:rsidR="00875B3E">
        <w:t xml:space="preserve"> </w:t>
      </w:r>
      <w:r w:rsidR="00875B3E" w:rsidRPr="000124C8">
        <w:t>that the first activity</w:t>
      </w:r>
      <w:r w:rsidR="00875B3E">
        <w:t xml:space="preserve"> of the platform will be a multi-stakeholder workshop on implementing the functions referred to in paragraph 6 above, </w:t>
      </w:r>
      <w:r w:rsidR="00A8481E">
        <w:t>to</w:t>
      </w:r>
      <w:r w:rsidR="00875B3E">
        <w:t xml:space="preserve"> be co-</w:t>
      </w:r>
      <w:r w:rsidR="00875B3E" w:rsidRPr="00962EF1">
        <w:t>moderated by the Chair of the Subsidiary Body for Scientific and Technological Advice and a representative of local communities and indigenous peoples organizations</w:t>
      </w:r>
      <w:r w:rsidR="00875B3E">
        <w:t>,</w:t>
      </w:r>
      <w:r w:rsidR="00875B3E" w:rsidRPr="00962EF1">
        <w:t xml:space="preserve"> </w:t>
      </w:r>
      <w:r w:rsidR="00A8481E">
        <w:t>who will each</w:t>
      </w:r>
      <w:r w:rsidR="00875B3E" w:rsidRPr="00962EF1">
        <w:t xml:space="preserve"> make an equal contribution to the design of the workshop</w:t>
      </w:r>
      <w:r w:rsidR="00875B3E">
        <w:t>;</w:t>
      </w:r>
    </w:p>
    <w:p w14:paraId="1FF183FC" w14:textId="4785773A" w:rsidR="00875B3E" w:rsidRDefault="0032653E" w:rsidP="0032653E">
      <w:pPr>
        <w:pStyle w:val="RegSingleTxtG"/>
        <w:numPr>
          <w:ilvl w:val="0"/>
          <w:numId w:val="0"/>
        </w:numPr>
        <w:ind w:left="1134"/>
      </w:pPr>
      <w:r>
        <w:t>10.</w:t>
      </w:r>
      <w:r>
        <w:tab/>
      </w:r>
      <w:r w:rsidR="00875B3E">
        <w:rPr>
          <w:i/>
          <w:iCs/>
        </w:rPr>
        <w:t>Requests</w:t>
      </w:r>
      <w:r w:rsidR="00875B3E">
        <w:t xml:space="preserve"> the </w:t>
      </w:r>
      <w:r w:rsidR="00875B3E" w:rsidRPr="00B127CF">
        <w:rPr>
          <w:rFonts w:eastAsia="Times New Roman"/>
          <w:lang w:val="en-US" w:eastAsia="en-GB"/>
        </w:rPr>
        <w:t>Subsidiary Body for Scientific and Technological Advice</w:t>
      </w:r>
      <w:r w:rsidR="00875B3E">
        <w:t xml:space="preserve"> to consider at its forty-eighth session (April–May 2018) the </w:t>
      </w:r>
      <w:r w:rsidR="00875B3E" w:rsidRPr="000F1BE4">
        <w:t xml:space="preserve">further </w:t>
      </w:r>
      <w:r w:rsidR="00875B3E" w:rsidRPr="00F76DBE">
        <w:t>operationalization of the platform, including the establishment of a facilitative working group,</w:t>
      </w:r>
      <w:r w:rsidR="00875B3E" w:rsidRPr="000F1BE4">
        <w:t xml:space="preserve"> </w:t>
      </w:r>
      <w:r w:rsidR="00875B3E">
        <w:t>which would</w:t>
      </w:r>
      <w:r w:rsidR="00875B3E" w:rsidRPr="00353925">
        <w:t xml:space="preserve"> not </w:t>
      </w:r>
      <w:r w:rsidR="00875B3E">
        <w:t xml:space="preserve">be </w:t>
      </w:r>
      <w:r w:rsidR="00875B3E" w:rsidRPr="00353925">
        <w:t xml:space="preserve">a negotiating body under </w:t>
      </w:r>
      <w:r w:rsidR="00875B3E">
        <w:t>the Convention,</w:t>
      </w:r>
      <w:r w:rsidR="00875B3E" w:rsidRPr="008E1E88">
        <w:t xml:space="preserve"> </w:t>
      </w:r>
      <w:r w:rsidR="00875B3E" w:rsidRPr="0080298E">
        <w:t xml:space="preserve">and the </w:t>
      </w:r>
      <w:r w:rsidR="00875B3E" w:rsidRPr="00395703">
        <w:t>modalities for the development of a workplan</w:t>
      </w:r>
      <w:r w:rsidR="00875B3E">
        <w:t xml:space="preserve"> for the full implementation of the functions referred to in paragraph 6 above, with balanced representation of local communities and indigenous peoples and Parties, and to conclude its considerations by making recommendations to the Conference of the Parties at its twenty-fourth session (December 2018);</w:t>
      </w:r>
    </w:p>
    <w:p w14:paraId="0F6115F8" w14:textId="66FB0897" w:rsidR="00875B3E" w:rsidRPr="001872A5" w:rsidRDefault="0032653E" w:rsidP="0032653E">
      <w:pPr>
        <w:pStyle w:val="RegSingleTxtG"/>
        <w:numPr>
          <w:ilvl w:val="0"/>
          <w:numId w:val="0"/>
        </w:numPr>
        <w:ind w:left="1134"/>
      </w:pPr>
      <w:r w:rsidRPr="001872A5">
        <w:t>11.</w:t>
      </w:r>
      <w:r w:rsidRPr="001872A5">
        <w:tab/>
      </w:r>
      <w:r w:rsidR="00875B3E" w:rsidRPr="00FD0FFA">
        <w:rPr>
          <w:rFonts w:eastAsia="Times New Roman"/>
          <w:i/>
        </w:rPr>
        <w:t>Takes note</w:t>
      </w:r>
      <w:r w:rsidR="00875B3E">
        <w:rPr>
          <w:rFonts w:eastAsia="Times New Roman"/>
        </w:rPr>
        <w:t xml:space="preserve"> of the estimated budgetary implications of the activities to be undertaken by the secretariat referred to in paragraph 9 above;</w:t>
      </w:r>
    </w:p>
    <w:p w14:paraId="1A948025" w14:textId="3BCDF349" w:rsidR="00875B3E" w:rsidRDefault="0032653E" w:rsidP="0032653E">
      <w:pPr>
        <w:pStyle w:val="RegSingleTxtG"/>
        <w:numPr>
          <w:ilvl w:val="0"/>
          <w:numId w:val="0"/>
        </w:numPr>
        <w:ind w:left="1134"/>
      </w:pPr>
      <w:r>
        <w:t>12.</w:t>
      </w:r>
      <w:r>
        <w:tab/>
      </w:r>
      <w:r w:rsidR="00875B3E" w:rsidRPr="00FD0FFA">
        <w:rPr>
          <w:rFonts w:eastAsia="Times New Roman"/>
          <w:i/>
        </w:rPr>
        <w:t xml:space="preserve">Requests </w:t>
      </w:r>
      <w:r w:rsidR="00875B3E">
        <w:rPr>
          <w:rFonts w:eastAsia="Times New Roman"/>
        </w:rPr>
        <w:t>that the actions of the secretariat called for in this decision be undertaken subject to the availability of financial resources.</w:t>
      </w:r>
    </w:p>
    <w:p w14:paraId="3EDA0A8B" w14:textId="62440572" w:rsidR="00742296" w:rsidRPr="002A19D4" w:rsidRDefault="000D7190" w:rsidP="002A19D4">
      <w:pPr>
        <w:jc w:val="right"/>
        <w:rPr>
          <w:i/>
        </w:rPr>
      </w:pPr>
      <w:r>
        <w:rPr>
          <w:i/>
        </w:rPr>
        <w:t>12</w:t>
      </w:r>
      <w:r w:rsidR="002A19D4" w:rsidRPr="000D7190">
        <w:rPr>
          <w:i/>
          <w:vertAlign w:val="superscript"/>
        </w:rPr>
        <w:t>th</w:t>
      </w:r>
      <w:r w:rsidR="002A19D4" w:rsidRPr="000D7190">
        <w:rPr>
          <w:i/>
        </w:rPr>
        <w:t xml:space="preserve"> plenary meeting</w:t>
      </w:r>
    </w:p>
    <w:p w14:paraId="203A293B" w14:textId="77777777" w:rsidR="002A19D4" w:rsidRDefault="002A19D4" w:rsidP="002A19D4">
      <w:pPr>
        <w:jc w:val="right"/>
        <w:rPr>
          <w:i/>
        </w:rPr>
        <w:sectPr w:rsidR="002A19D4" w:rsidSect="00CA22E4">
          <w:headerReference w:type="even" r:id="rId24"/>
          <w:headerReference w:type="default" r:id="rId25"/>
          <w:footerReference w:type="even" r:id="rId26"/>
          <w:footerReference w:type="default" r:id="rId27"/>
          <w:footnotePr>
            <w:numRestart w:val="eachSect"/>
          </w:footnotePr>
          <w:pgSz w:w="11906" w:h="16838" w:code="9"/>
          <w:pgMar w:top="1417" w:right="1134" w:bottom="1134" w:left="1134" w:header="850" w:footer="567" w:gutter="0"/>
          <w:cols w:space="708"/>
          <w:docGrid w:linePitch="360"/>
        </w:sectPr>
      </w:pPr>
      <w:r w:rsidRPr="002A19D4">
        <w:rPr>
          <w:i/>
        </w:rPr>
        <w:t>17 November 2017</w:t>
      </w:r>
    </w:p>
    <w:p w14:paraId="17F50BD1" w14:textId="1002FEBD" w:rsidR="002A19D4" w:rsidRDefault="002A19D4" w:rsidP="002A19D4">
      <w:pPr>
        <w:pStyle w:val="HChG"/>
      </w:pPr>
      <w:r>
        <w:lastRenderedPageBreak/>
        <w:tab/>
      </w:r>
      <w:r>
        <w:tab/>
        <w:t>Decision 3/CP.23</w:t>
      </w:r>
    </w:p>
    <w:p w14:paraId="52DC2977" w14:textId="2FCA0576" w:rsidR="002A19D4" w:rsidRDefault="002A19D4" w:rsidP="002A19D4">
      <w:pPr>
        <w:pStyle w:val="HChG"/>
      </w:pPr>
      <w:r>
        <w:tab/>
      </w:r>
      <w:r>
        <w:tab/>
        <w:t>Establishment of a gender action plan</w:t>
      </w:r>
    </w:p>
    <w:p w14:paraId="632F9EA2" w14:textId="77777777" w:rsidR="002A19D4" w:rsidRPr="000754FC" w:rsidRDefault="002A19D4" w:rsidP="002A19D4">
      <w:pPr>
        <w:spacing w:before="120"/>
        <w:ind w:left="1134" w:right="1174" w:firstLine="567"/>
        <w:jc w:val="both"/>
        <w:rPr>
          <w:i/>
        </w:rPr>
      </w:pPr>
      <w:r w:rsidRPr="000754FC">
        <w:rPr>
          <w:i/>
        </w:rPr>
        <w:t>The Conference of the Parties</w:t>
      </w:r>
      <w:r w:rsidRPr="003F5A5B">
        <w:t>,</w:t>
      </w:r>
    </w:p>
    <w:p w14:paraId="34E595FA" w14:textId="39CC3CF4" w:rsidR="002A19D4" w:rsidRDefault="002A19D4" w:rsidP="002A19D4">
      <w:pPr>
        <w:spacing w:before="120"/>
        <w:ind w:left="1134" w:right="1174" w:firstLine="567"/>
        <w:jc w:val="both"/>
      </w:pPr>
      <w:r w:rsidRPr="000754FC">
        <w:rPr>
          <w:i/>
        </w:rPr>
        <w:t>Recalling</w:t>
      </w:r>
      <w:r>
        <w:t xml:space="preserve"> </w:t>
      </w:r>
      <w:r w:rsidRPr="00F23AB9">
        <w:t>decisions 36/CP.7, 1/CP.16, 23/CP.18, 18/CP.20, 1/CP.21 and 21/CP.22</w:t>
      </w:r>
      <w:r w:rsidR="006A31B1">
        <w:t>,</w:t>
      </w:r>
      <w:r w:rsidRPr="00F23AB9">
        <w:t xml:space="preserve"> as well as the Paris Agreement</w:t>
      </w:r>
      <w:r>
        <w:t>,</w:t>
      </w:r>
    </w:p>
    <w:p w14:paraId="66B76B97" w14:textId="77777777" w:rsidR="002A19D4" w:rsidRDefault="002A19D4" w:rsidP="002A19D4">
      <w:pPr>
        <w:spacing w:before="120"/>
        <w:ind w:left="1134" w:right="1174" w:firstLine="567"/>
        <w:jc w:val="both"/>
      </w:pPr>
      <w:r w:rsidRPr="002B253E">
        <w:rPr>
          <w:i/>
        </w:rPr>
        <w:t>Reaffirming</w:t>
      </w:r>
      <w:r w:rsidRPr="002B253E">
        <w:t xml:space="preserve"> the General Assembly </w:t>
      </w:r>
      <w:r>
        <w:t>r</w:t>
      </w:r>
      <w:r w:rsidRPr="002B253E">
        <w:t>esolution on the 2030 Agenda for Sustainable Development</w:t>
      </w:r>
      <w:r>
        <w:t>,</w:t>
      </w:r>
    </w:p>
    <w:p w14:paraId="25A75C8B" w14:textId="3B774330" w:rsidR="002A19D4" w:rsidRDefault="002A19D4" w:rsidP="002A19D4">
      <w:pPr>
        <w:spacing w:before="120"/>
        <w:ind w:left="1134" w:right="1174" w:firstLine="567"/>
        <w:jc w:val="both"/>
      </w:pPr>
      <w:r w:rsidRPr="000754FC">
        <w:rPr>
          <w:i/>
        </w:rPr>
        <w:t>Noting</w:t>
      </w:r>
      <w:r w:rsidRPr="00F23AB9">
        <w:t xml:space="preserve"> that gender-responsive climate policy </w:t>
      </w:r>
      <w:r>
        <w:t xml:space="preserve">continues to </w:t>
      </w:r>
      <w:r w:rsidRPr="00F23AB9">
        <w:t>require further strengthening in all activities concerning adaptation, mitigation and related means of implementation (finance, technology development and transfer</w:t>
      </w:r>
      <w:r w:rsidR="00A57A9C">
        <w:t>,</w:t>
      </w:r>
      <w:r w:rsidRPr="00F23AB9">
        <w:t xml:space="preserve"> and capacity-building)</w:t>
      </w:r>
      <w:r w:rsidR="006A31B1">
        <w:t>,</w:t>
      </w:r>
      <w:r w:rsidRPr="00F23AB9">
        <w:t xml:space="preserve"> as well as decision-making on the implementation of climate policies,</w:t>
      </w:r>
      <w:r>
        <w:rPr>
          <w:rStyle w:val="FootnoteReference"/>
        </w:rPr>
        <w:footnoteReference w:id="14"/>
      </w:r>
      <w:r>
        <w:t xml:space="preserve"> </w:t>
      </w:r>
    </w:p>
    <w:p w14:paraId="20960E6C" w14:textId="77777777" w:rsidR="002A19D4" w:rsidRPr="00F23AB9" w:rsidRDefault="002A19D4" w:rsidP="002A19D4">
      <w:pPr>
        <w:spacing w:before="120"/>
        <w:ind w:left="1134" w:right="1174" w:firstLine="567"/>
        <w:jc w:val="both"/>
        <w:rPr>
          <w:lang w:val="en-US"/>
        </w:rPr>
      </w:pPr>
      <w:r w:rsidRPr="00F23AB9">
        <w:rPr>
          <w:i/>
          <w:iCs/>
          <w:lang w:val="en-US"/>
        </w:rPr>
        <w:t xml:space="preserve">Also noting </w:t>
      </w:r>
      <w:r w:rsidRPr="00F23AB9">
        <w:rPr>
          <w:lang w:val="en-US"/>
        </w:rPr>
        <w:t xml:space="preserve">that, notwithstanding the progress made by Parties in implementing the decisions referred to above, there is a need for women to be represented in all aspects of the </w:t>
      </w:r>
      <w:r>
        <w:rPr>
          <w:lang w:val="en-US"/>
        </w:rPr>
        <w:t>Convention</w:t>
      </w:r>
      <w:r w:rsidRPr="00F23AB9">
        <w:rPr>
          <w:lang w:val="en-US"/>
        </w:rPr>
        <w:t xml:space="preserve"> process and a need for gender mainstreaming through all relevant targets and goals in activities under the Convention as an im</w:t>
      </w:r>
      <w:r>
        <w:rPr>
          <w:lang w:val="en-US"/>
        </w:rPr>
        <w:t>portant contribution to increasing</w:t>
      </w:r>
      <w:r w:rsidRPr="00F23AB9">
        <w:rPr>
          <w:lang w:val="en-US"/>
        </w:rPr>
        <w:t xml:space="preserve"> their effectiveness,</w:t>
      </w:r>
    </w:p>
    <w:p w14:paraId="37B41B7A" w14:textId="07EE5B85" w:rsidR="002A19D4" w:rsidRPr="00F23AB9" w:rsidRDefault="002A19D4" w:rsidP="002A19D4">
      <w:pPr>
        <w:spacing w:before="120"/>
        <w:ind w:left="1134" w:right="1174" w:firstLine="567"/>
        <w:jc w:val="both"/>
        <w:rPr>
          <w:lang w:val="en-US"/>
        </w:rPr>
      </w:pPr>
      <w:r w:rsidRPr="00F23AB9">
        <w:rPr>
          <w:i/>
          <w:iCs/>
          <w:lang w:val="en-US"/>
        </w:rPr>
        <w:t xml:space="preserve">Acknowledging with appreciation </w:t>
      </w:r>
      <w:r w:rsidRPr="00F23AB9">
        <w:rPr>
          <w:lang w:val="en-US"/>
        </w:rPr>
        <w:t>the important role of the extended Lima work programme on gender in integrating gender considerations into the work of Parties and the secretariat in implementing the Convention</w:t>
      </w:r>
      <w:r w:rsidR="005B7EF3">
        <w:rPr>
          <w:lang w:val="en-US"/>
        </w:rPr>
        <w:t>,</w:t>
      </w:r>
      <w:r w:rsidRPr="00F23AB9">
        <w:rPr>
          <w:lang w:val="en-US"/>
        </w:rPr>
        <w:t xml:space="preserve"> and the role of the gender action plan (contained in the annex) in supporting the implementation of gender-related decisions and mandates under the UNFCCC process,</w:t>
      </w:r>
    </w:p>
    <w:p w14:paraId="138EF3C9" w14:textId="77777777" w:rsidR="002A19D4" w:rsidRPr="00F23AB9" w:rsidRDefault="002A19D4" w:rsidP="002A19D4">
      <w:pPr>
        <w:spacing w:before="120"/>
        <w:ind w:left="1134" w:right="1174" w:firstLine="567"/>
        <w:jc w:val="both"/>
        <w:rPr>
          <w:lang w:val="en-US"/>
        </w:rPr>
      </w:pPr>
      <w:r w:rsidRPr="00F23AB9">
        <w:rPr>
          <w:i/>
          <w:lang w:val="en-US"/>
        </w:rPr>
        <w:t>Recalling</w:t>
      </w:r>
      <w:r w:rsidRPr="00F23AB9">
        <w:rPr>
          <w:lang w:val="en-US"/>
        </w:rPr>
        <w:t xml:space="preserve"> </w:t>
      </w:r>
      <w:r>
        <w:rPr>
          <w:lang w:val="en-US"/>
        </w:rPr>
        <w:t>d</w:t>
      </w:r>
      <w:r w:rsidRPr="00F23AB9">
        <w:rPr>
          <w:lang w:val="en-US"/>
        </w:rPr>
        <w:t>ecision 21/CP.22, paragraph 27, which mandated the development of a gender action plan in order to support the implementation of gender-related decisions and mandates under the UNFCCC process, which may include priority areas, key activities and indicators, timelines for implementation, responsible and key actors and indicative resource requirements for each activity, and the further elaboration of its review and monitoring processes,</w:t>
      </w:r>
    </w:p>
    <w:p w14:paraId="6E2B1F0A" w14:textId="39C9F8E4" w:rsidR="002A19D4" w:rsidRPr="00F23AB9" w:rsidRDefault="006A31B1" w:rsidP="002A19D4">
      <w:pPr>
        <w:spacing w:before="120"/>
        <w:ind w:left="1134" w:right="1174" w:firstLine="567"/>
        <w:jc w:val="both"/>
      </w:pPr>
      <w:r>
        <w:rPr>
          <w:i/>
        </w:rPr>
        <w:t>Also r</w:t>
      </w:r>
      <w:r w:rsidR="002A19D4" w:rsidRPr="00F23AB9">
        <w:rPr>
          <w:i/>
        </w:rPr>
        <w:t xml:space="preserve">ecalling </w:t>
      </w:r>
      <w:r w:rsidR="002A19D4" w:rsidRPr="00F23AB9">
        <w:t>that Parties should, when taking action to address climate change, respect, promote and consider their respective obligations on human rights as well as gender equality,</w:t>
      </w:r>
    </w:p>
    <w:p w14:paraId="0752A53E" w14:textId="094DD6CE" w:rsidR="002A19D4" w:rsidRPr="00F23AB9" w:rsidRDefault="002A19D4" w:rsidP="002A19D4">
      <w:pPr>
        <w:spacing w:before="120"/>
        <w:ind w:left="1134" w:right="1174" w:firstLine="567"/>
        <w:jc w:val="both"/>
        <w:rPr>
          <w:i/>
        </w:rPr>
      </w:pPr>
      <w:r w:rsidRPr="00F23AB9">
        <w:rPr>
          <w:i/>
        </w:rPr>
        <w:t>Taking into account</w:t>
      </w:r>
      <w:r w:rsidRPr="00F23AB9">
        <w:t xml:space="preserve"> the imperative of a just transition of the workforce when implementing the gender action plan,</w:t>
      </w:r>
    </w:p>
    <w:p w14:paraId="0899F080" w14:textId="45A73CA2" w:rsidR="002A19D4" w:rsidRDefault="0032653E" w:rsidP="0032653E">
      <w:pPr>
        <w:pStyle w:val="RegSingleTxtG"/>
        <w:numPr>
          <w:ilvl w:val="0"/>
          <w:numId w:val="0"/>
        </w:numPr>
        <w:spacing w:before="120"/>
        <w:ind w:left="1134"/>
      </w:pPr>
      <w:r>
        <w:t>1.</w:t>
      </w:r>
      <w:r>
        <w:tab/>
      </w:r>
      <w:r w:rsidR="002A19D4" w:rsidRPr="000D7190">
        <w:rPr>
          <w:i/>
        </w:rPr>
        <w:t>Adopts</w:t>
      </w:r>
      <w:r w:rsidR="002A19D4">
        <w:t xml:space="preserve"> </w:t>
      </w:r>
      <w:r w:rsidR="002A19D4" w:rsidRPr="003317B0">
        <w:t xml:space="preserve">the </w:t>
      </w:r>
      <w:r w:rsidR="002A19D4">
        <w:t>g</w:t>
      </w:r>
      <w:r w:rsidR="002A19D4" w:rsidRPr="003317B0">
        <w:t xml:space="preserve">ender </w:t>
      </w:r>
      <w:r w:rsidR="002A19D4">
        <w:t>a</w:t>
      </w:r>
      <w:r w:rsidR="002A19D4" w:rsidRPr="003317B0">
        <w:t xml:space="preserve">ction </w:t>
      </w:r>
      <w:r w:rsidR="002A19D4">
        <w:t>p</w:t>
      </w:r>
      <w:r w:rsidR="002A19D4" w:rsidRPr="003317B0">
        <w:t>lan, contained in the</w:t>
      </w:r>
      <w:r w:rsidR="002A19D4">
        <w:t xml:space="preserve"> annex, </w:t>
      </w:r>
      <w:r w:rsidR="002A19D4" w:rsidRPr="003317B0">
        <w:t xml:space="preserve">under the Lima </w:t>
      </w:r>
      <w:r w:rsidR="002A19D4">
        <w:t>w</w:t>
      </w:r>
      <w:r w:rsidR="002A19D4" w:rsidRPr="003317B0">
        <w:t xml:space="preserve">ork </w:t>
      </w:r>
      <w:r w:rsidR="002A19D4">
        <w:t>p</w:t>
      </w:r>
      <w:r w:rsidR="002A19D4" w:rsidRPr="003317B0">
        <w:t xml:space="preserve">rogramme on </w:t>
      </w:r>
      <w:r w:rsidR="002A19D4">
        <w:t>g</w:t>
      </w:r>
      <w:r w:rsidR="002A19D4" w:rsidRPr="003317B0">
        <w:t>ender</w:t>
      </w:r>
      <w:r w:rsidR="002A19D4">
        <w:t xml:space="preserve">; </w:t>
      </w:r>
    </w:p>
    <w:p w14:paraId="14AC2217" w14:textId="41BB332E" w:rsidR="002A19D4" w:rsidRDefault="0032653E" w:rsidP="0032653E">
      <w:pPr>
        <w:pStyle w:val="RegSingleTxtG"/>
        <w:numPr>
          <w:ilvl w:val="0"/>
          <w:numId w:val="0"/>
        </w:numPr>
        <w:ind w:left="1134"/>
      </w:pPr>
      <w:r>
        <w:t>2.</w:t>
      </w:r>
      <w:r>
        <w:tab/>
      </w:r>
      <w:r w:rsidR="002A19D4">
        <w:rPr>
          <w:i/>
        </w:rPr>
        <w:t>Invite</w:t>
      </w:r>
      <w:r w:rsidR="002A19D4" w:rsidRPr="000754FC">
        <w:rPr>
          <w:i/>
        </w:rPr>
        <w:t>s</w:t>
      </w:r>
      <w:r w:rsidR="002A19D4" w:rsidRPr="001A17C2">
        <w:t xml:space="preserve"> </w:t>
      </w:r>
      <w:r w:rsidR="002A19D4" w:rsidRPr="00112F77">
        <w:rPr>
          <w:kern w:val="20"/>
          <w:lang w:val="en-US"/>
        </w:rPr>
        <w:t xml:space="preserve">Parties, </w:t>
      </w:r>
      <w:r w:rsidR="002A19D4">
        <w:rPr>
          <w:kern w:val="20"/>
          <w:lang w:val="en-US"/>
        </w:rPr>
        <w:t xml:space="preserve">members of </w:t>
      </w:r>
      <w:r w:rsidR="002A19D4" w:rsidRPr="00112F77">
        <w:rPr>
          <w:lang w:val="en-US"/>
        </w:rPr>
        <w:t xml:space="preserve">constituted bodies, United Nations organizations, observers and other stakeholders </w:t>
      </w:r>
      <w:r w:rsidR="002A19D4">
        <w:rPr>
          <w:lang w:val="en-US"/>
        </w:rPr>
        <w:t xml:space="preserve">to </w:t>
      </w:r>
      <w:r w:rsidR="002A19D4" w:rsidRPr="00DE58BC">
        <w:rPr>
          <w:lang w:val="en-US"/>
        </w:rPr>
        <w:t>participate and engage in implementing the gender action plan</w:t>
      </w:r>
      <w:r w:rsidR="002A19D4" w:rsidRPr="00112F77">
        <w:t xml:space="preserve"> </w:t>
      </w:r>
      <w:r w:rsidR="002A19D4">
        <w:t>with a view</w:t>
      </w:r>
      <w:r w:rsidR="002A19D4" w:rsidRPr="00112F77">
        <w:t xml:space="preserve"> to advanc</w:t>
      </w:r>
      <w:r w:rsidR="002A19D4">
        <w:t>ing towards</w:t>
      </w:r>
      <w:r w:rsidR="002A19D4" w:rsidRPr="00112F77">
        <w:t xml:space="preserve"> the goal of mainstreaming a gender perspective in all elements of climate action</w:t>
      </w:r>
      <w:r w:rsidR="002A19D4">
        <w:t>;</w:t>
      </w:r>
    </w:p>
    <w:p w14:paraId="2AA479B0" w14:textId="62CF31ED" w:rsidR="002A19D4" w:rsidRDefault="0032653E" w:rsidP="0032653E">
      <w:pPr>
        <w:pStyle w:val="RegSingleTxtG"/>
        <w:numPr>
          <w:ilvl w:val="0"/>
          <w:numId w:val="0"/>
        </w:numPr>
        <w:ind w:left="1134"/>
      </w:pPr>
      <w:r>
        <w:t>3.</w:t>
      </w:r>
      <w:r>
        <w:tab/>
      </w:r>
      <w:r w:rsidR="002A19D4" w:rsidRPr="009D2C05">
        <w:rPr>
          <w:i/>
        </w:rPr>
        <w:t>Welcomes</w:t>
      </w:r>
      <w:r w:rsidR="002A19D4" w:rsidRPr="009D2C05">
        <w:t xml:space="preserve"> the technical paper prepared by the secretariat </w:t>
      </w:r>
      <w:r w:rsidR="002A19D4">
        <w:t>on</w:t>
      </w:r>
      <w:r w:rsidR="002A19D4" w:rsidRPr="009D2C05">
        <w:t xml:space="preserve"> </w:t>
      </w:r>
      <w:r w:rsidR="002A19D4">
        <w:t>achieving</w:t>
      </w:r>
      <w:r w:rsidR="002A19D4" w:rsidRPr="009D2C05">
        <w:t xml:space="preserve"> the goal of gender balance</w:t>
      </w:r>
      <w:r w:rsidR="002A19D4">
        <w:t>;</w:t>
      </w:r>
      <w:r w:rsidR="002A19D4">
        <w:rPr>
          <w:rStyle w:val="FootnoteReference"/>
        </w:rPr>
        <w:footnoteReference w:id="15"/>
      </w:r>
    </w:p>
    <w:p w14:paraId="02DD2AA9" w14:textId="1540677F" w:rsidR="002A19D4" w:rsidRDefault="0032653E" w:rsidP="0032653E">
      <w:pPr>
        <w:pStyle w:val="RegSingleTxtG"/>
        <w:numPr>
          <w:ilvl w:val="0"/>
          <w:numId w:val="0"/>
        </w:numPr>
        <w:ind w:left="1134"/>
      </w:pPr>
      <w:r>
        <w:t>4.</w:t>
      </w:r>
      <w:r>
        <w:tab/>
      </w:r>
      <w:r w:rsidR="002A19D4" w:rsidRPr="00754C2E">
        <w:rPr>
          <w:i/>
        </w:rPr>
        <w:t>Notes</w:t>
      </w:r>
      <w:r w:rsidR="002A19D4" w:rsidRPr="009D2C05">
        <w:t xml:space="preserve"> the lack of progress made in delegations and const</w:t>
      </w:r>
      <w:r w:rsidR="002A19D4">
        <w:t>ituted bodies towards the goal of gender balance;</w:t>
      </w:r>
    </w:p>
    <w:p w14:paraId="79BA4113" w14:textId="4FFF6E89" w:rsidR="002A19D4" w:rsidRDefault="0032653E" w:rsidP="0032653E">
      <w:pPr>
        <w:pStyle w:val="RegSingleTxtG"/>
        <w:numPr>
          <w:ilvl w:val="0"/>
          <w:numId w:val="0"/>
        </w:numPr>
        <w:ind w:left="1134"/>
      </w:pPr>
      <w:r>
        <w:t>5.</w:t>
      </w:r>
      <w:r>
        <w:tab/>
      </w:r>
      <w:r w:rsidR="002A19D4" w:rsidRPr="007E0B22">
        <w:rPr>
          <w:i/>
        </w:rPr>
        <w:t>Requests</w:t>
      </w:r>
      <w:r w:rsidR="002A19D4" w:rsidRPr="003317B0">
        <w:t xml:space="preserve"> the </w:t>
      </w:r>
      <w:r w:rsidR="002A19D4">
        <w:t>s</w:t>
      </w:r>
      <w:r w:rsidR="002A19D4" w:rsidRPr="003317B0">
        <w:t>ecretariat to prepare</w:t>
      </w:r>
      <w:r w:rsidR="002A19D4">
        <w:t>, for consideration</w:t>
      </w:r>
      <w:r w:rsidR="002A19D4" w:rsidRPr="003317B0">
        <w:t xml:space="preserve"> by the Subsidiary Body for </w:t>
      </w:r>
      <w:r w:rsidR="002A19D4">
        <w:t>I</w:t>
      </w:r>
      <w:r w:rsidR="002A19D4" w:rsidRPr="003317B0">
        <w:t>mplementation</w:t>
      </w:r>
      <w:r w:rsidR="002A19D4">
        <w:t xml:space="preserve"> at its session to be held in November 2019</w:t>
      </w:r>
      <w:r w:rsidR="002A19D4" w:rsidRPr="003317B0">
        <w:t xml:space="preserve">, a synthesis report on the implementation of the </w:t>
      </w:r>
      <w:r w:rsidR="002A19D4">
        <w:t>gender action plan</w:t>
      </w:r>
      <w:r w:rsidR="002A19D4" w:rsidRPr="003317B0">
        <w:t>, identifying areas of progress</w:t>
      </w:r>
      <w:r w:rsidR="002A19D4">
        <w:t>,</w:t>
      </w:r>
      <w:r w:rsidR="002A19D4" w:rsidRPr="003317B0">
        <w:t xml:space="preserve"> areas for </w:t>
      </w:r>
      <w:r w:rsidR="002A19D4" w:rsidRPr="003317B0">
        <w:lastRenderedPageBreak/>
        <w:t>improvement and further work to be undertaken in subsequent action plans, so as to elaborate recommendations for consideration by the Conference of the Parties at its twenty-fifth session</w:t>
      </w:r>
      <w:r w:rsidR="002A19D4">
        <w:t xml:space="preserve"> </w:t>
      </w:r>
      <w:r w:rsidR="002A19D4" w:rsidRPr="003317B0">
        <w:t xml:space="preserve">(November 2019) in the context of the review </w:t>
      </w:r>
      <w:r w:rsidR="002A19D4">
        <w:t>referred to in paragraph 7 below;</w:t>
      </w:r>
    </w:p>
    <w:p w14:paraId="795F7222" w14:textId="148F1403" w:rsidR="002A19D4" w:rsidRPr="00A26818" w:rsidRDefault="0032653E" w:rsidP="0032653E">
      <w:pPr>
        <w:pStyle w:val="RegSingleTxtG"/>
        <w:numPr>
          <w:ilvl w:val="0"/>
          <w:numId w:val="0"/>
        </w:numPr>
        <w:ind w:left="1134"/>
      </w:pPr>
      <w:r w:rsidRPr="00A26818">
        <w:t>6.</w:t>
      </w:r>
      <w:r w:rsidRPr="00A26818">
        <w:tab/>
      </w:r>
      <w:r w:rsidR="002A19D4" w:rsidRPr="00F171DA">
        <w:rPr>
          <w:i/>
          <w:color w:val="000000"/>
          <w:lang w:val="en-US"/>
        </w:rPr>
        <w:t>Decides</w:t>
      </w:r>
      <w:r w:rsidR="002A19D4" w:rsidRPr="00F171DA">
        <w:rPr>
          <w:color w:val="000000"/>
          <w:lang w:val="en-US"/>
        </w:rPr>
        <w:t xml:space="preserve"> that </w:t>
      </w:r>
      <w:r w:rsidR="002A19D4" w:rsidRPr="00F171DA">
        <w:rPr>
          <w:lang w:val="en-US"/>
        </w:rPr>
        <w:t>the topic</w:t>
      </w:r>
      <w:r w:rsidR="002A19D4">
        <w:rPr>
          <w:lang w:val="en-US"/>
        </w:rPr>
        <w:t>s</w:t>
      </w:r>
      <w:r w:rsidR="002A19D4" w:rsidRPr="00F171DA">
        <w:rPr>
          <w:lang w:val="en-US"/>
        </w:rPr>
        <w:t xml:space="preserve"> of the annual in-session workshops to be held in conjunction with the sessions of the subsidiary bodies </w:t>
      </w:r>
      <w:r w:rsidR="002A19D4">
        <w:rPr>
          <w:lang w:val="en-US"/>
        </w:rPr>
        <w:t xml:space="preserve">taking place </w:t>
      </w:r>
      <w:r w:rsidR="002A19D4" w:rsidRPr="00F171DA">
        <w:rPr>
          <w:lang w:val="en-US"/>
        </w:rPr>
        <w:t>in the first sessional period of 2018 and 2019</w:t>
      </w:r>
      <w:r w:rsidR="002A19D4" w:rsidRPr="00754C2E">
        <w:rPr>
          <w:rStyle w:val="FootnoteReference"/>
          <w:szCs w:val="18"/>
          <w:lang w:val="en-US"/>
        </w:rPr>
        <w:footnoteReference w:id="16"/>
      </w:r>
      <w:r w:rsidR="002A19D4">
        <w:rPr>
          <w:lang w:val="en-US"/>
        </w:rPr>
        <w:t xml:space="preserve"> </w:t>
      </w:r>
      <w:r w:rsidR="002A19D4" w:rsidRPr="006D6FD4">
        <w:rPr>
          <w:lang w:val="en-US"/>
        </w:rPr>
        <w:t>will be based on the submission refe</w:t>
      </w:r>
      <w:r w:rsidR="002A19D4">
        <w:rPr>
          <w:lang w:val="en-US"/>
        </w:rPr>
        <w:t>rred to in activity E.1 of priority area E of the gender action plan (see table 5)</w:t>
      </w:r>
      <w:r w:rsidR="002A19D4" w:rsidRPr="006D6FD4">
        <w:rPr>
          <w:lang w:val="en-US"/>
        </w:rPr>
        <w:t xml:space="preserve"> and </w:t>
      </w:r>
      <w:r w:rsidR="002A19D4">
        <w:rPr>
          <w:lang w:val="en-US"/>
        </w:rPr>
        <w:t>on the</w:t>
      </w:r>
      <w:r w:rsidR="002A19D4" w:rsidRPr="006D6FD4">
        <w:rPr>
          <w:lang w:val="en-US"/>
        </w:rPr>
        <w:t xml:space="preserve"> short- and long-term impacts of </w:t>
      </w:r>
      <w:r w:rsidR="002A19D4">
        <w:rPr>
          <w:lang w:val="en-US"/>
        </w:rPr>
        <w:t>the</w:t>
      </w:r>
      <w:r w:rsidR="002A19D4" w:rsidRPr="006D6FD4">
        <w:rPr>
          <w:lang w:val="en-US"/>
        </w:rPr>
        <w:t xml:space="preserve"> </w:t>
      </w:r>
      <w:r w:rsidR="002A19D4">
        <w:rPr>
          <w:lang w:val="en-US"/>
        </w:rPr>
        <w:t>g</w:t>
      </w:r>
      <w:r w:rsidR="002A19D4" w:rsidRPr="006D6FD4">
        <w:rPr>
          <w:lang w:val="en-US"/>
        </w:rPr>
        <w:t xml:space="preserve">ender </w:t>
      </w:r>
      <w:r w:rsidR="002A19D4">
        <w:rPr>
          <w:lang w:val="en-US"/>
        </w:rPr>
        <w:t>a</w:t>
      </w:r>
      <w:r w:rsidR="002A19D4" w:rsidRPr="006D6FD4">
        <w:rPr>
          <w:lang w:val="en-US"/>
        </w:rPr>
        <w:t xml:space="preserve">ction </w:t>
      </w:r>
      <w:r w:rsidR="002A19D4">
        <w:rPr>
          <w:lang w:val="en-US"/>
        </w:rPr>
        <w:t>p</w:t>
      </w:r>
      <w:r w:rsidR="002A19D4" w:rsidRPr="006D6FD4">
        <w:rPr>
          <w:lang w:val="en-US"/>
        </w:rPr>
        <w:t>lan, which may also be informed by the</w:t>
      </w:r>
      <w:r w:rsidR="002A19D4">
        <w:rPr>
          <w:lang w:val="en-US"/>
        </w:rPr>
        <w:t xml:space="preserve"> synthesis report referred to in paragraph 5 above, respectively;</w:t>
      </w:r>
    </w:p>
    <w:p w14:paraId="5DAA7969" w14:textId="072E4162" w:rsidR="002A19D4" w:rsidRDefault="0032653E" w:rsidP="0032653E">
      <w:pPr>
        <w:pStyle w:val="RegSingleTxtG"/>
        <w:numPr>
          <w:ilvl w:val="0"/>
          <w:numId w:val="0"/>
        </w:numPr>
        <w:ind w:left="1134"/>
      </w:pPr>
      <w:r>
        <w:t>7.</w:t>
      </w:r>
      <w:r>
        <w:tab/>
      </w:r>
      <w:r w:rsidR="002A19D4">
        <w:rPr>
          <w:i/>
        </w:rPr>
        <w:t>Also d</w:t>
      </w:r>
      <w:r w:rsidR="002A19D4" w:rsidRPr="007E0B22">
        <w:rPr>
          <w:i/>
        </w:rPr>
        <w:t xml:space="preserve">ecides </w:t>
      </w:r>
      <w:r w:rsidR="002A19D4" w:rsidRPr="00ED28CF">
        <w:t>to review</w:t>
      </w:r>
      <w:r w:rsidR="002A19D4" w:rsidRPr="007E0B22">
        <w:t xml:space="preserve">, at </w:t>
      </w:r>
      <w:r w:rsidR="002A19D4">
        <w:t>its</w:t>
      </w:r>
      <w:r w:rsidR="002A19D4" w:rsidRPr="007E0B22">
        <w:t xml:space="preserve"> twenty</w:t>
      </w:r>
      <w:r w:rsidR="002A19D4">
        <w:t>-</w:t>
      </w:r>
      <w:r w:rsidR="002A19D4" w:rsidRPr="007E0B22">
        <w:t xml:space="preserve">fifth </w:t>
      </w:r>
      <w:r w:rsidR="002A19D4" w:rsidRPr="007E0B22" w:rsidDel="009E41CB">
        <w:t>session</w:t>
      </w:r>
      <w:r w:rsidR="002A19D4">
        <w:t>,</w:t>
      </w:r>
      <w:r w:rsidR="002A19D4" w:rsidRPr="007E0B22">
        <w:t xml:space="preserve"> the implementation of the </w:t>
      </w:r>
      <w:r w:rsidR="002A19D4">
        <w:t>gender action plan</w:t>
      </w:r>
      <w:r w:rsidR="002A19D4" w:rsidRPr="007E0B22">
        <w:t xml:space="preserve"> in the context of the review </w:t>
      </w:r>
      <w:r w:rsidR="002A19D4">
        <w:t>of</w:t>
      </w:r>
      <w:r w:rsidR="002A19D4" w:rsidRPr="007E0B22">
        <w:t xml:space="preserve"> the </w:t>
      </w:r>
      <w:r w:rsidR="002A19D4">
        <w:t>Lima work programme on gender</w:t>
      </w:r>
      <w:r w:rsidR="002A19D4">
        <w:rPr>
          <w:rStyle w:val="FootnoteReference"/>
        </w:rPr>
        <w:footnoteReference w:id="17"/>
      </w:r>
      <w:r w:rsidR="002A19D4" w:rsidRPr="007E0B22">
        <w:t xml:space="preserve"> </w:t>
      </w:r>
      <w:r w:rsidR="002A19D4">
        <w:t xml:space="preserve">so </w:t>
      </w:r>
      <w:r w:rsidR="002A19D4" w:rsidRPr="007E0B22">
        <w:t>as</w:t>
      </w:r>
      <w:r w:rsidR="002A19D4">
        <w:t xml:space="preserve"> to consider the next steps, including an assessment of the impacts of the gender action plan;</w:t>
      </w:r>
    </w:p>
    <w:p w14:paraId="7000A31C" w14:textId="13142724" w:rsidR="002A19D4" w:rsidRDefault="0032653E" w:rsidP="0032653E">
      <w:pPr>
        <w:pStyle w:val="RegSingleTxtG"/>
        <w:numPr>
          <w:ilvl w:val="0"/>
          <w:numId w:val="0"/>
        </w:numPr>
        <w:ind w:left="1134"/>
      </w:pPr>
      <w:r>
        <w:t>8.</w:t>
      </w:r>
      <w:r>
        <w:tab/>
      </w:r>
      <w:r w:rsidR="002A19D4" w:rsidRPr="00C53AE1">
        <w:rPr>
          <w:i/>
        </w:rPr>
        <w:t>Invites</w:t>
      </w:r>
      <w:r w:rsidR="002A19D4" w:rsidRPr="00C53AE1">
        <w:t xml:space="preserve"> Parties and relevant organi</w:t>
      </w:r>
      <w:r w:rsidR="002A19D4">
        <w:t>z</w:t>
      </w:r>
      <w:r w:rsidR="002A19D4" w:rsidRPr="00C53AE1">
        <w:t xml:space="preserve">ations to participate and engage in </w:t>
      </w:r>
      <w:r w:rsidR="002A19D4">
        <w:t xml:space="preserve">the </w:t>
      </w:r>
      <w:r w:rsidR="002A19D4" w:rsidRPr="00C53AE1">
        <w:t>implementation of gender-related</w:t>
      </w:r>
      <w:r w:rsidR="002A19D4">
        <w:t xml:space="preserve"> activities within the gender action plan, i</w:t>
      </w:r>
      <w:r w:rsidR="002A19D4" w:rsidRPr="00C53AE1">
        <w:t xml:space="preserve">ncluding enhancing the capacity of the gender focal </w:t>
      </w:r>
      <w:r w:rsidR="002A19D4">
        <w:t>point of the secretariat;</w:t>
      </w:r>
    </w:p>
    <w:p w14:paraId="637E4D93" w14:textId="3D9EE06A" w:rsidR="002A19D4" w:rsidRDefault="0032653E" w:rsidP="0032653E">
      <w:pPr>
        <w:pStyle w:val="RegSingleTxtG"/>
        <w:numPr>
          <w:ilvl w:val="0"/>
          <w:numId w:val="0"/>
        </w:numPr>
        <w:ind w:left="1134"/>
      </w:pPr>
      <w:r>
        <w:t>9.</w:t>
      </w:r>
      <w:r>
        <w:tab/>
      </w:r>
      <w:r w:rsidR="002A19D4">
        <w:rPr>
          <w:i/>
        </w:rPr>
        <w:t xml:space="preserve">Takes note </w:t>
      </w:r>
      <w:r w:rsidR="002A19D4" w:rsidRPr="006940DC">
        <w:t>of</w:t>
      </w:r>
      <w:r w:rsidR="002A19D4" w:rsidRPr="006A31B1">
        <w:t xml:space="preserve"> </w:t>
      </w:r>
      <w:r w:rsidR="002A19D4">
        <w:t>the estimated budgetary implications of the activities to be undertaken by the secretariat referred to in paragraphs 1, 5 and 6 above;</w:t>
      </w:r>
    </w:p>
    <w:p w14:paraId="7F72E986" w14:textId="56134DDC" w:rsidR="002A19D4" w:rsidRDefault="0032653E" w:rsidP="0032653E">
      <w:pPr>
        <w:pStyle w:val="RegSingleTxtG"/>
        <w:numPr>
          <w:ilvl w:val="0"/>
          <w:numId w:val="0"/>
        </w:numPr>
        <w:ind w:left="1134"/>
      </w:pPr>
      <w:r>
        <w:t>10.</w:t>
      </w:r>
      <w:r>
        <w:tab/>
      </w:r>
      <w:r w:rsidR="002A19D4" w:rsidRPr="00DE58BC">
        <w:rPr>
          <w:i/>
          <w:iCs/>
          <w:lang w:val="en-US"/>
        </w:rPr>
        <w:t xml:space="preserve">Requests </w:t>
      </w:r>
      <w:r w:rsidR="002A19D4" w:rsidRPr="00DE58BC">
        <w:rPr>
          <w:lang w:val="en-US"/>
        </w:rPr>
        <w:t>that the actions of the secretariat called for in this decision be undertaken subject to the availability of financial resources</w:t>
      </w:r>
      <w:r w:rsidR="002A19D4">
        <w:rPr>
          <w:lang w:val="en-US"/>
        </w:rPr>
        <w:t>.</w:t>
      </w:r>
    </w:p>
    <w:p w14:paraId="7675B3CF" w14:textId="77777777" w:rsidR="002A19D4" w:rsidRDefault="002A19D4" w:rsidP="002A19D4">
      <w:pPr>
        <w:sectPr w:rsidR="002A19D4" w:rsidSect="00CA22E4">
          <w:headerReference w:type="even" r:id="rId28"/>
          <w:headerReference w:type="default" r:id="rId29"/>
          <w:footerReference w:type="even" r:id="rId30"/>
          <w:footerReference w:type="default" r:id="rId31"/>
          <w:footnotePr>
            <w:numRestart w:val="eachSect"/>
          </w:footnotePr>
          <w:pgSz w:w="11906" w:h="16838" w:code="9"/>
          <w:pgMar w:top="1417" w:right="1134" w:bottom="1134" w:left="1134" w:header="850" w:footer="567" w:gutter="0"/>
          <w:cols w:space="708"/>
          <w:docGrid w:linePitch="360"/>
        </w:sectPr>
      </w:pPr>
    </w:p>
    <w:p w14:paraId="1C800F67" w14:textId="77777777" w:rsidR="002A19D4" w:rsidRPr="004162CA" w:rsidRDefault="002A19D4" w:rsidP="002A19D4">
      <w:pPr>
        <w:pStyle w:val="HChG"/>
        <w:spacing w:before="0" w:after="200"/>
      </w:pPr>
      <w:r>
        <w:lastRenderedPageBreak/>
        <w:t xml:space="preserve">Annex </w:t>
      </w:r>
    </w:p>
    <w:p w14:paraId="77DB97FD" w14:textId="77777777" w:rsidR="002A19D4" w:rsidRDefault="002A19D4" w:rsidP="002A19D4">
      <w:pPr>
        <w:pStyle w:val="HChG"/>
      </w:pPr>
      <w:r>
        <w:tab/>
      </w:r>
      <w:r>
        <w:tab/>
      </w:r>
      <w:r w:rsidRPr="00665FE7">
        <w:t>Gender</w:t>
      </w:r>
      <w:r w:rsidRPr="00ED28CF">
        <w:t xml:space="preserve"> action plan</w:t>
      </w:r>
    </w:p>
    <w:p w14:paraId="3E62C03E" w14:textId="26A2FEBD" w:rsidR="002A19D4" w:rsidRPr="00A926BF" w:rsidRDefault="0032653E" w:rsidP="0032653E">
      <w:pPr>
        <w:pStyle w:val="RegSingleTxtG"/>
        <w:numPr>
          <w:ilvl w:val="0"/>
          <w:numId w:val="0"/>
        </w:numPr>
        <w:ind w:left="1134"/>
        <w:rPr>
          <w:b/>
        </w:rPr>
      </w:pPr>
      <w:r w:rsidRPr="00A926BF">
        <w:t>1.</w:t>
      </w:r>
      <w:r w:rsidRPr="00A926BF">
        <w:tab/>
      </w:r>
      <w:r w:rsidR="002A19D4">
        <w:rPr>
          <w:color w:val="000000"/>
        </w:rPr>
        <w:t>By d</w:t>
      </w:r>
      <w:r w:rsidR="002A19D4" w:rsidRPr="00A926BF">
        <w:rPr>
          <w:color w:val="000000"/>
        </w:rPr>
        <w:t xml:space="preserve">ecision 21/CP.22, paragraph 27, the Subsidiary Body for Implementation </w:t>
      </w:r>
      <w:r w:rsidR="002A19D4">
        <w:rPr>
          <w:color w:val="000000"/>
        </w:rPr>
        <w:t>was requested</w:t>
      </w:r>
      <w:r w:rsidR="002A19D4" w:rsidRPr="00A926BF">
        <w:rPr>
          <w:color w:val="000000"/>
        </w:rPr>
        <w:t xml:space="preserve"> to develop a gender action plan (GAP) in order to support the implementation of gender-related decisions and mandates </w:t>
      </w:r>
      <w:r w:rsidR="002A19D4">
        <w:rPr>
          <w:color w:val="000000"/>
        </w:rPr>
        <w:t>in</w:t>
      </w:r>
      <w:r w:rsidR="002A19D4" w:rsidRPr="00A926BF">
        <w:rPr>
          <w:color w:val="000000"/>
        </w:rPr>
        <w:t xml:space="preserve"> the UNFCCC process, which may include priority areas, key activities and indicators, timelines for implementation, responsible and key actors and indicative resource requirements for each activity, and </w:t>
      </w:r>
      <w:r w:rsidR="002A19D4">
        <w:rPr>
          <w:color w:val="000000"/>
        </w:rPr>
        <w:t xml:space="preserve">to </w:t>
      </w:r>
      <w:r w:rsidR="002A19D4" w:rsidRPr="00A926BF">
        <w:rPr>
          <w:color w:val="000000"/>
        </w:rPr>
        <w:t>further elaborate its review and monitoring</w:t>
      </w:r>
      <w:r w:rsidR="002A19D4">
        <w:rPr>
          <w:color w:val="000000"/>
        </w:rPr>
        <w:t xml:space="preserve"> processes</w:t>
      </w:r>
      <w:r w:rsidR="002A19D4" w:rsidRPr="00A926BF">
        <w:rPr>
          <w:color w:val="000000"/>
        </w:rPr>
        <w:t>.</w:t>
      </w:r>
    </w:p>
    <w:p w14:paraId="6D75E3C3" w14:textId="02703B63" w:rsidR="002A19D4" w:rsidRDefault="0032653E" w:rsidP="0032653E">
      <w:pPr>
        <w:pStyle w:val="RegSingleTxtG"/>
        <w:numPr>
          <w:ilvl w:val="0"/>
          <w:numId w:val="0"/>
        </w:numPr>
        <w:ind w:left="1134"/>
      </w:pPr>
      <w:r>
        <w:t>2.</w:t>
      </w:r>
      <w:r>
        <w:tab/>
      </w:r>
      <w:r w:rsidR="002A19D4" w:rsidRPr="00B94903">
        <w:t xml:space="preserve">The </w:t>
      </w:r>
      <w:r w:rsidR="002A19D4">
        <w:t>GAP</w:t>
      </w:r>
      <w:r w:rsidR="002A19D4" w:rsidRPr="00B94903">
        <w:t xml:space="preserve">, created under the Lima </w:t>
      </w:r>
      <w:r w:rsidR="002A19D4">
        <w:t>w</w:t>
      </w:r>
      <w:r w:rsidR="002A19D4" w:rsidRPr="00B94903">
        <w:t xml:space="preserve">ork </w:t>
      </w:r>
      <w:r w:rsidR="002A19D4">
        <w:t>p</w:t>
      </w:r>
      <w:r w:rsidR="002A19D4" w:rsidRPr="00B94903">
        <w:t xml:space="preserve">rogramme on </w:t>
      </w:r>
      <w:r w:rsidR="002A19D4">
        <w:t>g</w:t>
      </w:r>
      <w:r w:rsidR="002A19D4" w:rsidRPr="00B94903">
        <w:t>ender, seeks to advance women’s full, equal and meaningful participation and promote gender-responsive climate policy and the mainstreaming of a gender perspective in the implementation of the Convention and the work of Parties, the secretariat, U</w:t>
      </w:r>
      <w:r w:rsidR="002A19D4">
        <w:t xml:space="preserve">nited </w:t>
      </w:r>
      <w:r w:rsidR="002A19D4" w:rsidRPr="00B94903">
        <w:t>N</w:t>
      </w:r>
      <w:r w:rsidR="002A19D4">
        <w:t>ations</w:t>
      </w:r>
      <w:r w:rsidR="002A19D4" w:rsidRPr="00B94903">
        <w:t xml:space="preserve"> entities and all stakeholders at all levels</w:t>
      </w:r>
      <w:r w:rsidR="002A19D4">
        <w:t>.</w:t>
      </w:r>
      <w:r w:rsidR="002A19D4" w:rsidRPr="006E08EA">
        <w:rPr>
          <w:b/>
        </w:rPr>
        <w:t xml:space="preserve"> </w:t>
      </w:r>
    </w:p>
    <w:p w14:paraId="5EAF967D" w14:textId="0C1AFD33" w:rsidR="002A19D4" w:rsidRDefault="0032653E" w:rsidP="0032653E">
      <w:pPr>
        <w:pStyle w:val="RegSingleTxtG"/>
        <w:numPr>
          <w:ilvl w:val="0"/>
          <w:numId w:val="0"/>
        </w:numPr>
        <w:ind w:left="1134"/>
      </w:pPr>
      <w:r>
        <w:t>3.</w:t>
      </w:r>
      <w:r>
        <w:tab/>
      </w:r>
      <w:r w:rsidR="002A19D4">
        <w:t>G</w:t>
      </w:r>
      <w:r w:rsidR="002A19D4" w:rsidRPr="00D51701">
        <w:t>ender</w:t>
      </w:r>
      <w:r w:rsidR="002A19D4">
        <w:t>-responsive climate policy</w:t>
      </w:r>
      <w:r w:rsidR="002A19D4" w:rsidRPr="00D51701">
        <w:t xml:space="preserve"> requires further strengthening in all activities concerning adaptation, mitigation and related means of implementation (finance, technology development and transfer</w:t>
      </w:r>
      <w:r w:rsidR="002A19D4">
        <w:t>,</w:t>
      </w:r>
      <w:r w:rsidR="002A19D4" w:rsidRPr="00D51701">
        <w:t xml:space="preserve"> and capacity-building) as well as decision-making on the implementation of climate policies</w:t>
      </w:r>
      <w:r w:rsidR="002A19D4">
        <w:t>. The GAP recognize</w:t>
      </w:r>
      <w:r w:rsidR="002A19D4" w:rsidRPr="00314352">
        <w:t xml:space="preserve">s </w:t>
      </w:r>
      <w:r w:rsidR="002A19D4">
        <w:t>the</w:t>
      </w:r>
      <w:r w:rsidR="002A19D4" w:rsidRPr="00314352">
        <w:t xml:space="preserve"> need for women to be represented in all aspects of the </w:t>
      </w:r>
      <w:r w:rsidR="002A19D4">
        <w:t>UNFCCC process and the</w:t>
      </w:r>
      <w:r w:rsidR="002A19D4" w:rsidRPr="00314352">
        <w:t xml:space="preserve"> need for gender mainstreaming through all relevant targets and goals in activities under the Convention as an important contribution to increas</w:t>
      </w:r>
      <w:r w:rsidR="002A19D4">
        <w:t>ing</w:t>
      </w:r>
      <w:r w:rsidR="002A19D4" w:rsidRPr="00314352">
        <w:t xml:space="preserve"> their effectiveness</w:t>
      </w:r>
      <w:r w:rsidR="002A19D4">
        <w:t>.</w:t>
      </w:r>
    </w:p>
    <w:p w14:paraId="112D33EC" w14:textId="269A64D5" w:rsidR="002A19D4" w:rsidRDefault="0032653E" w:rsidP="0032653E">
      <w:pPr>
        <w:pStyle w:val="RegSingleTxtG"/>
        <w:numPr>
          <w:ilvl w:val="0"/>
          <w:numId w:val="0"/>
        </w:numPr>
        <w:ind w:left="1134"/>
      </w:pPr>
      <w:r>
        <w:t>4.</w:t>
      </w:r>
      <w:r>
        <w:tab/>
      </w:r>
      <w:r w:rsidR="002A19D4">
        <w:t>The GAP recognizes that gender-related action is being progressed across all areas of the Convention and with respect to the Paris Agreement. Many of the activities in the GAP have been the subject of action by a variety of relevant organizations and will continue to require further action beyond the time frame of the plan.</w:t>
      </w:r>
    </w:p>
    <w:p w14:paraId="0E2D978A" w14:textId="5C46E3B4" w:rsidR="002A19D4" w:rsidRDefault="0032653E" w:rsidP="0032653E">
      <w:pPr>
        <w:pStyle w:val="RegSingleTxtG"/>
        <w:numPr>
          <w:ilvl w:val="0"/>
          <w:numId w:val="0"/>
        </w:numPr>
        <w:ind w:left="1134"/>
      </w:pPr>
      <w:r>
        <w:t>5.</w:t>
      </w:r>
      <w:r>
        <w:tab/>
      </w:r>
      <w:r w:rsidR="002A19D4">
        <w:t xml:space="preserve">The activities in the GAP vary in terms of measurability, and Parties are at various stages in terms of progress on this agenda. Some actions may be afforded differing degrees of prioritization according to the nature and scale of the climate policies being implemented and the capacities of Parties. The GAP recognizes that climate action under the Convention is a Party-driven process. </w:t>
      </w:r>
    </w:p>
    <w:p w14:paraId="061B4275" w14:textId="77777777" w:rsidR="002A19D4" w:rsidRPr="00A926BF" w:rsidRDefault="002A19D4" w:rsidP="002A19D4">
      <w:pPr>
        <w:pStyle w:val="H1G"/>
        <w:spacing w:before="240"/>
        <w:ind w:firstLine="0"/>
      </w:pPr>
      <w:r w:rsidRPr="00A926BF">
        <w:t xml:space="preserve">Priority </w:t>
      </w:r>
      <w:r>
        <w:t>a</w:t>
      </w:r>
      <w:r w:rsidRPr="00A926BF">
        <w:t xml:space="preserve">reas </w:t>
      </w:r>
    </w:p>
    <w:p w14:paraId="5ED13441" w14:textId="1550EAA8" w:rsidR="002A19D4" w:rsidRPr="004F1E68" w:rsidRDefault="0032653E" w:rsidP="0032653E">
      <w:pPr>
        <w:pStyle w:val="RegSingleTxtG"/>
        <w:numPr>
          <w:ilvl w:val="0"/>
          <w:numId w:val="0"/>
        </w:numPr>
        <w:ind w:left="1134"/>
      </w:pPr>
      <w:r w:rsidRPr="004F1E68">
        <w:t>6.</w:t>
      </w:r>
      <w:r w:rsidRPr="004F1E68">
        <w:tab/>
      </w:r>
      <w:r w:rsidR="002A19D4">
        <w:t>Parties, the secretariat and relevant organizations are invited to undertake the activities contained in the GAP, as appropriate. The GAP sets out, in five priority areas, the activities that will drive the achievement of its objectives</w:t>
      </w:r>
      <w:r w:rsidR="002A19D4" w:rsidRPr="004F1E68">
        <w:t>.</w:t>
      </w:r>
    </w:p>
    <w:p w14:paraId="1ACE92D5" w14:textId="1819E537" w:rsidR="002A19D4" w:rsidRPr="00A926BF" w:rsidRDefault="002A19D4" w:rsidP="002A19D4">
      <w:pPr>
        <w:spacing w:after="120"/>
        <w:ind w:left="1134"/>
        <w:rPr>
          <w:b/>
        </w:rPr>
      </w:pPr>
      <w:r w:rsidRPr="00A926BF">
        <w:rPr>
          <w:b/>
        </w:rPr>
        <w:t>A</w:t>
      </w:r>
      <w:r>
        <w:rPr>
          <w:b/>
        </w:rPr>
        <w:t>.</w:t>
      </w:r>
      <w:r w:rsidRPr="00A926BF">
        <w:rPr>
          <w:b/>
        </w:rPr>
        <w:tab/>
        <w:t>Capacity</w:t>
      </w:r>
      <w:r>
        <w:rPr>
          <w:b/>
        </w:rPr>
        <w:t>-</w:t>
      </w:r>
      <w:r w:rsidRPr="00A926BF">
        <w:rPr>
          <w:b/>
        </w:rPr>
        <w:t>building, knowledge</w:t>
      </w:r>
      <w:r w:rsidR="00A57A9C">
        <w:rPr>
          <w:b/>
        </w:rPr>
        <w:t>-</w:t>
      </w:r>
      <w:r w:rsidRPr="00A926BF">
        <w:rPr>
          <w:b/>
        </w:rPr>
        <w:t>sharing and communication</w:t>
      </w:r>
    </w:p>
    <w:p w14:paraId="01E3BA78" w14:textId="27F24BC1" w:rsidR="002A19D4" w:rsidRDefault="0032653E" w:rsidP="0032653E">
      <w:pPr>
        <w:pStyle w:val="RegSingleTxtG"/>
        <w:numPr>
          <w:ilvl w:val="0"/>
          <w:numId w:val="0"/>
        </w:numPr>
        <w:ind w:left="1134"/>
      </w:pPr>
      <w:r>
        <w:t>7.</w:t>
      </w:r>
      <w:r>
        <w:tab/>
      </w:r>
      <w:r w:rsidR="002A19D4">
        <w:t xml:space="preserve">The GAP seeks to enhance the understanding and expertise of stakeholders on the systematic integration of gender considerations and the application of such understanding and expertise in the thematic areas under the Convention and the Paris Agreement and in policies, programmes and projects on the ground. </w:t>
      </w:r>
    </w:p>
    <w:p w14:paraId="18752CD7" w14:textId="77777777" w:rsidR="002A19D4" w:rsidRDefault="002A19D4" w:rsidP="002A19D4">
      <w:pPr>
        <w:spacing w:after="120"/>
        <w:ind w:left="1134"/>
        <w:rPr>
          <w:b/>
        </w:rPr>
      </w:pPr>
      <w:r w:rsidRPr="00A926BF">
        <w:rPr>
          <w:b/>
        </w:rPr>
        <w:t>B</w:t>
      </w:r>
      <w:r>
        <w:rPr>
          <w:b/>
        </w:rPr>
        <w:t>.</w:t>
      </w:r>
      <w:r w:rsidRPr="00A926BF">
        <w:rPr>
          <w:b/>
        </w:rPr>
        <w:tab/>
        <w:t>Gender balance, participation and women’s leadership</w:t>
      </w:r>
    </w:p>
    <w:p w14:paraId="62460421" w14:textId="29F1450A" w:rsidR="002A19D4" w:rsidRDefault="0032653E" w:rsidP="0032653E">
      <w:pPr>
        <w:pStyle w:val="RegSingleTxtG"/>
        <w:numPr>
          <w:ilvl w:val="0"/>
          <w:numId w:val="0"/>
        </w:numPr>
        <w:ind w:left="1134"/>
      </w:pPr>
      <w:r>
        <w:t>8.</w:t>
      </w:r>
      <w:r>
        <w:tab/>
      </w:r>
      <w:r w:rsidR="002A19D4">
        <w:t>The GAP seeks to achieve and sustain the full, equal and meaningful participation of women in the UNFCCC process.</w:t>
      </w:r>
    </w:p>
    <w:p w14:paraId="33195688" w14:textId="77777777" w:rsidR="002A19D4" w:rsidRDefault="002A19D4" w:rsidP="002A19D4">
      <w:pPr>
        <w:spacing w:after="120"/>
        <w:ind w:left="1134"/>
        <w:rPr>
          <w:b/>
        </w:rPr>
      </w:pPr>
      <w:r w:rsidRPr="00A926BF">
        <w:rPr>
          <w:b/>
        </w:rPr>
        <w:t>C</w:t>
      </w:r>
      <w:r>
        <w:rPr>
          <w:b/>
        </w:rPr>
        <w:t>.</w:t>
      </w:r>
      <w:r w:rsidRPr="00A926BF">
        <w:rPr>
          <w:b/>
        </w:rPr>
        <w:tab/>
        <w:t>Coherence</w:t>
      </w:r>
    </w:p>
    <w:p w14:paraId="6E197280" w14:textId="59A855D2" w:rsidR="002A19D4" w:rsidRDefault="0032653E" w:rsidP="0032653E">
      <w:pPr>
        <w:pStyle w:val="RegSingleTxtG"/>
        <w:numPr>
          <w:ilvl w:val="0"/>
          <w:numId w:val="0"/>
        </w:numPr>
        <w:ind w:left="1134"/>
      </w:pPr>
      <w:r>
        <w:t>9.</w:t>
      </w:r>
      <w:r>
        <w:tab/>
      </w:r>
      <w:r w:rsidR="002A19D4">
        <w:t>The GAP seeks to strengthen the integration of gender considerations within the work of UNFCCC bodies, the secretariat and other United Nation entities and stakeholders towards the consistent implementation of gender-related mandates and activities.</w:t>
      </w:r>
    </w:p>
    <w:p w14:paraId="614A8332" w14:textId="77777777" w:rsidR="002A19D4" w:rsidRDefault="002A19D4" w:rsidP="002A19D4">
      <w:pPr>
        <w:keepNext/>
        <w:spacing w:after="120"/>
        <w:ind w:left="1134"/>
        <w:rPr>
          <w:b/>
        </w:rPr>
      </w:pPr>
      <w:r w:rsidRPr="00A926BF">
        <w:rPr>
          <w:b/>
        </w:rPr>
        <w:lastRenderedPageBreak/>
        <w:t>D.</w:t>
      </w:r>
      <w:r w:rsidRPr="00A926BF">
        <w:rPr>
          <w:b/>
        </w:rPr>
        <w:tab/>
        <w:t>Gender</w:t>
      </w:r>
      <w:r>
        <w:rPr>
          <w:b/>
        </w:rPr>
        <w:t>-</w:t>
      </w:r>
      <w:r w:rsidRPr="00A926BF">
        <w:rPr>
          <w:b/>
        </w:rPr>
        <w:t>responsive implementation and means of implementation</w:t>
      </w:r>
    </w:p>
    <w:p w14:paraId="0298082F" w14:textId="4A73DB13" w:rsidR="002A19D4" w:rsidRDefault="0032653E" w:rsidP="0032653E">
      <w:pPr>
        <w:pStyle w:val="RegSingleTxtG"/>
        <w:numPr>
          <w:ilvl w:val="0"/>
          <w:numId w:val="0"/>
        </w:numPr>
        <w:ind w:left="1134"/>
      </w:pPr>
      <w:r>
        <w:t>10.</w:t>
      </w:r>
      <w:r>
        <w:tab/>
      </w:r>
      <w:r w:rsidR="002A19D4">
        <w:t>The GAP aims to ensure the respect, promotion and consideration of gender equality and the empowerment of women in the implementation of the Convention and the Paris Agreement.</w:t>
      </w:r>
    </w:p>
    <w:p w14:paraId="1D7E9F96" w14:textId="77777777" w:rsidR="002A19D4" w:rsidRDefault="002A19D4" w:rsidP="002A19D4">
      <w:pPr>
        <w:spacing w:after="120"/>
        <w:ind w:left="1134"/>
        <w:rPr>
          <w:b/>
        </w:rPr>
      </w:pPr>
      <w:r>
        <w:rPr>
          <w:b/>
        </w:rPr>
        <w:t>E.</w:t>
      </w:r>
      <w:r>
        <w:rPr>
          <w:b/>
        </w:rPr>
        <w:tab/>
      </w:r>
      <w:r w:rsidRPr="00A926BF">
        <w:rPr>
          <w:b/>
        </w:rPr>
        <w:t>Monitoring and reporting</w:t>
      </w:r>
    </w:p>
    <w:p w14:paraId="1DBCECED" w14:textId="78FAD96B" w:rsidR="002A19D4" w:rsidRDefault="0032653E" w:rsidP="0032653E">
      <w:pPr>
        <w:pStyle w:val="RegSingleTxtG"/>
        <w:numPr>
          <w:ilvl w:val="0"/>
          <w:numId w:val="0"/>
        </w:numPr>
        <w:spacing w:after="200"/>
        <w:ind w:left="1134"/>
      </w:pPr>
      <w:r>
        <w:t>11.</w:t>
      </w:r>
      <w:r>
        <w:tab/>
      </w:r>
      <w:r w:rsidR="002A19D4">
        <w:t>The GAP seeks to improve tracking in relation to the implementation of and reporting on gender-related mandates under the UNFCCC.</w:t>
      </w:r>
    </w:p>
    <w:p w14:paraId="73DA09C0" w14:textId="77777777" w:rsidR="002A19D4" w:rsidRDefault="002A19D4" w:rsidP="002A19D4">
      <w:pPr>
        <w:ind w:left="-142" w:firstLine="142"/>
      </w:pPr>
      <w:r>
        <w:t xml:space="preserve">Table 1 </w:t>
      </w:r>
    </w:p>
    <w:p w14:paraId="0EB4F9CC" w14:textId="167146A9" w:rsidR="002A19D4" w:rsidRDefault="002A19D4" w:rsidP="002A19D4">
      <w:pPr>
        <w:spacing w:after="80"/>
        <w:ind w:left="-142" w:firstLine="142"/>
        <w:rPr>
          <w:b/>
        </w:rPr>
      </w:pPr>
      <w:r w:rsidRPr="00574606">
        <w:rPr>
          <w:b/>
        </w:rPr>
        <w:t>Priority area A</w:t>
      </w:r>
      <w:r w:rsidRPr="00172813">
        <w:rPr>
          <w:b/>
        </w:rPr>
        <w:t>:</w:t>
      </w:r>
      <w:r w:rsidRPr="00574606">
        <w:rPr>
          <w:b/>
        </w:rPr>
        <w:t xml:space="preserve"> </w:t>
      </w:r>
      <w:r>
        <w:rPr>
          <w:b/>
        </w:rPr>
        <w:t>c</w:t>
      </w:r>
      <w:r w:rsidRPr="00D56374">
        <w:rPr>
          <w:b/>
        </w:rPr>
        <w:t>apacity</w:t>
      </w:r>
      <w:r>
        <w:rPr>
          <w:b/>
        </w:rPr>
        <w:t>-b</w:t>
      </w:r>
      <w:r w:rsidRPr="00D56374">
        <w:rPr>
          <w:b/>
        </w:rPr>
        <w:t xml:space="preserve">uilding, </w:t>
      </w:r>
      <w:r>
        <w:rPr>
          <w:b/>
        </w:rPr>
        <w:t>k</w:t>
      </w:r>
      <w:r w:rsidRPr="00D56374">
        <w:rPr>
          <w:b/>
        </w:rPr>
        <w:t>nowledge</w:t>
      </w:r>
      <w:r w:rsidR="00A57A9C">
        <w:rPr>
          <w:b/>
        </w:rPr>
        <w:t>-</w:t>
      </w:r>
      <w:r>
        <w:rPr>
          <w:b/>
        </w:rPr>
        <w:t>s</w:t>
      </w:r>
      <w:r w:rsidRPr="00D56374">
        <w:rPr>
          <w:b/>
        </w:rPr>
        <w:t xml:space="preserve">haring and </w:t>
      </w:r>
      <w:r>
        <w:rPr>
          <w:b/>
        </w:rPr>
        <w:t>c</w:t>
      </w:r>
      <w:r w:rsidRPr="00D56374">
        <w:rPr>
          <w:b/>
        </w:rPr>
        <w:t>ommunication</w:t>
      </w:r>
    </w:p>
    <w:tbl>
      <w:tblPr>
        <w:tblW w:w="9639" w:type="dxa"/>
        <w:tblBorders>
          <w:top w:val="single" w:sz="4" w:space="0" w:color="auto"/>
        </w:tblBorders>
        <w:tblCellMar>
          <w:left w:w="0" w:type="dxa"/>
          <w:right w:w="0" w:type="dxa"/>
        </w:tblCellMar>
        <w:tblLook w:val="04A0" w:firstRow="1" w:lastRow="0" w:firstColumn="1" w:lastColumn="0" w:noHBand="0" w:noVBand="1"/>
      </w:tblPr>
      <w:tblGrid>
        <w:gridCol w:w="5234"/>
        <w:gridCol w:w="2007"/>
        <w:gridCol w:w="887"/>
        <w:gridCol w:w="1511"/>
      </w:tblGrid>
      <w:tr w:rsidR="002A19D4" w:rsidRPr="00D56374" w14:paraId="1EA21E10" w14:textId="77777777" w:rsidTr="00BE642F">
        <w:trPr>
          <w:trHeight w:val="240"/>
          <w:tblHeader/>
        </w:trPr>
        <w:tc>
          <w:tcPr>
            <w:tcW w:w="5218" w:type="dxa"/>
            <w:tcBorders>
              <w:top w:val="single" w:sz="4" w:space="0" w:color="auto"/>
              <w:bottom w:val="single" w:sz="12" w:space="0" w:color="auto"/>
            </w:tcBorders>
            <w:shd w:val="clear" w:color="auto" w:fill="auto"/>
            <w:noWrap/>
            <w:vAlign w:val="bottom"/>
            <w:hideMark/>
          </w:tcPr>
          <w:p w14:paraId="4FDFC214" w14:textId="799CD6B8" w:rsidR="002A19D4" w:rsidRPr="00D56374" w:rsidRDefault="002A19D4" w:rsidP="00BE642F">
            <w:pPr>
              <w:suppressAutoHyphens w:val="0"/>
              <w:spacing w:before="80" w:after="80" w:line="200" w:lineRule="exact"/>
              <w:rPr>
                <w:rFonts w:eastAsia="Times New Roman"/>
                <w:bCs/>
                <w:i/>
                <w:sz w:val="16"/>
                <w:lang w:eastAsia="en-IE"/>
              </w:rPr>
            </w:pPr>
            <w:r w:rsidRPr="00D56374">
              <w:rPr>
                <w:rFonts w:eastAsia="Times New Roman"/>
                <w:bCs/>
                <w:i/>
                <w:sz w:val="16"/>
                <w:lang w:eastAsia="en-IE"/>
              </w:rPr>
              <w:t>Activit</w:t>
            </w:r>
            <w:r w:rsidR="00D2610F">
              <w:rPr>
                <w:rFonts w:eastAsia="Times New Roman"/>
                <w:bCs/>
                <w:i/>
                <w:sz w:val="16"/>
                <w:lang w:eastAsia="en-IE"/>
              </w:rPr>
              <w:t>y</w:t>
            </w:r>
          </w:p>
        </w:tc>
        <w:tc>
          <w:tcPr>
            <w:tcW w:w="1991" w:type="dxa"/>
            <w:tcBorders>
              <w:top w:val="single" w:sz="4" w:space="0" w:color="auto"/>
              <w:bottom w:val="single" w:sz="12" w:space="0" w:color="auto"/>
            </w:tcBorders>
            <w:shd w:val="clear" w:color="auto" w:fill="auto"/>
            <w:noWrap/>
            <w:vAlign w:val="bottom"/>
            <w:hideMark/>
          </w:tcPr>
          <w:p w14:paraId="5625513B" w14:textId="77777777" w:rsidR="002A19D4" w:rsidRPr="00D56374" w:rsidRDefault="002A19D4" w:rsidP="00BE642F">
            <w:pPr>
              <w:suppressAutoHyphens w:val="0"/>
              <w:spacing w:before="80" w:after="80" w:line="200" w:lineRule="exact"/>
              <w:ind w:left="113"/>
              <w:rPr>
                <w:rFonts w:eastAsia="Times New Roman"/>
                <w:bCs/>
                <w:i/>
                <w:sz w:val="16"/>
                <w:lang w:eastAsia="en-IE"/>
              </w:rPr>
            </w:pPr>
            <w:r w:rsidRPr="00D56374">
              <w:rPr>
                <w:rFonts w:eastAsia="Times New Roman"/>
                <w:bCs/>
                <w:i/>
                <w:sz w:val="16"/>
                <w:lang w:eastAsia="en-IE"/>
              </w:rPr>
              <w:t xml:space="preserve">Responsible </w:t>
            </w:r>
            <w:r>
              <w:rPr>
                <w:rFonts w:eastAsia="Times New Roman"/>
                <w:bCs/>
                <w:i/>
                <w:sz w:val="16"/>
                <w:lang w:eastAsia="en-IE"/>
              </w:rPr>
              <w:t>actors</w:t>
            </w:r>
          </w:p>
        </w:tc>
        <w:tc>
          <w:tcPr>
            <w:tcW w:w="871" w:type="dxa"/>
            <w:tcBorders>
              <w:top w:val="single" w:sz="4" w:space="0" w:color="auto"/>
              <w:bottom w:val="single" w:sz="12" w:space="0" w:color="auto"/>
            </w:tcBorders>
            <w:shd w:val="clear" w:color="auto" w:fill="auto"/>
            <w:noWrap/>
            <w:vAlign w:val="bottom"/>
            <w:hideMark/>
          </w:tcPr>
          <w:p w14:paraId="70AA27B6" w14:textId="77777777" w:rsidR="002A19D4" w:rsidRPr="00D56374" w:rsidRDefault="002A19D4" w:rsidP="00BE642F">
            <w:pPr>
              <w:suppressAutoHyphens w:val="0"/>
              <w:spacing w:before="80" w:after="80" w:line="200" w:lineRule="exact"/>
              <w:ind w:left="113"/>
              <w:rPr>
                <w:rFonts w:eastAsia="Times New Roman"/>
                <w:bCs/>
                <w:i/>
                <w:sz w:val="16"/>
                <w:lang w:eastAsia="en-IE"/>
              </w:rPr>
            </w:pPr>
            <w:r w:rsidRPr="00D56374">
              <w:rPr>
                <w:rFonts w:eastAsia="Times New Roman"/>
                <w:bCs/>
                <w:i/>
                <w:sz w:val="16"/>
                <w:lang w:eastAsia="en-IE"/>
              </w:rPr>
              <w:t>Timeline</w:t>
            </w:r>
          </w:p>
        </w:tc>
        <w:tc>
          <w:tcPr>
            <w:tcW w:w="1559" w:type="dxa"/>
            <w:tcBorders>
              <w:top w:val="single" w:sz="4" w:space="0" w:color="auto"/>
              <w:bottom w:val="single" w:sz="12" w:space="0" w:color="auto"/>
            </w:tcBorders>
            <w:shd w:val="clear" w:color="auto" w:fill="auto"/>
            <w:vAlign w:val="bottom"/>
          </w:tcPr>
          <w:p w14:paraId="4AC264CE" w14:textId="77777777" w:rsidR="002A19D4" w:rsidRPr="00D56374" w:rsidRDefault="002A19D4" w:rsidP="00BE642F">
            <w:pPr>
              <w:suppressAutoHyphens w:val="0"/>
              <w:spacing w:before="80" w:after="80" w:line="200" w:lineRule="exact"/>
              <w:ind w:left="113" w:right="6"/>
              <w:rPr>
                <w:rFonts w:eastAsia="Times New Roman"/>
                <w:bCs/>
                <w:i/>
                <w:sz w:val="16"/>
                <w:lang w:eastAsia="en-IE"/>
              </w:rPr>
            </w:pPr>
            <w:r w:rsidRPr="00D56374">
              <w:rPr>
                <w:rFonts w:eastAsia="Times New Roman"/>
                <w:bCs/>
                <w:i/>
                <w:sz w:val="16"/>
                <w:lang w:eastAsia="en-IE"/>
              </w:rPr>
              <w:t>Deliverables</w:t>
            </w:r>
          </w:p>
        </w:tc>
      </w:tr>
      <w:tr w:rsidR="002A19D4" w:rsidRPr="00D56374" w14:paraId="50A1F920" w14:textId="77777777" w:rsidTr="00BE642F">
        <w:trPr>
          <w:trHeight w:val="240"/>
        </w:trPr>
        <w:tc>
          <w:tcPr>
            <w:tcW w:w="5218" w:type="dxa"/>
            <w:tcBorders>
              <w:top w:val="single" w:sz="12" w:space="0" w:color="auto"/>
            </w:tcBorders>
            <w:shd w:val="clear" w:color="auto" w:fill="auto"/>
            <w:hideMark/>
          </w:tcPr>
          <w:p w14:paraId="4C67FC84" w14:textId="77777777" w:rsidR="002A19D4" w:rsidRPr="0071139B" w:rsidRDefault="002A19D4" w:rsidP="00BE642F">
            <w:pPr>
              <w:suppressAutoHyphens w:val="0"/>
              <w:spacing w:before="40" w:after="40" w:line="220" w:lineRule="exact"/>
              <w:rPr>
                <w:rFonts w:eastAsia="Times New Roman"/>
                <w:lang w:eastAsia="en-IE"/>
              </w:rPr>
            </w:pPr>
            <w:r w:rsidRPr="0071139B">
              <w:rPr>
                <w:rFonts w:eastAsia="Times New Roman"/>
                <w:bCs/>
                <w:lang w:eastAsia="en-IE"/>
              </w:rPr>
              <w:t xml:space="preserve">A.1 </w:t>
            </w:r>
          </w:p>
          <w:p w14:paraId="4C4F3057" w14:textId="06A55852" w:rsidR="002A19D4" w:rsidRPr="0071139B" w:rsidRDefault="002A19D4" w:rsidP="00BE642F">
            <w:pPr>
              <w:suppressAutoHyphens w:val="0"/>
              <w:spacing w:before="40" w:after="40" w:line="220" w:lineRule="exact"/>
              <w:rPr>
                <w:rFonts w:eastAsia="Times New Roman"/>
                <w:lang w:eastAsia="en-IE"/>
              </w:rPr>
            </w:pPr>
            <w:r w:rsidRPr="0071139B">
              <w:rPr>
                <w:rFonts w:eastAsia="Times New Roman"/>
                <w:lang w:eastAsia="en-IE"/>
              </w:rPr>
              <w:t>Through the use of such mechanisms as workshops, technical assistance, etc., enhance the capacity of Parties and stakeholders to develop gender-responsive policies, plans and programmes on adaptation, mitigation, capacity-building, technology and finance</w:t>
            </w:r>
          </w:p>
        </w:tc>
        <w:tc>
          <w:tcPr>
            <w:tcW w:w="1991" w:type="dxa"/>
            <w:tcBorders>
              <w:top w:val="single" w:sz="12" w:space="0" w:color="auto"/>
            </w:tcBorders>
            <w:shd w:val="clear" w:color="auto" w:fill="auto"/>
            <w:hideMark/>
          </w:tcPr>
          <w:p w14:paraId="14FE5206"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Parties, United Nations entities and relevant organizations</w:t>
            </w:r>
          </w:p>
        </w:tc>
        <w:tc>
          <w:tcPr>
            <w:tcW w:w="871" w:type="dxa"/>
            <w:tcBorders>
              <w:top w:val="single" w:sz="12" w:space="0" w:color="auto"/>
            </w:tcBorders>
            <w:shd w:val="clear" w:color="auto" w:fill="auto"/>
            <w:noWrap/>
            <w:hideMark/>
          </w:tcPr>
          <w:p w14:paraId="7B9D708A"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2018</w:t>
            </w:r>
          </w:p>
        </w:tc>
        <w:tc>
          <w:tcPr>
            <w:tcW w:w="1559" w:type="dxa"/>
            <w:tcBorders>
              <w:top w:val="single" w:sz="12" w:space="0" w:color="auto"/>
            </w:tcBorders>
            <w:shd w:val="clear" w:color="auto" w:fill="auto"/>
          </w:tcPr>
          <w:p w14:paraId="61F35F75"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Gender-responsive climate policies, plans and programmes</w:t>
            </w:r>
          </w:p>
        </w:tc>
      </w:tr>
      <w:tr w:rsidR="002A19D4" w:rsidRPr="00D56374" w14:paraId="393550AA" w14:textId="77777777" w:rsidTr="00BE642F">
        <w:trPr>
          <w:trHeight w:val="240"/>
        </w:trPr>
        <w:tc>
          <w:tcPr>
            <w:tcW w:w="5218" w:type="dxa"/>
            <w:tcBorders>
              <w:bottom w:val="single" w:sz="12" w:space="0" w:color="auto"/>
            </w:tcBorders>
            <w:shd w:val="clear" w:color="auto" w:fill="auto"/>
            <w:hideMark/>
          </w:tcPr>
          <w:p w14:paraId="70DF107F" w14:textId="596AC133" w:rsidR="002A19D4" w:rsidRPr="0071139B" w:rsidRDefault="002A19D4" w:rsidP="00BE642F">
            <w:pPr>
              <w:suppressAutoHyphens w:val="0"/>
              <w:spacing w:before="160" w:after="40" w:line="220" w:lineRule="exact"/>
              <w:rPr>
                <w:rFonts w:eastAsia="Times New Roman"/>
                <w:lang w:eastAsia="en-IE"/>
              </w:rPr>
            </w:pPr>
            <w:r w:rsidRPr="0071139B">
              <w:rPr>
                <w:rFonts w:eastAsia="Times New Roman"/>
                <w:bCs/>
                <w:lang w:eastAsia="en-IE"/>
              </w:rPr>
              <w:t>A.2</w:t>
            </w:r>
            <w:r w:rsidRPr="0071139B">
              <w:rPr>
                <w:rFonts w:eastAsia="Times New Roman"/>
                <w:lang w:eastAsia="en-IE"/>
              </w:rPr>
              <w:br/>
              <w:t xml:space="preserve">Make a submission on the systematic integration of gender-sensitive and participatory education, training, public awareness, public participation and public access to information from national to local level into all mitigation and adaptation activities implemented under the Convention and the Paris Agreement, including into the implementation of </w:t>
            </w:r>
            <w:r w:rsidR="00601BEB">
              <w:rPr>
                <w:rFonts w:eastAsia="Times New Roman"/>
                <w:lang w:eastAsia="en-IE"/>
              </w:rPr>
              <w:t>nationally determined contributions</w:t>
            </w:r>
            <w:r w:rsidRPr="0071139B">
              <w:rPr>
                <w:rFonts w:eastAsia="Times New Roman"/>
                <w:lang w:eastAsia="en-IE"/>
              </w:rPr>
              <w:t xml:space="preserve"> and the formulation of long-term low greenhouse gas emission development strategies, and invite Parties to hold a dialogue under the Action for Climate Empowerment agenda item</w:t>
            </w:r>
            <w:r w:rsidR="00013C29">
              <w:rPr>
                <w:rFonts w:eastAsia="Times New Roman"/>
                <w:lang w:eastAsia="en-IE"/>
              </w:rPr>
              <w:t xml:space="preserve"> of the Subsidiary Body for Implementation</w:t>
            </w:r>
            <w:r w:rsidRPr="0071139B">
              <w:rPr>
                <w:rFonts w:eastAsia="Times New Roman"/>
                <w:lang w:eastAsia="en-IE"/>
              </w:rPr>
              <w:t xml:space="preserve"> on how Parties and observer organizations have promoted the systematic integration of gender considerations into the above-mentioned issues</w:t>
            </w:r>
          </w:p>
        </w:tc>
        <w:tc>
          <w:tcPr>
            <w:tcW w:w="1991" w:type="dxa"/>
            <w:tcBorders>
              <w:bottom w:val="single" w:sz="12" w:space="0" w:color="auto"/>
            </w:tcBorders>
            <w:shd w:val="clear" w:color="auto" w:fill="auto"/>
            <w:hideMark/>
          </w:tcPr>
          <w:p w14:paraId="3888CA1A"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Parties and observer organizations, secretariat gender focal point, and the Paris Committee on Capacity-building</w:t>
            </w:r>
          </w:p>
        </w:tc>
        <w:tc>
          <w:tcPr>
            <w:tcW w:w="871" w:type="dxa"/>
            <w:tcBorders>
              <w:bottom w:val="single" w:sz="12" w:space="0" w:color="auto"/>
            </w:tcBorders>
            <w:shd w:val="clear" w:color="auto" w:fill="auto"/>
            <w:noWrap/>
            <w:hideMark/>
          </w:tcPr>
          <w:p w14:paraId="72BE2BEC"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2018</w:t>
            </w:r>
          </w:p>
        </w:tc>
        <w:tc>
          <w:tcPr>
            <w:tcW w:w="1559" w:type="dxa"/>
            <w:tcBorders>
              <w:bottom w:val="single" w:sz="12" w:space="0" w:color="auto"/>
            </w:tcBorders>
            <w:shd w:val="clear" w:color="auto" w:fill="auto"/>
          </w:tcPr>
          <w:p w14:paraId="04A7ECD5" w14:textId="592E6DAD"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Submission</w:t>
            </w:r>
            <w:r w:rsidR="00712B67">
              <w:rPr>
                <w:rFonts w:eastAsia="Times New Roman"/>
                <w:lang w:eastAsia="en-IE"/>
              </w:rPr>
              <w:t>s</w:t>
            </w:r>
            <w:r w:rsidRPr="0071139B">
              <w:rPr>
                <w:rFonts w:eastAsia="Times New Roman"/>
                <w:lang w:eastAsia="en-IE"/>
              </w:rPr>
              <w:t xml:space="preserve"> and dialogue</w:t>
            </w:r>
          </w:p>
        </w:tc>
      </w:tr>
    </w:tbl>
    <w:p w14:paraId="4D6466D1" w14:textId="77777777" w:rsidR="002A19D4" w:rsidRPr="00D56374" w:rsidRDefault="002A19D4" w:rsidP="002A19D4">
      <w:pPr>
        <w:rPr>
          <w:b/>
        </w:rPr>
      </w:pPr>
    </w:p>
    <w:p w14:paraId="1FC950B2" w14:textId="77777777" w:rsidR="002A19D4" w:rsidRDefault="002A19D4" w:rsidP="002A19D4">
      <w:r>
        <w:t xml:space="preserve">Table 2 </w:t>
      </w:r>
    </w:p>
    <w:p w14:paraId="09297E4E" w14:textId="77777777" w:rsidR="002A19D4" w:rsidRPr="00D56374" w:rsidRDefault="002A19D4" w:rsidP="002A19D4">
      <w:pPr>
        <w:spacing w:after="80"/>
        <w:rPr>
          <w:b/>
        </w:rPr>
      </w:pPr>
      <w:r w:rsidRPr="008D7C6D">
        <w:rPr>
          <w:b/>
        </w:rPr>
        <w:t>Priority area B</w:t>
      </w:r>
      <w:r w:rsidRPr="00172813">
        <w:rPr>
          <w:b/>
        </w:rPr>
        <w:t xml:space="preserve">: </w:t>
      </w:r>
      <w:r>
        <w:rPr>
          <w:b/>
        </w:rPr>
        <w:t>g</w:t>
      </w:r>
      <w:r w:rsidRPr="005E333A">
        <w:rPr>
          <w:b/>
        </w:rPr>
        <w:t>ender</w:t>
      </w:r>
      <w:r w:rsidRPr="00D56374">
        <w:rPr>
          <w:b/>
        </w:rPr>
        <w:t xml:space="preserve"> </w:t>
      </w:r>
      <w:r>
        <w:rPr>
          <w:b/>
        </w:rPr>
        <w:t>b</w:t>
      </w:r>
      <w:r w:rsidRPr="00D56374">
        <w:rPr>
          <w:b/>
        </w:rPr>
        <w:t xml:space="preserve">alance, </w:t>
      </w:r>
      <w:r>
        <w:rPr>
          <w:b/>
        </w:rPr>
        <w:t>p</w:t>
      </w:r>
      <w:r w:rsidRPr="00D56374">
        <w:rPr>
          <w:b/>
        </w:rPr>
        <w:t xml:space="preserve">articipation and </w:t>
      </w:r>
      <w:r>
        <w:rPr>
          <w:b/>
        </w:rPr>
        <w:t>w</w:t>
      </w:r>
      <w:r w:rsidRPr="00D56374">
        <w:rPr>
          <w:b/>
        </w:rPr>
        <w:t xml:space="preserve">omen’s </w:t>
      </w:r>
      <w:r>
        <w:rPr>
          <w:b/>
        </w:rPr>
        <w:t>l</w:t>
      </w:r>
      <w:r w:rsidRPr="00D56374">
        <w:rPr>
          <w:b/>
        </w:rPr>
        <w:t>eadership</w:t>
      </w:r>
    </w:p>
    <w:tbl>
      <w:tblPr>
        <w:tblW w:w="9639" w:type="dxa"/>
        <w:tblBorders>
          <w:top w:val="single" w:sz="4" w:space="0" w:color="auto"/>
        </w:tblBorders>
        <w:tblCellMar>
          <w:left w:w="0" w:type="dxa"/>
          <w:right w:w="0" w:type="dxa"/>
        </w:tblCellMar>
        <w:tblLook w:val="04A0" w:firstRow="1" w:lastRow="0" w:firstColumn="1" w:lastColumn="0" w:noHBand="0" w:noVBand="1"/>
      </w:tblPr>
      <w:tblGrid>
        <w:gridCol w:w="5283"/>
        <w:gridCol w:w="1727"/>
        <w:gridCol w:w="1260"/>
        <w:gridCol w:w="1369"/>
      </w:tblGrid>
      <w:tr w:rsidR="002A19D4" w:rsidRPr="00D56374" w14:paraId="170A9BA7" w14:textId="77777777" w:rsidTr="00BE642F">
        <w:trPr>
          <w:trHeight w:val="240"/>
          <w:tblHeader/>
        </w:trPr>
        <w:tc>
          <w:tcPr>
            <w:tcW w:w="5267" w:type="dxa"/>
            <w:tcBorders>
              <w:top w:val="single" w:sz="4" w:space="0" w:color="auto"/>
              <w:bottom w:val="single" w:sz="12" w:space="0" w:color="auto"/>
            </w:tcBorders>
            <w:shd w:val="clear" w:color="auto" w:fill="auto"/>
            <w:noWrap/>
            <w:vAlign w:val="bottom"/>
            <w:hideMark/>
          </w:tcPr>
          <w:p w14:paraId="17DF2E4F" w14:textId="4F437C99" w:rsidR="002A19D4" w:rsidRPr="00D56374" w:rsidRDefault="002A19D4" w:rsidP="00BE642F">
            <w:pPr>
              <w:suppressAutoHyphens w:val="0"/>
              <w:spacing w:before="80" w:after="80" w:line="200" w:lineRule="exact"/>
              <w:rPr>
                <w:rFonts w:eastAsia="Times New Roman"/>
                <w:bCs/>
                <w:i/>
                <w:sz w:val="16"/>
                <w:lang w:eastAsia="en-IE"/>
              </w:rPr>
            </w:pPr>
            <w:r w:rsidRPr="00D56374">
              <w:rPr>
                <w:rFonts w:eastAsia="Times New Roman"/>
                <w:bCs/>
                <w:i/>
                <w:sz w:val="16"/>
                <w:lang w:eastAsia="en-IE"/>
              </w:rPr>
              <w:t>Activit</w:t>
            </w:r>
            <w:r w:rsidR="00D2610F">
              <w:rPr>
                <w:rFonts w:eastAsia="Times New Roman"/>
                <w:bCs/>
                <w:i/>
                <w:sz w:val="16"/>
                <w:lang w:eastAsia="en-IE"/>
              </w:rPr>
              <w:t>y</w:t>
            </w:r>
          </w:p>
        </w:tc>
        <w:tc>
          <w:tcPr>
            <w:tcW w:w="1711" w:type="dxa"/>
            <w:tcBorders>
              <w:top w:val="single" w:sz="4" w:space="0" w:color="auto"/>
              <w:bottom w:val="single" w:sz="12" w:space="0" w:color="auto"/>
            </w:tcBorders>
            <w:shd w:val="clear" w:color="auto" w:fill="auto"/>
            <w:noWrap/>
            <w:vAlign w:val="bottom"/>
            <w:hideMark/>
          </w:tcPr>
          <w:p w14:paraId="68005A79" w14:textId="77777777" w:rsidR="002A19D4" w:rsidRPr="00D56374" w:rsidRDefault="002A19D4" w:rsidP="00BE642F">
            <w:pPr>
              <w:suppressAutoHyphens w:val="0"/>
              <w:spacing w:before="80" w:after="80" w:line="200" w:lineRule="exact"/>
              <w:ind w:left="113"/>
              <w:rPr>
                <w:rFonts w:eastAsia="Times New Roman"/>
                <w:bCs/>
                <w:i/>
                <w:sz w:val="16"/>
                <w:lang w:eastAsia="en-IE"/>
              </w:rPr>
            </w:pPr>
            <w:r w:rsidRPr="00D56374">
              <w:rPr>
                <w:rFonts w:eastAsia="Times New Roman"/>
                <w:bCs/>
                <w:i/>
                <w:sz w:val="16"/>
                <w:lang w:eastAsia="en-IE"/>
              </w:rPr>
              <w:t xml:space="preserve">Responsible </w:t>
            </w:r>
            <w:r>
              <w:rPr>
                <w:rFonts w:eastAsia="Times New Roman"/>
                <w:bCs/>
                <w:i/>
                <w:sz w:val="16"/>
                <w:lang w:eastAsia="en-IE"/>
              </w:rPr>
              <w:t>actors</w:t>
            </w:r>
          </w:p>
        </w:tc>
        <w:tc>
          <w:tcPr>
            <w:tcW w:w="1244" w:type="dxa"/>
            <w:tcBorders>
              <w:top w:val="single" w:sz="4" w:space="0" w:color="auto"/>
              <w:bottom w:val="single" w:sz="12" w:space="0" w:color="auto"/>
            </w:tcBorders>
            <w:shd w:val="clear" w:color="auto" w:fill="auto"/>
            <w:noWrap/>
            <w:vAlign w:val="bottom"/>
            <w:hideMark/>
          </w:tcPr>
          <w:p w14:paraId="709BC2A0" w14:textId="77777777" w:rsidR="002A19D4" w:rsidRPr="00D56374" w:rsidRDefault="002A19D4" w:rsidP="00BE642F">
            <w:pPr>
              <w:suppressAutoHyphens w:val="0"/>
              <w:spacing w:before="80" w:after="80" w:line="200" w:lineRule="exact"/>
              <w:ind w:left="113"/>
              <w:rPr>
                <w:rFonts w:eastAsia="Times New Roman"/>
                <w:bCs/>
                <w:i/>
                <w:sz w:val="16"/>
                <w:lang w:eastAsia="en-IE"/>
              </w:rPr>
            </w:pPr>
            <w:r w:rsidRPr="00D56374">
              <w:rPr>
                <w:rFonts w:eastAsia="Times New Roman"/>
                <w:bCs/>
                <w:i/>
                <w:sz w:val="16"/>
                <w:lang w:eastAsia="en-IE"/>
              </w:rPr>
              <w:t>Timeline</w:t>
            </w:r>
          </w:p>
        </w:tc>
        <w:tc>
          <w:tcPr>
            <w:tcW w:w="1417" w:type="dxa"/>
            <w:tcBorders>
              <w:top w:val="single" w:sz="4" w:space="0" w:color="auto"/>
              <w:bottom w:val="single" w:sz="12" w:space="0" w:color="auto"/>
            </w:tcBorders>
            <w:shd w:val="clear" w:color="auto" w:fill="auto"/>
            <w:vAlign w:val="bottom"/>
          </w:tcPr>
          <w:p w14:paraId="228658D5" w14:textId="77777777" w:rsidR="002A19D4" w:rsidRPr="00D56374" w:rsidRDefault="002A19D4" w:rsidP="00BE642F">
            <w:pPr>
              <w:suppressAutoHyphens w:val="0"/>
              <w:spacing w:before="80" w:after="80" w:line="200" w:lineRule="exact"/>
              <w:ind w:left="113"/>
              <w:rPr>
                <w:rFonts w:eastAsia="Times New Roman"/>
                <w:bCs/>
                <w:i/>
                <w:sz w:val="16"/>
                <w:lang w:eastAsia="en-IE"/>
              </w:rPr>
            </w:pPr>
            <w:r w:rsidRPr="00D56374">
              <w:rPr>
                <w:rFonts w:eastAsia="Times New Roman"/>
                <w:bCs/>
                <w:i/>
                <w:sz w:val="16"/>
                <w:lang w:eastAsia="en-IE"/>
              </w:rPr>
              <w:t>Deliverables</w:t>
            </w:r>
          </w:p>
        </w:tc>
      </w:tr>
      <w:tr w:rsidR="002A19D4" w:rsidRPr="00D56374" w14:paraId="365D2BD7" w14:textId="77777777" w:rsidTr="00BE642F">
        <w:trPr>
          <w:trHeight w:val="240"/>
        </w:trPr>
        <w:tc>
          <w:tcPr>
            <w:tcW w:w="5267" w:type="dxa"/>
            <w:tcBorders>
              <w:top w:val="single" w:sz="12" w:space="0" w:color="auto"/>
            </w:tcBorders>
            <w:shd w:val="clear" w:color="auto" w:fill="auto"/>
            <w:hideMark/>
          </w:tcPr>
          <w:p w14:paraId="0D0218F5" w14:textId="73B356FB" w:rsidR="002A19D4" w:rsidRPr="0071139B" w:rsidRDefault="002A19D4" w:rsidP="00BE642F">
            <w:pPr>
              <w:suppressAutoHyphens w:val="0"/>
              <w:spacing w:before="40" w:after="40" w:line="220" w:lineRule="exact"/>
              <w:rPr>
                <w:rFonts w:eastAsia="Times New Roman"/>
                <w:bCs/>
                <w:lang w:eastAsia="en-IE"/>
              </w:rPr>
            </w:pPr>
            <w:r w:rsidRPr="0071139B">
              <w:rPr>
                <w:rFonts w:eastAsia="Times New Roman"/>
                <w:bCs/>
                <w:lang w:eastAsia="en-IE"/>
              </w:rPr>
              <w:t>B.1</w:t>
            </w:r>
            <w:r w:rsidRPr="0071139B">
              <w:rPr>
                <w:rFonts w:eastAsia="Times New Roman"/>
                <w:bCs/>
                <w:lang w:eastAsia="en-IE"/>
              </w:rPr>
              <w:br/>
            </w:r>
            <w:r w:rsidRPr="0071139B">
              <w:rPr>
                <w:rFonts w:eastAsia="Times New Roman"/>
                <w:lang w:eastAsia="en-IE"/>
              </w:rPr>
              <w:t xml:space="preserve">Promote travel funds as a means to support the participation of women in national delegations at UNFCCC sessions, including those from grass-roots, local and indigenous peoples communities from developing countries, the least developed countries and small island developing States </w:t>
            </w:r>
          </w:p>
        </w:tc>
        <w:tc>
          <w:tcPr>
            <w:tcW w:w="1711" w:type="dxa"/>
            <w:tcBorders>
              <w:top w:val="single" w:sz="12" w:space="0" w:color="auto"/>
            </w:tcBorders>
            <w:shd w:val="clear" w:color="auto" w:fill="auto"/>
            <w:hideMark/>
          </w:tcPr>
          <w:p w14:paraId="248426D4" w14:textId="6B0FDD89"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Parties, secretariat and observer organizations</w:t>
            </w:r>
          </w:p>
        </w:tc>
        <w:tc>
          <w:tcPr>
            <w:tcW w:w="1244" w:type="dxa"/>
            <w:tcBorders>
              <w:top w:val="single" w:sz="12" w:space="0" w:color="auto"/>
            </w:tcBorders>
            <w:shd w:val="clear" w:color="auto" w:fill="auto"/>
            <w:noWrap/>
            <w:hideMark/>
          </w:tcPr>
          <w:p w14:paraId="7CD252DA"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2018–2019</w:t>
            </w:r>
          </w:p>
        </w:tc>
        <w:tc>
          <w:tcPr>
            <w:tcW w:w="1417" w:type="dxa"/>
            <w:tcBorders>
              <w:top w:val="single" w:sz="12" w:space="0" w:color="auto"/>
            </w:tcBorders>
            <w:shd w:val="clear" w:color="auto" w:fill="auto"/>
          </w:tcPr>
          <w:p w14:paraId="2BC16C1C"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Promotion of funds</w:t>
            </w:r>
          </w:p>
        </w:tc>
      </w:tr>
      <w:tr w:rsidR="002A19D4" w:rsidRPr="00D56374" w14:paraId="11718F0A" w14:textId="77777777" w:rsidTr="00BE642F">
        <w:trPr>
          <w:trHeight w:val="240"/>
        </w:trPr>
        <w:tc>
          <w:tcPr>
            <w:tcW w:w="5267" w:type="dxa"/>
            <w:shd w:val="clear" w:color="auto" w:fill="auto"/>
            <w:hideMark/>
          </w:tcPr>
          <w:p w14:paraId="2F679D64" w14:textId="3F791F20" w:rsidR="002A19D4" w:rsidRPr="0071139B" w:rsidRDefault="002A19D4" w:rsidP="00BE642F">
            <w:pPr>
              <w:suppressAutoHyphens w:val="0"/>
              <w:spacing w:before="160" w:after="40" w:line="220" w:lineRule="exact"/>
              <w:rPr>
                <w:rFonts w:eastAsia="Times New Roman"/>
                <w:bCs/>
                <w:lang w:eastAsia="en-IE"/>
              </w:rPr>
            </w:pPr>
            <w:r w:rsidRPr="0071139B">
              <w:rPr>
                <w:rFonts w:eastAsia="Times New Roman"/>
                <w:bCs/>
                <w:lang w:eastAsia="en-IE"/>
              </w:rPr>
              <w:t>B.2</w:t>
            </w:r>
            <w:r w:rsidRPr="0071139B">
              <w:rPr>
                <w:rFonts w:eastAsia="Times New Roman"/>
                <w:bCs/>
                <w:lang w:eastAsia="en-IE"/>
              </w:rPr>
              <w:br/>
            </w:r>
            <w:r w:rsidRPr="0071139B">
              <w:rPr>
                <w:rFonts w:eastAsia="Times New Roman"/>
                <w:lang w:eastAsia="en-IE"/>
              </w:rPr>
              <w:t>Include in regular notifications to Parties at the time of nominations to UNFCCC bodies the latest report on the gender composition of the relevant body</w:t>
            </w:r>
          </w:p>
        </w:tc>
        <w:tc>
          <w:tcPr>
            <w:tcW w:w="1711" w:type="dxa"/>
            <w:shd w:val="clear" w:color="auto" w:fill="auto"/>
            <w:hideMark/>
          </w:tcPr>
          <w:p w14:paraId="350DC757"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Secretariat</w:t>
            </w:r>
          </w:p>
        </w:tc>
        <w:tc>
          <w:tcPr>
            <w:tcW w:w="1244" w:type="dxa"/>
            <w:shd w:val="clear" w:color="auto" w:fill="auto"/>
            <w:noWrap/>
            <w:hideMark/>
          </w:tcPr>
          <w:p w14:paraId="6CA52F6B"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2018–2019</w:t>
            </w:r>
          </w:p>
        </w:tc>
        <w:tc>
          <w:tcPr>
            <w:tcW w:w="1417" w:type="dxa"/>
            <w:shd w:val="clear" w:color="auto" w:fill="auto"/>
          </w:tcPr>
          <w:p w14:paraId="1818FB68"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Updated information on gender balance at the time of nominations to bodies</w:t>
            </w:r>
          </w:p>
        </w:tc>
      </w:tr>
      <w:tr w:rsidR="002A19D4" w:rsidRPr="00D56374" w14:paraId="500435BD" w14:textId="77777777" w:rsidTr="00BE642F">
        <w:trPr>
          <w:trHeight w:val="240"/>
        </w:trPr>
        <w:tc>
          <w:tcPr>
            <w:tcW w:w="5267" w:type="dxa"/>
            <w:shd w:val="clear" w:color="auto" w:fill="auto"/>
            <w:hideMark/>
          </w:tcPr>
          <w:p w14:paraId="4C892655" w14:textId="2609811C" w:rsidR="002A19D4" w:rsidRPr="0071139B" w:rsidRDefault="002A19D4" w:rsidP="00BE642F">
            <w:pPr>
              <w:suppressAutoHyphens w:val="0"/>
              <w:spacing w:before="160" w:after="40" w:line="220" w:lineRule="exact"/>
              <w:rPr>
                <w:rFonts w:eastAsia="Times New Roman"/>
                <w:bCs/>
                <w:lang w:eastAsia="en-IE"/>
              </w:rPr>
            </w:pPr>
            <w:r w:rsidRPr="0071139B">
              <w:rPr>
                <w:rFonts w:eastAsia="Times New Roman"/>
                <w:bCs/>
                <w:lang w:eastAsia="en-IE"/>
              </w:rPr>
              <w:t>B.3</w:t>
            </w:r>
            <w:r w:rsidRPr="0071139B">
              <w:rPr>
                <w:rFonts w:eastAsia="Times New Roman"/>
                <w:lang w:eastAsia="en-IE"/>
              </w:rPr>
              <w:br/>
              <w:t>Organize and conduct capacity-building training on leadership, negotiation, facilitation and chairing in the context of the UNFCCC process in co</w:t>
            </w:r>
            <w:r w:rsidR="00712B67">
              <w:rPr>
                <w:rFonts w:eastAsia="Times New Roman"/>
                <w:lang w:eastAsia="en-IE"/>
              </w:rPr>
              <w:t xml:space="preserve">njunction </w:t>
            </w:r>
            <w:r w:rsidRPr="0071139B">
              <w:rPr>
                <w:rFonts w:eastAsia="Times New Roman"/>
                <w:lang w:eastAsia="en-IE"/>
              </w:rPr>
              <w:t>with United Nations system</w:t>
            </w:r>
            <w:r w:rsidR="00601BEB">
              <w:rPr>
                <w:rFonts w:eastAsia="Times New Roman"/>
                <w:lang w:eastAsia="en-IE"/>
              </w:rPr>
              <w:t>-</w:t>
            </w:r>
            <w:r w:rsidRPr="0071139B">
              <w:rPr>
                <w:rFonts w:eastAsia="Times New Roman"/>
                <w:lang w:eastAsia="en-IE"/>
              </w:rPr>
              <w:t>wide efforts for women</w:t>
            </w:r>
          </w:p>
        </w:tc>
        <w:tc>
          <w:tcPr>
            <w:tcW w:w="1711" w:type="dxa"/>
            <w:shd w:val="clear" w:color="auto" w:fill="auto"/>
            <w:hideMark/>
          </w:tcPr>
          <w:p w14:paraId="44907175"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 xml:space="preserve">Parties, United Nations entities and relevant organizations </w:t>
            </w:r>
          </w:p>
        </w:tc>
        <w:tc>
          <w:tcPr>
            <w:tcW w:w="1244" w:type="dxa"/>
            <w:shd w:val="clear" w:color="auto" w:fill="auto"/>
            <w:noWrap/>
            <w:hideMark/>
          </w:tcPr>
          <w:p w14:paraId="745D6287" w14:textId="77777777" w:rsidR="002A19D4" w:rsidRPr="0071139B" w:rsidRDefault="002A19D4" w:rsidP="00BE642F">
            <w:pPr>
              <w:suppressAutoHyphens w:val="0"/>
              <w:spacing w:before="40" w:after="40" w:line="220" w:lineRule="exact"/>
              <w:ind w:left="113"/>
              <w:rPr>
                <w:rFonts w:eastAsia="Times New Roman"/>
                <w:lang w:eastAsia="en-IE"/>
              </w:rPr>
            </w:pPr>
          </w:p>
        </w:tc>
        <w:tc>
          <w:tcPr>
            <w:tcW w:w="1417" w:type="dxa"/>
            <w:shd w:val="clear" w:color="auto" w:fill="auto"/>
          </w:tcPr>
          <w:p w14:paraId="3D99CAC1"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Provision of training</w:t>
            </w:r>
          </w:p>
        </w:tc>
      </w:tr>
      <w:tr w:rsidR="002A19D4" w:rsidRPr="00D56374" w14:paraId="23E438AF" w14:textId="77777777" w:rsidTr="00BE642F">
        <w:trPr>
          <w:trHeight w:val="240"/>
        </w:trPr>
        <w:tc>
          <w:tcPr>
            <w:tcW w:w="5267" w:type="dxa"/>
            <w:tcBorders>
              <w:bottom w:val="single" w:sz="12" w:space="0" w:color="auto"/>
            </w:tcBorders>
            <w:shd w:val="clear" w:color="auto" w:fill="auto"/>
            <w:hideMark/>
          </w:tcPr>
          <w:p w14:paraId="4C8E7584" w14:textId="06A7F34A" w:rsidR="002A19D4" w:rsidRPr="0071139B" w:rsidRDefault="002A19D4" w:rsidP="00BE642F">
            <w:pPr>
              <w:suppressAutoHyphens w:val="0"/>
              <w:spacing w:before="160" w:after="40" w:line="220" w:lineRule="exact"/>
              <w:rPr>
                <w:rFonts w:eastAsia="Times New Roman"/>
                <w:lang w:val="en-IE" w:eastAsia="en-IE"/>
              </w:rPr>
            </w:pPr>
            <w:r w:rsidRPr="0071139B">
              <w:rPr>
                <w:rFonts w:eastAsia="Times New Roman"/>
                <w:bCs/>
                <w:lang w:eastAsia="en-IE"/>
              </w:rPr>
              <w:t>B.4</w:t>
            </w:r>
            <w:r w:rsidRPr="0071139B">
              <w:rPr>
                <w:rFonts w:eastAsia="Times New Roman"/>
                <w:lang w:eastAsia="en-IE"/>
              </w:rPr>
              <w:br/>
              <w:t xml:space="preserve">Cooperate in, promote, facilitate, develop and implement formal and non-formal education and training programmes focused on climate change at all levels, targeting women and youth in </w:t>
            </w:r>
            <w:r w:rsidRPr="0071139B">
              <w:rPr>
                <w:rFonts w:eastAsia="Times New Roman"/>
                <w:lang w:eastAsia="en-IE"/>
              </w:rPr>
              <w:lastRenderedPageBreak/>
              <w:t xml:space="preserve">particular at the national, regional and local levels, including the exchange or secondment of personnel to train experts </w:t>
            </w:r>
          </w:p>
        </w:tc>
        <w:tc>
          <w:tcPr>
            <w:tcW w:w="1711" w:type="dxa"/>
            <w:tcBorders>
              <w:bottom w:val="single" w:sz="12" w:space="0" w:color="auto"/>
            </w:tcBorders>
            <w:shd w:val="clear" w:color="auto" w:fill="auto"/>
            <w:hideMark/>
          </w:tcPr>
          <w:p w14:paraId="103F2B56"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lastRenderedPageBreak/>
              <w:t>Parties, United Nations entities and relevant organizations</w:t>
            </w:r>
          </w:p>
        </w:tc>
        <w:tc>
          <w:tcPr>
            <w:tcW w:w="1244" w:type="dxa"/>
            <w:tcBorders>
              <w:bottom w:val="single" w:sz="12" w:space="0" w:color="auto"/>
            </w:tcBorders>
            <w:shd w:val="clear" w:color="auto" w:fill="auto"/>
            <w:noWrap/>
            <w:hideMark/>
          </w:tcPr>
          <w:p w14:paraId="626E48AC"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 </w:t>
            </w:r>
          </w:p>
        </w:tc>
        <w:tc>
          <w:tcPr>
            <w:tcW w:w="1417" w:type="dxa"/>
            <w:tcBorders>
              <w:bottom w:val="single" w:sz="12" w:space="0" w:color="auto"/>
            </w:tcBorders>
            <w:shd w:val="clear" w:color="auto" w:fill="auto"/>
          </w:tcPr>
          <w:p w14:paraId="3BE6E4CC"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Training programmes</w:t>
            </w:r>
          </w:p>
        </w:tc>
      </w:tr>
    </w:tbl>
    <w:p w14:paraId="49DF7C47" w14:textId="77777777" w:rsidR="00601BEB" w:rsidRDefault="00601BEB" w:rsidP="002A19D4">
      <w:pPr>
        <w:keepNext/>
      </w:pPr>
    </w:p>
    <w:p w14:paraId="055F4B7F" w14:textId="6CB07E05" w:rsidR="002A19D4" w:rsidRDefault="002A19D4" w:rsidP="002A19D4">
      <w:pPr>
        <w:keepNext/>
      </w:pPr>
      <w:r>
        <w:t xml:space="preserve">Table 3 </w:t>
      </w:r>
    </w:p>
    <w:p w14:paraId="33E00A46" w14:textId="77777777" w:rsidR="002A19D4" w:rsidRPr="005E333A" w:rsidRDefault="002A19D4" w:rsidP="002A19D4">
      <w:pPr>
        <w:spacing w:after="80"/>
        <w:rPr>
          <w:b/>
        </w:rPr>
      </w:pPr>
      <w:r w:rsidRPr="008D7C6D">
        <w:rPr>
          <w:b/>
        </w:rPr>
        <w:t>Priority area C</w:t>
      </w:r>
      <w:r w:rsidRPr="004F0A95">
        <w:rPr>
          <w:b/>
        </w:rPr>
        <w:t>: c</w:t>
      </w:r>
      <w:r w:rsidRPr="005E333A">
        <w:rPr>
          <w:b/>
        </w:rPr>
        <w:t>oherence</w:t>
      </w:r>
    </w:p>
    <w:tbl>
      <w:tblPr>
        <w:tblW w:w="9639" w:type="dxa"/>
        <w:tblBorders>
          <w:top w:val="single" w:sz="4" w:space="0" w:color="auto"/>
        </w:tblBorders>
        <w:tblCellMar>
          <w:left w:w="0" w:type="dxa"/>
          <w:right w:w="0" w:type="dxa"/>
        </w:tblCellMar>
        <w:tblLook w:val="04A0" w:firstRow="1" w:lastRow="0" w:firstColumn="1" w:lastColumn="0" w:noHBand="0" w:noVBand="1"/>
      </w:tblPr>
      <w:tblGrid>
        <w:gridCol w:w="5158"/>
        <w:gridCol w:w="1852"/>
        <w:gridCol w:w="976"/>
        <w:gridCol w:w="1653"/>
      </w:tblGrid>
      <w:tr w:rsidR="002A19D4" w:rsidRPr="00D56374" w14:paraId="2EF4F230" w14:textId="77777777" w:rsidTr="00BE642F">
        <w:trPr>
          <w:trHeight w:val="240"/>
          <w:tblHeader/>
        </w:trPr>
        <w:tc>
          <w:tcPr>
            <w:tcW w:w="5142" w:type="dxa"/>
            <w:tcBorders>
              <w:top w:val="single" w:sz="4" w:space="0" w:color="auto"/>
              <w:bottom w:val="single" w:sz="12" w:space="0" w:color="auto"/>
            </w:tcBorders>
            <w:shd w:val="clear" w:color="auto" w:fill="auto"/>
            <w:noWrap/>
            <w:hideMark/>
          </w:tcPr>
          <w:p w14:paraId="34F6EFAE" w14:textId="51C75D05" w:rsidR="002A19D4" w:rsidRPr="00D56374" w:rsidRDefault="002A19D4" w:rsidP="00BE642F">
            <w:pPr>
              <w:suppressAutoHyphens w:val="0"/>
              <w:spacing w:before="80" w:after="80" w:line="200" w:lineRule="exact"/>
              <w:rPr>
                <w:rFonts w:eastAsia="Times New Roman"/>
                <w:bCs/>
                <w:i/>
                <w:sz w:val="16"/>
                <w:lang w:eastAsia="en-IE"/>
              </w:rPr>
            </w:pPr>
            <w:r w:rsidRPr="00D56374">
              <w:rPr>
                <w:rFonts w:eastAsia="Times New Roman"/>
                <w:bCs/>
                <w:i/>
                <w:sz w:val="16"/>
                <w:lang w:eastAsia="en-IE"/>
              </w:rPr>
              <w:t>Activit</w:t>
            </w:r>
            <w:r w:rsidR="00601BEB">
              <w:rPr>
                <w:rFonts w:eastAsia="Times New Roman"/>
                <w:bCs/>
                <w:i/>
                <w:sz w:val="16"/>
                <w:lang w:eastAsia="en-IE"/>
              </w:rPr>
              <w:t>y</w:t>
            </w:r>
          </w:p>
        </w:tc>
        <w:tc>
          <w:tcPr>
            <w:tcW w:w="1836" w:type="dxa"/>
            <w:tcBorders>
              <w:top w:val="single" w:sz="4" w:space="0" w:color="auto"/>
              <w:bottom w:val="single" w:sz="12" w:space="0" w:color="auto"/>
            </w:tcBorders>
            <w:shd w:val="clear" w:color="auto" w:fill="auto"/>
            <w:noWrap/>
            <w:hideMark/>
          </w:tcPr>
          <w:p w14:paraId="0055AE4C" w14:textId="77777777" w:rsidR="002A19D4" w:rsidRPr="00D56374" w:rsidRDefault="002A19D4" w:rsidP="00BE642F">
            <w:pPr>
              <w:suppressAutoHyphens w:val="0"/>
              <w:spacing w:before="80" w:after="80" w:line="200" w:lineRule="exact"/>
              <w:ind w:left="113"/>
              <w:rPr>
                <w:rFonts w:eastAsia="Times New Roman"/>
                <w:bCs/>
                <w:i/>
                <w:sz w:val="16"/>
                <w:lang w:eastAsia="en-IE"/>
              </w:rPr>
            </w:pPr>
            <w:r w:rsidRPr="00D56374">
              <w:rPr>
                <w:rFonts w:eastAsia="Times New Roman"/>
                <w:bCs/>
                <w:i/>
                <w:sz w:val="16"/>
                <w:lang w:eastAsia="en-IE"/>
              </w:rPr>
              <w:t xml:space="preserve">Responsible </w:t>
            </w:r>
            <w:r>
              <w:rPr>
                <w:rFonts w:eastAsia="Times New Roman"/>
                <w:bCs/>
                <w:i/>
                <w:sz w:val="16"/>
                <w:lang w:eastAsia="en-IE"/>
              </w:rPr>
              <w:t>actors</w:t>
            </w:r>
          </w:p>
        </w:tc>
        <w:tc>
          <w:tcPr>
            <w:tcW w:w="960" w:type="dxa"/>
            <w:tcBorders>
              <w:top w:val="single" w:sz="4" w:space="0" w:color="auto"/>
              <w:bottom w:val="single" w:sz="12" w:space="0" w:color="auto"/>
            </w:tcBorders>
            <w:shd w:val="clear" w:color="auto" w:fill="auto"/>
            <w:noWrap/>
            <w:hideMark/>
          </w:tcPr>
          <w:p w14:paraId="720C430B" w14:textId="77777777" w:rsidR="002A19D4" w:rsidRPr="00D56374" w:rsidRDefault="002A19D4" w:rsidP="00BE642F">
            <w:pPr>
              <w:suppressAutoHyphens w:val="0"/>
              <w:spacing w:before="80" w:after="80" w:line="200" w:lineRule="exact"/>
              <w:ind w:left="113"/>
              <w:rPr>
                <w:rFonts w:eastAsia="Times New Roman"/>
                <w:bCs/>
                <w:i/>
                <w:sz w:val="16"/>
                <w:lang w:eastAsia="en-IE"/>
              </w:rPr>
            </w:pPr>
            <w:r w:rsidRPr="00D56374">
              <w:rPr>
                <w:rFonts w:eastAsia="Times New Roman"/>
                <w:bCs/>
                <w:i/>
                <w:sz w:val="16"/>
                <w:lang w:eastAsia="en-IE"/>
              </w:rPr>
              <w:t>Timeline</w:t>
            </w:r>
          </w:p>
        </w:tc>
        <w:tc>
          <w:tcPr>
            <w:tcW w:w="1701" w:type="dxa"/>
            <w:tcBorders>
              <w:top w:val="single" w:sz="4" w:space="0" w:color="auto"/>
              <w:bottom w:val="single" w:sz="12" w:space="0" w:color="auto"/>
            </w:tcBorders>
            <w:shd w:val="clear" w:color="auto" w:fill="auto"/>
          </w:tcPr>
          <w:p w14:paraId="5B74E7FE" w14:textId="77777777" w:rsidR="002A19D4" w:rsidRPr="00D56374" w:rsidRDefault="002A19D4" w:rsidP="00BE642F">
            <w:pPr>
              <w:suppressAutoHyphens w:val="0"/>
              <w:spacing w:before="80" w:after="80" w:line="200" w:lineRule="exact"/>
              <w:ind w:left="113"/>
              <w:rPr>
                <w:rFonts w:eastAsia="Times New Roman"/>
                <w:bCs/>
                <w:i/>
                <w:sz w:val="16"/>
                <w:lang w:eastAsia="en-IE"/>
              </w:rPr>
            </w:pPr>
            <w:r w:rsidRPr="00D56374">
              <w:rPr>
                <w:rFonts w:eastAsia="Times New Roman"/>
                <w:bCs/>
                <w:i/>
                <w:sz w:val="16"/>
                <w:lang w:eastAsia="en-IE"/>
              </w:rPr>
              <w:t>Deliverables</w:t>
            </w:r>
          </w:p>
        </w:tc>
      </w:tr>
      <w:tr w:rsidR="002A19D4" w:rsidRPr="00D56374" w14:paraId="0E67A429" w14:textId="77777777" w:rsidTr="00BE642F">
        <w:trPr>
          <w:trHeight w:val="240"/>
        </w:trPr>
        <w:tc>
          <w:tcPr>
            <w:tcW w:w="5142" w:type="dxa"/>
            <w:shd w:val="clear" w:color="auto" w:fill="auto"/>
            <w:hideMark/>
          </w:tcPr>
          <w:p w14:paraId="05FBD908" w14:textId="0EC3986D" w:rsidR="002A19D4" w:rsidRPr="0071139B" w:rsidRDefault="002A19D4" w:rsidP="00BE642F">
            <w:pPr>
              <w:suppressAutoHyphens w:val="0"/>
              <w:spacing w:before="40" w:after="40" w:line="220" w:lineRule="exact"/>
              <w:ind w:right="117"/>
              <w:rPr>
                <w:rFonts w:eastAsia="Times New Roman"/>
                <w:bCs/>
                <w:lang w:eastAsia="en-IE"/>
              </w:rPr>
            </w:pPr>
            <w:r w:rsidRPr="0071139B">
              <w:rPr>
                <w:rFonts w:eastAsia="Times New Roman"/>
                <w:bCs/>
                <w:lang w:eastAsia="en-IE"/>
              </w:rPr>
              <w:t>C.1</w:t>
            </w:r>
            <w:r w:rsidRPr="0071139B">
              <w:rPr>
                <w:rFonts w:eastAsia="Times New Roman"/>
                <w:bCs/>
                <w:lang w:eastAsia="en-IE"/>
              </w:rPr>
              <w:br/>
            </w:r>
            <w:r w:rsidRPr="0071139B">
              <w:rPr>
                <w:rFonts w:eastAsia="Times New Roman"/>
                <w:lang w:eastAsia="en-IE"/>
              </w:rPr>
              <w:t xml:space="preserve">At </w:t>
            </w:r>
            <w:r>
              <w:rPr>
                <w:rFonts w:eastAsia="Times New Roman"/>
                <w:lang w:eastAsia="en-IE"/>
              </w:rPr>
              <w:t>SBI 48</w:t>
            </w:r>
            <w:r w:rsidRPr="0071139B">
              <w:rPr>
                <w:rFonts w:eastAsia="Times New Roman"/>
                <w:lang w:eastAsia="en-IE"/>
              </w:rPr>
              <w:t xml:space="preserve"> hold a dialogue, open to Parties and observers, with the chairs of UNFCCC constituted bodies to discuss the outcomes of the technical paper on entry points requested in decision 21/CP.22, paragraph 13, and any potential recommendations</w:t>
            </w:r>
          </w:p>
        </w:tc>
        <w:tc>
          <w:tcPr>
            <w:tcW w:w="1836" w:type="dxa"/>
            <w:shd w:val="clear" w:color="auto" w:fill="auto"/>
            <w:hideMark/>
          </w:tcPr>
          <w:p w14:paraId="29C1C739"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Secretariat</w:t>
            </w:r>
          </w:p>
        </w:tc>
        <w:tc>
          <w:tcPr>
            <w:tcW w:w="960" w:type="dxa"/>
            <w:shd w:val="clear" w:color="auto" w:fill="auto"/>
            <w:noWrap/>
            <w:hideMark/>
          </w:tcPr>
          <w:p w14:paraId="0A049BD8"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SBI 48</w:t>
            </w:r>
          </w:p>
        </w:tc>
        <w:tc>
          <w:tcPr>
            <w:tcW w:w="1701" w:type="dxa"/>
            <w:shd w:val="clear" w:color="auto" w:fill="auto"/>
          </w:tcPr>
          <w:p w14:paraId="6DDB618B"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Dialogue</w:t>
            </w:r>
          </w:p>
          <w:p w14:paraId="1439F48E" w14:textId="77777777" w:rsidR="002A19D4" w:rsidRPr="0071139B" w:rsidRDefault="002A19D4" w:rsidP="00BE642F">
            <w:pPr>
              <w:suppressAutoHyphens w:val="0"/>
              <w:spacing w:before="40" w:after="40" w:line="220" w:lineRule="exact"/>
              <w:ind w:left="113"/>
              <w:rPr>
                <w:rFonts w:eastAsia="Times New Roman"/>
                <w:lang w:eastAsia="en-IE"/>
              </w:rPr>
            </w:pPr>
          </w:p>
        </w:tc>
      </w:tr>
      <w:tr w:rsidR="002A19D4" w:rsidRPr="00D56374" w14:paraId="5A019B4F" w14:textId="77777777" w:rsidTr="00BE642F">
        <w:trPr>
          <w:trHeight w:val="240"/>
        </w:trPr>
        <w:tc>
          <w:tcPr>
            <w:tcW w:w="5142" w:type="dxa"/>
            <w:shd w:val="clear" w:color="auto" w:fill="auto"/>
            <w:hideMark/>
          </w:tcPr>
          <w:p w14:paraId="391171B1" w14:textId="4FA33F17" w:rsidR="002A19D4" w:rsidRPr="0071139B" w:rsidRDefault="002A19D4" w:rsidP="00BE642F">
            <w:pPr>
              <w:suppressAutoHyphens w:val="0"/>
              <w:spacing w:before="160" w:after="40" w:line="220" w:lineRule="exact"/>
              <w:ind w:right="117"/>
              <w:rPr>
                <w:rFonts w:eastAsia="Times New Roman"/>
                <w:lang w:eastAsia="en-IE"/>
              </w:rPr>
            </w:pPr>
            <w:r w:rsidRPr="0071139B">
              <w:rPr>
                <w:rFonts w:eastAsia="Times New Roman"/>
                <w:bCs/>
                <w:lang w:eastAsia="en-IE"/>
              </w:rPr>
              <w:t>C.2</w:t>
            </w:r>
            <w:r w:rsidRPr="0071139B">
              <w:rPr>
                <w:rFonts w:eastAsia="Times New Roman"/>
                <w:lang w:eastAsia="en-IE"/>
              </w:rPr>
              <w:br/>
              <w:t xml:space="preserve">Provide capacity-building to chairs and members of UNFCCC constituted bodies and technical teams of the secretariat on how to integrate gender considerations into their respective areas of work and </w:t>
            </w:r>
            <w:r>
              <w:rPr>
                <w:rFonts w:eastAsia="Times New Roman"/>
                <w:lang w:eastAsia="en-IE"/>
              </w:rPr>
              <w:t>o</w:t>
            </w:r>
            <w:r w:rsidRPr="0071139B">
              <w:rPr>
                <w:rFonts w:eastAsia="Times New Roman"/>
                <w:lang w:eastAsia="en-IE"/>
              </w:rPr>
              <w:t>n meeting the goal of gender balance</w:t>
            </w:r>
          </w:p>
        </w:tc>
        <w:tc>
          <w:tcPr>
            <w:tcW w:w="1836" w:type="dxa"/>
            <w:shd w:val="clear" w:color="auto" w:fill="auto"/>
            <w:hideMark/>
          </w:tcPr>
          <w:p w14:paraId="6D436100" w14:textId="0DA90095" w:rsidR="002A19D4" w:rsidRPr="0071139B" w:rsidRDefault="00601BEB" w:rsidP="00BE642F">
            <w:pPr>
              <w:suppressAutoHyphens w:val="0"/>
              <w:spacing w:before="160" w:after="40" w:line="220" w:lineRule="exact"/>
              <w:ind w:left="113"/>
              <w:rPr>
                <w:rFonts w:eastAsia="Times New Roman"/>
                <w:lang w:eastAsia="en-IE"/>
              </w:rPr>
            </w:pPr>
            <w:r>
              <w:rPr>
                <w:rFonts w:eastAsia="Times New Roman"/>
                <w:lang w:eastAsia="en-IE"/>
              </w:rPr>
              <w:t>S</w:t>
            </w:r>
            <w:r w:rsidR="002A19D4" w:rsidRPr="0071139B">
              <w:rPr>
                <w:rFonts w:eastAsia="Times New Roman"/>
                <w:lang w:eastAsia="en-IE"/>
              </w:rPr>
              <w:t>ecretariat gender team, United Nations entities, other stakeholders and relevant organizations</w:t>
            </w:r>
          </w:p>
        </w:tc>
        <w:tc>
          <w:tcPr>
            <w:tcW w:w="960" w:type="dxa"/>
            <w:shd w:val="clear" w:color="auto" w:fill="auto"/>
            <w:noWrap/>
            <w:hideMark/>
          </w:tcPr>
          <w:p w14:paraId="4CED24B3"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 </w:t>
            </w:r>
          </w:p>
        </w:tc>
        <w:tc>
          <w:tcPr>
            <w:tcW w:w="1701" w:type="dxa"/>
            <w:shd w:val="clear" w:color="auto" w:fill="auto"/>
          </w:tcPr>
          <w:p w14:paraId="40A5CFDA"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Chairs and members of U</w:t>
            </w:r>
            <w:r>
              <w:rPr>
                <w:rFonts w:eastAsia="Times New Roman"/>
                <w:lang w:eastAsia="en-IE"/>
              </w:rPr>
              <w:t>N</w:t>
            </w:r>
            <w:r w:rsidRPr="0071139B">
              <w:rPr>
                <w:rFonts w:eastAsia="Times New Roman"/>
                <w:lang w:eastAsia="en-IE"/>
              </w:rPr>
              <w:t>FCCC constituted bodies supporting the integration of gender into their work</w:t>
            </w:r>
          </w:p>
          <w:p w14:paraId="3423BC75"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Provision of capacity-building</w:t>
            </w:r>
          </w:p>
        </w:tc>
      </w:tr>
      <w:tr w:rsidR="002A19D4" w:rsidRPr="00D56374" w14:paraId="6F4C9A4F" w14:textId="77777777" w:rsidTr="00BE642F">
        <w:trPr>
          <w:trHeight w:val="240"/>
        </w:trPr>
        <w:tc>
          <w:tcPr>
            <w:tcW w:w="5142" w:type="dxa"/>
            <w:tcBorders>
              <w:bottom w:val="single" w:sz="12" w:space="0" w:color="auto"/>
            </w:tcBorders>
            <w:shd w:val="clear" w:color="auto" w:fill="auto"/>
            <w:hideMark/>
          </w:tcPr>
          <w:p w14:paraId="0AB0187E" w14:textId="5FD591E7" w:rsidR="002A19D4" w:rsidRPr="0071139B" w:rsidRDefault="002A19D4" w:rsidP="00BE642F">
            <w:pPr>
              <w:suppressAutoHyphens w:val="0"/>
              <w:spacing w:before="160" w:after="40" w:line="220" w:lineRule="exact"/>
              <w:ind w:right="117"/>
              <w:rPr>
                <w:rFonts w:eastAsia="Times New Roman"/>
                <w:lang w:eastAsia="en-IE"/>
              </w:rPr>
            </w:pPr>
            <w:r w:rsidRPr="0071139B">
              <w:rPr>
                <w:rFonts w:eastAsia="Times New Roman"/>
                <w:bCs/>
                <w:lang w:eastAsia="en-IE"/>
              </w:rPr>
              <w:t>C.3</w:t>
            </w:r>
            <w:r w:rsidRPr="0071139B">
              <w:rPr>
                <w:rFonts w:eastAsia="Times New Roman"/>
                <w:lang w:eastAsia="en-IE"/>
              </w:rPr>
              <w:br/>
              <w:t>Share information on efforts made to support the implementation of activities to enhance synergies with other United Nations entities and processes, paying particular attention to the 2030 Agenda for Sustainable Development</w:t>
            </w:r>
          </w:p>
        </w:tc>
        <w:tc>
          <w:tcPr>
            <w:tcW w:w="1836" w:type="dxa"/>
            <w:tcBorders>
              <w:bottom w:val="single" w:sz="12" w:space="0" w:color="auto"/>
            </w:tcBorders>
            <w:shd w:val="clear" w:color="auto" w:fill="auto"/>
            <w:hideMark/>
          </w:tcPr>
          <w:p w14:paraId="20A857BE"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United Nations entities and other relevant organizations</w:t>
            </w:r>
          </w:p>
        </w:tc>
        <w:tc>
          <w:tcPr>
            <w:tcW w:w="960" w:type="dxa"/>
            <w:tcBorders>
              <w:bottom w:val="single" w:sz="12" w:space="0" w:color="auto"/>
            </w:tcBorders>
            <w:shd w:val="clear" w:color="auto" w:fill="auto"/>
            <w:noWrap/>
            <w:hideMark/>
          </w:tcPr>
          <w:p w14:paraId="753ACFD0"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 xml:space="preserve">During </w:t>
            </w:r>
            <w:r>
              <w:rPr>
                <w:rFonts w:eastAsia="Times New Roman"/>
                <w:lang w:eastAsia="en-IE"/>
              </w:rPr>
              <w:t xml:space="preserve">sessions of the </w:t>
            </w:r>
            <w:r w:rsidRPr="0071139B">
              <w:rPr>
                <w:rFonts w:eastAsia="Times New Roman"/>
                <w:lang w:eastAsia="en-IE"/>
              </w:rPr>
              <w:t>COP</w:t>
            </w:r>
          </w:p>
        </w:tc>
        <w:tc>
          <w:tcPr>
            <w:tcW w:w="1701" w:type="dxa"/>
            <w:tcBorders>
              <w:bottom w:val="single" w:sz="12" w:space="0" w:color="auto"/>
            </w:tcBorders>
            <w:shd w:val="clear" w:color="auto" w:fill="auto"/>
          </w:tcPr>
          <w:p w14:paraId="6C435CD0"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Promotion of efforts</w:t>
            </w:r>
          </w:p>
        </w:tc>
      </w:tr>
    </w:tbl>
    <w:p w14:paraId="68C8C78D" w14:textId="77777777" w:rsidR="002A19D4" w:rsidRPr="0071139B" w:rsidRDefault="002A19D4" w:rsidP="002A19D4">
      <w:pPr>
        <w:spacing w:before="80" w:after="240" w:line="200" w:lineRule="exact"/>
        <w:ind w:right="-142" w:firstLine="284"/>
        <w:jc w:val="both"/>
        <w:rPr>
          <w:sz w:val="18"/>
          <w:szCs w:val="18"/>
        </w:rPr>
      </w:pPr>
      <w:r w:rsidRPr="0071139B">
        <w:rPr>
          <w:i/>
          <w:sz w:val="18"/>
          <w:szCs w:val="18"/>
        </w:rPr>
        <w:t>Abbreviations</w:t>
      </w:r>
      <w:r w:rsidRPr="0071139B">
        <w:rPr>
          <w:sz w:val="18"/>
          <w:szCs w:val="18"/>
        </w:rPr>
        <w:t>:</w:t>
      </w:r>
      <w:r>
        <w:rPr>
          <w:sz w:val="18"/>
          <w:szCs w:val="18"/>
        </w:rPr>
        <w:t xml:space="preserve"> COP = Conference of the Parties, SBI = Subsidiary Body for Implementation.</w:t>
      </w:r>
    </w:p>
    <w:p w14:paraId="799C59FD" w14:textId="77777777" w:rsidR="002A19D4" w:rsidRDefault="002A19D4" w:rsidP="002A19D4">
      <w:r>
        <w:t xml:space="preserve">Table 4 </w:t>
      </w:r>
    </w:p>
    <w:p w14:paraId="7E354315" w14:textId="77777777" w:rsidR="002A19D4" w:rsidRPr="009E4649" w:rsidRDefault="002A19D4" w:rsidP="002A19D4">
      <w:pPr>
        <w:spacing w:after="80"/>
        <w:rPr>
          <w:b/>
        </w:rPr>
      </w:pPr>
      <w:r w:rsidRPr="00717521">
        <w:rPr>
          <w:b/>
        </w:rPr>
        <w:t>Priority area D</w:t>
      </w:r>
      <w:r w:rsidRPr="004F0A95">
        <w:rPr>
          <w:b/>
        </w:rPr>
        <w:t>: gender-r</w:t>
      </w:r>
      <w:r>
        <w:rPr>
          <w:b/>
        </w:rPr>
        <w:t>esponsive i</w:t>
      </w:r>
      <w:r w:rsidRPr="009E4649">
        <w:rPr>
          <w:b/>
        </w:rPr>
        <w:t xml:space="preserve">mplementation and </w:t>
      </w:r>
      <w:r>
        <w:rPr>
          <w:b/>
        </w:rPr>
        <w:t>means of i</w:t>
      </w:r>
      <w:r w:rsidRPr="009E4649">
        <w:rPr>
          <w:b/>
        </w:rPr>
        <w:t>mplementation</w:t>
      </w:r>
    </w:p>
    <w:tbl>
      <w:tblPr>
        <w:tblW w:w="9639" w:type="dxa"/>
        <w:tblBorders>
          <w:top w:val="single" w:sz="4" w:space="0" w:color="auto"/>
        </w:tblBorders>
        <w:tblCellMar>
          <w:left w:w="0" w:type="dxa"/>
          <w:right w:w="0" w:type="dxa"/>
        </w:tblCellMar>
        <w:tblLook w:val="04A0" w:firstRow="1" w:lastRow="0" w:firstColumn="1" w:lastColumn="0" w:noHBand="0" w:noVBand="1"/>
      </w:tblPr>
      <w:tblGrid>
        <w:gridCol w:w="5119"/>
        <w:gridCol w:w="2201"/>
        <w:gridCol w:w="1198"/>
        <w:gridCol w:w="1125"/>
      </w:tblGrid>
      <w:tr w:rsidR="002A19D4" w:rsidRPr="009E4649" w14:paraId="122ED92D" w14:textId="77777777" w:rsidTr="00BE642F">
        <w:trPr>
          <w:trHeight w:val="240"/>
          <w:tblHeader/>
        </w:trPr>
        <w:tc>
          <w:tcPr>
            <w:tcW w:w="5103" w:type="dxa"/>
            <w:tcBorders>
              <w:top w:val="single" w:sz="4" w:space="0" w:color="auto"/>
              <w:bottom w:val="single" w:sz="12" w:space="0" w:color="auto"/>
            </w:tcBorders>
            <w:shd w:val="clear" w:color="auto" w:fill="auto"/>
            <w:noWrap/>
            <w:hideMark/>
          </w:tcPr>
          <w:p w14:paraId="5C5B665A" w14:textId="29B47EA5" w:rsidR="002A19D4" w:rsidRPr="009E4649" w:rsidRDefault="002A19D4" w:rsidP="00BE642F">
            <w:pPr>
              <w:suppressAutoHyphens w:val="0"/>
              <w:spacing w:before="80" w:after="80" w:line="200" w:lineRule="exact"/>
              <w:rPr>
                <w:rFonts w:eastAsia="Times New Roman"/>
                <w:bCs/>
                <w:i/>
                <w:sz w:val="16"/>
                <w:lang w:eastAsia="en-IE"/>
              </w:rPr>
            </w:pPr>
            <w:r w:rsidRPr="009E4649">
              <w:rPr>
                <w:rFonts w:eastAsia="Times New Roman"/>
                <w:bCs/>
                <w:i/>
                <w:sz w:val="16"/>
                <w:lang w:eastAsia="en-IE"/>
              </w:rPr>
              <w:t>Activit</w:t>
            </w:r>
            <w:r w:rsidR="00601BEB">
              <w:rPr>
                <w:rFonts w:eastAsia="Times New Roman"/>
                <w:bCs/>
                <w:i/>
                <w:sz w:val="16"/>
                <w:lang w:eastAsia="en-IE"/>
              </w:rPr>
              <w:t>y</w:t>
            </w:r>
          </w:p>
        </w:tc>
        <w:tc>
          <w:tcPr>
            <w:tcW w:w="2185" w:type="dxa"/>
            <w:tcBorders>
              <w:top w:val="single" w:sz="4" w:space="0" w:color="auto"/>
              <w:bottom w:val="single" w:sz="12" w:space="0" w:color="auto"/>
            </w:tcBorders>
            <w:shd w:val="clear" w:color="auto" w:fill="auto"/>
            <w:noWrap/>
            <w:hideMark/>
          </w:tcPr>
          <w:p w14:paraId="39726FED" w14:textId="77777777" w:rsidR="002A19D4" w:rsidRPr="009E4649" w:rsidRDefault="002A19D4" w:rsidP="00BE642F">
            <w:pPr>
              <w:suppressAutoHyphens w:val="0"/>
              <w:spacing w:before="80" w:after="80" w:line="200" w:lineRule="exact"/>
              <w:ind w:left="113"/>
              <w:rPr>
                <w:rFonts w:eastAsia="Times New Roman"/>
                <w:bCs/>
                <w:i/>
                <w:sz w:val="16"/>
                <w:lang w:eastAsia="en-IE"/>
              </w:rPr>
            </w:pPr>
            <w:r w:rsidRPr="009E4649">
              <w:rPr>
                <w:rFonts w:eastAsia="Times New Roman"/>
                <w:bCs/>
                <w:i/>
                <w:sz w:val="16"/>
                <w:lang w:eastAsia="en-IE"/>
              </w:rPr>
              <w:t>Responsible</w:t>
            </w:r>
            <w:r>
              <w:rPr>
                <w:rFonts w:eastAsia="Times New Roman"/>
                <w:bCs/>
                <w:i/>
                <w:sz w:val="16"/>
                <w:lang w:eastAsia="en-IE"/>
              </w:rPr>
              <w:t xml:space="preserve"> actors</w:t>
            </w:r>
          </w:p>
        </w:tc>
        <w:tc>
          <w:tcPr>
            <w:tcW w:w="1182" w:type="dxa"/>
            <w:tcBorders>
              <w:top w:val="single" w:sz="4" w:space="0" w:color="auto"/>
              <w:bottom w:val="single" w:sz="12" w:space="0" w:color="auto"/>
            </w:tcBorders>
            <w:shd w:val="clear" w:color="auto" w:fill="auto"/>
            <w:noWrap/>
            <w:hideMark/>
          </w:tcPr>
          <w:p w14:paraId="763C99C8" w14:textId="77777777" w:rsidR="002A19D4" w:rsidRPr="009E4649" w:rsidRDefault="002A19D4" w:rsidP="00BE642F">
            <w:pPr>
              <w:suppressAutoHyphens w:val="0"/>
              <w:spacing w:before="80" w:after="80" w:line="200" w:lineRule="exact"/>
              <w:ind w:left="113"/>
              <w:rPr>
                <w:rFonts w:eastAsia="Times New Roman"/>
                <w:bCs/>
                <w:i/>
                <w:sz w:val="16"/>
                <w:lang w:eastAsia="en-IE"/>
              </w:rPr>
            </w:pPr>
            <w:r w:rsidRPr="009E4649">
              <w:rPr>
                <w:rFonts w:eastAsia="Times New Roman"/>
                <w:bCs/>
                <w:i/>
                <w:sz w:val="16"/>
                <w:lang w:eastAsia="en-IE"/>
              </w:rPr>
              <w:t>Timeline</w:t>
            </w:r>
          </w:p>
        </w:tc>
        <w:tc>
          <w:tcPr>
            <w:tcW w:w="1169" w:type="dxa"/>
            <w:tcBorders>
              <w:top w:val="single" w:sz="4" w:space="0" w:color="auto"/>
              <w:bottom w:val="single" w:sz="12" w:space="0" w:color="auto"/>
            </w:tcBorders>
            <w:shd w:val="clear" w:color="auto" w:fill="auto"/>
          </w:tcPr>
          <w:p w14:paraId="0DE480D3" w14:textId="77777777" w:rsidR="002A19D4" w:rsidRPr="009E4649" w:rsidRDefault="002A19D4" w:rsidP="00BE642F">
            <w:pPr>
              <w:suppressAutoHyphens w:val="0"/>
              <w:spacing w:before="80" w:after="80" w:line="200" w:lineRule="exact"/>
              <w:ind w:left="113"/>
              <w:rPr>
                <w:rFonts w:eastAsia="Times New Roman"/>
                <w:bCs/>
                <w:i/>
                <w:sz w:val="16"/>
                <w:lang w:eastAsia="en-IE"/>
              </w:rPr>
            </w:pPr>
            <w:r w:rsidRPr="009E4649">
              <w:rPr>
                <w:rFonts w:eastAsia="Times New Roman"/>
                <w:bCs/>
                <w:i/>
                <w:sz w:val="16"/>
                <w:lang w:eastAsia="en-IE"/>
              </w:rPr>
              <w:t>Deliverables</w:t>
            </w:r>
          </w:p>
        </w:tc>
      </w:tr>
      <w:tr w:rsidR="002A19D4" w:rsidRPr="009E4649" w14:paraId="5DFF4AC2" w14:textId="77777777" w:rsidTr="00BE642F">
        <w:trPr>
          <w:trHeight w:val="240"/>
        </w:trPr>
        <w:tc>
          <w:tcPr>
            <w:tcW w:w="5103" w:type="dxa"/>
            <w:tcBorders>
              <w:top w:val="single" w:sz="12" w:space="0" w:color="auto"/>
            </w:tcBorders>
            <w:shd w:val="clear" w:color="auto" w:fill="auto"/>
            <w:hideMark/>
          </w:tcPr>
          <w:p w14:paraId="2A4E4181" w14:textId="2A49AEFF" w:rsidR="002A19D4" w:rsidRPr="0071139B" w:rsidRDefault="002A19D4" w:rsidP="00BE642F">
            <w:pPr>
              <w:suppressAutoHyphens w:val="0"/>
              <w:spacing w:before="40" w:after="40" w:line="220" w:lineRule="exact"/>
              <w:rPr>
                <w:rFonts w:eastAsia="Times New Roman"/>
                <w:lang w:eastAsia="en-IE"/>
              </w:rPr>
            </w:pPr>
            <w:r w:rsidRPr="0071139B">
              <w:rPr>
                <w:rFonts w:eastAsia="Times New Roman"/>
                <w:bCs/>
                <w:lang w:eastAsia="en-IE"/>
              </w:rPr>
              <w:t>D.1</w:t>
            </w:r>
            <w:r w:rsidRPr="0071139B">
              <w:rPr>
                <w:rFonts w:eastAsia="Times New Roman"/>
                <w:lang w:eastAsia="en-IE"/>
              </w:rPr>
              <w:br/>
              <w:t>Invite the Standing Committee on Finance to host a dialogue on the implementation of its commitment to integrate gender considerations into its work, emphasizing the relevance of gender-responsive access to finance in the implementation of climate action</w:t>
            </w:r>
          </w:p>
        </w:tc>
        <w:tc>
          <w:tcPr>
            <w:tcW w:w="2185" w:type="dxa"/>
            <w:tcBorders>
              <w:top w:val="single" w:sz="12" w:space="0" w:color="auto"/>
            </w:tcBorders>
            <w:shd w:val="clear" w:color="auto" w:fill="auto"/>
            <w:hideMark/>
          </w:tcPr>
          <w:p w14:paraId="1733C782" w14:textId="77777777" w:rsidR="002A19D4" w:rsidRPr="0071139B" w:rsidRDefault="002A19D4" w:rsidP="00BE642F">
            <w:pPr>
              <w:suppressAutoHyphens w:val="0"/>
              <w:spacing w:before="40" w:after="40" w:line="220" w:lineRule="exact"/>
              <w:ind w:left="113" w:right="37"/>
              <w:rPr>
                <w:rFonts w:eastAsia="Times New Roman"/>
                <w:lang w:eastAsia="en-IE"/>
              </w:rPr>
            </w:pPr>
            <w:r w:rsidRPr="0071139B">
              <w:rPr>
                <w:rFonts w:eastAsia="Times New Roman"/>
                <w:lang w:eastAsia="en-IE"/>
              </w:rPr>
              <w:t>Standing Committee on Finance</w:t>
            </w:r>
          </w:p>
        </w:tc>
        <w:tc>
          <w:tcPr>
            <w:tcW w:w="1182" w:type="dxa"/>
            <w:tcBorders>
              <w:top w:val="single" w:sz="12" w:space="0" w:color="auto"/>
            </w:tcBorders>
            <w:shd w:val="clear" w:color="auto" w:fill="auto"/>
            <w:noWrap/>
            <w:hideMark/>
          </w:tcPr>
          <w:p w14:paraId="3879914E"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 2019</w:t>
            </w:r>
          </w:p>
        </w:tc>
        <w:tc>
          <w:tcPr>
            <w:tcW w:w="1169" w:type="dxa"/>
            <w:tcBorders>
              <w:top w:val="single" w:sz="12" w:space="0" w:color="auto"/>
            </w:tcBorders>
            <w:shd w:val="clear" w:color="auto" w:fill="auto"/>
          </w:tcPr>
          <w:p w14:paraId="2AC83754" w14:textId="77777777" w:rsidR="002A19D4" w:rsidRPr="0071139B" w:rsidRDefault="002A19D4" w:rsidP="00BE642F">
            <w:pPr>
              <w:suppressAutoHyphens w:val="0"/>
              <w:spacing w:before="40" w:after="40" w:line="220" w:lineRule="exact"/>
              <w:ind w:left="113"/>
              <w:rPr>
                <w:rFonts w:eastAsia="Times New Roman"/>
                <w:lang w:val="fr-FR" w:eastAsia="en-IE"/>
              </w:rPr>
            </w:pPr>
            <w:r w:rsidRPr="0071139B">
              <w:rPr>
                <w:rFonts w:eastAsia="Times New Roman"/>
                <w:lang w:val="fr-FR" w:eastAsia="en-IE"/>
              </w:rPr>
              <w:t>Dialogue</w:t>
            </w:r>
          </w:p>
        </w:tc>
      </w:tr>
      <w:tr w:rsidR="002A19D4" w:rsidRPr="009E4649" w14:paraId="02BF7BF4" w14:textId="77777777" w:rsidTr="00BE642F">
        <w:trPr>
          <w:trHeight w:val="240"/>
        </w:trPr>
        <w:tc>
          <w:tcPr>
            <w:tcW w:w="5103" w:type="dxa"/>
            <w:shd w:val="clear" w:color="auto" w:fill="auto"/>
            <w:hideMark/>
          </w:tcPr>
          <w:p w14:paraId="25E3EBFD" w14:textId="025C4B6B" w:rsidR="002A19D4" w:rsidRPr="0071139B" w:rsidRDefault="002A19D4" w:rsidP="00BE642F">
            <w:pPr>
              <w:suppressAutoHyphens w:val="0"/>
              <w:spacing w:before="160" w:after="40" w:line="220" w:lineRule="exact"/>
              <w:rPr>
                <w:rFonts w:eastAsia="Times New Roman"/>
                <w:bCs/>
                <w:lang w:eastAsia="en-IE"/>
              </w:rPr>
            </w:pPr>
            <w:r w:rsidRPr="0071139B">
              <w:rPr>
                <w:rFonts w:eastAsia="Times New Roman"/>
                <w:bCs/>
                <w:lang w:eastAsia="en-IE"/>
              </w:rPr>
              <w:t>D.2</w:t>
            </w:r>
            <w:r w:rsidRPr="0071139B">
              <w:rPr>
                <w:rFonts w:eastAsia="Times New Roman"/>
                <w:lang w:eastAsia="en-IE"/>
              </w:rPr>
              <w:br/>
              <w:t xml:space="preserve">In cooperation with </w:t>
            </w:r>
            <w:r>
              <w:rPr>
                <w:rFonts w:eastAsia="Times New Roman"/>
                <w:lang w:eastAsia="en-IE"/>
              </w:rPr>
              <w:t xml:space="preserve">the </w:t>
            </w:r>
            <w:r w:rsidRPr="0071139B">
              <w:rPr>
                <w:rFonts w:eastAsia="Times New Roman"/>
                <w:lang w:eastAsia="en-IE"/>
              </w:rPr>
              <w:t>UNEP DTU Partnership</w:t>
            </w:r>
            <w:r w:rsidRPr="00712B67">
              <w:rPr>
                <w:i/>
                <w:sz w:val="18"/>
                <w:szCs w:val="18"/>
                <w:vertAlign w:val="superscript"/>
              </w:rPr>
              <w:t>a</w:t>
            </w:r>
            <w:r w:rsidRPr="00712B67">
              <w:rPr>
                <w:rFonts w:eastAsia="Times New Roman"/>
                <w:sz w:val="18"/>
                <w:szCs w:val="18"/>
                <w:lang w:eastAsia="en-IE"/>
              </w:rPr>
              <w:t xml:space="preserve"> </w:t>
            </w:r>
            <w:r w:rsidRPr="0071139B">
              <w:rPr>
                <w:rFonts w:eastAsia="Times New Roman"/>
                <w:lang w:eastAsia="en-IE"/>
              </w:rPr>
              <w:t>and the Climate Technology Centre and Network, invite interested stakeholders to share information on the incorporation of gender into technology needs assessments during Gender Day</w:t>
            </w:r>
          </w:p>
        </w:tc>
        <w:tc>
          <w:tcPr>
            <w:tcW w:w="2185" w:type="dxa"/>
            <w:shd w:val="clear" w:color="auto" w:fill="auto"/>
            <w:hideMark/>
          </w:tcPr>
          <w:p w14:paraId="33E117E3" w14:textId="09AF7C88" w:rsidR="002A19D4" w:rsidRPr="0071139B" w:rsidRDefault="002A19D4" w:rsidP="00BE642F">
            <w:pPr>
              <w:suppressAutoHyphens w:val="0"/>
              <w:spacing w:before="160" w:after="40" w:line="220" w:lineRule="exact"/>
              <w:ind w:left="113" w:right="37"/>
              <w:rPr>
                <w:rFonts w:eastAsia="Times New Roman"/>
                <w:lang w:eastAsia="en-IE"/>
              </w:rPr>
            </w:pPr>
            <w:r w:rsidRPr="0071139B">
              <w:rPr>
                <w:rFonts w:eastAsia="Times New Roman"/>
                <w:lang w:eastAsia="en-IE"/>
              </w:rPr>
              <w:t xml:space="preserve">Parties, UNEP </w:t>
            </w:r>
            <w:r>
              <w:rPr>
                <w:rFonts w:eastAsia="Times New Roman"/>
                <w:lang w:eastAsia="en-IE"/>
              </w:rPr>
              <w:t xml:space="preserve">DTU Partnership, </w:t>
            </w:r>
            <w:r w:rsidRPr="0071139B">
              <w:rPr>
                <w:rFonts w:eastAsia="Times New Roman"/>
                <w:lang w:eastAsia="en-IE"/>
              </w:rPr>
              <w:t>Climate Technology Centre and Network, other relevant stakeholders and secretariat</w:t>
            </w:r>
          </w:p>
        </w:tc>
        <w:tc>
          <w:tcPr>
            <w:tcW w:w="1182" w:type="dxa"/>
            <w:shd w:val="clear" w:color="auto" w:fill="auto"/>
            <w:noWrap/>
            <w:hideMark/>
          </w:tcPr>
          <w:p w14:paraId="5D5E242C"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 2018–2019</w:t>
            </w:r>
          </w:p>
        </w:tc>
        <w:tc>
          <w:tcPr>
            <w:tcW w:w="1169" w:type="dxa"/>
            <w:shd w:val="clear" w:color="auto" w:fill="auto"/>
          </w:tcPr>
          <w:p w14:paraId="7F9E9B79" w14:textId="2E8098D4"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Submission</w:t>
            </w:r>
            <w:r w:rsidR="00601BEB">
              <w:rPr>
                <w:rFonts w:eastAsia="Times New Roman"/>
                <w:lang w:eastAsia="en-IE"/>
              </w:rPr>
              <w:t>s</w:t>
            </w:r>
          </w:p>
        </w:tc>
      </w:tr>
      <w:tr w:rsidR="002A19D4" w:rsidRPr="009E4649" w14:paraId="435ED914" w14:textId="77777777" w:rsidTr="00BE642F">
        <w:trPr>
          <w:trHeight w:val="240"/>
        </w:trPr>
        <w:tc>
          <w:tcPr>
            <w:tcW w:w="5103" w:type="dxa"/>
            <w:tcBorders>
              <w:bottom w:val="single" w:sz="12" w:space="0" w:color="auto"/>
            </w:tcBorders>
            <w:shd w:val="clear" w:color="auto" w:fill="auto"/>
            <w:hideMark/>
          </w:tcPr>
          <w:p w14:paraId="0702F106" w14:textId="3EE7923C" w:rsidR="002A19D4" w:rsidRPr="0071139B" w:rsidRDefault="002A19D4" w:rsidP="00BE642F">
            <w:pPr>
              <w:suppressAutoHyphens w:val="0"/>
              <w:spacing w:before="160" w:after="40" w:line="220" w:lineRule="exact"/>
              <w:rPr>
                <w:rFonts w:eastAsia="Times New Roman"/>
                <w:lang w:eastAsia="en-IE"/>
              </w:rPr>
            </w:pPr>
            <w:r w:rsidRPr="0071139B">
              <w:rPr>
                <w:rFonts w:eastAsia="Times New Roman"/>
                <w:bCs/>
                <w:lang w:eastAsia="en-IE"/>
              </w:rPr>
              <w:t>D.3</w:t>
            </w:r>
            <w:r w:rsidRPr="0071139B">
              <w:rPr>
                <w:rFonts w:eastAsia="Times New Roman"/>
                <w:lang w:eastAsia="en-IE"/>
              </w:rPr>
              <w:br/>
              <w:t xml:space="preserve">Strengthen the capacity of gender mechanisms, including </w:t>
            </w:r>
            <w:r>
              <w:rPr>
                <w:rFonts w:eastAsia="Times New Roman"/>
                <w:lang w:eastAsia="en-IE"/>
              </w:rPr>
              <w:t xml:space="preserve">for </w:t>
            </w:r>
            <w:r w:rsidRPr="0071139B">
              <w:rPr>
                <w:rFonts w:eastAsia="Times New Roman"/>
                <w:lang w:eastAsia="en-IE"/>
              </w:rPr>
              <w:t>parliamentarians, the International Parliamentary Union, commissions, funding ministries, non-governmental organizations and civil society organizations, for the integration of gender-responsive budgeting into climate finance, access and delivery through training, expert workshops, technical papers and tools</w:t>
            </w:r>
          </w:p>
        </w:tc>
        <w:tc>
          <w:tcPr>
            <w:tcW w:w="2185" w:type="dxa"/>
            <w:tcBorders>
              <w:bottom w:val="single" w:sz="12" w:space="0" w:color="auto"/>
            </w:tcBorders>
            <w:shd w:val="clear" w:color="auto" w:fill="auto"/>
            <w:hideMark/>
          </w:tcPr>
          <w:p w14:paraId="16E51B32" w14:textId="77777777" w:rsidR="002A19D4" w:rsidRPr="0071139B" w:rsidRDefault="002A19D4" w:rsidP="00BE642F">
            <w:pPr>
              <w:suppressAutoHyphens w:val="0"/>
              <w:spacing w:before="160" w:after="40" w:line="220" w:lineRule="exact"/>
              <w:ind w:left="113" w:right="37"/>
              <w:rPr>
                <w:rFonts w:eastAsia="Times New Roman"/>
                <w:lang w:eastAsia="en-IE"/>
              </w:rPr>
            </w:pPr>
            <w:r w:rsidRPr="0071139B">
              <w:rPr>
                <w:rFonts w:eastAsia="Times New Roman"/>
                <w:lang w:eastAsia="en-IE"/>
              </w:rPr>
              <w:t>Parties, United Nations entities, the Financial Mechanism and other stakeholders</w:t>
            </w:r>
          </w:p>
        </w:tc>
        <w:tc>
          <w:tcPr>
            <w:tcW w:w="1182" w:type="dxa"/>
            <w:tcBorders>
              <w:bottom w:val="single" w:sz="12" w:space="0" w:color="auto"/>
            </w:tcBorders>
            <w:shd w:val="clear" w:color="auto" w:fill="auto"/>
            <w:noWrap/>
            <w:hideMark/>
          </w:tcPr>
          <w:p w14:paraId="6E51177B"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 2018</w:t>
            </w:r>
          </w:p>
        </w:tc>
        <w:tc>
          <w:tcPr>
            <w:tcW w:w="1169" w:type="dxa"/>
            <w:tcBorders>
              <w:bottom w:val="single" w:sz="12" w:space="0" w:color="auto"/>
            </w:tcBorders>
            <w:shd w:val="clear" w:color="auto" w:fill="auto"/>
          </w:tcPr>
          <w:p w14:paraId="37FEC1D5"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Capacity-building</w:t>
            </w:r>
          </w:p>
        </w:tc>
      </w:tr>
    </w:tbl>
    <w:p w14:paraId="28BA9FCC" w14:textId="7FEF5666" w:rsidR="002A19D4" w:rsidRPr="0071139B" w:rsidRDefault="002A19D4" w:rsidP="002A19D4">
      <w:pPr>
        <w:spacing w:before="80" w:after="240" w:line="200" w:lineRule="exact"/>
        <w:ind w:right="-142" w:firstLine="284"/>
        <w:jc w:val="both"/>
        <w:rPr>
          <w:sz w:val="18"/>
          <w:szCs w:val="18"/>
        </w:rPr>
      </w:pPr>
      <w:r w:rsidRPr="0071139B">
        <w:rPr>
          <w:i/>
          <w:sz w:val="18"/>
          <w:szCs w:val="18"/>
          <w:vertAlign w:val="superscript"/>
        </w:rPr>
        <w:t>a</w:t>
      </w:r>
      <w:r w:rsidR="00710E49">
        <w:rPr>
          <w:i/>
          <w:sz w:val="18"/>
          <w:szCs w:val="18"/>
          <w:vertAlign w:val="superscript"/>
        </w:rPr>
        <w:tab/>
      </w:r>
      <w:r w:rsidRPr="0071139B">
        <w:rPr>
          <w:sz w:val="18"/>
          <w:szCs w:val="18"/>
        </w:rPr>
        <w:t>The partnership, formerly known as the United Nations Environment Programme (UNEP) Risoe Centre, operates under a tripartite agreement between Denmark’s Ministry of Foreign Affairs, the Technical University of Denmark (DTU) and UNEP.</w:t>
      </w:r>
    </w:p>
    <w:p w14:paraId="1A910C2F" w14:textId="77777777" w:rsidR="002A19D4" w:rsidRDefault="002A19D4" w:rsidP="002A19D4">
      <w:pPr>
        <w:keepNext/>
        <w:spacing w:before="120"/>
        <w:ind w:right="-143"/>
      </w:pPr>
      <w:r>
        <w:lastRenderedPageBreak/>
        <w:t>Table 5</w:t>
      </w:r>
    </w:p>
    <w:p w14:paraId="498D2DF5" w14:textId="77777777" w:rsidR="002A19D4" w:rsidRPr="00717521" w:rsidRDefault="002A19D4" w:rsidP="002A19D4">
      <w:pPr>
        <w:keepNext/>
        <w:spacing w:after="80"/>
        <w:rPr>
          <w:b/>
        </w:rPr>
      </w:pPr>
      <w:r w:rsidRPr="00717521">
        <w:rPr>
          <w:b/>
        </w:rPr>
        <w:t>Priority area E</w:t>
      </w:r>
      <w:r w:rsidRPr="004F0A95">
        <w:rPr>
          <w:b/>
        </w:rPr>
        <w:t>: m</w:t>
      </w:r>
      <w:r w:rsidRPr="00561F04">
        <w:rPr>
          <w:b/>
        </w:rPr>
        <w:t xml:space="preserve">onitoring and </w:t>
      </w:r>
      <w:r w:rsidRPr="004F0A95">
        <w:rPr>
          <w:b/>
        </w:rPr>
        <w:t>r</w:t>
      </w:r>
      <w:r w:rsidRPr="00561F04">
        <w:rPr>
          <w:b/>
        </w:rPr>
        <w:t>eporting</w:t>
      </w:r>
    </w:p>
    <w:tbl>
      <w:tblPr>
        <w:tblW w:w="9639" w:type="dxa"/>
        <w:tblBorders>
          <w:top w:val="single" w:sz="4" w:space="0" w:color="auto"/>
        </w:tblBorders>
        <w:tblCellMar>
          <w:left w:w="0" w:type="dxa"/>
          <w:right w:w="0" w:type="dxa"/>
        </w:tblCellMar>
        <w:tblLook w:val="04A0" w:firstRow="1" w:lastRow="0" w:firstColumn="1" w:lastColumn="0" w:noHBand="0" w:noVBand="1"/>
      </w:tblPr>
      <w:tblGrid>
        <w:gridCol w:w="5077"/>
        <w:gridCol w:w="2043"/>
        <w:gridCol w:w="906"/>
        <w:gridCol w:w="1604"/>
        <w:gridCol w:w="9"/>
      </w:tblGrid>
      <w:tr w:rsidR="002A19D4" w:rsidRPr="00561F04" w14:paraId="2CC8C64F" w14:textId="77777777" w:rsidTr="00BE642F">
        <w:trPr>
          <w:trHeight w:val="240"/>
          <w:tblHeader/>
        </w:trPr>
        <w:tc>
          <w:tcPr>
            <w:tcW w:w="5061" w:type="dxa"/>
            <w:tcBorders>
              <w:top w:val="single" w:sz="4" w:space="0" w:color="auto"/>
              <w:bottom w:val="single" w:sz="12" w:space="0" w:color="auto"/>
            </w:tcBorders>
            <w:shd w:val="clear" w:color="auto" w:fill="auto"/>
            <w:noWrap/>
            <w:hideMark/>
          </w:tcPr>
          <w:p w14:paraId="4828E366" w14:textId="3D9E7F10" w:rsidR="002A19D4" w:rsidRPr="00561F04" w:rsidRDefault="002A19D4" w:rsidP="00BE642F">
            <w:pPr>
              <w:suppressAutoHyphens w:val="0"/>
              <w:spacing w:before="80" w:after="80" w:line="200" w:lineRule="exact"/>
              <w:rPr>
                <w:rFonts w:eastAsia="Times New Roman"/>
                <w:bCs/>
                <w:i/>
                <w:sz w:val="16"/>
                <w:lang w:eastAsia="en-IE"/>
              </w:rPr>
            </w:pPr>
            <w:r w:rsidRPr="00561F04">
              <w:rPr>
                <w:rFonts w:eastAsia="Times New Roman"/>
                <w:bCs/>
                <w:i/>
                <w:sz w:val="16"/>
                <w:lang w:eastAsia="en-IE"/>
              </w:rPr>
              <w:t>Activit</w:t>
            </w:r>
            <w:r w:rsidR="00601BEB">
              <w:rPr>
                <w:rFonts w:eastAsia="Times New Roman"/>
                <w:bCs/>
                <w:i/>
                <w:sz w:val="16"/>
                <w:lang w:eastAsia="en-IE"/>
              </w:rPr>
              <w:t>y</w:t>
            </w:r>
          </w:p>
        </w:tc>
        <w:tc>
          <w:tcPr>
            <w:tcW w:w="2027" w:type="dxa"/>
            <w:tcBorders>
              <w:top w:val="single" w:sz="4" w:space="0" w:color="auto"/>
              <w:bottom w:val="single" w:sz="12" w:space="0" w:color="auto"/>
            </w:tcBorders>
            <w:shd w:val="clear" w:color="auto" w:fill="auto"/>
            <w:noWrap/>
            <w:hideMark/>
          </w:tcPr>
          <w:p w14:paraId="63A8A043" w14:textId="77777777" w:rsidR="002A19D4" w:rsidRPr="00561F04" w:rsidRDefault="002A19D4" w:rsidP="00BE642F">
            <w:pPr>
              <w:suppressAutoHyphens w:val="0"/>
              <w:spacing w:before="80" w:after="80" w:line="200" w:lineRule="exact"/>
              <w:ind w:left="113"/>
              <w:rPr>
                <w:rFonts w:eastAsia="Times New Roman"/>
                <w:bCs/>
                <w:i/>
                <w:sz w:val="16"/>
                <w:lang w:eastAsia="en-IE"/>
              </w:rPr>
            </w:pPr>
            <w:r w:rsidRPr="00561F04">
              <w:rPr>
                <w:rFonts w:eastAsia="Times New Roman"/>
                <w:bCs/>
                <w:i/>
                <w:sz w:val="16"/>
                <w:lang w:eastAsia="en-IE"/>
              </w:rPr>
              <w:t xml:space="preserve">Responsible </w:t>
            </w:r>
            <w:r>
              <w:rPr>
                <w:rFonts w:eastAsia="Times New Roman"/>
                <w:bCs/>
                <w:i/>
                <w:sz w:val="16"/>
                <w:lang w:eastAsia="en-IE"/>
              </w:rPr>
              <w:t>actors</w:t>
            </w:r>
          </w:p>
        </w:tc>
        <w:tc>
          <w:tcPr>
            <w:tcW w:w="890" w:type="dxa"/>
            <w:tcBorders>
              <w:top w:val="single" w:sz="4" w:space="0" w:color="auto"/>
              <w:bottom w:val="single" w:sz="12" w:space="0" w:color="auto"/>
            </w:tcBorders>
            <w:shd w:val="clear" w:color="auto" w:fill="auto"/>
            <w:noWrap/>
            <w:hideMark/>
          </w:tcPr>
          <w:p w14:paraId="57190CDF" w14:textId="77777777" w:rsidR="002A19D4" w:rsidRPr="00561F04" w:rsidRDefault="002A19D4" w:rsidP="00BE642F">
            <w:pPr>
              <w:suppressAutoHyphens w:val="0"/>
              <w:spacing w:before="80" w:after="80" w:line="200" w:lineRule="exact"/>
              <w:ind w:left="113"/>
              <w:rPr>
                <w:rFonts w:eastAsia="Times New Roman"/>
                <w:bCs/>
                <w:i/>
                <w:sz w:val="16"/>
                <w:lang w:eastAsia="en-IE"/>
              </w:rPr>
            </w:pPr>
            <w:r w:rsidRPr="00561F04">
              <w:rPr>
                <w:rFonts w:eastAsia="Times New Roman"/>
                <w:bCs/>
                <w:i/>
                <w:sz w:val="16"/>
                <w:lang w:eastAsia="en-IE"/>
              </w:rPr>
              <w:t>Timeline</w:t>
            </w:r>
          </w:p>
        </w:tc>
        <w:tc>
          <w:tcPr>
            <w:tcW w:w="1661" w:type="dxa"/>
            <w:gridSpan w:val="2"/>
            <w:tcBorders>
              <w:top w:val="single" w:sz="4" w:space="0" w:color="auto"/>
              <w:bottom w:val="single" w:sz="12" w:space="0" w:color="auto"/>
            </w:tcBorders>
            <w:shd w:val="clear" w:color="auto" w:fill="auto"/>
          </w:tcPr>
          <w:p w14:paraId="770F9B61" w14:textId="77777777" w:rsidR="002A19D4" w:rsidRPr="00561F04" w:rsidRDefault="002A19D4" w:rsidP="00BE642F">
            <w:pPr>
              <w:suppressAutoHyphens w:val="0"/>
              <w:spacing w:before="80" w:after="80" w:line="200" w:lineRule="exact"/>
              <w:ind w:left="113"/>
              <w:rPr>
                <w:rFonts w:eastAsia="Times New Roman"/>
                <w:bCs/>
                <w:i/>
                <w:sz w:val="16"/>
                <w:lang w:eastAsia="en-IE"/>
              </w:rPr>
            </w:pPr>
            <w:r w:rsidRPr="00561F04">
              <w:rPr>
                <w:rFonts w:eastAsia="Times New Roman"/>
                <w:bCs/>
                <w:i/>
                <w:sz w:val="16"/>
                <w:lang w:eastAsia="en-IE"/>
              </w:rPr>
              <w:t>Deliverables</w:t>
            </w:r>
          </w:p>
        </w:tc>
      </w:tr>
      <w:tr w:rsidR="002A19D4" w:rsidRPr="0071139B" w14:paraId="49E3B69A" w14:textId="77777777" w:rsidTr="00BE642F">
        <w:trPr>
          <w:gridAfter w:val="1"/>
          <w:wAfter w:w="10" w:type="dxa"/>
          <w:trHeight w:val="240"/>
        </w:trPr>
        <w:tc>
          <w:tcPr>
            <w:tcW w:w="5061" w:type="dxa"/>
            <w:shd w:val="clear" w:color="auto" w:fill="auto"/>
          </w:tcPr>
          <w:p w14:paraId="2D6C9819" w14:textId="77777777" w:rsidR="002A19D4" w:rsidRPr="0071139B" w:rsidRDefault="002A19D4" w:rsidP="00BE642F">
            <w:pPr>
              <w:suppressAutoHyphens w:val="0"/>
              <w:spacing w:before="40" w:after="40" w:line="220" w:lineRule="exact"/>
              <w:ind w:right="73"/>
            </w:pPr>
            <w:r w:rsidRPr="0071139B">
              <w:t>E.1</w:t>
            </w:r>
          </w:p>
          <w:p w14:paraId="3A13B0ED" w14:textId="77777777" w:rsidR="002A19D4" w:rsidRPr="0071139B" w:rsidRDefault="002A19D4" w:rsidP="00BE642F">
            <w:pPr>
              <w:suppressAutoHyphens w:val="0"/>
              <w:spacing w:before="40" w:after="40" w:line="220" w:lineRule="exact"/>
              <w:ind w:right="73"/>
            </w:pPr>
            <w:r w:rsidRPr="0071139B">
              <w:t>Make a submission on the following, including sex-disaggregated data and gender analysis, where applicable:</w:t>
            </w:r>
          </w:p>
          <w:p w14:paraId="207756A1" w14:textId="7F584924" w:rsidR="002A19D4" w:rsidRPr="0071139B" w:rsidRDefault="0032653E" w:rsidP="0032653E">
            <w:pPr>
              <w:suppressAutoHyphens w:val="0"/>
              <w:spacing w:before="40" w:after="40" w:line="220" w:lineRule="exact"/>
              <w:ind w:right="73"/>
            </w:pPr>
            <w:r w:rsidRPr="0071139B">
              <w:t>(a)</w:t>
            </w:r>
            <w:r w:rsidRPr="0071139B">
              <w:tab/>
            </w:r>
            <w:r w:rsidR="002A19D4" w:rsidRPr="0071139B">
              <w:t>Information on the differentiated impacts of climate change on women and men, with special attention paid to local communities and indigenous peoples;</w:t>
            </w:r>
          </w:p>
          <w:p w14:paraId="1D4332DC" w14:textId="297BEEAE" w:rsidR="002A19D4" w:rsidRPr="0071139B" w:rsidRDefault="0032653E" w:rsidP="0032653E">
            <w:pPr>
              <w:suppressAutoHyphens w:val="0"/>
              <w:spacing w:before="40" w:after="40" w:line="220" w:lineRule="exact"/>
              <w:ind w:right="73"/>
            </w:pPr>
            <w:r w:rsidRPr="0071139B">
              <w:t>(b)</w:t>
            </w:r>
            <w:r w:rsidRPr="0071139B">
              <w:tab/>
            </w:r>
            <w:r w:rsidR="002A19D4" w:rsidRPr="0071139B">
              <w:t>Integration of gender considerations into adaptation, mitigation, capacity-building, Action for Climate Empowerment, technology and finance policies, plans and actions;</w:t>
            </w:r>
          </w:p>
          <w:p w14:paraId="3602E9A1" w14:textId="1FACC2D7" w:rsidR="002A19D4" w:rsidRPr="0071139B" w:rsidRDefault="0032653E" w:rsidP="0032653E">
            <w:pPr>
              <w:suppressAutoHyphens w:val="0"/>
              <w:spacing w:before="40" w:after="40" w:line="220" w:lineRule="exact"/>
              <w:ind w:right="73"/>
            </w:pPr>
            <w:r w:rsidRPr="0071139B">
              <w:t>(c)</w:t>
            </w:r>
            <w:r w:rsidRPr="0071139B">
              <w:tab/>
            </w:r>
            <w:r w:rsidR="002A19D4" w:rsidRPr="0071139B">
              <w:t>Policies and plans for and progress made in enhancing gender balance in national climate delegations</w:t>
            </w:r>
          </w:p>
        </w:tc>
        <w:tc>
          <w:tcPr>
            <w:tcW w:w="2027" w:type="dxa"/>
            <w:shd w:val="clear" w:color="auto" w:fill="auto"/>
            <w:noWrap/>
          </w:tcPr>
          <w:p w14:paraId="28C998CF"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Parties and observer organizations</w:t>
            </w:r>
          </w:p>
        </w:tc>
        <w:tc>
          <w:tcPr>
            <w:tcW w:w="890" w:type="dxa"/>
            <w:shd w:val="clear" w:color="auto" w:fill="auto"/>
            <w:noWrap/>
          </w:tcPr>
          <w:p w14:paraId="58F81670"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2018</w:t>
            </w:r>
          </w:p>
        </w:tc>
        <w:tc>
          <w:tcPr>
            <w:tcW w:w="1651" w:type="dxa"/>
            <w:shd w:val="clear" w:color="auto" w:fill="auto"/>
          </w:tcPr>
          <w:p w14:paraId="4081AD57" w14:textId="77777777" w:rsidR="002A19D4" w:rsidRPr="0071139B" w:rsidRDefault="002A19D4" w:rsidP="00BE642F">
            <w:pPr>
              <w:suppressAutoHyphens w:val="0"/>
              <w:spacing w:before="40" w:after="40" w:line="220" w:lineRule="exact"/>
              <w:ind w:left="113"/>
              <w:rPr>
                <w:rFonts w:eastAsia="Times New Roman"/>
                <w:lang w:eastAsia="en-IE"/>
              </w:rPr>
            </w:pPr>
            <w:r w:rsidRPr="0071139B">
              <w:rPr>
                <w:rFonts w:eastAsia="Times New Roman"/>
                <w:lang w:eastAsia="en-IE"/>
              </w:rPr>
              <w:t>Submission</w:t>
            </w:r>
          </w:p>
        </w:tc>
      </w:tr>
      <w:tr w:rsidR="002A19D4" w:rsidRPr="0071139B" w14:paraId="7BE8BFD7" w14:textId="77777777" w:rsidTr="00BE642F">
        <w:trPr>
          <w:gridAfter w:val="1"/>
          <w:wAfter w:w="10" w:type="dxa"/>
          <w:trHeight w:val="240"/>
        </w:trPr>
        <w:tc>
          <w:tcPr>
            <w:tcW w:w="5061" w:type="dxa"/>
            <w:shd w:val="clear" w:color="auto" w:fill="auto"/>
            <w:hideMark/>
          </w:tcPr>
          <w:p w14:paraId="3FE0FD2C" w14:textId="3C1B24DB" w:rsidR="002A19D4" w:rsidRPr="0071139B" w:rsidRDefault="002A19D4" w:rsidP="00BE642F">
            <w:pPr>
              <w:suppressAutoHyphens w:val="0"/>
              <w:spacing w:before="160" w:after="40" w:line="220" w:lineRule="exact"/>
              <w:ind w:right="73"/>
              <w:rPr>
                <w:rFonts w:eastAsia="Times New Roman"/>
                <w:lang w:eastAsia="en-IE"/>
              </w:rPr>
            </w:pPr>
            <w:r w:rsidRPr="0071139B">
              <w:rPr>
                <w:rFonts w:eastAsia="Times New Roman"/>
                <w:bCs/>
                <w:lang w:eastAsia="en-IE"/>
              </w:rPr>
              <w:t>E.2</w:t>
            </w:r>
            <w:r w:rsidRPr="0071139B">
              <w:rPr>
                <w:rFonts w:eastAsia="Times New Roman"/>
                <w:lang w:eastAsia="en-IE"/>
              </w:rPr>
              <w:br/>
              <w:t xml:space="preserve">Prepare a synthesis report on the submissions received under </w:t>
            </w:r>
            <w:r>
              <w:rPr>
                <w:rFonts w:eastAsia="Times New Roman"/>
                <w:lang w:eastAsia="en-IE"/>
              </w:rPr>
              <w:t xml:space="preserve">activity </w:t>
            </w:r>
            <w:r w:rsidRPr="0071139B">
              <w:rPr>
                <w:rFonts w:eastAsia="Times New Roman"/>
                <w:lang w:eastAsia="en-IE"/>
              </w:rPr>
              <w:t>E.1</w:t>
            </w:r>
          </w:p>
        </w:tc>
        <w:tc>
          <w:tcPr>
            <w:tcW w:w="2027" w:type="dxa"/>
            <w:shd w:val="clear" w:color="auto" w:fill="auto"/>
            <w:noWrap/>
            <w:hideMark/>
          </w:tcPr>
          <w:p w14:paraId="355D68E9"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Secretariat</w:t>
            </w:r>
          </w:p>
        </w:tc>
        <w:tc>
          <w:tcPr>
            <w:tcW w:w="890" w:type="dxa"/>
            <w:shd w:val="clear" w:color="auto" w:fill="auto"/>
            <w:noWrap/>
            <w:hideMark/>
          </w:tcPr>
          <w:p w14:paraId="5B8E8A02"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2019</w:t>
            </w:r>
          </w:p>
        </w:tc>
        <w:tc>
          <w:tcPr>
            <w:tcW w:w="1651" w:type="dxa"/>
            <w:shd w:val="clear" w:color="auto" w:fill="auto"/>
          </w:tcPr>
          <w:p w14:paraId="065166FE"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Synthesis report</w:t>
            </w:r>
          </w:p>
        </w:tc>
      </w:tr>
      <w:tr w:rsidR="002A19D4" w:rsidRPr="00561F04" w14:paraId="4A42FD65" w14:textId="77777777" w:rsidTr="00BE642F">
        <w:trPr>
          <w:trHeight w:val="240"/>
        </w:trPr>
        <w:tc>
          <w:tcPr>
            <w:tcW w:w="5061" w:type="dxa"/>
            <w:shd w:val="clear" w:color="auto" w:fill="auto"/>
            <w:hideMark/>
          </w:tcPr>
          <w:p w14:paraId="2B148355" w14:textId="64CB6DF5" w:rsidR="002A19D4" w:rsidRPr="0071139B" w:rsidRDefault="002A19D4" w:rsidP="00BE642F">
            <w:pPr>
              <w:suppressAutoHyphens w:val="0"/>
              <w:spacing w:before="160" w:after="40" w:line="220" w:lineRule="exact"/>
              <w:ind w:right="73"/>
              <w:rPr>
                <w:rFonts w:eastAsia="Times New Roman"/>
                <w:bCs/>
                <w:lang w:eastAsia="en-IE"/>
              </w:rPr>
            </w:pPr>
            <w:r w:rsidRPr="0071139B">
              <w:rPr>
                <w:rFonts w:eastAsia="Times New Roman"/>
                <w:bCs/>
                <w:lang w:eastAsia="en-IE"/>
              </w:rPr>
              <w:t>E.3</w:t>
            </w:r>
            <w:r w:rsidRPr="0071139B">
              <w:rPr>
                <w:rFonts w:eastAsia="Times New Roman"/>
                <w:lang w:eastAsia="en-IE"/>
              </w:rPr>
              <w:br/>
              <w:t xml:space="preserve">Update </w:t>
            </w:r>
            <w:r w:rsidR="00E27A51">
              <w:rPr>
                <w:rFonts w:eastAsia="Times New Roman"/>
                <w:lang w:eastAsia="en-IE"/>
              </w:rPr>
              <w:t xml:space="preserve">the </w:t>
            </w:r>
            <w:r w:rsidRPr="0071139B">
              <w:rPr>
                <w:rFonts w:eastAsia="Times New Roman"/>
                <w:lang w:eastAsia="en-IE"/>
              </w:rPr>
              <w:t>report on how the Climate Technology Centre and Network, in executing its modalities and procedures, working in conjunction with the Technology Executive Committee (to ensure coherence and synergy within the Technology Mechanism),</w:t>
            </w:r>
            <w:r w:rsidR="00E27A51">
              <w:rPr>
                <w:rFonts w:eastAsia="Times New Roman"/>
                <w:lang w:eastAsia="en-IE"/>
              </w:rPr>
              <w:t xml:space="preserve"> has</w:t>
            </w:r>
            <w:r w:rsidRPr="0071139B">
              <w:rPr>
                <w:rFonts w:eastAsia="Times New Roman"/>
                <w:lang w:eastAsia="en-IE"/>
              </w:rPr>
              <w:t xml:space="preserve"> contributed to the aim of accelerating the development and transfer of technology, taking into account gender considerations</w:t>
            </w:r>
          </w:p>
        </w:tc>
        <w:tc>
          <w:tcPr>
            <w:tcW w:w="2027" w:type="dxa"/>
            <w:shd w:val="clear" w:color="auto" w:fill="auto"/>
            <w:hideMark/>
          </w:tcPr>
          <w:p w14:paraId="4CFF20D4"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Climate Technology Centre and Network</w:t>
            </w:r>
            <w:r w:rsidRPr="0071139B">
              <w:rPr>
                <w:rFonts w:eastAsia="Times New Roman"/>
                <w:lang w:eastAsia="en-IE"/>
              </w:rPr>
              <w:br/>
              <w:t>and Technology Executive Committee</w:t>
            </w:r>
          </w:p>
        </w:tc>
        <w:tc>
          <w:tcPr>
            <w:tcW w:w="890" w:type="dxa"/>
            <w:shd w:val="clear" w:color="auto" w:fill="auto"/>
            <w:noWrap/>
            <w:hideMark/>
          </w:tcPr>
          <w:p w14:paraId="729B53C2"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 </w:t>
            </w:r>
          </w:p>
        </w:tc>
        <w:tc>
          <w:tcPr>
            <w:tcW w:w="1661" w:type="dxa"/>
            <w:gridSpan w:val="2"/>
            <w:shd w:val="clear" w:color="auto" w:fill="auto"/>
          </w:tcPr>
          <w:p w14:paraId="4BE92526"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Report, with recommendations</w:t>
            </w:r>
          </w:p>
        </w:tc>
      </w:tr>
      <w:tr w:rsidR="002A19D4" w:rsidRPr="00561F04" w14:paraId="662C45E7" w14:textId="77777777" w:rsidTr="00BE642F">
        <w:trPr>
          <w:trHeight w:val="240"/>
        </w:trPr>
        <w:tc>
          <w:tcPr>
            <w:tcW w:w="5061" w:type="dxa"/>
            <w:tcBorders>
              <w:bottom w:val="single" w:sz="12" w:space="0" w:color="auto"/>
            </w:tcBorders>
            <w:shd w:val="clear" w:color="auto" w:fill="auto"/>
            <w:hideMark/>
          </w:tcPr>
          <w:p w14:paraId="06FFD653" w14:textId="444C0A7C" w:rsidR="002A19D4" w:rsidRPr="0071139B" w:rsidRDefault="002A19D4" w:rsidP="00BE642F">
            <w:pPr>
              <w:suppressAutoHyphens w:val="0"/>
              <w:spacing w:before="160" w:after="40" w:line="220" w:lineRule="exact"/>
              <w:ind w:right="73"/>
              <w:rPr>
                <w:rFonts w:eastAsia="Times New Roman"/>
                <w:bCs/>
                <w:lang w:eastAsia="en-IE"/>
              </w:rPr>
            </w:pPr>
            <w:r w:rsidRPr="0071139B">
              <w:rPr>
                <w:rFonts w:eastAsia="Times New Roman"/>
                <w:bCs/>
                <w:lang w:eastAsia="en-IE"/>
              </w:rPr>
              <w:t>E.4</w:t>
            </w:r>
            <w:r w:rsidRPr="0071139B">
              <w:rPr>
                <w:rFonts w:eastAsia="Times New Roman"/>
                <w:bCs/>
                <w:lang w:eastAsia="en-IE"/>
              </w:rPr>
              <w:br/>
            </w:r>
            <w:r w:rsidRPr="0071139B">
              <w:rPr>
                <w:rFonts w:eastAsia="Times New Roman"/>
                <w:lang w:eastAsia="en-IE"/>
              </w:rPr>
              <w:t>Encourage knowledge exchange activities among the secretariat staff across all thematic areas to update on work related to gender</w:t>
            </w:r>
          </w:p>
        </w:tc>
        <w:tc>
          <w:tcPr>
            <w:tcW w:w="2027" w:type="dxa"/>
            <w:tcBorders>
              <w:bottom w:val="single" w:sz="12" w:space="0" w:color="auto"/>
            </w:tcBorders>
            <w:shd w:val="clear" w:color="auto" w:fill="auto"/>
            <w:hideMark/>
          </w:tcPr>
          <w:p w14:paraId="1FCDDE55" w14:textId="6630B07B" w:rsidR="002A19D4" w:rsidRPr="0071139B" w:rsidRDefault="00E27A51" w:rsidP="00BE642F">
            <w:pPr>
              <w:suppressAutoHyphens w:val="0"/>
              <w:spacing w:before="160" w:after="40" w:line="220" w:lineRule="exact"/>
              <w:ind w:left="113"/>
              <w:rPr>
                <w:rFonts w:eastAsia="Times New Roman"/>
                <w:lang w:eastAsia="en-IE"/>
              </w:rPr>
            </w:pPr>
            <w:r>
              <w:rPr>
                <w:rFonts w:eastAsia="Times New Roman"/>
                <w:lang w:eastAsia="en-IE"/>
              </w:rPr>
              <w:t>S</w:t>
            </w:r>
            <w:r w:rsidR="002A19D4" w:rsidRPr="0071139B">
              <w:rPr>
                <w:rFonts w:eastAsia="Times New Roman"/>
                <w:lang w:eastAsia="en-IE"/>
              </w:rPr>
              <w:t>ecretariat, in cooperation with United Nations entities, including the United Nations Entity for Gender Equality and the Empowerment of Women</w:t>
            </w:r>
          </w:p>
        </w:tc>
        <w:tc>
          <w:tcPr>
            <w:tcW w:w="890" w:type="dxa"/>
            <w:tcBorders>
              <w:bottom w:val="single" w:sz="12" w:space="0" w:color="auto"/>
            </w:tcBorders>
            <w:shd w:val="clear" w:color="auto" w:fill="auto"/>
            <w:noWrap/>
            <w:hideMark/>
          </w:tcPr>
          <w:p w14:paraId="37D734DA"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 </w:t>
            </w:r>
          </w:p>
        </w:tc>
        <w:tc>
          <w:tcPr>
            <w:tcW w:w="1661" w:type="dxa"/>
            <w:gridSpan w:val="2"/>
            <w:tcBorders>
              <w:bottom w:val="single" w:sz="12" w:space="0" w:color="auto"/>
            </w:tcBorders>
            <w:shd w:val="clear" w:color="auto" w:fill="auto"/>
          </w:tcPr>
          <w:p w14:paraId="56135E18"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Report on the knowledge exchange</w:t>
            </w:r>
          </w:p>
          <w:p w14:paraId="400DA2D3" w14:textId="77777777" w:rsidR="002A19D4" w:rsidRPr="0071139B" w:rsidRDefault="002A19D4" w:rsidP="00BE642F">
            <w:pPr>
              <w:suppressAutoHyphens w:val="0"/>
              <w:spacing w:before="160" w:after="40" w:line="220" w:lineRule="exact"/>
              <w:ind w:left="113"/>
              <w:rPr>
                <w:rFonts w:eastAsia="Times New Roman"/>
                <w:lang w:eastAsia="en-IE"/>
              </w:rPr>
            </w:pPr>
            <w:r w:rsidRPr="0071139B">
              <w:rPr>
                <w:rFonts w:eastAsia="Times New Roman"/>
                <w:lang w:eastAsia="en-IE"/>
              </w:rPr>
              <w:t>Account of exchange activities</w:t>
            </w:r>
          </w:p>
        </w:tc>
      </w:tr>
    </w:tbl>
    <w:p w14:paraId="5DF34338" w14:textId="78C55871" w:rsidR="002A19D4" w:rsidRDefault="002A19D4" w:rsidP="002A19D4"/>
    <w:p w14:paraId="224CF33F" w14:textId="4F96C3C8" w:rsidR="002A19D4" w:rsidRPr="002A19D4" w:rsidRDefault="000D7190" w:rsidP="002A19D4">
      <w:pPr>
        <w:jc w:val="right"/>
        <w:rPr>
          <w:i/>
        </w:rPr>
      </w:pPr>
      <w:r w:rsidRPr="000D7190">
        <w:rPr>
          <w:i/>
        </w:rPr>
        <w:t>12</w:t>
      </w:r>
      <w:r w:rsidR="002A19D4" w:rsidRPr="000D7190">
        <w:rPr>
          <w:i/>
          <w:vertAlign w:val="superscript"/>
        </w:rPr>
        <w:t>th</w:t>
      </w:r>
      <w:r w:rsidR="002A19D4" w:rsidRPr="000D7190">
        <w:rPr>
          <w:i/>
        </w:rPr>
        <w:t xml:space="preserve"> plenary meeting</w:t>
      </w:r>
    </w:p>
    <w:p w14:paraId="7D1C861C" w14:textId="54E280FE" w:rsidR="002A19D4" w:rsidRDefault="002A19D4" w:rsidP="002A19D4">
      <w:pPr>
        <w:jc w:val="right"/>
        <w:rPr>
          <w:i/>
        </w:rPr>
      </w:pPr>
      <w:r w:rsidRPr="002A19D4">
        <w:rPr>
          <w:i/>
        </w:rPr>
        <w:t>17 November 2017</w:t>
      </w:r>
    </w:p>
    <w:p w14:paraId="107B768E" w14:textId="77777777" w:rsidR="002A19D4" w:rsidRDefault="002A19D4" w:rsidP="002A19D4">
      <w:pPr>
        <w:jc w:val="right"/>
        <w:rPr>
          <w:i/>
        </w:rPr>
        <w:sectPr w:rsidR="002A19D4" w:rsidSect="00CA22E4">
          <w:headerReference w:type="even" r:id="rId32"/>
          <w:headerReference w:type="default" r:id="rId33"/>
          <w:footerReference w:type="even" r:id="rId34"/>
          <w:footerReference w:type="default" r:id="rId35"/>
          <w:footnotePr>
            <w:numRestart w:val="eachSect"/>
          </w:footnotePr>
          <w:pgSz w:w="11906" w:h="16838" w:code="9"/>
          <w:pgMar w:top="1417" w:right="1134" w:bottom="1134" w:left="1134" w:header="850" w:footer="567" w:gutter="0"/>
          <w:cols w:space="708"/>
          <w:docGrid w:linePitch="360"/>
        </w:sectPr>
      </w:pPr>
    </w:p>
    <w:p w14:paraId="45DEEE39" w14:textId="1553C7EE" w:rsidR="002A19D4" w:rsidRDefault="002A19D4" w:rsidP="002A19D4">
      <w:pPr>
        <w:pStyle w:val="HChG"/>
      </w:pPr>
      <w:r>
        <w:lastRenderedPageBreak/>
        <w:tab/>
      </w:r>
      <w:r>
        <w:tab/>
        <w:t>Decision 4/CP.23</w:t>
      </w:r>
    </w:p>
    <w:p w14:paraId="4A29C39C" w14:textId="1FA37C97" w:rsidR="002A19D4" w:rsidRDefault="002A19D4" w:rsidP="002A19D4">
      <w:pPr>
        <w:pStyle w:val="HChG"/>
      </w:pPr>
      <w:r>
        <w:tab/>
      </w:r>
      <w:r>
        <w:tab/>
        <w:t>K</w:t>
      </w:r>
      <w:r w:rsidR="00AC1022">
        <w:t>o</w:t>
      </w:r>
      <w:r>
        <w:t>ron</w:t>
      </w:r>
      <w:r w:rsidR="00AC1022">
        <w:t>i</w:t>
      </w:r>
      <w:r>
        <w:t>via joint work on agriculture</w:t>
      </w:r>
    </w:p>
    <w:p w14:paraId="74875026" w14:textId="77777777" w:rsidR="002A19D4" w:rsidRPr="000754FC" w:rsidRDefault="002A19D4" w:rsidP="002A19D4">
      <w:pPr>
        <w:spacing w:before="120"/>
        <w:ind w:left="1134" w:right="1174" w:firstLine="567"/>
        <w:rPr>
          <w:i/>
        </w:rPr>
      </w:pPr>
      <w:r w:rsidRPr="000754FC">
        <w:rPr>
          <w:i/>
        </w:rPr>
        <w:t>The Conference of the Parties</w:t>
      </w:r>
      <w:r w:rsidRPr="003F5A5B">
        <w:t>,</w:t>
      </w:r>
    </w:p>
    <w:p w14:paraId="061AADC8" w14:textId="77777777" w:rsidR="002A19D4" w:rsidRDefault="002A19D4" w:rsidP="002A19D4">
      <w:pPr>
        <w:spacing w:before="120"/>
        <w:ind w:left="1134" w:right="1174" w:firstLine="567"/>
      </w:pPr>
      <w:r>
        <w:rPr>
          <w:i/>
        </w:rPr>
        <w:t>R</w:t>
      </w:r>
      <w:r w:rsidRPr="000754FC">
        <w:rPr>
          <w:i/>
        </w:rPr>
        <w:t>ecalling</w:t>
      </w:r>
      <w:r>
        <w:t xml:space="preserve"> </w:t>
      </w:r>
      <w:r w:rsidRPr="00D77BB6">
        <w:t>decision 2/CP.17</w:t>
      </w:r>
      <w:r>
        <w:t>, particularly paragraphs 75–77,</w:t>
      </w:r>
    </w:p>
    <w:p w14:paraId="48897B64" w14:textId="77777777" w:rsidR="002A19D4" w:rsidRPr="00D77BB6" w:rsidRDefault="002A19D4" w:rsidP="002A19D4">
      <w:pPr>
        <w:tabs>
          <w:tab w:val="left" w:pos="8464"/>
        </w:tabs>
        <w:spacing w:before="120"/>
        <w:ind w:left="1134" w:right="1174" w:firstLine="567"/>
        <w:jc w:val="both"/>
      </w:pPr>
      <w:r w:rsidRPr="00D77BB6">
        <w:rPr>
          <w:i/>
        </w:rPr>
        <w:t xml:space="preserve">Having considered </w:t>
      </w:r>
      <w:r w:rsidRPr="00D77BB6">
        <w:t xml:space="preserve">the </w:t>
      </w:r>
      <w:r>
        <w:t xml:space="preserve">reports to the </w:t>
      </w:r>
      <w:r w:rsidRPr="00D77BB6">
        <w:t>Subsidiary Body for Scientific an</w:t>
      </w:r>
      <w:r>
        <w:t xml:space="preserve">d Technological Advice </w:t>
      </w:r>
      <w:r w:rsidRPr="00D77BB6">
        <w:t>o</w:t>
      </w:r>
      <w:r>
        <w:t>n</w:t>
      </w:r>
      <w:r w:rsidRPr="00D77BB6">
        <w:t xml:space="preserve"> the five in-session workshops on issues related to agriculture,</w:t>
      </w:r>
      <w:r>
        <w:rPr>
          <w:rStyle w:val="FootnoteReference"/>
        </w:rPr>
        <w:footnoteReference w:id="18"/>
      </w:r>
    </w:p>
    <w:p w14:paraId="5D4F8BD6" w14:textId="4B7D9638" w:rsidR="002A19D4" w:rsidRDefault="0032653E" w:rsidP="0032653E">
      <w:pPr>
        <w:pStyle w:val="RegSingleTxtG"/>
        <w:numPr>
          <w:ilvl w:val="0"/>
          <w:numId w:val="0"/>
        </w:numPr>
        <w:spacing w:before="120"/>
        <w:ind w:left="1134"/>
      </w:pPr>
      <w:r>
        <w:t>1.</w:t>
      </w:r>
      <w:r>
        <w:tab/>
      </w:r>
      <w:r w:rsidR="002A19D4" w:rsidRPr="002A19D4">
        <w:rPr>
          <w:i/>
        </w:rPr>
        <w:t>Requests</w:t>
      </w:r>
      <w:r w:rsidR="002A19D4">
        <w:t xml:space="preserve"> the Subsidiary Body for Scientific and Technological Advice and the Subsidiary Body for Implementation to jointly address issues related to agriculture, including through workshops and expert meetings, working with constituted bodies under the Convention and taking into consideration the vulnerabilities of agriculture to climate change and approaches to addressing food security; </w:t>
      </w:r>
    </w:p>
    <w:p w14:paraId="4FB468C8" w14:textId="357B050D" w:rsidR="002A19D4" w:rsidRDefault="0032653E" w:rsidP="0032653E">
      <w:pPr>
        <w:pStyle w:val="RegSingleTxtG"/>
        <w:numPr>
          <w:ilvl w:val="0"/>
          <w:numId w:val="0"/>
        </w:numPr>
        <w:ind w:left="1134"/>
      </w:pPr>
      <w:r>
        <w:t>2.</w:t>
      </w:r>
      <w:r>
        <w:tab/>
      </w:r>
      <w:r w:rsidR="002A19D4" w:rsidRPr="00D77BB6">
        <w:rPr>
          <w:i/>
        </w:rPr>
        <w:t>Invites</w:t>
      </w:r>
      <w:r w:rsidR="002A19D4">
        <w:t xml:space="preserve"> Parties and observers to submit,</w:t>
      </w:r>
      <w:r w:rsidR="002A19D4">
        <w:rPr>
          <w:rStyle w:val="FootnoteReference"/>
        </w:rPr>
        <w:footnoteReference w:id="19"/>
      </w:r>
      <w:r w:rsidR="002A19D4">
        <w:t xml:space="preserve"> by 31 March 2018, their views on elements to be included in the work referred to in paragraph 1 above for consideration at the forty-eighth session</w:t>
      </w:r>
      <w:r w:rsidR="006A31B1">
        <w:t>s</w:t>
      </w:r>
      <w:r w:rsidR="002A19D4">
        <w:t xml:space="preserve"> of the subsidiary bodies (April–May 2018), starting with but not limited to the following:</w:t>
      </w:r>
    </w:p>
    <w:p w14:paraId="5724AAE7" w14:textId="660052F2" w:rsidR="002A19D4" w:rsidRDefault="0032653E" w:rsidP="0032653E">
      <w:pPr>
        <w:pStyle w:val="RegSingleTxtG2"/>
        <w:numPr>
          <w:ilvl w:val="0"/>
          <w:numId w:val="0"/>
        </w:numPr>
        <w:ind w:left="1134" w:firstLine="567"/>
      </w:pPr>
      <w:r>
        <w:rPr>
          <w:szCs w:val="28"/>
        </w:rPr>
        <w:t>(a)</w:t>
      </w:r>
      <w:r>
        <w:rPr>
          <w:szCs w:val="28"/>
        </w:rPr>
        <w:tab/>
      </w:r>
      <w:r w:rsidR="002A19D4">
        <w:t>Modalities for implementation of the outcomes of the five in-session workshops on issues related to agriculture and other future topics that may arise from this work;</w:t>
      </w:r>
    </w:p>
    <w:p w14:paraId="34BD4F7D" w14:textId="4A34C898" w:rsidR="002A19D4" w:rsidRDefault="0032653E" w:rsidP="0032653E">
      <w:pPr>
        <w:pStyle w:val="RegSingleTxtG2"/>
        <w:numPr>
          <w:ilvl w:val="0"/>
          <w:numId w:val="0"/>
        </w:numPr>
        <w:ind w:left="1134" w:firstLine="567"/>
      </w:pPr>
      <w:r>
        <w:rPr>
          <w:szCs w:val="28"/>
        </w:rPr>
        <w:t>(b)</w:t>
      </w:r>
      <w:r>
        <w:rPr>
          <w:szCs w:val="28"/>
        </w:rPr>
        <w:tab/>
      </w:r>
      <w:r w:rsidR="002A19D4">
        <w:t>Methods and approaches for assessing adaptation, adaptation co-benefits and resilience;</w:t>
      </w:r>
    </w:p>
    <w:p w14:paraId="5D9F33A4" w14:textId="7C46FBBF" w:rsidR="002A19D4" w:rsidRDefault="0032653E" w:rsidP="0032653E">
      <w:pPr>
        <w:pStyle w:val="RegSingleTxtG2"/>
        <w:numPr>
          <w:ilvl w:val="0"/>
          <w:numId w:val="0"/>
        </w:numPr>
        <w:ind w:left="1134" w:firstLine="567"/>
      </w:pPr>
      <w:r>
        <w:rPr>
          <w:szCs w:val="28"/>
        </w:rPr>
        <w:t>(c)</w:t>
      </w:r>
      <w:r>
        <w:rPr>
          <w:szCs w:val="28"/>
        </w:rPr>
        <w:tab/>
      </w:r>
      <w:r w:rsidR="002A19D4">
        <w:t>Improved soil carbon, soil health and soil fertility under grassland and cropland as well as integrated systems, including water management;</w:t>
      </w:r>
    </w:p>
    <w:p w14:paraId="3F8D147D" w14:textId="6D47F320" w:rsidR="002A19D4" w:rsidRDefault="0032653E" w:rsidP="0032653E">
      <w:pPr>
        <w:pStyle w:val="RegSingleTxtG2"/>
        <w:numPr>
          <w:ilvl w:val="0"/>
          <w:numId w:val="0"/>
        </w:numPr>
        <w:ind w:left="1134" w:firstLine="567"/>
      </w:pPr>
      <w:r>
        <w:rPr>
          <w:szCs w:val="28"/>
        </w:rPr>
        <w:t>(d)</w:t>
      </w:r>
      <w:r>
        <w:rPr>
          <w:szCs w:val="28"/>
        </w:rPr>
        <w:tab/>
      </w:r>
      <w:r w:rsidR="002A19D4">
        <w:t>Improved nutrient use and manure management towards sustainable and resilient agricultural systems;</w:t>
      </w:r>
    </w:p>
    <w:p w14:paraId="2257C732" w14:textId="76A9DB1E" w:rsidR="002A19D4" w:rsidRDefault="0032653E" w:rsidP="0032653E">
      <w:pPr>
        <w:pStyle w:val="RegSingleTxtG2"/>
        <w:numPr>
          <w:ilvl w:val="0"/>
          <w:numId w:val="0"/>
        </w:numPr>
        <w:ind w:left="1134" w:firstLine="567"/>
      </w:pPr>
      <w:r>
        <w:rPr>
          <w:szCs w:val="28"/>
        </w:rPr>
        <w:t>(e)</w:t>
      </w:r>
      <w:r>
        <w:rPr>
          <w:szCs w:val="28"/>
        </w:rPr>
        <w:tab/>
      </w:r>
      <w:r w:rsidR="002A19D4">
        <w:t>Improved livestock management systems;</w:t>
      </w:r>
    </w:p>
    <w:p w14:paraId="1C817D18" w14:textId="6F3245BA" w:rsidR="002A19D4" w:rsidRDefault="0032653E" w:rsidP="0032653E">
      <w:pPr>
        <w:pStyle w:val="RegSingleTxtG2"/>
        <w:numPr>
          <w:ilvl w:val="0"/>
          <w:numId w:val="0"/>
        </w:numPr>
        <w:ind w:left="1134" w:firstLine="567"/>
      </w:pPr>
      <w:r>
        <w:rPr>
          <w:szCs w:val="28"/>
        </w:rPr>
        <w:t>(f)</w:t>
      </w:r>
      <w:r>
        <w:rPr>
          <w:szCs w:val="28"/>
        </w:rPr>
        <w:tab/>
      </w:r>
      <w:r w:rsidR="002A19D4">
        <w:t>Socioeconomic and food security dimensions of climate change in the agricultural sector</w:t>
      </w:r>
      <w:r w:rsidR="00E27A51">
        <w:t>;</w:t>
      </w:r>
    </w:p>
    <w:p w14:paraId="2EA8B07A" w14:textId="5BDAAD2C" w:rsidR="002A19D4" w:rsidRDefault="0032653E" w:rsidP="0032653E">
      <w:pPr>
        <w:pStyle w:val="RegSingleTxtG"/>
        <w:numPr>
          <w:ilvl w:val="0"/>
          <w:numId w:val="0"/>
        </w:numPr>
        <w:ind w:left="1134"/>
      </w:pPr>
      <w:r>
        <w:t>3.</w:t>
      </w:r>
      <w:r>
        <w:tab/>
      </w:r>
      <w:r w:rsidR="002A19D4" w:rsidRPr="00D77BB6">
        <w:rPr>
          <w:i/>
        </w:rPr>
        <w:t>Requests</w:t>
      </w:r>
      <w:r w:rsidR="002A19D4">
        <w:t xml:space="preserve"> that any actions of the secretariat resulting from the provisions in paragraph 1 above be undertaken subject to the availability of financial resources;</w:t>
      </w:r>
    </w:p>
    <w:p w14:paraId="1886F8FC" w14:textId="22D837A0" w:rsidR="002A19D4" w:rsidRPr="00DE44F9" w:rsidRDefault="0032653E" w:rsidP="0032653E">
      <w:pPr>
        <w:pStyle w:val="RegSingleTxtG"/>
        <w:numPr>
          <w:ilvl w:val="0"/>
          <w:numId w:val="0"/>
        </w:numPr>
        <w:ind w:left="1134"/>
      </w:pPr>
      <w:r w:rsidRPr="00DE44F9">
        <w:t>4.</w:t>
      </w:r>
      <w:r w:rsidRPr="00DE44F9">
        <w:tab/>
      </w:r>
      <w:r w:rsidR="002A19D4">
        <w:rPr>
          <w:i/>
        </w:rPr>
        <w:t>Also r</w:t>
      </w:r>
      <w:r w:rsidR="002A19D4" w:rsidRPr="00D77BB6">
        <w:rPr>
          <w:i/>
        </w:rPr>
        <w:t>equests</w:t>
      </w:r>
      <w:r w:rsidR="002A19D4">
        <w:t xml:space="preserve"> the subsidiary bodies to report to the Conference of the Parties on the progress and outcomes of the work referred to in paragraph 1 above at its twenty-sixth session </w:t>
      </w:r>
      <w:r w:rsidR="002A19D4" w:rsidRPr="00DE44F9">
        <w:t>(November 2020)</w:t>
      </w:r>
      <w:r w:rsidR="002A19D4">
        <w:t>.</w:t>
      </w:r>
    </w:p>
    <w:p w14:paraId="29B916E2" w14:textId="656EDE29" w:rsidR="002A19D4" w:rsidRPr="002A19D4" w:rsidRDefault="000D7190" w:rsidP="002A19D4">
      <w:pPr>
        <w:jc w:val="right"/>
        <w:rPr>
          <w:i/>
        </w:rPr>
      </w:pPr>
      <w:r>
        <w:rPr>
          <w:i/>
        </w:rPr>
        <w:t>12</w:t>
      </w:r>
      <w:r w:rsidR="002A19D4" w:rsidRPr="000D7190">
        <w:rPr>
          <w:i/>
          <w:vertAlign w:val="superscript"/>
        </w:rPr>
        <w:t>th</w:t>
      </w:r>
      <w:r w:rsidR="002A19D4" w:rsidRPr="000D7190">
        <w:rPr>
          <w:i/>
        </w:rPr>
        <w:t xml:space="preserve"> plenary meeting</w:t>
      </w:r>
    </w:p>
    <w:p w14:paraId="04F64705" w14:textId="77777777" w:rsidR="002C7DF9" w:rsidRDefault="002A19D4" w:rsidP="002A19D4">
      <w:pPr>
        <w:jc w:val="right"/>
        <w:rPr>
          <w:i/>
        </w:rPr>
        <w:sectPr w:rsidR="002C7DF9" w:rsidSect="00CA22E4">
          <w:headerReference w:type="default" r:id="rId36"/>
          <w:footerReference w:type="default" r:id="rId37"/>
          <w:footnotePr>
            <w:numRestart w:val="eachSect"/>
          </w:footnotePr>
          <w:pgSz w:w="11906" w:h="16838" w:code="9"/>
          <w:pgMar w:top="1417" w:right="1134" w:bottom="1134" w:left="1134" w:header="850" w:footer="567" w:gutter="0"/>
          <w:cols w:space="708"/>
          <w:docGrid w:linePitch="360"/>
        </w:sectPr>
      </w:pPr>
      <w:r w:rsidRPr="002A19D4">
        <w:rPr>
          <w:i/>
        </w:rPr>
        <w:t>17 November 2017</w:t>
      </w:r>
    </w:p>
    <w:p w14:paraId="3CAF9559" w14:textId="4A18C4BD" w:rsidR="002A19D4" w:rsidRDefault="002C7DF9" w:rsidP="002C7DF9">
      <w:pPr>
        <w:pStyle w:val="HChG"/>
      </w:pPr>
      <w:r>
        <w:lastRenderedPageBreak/>
        <w:tab/>
      </w:r>
      <w:r>
        <w:tab/>
        <w:t>Decision 5/CP.23</w:t>
      </w:r>
    </w:p>
    <w:p w14:paraId="6D843B6B" w14:textId="31BA848A" w:rsidR="002C7DF9" w:rsidRPr="00EA257F" w:rsidRDefault="002C7DF9" w:rsidP="002C7DF9">
      <w:pPr>
        <w:pStyle w:val="HChG"/>
      </w:pPr>
      <w:r>
        <w:tab/>
      </w:r>
      <w:r>
        <w:tab/>
      </w:r>
      <w:r w:rsidRPr="00EA257F">
        <w:t>Warsaw International Mechanism for Loss and Damage associated with Climate Change Impacts</w:t>
      </w:r>
    </w:p>
    <w:p w14:paraId="04E85C47" w14:textId="77777777" w:rsidR="002C7DF9" w:rsidRPr="00EA257F" w:rsidRDefault="002C7DF9" w:rsidP="002C7DF9">
      <w:pPr>
        <w:pStyle w:val="RegSingleTxtG"/>
        <w:numPr>
          <w:ilvl w:val="0"/>
          <w:numId w:val="0"/>
        </w:numPr>
        <w:ind w:left="1135"/>
      </w:pPr>
      <w:r w:rsidRPr="00EA257F">
        <w:rPr>
          <w:i/>
        </w:rPr>
        <w:tab/>
        <w:t>The Conference of the Parties</w:t>
      </w:r>
      <w:r w:rsidRPr="00EA257F">
        <w:t>,</w:t>
      </w:r>
    </w:p>
    <w:p w14:paraId="6128D28D" w14:textId="77777777" w:rsidR="002C7DF9" w:rsidRPr="00EA257F" w:rsidRDefault="002C7DF9" w:rsidP="002C7DF9">
      <w:pPr>
        <w:pStyle w:val="RegSingleTxtG"/>
        <w:numPr>
          <w:ilvl w:val="0"/>
          <w:numId w:val="0"/>
        </w:numPr>
        <w:ind w:left="1135"/>
      </w:pPr>
      <w:r w:rsidRPr="00EA257F">
        <w:rPr>
          <w:i/>
          <w:iCs/>
        </w:rPr>
        <w:tab/>
      </w:r>
      <w:r w:rsidRPr="00EA257F">
        <w:rPr>
          <w:i/>
        </w:rPr>
        <w:t>Recalling</w:t>
      </w:r>
      <w:r w:rsidRPr="00EA257F">
        <w:t xml:space="preserve"> decisions 3/CP.18, 2/CP.19, 2/CP.20, 1/CP.21, 2/CP.21, 3/CP.22 and 4/CP.22 and the Paris Agreement, particularly Article 8,</w:t>
      </w:r>
    </w:p>
    <w:p w14:paraId="7622655A" w14:textId="4A0D1767" w:rsidR="002C7DF9" w:rsidRPr="00EA257F" w:rsidRDefault="002C7DF9" w:rsidP="002C7DF9">
      <w:pPr>
        <w:pStyle w:val="RegSingleTxtG"/>
        <w:numPr>
          <w:ilvl w:val="0"/>
          <w:numId w:val="0"/>
        </w:numPr>
        <w:ind w:left="1135"/>
        <w:rPr>
          <w:iCs/>
        </w:rPr>
      </w:pPr>
      <w:r w:rsidRPr="00EA257F">
        <w:rPr>
          <w:i/>
          <w:iCs/>
        </w:rPr>
        <w:tab/>
        <w:t xml:space="preserve">Noting </w:t>
      </w:r>
      <w:r w:rsidRPr="00EA257F">
        <w:rPr>
          <w:iCs/>
        </w:rPr>
        <w:t>the concerns raised by Parties on the increasing frequency and severity of climate-related disasters that have affected many countries, including heatwaves, drought, floods, tropical cyclones, dust storms and other extreme weather events, as well as the increasing impacts associated with slow onset events, and the urgent need to avert, minimize and address these impacts through comprehensive risk management approaches</w:t>
      </w:r>
      <w:r w:rsidR="00843793">
        <w:rPr>
          <w:iCs/>
        </w:rPr>
        <w:t>,</w:t>
      </w:r>
      <w:r w:rsidRPr="00EA257F">
        <w:rPr>
          <w:iCs/>
        </w:rPr>
        <w:t xml:space="preserve"> inter alia, through early warning systems, measures to enhance recovery and rehabilitation and build back and forward better, social protection instruments, including social safety nets, and transformational approaches,</w:t>
      </w:r>
    </w:p>
    <w:p w14:paraId="209730BF" w14:textId="2438671B" w:rsidR="002C7DF9" w:rsidRPr="00EA257F" w:rsidRDefault="0032653E" w:rsidP="0032653E">
      <w:pPr>
        <w:pStyle w:val="RegSingleTxtG"/>
        <w:numPr>
          <w:ilvl w:val="0"/>
          <w:numId w:val="0"/>
        </w:numPr>
        <w:tabs>
          <w:tab w:val="left" w:pos="568"/>
        </w:tabs>
        <w:ind w:left="1135"/>
      </w:pPr>
      <w:r w:rsidRPr="00EA257F">
        <w:t>1.</w:t>
      </w:r>
      <w:r w:rsidRPr="00EA257F">
        <w:tab/>
      </w:r>
      <w:r w:rsidR="002C7DF9" w:rsidRPr="00EA257F">
        <w:rPr>
          <w:i/>
        </w:rPr>
        <w:t xml:space="preserve">Welcomes </w:t>
      </w:r>
      <w:r w:rsidR="002C7DF9" w:rsidRPr="00EA257F">
        <w:t>the report of the Executive Committee of the Warsaw International Mechanism for Loss and Damage associated with Climate Change Impacts;</w:t>
      </w:r>
      <w:r w:rsidR="002C7DF9" w:rsidRPr="00EA257F">
        <w:rPr>
          <w:rStyle w:val="FootnoteReference"/>
        </w:rPr>
        <w:footnoteReference w:id="20"/>
      </w:r>
    </w:p>
    <w:p w14:paraId="6335DD63" w14:textId="2C89240A" w:rsidR="002C7DF9" w:rsidRPr="00EA257F" w:rsidRDefault="0032653E" w:rsidP="0032653E">
      <w:pPr>
        <w:pStyle w:val="RegSingleTxtG"/>
        <w:numPr>
          <w:ilvl w:val="0"/>
          <w:numId w:val="0"/>
        </w:numPr>
        <w:tabs>
          <w:tab w:val="left" w:pos="568"/>
        </w:tabs>
        <w:ind w:left="1135"/>
      </w:pPr>
      <w:r w:rsidRPr="00EA257F">
        <w:t>2.</w:t>
      </w:r>
      <w:r w:rsidRPr="00EA257F">
        <w:tab/>
      </w:r>
      <w:r w:rsidR="002C7DF9" w:rsidRPr="00EA257F">
        <w:rPr>
          <w:i/>
        </w:rPr>
        <w:t xml:space="preserve">Also welcomes </w:t>
      </w:r>
      <w:r w:rsidR="002C7DF9" w:rsidRPr="00EA257F">
        <w:t>the progress made by the Executive Committee in implementing its initial two-year workplan and operationalizing the</w:t>
      </w:r>
      <w:r w:rsidR="00DE0A63">
        <w:t xml:space="preserve"> Fiji</w:t>
      </w:r>
      <w:r w:rsidR="002C7DF9" w:rsidRPr="00EA257F">
        <w:t xml:space="preserve"> </w:t>
      </w:r>
      <w:r w:rsidR="00073F3E">
        <w:t>C</w:t>
      </w:r>
      <w:r w:rsidR="002C7DF9" w:rsidRPr="00EA257F">
        <w:t xml:space="preserve">learing </w:t>
      </w:r>
      <w:r w:rsidR="00073F3E">
        <w:t>H</w:t>
      </w:r>
      <w:r w:rsidR="002C7DF9" w:rsidRPr="00EA257F">
        <w:t xml:space="preserve">ouse for </w:t>
      </w:r>
      <w:r w:rsidR="00073F3E">
        <w:t>R</w:t>
      </w:r>
      <w:r w:rsidR="002C7DF9" w:rsidRPr="00EA257F">
        <w:t xml:space="preserve">isk </w:t>
      </w:r>
      <w:r w:rsidR="00073F3E">
        <w:t>T</w:t>
      </w:r>
      <w:r w:rsidR="002C7DF9" w:rsidRPr="00EA257F">
        <w:t>ransfer and the task force on displacement pursuant to decision 1/CP.21, paragraphs 48 and 49;</w:t>
      </w:r>
    </w:p>
    <w:p w14:paraId="247AFC2D" w14:textId="13C2A037" w:rsidR="002C7DF9" w:rsidRPr="00EA257F" w:rsidRDefault="0032653E" w:rsidP="0032653E">
      <w:pPr>
        <w:pStyle w:val="RegSingleTxtG"/>
        <w:numPr>
          <w:ilvl w:val="0"/>
          <w:numId w:val="0"/>
        </w:numPr>
        <w:tabs>
          <w:tab w:val="left" w:pos="568"/>
        </w:tabs>
        <w:ind w:left="1135"/>
      </w:pPr>
      <w:r w:rsidRPr="00EA257F">
        <w:t>3.</w:t>
      </w:r>
      <w:r w:rsidRPr="00EA257F">
        <w:tab/>
      </w:r>
      <w:r w:rsidR="002C7DF9" w:rsidRPr="00EA257F">
        <w:rPr>
          <w:i/>
        </w:rPr>
        <w:t>Expresses its appreciation</w:t>
      </w:r>
      <w:r w:rsidR="002C7DF9" w:rsidRPr="00EA257F">
        <w:t xml:space="preserve"> to Parties, bodies and organizations for supporting the work of the Executive Committee, including through partnerships and collaboration, and </w:t>
      </w:r>
      <w:r w:rsidR="002C7DF9" w:rsidRPr="009074FB">
        <w:rPr>
          <w:i/>
        </w:rPr>
        <w:t>encourages</w:t>
      </w:r>
      <w:r w:rsidR="002C7DF9" w:rsidRPr="00EA257F">
        <w:t xml:space="preserve"> them to enhance their efforts in this regard;</w:t>
      </w:r>
    </w:p>
    <w:p w14:paraId="1D2922B1" w14:textId="7F08E83E" w:rsidR="002C7DF9" w:rsidRPr="00EA257F" w:rsidRDefault="0032653E" w:rsidP="0032653E">
      <w:pPr>
        <w:pStyle w:val="RegSingleTxtG"/>
        <w:numPr>
          <w:ilvl w:val="0"/>
          <w:numId w:val="0"/>
        </w:numPr>
        <w:tabs>
          <w:tab w:val="left" w:pos="568"/>
        </w:tabs>
        <w:ind w:left="1135"/>
      </w:pPr>
      <w:r w:rsidRPr="00EA257F">
        <w:t>4.</w:t>
      </w:r>
      <w:r w:rsidRPr="00EA257F">
        <w:tab/>
      </w:r>
      <w:r w:rsidR="002C7DF9" w:rsidRPr="00EA257F">
        <w:rPr>
          <w:i/>
        </w:rPr>
        <w:t>Notes</w:t>
      </w:r>
      <w:r w:rsidR="002C7DF9" w:rsidRPr="00EA257F">
        <w:t xml:space="preserve"> the flexible five-year rolling workplan of the Executive Committee, which enables the timely consideration of cross-cutting issues and current, urgent and emerging needs; </w:t>
      </w:r>
    </w:p>
    <w:p w14:paraId="4E2499B2" w14:textId="5C6A8F50" w:rsidR="002C7DF9" w:rsidRPr="00EA257F" w:rsidRDefault="0032653E" w:rsidP="0032653E">
      <w:pPr>
        <w:pStyle w:val="RegSingleTxtG"/>
        <w:numPr>
          <w:ilvl w:val="0"/>
          <w:numId w:val="0"/>
        </w:numPr>
        <w:tabs>
          <w:tab w:val="left" w:pos="568"/>
        </w:tabs>
        <w:ind w:left="1135"/>
      </w:pPr>
      <w:r w:rsidRPr="00EA257F">
        <w:t>5.</w:t>
      </w:r>
      <w:r w:rsidRPr="00EA257F">
        <w:tab/>
      </w:r>
      <w:r w:rsidR="002C7DF9" w:rsidRPr="00EA257F">
        <w:rPr>
          <w:i/>
        </w:rPr>
        <w:t xml:space="preserve">Also notes </w:t>
      </w:r>
      <w:r w:rsidR="002C7DF9" w:rsidRPr="00EA257F">
        <w:t>that the</w:t>
      </w:r>
      <w:r w:rsidR="002C7DF9" w:rsidRPr="00EA257F">
        <w:rPr>
          <w:i/>
        </w:rPr>
        <w:t xml:space="preserve"> </w:t>
      </w:r>
      <w:r w:rsidR="002C7DF9" w:rsidRPr="00EA257F">
        <w:t>Executive Committee will evaluate progress made towards implementing its five-year rolling workplan in 2020 and at regular intervals at subsequent meetings of the Executive Committee;</w:t>
      </w:r>
    </w:p>
    <w:p w14:paraId="6D2920BF" w14:textId="48E6E1A0" w:rsidR="002C7DF9" w:rsidRPr="00EA257F" w:rsidRDefault="0032653E" w:rsidP="0032653E">
      <w:pPr>
        <w:pStyle w:val="RegSingleTxtG"/>
        <w:numPr>
          <w:ilvl w:val="0"/>
          <w:numId w:val="0"/>
        </w:numPr>
        <w:tabs>
          <w:tab w:val="left" w:pos="568"/>
        </w:tabs>
        <w:ind w:left="1135"/>
      </w:pPr>
      <w:r w:rsidRPr="00EA257F">
        <w:t>6.</w:t>
      </w:r>
      <w:r w:rsidRPr="00EA257F">
        <w:tab/>
      </w:r>
      <w:r w:rsidR="002C7DF9" w:rsidRPr="00EA257F">
        <w:rPr>
          <w:i/>
        </w:rPr>
        <w:t>Requests</w:t>
      </w:r>
      <w:r w:rsidR="002C7DF9" w:rsidRPr="00EA257F">
        <w:t xml:space="preserve"> the Executive Committee to include in its annual reports, as appropriate, more detailed information on the work undertaken by its expert groups, subcommittees, panels, thematic advisory groups and task-focused ad hoc working groups on, to the extent possible, issues of relevance to the regional and national context as identified by Parties in their submissions;</w:t>
      </w:r>
      <w:r w:rsidR="002C7DF9" w:rsidRPr="00EA257F">
        <w:rPr>
          <w:rStyle w:val="FootnoteReference"/>
        </w:rPr>
        <w:footnoteReference w:id="21"/>
      </w:r>
    </w:p>
    <w:p w14:paraId="5DDA2C7B" w14:textId="104BD995" w:rsidR="002C7DF9" w:rsidRPr="00EA257F" w:rsidRDefault="0032653E" w:rsidP="0032653E">
      <w:pPr>
        <w:pStyle w:val="RegSingleTxtG"/>
        <w:numPr>
          <w:ilvl w:val="0"/>
          <w:numId w:val="0"/>
        </w:numPr>
        <w:tabs>
          <w:tab w:val="left" w:pos="568"/>
        </w:tabs>
        <w:ind w:left="1135"/>
      </w:pPr>
      <w:r w:rsidRPr="00EA257F">
        <w:t>7.</w:t>
      </w:r>
      <w:r w:rsidRPr="00EA257F">
        <w:tab/>
      </w:r>
      <w:r w:rsidR="002C7DF9" w:rsidRPr="00EA257F">
        <w:rPr>
          <w:i/>
        </w:rPr>
        <w:t>Welcomes</w:t>
      </w:r>
      <w:r w:rsidR="002C7DF9" w:rsidRPr="00EA257F">
        <w:t xml:space="preserve"> the plan of the task force on displacement referred to in paragraph 2 above to convene a meeting in May 2018 on all areas of its work, which will include wide consultations with stakeholders to ensure regional coverage;</w:t>
      </w:r>
    </w:p>
    <w:p w14:paraId="15E95682" w14:textId="51038D2D" w:rsidR="002C7DF9" w:rsidRPr="00EA257F" w:rsidRDefault="0032653E" w:rsidP="0032653E">
      <w:pPr>
        <w:pStyle w:val="RegSingleTxtG"/>
        <w:numPr>
          <w:ilvl w:val="0"/>
          <w:numId w:val="0"/>
        </w:numPr>
        <w:tabs>
          <w:tab w:val="left" w:pos="568"/>
        </w:tabs>
        <w:ind w:left="1135"/>
      </w:pPr>
      <w:r w:rsidRPr="00EA257F">
        <w:t>8.</w:t>
      </w:r>
      <w:r w:rsidRPr="00EA257F">
        <w:tab/>
      </w:r>
      <w:r w:rsidR="002C7DF9" w:rsidRPr="00EA257F">
        <w:rPr>
          <w:i/>
        </w:rPr>
        <w:t>Invites</w:t>
      </w:r>
      <w:r w:rsidR="002C7DF9" w:rsidRPr="00EA257F">
        <w:t xml:space="preserve"> the task force on displacement referred to in paragraph 2 above to take into consideration both cross-border and internal displacement, in accordance with its mandate, when developing recommendations for integrated approaches to averting, minimizing and addressing displacement related to the adverse impacts of climate change;</w:t>
      </w:r>
      <w:r w:rsidR="002C7DF9" w:rsidRPr="00EA257F">
        <w:rPr>
          <w:rStyle w:val="FootnoteReference"/>
        </w:rPr>
        <w:footnoteReference w:id="22"/>
      </w:r>
    </w:p>
    <w:p w14:paraId="33A87B50" w14:textId="79B5DD9B" w:rsidR="002C7DF9" w:rsidRPr="00EA257F" w:rsidRDefault="0032653E" w:rsidP="0032653E">
      <w:pPr>
        <w:pStyle w:val="RegSingleTxtG"/>
        <w:numPr>
          <w:ilvl w:val="0"/>
          <w:numId w:val="0"/>
        </w:numPr>
        <w:tabs>
          <w:tab w:val="left" w:pos="568"/>
        </w:tabs>
        <w:ind w:left="1135"/>
      </w:pPr>
      <w:r w:rsidRPr="00EA257F">
        <w:t>9.</w:t>
      </w:r>
      <w:r w:rsidRPr="00EA257F">
        <w:tab/>
      </w:r>
      <w:r w:rsidR="002C7DF9" w:rsidRPr="00EA257F">
        <w:rPr>
          <w:i/>
        </w:rPr>
        <w:t>Requests</w:t>
      </w:r>
      <w:r w:rsidR="002C7DF9" w:rsidRPr="00EA257F">
        <w:t xml:space="preserve"> the secretariat, under the guidance of the Executive Committee and the Chair of the Subsidiary Body for Implementation, to organize, in conjunction with the forty-eighth sessions of the subsidiary bodies (April–May 2018), an expert dialogue</w:t>
      </w:r>
      <w:r w:rsidR="00DE0A63">
        <w:rPr>
          <w:rStyle w:val="FootnoteReference"/>
        </w:rPr>
        <w:footnoteReference w:id="23"/>
      </w:r>
      <w:r w:rsidR="002C7DF9">
        <w:t xml:space="preserve"> </w:t>
      </w:r>
      <w:r w:rsidR="002C7DF9" w:rsidRPr="00EA257F">
        <w:t xml:space="preserve">to explore a wide </w:t>
      </w:r>
      <w:r w:rsidR="002C7DF9" w:rsidRPr="00EA257F">
        <w:lastRenderedPageBreak/>
        <w:t xml:space="preserve">range of information, inputs and views on ways for facilitating the mobilization and securing of expertise, and enhancement of support, including finance, technology and capacity-building, for averting, minimizing and addressing loss and damage associated with the adverse effects of climate change, including extreme weather events and slow onset events, with a view to informing the preparation of the technical paper referred to in paragraph 2(f) of decision 4/CP.22; </w:t>
      </w:r>
    </w:p>
    <w:p w14:paraId="618F8DD8" w14:textId="6024AAB5" w:rsidR="002C7DF9" w:rsidRPr="00EA257F" w:rsidRDefault="0032653E" w:rsidP="0032653E">
      <w:pPr>
        <w:pStyle w:val="RegSingleTxtG"/>
        <w:numPr>
          <w:ilvl w:val="0"/>
          <w:numId w:val="0"/>
        </w:numPr>
        <w:tabs>
          <w:tab w:val="left" w:pos="568"/>
        </w:tabs>
        <w:ind w:left="1135"/>
      </w:pPr>
      <w:r w:rsidRPr="00EA257F">
        <w:t>10.</w:t>
      </w:r>
      <w:r w:rsidRPr="00EA257F">
        <w:tab/>
      </w:r>
      <w:r w:rsidR="002C7DF9" w:rsidRPr="00EA257F">
        <w:rPr>
          <w:i/>
        </w:rPr>
        <w:t>Invites</w:t>
      </w:r>
      <w:r w:rsidR="002C7DF9" w:rsidRPr="00EA257F">
        <w:t xml:space="preserve"> Parties, observers and other stakeholders to </w:t>
      </w:r>
      <w:r w:rsidR="002C7DF9" w:rsidRPr="00843793">
        <w:t>submit,</w:t>
      </w:r>
      <w:r w:rsidR="007D1218">
        <w:rPr>
          <w:rStyle w:val="FootnoteReference"/>
        </w:rPr>
        <w:footnoteReference w:id="24"/>
      </w:r>
      <w:r w:rsidR="002C7DF9" w:rsidRPr="00EA257F">
        <w:t xml:space="preserve"> by 15 February 2018, their views in the context of activity 1(a) of strategic workstream (e) of the five-year rolling workplan of the Executive Committee;</w:t>
      </w:r>
    </w:p>
    <w:p w14:paraId="5B4172E1" w14:textId="6E4B7717" w:rsidR="002C7DF9" w:rsidRPr="00EA257F" w:rsidRDefault="0032653E" w:rsidP="0032653E">
      <w:pPr>
        <w:pStyle w:val="RegSingleTxtG"/>
        <w:numPr>
          <w:ilvl w:val="0"/>
          <w:numId w:val="0"/>
        </w:numPr>
        <w:tabs>
          <w:tab w:val="left" w:pos="568"/>
        </w:tabs>
        <w:ind w:left="1135"/>
      </w:pPr>
      <w:r w:rsidRPr="00EA257F">
        <w:t>11.</w:t>
      </w:r>
      <w:r w:rsidRPr="00EA257F">
        <w:tab/>
      </w:r>
      <w:r w:rsidR="002C7DF9" w:rsidRPr="00EA257F">
        <w:rPr>
          <w:i/>
        </w:rPr>
        <w:t>Requests</w:t>
      </w:r>
      <w:r w:rsidR="002C7DF9" w:rsidRPr="00EA257F">
        <w:t xml:space="preserve"> the secretariat to prepare a report on the expert dialogue referred to in paragraph 9 above for consideration by the Executive Committee at its second meeting in 2018;</w:t>
      </w:r>
    </w:p>
    <w:p w14:paraId="78E112A7" w14:textId="42706E7D" w:rsidR="002C7DF9" w:rsidRPr="00EA257F" w:rsidRDefault="0032653E" w:rsidP="0032653E">
      <w:pPr>
        <w:pStyle w:val="RegSingleTxtG"/>
        <w:numPr>
          <w:ilvl w:val="0"/>
          <w:numId w:val="0"/>
        </w:numPr>
        <w:tabs>
          <w:tab w:val="left" w:pos="568"/>
          <w:tab w:val="left" w:pos="1170"/>
        </w:tabs>
        <w:ind w:left="1135"/>
        <w:rPr>
          <w:rStyle w:val="FootnoteReference"/>
          <w:sz w:val="20"/>
          <w:vertAlign w:val="baseline"/>
        </w:rPr>
      </w:pPr>
      <w:r w:rsidRPr="00EA257F">
        <w:rPr>
          <w:rStyle w:val="FootnoteReference"/>
          <w:sz w:val="20"/>
          <w:vertAlign w:val="baseline"/>
        </w:rPr>
        <w:t>12.</w:t>
      </w:r>
      <w:r w:rsidRPr="00EA257F">
        <w:rPr>
          <w:rStyle w:val="FootnoteReference"/>
          <w:sz w:val="20"/>
          <w:vertAlign w:val="baseline"/>
        </w:rPr>
        <w:tab/>
      </w:r>
      <w:r w:rsidR="002C7DF9" w:rsidRPr="00EA257F">
        <w:rPr>
          <w:i/>
        </w:rPr>
        <w:t>Invites</w:t>
      </w:r>
      <w:r w:rsidR="002C7DF9" w:rsidRPr="00EA257F">
        <w:t xml:space="preserve"> Parties, relevant organizations and other stakeholders to submit,</w:t>
      </w:r>
      <w:r w:rsidR="007D1218">
        <w:rPr>
          <w:rStyle w:val="FootnoteReference"/>
        </w:rPr>
        <w:footnoteReference w:id="25"/>
      </w:r>
      <w:r w:rsidR="002C7DF9" w:rsidRPr="00EA257F">
        <w:t xml:space="preserve"> by 1 February 2019, their views and inputs on possible elements to be included in the terms of reference for the review of the Warsaw International Mechanism referred to in decision 4/CP.22, paragraph 2(d), taking into account the outcomes of the implementation of the work of the Executive Committee, for consideration by the subsidiary bodies at their sessions to be held in June 2019;</w:t>
      </w:r>
      <w:r w:rsidR="002C7DF9" w:rsidRPr="00EA257F">
        <w:rPr>
          <w:rStyle w:val="FootnoteReference"/>
        </w:rPr>
        <w:t xml:space="preserve"> </w:t>
      </w:r>
    </w:p>
    <w:p w14:paraId="6D95869A" w14:textId="274FFB82" w:rsidR="002C7DF9" w:rsidRPr="00EA257F" w:rsidRDefault="0032653E" w:rsidP="0032653E">
      <w:pPr>
        <w:pStyle w:val="RegSingleTxtG"/>
        <w:numPr>
          <w:ilvl w:val="0"/>
          <w:numId w:val="0"/>
        </w:numPr>
        <w:tabs>
          <w:tab w:val="left" w:pos="568"/>
        </w:tabs>
        <w:ind w:left="1135"/>
      </w:pPr>
      <w:r w:rsidRPr="00EA257F">
        <w:t>13.</w:t>
      </w:r>
      <w:r w:rsidRPr="00EA257F">
        <w:tab/>
      </w:r>
      <w:r w:rsidR="002C7DF9" w:rsidRPr="00EA257F">
        <w:rPr>
          <w:i/>
        </w:rPr>
        <w:t>Encourages</w:t>
      </w:r>
      <w:r w:rsidR="002C7DF9" w:rsidRPr="00EA257F">
        <w:t xml:space="preserve"> Parties to actively engage in the work and to disseminate, promote and make use of the products of the Warsaw International Mechanism and its Executive Committee, including by:</w:t>
      </w:r>
    </w:p>
    <w:p w14:paraId="1C59BE8E" w14:textId="7F1D6F9E" w:rsidR="002C7DF9" w:rsidRPr="00EA257F" w:rsidRDefault="0032653E" w:rsidP="0032653E">
      <w:pPr>
        <w:pStyle w:val="RegSingleTxtG"/>
        <w:numPr>
          <w:ilvl w:val="0"/>
          <w:numId w:val="0"/>
        </w:numPr>
        <w:tabs>
          <w:tab w:val="left" w:pos="2269"/>
        </w:tabs>
        <w:ind w:left="1135" w:firstLine="567"/>
      </w:pPr>
      <w:r w:rsidRPr="00EA257F">
        <w:t>(a)</w:t>
      </w:r>
      <w:r w:rsidRPr="00EA257F">
        <w:tab/>
      </w:r>
      <w:r w:rsidR="002C7DF9" w:rsidRPr="00EA257F">
        <w:t>Establishing a loss and damage contact point through their respective UNFCCC national focal point referred to in decision 4/CP.22, paragraph 4(d);</w:t>
      </w:r>
    </w:p>
    <w:p w14:paraId="39F003C3" w14:textId="6D58B4D0" w:rsidR="002C7DF9" w:rsidRPr="00EA257F" w:rsidRDefault="0032653E" w:rsidP="0032653E">
      <w:pPr>
        <w:pStyle w:val="RegSingleTxtG"/>
        <w:numPr>
          <w:ilvl w:val="0"/>
          <w:numId w:val="0"/>
        </w:numPr>
        <w:tabs>
          <w:tab w:val="left" w:pos="2269"/>
        </w:tabs>
        <w:ind w:left="1135" w:firstLine="567"/>
      </w:pPr>
      <w:r w:rsidRPr="00EA257F">
        <w:t>(b)</w:t>
      </w:r>
      <w:r w:rsidRPr="00EA257F">
        <w:tab/>
      </w:r>
      <w:r w:rsidR="002C7DF9" w:rsidRPr="00EA257F">
        <w:t>Participating in the meetings of the Executive Committee as observers, recognizing the constraints of time and resources;</w:t>
      </w:r>
      <w:r w:rsidR="002C7DF9">
        <w:t xml:space="preserve"> </w:t>
      </w:r>
    </w:p>
    <w:p w14:paraId="47CD0FD4" w14:textId="4DEF3889" w:rsidR="002C7DF9" w:rsidRPr="00EA257F" w:rsidRDefault="0032653E" w:rsidP="0032653E">
      <w:pPr>
        <w:pStyle w:val="RegSingleTxtG"/>
        <w:numPr>
          <w:ilvl w:val="0"/>
          <w:numId w:val="0"/>
        </w:numPr>
        <w:tabs>
          <w:tab w:val="left" w:pos="2269"/>
        </w:tabs>
        <w:ind w:left="1135" w:firstLine="567"/>
      </w:pPr>
      <w:r w:rsidRPr="00EA257F">
        <w:t>(c)</w:t>
      </w:r>
      <w:r w:rsidRPr="00EA257F">
        <w:tab/>
      </w:r>
      <w:r w:rsidR="002C7DF9" w:rsidRPr="00EA257F">
        <w:t>Incorporating or continuing to incorporate the consideration of extreme weather events and slow onset events, non-economic losses, climate change impacts on human mobility, including migration, displacement and planned relocation, and comprehensive risk management into relevant policy, planning and action, as appropriate, and encouraging relevant bilateral and multilateral entities to support such efforts;</w:t>
      </w:r>
    </w:p>
    <w:p w14:paraId="20E51681" w14:textId="76E1C27D" w:rsidR="002C7DF9" w:rsidRPr="00EA257F" w:rsidRDefault="0032653E" w:rsidP="0032653E">
      <w:pPr>
        <w:pStyle w:val="RegSingleTxtG"/>
        <w:numPr>
          <w:ilvl w:val="0"/>
          <w:numId w:val="0"/>
        </w:numPr>
        <w:tabs>
          <w:tab w:val="left" w:pos="568"/>
        </w:tabs>
        <w:ind w:left="1135"/>
      </w:pPr>
      <w:r w:rsidRPr="00EA257F">
        <w:t>14.</w:t>
      </w:r>
      <w:r w:rsidRPr="00EA257F">
        <w:tab/>
      </w:r>
      <w:r w:rsidR="002C7DF9" w:rsidRPr="00EA257F">
        <w:rPr>
          <w:i/>
        </w:rPr>
        <w:t>Reiterates</w:t>
      </w:r>
      <w:r w:rsidR="002C7DF9" w:rsidRPr="00EA257F">
        <w:t xml:space="preserve"> its invitation to constituted bodies under the Convention, as appropriate, to continue to integrate into their work efforts to avert, minimize and address loss and damage associated with the adverse effects of climate change in developing countries that are particularly vulnerable to the adverse effects of climate change, vulnerable populations and the ecosystems that they depend on; </w:t>
      </w:r>
    </w:p>
    <w:p w14:paraId="0F9D0837" w14:textId="23A11CFC" w:rsidR="002C7DF9" w:rsidRPr="00EA257F" w:rsidRDefault="0032653E" w:rsidP="0032653E">
      <w:pPr>
        <w:pStyle w:val="RegSingleTxtG"/>
        <w:numPr>
          <w:ilvl w:val="0"/>
          <w:numId w:val="0"/>
        </w:numPr>
        <w:tabs>
          <w:tab w:val="left" w:pos="568"/>
        </w:tabs>
        <w:ind w:left="1135"/>
      </w:pPr>
      <w:r w:rsidRPr="00EA257F">
        <w:t>15.</w:t>
      </w:r>
      <w:r w:rsidRPr="00EA257F">
        <w:tab/>
      </w:r>
      <w:r w:rsidR="002C7DF9" w:rsidRPr="00EA257F">
        <w:rPr>
          <w:i/>
        </w:rPr>
        <w:t>Invites</w:t>
      </w:r>
      <w:r w:rsidR="002C7DF9" w:rsidRPr="00EA257F">
        <w:t xml:space="preserve"> United Nations and other relevant institutions, specialized agencies and other entities, the research community, civil society and the private sector, as appropriate, to strengthen cooperation and collaboration, including through partnerships, with the Executive Committee on topics related to averting, minimizing and addressing loss and damage associated with the adverse effects of climate change, including extreme weather events and slow onset events; </w:t>
      </w:r>
    </w:p>
    <w:p w14:paraId="1650E60C" w14:textId="0C293349" w:rsidR="002C7DF9" w:rsidRPr="00EA257F" w:rsidRDefault="0032653E" w:rsidP="0032653E">
      <w:pPr>
        <w:pStyle w:val="RegSingleTxtG"/>
        <w:numPr>
          <w:ilvl w:val="0"/>
          <w:numId w:val="0"/>
        </w:numPr>
        <w:tabs>
          <w:tab w:val="left" w:pos="568"/>
        </w:tabs>
        <w:ind w:left="1135"/>
      </w:pPr>
      <w:r w:rsidRPr="00EA257F">
        <w:t>16.</w:t>
      </w:r>
      <w:r w:rsidRPr="00EA257F">
        <w:tab/>
      </w:r>
      <w:r w:rsidR="002C7DF9" w:rsidRPr="00EA257F">
        <w:rPr>
          <w:i/>
        </w:rPr>
        <w:t>Also invites</w:t>
      </w:r>
      <w:r w:rsidR="002C7DF9" w:rsidRPr="00EA257F">
        <w:t xml:space="preserve"> relevant research institutions and organizations to share, as appropriate, their data and key findings on slow onset events with the Executive Committee, including at events organized by the Executive Committee, with a view to enhancing knowledge and understanding of slow onset events;</w:t>
      </w:r>
      <w:r w:rsidR="002C7DF9">
        <w:t xml:space="preserve"> </w:t>
      </w:r>
    </w:p>
    <w:p w14:paraId="38961973" w14:textId="41E1BD55" w:rsidR="002C7DF9" w:rsidRPr="00EA257F" w:rsidRDefault="0032653E" w:rsidP="0032653E">
      <w:pPr>
        <w:pStyle w:val="RegSingleTxtG"/>
        <w:numPr>
          <w:ilvl w:val="0"/>
          <w:numId w:val="0"/>
        </w:numPr>
        <w:tabs>
          <w:tab w:val="left" w:pos="568"/>
        </w:tabs>
        <w:ind w:left="1135"/>
      </w:pPr>
      <w:r w:rsidRPr="00EA257F">
        <w:t>17.</w:t>
      </w:r>
      <w:r w:rsidRPr="00EA257F">
        <w:tab/>
      </w:r>
      <w:r w:rsidR="002C7DF9" w:rsidRPr="00EA257F">
        <w:rPr>
          <w:i/>
        </w:rPr>
        <w:t>Reaffirms</w:t>
      </w:r>
      <w:r w:rsidR="002C7DF9" w:rsidRPr="00EA257F">
        <w:t xml:space="preserve"> that the Executive Committee may enhance its effectiveness by prioritizing activities in thematic areas for further work;</w:t>
      </w:r>
    </w:p>
    <w:p w14:paraId="715B285E" w14:textId="6988D860" w:rsidR="002C7DF9" w:rsidRPr="00EA257F" w:rsidRDefault="0032653E" w:rsidP="0032653E">
      <w:pPr>
        <w:pStyle w:val="RegSingleTxtG"/>
        <w:numPr>
          <w:ilvl w:val="0"/>
          <w:numId w:val="0"/>
        </w:numPr>
        <w:tabs>
          <w:tab w:val="left" w:pos="568"/>
        </w:tabs>
        <w:ind w:left="1135"/>
      </w:pPr>
      <w:r w:rsidRPr="00EA257F">
        <w:t>18.</w:t>
      </w:r>
      <w:r w:rsidRPr="00EA257F">
        <w:tab/>
      </w:r>
      <w:r w:rsidR="002C7DF9" w:rsidRPr="00EA257F">
        <w:rPr>
          <w:i/>
        </w:rPr>
        <w:t>Encourages</w:t>
      </w:r>
      <w:r w:rsidR="002C7DF9" w:rsidRPr="00EA257F">
        <w:t xml:space="preserve"> the Executive Committee to seek further ways to enhance its responsiveness, effectiveness and performance by improving the planning and organization </w:t>
      </w:r>
      <w:r w:rsidR="002C7DF9" w:rsidRPr="00EA257F">
        <w:lastRenderedPageBreak/>
        <w:t xml:space="preserve">of its work, including in the context of </w:t>
      </w:r>
      <w:r w:rsidR="00843793">
        <w:t xml:space="preserve">the </w:t>
      </w:r>
      <w:r w:rsidR="002C7DF9" w:rsidRPr="00EA257F">
        <w:t>operations of its expert groups, subcommittees, panels, thematic advisory groups and task-focused ad hoc working groups, such as appropriate balanced representation, expertise of membership in accordance with the tasks, and the duration of the mandates of those expert groups, subcommittees, panels, thematic advisory groups and task-focused ad hoc working groups;</w:t>
      </w:r>
    </w:p>
    <w:p w14:paraId="512884F3" w14:textId="0D82AF39" w:rsidR="002C7DF9" w:rsidRPr="00EA257F" w:rsidRDefault="0032653E" w:rsidP="0032653E">
      <w:pPr>
        <w:pStyle w:val="RegSingleTxtG"/>
        <w:numPr>
          <w:ilvl w:val="0"/>
          <w:numId w:val="0"/>
        </w:numPr>
        <w:tabs>
          <w:tab w:val="left" w:pos="568"/>
        </w:tabs>
        <w:ind w:left="1135"/>
      </w:pPr>
      <w:r w:rsidRPr="00EA257F">
        <w:t>19.</w:t>
      </w:r>
      <w:r w:rsidRPr="00EA257F">
        <w:tab/>
      </w:r>
      <w:r w:rsidR="002C7DF9" w:rsidRPr="00EA257F">
        <w:rPr>
          <w:i/>
        </w:rPr>
        <w:t>Requests</w:t>
      </w:r>
      <w:r w:rsidR="002C7DF9" w:rsidRPr="00EA257F">
        <w:t xml:space="preserve"> the Executive Committee, in accordance with its mandate</w:t>
      </w:r>
      <w:r w:rsidR="002C7DF9" w:rsidRPr="00EA257F">
        <w:rPr>
          <w:rStyle w:val="FootnoteReference"/>
        </w:rPr>
        <w:footnoteReference w:id="26"/>
      </w:r>
      <w:r w:rsidR="002C7DF9" w:rsidRPr="00EA257F">
        <w:t xml:space="preserve"> and</w:t>
      </w:r>
      <w:r w:rsidR="002C7DF9">
        <w:t xml:space="preserve"> </w:t>
      </w:r>
      <w:r w:rsidR="002C7DF9" w:rsidRPr="00EA257F">
        <w:t>the report referred to in paragraph 1 above:</w:t>
      </w:r>
    </w:p>
    <w:p w14:paraId="1A814036" w14:textId="69D0E233" w:rsidR="002C7DF9" w:rsidRPr="00EA257F" w:rsidRDefault="0032653E" w:rsidP="0032653E">
      <w:pPr>
        <w:pStyle w:val="RegSingleTxtG"/>
        <w:numPr>
          <w:ilvl w:val="0"/>
          <w:numId w:val="0"/>
        </w:numPr>
        <w:tabs>
          <w:tab w:val="left" w:pos="2269"/>
        </w:tabs>
        <w:ind w:left="1135" w:firstLine="567"/>
      </w:pPr>
      <w:r w:rsidRPr="00EA257F">
        <w:t>(a)</w:t>
      </w:r>
      <w:r w:rsidRPr="00EA257F">
        <w:tab/>
      </w:r>
      <w:r w:rsidR="002C7DF9" w:rsidRPr="00EA257F">
        <w:t xml:space="preserve">To consider, </w:t>
      </w:r>
      <w:r w:rsidR="002C7DF9" w:rsidRPr="00EA257F">
        <w:rPr>
          <w:lang w:val="en-US"/>
        </w:rPr>
        <w:t>when</w:t>
      </w:r>
      <w:r w:rsidR="002C7DF9" w:rsidRPr="00EA257F">
        <w:t xml:space="preserve"> updating its five-year rolling workplan, cross-cutting issues and current, urgent and emerging needs related to extreme weather events and slow onset events, including but not limited to drought and floods, in developing countries that are particularly vulnerable to the adverse effects of climate change, vulnerable populations and the ecosystems that they depend on; </w:t>
      </w:r>
    </w:p>
    <w:p w14:paraId="6B891A9A" w14:textId="27830E86" w:rsidR="002C7DF9" w:rsidRPr="00EA257F" w:rsidRDefault="0032653E" w:rsidP="0032653E">
      <w:pPr>
        <w:pStyle w:val="RegSingleTxtG"/>
        <w:numPr>
          <w:ilvl w:val="0"/>
          <w:numId w:val="0"/>
        </w:numPr>
        <w:tabs>
          <w:tab w:val="left" w:pos="2269"/>
        </w:tabs>
        <w:ind w:left="1135" w:firstLine="567"/>
      </w:pPr>
      <w:r w:rsidRPr="00EA257F">
        <w:t>(b)</w:t>
      </w:r>
      <w:r w:rsidRPr="00EA257F">
        <w:tab/>
      </w:r>
      <w:r w:rsidR="002C7DF9" w:rsidRPr="00EA257F">
        <w:t xml:space="preserve">To </w:t>
      </w:r>
      <w:r w:rsidR="002C7DF9" w:rsidRPr="00794A6F">
        <w:t>e</w:t>
      </w:r>
      <w:r w:rsidR="002C7DF9" w:rsidRPr="00917D1D">
        <w:t>nhance</w:t>
      </w:r>
      <w:r w:rsidR="002C7DF9" w:rsidRPr="00EA257F">
        <w:rPr>
          <w:lang w:val="en-US"/>
        </w:rPr>
        <w:t xml:space="preserve"> its efforts in ensuring that information generated from its work is converted into user-friendly products, such as </w:t>
      </w:r>
      <w:r w:rsidR="002C7DF9" w:rsidRPr="00EA257F">
        <w:t>tools and methods, and material for training modules, with a view to enhancing the coherence and effectiveness of relevant efforts undertaken at the regional and national level, as appropriate;</w:t>
      </w:r>
    </w:p>
    <w:p w14:paraId="05CE6EA0" w14:textId="701317C0" w:rsidR="002C7DF9" w:rsidRPr="00EA257F" w:rsidRDefault="0032653E" w:rsidP="0032653E">
      <w:pPr>
        <w:pStyle w:val="RegSingleTxtG"/>
        <w:numPr>
          <w:ilvl w:val="0"/>
          <w:numId w:val="0"/>
        </w:numPr>
        <w:tabs>
          <w:tab w:val="left" w:pos="2269"/>
        </w:tabs>
        <w:ind w:left="1135" w:firstLine="567"/>
      </w:pPr>
      <w:r w:rsidRPr="00EA257F">
        <w:t>(c)</w:t>
      </w:r>
      <w:r w:rsidRPr="00EA257F">
        <w:tab/>
      </w:r>
      <w:r w:rsidR="002C7DF9" w:rsidRPr="00EA257F">
        <w:t xml:space="preserve">To consider, through collaboration and partnerships, the development and the dissemination at all levels of user-friendly information and communication products on averting, minimizing and addressing loss and damage issues of relevance to the regional and national context; </w:t>
      </w:r>
    </w:p>
    <w:p w14:paraId="5B769A29" w14:textId="39A4530E" w:rsidR="002C7DF9" w:rsidRPr="00EA257F" w:rsidRDefault="0032653E" w:rsidP="0032653E">
      <w:pPr>
        <w:pStyle w:val="RegSingleTxtG"/>
        <w:numPr>
          <w:ilvl w:val="0"/>
          <w:numId w:val="0"/>
        </w:numPr>
        <w:tabs>
          <w:tab w:val="left" w:pos="568"/>
          <w:tab w:val="left" w:pos="1170"/>
        </w:tabs>
        <w:ind w:left="1135"/>
      </w:pPr>
      <w:r w:rsidRPr="00EA257F">
        <w:t>20.</w:t>
      </w:r>
      <w:r w:rsidRPr="00EA257F">
        <w:tab/>
      </w:r>
      <w:r w:rsidR="002C7DF9" w:rsidRPr="00EA257F">
        <w:rPr>
          <w:i/>
        </w:rPr>
        <w:t>Encourages</w:t>
      </w:r>
      <w:r w:rsidR="002C7DF9" w:rsidRPr="00EA257F">
        <w:t xml:space="preserve"> the Executive Committee to collaborate with other bodies under the Convention and the Paris Agreement within the scope of their respective mandates and to continue considering ways </w:t>
      </w:r>
      <w:r w:rsidR="00843793">
        <w:t>of</w:t>
      </w:r>
      <w:r w:rsidR="002C7DF9" w:rsidRPr="00EA257F">
        <w:t xml:space="preserve"> facilitating the mobilization and securing of expertise, and </w:t>
      </w:r>
      <w:r w:rsidR="00843793">
        <w:t xml:space="preserve">the </w:t>
      </w:r>
      <w:r w:rsidR="002C7DF9" w:rsidRPr="00EA257F">
        <w:t>enhancement of support, including finance, technology and capacity-building, including its work on enhancing action and support, and when considering the composition and mandates of its expert groups and those it may establish;</w:t>
      </w:r>
    </w:p>
    <w:p w14:paraId="7004ECE9" w14:textId="660DC751" w:rsidR="002C7DF9" w:rsidRPr="00EA257F" w:rsidRDefault="0032653E" w:rsidP="0032653E">
      <w:pPr>
        <w:pStyle w:val="RegSingleTxtG"/>
        <w:numPr>
          <w:ilvl w:val="0"/>
          <w:numId w:val="0"/>
        </w:numPr>
        <w:tabs>
          <w:tab w:val="left" w:pos="568"/>
          <w:tab w:val="left" w:pos="1170"/>
        </w:tabs>
        <w:ind w:left="1135"/>
      </w:pPr>
      <w:r w:rsidRPr="00EA257F">
        <w:t>21.</w:t>
      </w:r>
      <w:r w:rsidRPr="00EA257F">
        <w:tab/>
      </w:r>
      <w:r w:rsidR="002C7DF9" w:rsidRPr="00EA257F">
        <w:rPr>
          <w:i/>
        </w:rPr>
        <w:t xml:space="preserve">Reiterates </w:t>
      </w:r>
      <w:r w:rsidR="002C7DF9" w:rsidRPr="00EA257F">
        <w:t xml:space="preserve">its encouragement to Parties to make available sufficient resources for the successful and timely implementation of the work of the Executive Committee and its expert groups, subcommittees, panels, thematic advisory groups and task-focused ad hoc working groups; </w:t>
      </w:r>
    </w:p>
    <w:p w14:paraId="08019491" w14:textId="7868C300" w:rsidR="002C7DF9" w:rsidRPr="00EA257F" w:rsidRDefault="0032653E" w:rsidP="0032653E">
      <w:pPr>
        <w:pStyle w:val="RegSingleTxtG"/>
        <w:numPr>
          <w:ilvl w:val="0"/>
          <w:numId w:val="0"/>
        </w:numPr>
        <w:tabs>
          <w:tab w:val="left" w:pos="568"/>
          <w:tab w:val="left" w:pos="1170"/>
        </w:tabs>
        <w:ind w:left="1135"/>
      </w:pPr>
      <w:r w:rsidRPr="00EA257F">
        <w:t>22.</w:t>
      </w:r>
      <w:r w:rsidRPr="00EA257F">
        <w:tab/>
      </w:r>
      <w:r w:rsidR="002C7DF9" w:rsidRPr="00EA257F">
        <w:rPr>
          <w:i/>
        </w:rPr>
        <w:t>Invites</w:t>
      </w:r>
      <w:r w:rsidR="002C7DF9" w:rsidRPr="00EA257F">
        <w:t xml:space="preserve"> relevant organizations, as appropriate, to further mobilize resources, including expertise and tools, through a wide variety of instruments, channels and partnerships, for actions related to averting, minimizing and addressing loss and damage associated with climate change impacts;</w:t>
      </w:r>
    </w:p>
    <w:p w14:paraId="3FAD4422" w14:textId="741F861C" w:rsidR="002C7DF9" w:rsidRPr="00EA257F" w:rsidRDefault="0032653E" w:rsidP="0032653E">
      <w:pPr>
        <w:pStyle w:val="RegSingleTxtG"/>
        <w:numPr>
          <w:ilvl w:val="0"/>
          <w:numId w:val="0"/>
        </w:numPr>
        <w:tabs>
          <w:tab w:val="left" w:pos="568"/>
        </w:tabs>
        <w:ind w:left="1135"/>
      </w:pPr>
      <w:r w:rsidRPr="00EA257F">
        <w:t>23.</w:t>
      </w:r>
      <w:r w:rsidRPr="00EA257F">
        <w:tab/>
      </w:r>
      <w:r w:rsidR="002C7DF9" w:rsidRPr="00EA257F">
        <w:rPr>
          <w:i/>
        </w:rPr>
        <w:t>Takes note</w:t>
      </w:r>
      <w:r w:rsidR="002C7DF9" w:rsidRPr="00EA257F">
        <w:t xml:space="preserve"> of the estimated budgetary implications of the activities to be undertaken by the secretariat </w:t>
      </w:r>
      <w:r w:rsidR="00912C1A">
        <w:t>referred to</w:t>
      </w:r>
      <w:r w:rsidR="002C7DF9">
        <w:t xml:space="preserve"> in paragraphs 4–</w:t>
      </w:r>
      <w:r w:rsidR="002C7DF9" w:rsidRPr="00EA257F">
        <w:t>20 above;</w:t>
      </w:r>
    </w:p>
    <w:p w14:paraId="751BB4CC" w14:textId="19BFF4D0" w:rsidR="002C7DF9" w:rsidRPr="00EA257F" w:rsidRDefault="0032653E" w:rsidP="0032653E">
      <w:pPr>
        <w:pStyle w:val="RegSingleTxtG"/>
        <w:numPr>
          <w:ilvl w:val="0"/>
          <w:numId w:val="0"/>
        </w:numPr>
        <w:tabs>
          <w:tab w:val="left" w:pos="568"/>
        </w:tabs>
        <w:ind w:left="1135"/>
      </w:pPr>
      <w:r w:rsidRPr="00EA257F">
        <w:t>24.</w:t>
      </w:r>
      <w:r w:rsidRPr="00EA257F">
        <w:tab/>
      </w:r>
      <w:r w:rsidR="002C7DF9" w:rsidRPr="00EA257F">
        <w:rPr>
          <w:i/>
        </w:rPr>
        <w:t xml:space="preserve">Requests </w:t>
      </w:r>
      <w:r w:rsidR="002C7DF9" w:rsidRPr="00EA257F">
        <w:t>that the actions of the secretariat called for in this decision be undertaken subject to the availability of financial resources.</w:t>
      </w:r>
    </w:p>
    <w:p w14:paraId="1AA8D48F" w14:textId="7328D46A" w:rsidR="00BE642F" w:rsidRPr="002A19D4" w:rsidRDefault="000D7190" w:rsidP="00BE642F">
      <w:pPr>
        <w:jc w:val="right"/>
        <w:rPr>
          <w:i/>
        </w:rPr>
      </w:pPr>
      <w:r>
        <w:rPr>
          <w:i/>
        </w:rPr>
        <w:t>12</w:t>
      </w:r>
      <w:r w:rsidR="00BE642F" w:rsidRPr="000D7190">
        <w:rPr>
          <w:i/>
          <w:vertAlign w:val="superscript"/>
        </w:rPr>
        <w:t>th</w:t>
      </w:r>
      <w:r w:rsidR="00BE642F" w:rsidRPr="000D7190">
        <w:rPr>
          <w:i/>
        </w:rPr>
        <w:t xml:space="preserve"> plenary meeting</w:t>
      </w:r>
    </w:p>
    <w:p w14:paraId="59EF3E73" w14:textId="5ABD6771" w:rsidR="00BE642F" w:rsidRDefault="000D7190" w:rsidP="00BE642F">
      <w:pPr>
        <w:jc w:val="right"/>
        <w:rPr>
          <w:i/>
        </w:rPr>
        <w:sectPr w:rsidR="00BE642F" w:rsidSect="00CA22E4">
          <w:headerReference w:type="even" r:id="rId38"/>
          <w:headerReference w:type="default" r:id="rId39"/>
          <w:footerReference w:type="even" r:id="rId40"/>
          <w:footerReference w:type="default" r:id="rId41"/>
          <w:footnotePr>
            <w:numRestart w:val="eachSect"/>
          </w:footnotePr>
          <w:pgSz w:w="11906" w:h="16838" w:code="9"/>
          <w:pgMar w:top="1417" w:right="1134" w:bottom="1134" w:left="1134" w:header="850" w:footer="567" w:gutter="0"/>
          <w:cols w:space="708"/>
          <w:docGrid w:linePitch="360"/>
        </w:sectPr>
      </w:pPr>
      <w:r>
        <w:rPr>
          <w:i/>
        </w:rPr>
        <w:t>1</w:t>
      </w:r>
      <w:r w:rsidR="00BE642F" w:rsidRPr="002A19D4">
        <w:rPr>
          <w:i/>
        </w:rPr>
        <w:t>7 November 2017</w:t>
      </w:r>
      <w:r w:rsidR="00EF078D">
        <w:rPr>
          <w:i/>
        </w:rPr>
        <w:t xml:space="preserve"> </w:t>
      </w:r>
    </w:p>
    <w:p w14:paraId="33406033" w14:textId="24E5A85C" w:rsidR="002C7DF9" w:rsidRDefault="00BE642F" w:rsidP="00BE642F">
      <w:pPr>
        <w:pStyle w:val="HChG"/>
      </w:pPr>
      <w:r>
        <w:lastRenderedPageBreak/>
        <w:tab/>
      </w:r>
      <w:r>
        <w:tab/>
        <w:t>Decision 6/CP.23</w:t>
      </w:r>
    </w:p>
    <w:p w14:paraId="41CE9E39" w14:textId="38729B71" w:rsidR="00BE642F" w:rsidRDefault="00BE642F" w:rsidP="00BE642F">
      <w:pPr>
        <w:pStyle w:val="HChG"/>
      </w:pPr>
      <w:r>
        <w:tab/>
      </w:r>
      <w:r>
        <w:tab/>
        <w:t xml:space="preserve">Long-term climate finance </w:t>
      </w:r>
    </w:p>
    <w:p w14:paraId="2E98BFE8" w14:textId="77777777" w:rsidR="00BE642F" w:rsidRDefault="00BE642F" w:rsidP="00BE642F">
      <w:pPr>
        <w:spacing w:before="120" w:after="120"/>
        <w:ind w:left="1701" w:right="1174"/>
      </w:pPr>
      <w:r w:rsidRPr="000754FC">
        <w:rPr>
          <w:i/>
        </w:rPr>
        <w:t>The Conference of the Parties</w:t>
      </w:r>
      <w:r w:rsidRPr="00AF0F3C">
        <w:t>,</w:t>
      </w:r>
    </w:p>
    <w:p w14:paraId="350700E5" w14:textId="77777777" w:rsidR="00BE642F" w:rsidRDefault="00BE642F" w:rsidP="00BE642F">
      <w:pPr>
        <w:spacing w:before="120" w:after="120"/>
        <w:ind w:left="1701" w:right="1174"/>
      </w:pPr>
      <w:r w:rsidRPr="004F7745">
        <w:rPr>
          <w:i/>
        </w:rPr>
        <w:t xml:space="preserve">Recalling </w:t>
      </w:r>
      <w:r>
        <w:t xml:space="preserve">Articles 4 and 11 of the Convention, </w:t>
      </w:r>
    </w:p>
    <w:p w14:paraId="68BA3452" w14:textId="77777777" w:rsidR="00BE642F" w:rsidRDefault="00BE642F" w:rsidP="00BE642F">
      <w:pPr>
        <w:spacing w:before="120" w:after="120"/>
        <w:ind w:left="1134" w:right="1174" w:firstLine="567"/>
        <w:jc w:val="both"/>
      </w:pPr>
      <w:r>
        <w:rPr>
          <w:i/>
        </w:rPr>
        <w:t>Also</w:t>
      </w:r>
      <w:r w:rsidRPr="004F7745">
        <w:rPr>
          <w:i/>
        </w:rPr>
        <w:t xml:space="preserve"> recalling</w:t>
      </w:r>
      <w:r>
        <w:t xml:space="preserve"> decisions 1/CP.16, paragraphs 2, 4 and 97–101, 1/CP.17, 2/CP.17, paragraphs 126–132, 4/CP.18, 3/CP.19, 5/CP.20, 1/CP.21, 5/CP.21 and 7/CP.22, </w:t>
      </w:r>
    </w:p>
    <w:p w14:paraId="4A76138B" w14:textId="163C1360" w:rsidR="00BE642F" w:rsidRDefault="0032653E" w:rsidP="0032653E">
      <w:pPr>
        <w:pStyle w:val="RegSingleTxtG"/>
        <w:numPr>
          <w:ilvl w:val="0"/>
          <w:numId w:val="0"/>
        </w:numPr>
        <w:ind w:left="1134"/>
      </w:pPr>
      <w:r>
        <w:t>1.</w:t>
      </w:r>
      <w:r>
        <w:tab/>
      </w:r>
      <w:r w:rsidR="00BE642F" w:rsidRPr="00BE642F">
        <w:rPr>
          <w:i/>
        </w:rPr>
        <w:t>Welcomes with appreciation</w:t>
      </w:r>
      <w:r w:rsidR="00BE642F" w:rsidRPr="001F504C">
        <w:t xml:space="preserve"> the continued progress </w:t>
      </w:r>
      <w:r w:rsidR="00BE642F">
        <w:t>of</w:t>
      </w:r>
      <w:r w:rsidR="00BE642F" w:rsidRPr="001F504C">
        <w:t xml:space="preserve"> developed country Parties towards reaching the goal of jointly mobilizing USD 100 billion annually by 2020</w:t>
      </w:r>
      <w:r w:rsidR="00BE642F">
        <w:t xml:space="preserve">, </w:t>
      </w:r>
      <w:r w:rsidR="00BE642F" w:rsidRPr="000D2FF5">
        <w:t>in the context of meaningful mitigation actions and transparency on implementation, in a</w:t>
      </w:r>
      <w:r w:rsidR="00BE642F">
        <w:t>ccordance with decision 1/CP.16</w:t>
      </w:r>
      <w:r w:rsidR="00BE642F" w:rsidRPr="001F504C">
        <w:t>;</w:t>
      </w:r>
      <w:r w:rsidR="00BE642F">
        <w:t xml:space="preserve"> </w:t>
      </w:r>
    </w:p>
    <w:p w14:paraId="2ED88899" w14:textId="7E68D18D" w:rsidR="00BE642F" w:rsidRPr="00614DFB" w:rsidRDefault="0032653E" w:rsidP="0032653E">
      <w:pPr>
        <w:pStyle w:val="RegSingleTxtG"/>
        <w:numPr>
          <w:ilvl w:val="0"/>
          <w:numId w:val="0"/>
        </w:numPr>
        <w:tabs>
          <w:tab w:val="left" w:pos="568"/>
        </w:tabs>
        <w:ind w:left="1134"/>
      </w:pPr>
      <w:r w:rsidRPr="00614DFB">
        <w:t>2.</w:t>
      </w:r>
      <w:r w:rsidRPr="00614DFB">
        <w:tab/>
      </w:r>
      <w:r w:rsidR="00BE642F" w:rsidRPr="005B511D">
        <w:rPr>
          <w:i/>
        </w:rPr>
        <w:t>Recalls</w:t>
      </w:r>
      <w:r w:rsidR="00BE642F" w:rsidRPr="001F504C">
        <w:t xml:space="preserve"> </w:t>
      </w:r>
      <w:r w:rsidR="00BE642F">
        <w:t xml:space="preserve">the commitment of developed country Parties, in the context of meaningful mitigation actions and transparency on implementation, to a goal of mobilizing jointly USD 100 billion per year by 2020 to address the needs of developing countries, in accordance with decision 1/CP.16, and </w:t>
      </w:r>
      <w:r w:rsidR="00BE642F" w:rsidRPr="005B511D">
        <w:rPr>
          <w:i/>
        </w:rPr>
        <w:t>urges</w:t>
      </w:r>
      <w:r w:rsidR="00BE642F">
        <w:t xml:space="preserve"> developed country Parties to continue to scale up mobilized climate finance towards this goal; </w:t>
      </w:r>
    </w:p>
    <w:p w14:paraId="43FD2BE6" w14:textId="125FC081" w:rsidR="00BE642F" w:rsidRDefault="0032653E" w:rsidP="0032653E">
      <w:pPr>
        <w:pStyle w:val="RegSingleTxtG"/>
        <w:numPr>
          <w:ilvl w:val="0"/>
          <w:numId w:val="0"/>
        </w:numPr>
        <w:tabs>
          <w:tab w:val="left" w:pos="568"/>
        </w:tabs>
        <w:ind w:left="1134"/>
      </w:pPr>
      <w:r>
        <w:t>3.</w:t>
      </w:r>
      <w:r>
        <w:tab/>
      </w:r>
      <w:r w:rsidR="00BE642F" w:rsidRPr="00240842">
        <w:rPr>
          <w:i/>
        </w:rPr>
        <w:t>Urges</w:t>
      </w:r>
      <w:r w:rsidR="00BE642F">
        <w:t xml:space="preserve"> developed country Parties to continue their efforts to channel a substantial share of public climate funds to adaptation activities and to strive to achieve a greater balance between finance for mitigation and finance for adaptation, recognizing the importance of adaptation finance and the need for public and grant-based resources for adaptation; </w:t>
      </w:r>
    </w:p>
    <w:p w14:paraId="6289F9FC" w14:textId="2701FD50" w:rsidR="00BE642F" w:rsidRDefault="0032653E" w:rsidP="0032653E">
      <w:pPr>
        <w:pStyle w:val="RegSingleTxtG"/>
        <w:numPr>
          <w:ilvl w:val="0"/>
          <w:numId w:val="0"/>
        </w:numPr>
        <w:tabs>
          <w:tab w:val="left" w:pos="568"/>
        </w:tabs>
        <w:ind w:left="1134"/>
      </w:pPr>
      <w:r>
        <w:t>4.</w:t>
      </w:r>
      <w:r>
        <w:tab/>
      </w:r>
      <w:r w:rsidR="00BE642F" w:rsidRPr="005B511D">
        <w:rPr>
          <w:i/>
        </w:rPr>
        <w:t>Welcomes</w:t>
      </w:r>
      <w:r w:rsidR="00BE642F">
        <w:t xml:space="preserve"> the </w:t>
      </w:r>
      <w:r w:rsidR="00BE642F" w:rsidRPr="00C929FC">
        <w:t>biennial submissions</w:t>
      </w:r>
      <w:r w:rsidR="00BE642F">
        <w:t xml:space="preserve"> received to date from developed country Parties on updated strategies and approaches for scaling up climate finance from 2016 to 2020 in accordance with decision 3/CP.19, paragraph 10, and </w:t>
      </w:r>
      <w:r w:rsidR="00BE642F" w:rsidRPr="005B511D">
        <w:rPr>
          <w:i/>
        </w:rPr>
        <w:t>urges</w:t>
      </w:r>
      <w:r w:rsidR="00BE642F">
        <w:t xml:space="preserve"> those developed country Parties that have </w:t>
      </w:r>
      <w:r w:rsidR="00BE642F" w:rsidRPr="00C929FC">
        <w:t>not yet done so</w:t>
      </w:r>
      <w:r w:rsidR="00BE642F">
        <w:t xml:space="preserve"> to submit this information; </w:t>
      </w:r>
    </w:p>
    <w:p w14:paraId="624813CF" w14:textId="0BBE8506" w:rsidR="00BE642F" w:rsidRDefault="0032653E" w:rsidP="0032653E">
      <w:pPr>
        <w:pStyle w:val="RegSingleTxtG"/>
        <w:numPr>
          <w:ilvl w:val="0"/>
          <w:numId w:val="0"/>
        </w:numPr>
        <w:tabs>
          <w:tab w:val="left" w:pos="568"/>
        </w:tabs>
        <w:ind w:left="1134"/>
      </w:pPr>
      <w:r>
        <w:t>5.</w:t>
      </w:r>
      <w:r>
        <w:tab/>
      </w:r>
      <w:r w:rsidR="00BE642F" w:rsidRPr="009C5505">
        <w:rPr>
          <w:i/>
        </w:rPr>
        <w:t xml:space="preserve">Takes note </w:t>
      </w:r>
      <w:r w:rsidR="00BE642F" w:rsidRPr="008F4B47">
        <w:t xml:space="preserve">of </w:t>
      </w:r>
      <w:r w:rsidR="00BE642F">
        <w:t xml:space="preserve">the </w:t>
      </w:r>
      <w:r w:rsidR="00BE642F" w:rsidRPr="0091370F">
        <w:t>compilation and synthesis</w:t>
      </w:r>
      <w:r w:rsidR="00BE642F">
        <w:t xml:space="preserve"> of the biennial submissions referred to in paragraph 4 above;</w:t>
      </w:r>
      <w:r w:rsidR="00BE642F">
        <w:rPr>
          <w:rStyle w:val="FootnoteReference"/>
        </w:rPr>
        <w:footnoteReference w:id="27"/>
      </w:r>
      <w:r w:rsidR="00BE642F">
        <w:t xml:space="preserve"> </w:t>
      </w:r>
    </w:p>
    <w:p w14:paraId="022CCF2F" w14:textId="44E47738" w:rsidR="00BE642F" w:rsidRDefault="0032653E" w:rsidP="0032653E">
      <w:pPr>
        <w:pStyle w:val="RegSingleTxtG"/>
        <w:numPr>
          <w:ilvl w:val="0"/>
          <w:numId w:val="0"/>
        </w:numPr>
        <w:tabs>
          <w:tab w:val="left" w:pos="568"/>
        </w:tabs>
        <w:ind w:left="1134"/>
      </w:pPr>
      <w:r>
        <w:t>6.</w:t>
      </w:r>
      <w:r>
        <w:tab/>
      </w:r>
      <w:r w:rsidR="00BE642F" w:rsidRPr="00780D55">
        <w:rPr>
          <w:i/>
        </w:rPr>
        <w:t>Welcomes</w:t>
      </w:r>
      <w:r w:rsidR="00BE642F" w:rsidRPr="001F504C">
        <w:t xml:space="preserve"> the progress of Parties in their efforts to strengthen their domestic enabling environments in order to attract climate finance</w:t>
      </w:r>
      <w:r w:rsidR="00BE642F">
        <w:t>, and</w:t>
      </w:r>
      <w:r w:rsidR="00BE642F" w:rsidRPr="00780D55">
        <w:rPr>
          <w:i/>
        </w:rPr>
        <w:t xml:space="preserve"> requests</w:t>
      </w:r>
      <w:r w:rsidR="00BE642F" w:rsidRPr="001F504C">
        <w:t xml:space="preserve"> Parties to continue to enhance their enabling environments</w:t>
      </w:r>
      <w:r w:rsidR="00BE642F">
        <w:t xml:space="preserve"> and policy frameworks</w:t>
      </w:r>
      <w:r w:rsidR="00BE642F" w:rsidRPr="001F504C">
        <w:t xml:space="preserve"> to facilitate the mobilization and effective deployment of climate finance, in a</w:t>
      </w:r>
      <w:r w:rsidR="00BE642F">
        <w:t>ccordance with decision 3/CP.19;</w:t>
      </w:r>
    </w:p>
    <w:p w14:paraId="0C14EF88" w14:textId="7D0BB324" w:rsidR="00BE642F" w:rsidRDefault="0032653E" w:rsidP="0032653E">
      <w:pPr>
        <w:pStyle w:val="RegSingleTxtG"/>
        <w:numPr>
          <w:ilvl w:val="0"/>
          <w:numId w:val="0"/>
        </w:numPr>
        <w:tabs>
          <w:tab w:val="left" w:pos="568"/>
        </w:tabs>
        <w:ind w:left="1134"/>
      </w:pPr>
      <w:r>
        <w:t>7.</w:t>
      </w:r>
      <w:r>
        <w:tab/>
      </w:r>
      <w:r w:rsidR="00BE642F">
        <w:rPr>
          <w:i/>
        </w:rPr>
        <w:t>Also r</w:t>
      </w:r>
      <w:r w:rsidR="00BE642F" w:rsidRPr="00EA4165">
        <w:rPr>
          <w:i/>
        </w:rPr>
        <w:t>equests</w:t>
      </w:r>
      <w:r w:rsidR="00BE642F">
        <w:t xml:space="preserve"> developed country Parties to prepare their next round of updated biennial submissions on strategies and approaches for scaling up climate finance for the period 2018–2020 in line with decisions 3/CP.19, paragraph 10, and 5/CP.20, paragraph 10,</w:t>
      </w:r>
      <w:r w:rsidR="00BE642F" w:rsidRPr="00AF5FCC">
        <w:t xml:space="preserve"> </w:t>
      </w:r>
      <w:r w:rsidR="00BE642F">
        <w:t xml:space="preserve">with a view to updating information available on a pathway towards the goal of jointly mobilizing USD 100 billion per year by 2020; </w:t>
      </w:r>
    </w:p>
    <w:p w14:paraId="1A35E364" w14:textId="18D34BB2" w:rsidR="00BE642F" w:rsidRDefault="0032653E" w:rsidP="0032653E">
      <w:pPr>
        <w:pStyle w:val="RegSingleTxtG"/>
        <w:numPr>
          <w:ilvl w:val="0"/>
          <w:numId w:val="0"/>
        </w:numPr>
        <w:tabs>
          <w:tab w:val="left" w:pos="568"/>
        </w:tabs>
        <w:ind w:left="1134"/>
      </w:pPr>
      <w:r>
        <w:t>8.</w:t>
      </w:r>
      <w:r>
        <w:tab/>
      </w:r>
      <w:r w:rsidR="00BE642F">
        <w:rPr>
          <w:i/>
        </w:rPr>
        <w:t>Further r</w:t>
      </w:r>
      <w:r w:rsidR="00BE642F" w:rsidRPr="009C5505">
        <w:rPr>
          <w:i/>
        </w:rPr>
        <w:t>equests</w:t>
      </w:r>
      <w:r w:rsidR="00BE642F">
        <w:t xml:space="preserve"> the secretariat to prepare a compilation and synthesis of the biennial submissions referred to in paragraph 7 above in accordance with decisions 3/CP.19 and 7/CP.22, paragraph 15;</w:t>
      </w:r>
    </w:p>
    <w:p w14:paraId="20613987" w14:textId="136806A3" w:rsidR="00BE642F" w:rsidRDefault="0032653E" w:rsidP="0032653E">
      <w:pPr>
        <w:pStyle w:val="RegSingleTxtG"/>
        <w:numPr>
          <w:ilvl w:val="0"/>
          <w:numId w:val="0"/>
        </w:numPr>
        <w:tabs>
          <w:tab w:val="left" w:pos="568"/>
        </w:tabs>
        <w:ind w:left="1134"/>
      </w:pPr>
      <w:r>
        <w:t>9.</w:t>
      </w:r>
      <w:r>
        <w:tab/>
      </w:r>
      <w:r w:rsidR="00BE642F" w:rsidRPr="00EE6931">
        <w:rPr>
          <w:i/>
        </w:rPr>
        <w:t>Welcomes</w:t>
      </w:r>
      <w:r w:rsidR="00BE642F" w:rsidRPr="0054549C">
        <w:t xml:space="preserve"> </w:t>
      </w:r>
      <w:r w:rsidR="00BE642F" w:rsidRPr="00EE6931">
        <w:rPr>
          <w:i/>
        </w:rPr>
        <w:t>with appreciation</w:t>
      </w:r>
      <w:r w:rsidR="00BE642F" w:rsidRPr="001F504C">
        <w:t xml:space="preserve"> </w:t>
      </w:r>
      <w:r w:rsidR="00BE642F" w:rsidRPr="0054549C">
        <w:t xml:space="preserve">the submission of first </w:t>
      </w:r>
      <w:r w:rsidR="00BE642F">
        <w:t xml:space="preserve">and second </w:t>
      </w:r>
      <w:r w:rsidR="00BE642F" w:rsidRPr="0054549C">
        <w:t>biennial update reports by developing country Parties to date</w:t>
      </w:r>
      <w:r w:rsidR="004063AE">
        <w:t>,</w:t>
      </w:r>
      <w:r w:rsidR="00BE642F" w:rsidRPr="0054549C">
        <w:t xml:space="preserve"> and </w:t>
      </w:r>
      <w:r w:rsidR="00BE642F">
        <w:rPr>
          <w:i/>
        </w:rPr>
        <w:t>encourages</w:t>
      </w:r>
      <w:r w:rsidR="00BE642F" w:rsidRPr="0054549C">
        <w:t xml:space="preserve"> developing country Parties that have not already done so to submit their biennial update reports as soon as possible, recalling decision 2/CP.17, paragraph 41(a), which states that, consistent with their capabilities and the level of support provided for reporting, they should submit their first biennial update reports by December 2014, noting that the least developed country Parties and small island developing States may submit biennial update reports at their discretion;</w:t>
      </w:r>
      <w:r w:rsidR="00BE642F">
        <w:t xml:space="preserve"> </w:t>
      </w:r>
    </w:p>
    <w:p w14:paraId="4CE8C234" w14:textId="6B7C1CC1" w:rsidR="00BE642F" w:rsidRDefault="0032653E" w:rsidP="0032653E">
      <w:pPr>
        <w:pStyle w:val="RegSingleTxtG"/>
        <w:numPr>
          <w:ilvl w:val="0"/>
          <w:numId w:val="0"/>
        </w:numPr>
        <w:tabs>
          <w:tab w:val="left" w:pos="568"/>
        </w:tabs>
        <w:ind w:left="1134"/>
      </w:pPr>
      <w:r>
        <w:t>10.</w:t>
      </w:r>
      <w:r>
        <w:tab/>
      </w:r>
      <w:r w:rsidR="00BE642F" w:rsidRPr="00C21108">
        <w:rPr>
          <w:i/>
        </w:rPr>
        <w:t>Requests</w:t>
      </w:r>
      <w:r w:rsidR="00BE642F" w:rsidRPr="00C21108">
        <w:t xml:space="preserve"> the secretariat, in collaboration with the operating entities of the Financial Mechanism, U</w:t>
      </w:r>
      <w:r w:rsidR="00BE642F">
        <w:t xml:space="preserve">nited </w:t>
      </w:r>
      <w:r w:rsidR="00BE642F" w:rsidRPr="00C21108">
        <w:t>N</w:t>
      </w:r>
      <w:r w:rsidR="00BE642F">
        <w:t>ations</w:t>
      </w:r>
      <w:r w:rsidR="00BE642F" w:rsidRPr="00C21108">
        <w:t xml:space="preserve"> agencies and bilateral, regional and other multilateral channels</w:t>
      </w:r>
      <w:r w:rsidR="00BE642F">
        <w:t>,</w:t>
      </w:r>
      <w:r w:rsidR="00BE642F" w:rsidRPr="00C21108">
        <w:t xml:space="preserve"> to explore ways and means to assist developing country Parties in assessing their needs and </w:t>
      </w:r>
      <w:r w:rsidR="00BE642F" w:rsidRPr="00C21108">
        <w:lastRenderedPageBreak/>
        <w:t>priorities, in a country-driven manner, including technological and capacity-building needs, and in translating climate finance needs into action</w:t>
      </w:r>
      <w:r w:rsidR="00BE642F">
        <w:t xml:space="preserve">; </w:t>
      </w:r>
    </w:p>
    <w:p w14:paraId="186F1208" w14:textId="73D27269" w:rsidR="00BE642F" w:rsidRDefault="0032653E" w:rsidP="0032653E">
      <w:pPr>
        <w:pStyle w:val="RegSingleTxtG"/>
        <w:numPr>
          <w:ilvl w:val="0"/>
          <w:numId w:val="0"/>
        </w:numPr>
        <w:tabs>
          <w:tab w:val="left" w:pos="568"/>
        </w:tabs>
        <w:ind w:left="1134"/>
      </w:pPr>
      <w:r>
        <w:t>11.</w:t>
      </w:r>
      <w:r>
        <w:tab/>
      </w:r>
      <w:r w:rsidR="00BE642F" w:rsidRPr="00C64661">
        <w:rPr>
          <w:i/>
        </w:rPr>
        <w:t xml:space="preserve">Takes note </w:t>
      </w:r>
      <w:r w:rsidR="00BE642F" w:rsidRPr="00BD7967">
        <w:rPr>
          <w:i/>
        </w:rPr>
        <w:t>with appreciation</w:t>
      </w:r>
      <w:r w:rsidR="00BE642F" w:rsidRPr="00C64661">
        <w:rPr>
          <w:i/>
        </w:rPr>
        <w:t xml:space="preserve"> </w:t>
      </w:r>
      <w:r w:rsidR="00BE642F" w:rsidRPr="00E458E6">
        <w:t>of</w:t>
      </w:r>
      <w:r w:rsidR="00BE642F" w:rsidRPr="007D0BB6">
        <w:t xml:space="preserve"> </w:t>
      </w:r>
      <w:r w:rsidR="00BE642F">
        <w:t>the note by the President of the twenty-second session of the Conference of the Parties on the second biennial high-level ministerial dialogue on climate finance,</w:t>
      </w:r>
      <w:r w:rsidR="00BE642F">
        <w:rPr>
          <w:rStyle w:val="FootnoteReference"/>
        </w:rPr>
        <w:footnoteReference w:id="28"/>
      </w:r>
      <w:r w:rsidR="00BE642F">
        <w:t xml:space="preserve"> and particularly the key messages contained therein;</w:t>
      </w:r>
      <w:r w:rsidR="00BE642F">
        <w:rPr>
          <w:rStyle w:val="FootnoteReference"/>
        </w:rPr>
        <w:footnoteReference w:id="29"/>
      </w:r>
      <w:r w:rsidR="00BE642F">
        <w:t xml:space="preserve"> </w:t>
      </w:r>
    </w:p>
    <w:p w14:paraId="7813837C" w14:textId="2FE809F3" w:rsidR="00BE642F" w:rsidRPr="001F504C" w:rsidRDefault="0032653E" w:rsidP="0032653E">
      <w:pPr>
        <w:pStyle w:val="RegSingleTxtG"/>
        <w:numPr>
          <w:ilvl w:val="0"/>
          <w:numId w:val="0"/>
        </w:numPr>
        <w:tabs>
          <w:tab w:val="left" w:pos="568"/>
        </w:tabs>
        <w:ind w:left="1134"/>
      </w:pPr>
      <w:r w:rsidRPr="001F504C">
        <w:t>12.</w:t>
      </w:r>
      <w:r w:rsidRPr="001F504C">
        <w:tab/>
      </w:r>
      <w:r w:rsidR="00BE642F">
        <w:rPr>
          <w:i/>
        </w:rPr>
        <w:t>Also takes n</w:t>
      </w:r>
      <w:r w:rsidR="00BE642F" w:rsidRPr="00BD7967">
        <w:rPr>
          <w:i/>
        </w:rPr>
        <w:t>ote with appreciation</w:t>
      </w:r>
      <w:r w:rsidR="00BE642F" w:rsidRPr="00BD7967">
        <w:t xml:space="preserve"> </w:t>
      </w:r>
      <w:r w:rsidR="00BE642F">
        <w:t xml:space="preserve">of </w:t>
      </w:r>
      <w:r w:rsidR="00BE642F" w:rsidRPr="00BD7967">
        <w:t>the summary report on the 2017 in-session workshop on long-term climate finance,</w:t>
      </w:r>
      <w:r w:rsidR="00BE642F">
        <w:rPr>
          <w:rStyle w:val="FootnoteReference"/>
        </w:rPr>
        <w:footnoteReference w:id="30"/>
      </w:r>
      <w:r w:rsidR="00BE642F">
        <w:t xml:space="preserve"> </w:t>
      </w:r>
      <w:r w:rsidR="00BE642F" w:rsidRPr="006F6F03">
        <w:t>and the key findings and messages</w:t>
      </w:r>
      <w:r w:rsidR="00BE642F">
        <w:t xml:space="preserve"> contained therein, including the summaries of the various segments,</w:t>
      </w:r>
      <w:r w:rsidR="00BE642F" w:rsidRPr="006F6F03">
        <w:t xml:space="preserve"> </w:t>
      </w:r>
      <w:r w:rsidR="00BE642F">
        <w:t xml:space="preserve">and the key areas of action </w:t>
      </w:r>
      <w:r w:rsidR="00BE642F" w:rsidRPr="006F6F03">
        <w:t>from this workshop</w:t>
      </w:r>
      <w:r w:rsidR="00BE642F">
        <w:t xml:space="preserve">, and </w:t>
      </w:r>
      <w:r w:rsidR="00BE642F" w:rsidRPr="00241C90">
        <w:rPr>
          <w:i/>
        </w:rPr>
        <w:t>i</w:t>
      </w:r>
      <w:r w:rsidR="00BE642F" w:rsidRPr="003E7EF7">
        <w:rPr>
          <w:i/>
        </w:rPr>
        <w:t>nvites</w:t>
      </w:r>
      <w:r w:rsidR="00BE642F">
        <w:t xml:space="preserve"> Parties and relevant institutions to consider the key messages;</w:t>
      </w:r>
      <w:r w:rsidR="00BE642F">
        <w:rPr>
          <w:rStyle w:val="FootnoteReference"/>
        </w:rPr>
        <w:footnoteReference w:id="31"/>
      </w:r>
    </w:p>
    <w:p w14:paraId="1FA8304C" w14:textId="6520A1B2" w:rsidR="00BE642F" w:rsidRDefault="0032653E" w:rsidP="0032653E">
      <w:pPr>
        <w:pStyle w:val="RegSingleTxtG"/>
        <w:numPr>
          <w:ilvl w:val="0"/>
          <w:numId w:val="0"/>
        </w:numPr>
        <w:tabs>
          <w:tab w:val="left" w:pos="568"/>
        </w:tabs>
        <w:ind w:left="1134"/>
      </w:pPr>
      <w:r>
        <w:t>13.</w:t>
      </w:r>
      <w:r>
        <w:tab/>
      </w:r>
      <w:r w:rsidR="00BE642F" w:rsidRPr="009C5505">
        <w:rPr>
          <w:i/>
        </w:rPr>
        <w:t>Recalls</w:t>
      </w:r>
      <w:r w:rsidR="00BE642F" w:rsidRPr="001F504C">
        <w:t xml:space="preserve"> </w:t>
      </w:r>
      <w:r w:rsidR="00BE642F">
        <w:t xml:space="preserve">that, in accordance with </w:t>
      </w:r>
      <w:r w:rsidR="00BE642F" w:rsidRPr="001F504C">
        <w:t>decision 7/CP.22</w:t>
      </w:r>
      <w:r w:rsidR="00BE642F">
        <w:t>,</w:t>
      </w:r>
      <w:r w:rsidR="00BE642F" w:rsidRPr="001F504C">
        <w:t xml:space="preserve"> the next in-session workshop on long-term climate finance</w:t>
      </w:r>
      <w:r w:rsidR="00BE642F">
        <w:t>,</w:t>
      </w:r>
      <w:r w:rsidR="00BE642F" w:rsidRPr="001F504C">
        <w:t xml:space="preserve"> to be held in</w:t>
      </w:r>
      <w:r w:rsidR="00BE642F" w:rsidRPr="00C94F83">
        <w:t xml:space="preserve"> </w:t>
      </w:r>
      <w:r w:rsidR="00BE642F" w:rsidRPr="001F504C">
        <w:t>2018</w:t>
      </w:r>
      <w:r w:rsidR="00BE642F">
        <w:t>,</w:t>
      </w:r>
      <w:r w:rsidR="00BE642F" w:rsidRPr="001F504C">
        <w:t xml:space="preserve"> will</w:t>
      </w:r>
      <w:r w:rsidR="00BE642F" w:rsidRPr="00C94F83">
        <w:t xml:space="preserve">, with a view to scaling up climate finance for mitigation and adaptation, </w:t>
      </w:r>
      <w:r w:rsidR="00BE642F" w:rsidRPr="001F504C">
        <w:t xml:space="preserve">focus on </w:t>
      </w:r>
      <w:r w:rsidR="00BE642F" w:rsidRPr="00C94F83">
        <w:t>expe</w:t>
      </w:r>
      <w:r w:rsidR="00BE642F">
        <w:t>rience</w:t>
      </w:r>
      <w:r w:rsidR="00797F77">
        <w:t>s</w:t>
      </w:r>
      <w:r w:rsidR="00BE642F">
        <w:t xml:space="preserve"> and lessons learned from</w:t>
      </w:r>
      <w:r w:rsidR="00BE642F" w:rsidRPr="001F504C">
        <w:t xml:space="preserve"> articulating and translating needs identified in country-driven processes into projects and programmes</w:t>
      </w:r>
      <w:r w:rsidR="00BE642F">
        <w:t>,</w:t>
      </w:r>
      <w:r w:rsidR="00BE642F" w:rsidRPr="001F504C">
        <w:t xml:space="preserve"> roles of policies and enabling environments for mitigation and adaptation finance, a</w:t>
      </w:r>
      <w:r w:rsidR="00BE642F">
        <w:t xml:space="preserve">nd facilitating enhanced access; </w:t>
      </w:r>
    </w:p>
    <w:p w14:paraId="12519E04" w14:textId="69E3D99F" w:rsidR="00BE642F" w:rsidRDefault="0032653E" w:rsidP="0032653E">
      <w:pPr>
        <w:pStyle w:val="RegSingleTxtG"/>
        <w:numPr>
          <w:ilvl w:val="0"/>
          <w:numId w:val="0"/>
        </w:numPr>
        <w:tabs>
          <w:tab w:val="left" w:pos="568"/>
        </w:tabs>
        <w:ind w:left="1134"/>
      </w:pPr>
      <w:r>
        <w:t>14.</w:t>
      </w:r>
      <w:r>
        <w:tab/>
      </w:r>
      <w:r w:rsidR="00BE642F" w:rsidRPr="004D3511">
        <w:rPr>
          <w:i/>
        </w:rPr>
        <w:t>Notes</w:t>
      </w:r>
      <w:r w:rsidR="00BE642F">
        <w:t xml:space="preserve"> that the 2018 in-session workshop should further build on the key findings and messages from the 2017 in-session workshop on long-term climate finance and the summary report thereon; </w:t>
      </w:r>
    </w:p>
    <w:p w14:paraId="6027C117" w14:textId="2F339B91" w:rsidR="00BE642F" w:rsidRDefault="0032653E" w:rsidP="0032653E">
      <w:pPr>
        <w:pStyle w:val="RegSingleTxtG"/>
        <w:numPr>
          <w:ilvl w:val="0"/>
          <w:numId w:val="0"/>
        </w:numPr>
        <w:tabs>
          <w:tab w:val="left" w:pos="568"/>
        </w:tabs>
        <w:ind w:left="1134"/>
      </w:pPr>
      <w:r>
        <w:t>15.</w:t>
      </w:r>
      <w:r>
        <w:tab/>
      </w:r>
      <w:r w:rsidR="00BE642F" w:rsidRPr="00E97B0E">
        <w:rPr>
          <w:i/>
        </w:rPr>
        <w:t>Requests</w:t>
      </w:r>
      <w:r w:rsidR="00BE642F">
        <w:t xml:space="preserve"> the secretariat to organize the in-session workshop referred to in paragraph 13 above and to prepare a summary report on the workshop for consideration by the Conference of the Parties at its twenty-fourth session (December 2018); </w:t>
      </w:r>
    </w:p>
    <w:p w14:paraId="70276DB0" w14:textId="280A538A" w:rsidR="00BE642F" w:rsidRDefault="0032653E" w:rsidP="0032653E">
      <w:pPr>
        <w:pStyle w:val="RegSingleTxtG"/>
        <w:numPr>
          <w:ilvl w:val="0"/>
          <w:numId w:val="0"/>
        </w:numPr>
        <w:tabs>
          <w:tab w:val="left" w:pos="568"/>
        </w:tabs>
        <w:ind w:left="1134"/>
      </w:pPr>
      <w:r>
        <w:t>16.</w:t>
      </w:r>
      <w:r>
        <w:tab/>
      </w:r>
      <w:r w:rsidR="00BE642F">
        <w:rPr>
          <w:i/>
        </w:rPr>
        <w:t>Recalls</w:t>
      </w:r>
      <w:r w:rsidR="00BE642F">
        <w:t xml:space="preserve"> that, in line with decision 7/CP.22, paragraph 17, the third high-level ministerial dialogue on climate finance, to be convened in accordance with decision 3/CP.19, will be informed by the reports on the in-session workshops on long-term climate finance and the 2018 biennial assessment and overview of climate finance flows;</w:t>
      </w:r>
    </w:p>
    <w:p w14:paraId="33A7ED14" w14:textId="2564D349" w:rsidR="00BE642F" w:rsidRDefault="0032653E" w:rsidP="0032653E">
      <w:pPr>
        <w:pStyle w:val="RegSingleTxtG"/>
        <w:numPr>
          <w:ilvl w:val="0"/>
          <w:numId w:val="0"/>
        </w:numPr>
        <w:tabs>
          <w:tab w:val="left" w:pos="568"/>
        </w:tabs>
        <w:ind w:left="1134"/>
      </w:pPr>
      <w:r>
        <w:t>17.</w:t>
      </w:r>
      <w:r>
        <w:tab/>
      </w:r>
      <w:r w:rsidR="00BE642F">
        <w:rPr>
          <w:i/>
        </w:rPr>
        <w:t>Invites</w:t>
      </w:r>
      <w:r w:rsidR="00BE642F" w:rsidRPr="006C1988">
        <w:t xml:space="preserve"> the Presidency of the Conference of the Parties,</w:t>
      </w:r>
      <w:r w:rsidR="00BE642F">
        <w:rPr>
          <w:i/>
        </w:rPr>
        <w:t xml:space="preserve"> </w:t>
      </w:r>
      <w:r w:rsidR="00BE642F" w:rsidRPr="006C1988">
        <w:t>in</w:t>
      </w:r>
      <w:r w:rsidR="00BE642F">
        <w:rPr>
          <w:i/>
        </w:rPr>
        <w:t xml:space="preserve"> </w:t>
      </w:r>
      <w:r w:rsidR="00BE642F">
        <w:t xml:space="preserve">organizing the high-level ministerial dialogue referred to in paragraph 16 above, to consider a focus on the topic of access to climate finance. </w:t>
      </w:r>
    </w:p>
    <w:p w14:paraId="53D4D2EE" w14:textId="78E224A8" w:rsidR="00BE642F" w:rsidRPr="002A19D4" w:rsidRDefault="000D7190" w:rsidP="00BE642F">
      <w:pPr>
        <w:jc w:val="right"/>
        <w:rPr>
          <w:i/>
        </w:rPr>
      </w:pPr>
      <w:r>
        <w:rPr>
          <w:i/>
        </w:rPr>
        <w:t>14</w:t>
      </w:r>
      <w:r w:rsidR="00BE642F" w:rsidRPr="000D7190">
        <w:rPr>
          <w:i/>
          <w:vertAlign w:val="superscript"/>
        </w:rPr>
        <w:t>th</w:t>
      </w:r>
      <w:r w:rsidR="00BE642F" w:rsidRPr="000D7190">
        <w:rPr>
          <w:i/>
        </w:rPr>
        <w:t xml:space="preserve"> plenary meeting</w:t>
      </w:r>
    </w:p>
    <w:p w14:paraId="26ACE48E" w14:textId="6D066D0B" w:rsidR="00BE642F" w:rsidRDefault="00BE642F" w:rsidP="00BE642F">
      <w:pPr>
        <w:jc w:val="right"/>
        <w:rPr>
          <w:i/>
        </w:rPr>
        <w:sectPr w:rsidR="00BE642F" w:rsidSect="00CA22E4">
          <w:headerReference w:type="even" r:id="rId42"/>
          <w:headerReference w:type="default" r:id="rId43"/>
          <w:footerReference w:type="even" r:id="rId44"/>
          <w:footerReference w:type="default" r:id="rId45"/>
          <w:footnotePr>
            <w:numRestart w:val="eachSect"/>
          </w:footnotePr>
          <w:pgSz w:w="11906" w:h="16838" w:code="9"/>
          <w:pgMar w:top="1417" w:right="1134" w:bottom="1134" w:left="1134" w:header="850" w:footer="567" w:gutter="0"/>
          <w:cols w:space="708"/>
          <w:docGrid w:linePitch="360"/>
        </w:sectPr>
      </w:pPr>
      <w:r w:rsidRPr="002A19D4">
        <w:rPr>
          <w:i/>
        </w:rPr>
        <w:t>1</w:t>
      </w:r>
      <w:r>
        <w:rPr>
          <w:i/>
        </w:rPr>
        <w:t>8</w:t>
      </w:r>
      <w:r w:rsidRPr="002A19D4">
        <w:rPr>
          <w:i/>
        </w:rPr>
        <w:t xml:space="preserve"> November 2017</w:t>
      </w:r>
    </w:p>
    <w:p w14:paraId="19789F80" w14:textId="6959B9AE" w:rsidR="00BE642F" w:rsidRDefault="00BE642F" w:rsidP="00BE642F">
      <w:pPr>
        <w:pStyle w:val="HChG"/>
      </w:pPr>
      <w:r>
        <w:lastRenderedPageBreak/>
        <w:tab/>
      </w:r>
      <w:r>
        <w:tab/>
        <w:t>Decision 7/CP.23</w:t>
      </w:r>
    </w:p>
    <w:p w14:paraId="202D39AA" w14:textId="0E8F9879" w:rsidR="00BE642F" w:rsidRDefault="00BE642F" w:rsidP="00BE642F">
      <w:pPr>
        <w:pStyle w:val="HChG"/>
      </w:pPr>
      <w:r>
        <w:tab/>
      </w:r>
      <w:r>
        <w:tab/>
      </w:r>
      <w:r w:rsidRPr="00FC0558">
        <w:t>Report of the Standing Committee on Finance</w:t>
      </w:r>
    </w:p>
    <w:p w14:paraId="0209EE73" w14:textId="77777777" w:rsidR="00BE642F" w:rsidRPr="00FC0558" w:rsidRDefault="00BE642F" w:rsidP="00BE642F">
      <w:pPr>
        <w:spacing w:after="120"/>
        <w:ind w:left="981" w:firstLine="720"/>
        <w:jc w:val="both"/>
        <w:rPr>
          <w:i/>
        </w:rPr>
      </w:pPr>
      <w:r w:rsidRPr="00FC0558">
        <w:rPr>
          <w:i/>
        </w:rPr>
        <w:t>The Conference of the Parties</w:t>
      </w:r>
      <w:r w:rsidRPr="00FC0558">
        <w:t>,</w:t>
      </w:r>
    </w:p>
    <w:p w14:paraId="520D7463" w14:textId="77777777" w:rsidR="00BE642F" w:rsidRPr="00FC0558" w:rsidRDefault="00BE642F" w:rsidP="00BE642F">
      <w:pPr>
        <w:spacing w:after="120"/>
        <w:ind w:left="1134" w:right="1133" w:firstLine="567"/>
        <w:jc w:val="both"/>
        <w:rPr>
          <w:i/>
        </w:rPr>
      </w:pPr>
      <w:r w:rsidRPr="00FC0558">
        <w:rPr>
          <w:i/>
        </w:rPr>
        <w:t xml:space="preserve">Recalling </w:t>
      </w:r>
      <w:r w:rsidRPr="00FC0558">
        <w:t xml:space="preserve">Articles 4 and 11 of the Convention, </w:t>
      </w:r>
    </w:p>
    <w:p w14:paraId="6936E629" w14:textId="77777777" w:rsidR="00BE642F" w:rsidRDefault="00BE642F" w:rsidP="00BE642F">
      <w:pPr>
        <w:spacing w:after="120"/>
        <w:ind w:left="1134" w:right="1133" w:firstLine="567"/>
        <w:jc w:val="both"/>
      </w:pPr>
      <w:r w:rsidRPr="00FC0558">
        <w:rPr>
          <w:i/>
        </w:rPr>
        <w:t>Also recalling</w:t>
      </w:r>
      <w:r w:rsidRPr="00FC0558">
        <w:t xml:space="preserve"> decision 1/CP.16, paragraph 112, and</w:t>
      </w:r>
      <w:r>
        <w:t xml:space="preserve"> decision</w:t>
      </w:r>
      <w:r w:rsidRPr="00FC0558">
        <w:t xml:space="preserve"> 2/CP.17, paragraphs 120 and 121, as well as decisions 5/CP.18, 7/CP.19, 6/CP.20, 6/CP.21 and 8/CP.22, </w:t>
      </w:r>
    </w:p>
    <w:p w14:paraId="7A28AED3" w14:textId="59622651" w:rsidR="00BE642F" w:rsidRDefault="0032653E" w:rsidP="0032653E">
      <w:pPr>
        <w:pStyle w:val="RegSingleTxtG"/>
        <w:numPr>
          <w:ilvl w:val="0"/>
          <w:numId w:val="0"/>
        </w:numPr>
        <w:ind w:left="1134"/>
      </w:pPr>
      <w:r>
        <w:t>1.</w:t>
      </w:r>
      <w:r>
        <w:tab/>
      </w:r>
      <w:r w:rsidR="00BE642F" w:rsidRPr="00BE642F">
        <w:rPr>
          <w:i/>
        </w:rPr>
        <w:t>Welcomes with appreciation</w:t>
      </w:r>
      <w:r w:rsidR="00BE642F">
        <w:t xml:space="preserve"> the report of the Standing Committee on Finance to the Conference of the Parties at its twenty-third session,</w:t>
      </w:r>
      <w:r w:rsidR="00BE642F">
        <w:rPr>
          <w:rStyle w:val="FootnoteReference"/>
        </w:rPr>
        <w:footnoteReference w:id="32"/>
      </w:r>
      <w:r w:rsidR="00BE642F">
        <w:t xml:space="preserve"> taking note of the recommendations contained therein; </w:t>
      </w:r>
    </w:p>
    <w:p w14:paraId="05C7BF21" w14:textId="3B44CC66" w:rsidR="00BE642F" w:rsidRDefault="0032653E" w:rsidP="0032653E">
      <w:pPr>
        <w:pStyle w:val="RegSingleTxtG"/>
        <w:numPr>
          <w:ilvl w:val="0"/>
          <w:numId w:val="0"/>
        </w:numPr>
        <w:ind w:left="1134"/>
      </w:pPr>
      <w:r>
        <w:t>2.</w:t>
      </w:r>
      <w:r>
        <w:tab/>
      </w:r>
      <w:r w:rsidR="00BE642F" w:rsidRPr="009A2E89">
        <w:rPr>
          <w:i/>
        </w:rPr>
        <w:t>Endorses</w:t>
      </w:r>
      <w:r w:rsidR="00BE642F">
        <w:t xml:space="preserve"> the updated workplan of the Standing Committee on Finance for 2018;</w:t>
      </w:r>
      <w:r w:rsidR="00BE642F">
        <w:rPr>
          <w:rStyle w:val="FootnoteReference"/>
        </w:rPr>
        <w:footnoteReference w:id="33"/>
      </w:r>
      <w:r w:rsidR="00794A6F">
        <w:t xml:space="preserve"> </w:t>
      </w:r>
    </w:p>
    <w:p w14:paraId="5AFC0CCF" w14:textId="19BE796B" w:rsidR="00BE642F" w:rsidRDefault="0032653E" w:rsidP="0032653E">
      <w:pPr>
        <w:pStyle w:val="RegSingleTxtG"/>
        <w:numPr>
          <w:ilvl w:val="0"/>
          <w:numId w:val="0"/>
        </w:numPr>
        <w:ind w:left="1134"/>
      </w:pPr>
      <w:r>
        <w:t>3.</w:t>
      </w:r>
      <w:r>
        <w:tab/>
      </w:r>
      <w:r w:rsidR="00BE642F" w:rsidRPr="009A2E89">
        <w:rPr>
          <w:i/>
        </w:rPr>
        <w:t>Expresses its appreciation</w:t>
      </w:r>
      <w:r w:rsidR="00BE642F">
        <w:t xml:space="preserve"> to the Governments of Finland and Norway and the European Commission for the financial contributions to support the work of the Standing Committee on Finance; </w:t>
      </w:r>
    </w:p>
    <w:p w14:paraId="12844768" w14:textId="0EF2F570" w:rsidR="00BE642F" w:rsidRDefault="0032653E" w:rsidP="0032653E">
      <w:pPr>
        <w:pStyle w:val="RegSingleTxtG"/>
        <w:numPr>
          <w:ilvl w:val="0"/>
          <w:numId w:val="0"/>
        </w:numPr>
        <w:ind w:left="1134"/>
      </w:pPr>
      <w:r>
        <w:t>4.</w:t>
      </w:r>
      <w:r>
        <w:tab/>
      </w:r>
      <w:r w:rsidR="00BE642F" w:rsidRPr="009A2E89">
        <w:rPr>
          <w:i/>
        </w:rPr>
        <w:t>Welcomes</w:t>
      </w:r>
      <w:r w:rsidR="00BE642F">
        <w:t xml:space="preserve"> the 2017 forum of the Standing Committee on Finance on the topic of mobilizing finance for climate-resilient infrastructure, </w:t>
      </w:r>
      <w:r w:rsidR="00BE642F" w:rsidRPr="009A2E89">
        <w:rPr>
          <w:i/>
        </w:rPr>
        <w:t>takes note</w:t>
      </w:r>
      <w:r w:rsidR="00BE642F">
        <w:t xml:space="preserve"> of the summary report on the 2017 forum, including the recommendations and follow-up activities of the Standing Committee on Finance,</w:t>
      </w:r>
      <w:r w:rsidR="00BE642F">
        <w:rPr>
          <w:rStyle w:val="FootnoteReference"/>
        </w:rPr>
        <w:footnoteReference w:id="34"/>
      </w:r>
      <w:r w:rsidR="00BE642F">
        <w:t xml:space="preserve"> </w:t>
      </w:r>
      <w:r w:rsidR="00BE642F" w:rsidRPr="009A2E89">
        <w:rPr>
          <w:i/>
        </w:rPr>
        <w:t>invites</w:t>
      </w:r>
      <w:r w:rsidR="00BE642F">
        <w:t xml:space="preserve"> the Standing Committee on Finance to follow up on the recommendations in its 2018 workplan, and </w:t>
      </w:r>
      <w:r w:rsidR="00BE642F" w:rsidRPr="009A2E89">
        <w:rPr>
          <w:i/>
        </w:rPr>
        <w:t>invites</w:t>
      </w:r>
      <w:r w:rsidR="00BE642F">
        <w:t xml:space="preserve"> Parties and relevant organizations to incorporate the recommendations into their work as appropriate; </w:t>
      </w:r>
    </w:p>
    <w:p w14:paraId="77B40AF6" w14:textId="344D278C" w:rsidR="00BE642F" w:rsidRDefault="0032653E" w:rsidP="0032653E">
      <w:pPr>
        <w:pStyle w:val="RegSingleTxtG"/>
        <w:numPr>
          <w:ilvl w:val="0"/>
          <w:numId w:val="0"/>
        </w:numPr>
        <w:ind w:left="1134"/>
      </w:pPr>
      <w:r>
        <w:t>5.</w:t>
      </w:r>
      <w:r>
        <w:tab/>
      </w:r>
      <w:r w:rsidR="00BE642F" w:rsidRPr="009A2E89">
        <w:rPr>
          <w:i/>
        </w:rPr>
        <w:t>Expresses its gratitude</w:t>
      </w:r>
      <w:r w:rsidR="00BE642F">
        <w:t xml:space="preserve"> to the Governments of Morocco and the Netherlands, the Union for the Mediterranean and the European Bank for Reconstruction and Development for their support in ensuring the success of the 2017 forum; </w:t>
      </w:r>
    </w:p>
    <w:p w14:paraId="511589AF" w14:textId="501E4515" w:rsidR="00BE642F" w:rsidRDefault="0032653E" w:rsidP="0032653E">
      <w:pPr>
        <w:pStyle w:val="RegSingleTxtG"/>
        <w:numPr>
          <w:ilvl w:val="0"/>
          <w:numId w:val="0"/>
        </w:numPr>
        <w:ind w:left="1134"/>
      </w:pPr>
      <w:r>
        <w:t>6.</w:t>
      </w:r>
      <w:r>
        <w:tab/>
      </w:r>
      <w:r w:rsidR="00BE642F" w:rsidRPr="009A2E89">
        <w:rPr>
          <w:i/>
        </w:rPr>
        <w:t xml:space="preserve">Notes </w:t>
      </w:r>
      <w:r w:rsidR="00BE642F">
        <w:t>the outcome of discussions on the 2018 biennial assessment and overview of climate finance flows, including the outline of the technical report and the summary and recommendations on the 2018 biennial assessment and overview of climate finance flows, as well as an indicative timeline;</w:t>
      </w:r>
      <w:r w:rsidR="00BE642F">
        <w:rPr>
          <w:rStyle w:val="FootnoteReference"/>
        </w:rPr>
        <w:footnoteReference w:id="35"/>
      </w:r>
      <w:r w:rsidR="00BE642F">
        <w:t xml:space="preserve"> </w:t>
      </w:r>
    </w:p>
    <w:p w14:paraId="424FE467" w14:textId="760F9D9B" w:rsidR="00BE642F" w:rsidRDefault="0032653E" w:rsidP="0032653E">
      <w:pPr>
        <w:pStyle w:val="RegSingleTxtG"/>
        <w:numPr>
          <w:ilvl w:val="0"/>
          <w:numId w:val="0"/>
        </w:numPr>
        <w:ind w:left="1134"/>
      </w:pPr>
      <w:r>
        <w:t>7.</w:t>
      </w:r>
      <w:r>
        <w:tab/>
      </w:r>
      <w:r w:rsidR="00BE642F" w:rsidRPr="009A2E89">
        <w:rPr>
          <w:i/>
        </w:rPr>
        <w:t>Also notes</w:t>
      </w:r>
      <w:r w:rsidR="00BE642F">
        <w:t xml:space="preserve"> that the Standing Committee on Finance extended the two-year workplan on the measurement, reporting and verification of support beyond the biennial assessment, and </w:t>
      </w:r>
      <w:r w:rsidR="00BE642F" w:rsidRPr="009A2E89">
        <w:rPr>
          <w:i/>
        </w:rPr>
        <w:t>requests</w:t>
      </w:r>
      <w:r w:rsidR="00BE642F">
        <w:t xml:space="preserve"> the Standing Committee on Finance to enhance its work on the measurement, reporting and verification of support beyond the biennial assessment, acknowledging the progress made by the Standing Committee on Finance and noting the need to avoid duplication of ongoing work under the Subsidiary Body for Scientific and Technological Advice and the Ad Hoc Working Group on the Paris Agreement;</w:t>
      </w:r>
    </w:p>
    <w:p w14:paraId="0DFA177E" w14:textId="67A312A8" w:rsidR="00BE642F" w:rsidRDefault="0032653E" w:rsidP="0032653E">
      <w:pPr>
        <w:pStyle w:val="RegSingleTxtG"/>
        <w:numPr>
          <w:ilvl w:val="0"/>
          <w:numId w:val="0"/>
        </w:numPr>
        <w:ind w:left="1134"/>
      </w:pPr>
      <w:r>
        <w:t>8.</w:t>
      </w:r>
      <w:r>
        <w:tab/>
      </w:r>
      <w:r w:rsidR="00BE642F" w:rsidRPr="009A2E89">
        <w:rPr>
          <w:i/>
        </w:rPr>
        <w:t>Requests</w:t>
      </w:r>
      <w:r w:rsidR="00BE642F">
        <w:t xml:space="preserve"> the Standing Committee on Finance, in fulfilling its function with regard to the measurement, reporting and verification of support, and in the context of its extended workplan, to continue its cooperation with relevant stakeholders and experts;</w:t>
      </w:r>
    </w:p>
    <w:p w14:paraId="4E63E89B" w14:textId="00376179" w:rsidR="00BE642F" w:rsidRDefault="0032653E" w:rsidP="0032653E">
      <w:pPr>
        <w:pStyle w:val="RegSingleTxtG"/>
        <w:numPr>
          <w:ilvl w:val="0"/>
          <w:numId w:val="0"/>
        </w:numPr>
        <w:ind w:left="1134"/>
      </w:pPr>
      <w:r>
        <w:t>9.</w:t>
      </w:r>
      <w:r>
        <w:tab/>
      </w:r>
      <w:r w:rsidR="00BE642F" w:rsidRPr="009A2E89">
        <w:rPr>
          <w:i/>
        </w:rPr>
        <w:t>Invites</w:t>
      </w:r>
      <w:r w:rsidR="00BE642F">
        <w:t xml:space="preserve"> the Standing Committee on Finance to conclude its deliberations on the topic of its next forum at the latest at its first meeting in 2018; </w:t>
      </w:r>
    </w:p>
    <w:p w14:paraId="69DF661C" w14:textId="52A432A2" w:rsidR="00BE642F" w:rsidRDefault="0032653E" w:rsidP="0032653E">
      <w:pPr>
        <w:pStyle w:val="RegSingleTxtG"/>
        <w:numPr>
          <w:ilvl w:val="0"/>
          <w:numId w:val="0"/>
        </w:numPr>
        <w:ind w:left="1134"/>
      </w:pPr>
      <w:r>
        <w:t>10.</w:t>
      </w:r>
      <w:r>
        <w:tab/>
      </w:r>
      <w:r w:rsidR="00BE642F" w:rsidRPr="009A2E89">
        <w:rPr>
          <w:i/>
        </w:rPr>
        <w:t>Welcomes</w:t>
      </w:r>
      <w:r w:rsidR="00BE642F">
        <w:t xml:space="preserve"> the offer </w:t>
      </w:r>
      <w:r w:rsidR="00E7585C">
        <w:t>of</w:t>
      </w:r>
      <w:r w:rsidR="00BE642F">
        <w:t xml:space="preserve"> the Republic of Korea to host a 2018 forum of the Standing Committee on Finance;</w:t>
      </w:r>
    </w:p>
    <w:p w14:paraId="3A5D3E47" w14:textId="7193EAD0" w:rsidR="00BE642F" w:rsidRDefault="0032653E" w:rsidP="0032653E">
      <w:pPr>
        <w:pStyle w:val="RegSingleTxtG"/>
        <w:numPr>
          <w:ilvl w:val="0"/>
          <w:numId w:val="0"/>
        </w:numPr>
        <w:ind w:left="1134"/>
      </w:pPr>
      <w:r>
        <w:t>11.</w:t>
      </w:r>
      <w:r>
        <w:tab/>
      </w:r>
      <w:r w:rsidR="00BE642F" w:rsidRPr="009A2E89">
        <w:rPr>
          <w:i/>
        </w:rPr>
        <w:t>Also welcomes</w:t>
      </w:r>
      <w:r w:rsidR="00BE642F">
        <w:t xml:space="preserve"> the appointment of focal points of the Standing Committee on Finance to liaise with the other constituted bodies under the Convention, and </w:t>
      </w:r>
      <w:r w:rsidR="00BE642F" w:rsidRPr="009A2E89">
        <w:rPr>
          <w:i/>
        </w:rPr>
        <w:t>requests</w:t>
      </w:r>
      <w:r w:rsidR="00BE642F">
        <w:t xml:space="preserve"> the Standing </w:t>
      </w:r>
      <w:r w:rsidR="00BE642F">
        <w:lastRenderedPageBreak/>
        <w:t xml:space="preserve">Committee on Finance to continue to provide information on the appointment in its annual reports to the Conference of the Parties; </w:t>
      </w:r>
    </w:p>
    <w:p w14:paraId="262AF82B" w14:textId="4926D3B0" w:rsidR="00BE642F" w:rsidRDefault="0032653E" w:rsidP="0032653E">
      <w:pPr>
        <w:pStyle w:val="RegSingleTxtG"/>
        <w:numPr>
          <w:ilvl w:val="0"/>
          <w:numId w:val="0"/>
        </w:numPr>
        <w:ind w:left="1134"/>
      </w:pPr>
      <w:r>
        <w:t>12.</w:t>
      </w:r>
      <w:r>
        <w:tab/>
      </w:r>
      <w:r w:rsidR="00BE642F" w:rsidRPr="009A2E89">
        <w:rPr>
          <w:i/>
        </w:rPr>
        <w:t xml:space="preserve">Reiterates </w:t>
      </w:r>
      <w:r w:rsidR="00BE642F">
        <w:t>that the Standing Committee on Finance will integrate financing for forest-related considerations into its 2018 workplan, where appropriate, and continue work on this matter in the context of the overall issue of improving coherence and coordination in the delivery of climate change financing, taking into account all relevant decisions on forests;</w:t>
      </w:r>
      <w:r w:rsidR="00BE642F">
        <w:rPr>
          <w:rStyle w:val="FootnoteReference"/>
        </w:rPr>
        <w:footnoteReference w:id="36"/>
      </w:r>
    </w:p>
    <w:p w14:paraId="597F634F" w14:textId="5F152484" w:rsidR="00BE642F" w:rsidRDefault="0032653E" w:rsidP="0032653E">
      <w:pPr>
        <w:pStyle w:val="RegSingleTxtG"/>
        <w:numPr>
          <w:ilvl w:val="0"/>
          <w:numId w:val="0"/>
        </w:numPr>
        <w:ind w:left="1134"/>
      </w:pPr>
      <w:r>
        <w:t>13.</w:t>
      </w:r>
      <w:r>
        <w:tab/>
      </w:r>
      <w:r w:rsidR="00BE642F" w:rsidRPr="009A2E89">
        <w:rPr>
          <w:i/>
        </w:rPr>
        <w:t xml:space="preserve">Requests </w:t>
      </w:r>
      <w:r w:rsidR="00BE642F">
        <w:t xml:space="preserve">the Standing Committee on Finance to report to the Conference of the Parties at its twenty-fourth session (December 2018) on the progress made in the implementation of its workplan; </w:t>
      </w:r>
    </w:p>
    <w:p w14:paraId="0711B7CD" w14:textId="44ADEACA" w:rsidR="00BE642F" w:rsidRDefault="0032653E" w:rsidP="0032653E">
      <w:pPr>
        <w:pStyle w:val="RegSingleTxtG"/>
        <w:numPr>
          <w:ilvl w:val="0"/>
          <w:numId w:val="0"/>
        </w:numPr>
        <w:ind w:left="1134"/>
      </w:pPr>
      <w:r>
        <w:t>14.</w:t>
      </w:r>
      <w:r>
        <w:tab/>
      </w:r>
      <w:r w:rsidR="00BE642F" w:rsidRPr="009A2E89">
        <w:rPr>
          <w:i/>
        </w:rPr>
        <w:t>Also requests</w:t>
      </w:r>
      <w:r w:rsidR="00BE642F">
        <w:t xml:space="preserve"> the Standing Committee on Finance to consider the guidance provided to it in other relevant decisions of the Conference of the Parties. </w:t>
      </w:r>
    </w:p>
    <w:p w14:paraId="5F59C300" w14:textId="1F629AEF" w:rsidR="00BE642F" w:rsidRPr="002A19D4" w:rsidRDefault="000D7190" w:rsidP="00BE642F">
      <w:pPr>
        <w:jc w:val="right"/>
        <w:rPr>
          <w:i/>
        </w:rPr>
      </w:pPr>
      <w:r>
        <w:rPr>
          <w:i/>
        </w:rPr>
        <w:t>14</w:t>
      </w:r>
      <w:r w:rsidR="00BE642F" w:rsidRPr="000D7190">
        <w:rPr>
          <w:i/>
          <w:vertAlign w:val="superscript"/>
        </w:rPr>
        <w:t>th</w:t>
      </w:r>
      <w:r w:rsidR="00BE642F" w:rsidRPr="000D7190">
        <w:rPr>
          <w:i/>
        </w:rPr>
        <w:t xml:space="preserve"> plenary meeting</w:t>
      </w:r>
    </w:p>
    <w:p w14:paraId="119AB916" w14:textId="77777777" w:rsidR="00BE642F" w:rsidRDefault="00BE642F" w:rsidP="00BE642F">
      <w:pPr>
        <w:jc w:val="right"/>
        <w:rPr>
          <w:i/>
        </w:rPr>
        <w:sectPr w:rsidR="00BE642F" w:rsidSect="00CA22E4">
          <w:headerReference w:type="even" r:id="rId46"/>
          <w:headerReference w:type="default" r:id="rId47"/>
          <w:footerReference w:type="even" r:id="rId48"/>
          <w:footerReference w:type="default" r:id="rId49"/>
          <w:footnotePr>
            <w:numRestart w:val="eachSect"/>
          </w:footnotePr>
          <w:pgSz w:w="11906" w:h="16838" w:code="9"/>
          <w:pgMar w:top="1417" w:right="1134" w:bottom="1134" w:left="1134" w:header="850" w:footer="567" w:gutter="0"/>
          <w:cols w:space="708"/>
          <w:docGrid w:linePitch="360"/>
        </w:sectPr>
      </w:pPr>
      <w:r w:rsidRPr="002A19D4">
        <w:rPr>
          <w:i/>
        </w:rPr>
        <w:t>1</w:t>
      </w:r>
      <w:r>
        <w:rPr>
          <w:i/>
        </w:rPr>
        <w:t>8</w:t>
      </w:r>
      <w:r w:rsidRPr="002A19D4">
        <w:rPr>
          <w:i/>
        </w:rPr>
        <w:t xml:space="preserve"> November 2017</w:t>
      </w:r>
    </w:p>
    <w:p w14:paraId="22058962" w14:textId="26748FF8" w:rsidR="00BE642F" w:rsidRDefault="00BE642F" w:rsidP="00BE642F">
      <w:pPr>
        <w:pStyle w:val="HChG"/>
      </w:pPr>
      <w:r>
        <w:lastRenderedPageBreak/>
        <w:tab/>
      </w:r>
      <w:r>
        <w:tab/>
        <w:t>Decision 8/CP.23</w:t>
      </w:r>
    </w:p>
    <w:p w14:paraId="5F09D494" w14:textId="1CB468DF" w:rsidR="00BE642F" w:rsidRDefault="00BE642F" w:rsidP="00BE642F">
      <w:pPr>
        <w:pStyle w:val="HChG"/>
      </w:pPr>
      <w:r>
        <w:tab/>
      </w:r>
      <w:r>
        <w:tab/>
      </w:r>
      <w:r w:rsidRPr="00510520">
        <w:t>Review of the functions of the Standing Committee on Finance</w:t>
      </w:r>
    </w:p>
    <w:p w14:paraId="172D22E9" w14:textId="77777777" w:rsidR="00BE642F" w:rsidRPr="00510520" w:rsidRDefault="00BE642F" w:rsidP="00BE642F">
      <w:pPr>
        <w:spacing w:after="120"/>
        <w:ind w:left="1134" w:right="1134" w:firstLine="567"/>
        <w:jc w:val="both"/>
        <w:rPr>
          <w:rFonts w:eastAsia="Times New Roman"/>
          <w:lang w:eastAsia="en-US"/>
        </w:rPr>
      </w:pPr>
      <w:r w:rsidRPr="00510520">
        <w:rPr>
          <w:rFonts w:eastAsia="Times New Roman"/>
          <w:i/>
          <w:lang w:eastAsia="en-US"/>
        </w:rPr>
        <w:t>The Conference of the Parties</w:t>
      </w:r>
      <w:r w:rsidRPr="00510520">
        <w:rPr>
          <w:rFonts w:eastAsia="Times New Roman"/>
          <w:lang w:eastAsia="en-US"/>
        </w:rPr>
        <w:t>,</w:t>
      </w:r>
    </w:p>
    <w:p w14:paraId="39A102C3" w14:textId="77777777" w:rsidR="00BE642F" w:rsidRPr="00510520" w:rsidRDefault="00BE642F" w:rsidP="00BE642F">
      <w:pPr>
        <w:spacing w:after="120"/>
        <w:ind w:left="1134" w:right="1134" w:firstLine="567"/>
        <w:jc w:val="both"/>
        <w:rPr>
          <w:rFonts w:eastAsia="Times New Roman"/>
          <w:lang w:eastAsia="en-US"/>
        </w:rPr>
      </w:pPr>
      <w:r w:rsidRPr="00510520">
        <w:rPr>
          <w:rFonts w:eastAsia="Times New Roman"/>
          <w:i/>
          <w:lang w:eastAsia="en-US"/>
        </w:rPr>
        <w:t>Recalling</w:t>
      </w:r>
      <w:r w:rsidRPr="00510520">
        <w:rPr>
          <w:rFonts w:eastAsia="Times New Roman"/>
          <w:lang w:eastAsia="en-US"/>
        </w:rPr>
        <w:t xml:space="preserve"> decisions 1/CP.16, paragraph 112, and 9/CP.22,</w:t>
      </w:r>
      <w:r w:rsidRPr="00510520">
        <w:rPr>
          <w:rFonts w:eastAsia="Arial Unicode MS" w:cs="Arial Unicode MS"/>
          <w:lang w:eastAsia="en-US"/>
        </w:rPr>
        <w:tab/>
      </w:r>
    </w:p>
    <w:p w14:paraId="70F3BC91" w14:textId="72410D73" w:rsidR="00BE642F" w:rsidRPr="004F75BD" w:rsidRDefault="0032653E" w:rsidP="0032653E">
      <w:pPr>
        <w:pStyle w:val="RegSingleTxtG"/>
        <w:numPr>
          <w:ilvl w:val="0"/>
          <w:numId w:val="0"/>
        </w:numPr>
        <w:ind w:left="1134"/>
      </w:pPr>
      <w:r w:rsidRPr="004F75BD">
        <w:t>1.</w:t>
      </w:r>
      <w:r w:rsidRPr="004F75BD">
        <w:tab/>
      </w:r>
      <w:r w:rsidR="00BE642F" w:rsidRPr="00BE642F">
        <w:rPr>
          <w:i/>
        </w:rPr>
        <w:t>Welcomes</w:t>
      </w:r>
      <w:r w:rsidR="00BE642F" w:rsidRPr="004F75BD">
        <w:t xml:space="preserve"> </w:t>
      </w:r>
      <w:r w:rsidR="00BE642F" w:rsidRPr="008E3053">
        <w:rPr>
          <w:i/>
        </w:rPr>
        <w:t>with appreciation</w:t>
      </w:r>
      <w:r w:rsidR="00BE642F" w:rsidRPr="004F75BD">
        <w:t xml:space="preserve"> the input to the review of the functions of the Standing Committee on Finance, including information provided by Parties, the Standing Committee on Finance, constituted bodies under the Convention and external stakeholders involved in the activities of the Standing Committee on Finance; </w:t>
      </w:r>
    </w:p>
    <w:p w14:paraId="5195FCB0" w14:textId="1414850D" w:rsidR="00BE642F" w:rsidRPr="004F75BD" w:rsidRDefault="0032653E" w:rsidP="0032653E">
      <w:pPr>
        <w:pStyle w:val="RegSingleTxtG"/>
        <w:numPr>
          <w:ilvl w:val="0"/>
          <w:numId w:val="0"/>
        </w:numPr>
        <w:ind w:left="1134"/>
      </w:pPr>
      <w:r w:rsidRPr="004F75BD">
        <w:t>2.</w:t>
      </w:r>
      <w:r w:rsidRPr="004F75BD">
        <w:tab/>
      </w:r>
      <w:r w:rsidR="00BE642F" w:rsidRPr="004F75BD">
        <w:rPr>
          <w:i/>
        </w:rPr>
        <w:t>Takes note</w:t>
      </w:r>
      <w:r w:rsidR="00BE642F" w:rsidRPr="004F75BD">
        <w:t xml:space="preserve"> </w:t>
      </w:r>
      <w:r w:rsidR="00BE642F" w:rsidRPr="008E3053">
        <w:rPr>
          <w:i/>
        </w:rPr>
        <w:t>with appreciation</w:t>
      </w:r>
      <w:r w:rsidR="00BE642F" w:rsidRPr="004F75BD">
        <w:t xml:space="preserve"> of the updated and expanded overview of the mandates provided by the Conference of the Parties to the Standing Committee on Finance,</w:t>
      </w:r>
      <w:r w:rsidR="00BE642F" w:rsidRPr="004F75BD">
        <w:rPr>
          <w:sz w:val="18"/>
          <w:vertAlign w:val="superscript"/>
        </w:rPr>
        <w:footnoteReference w:id="37"/>
      </w:r>
      <w:r w:rsidR="00BE642F" w:rsidRPr="004F75BD">
        <w:t xml:space="preserve"> and the progress made to date by the Standing Committee on Finance in fulfilling these mandates, as well as the self-assessment report of the Standing Committee on Finance and the recommendations contained therein;</w:t>
      </w:r>
      <w:r w:rsidR="00BE642F" w:rsidRPr="004F75BD">
        <w:rPr>
          <w:sz w:val="18"/>
          <w:vertAlign w:val="superscript"/>
        </w:rPr>
        <w:footnoteReference w:id="38"/>
      </w:r>
      <w:r w:rsidR="00BE642F" w:rsidRPr="004F75BD">
        <w:t xml:space="preserve"> </w:t>
      </w:r>
    </w:p>
    <w:p w14:paraId="020BC914" w14:textId="603CB5BA" w:rsidR="00BE642F" w:rsidRPr="004F75BD" w:rsidRDefault="0032653E" w:rsidP="0032653E">
      <w:pPr>
        <w:pStyle w:val="RegSingleTxtG"/>
        <w:numPr>
          <w:ilvl w:val="0"/>
          <w:numId w:val="0"/>
        </w:numPr>
        <w:ind w:left="1134"/>
      </w:pPr>
      <w:r w:rsidRPr="004F75BD">
        <w:t>3.</w:t>
      </w:r>
      <w:r w:rsidRPr="004F75BD">
        <w:tab/>
      </w:r>
      <w:r w:rsidR="00BE642F" w:rsidRPr="004F75BD">
        <w:rPr>
          <w:i/>
        </w:rPr>
        <w:t>Encourages</w:t>
      </w:r>
      <w:r w:rsidR="00BE642F" w:rsidRPr="004F75BD">
        <w:t xml:space="preserve"> Parties and the Standing Committee on Finance to consider the recommendations referred to in paragraph 2 above; </w:t>
      </w:r>
    </w:p>
    <w:p w14:paraId="192DAF47" w14:textId="5D42A18E" w:rsidR="00BE642F" w:rsidRPr="004F75BD" w:rsidRDefault="0032653E" w:rsidP="0032653E">
      <w:pPr>
        <w:pStyle w:val="RegSingleTxtG"/>
        <w:numPr>
          <w:ilvl w:val="0"/>
          <w:numId w:val="0"/>
        </w:numPr>
        <w:ind w:left="1134"/>
      </w:pPr>
      <w:r w:rsidRPr="004F75BD">
        <w:t>4.</w:t>
      </w:r>
      <w:r w:rsidRPr="004F75BD">
        <w:tab/>
      </w:r>
      <w:r w:rsidR="00BE642F" w:rsidRPr="004F75BD">
        <w:rPr>
          <w:i/>
        </w:rPr>
        <w:t>Takes note</w:t>
      </w:r>
      <w:r w:rsidR="00BE642F" w:rsidRPr="004F75BD">
        <w:t xml:space="preserve"> of the technical paper on the review of the functions of the Standing Committee on Finance;</w:t>
      </w:r>
      <w:r w:rsidR="00BE642F" w:rsidRPr="004F75BD">
        <w:rPr>
          <w:sz w:val="18"/>
          <w:vertAlign w:val="superscript"/>
        </w:rPr>
        <w:footnoteReference w:id="39"/>
      </w:r>
      <w:r w:rsidR="00BE642F" w:rsidRPr="004F75BD">
        <w:t xml:space="preserve"> </w:t>
      </w:r>
    </w:p>
    <w:p w14:paraId="08A9F451" w14:textId="58876536" w:rsidR="00BE642F" w:rsidRPr="004F75BD" w:rsidRDefault="0032653E" w:rsidP="0032653E">
      <w:pPr>
        <w:pStyle w:val="RegSingleTxtG"/>
        <w:numPr>
          <w:ilvl w:val="0"/>
          <w:numId w:val="0"/>
        </w:numPr>
        <w:ind w:left="1134"/>
      </w:pPr>
      <w:r w:rsidRPr="004F75BD">
        <w:t>5.</w:t>
      </w:r>
      <w:r w:rsidRPr="004F75BD">
        <w:tab/>
      </w:r>
      <w:r w:rsidR="00BE642F" w:rsidRPr="004F75BD">
        <w:rPr>
          <w:i/>
        </w:rPr>
        <w:t>Acknowledges</w:t>
      </w:r>
      <w:r w:rsidR="00BE642F" w:rsidRPr="004F75BD">
        <w:t xml:space="preserve"> the contributions and positive performance of the Standing Committee on Finance in assisting, informing and advancing the work of the Conference of the Parties in exercising its function in relation to the Financial Mechanism; </w:t>
      </w:r>
    </w:p>
    <w:p w14:paraId="7B0E7069" w14:textId="78A7CD99" w:rsidR="00BE642F" w:rsidRPr="004F75BD" w:rsidRDefault="0032653E" w:rsidP="0032653E">
      <w:pPr>
        <w:pStyle w:val="RegSingleTxtG"/>
        <w:numPr>
          <w:ilvl w:val="0"/>
          <w:numId w:val="0"/>
        </w:numPr>
        <w:ind w:left="1134"/>
      </w:pPr>
      <w:r w:rsidRPr="004F75BD">
        <w:t>6.</w:t>
      </w:r>
      <w:r w:rsidRPr="004F75BD">
        <w:tab/>
      </w:r>
      <w:r w:rsidR="00BE642F" w:rsidRPr="004F75BD">
        <w:rPr>
          <w:i/>
        </w:rPr>
        <w:t>Requests</w:t>
      </w:r>
      <w:r w:rsidR="00BE642F" w:rsidRPr="004F75BD">
        <w:t xml:space="preserve"> the Standing Committee on Finance to continue to provide and enhance the dissemination and utilization of specific and targeted outputs and recommendations in order to effectively advance the work of the Conference of the Parties; </w:t>
      </w:r>
    </w:p>
    <w:p w14:paraId="73FB53B1" w14:textId="678872C5" w:rsidR="00BE642F" w:rsidRPr="004F75BD" w:rsidRDefault="0032653E" w:rsidP="0032653E">
      <w:pPr>
        <w:pStyle w:val="RegSingleTxtG"/>
        <w:numPr>
          <w:ilvl w:val="0"/>
          <w:numId w:val="0"/>
        </w:numPr>
        <w:ind w:left="1134"/>
      </w:pPr>
      <w:r w:rsidRPr="004F75BD">
        <w:t>7.</w:t>
      </w:r>
      <w:r w:rsidRPr="004F75BD">
        <w:tab/>
      </w:r>
      <w:r w:rsidR="00BE642F" w:rsidRPr="004F75BD">
        <w:rPr>
          <w:i/>
        </w:rPr>
        <w:t>Invites</w:t>
      </w:r>
      <w:r w:rsidR="00BE642F" w:rsidRPr="004F75BD">
        <w:t xml:space="preserve"> Parties and relevant stakeholders to utilize the outputs of the Standing Committee on Finance; </w:t>
      </w:r>
    </w:p>
    <w:p w14:paraId="0BC6AEB5" w14:textId="7F5B2ADE" w:rsidR="00BE642F" w:rsidRPr="004F75BD" w:rsidRDefault="0032653E" w:rsidP="0032653E">
      <w:pPr>
        <w:pStyle w:val="RegSingleTxtG"/>
        <w:numPr>
          <w:ilvl w:val="0"/>
          <w:numId w:val="0"/>
        </w:numPr>
        <w:ind w:left="1134"/>
      </w:pPr>
      <w:r w:rsidRPr="004F75BD">
        <w:t>8.</w:t>
      </w:r>
      <w:r w:rsidRPr="004F75BD">
        <w:tab/>
      </w:r>
      <w:r w:rsidR="00BE642F" w:rsidRPr="004F75BD">
        <w:rPr>
          <w:i/>
        </w:rPr>
        <w:t>Encourages</w:t>
      </w:r>
      <w:r w:rsidR="00BE642F" w:rsidRPr="004F75BD">
        <w:t xml:space="preserve"> the Standing Committee on Finance to prioritize specific areas of work in the light of its workload in a given year</w:t>
      </w:r>
      <w:r w:rsidR="00E7585C">
        <w:t>,</w:t>
      </w:r>
      <w:r w:rsidR="00BE642F" w:rsidRPr="004F75BD">
        <w:t xml:space="preserve"> and </w:t>
      </w:r>
      <w:r w:rsidR="00BE642F" w:rsidRPr="004F75BD">
        <w:rPr>
          <w:i/>
        </w:rPr>
        <w:t>emphasizes</w:t>
      </w:r>
      <w:r w:rsidR="00BE642F" w:rsidRPr="004F75BD">
        <w:t xml:space="preserve"> the need to continue to enhance all the functions of the Standing Committee on Finance, including to take into consideration its mandate to serve the Paris Agreement in line with decision 1/CP.21, paragraph 63;</w:t>
      </w:r>
    </w:p>
    <w:p w14:paraId="6028FD8A" w14:textId="70B8DF4B" w:rsidR="00BE642F" w:rsidRPr="004F75BD" w:rsidRDefault="0032653E" w:rsidP="0032653E">
      <w:pPr>
        <w:pStyle w:val="RegSingleTxtG"/>
        <w:numPr>
          <w:ilvl w:val="0"/>
          <w:numId w:val="0"/>
        </w:numPr>
        <w:ind w:left="1134"/>
      </w:pPr>
      <w:r w:rsidRPr="004F75BD">
        <w:t>9.</w:t>
      </w:r>
      <w:r w:rsidRPr="004F75BD">
        <w:tab/>
      </w:r>
      <w:r w:rsidR="00BE642F" w:rsidRPr="004F75BD">
        <w:rPr>
          <w:i/>
        </w:rPr>
        <w:t>Also encourages</w:t>
      </w:r>
      <w:r w:rsidR="00BE642F" w:rsidRPr="004F75BD">
        <w:t xml:space="preserve"> Parties and other constituted bodies under the Convention to continue to provide submissions for the preparation of draft decisions on guidance to the operating entities of the Financial Mechanism, based on the reports of the operating entities, in a timely manner to the Standing Committee on Finance; </w:t>
      </w:r>
    </w:p>
    <w:p w14:paraId="1F938248" w14:textId="7FAED1F0" w:rsidR="00BE642F" w:rsidRPr="004F75BD" w:rsidRDefault="0032653E" w:rsidP="0032653E">
      <w:pPr>
        <w:pStyle w:val="RegSingleTxtG"/>
        <w:numPr>
          <w:ilvl w:val="0"/>
          <w:numId w:val="0"/>
        </w:numPr>
        <w:ind w:left="1134"/>
      </w:pPr>
      <w:r w:rsidRPr="004F75BD">
        <w:t>10.</w:t>
      </w:r>
      <w:r w:rsidRPr="004F75BD">
        <w:tab/>
      </w:r>
      <w:r w:rsidR="00BE642F" w:rsidRPr="004F75BD">
        <w:rPr>
          <w:i/>
        </w:rPr>
        <w:t>Recognizes</w:t>
      </w:r>
      <w:r w:rsidR="00BE642F" w:rsidRPr="004F75BD">
        <w:t xml:space="preserve"> the need to avoid duplication of climate finance related work across the different subsidiary and constituted bodies, while respecting the mandates and competencies of the different bodies;</w:t>
      </w:r>
    </w:p>
    <w:p w14:paraId="78F9D440" w14:textId="7A6E9749" w:rsidR="00BE642F" w:rsidRPr="004F75BD" w:rsidRDefault="0032653E" w:rsidP="0032653E">
      <w:pPr>
        <w:pStyle w:val="RegSingleTxtG"/>
        <w:numPr>
          <w:ilvl w:val="0"/>
          <w:numId w:val="0"/>
        </w:numPr>
        <w:ind w:left="1134"/>
      </w:pPr>
      <w:r w:rsidRPr="004F75BD">
        <w:t>11.</w:t>
      </w:r>
      <w:r w:rsidRPr="004F75BD">
        <w:tab/>
      </w:r>
      <w:r w:rsidR="00BE642F" w:rsidRPr="004F75BD">
        <w:rPr>
          <w:i/>
        </w:rPr>
        <w:t>Requests</w:t>
      </w:r>
      <w:r w:rsidR="00BE642F" w:rsidRPr="004F75BD">
        <w:t xml:space="preserve"> the Standing Committee on Finance to further refine its approach to maintaining linkages with the subsidiary and constituted bodies according to resources available and in the context of its existing working modalities;</w:t>
      </w:r>
    </w:p>
    <w:p w14:paraId="2350A21F" w14:textId="539E494B" w:rsidR="00BE642F" w:rsidRPr="004F75BD" w:rsidRDefault="0032653E" w:rsidP="0032653E">
      <w:pPr>
        <w:pStyle w:val="RegSingleTxtG"/>
        <w:numPr>
          <w:ilvl w:val="0"/>
          <w:numId w:val="0"/>
        </w:numPr>
        <w:ind w:left="1134"/>
      </w:pPr>
      <w:r w:rsidRPr="004F75BD">
        <w:t>12.</w:t>
      </w:r>
      <w:r w:rsidRPr="004F75BD">
        <w:tab/>
      </w:r>
      <w:r w:rsidR="00BE642F" w:rsidRPr="004F75BD">
        <w:rPr>
          <w:i/>
        </w:rPr>
        <w:t>Also requests</w:t>
      </w:r>
      <w:r w:rsidR="00BE642F" w:rsidRPr="004F75BD">
        <w:t xml:space="preserve"> the Standing Committee on Finance to ensure the </w:t>
      </w:r>
      <w:r w:rsidR="00797F77">
        <w:t xml:space="preserve">value </w:t>
      </w:r>
      <w:r w:rsidR="00BE642F" w:rsidRPr="004F75BD">
        <w:t>added</w:t>
      </w:r>
      <w:r w:rsidR="008E3053">
        <w:t xml:space="preserve"> </w:t>
      </w:r>
      <w:r w:rsidR="00BE642F" w:rsidRPr="004F75BD">
        <w:t xml:space="preserve">of its forum when deciding on the topic of each forum, to provide clear recommendations to the </w:t>
      </w:r>
      <w:r w:rsidR="00BE642F" w:rsidRPr="004F75BD">
        <w:lastRenderedPageBreak/>
        <w:t xml:space="preserve">Conference of the Parties, as appropriate, regarding follow-up actions on the forum, and to enhance the dissemination, use and ownership of the accumulated knowledge and expertise gathered at the forum, and </w:t>
      </w:r>
      <w:r w:rsidR="00BE642F" w:rsidRPr="004F75BD">
        <w:rPr>
          <w:i/>
        </w:rPr>
        <w:t>invites</w:t>
      </w:r>
      <w:r w:rsidR="00BE642F" w:rsidRPr="004F75BD">
        <w:t xml:space="preserve"> other bodies and external organizations to take into consideration the outputs of the forum; </w:t>
      </w:r>
    </w:p>
    <w:p w14:paraId="6768574D" w14:textId="6FBA2805" w:rsidR="00BE642F" w:rsidRPr="004F75BD" w:rsidRDefault="0032653E" w:rsidP="0032653E">
      <w:pPr>
        <w:pStyle w:val="RegSingleTxtG"/>
        <w:numPr>
          <w:ilvl w:val="0"/>
          <w:numId w:val="0"/>
        </w:numPr>
        <w:ind w:left="1134"/>
      </w:pPr>
      <w:r w:rsidRPr="004F75BD">
        <w:t>13.</w:t>
      </w:r>
      <w:r w:rsidRPr="004F75BD">
        <w:tab/>
      </w:r>
      <w:r w:rsidR="00BE642F" w:rsidRPr="004F75BD">
        <w:rPr>
          <w:i/>
        </w:rPr>
        <w:t>Acknowledges</w:t>
      </w:r>
      <w:r w:rsidR="00BE642F" w:rsidRPr="004F75BD">
        <w:t xml:space="preserve"> the transparency of the proceedings and decision-making processes of the Standing Committee on Finance, including through the webcasting of its meetings and the timely publication of its reports to the Conference of the Parties; </w:t>
      </w:r>
    </w:p>
    <w:p w14:paraId="28EA0F39" w14:textId="694DFB9A" w:rsidR="00BE642F" w:rsidRDefault="0032653E" w:rsidP="0032653E">
      <w:pPr>
        <w:pStyle w:val="RegSingleTxtG"/>
        <w:numPr>
          <w:ilvl w:val="0"/>
          <w:numId w:val="0"/>
        </w:numPr>
        <w:ind w:left="1134"/>
      </w:pPr>
      <w:r>
        <w:t>14.</w:t>
      </w:r>
      <w:r>
        <w:tab/>
      </w:r>
      <w:r w:rsidR="00BE642F" w:rsidRPr="004F75BD">
        <w:rPr>
          <w:i/>
        </w:rPr>
        <w:t>Requests</w:t>
      </w:r>
      <w:r w:rsidR="00BE642F" w:rsidRPr="004F75BD">
        <w:t xml:space="preserve"> the Standing Committee on Finance to further strengthen its stakeholder engagement; </w:t>
      </w:r>
    </w:p>
    <w:p w14:paraId="3656C6EA" w14:textId="174C6867" w:rsidR="00BE642F" w:rsidRPr="00C74A1C" w:rsidRDefault="0032653E" w:rsidP="0032653E">
      <w:pPr>
        <w:pStyle w:val="RegSingleTxtG"/>
        <w:numPr>
          <w:ilvl w:val="0"/>
          <w:numId w:val="0"/>
        </w:numPr>
        <w:ind w:left="1134"/>
      </w:pPr>
      <w:r w:rsidRPr="00C74A1C">
        <w:t>15.</w:t>
      </w:r>
      <w:r w:rsidRPr="00C74A1C">
        <w:tab/>
      </w:r>
      <w:r w:rsidR="00BE642F" w:rsidRPr="00C74A1C">
        <w:rPr>
          <w:i/>
        </w:rPr>
        <w:t xml:space="preserve">Decides </w:t>
      </w:r>
      <w:r w:rsidR="00BE642F" w:rsidRPr="00C74A1C">
        <w:t>to continue its deliberations on ways to enhance the participation of members of the Standing Committee on Finance, acknowledging the need to ensure the full participation and contribution of all constituencies in the meetings of the Standing Committee on Finance and the continuity of the work of the Standing Committee on Finance;</w:t>
      </w:r>
    </w:p>
    <w:p w14:paraId="3A19C43E" w14:textId="09F857C9" w:rsidR="00BE642F" w:rsidRPr="00C74A1C" w:rsidRDefault="0032653E" w:rsidP="0032653E">
      <w:pPr>
        <w:pStyle w:val="RegSingleTxtG"/>
        <w:numPr>
          <w:ilvl w:val="0"/>
          <w:numId w:val="0"/>
        </w:numPr>
        <w:ind w:left="1134"/>
      </w:pPr>
      <w:r w:rsidRPr="00C74A1C">
        <w:t>16.</w:t>
      </w:r>
      <w:r w:rsidRPr="00C74A1C">
        <w:tab/>
      </w:r>
      <w:r w:rsidR="00BE642F" w:rsidRPr="00C74A1C">
        <w:rPr>
          <w:i/>
        </w:rPr>
        <w:t xml:space="preserve">Requests </w:t>
      </w:r>
      <w:r w:rsidR="00BE642F" w:rsidRPr="00C74A1C">
        <w:t>the Standing Committee on Finance</w:t>
      </w:r>
      <w:r w:rsidR="00BE642F" w:rsidRPr="00C74A1C">
        <w:rPr>
          <w:i/>
        </w:rPr>
        <w:t xml:space="preserve"> </w:t>
      </w:r>
      <w:r w:rsidR="00BE642F" w:rsidRPr="00C74A1C">
        <w:t>to provide options for the enhancement of the participation of members and to report back to the Conference of the Parties at its twenty-fourth session (December 2018);</w:t>
      </w:r>
    </w:p>
    <w:p w14:paraId="098A5212" w14:textId="68A12AEB" w:rsidR="00BE642F" w:rsidRPr="004F75BD" w:rsidRDefault="0032653E" w:rsidP="0032653E">
      <w:pPr>
        <w:pStyle w:val="RegSingleTxtG"/>
        <w:numPr>
          <w:ilvl w:val="0"/>
          <w:numId w:val="0"/>
        </w:numPr>
        <w:ind w:left="1134"/>
      </w:pPr>
      <w:r w:rsidRPr="004F75BD">
        <w:t>17.</w:t>
      </w:r>
      <w:r w:rsidRPr="004F75BD">
        <w:tab/>
      </w:r>
      <w:r w:rsidR="00BE642F" w:rsidRPr="004F75BD">
        <w:rPr>
          <w:i/>
        </w:rPr>
        <w:t xml:space="preserve">Recognizes </w:t>
      </w:r>
      <w:r w:rsidR="00BE642F" w:rsidRPr="004F75BD">
        <w:t>that there is a need for the Standing Committee on Finance to improve some of its in-session and intersessional working modalities with the aim of further enhancing its efficiency and effectiveness, ensuring the inclusiveness and transparency of its proceedings;</w:t>
      </w:r>
    </w:p>
    <w:p w14:paraId="1A7B4453" w14:textId="615DDAD6" w:rsidR="00BE642F" w:rsidRPr="004F75BD" w:rsidRDefault="0032653E" w:rsidP="0032653E">
      <w:pPr>
        <w:pStyle w:val="RegSingleTxtG"/>
        <w:numPr>
          <w:ilvl w:val="0"/>
          <w:numId w:val="0"/>
        </w:numPr>
        <w:ind w:left="1134"/>
      </w:pPr>
      <w:r w:rsidRPr="004F75BD">
        <w:t>18.</w:t>
      </w:r>
      <w:r w:rsidRPr="004F75BD">
        <w:tab/>
      </w:r>
      <w:r w:rsidR="00BE642F" w:rsidRPr="004F75BD">
        <w:rPr>
          <w:i/>
        </w:rPr>
        <w:t>Also recognizes</w:t>
      </w:r>
      <w:r w:rsidR="00BE642F" w:rsidRPr="004F75BD">
        <w:t xml:space="preserve"> the need to consider the existing workplan of the Standing Committee on Finance, and in particular its workload, when providing strategic guidance to the Standing Committee on Finance; </w:t>
      </w:r>
    </w:p>
    <w:p w14:paraId="05F8D815" w14:textId="328632F6" w:rsidR="00BE642F" w:rsidRPr="00510520" w:rsidRDefault="0032653E" w:rsidP="0032653E">
      <w:pPr>
        <w:pStyle w:val="RegSingleTxtG"/>
        <w:numPr>
          <w:ilvl w:val="0"/>
          <w:numId w:val="0"/>
        </w:numPr>
        <w:ind w:left="1134"/>
      </w:pPr>
      <w:r w:rsidRPr="00510520">
        <w:t>19.</w:t>
      </w:r>
      <w:r w:rsidRPr="00510520">
        <w:tab/>
      </w:r>
      <w:r w:rsidR="00BE642F" w:rsidRPr="004F75BD">
        <w:rPr>
          <w:i/>
        </w:rPr>
        <w:t>Decides</w:t>
      </w:r>
      <w:r w:rsidR="00BE642F" w:rsidRPr="004F75BD">
        <w:t xml:space="preserve"> to agree on the timeline for the second review of the functions of the Standing Committee on Finance at its twenty-fifth session (November 2019) at the latest.</w:t>
      </w:r>
    </w:p>
    <w:p w14:paraId="17F23E2F" w14:textId="12B32A65" w:rsidR="00BE642F" w:rsidRPr="002A19D4" w:rsidRDefault="000D7190" w:rsidP="00BE642F">
      <w:pPr>
        <w:jc w:val="right"/>
        <w:rPr>
          <w:i/>
        </w:rPr>
      </w:pPr>
      <w:r>
        <w:rPr>
          <w:i/>
        </w:rPr>
        <w:t>14</w:t>
      </w:r>
      <w:r w:rsidR="00BE642F" w:rsidRPr="000D7190">
        <w:rPr>
          <w:i/>
          <w:vertAlign w:val="superscript"/>
        </w:rPr>
        <w:t>th</w:t>
      </w:r>
      <w:r w:rsidR="00BE642F" w:rsidRPr="000D7190">
        <w:rPr>
          <w:i/>
        </w:rPr>
        <w:t xml:space="preserve"> plenary meeting</w:t>
      </w:r>
    </w:p>
    <w:p w14:paraId="4348488F" w14:textId="77777777" w:rsidR="00BE642F" w:rsidRDefault="00BE642F" w:rsidP="00BE642F">
      <w:pPr>
        <w:jc w:val="right"/>
        <w:rPr>
          <w:i/>
        </w:rPr>
        <w:sectPr w:rsidR="00BE642F" w:rsidSect="00CA22E4">
          <w:headerReference w:type="even" r:id="rId50"/>
          <w:headerReference w:type="default" r:id="rId51"/>
          <w:footerReference w:type="even" r:id="rId52"/>
          <w:footerReference w:type="default" r:id="rId53"/>
          <w:footnotePr>
            <w:numRestart w:val="eachSect"/>
          </w:footnotePr>
          <w:pgSz w:w="11906" w:h="16838" w:code="9"/>
          <w:pgMar w:top="1417" w:right="1134" w:bottom="1134" w:left="1134" w:header="850" w:footer="567" w:gutter="0"/>
          <w:cols w:space="708"/>
          <w:docGrid w:linePitch="360"/>
        </w:sectPr>
      </w:pPr>
      <w:r w:rsidRPr="002A19D4">
        <w:rPr>
          <w:i/>
        </w:rPr>
        <w:t>1</w:t>
      </w:r>
      <w:r>
        <w:rPr>
          <w:i/>
        </w:rPr>
        <w:t>8</w:t>
      </w:r>
      <w:r w:rsidRPr="002A19D4">
        <w:rPr>
          <w:i/>
        </w:rPr>
        <w:t xml:space="preserve"> November 2017</w:t>
      </w:r>
    </w:p>
    <w:p w14:paraId="2766B3C2" w14:textId="29B25520" w:rsidR="00CB70AB" w:rsidRDefault="00BE642F" w:rsidP="00BE642F">
      <w:pPr>
        <w:pStyle w:val="HChG"/>
      </w:pPr>
      <w:r>
        <w:lastRenderedPageBreak/>
        <w:tab/>
      </w:r>
      <w:r>
        <w:tab/>
        <w:t xml:space="preserve">Decision </w:t>
      </w:r>
      <w:r w:rsidR="00CB70AB">
        <w:t>9/CP.23</w:t>
      </w:r>
    </w:p>
    <w:p w14:paraId="6BD47A60" w14:textId="5399AA32" w:rsidR="00BE642F" w:rsidRDefault="00CB70AB" w:rsidP="00BE642F">
      <w:pPr>
        <w:pStyle w:val="HChG"/>
      </w:pPr>
      <w:r>
        <w:tab/>
      </w:r>
      <w:r>
        <w:tab/>
      </w:r>
      <w:r w:rsidR="00BE642F" w:rsidRPr="00857F68">
        <w:t xml:space="preserve">Report of the Green Climate Fund to the Conference of the Parties and </w:t>
      </w:r>
      <w:r w:rsidR="00BE642F">
        <w:t>g</w:t>
      </w:r>
      <w:r w:rsidR="00BE642F" w:rsidRPr="00857F68">
        <w:t>uidance to the Green Climate Fund</w:t>
      </w:r>
    </w:p>
    <w:p w14:paraId="5167AABD" w14:textId="77777777" w:rsidR="00BE642F" w:rsidRDefault="00BE642F" w:rsidP="00BE642F">
      <w:pPr>
        <w:spacing w:before="120" w:after="120"/>
        <w:ind w:left="1701" w:right="1174"/>
      </w:pPr>
      <w:r w:rsidRPr="00AE2392">
        <w:rPr>
          <w:i/>
        </w:rPr>
        <w:t>The Conference of the Parties</w:t>
      </w:r>
      <w:r>
        <w:t>,</w:t>
      </w:r>
    </w:p>
    <w:p w14:paraId="110DF240" w14:textId="663FA412" w:rsidR="00BE642F" w:rsidRDefault="0032653E" w:rsidP="0032653E">
      <w:pPr>
        <w:pStyle w:val="RegSingleTxtG"/>
        <w:numPr>
          <w:ilvl w:val="0"/>
          <w:numId w:val="0"/>
        </w:numPr>
        <w:ind w:left="1134"/>
      </w:pPr>
      <w:r>
        <w:t>1.</w:t>
      </w:r>
      <w:r>
        <w:tab/>
      </w:r>
      <w:r w:rsidR="00BE642F" w:rsidRPr="00CB70AB">
        <w:rPr>
          <w:i/>
        </w:rPr>
        <w:t>Welcomes</w:t>
      </w:r>
      <w:r w:rsidR="00BE642F">
        <w:t xml:space="preserve"> the report of the Green Climate Fund to the Conference of the Parties,</w:t>
      </w:r>
      <w:r w:rsidR="00BE642F">
        <w:rPr>
          <w:rStyle w:val="FootnoteReference"/>
        </w:rPr>
        <w:footnoteReference w:id="40"/>
      </w:r>
      <w:r w:rsidR="00BE642F">
        <w:t xml:space="preserve"> including the list of actions taken by the Board of the Green Climate Fund (hereinafter referred to as the Board) in response to the guidance received from the Conference of the Parties; </w:t>
      </w:r>
    </w:p>
    <w:p w14:paraId="5F132FB4" w14:textId="388876BB" w:rsidR="00BE642F" w:rsidRDefault="0032653E" w:rsidP="0032653E">
      <w:pPr>
        <w:pStyle w:val="RegSingleTxtG"/>
        <w:numPr>
          <w:ilvl w:val="0"/>
          <w:numId w:val="0"/>
        </w:numPr>
        <w:ind w:left="1134"/>
      </w:pPr>
      <w:r>
        <w:t>2.</w:t>
      </w:r>
      <w:r>
        <w:tab/>
      </w:r>
      <w:r w:rsidR="00BE642F" w:rsidRPr="00390B0E">
        <w:rPr>
          <w:i/>
        </w:rPr>
        <w:t>Notes with appreciation</w:t>
      </w:r>
      <w:r w:rsidR="00BE642F">
        <w:t xml:space="preserve"> the significant scaling-up of the operations of the Green Climate Fund in 2017, including: </w:t>
      </w:r>
    </w:p>
    <w:p w14:paraId="7E19FDE7" w14:textId="19CBBFC4" w:rsidR="00BE642F" w:rsidRDefault="0032653E" w:rsidP="0032653E">
      <w:pPr>
        <w:pStyle w:val="RegSingleTxtG"/>
        <w:numPr>
          <w:ilvl w:val="0"/>
          <w:numId w:val="0"/>
        </w:numPr>
        <w:tabs>
          <w:tab w:val="clear" w:pos="1701"/>
          <w:tab w:val="left" w:pos="1702"/>
        </w:tabs>
        <w:ind w:left="1134" w:firstLine="567"/>
      </w:pPr>
      <w:r>
        <w:rPr>
          <w:szCs w:val="28"/>
        </w:rPr>
        <w:t>(a)</w:t>
      </w:r>
      <w:r>
        <w:rPr>
          <w:szCs w:val="28"/>
        </w:rPr>
        <w:tab/>
      </w:r>
      <w:r w:rsidR="00BE642F">
        <w:t>The expansion of its portfolio to include: (1) USD 41.8 million to support 130 requests in 92 countries through the Readiness and Preparatory Support Programme, two thirds of which are in the least developed countries, small island developing States and African States; and (2) USD 2.65 billion to support 54 projects and programmes in 73 countries;</w:t>
      </w:r>
    </w:p>
    <w:p w14:paraId="462E8E3D" w14:textId="739798BF" w:rsidR="00BE642F" w:rsidRDefault="0032653E" w:rsidP="0032653E">
      <w:pPr>
        <w:pStyle w:val="RegSingleTxtG"/>
        <w:numPr>
          <w:ilvl w:val="0"/>
          <w:numId w:val="0"/>
        </w:numPr>
        <w:tabs>
          <w:tab w:val="clear" w:pos="1701"/>
          <w:tab w:val="left" w:pos="1702"/>
        </w:tabs>
        <w:ind w:left="1134" w:firstLine="567"/>
      </w:pPr>
      <w:r>
        <w:rPr>
          <w:szCs w:val="28"/>
        </w:rPr>
        <w:t>(b)</w:t>
      </w:r>
      <w:r>
        <w:rPr>
          <w:szCs w:val="28"/>
        </w:rPr>
        <w:tab/>
      </w:r>
      <w:r w:rsidR="00BE642F">
        <w:t xml:space="preserve">Improvements to the initial project approval process, including ongoing mandates to address policy matters related to the approval of projects; </w:t>
      </w:r>
    </w:p>
    <w:p w14:paraId="031395CD" w14:textId="242326E3" w:rsidR="00BE642F" w:rsidRDefault="0032653E" w:rsidP="0032653E">
      <w:pPr>
        <w:pStyle w:val="RegSingleTxtG"/>
        <w:numPr>
          <w:ilvl w:val="0"/>
          <w:numId w:val="0"/>
        </w:numPr>
        <w:tabs>
          <w:tab w:val="clear" w:pos="1701"/>
          <w:tab w:val="left" w:pos="1702"/>
        </w:tabs>
        <w:ind w:left="1134" w:firstLine="567"/>
      </w:pPr>
      <w:r>
        <w:rPr>
          <w:szCs w:val="28"/>
        </w:rPr>
        <w:t>(c)</w:t>
      </w:r>
      <w:r>
        <w:rPr>
          <w:szCs w:val="28"/>
        </w:rPr>
        <w:tab/>
      </w:r>
      <w:r w:rsidR="00BE642F">
        <w:t xml:space="preserve">An increase in the number of accredited entities, particularly direct access entities; </w:t>
      </w:r>
    </w:p>
    <w:p w14:paraId="21669292" w14:textId="2D800A98" w:rsidR="00BE642F" w:rsidRDefault="0032653E" w:rsidP="0032653E">
      <w:pPr>
        <w:pStyle w:val="RegSingleTxtG"/>
        <w:numPr>
          <w:ilvl w:val="0"/>
          <w:numId w:val="0"/>
        </w:numPr>
        <w:tabs>
          <w:tab w:val="clear" w:pos="1701"/>
          <w:tab w:val="left" w:pos="1702"/>
        </w:tabs>
        <w:ind w:left="1134" w:firstLine="567"/>
      </w:pPr>
      <w:r>
        <w:rPr>
          <w:szCs w:val="28"/>
        </w:rPr>
        <w:t>(d)</w:t>
      </w:r>
      <w:r>
        <w:rPr>
          <w:szCs w:val="28"/>
        </w:rPr>
        <w:tab/>
      </w:r>
      <w:r w:rsidR="00BE642F">
        <w:t xml:space="preserve">The availability of additional financial resources for the Readiness and Preparatory Support Programme, including for the formulation of national adaptation plans and/or other national adaptation planning processes; </w:t>
      </w:r>
    </w:p>
    <w:p w14:paraId="7711AE40" w14:textId="5936FC75" w:rsidR="00BE642F" w:rsidRDefault="0032653E" w:rsidP="0032653E">
      <w:pPr>
        <w:pStyle w:val="RegSingleTxtG"/>
        <w:numPr>
          <w:ilvl w:val="0"/>
          <w:numId w:val="0"/>
        </w:numPr>
        <w:tabs>
          <w:tab w:val="clear" w:pos="1701"/>
          <w:tab w:val="left" w:pos="1702"/>
        </w:tabs>
        <w:ind w:left="1134" w:firstLine="567"/>
      </w:pPr>
      <w:r>
        <w:rPr>
          <w:szCs w:val="28"/>
        </w:rPr>
        <w:t>(e)</w:t>
      </w:r>
      <w:r>
        <w:rPr>
          <w:szCs w:val="28"/>
        </w:rPr>
        <w:tab/>
      </w:r>
      <w:r w:rsidR="00BE642F">
        <w:t>The decision of the Board to initiate an independent review of the Readiness and Preparatory Support Programme;</w:t>
      </w:r>
      <w:r w:rsidR="00BE642F">
        <w:rPr>
          <w:rStyle w:val="FootnoteReference"/>
        </w:rPr>
        <w:footnoteReference w:id="41"/>
      </w:r>
      <w:r w:rsidR="00BE642F">
        <w:t xml:space="preserve"> </w:t>
      </w:r>
    </w:p>
    <w:p w14:paraId="7C56BB77" w14:textId="46B2ECE6" w:rsidR="00BE642F" w:rsidRDefault="0032653E" w:rsidP="0032653E">
      <w:pPr>
        <w:pStyle w:val="RegSingleTxtG"/>
        <w:numPr>
          <w:ilvl w:val="0"/>
          <w:numId w:val="0"/>
        </w:numPr>
        <w:tabs>
          <w:tab w:val="clear" w:pos="1701"/>
          <w:tab w:val="left" w:pos="1702"/>
        </w:tabs>
        <w:ind w:left="1134" w:firstLine="567"/>
      </w:pPr>
      <w:r>
        <w:rPr>
          <w:szCs w:val="28"/>
        </w:rPr>
        <w:t>(f)</w:t>
      </w:r>
      <w:r>
        <w:rPr>
          <w:szCs w:val="28"/>
        </w:rPr>
        <w:tab/>
      </w:r>
      <w:r w:rsidR="00BE642F">
        <w:t>The decision to allocate USD 500 million for a results-based payments pilot programme for activities referred to in decision 1/CP.16, paragraph 70;</w:t>
      </w:r>
      <w:r w:rsidR="00BE642F">
        <w:rPr>
          <w:rStyle w:val="FootnoteReference"/>
        </w:rPr>
        <w:footnoteReference w:id="42"/>
      </w:r>
    </w:p>
    <w:p w14:paraId="2662CBED" w14:textId="2F681323" w:rsidR="00BE642F" w:rsidRDefault="0032653E" w:rsidP="0032653E">
      <w:pPr>
        <w:pStyle w:val="RegSingleTxtG"/>
        <w:numPr>
          <w:ilvl w:val="0"/>
          <w:numId w:val="0"/>
        </w:numPr>
        <w:tabs>
          <w:tab w:val="clear" w:pos="1701"/>
          <w:tab w:val="left" w:pos="1702"/>
        </w:tabs>
        <w:ind w:left="1134" w:firstLine="567"/>
      </w:pPr>
      <w:r>
        <w:rPr>
          <w:szCs w:val="28"/>
        </w:rPr>
        <w:t>(g)</w:t>
      </w:r>
      <w:r>
        <w:rPr>
          <w:szCs w:val="28"/>
        </w:rPr>
        <w:tab/>
      </w:r>
      <w:r w:rsidR="00BE642F">
        <w:t>The decision of the Board to develop the terms of reference for a climate technology incubator and accelerator-focused request for proposals, and the request of the Board for continued collaboration with the Technology Executive Committee and the Climate Technology Centre and Network;</w:t>
      </w:r>
      <w:r w:rsidR="00BE642F">
        <w:rPr>
          <w:rStyle w:val="FootnoteReference"/>
        </w:rPr>
        <w:footnoteReference w:id="43"/>
      </w:r>
      <w:r w:rsidR="00BE642F">
        <w:t xml:space="preserve"> </w:t>
      </w:r>
    </w:p>
    <w:p w14:paraId="37361B24" w14:textId="5B498B0B" w:rsidR="00BE642F" w:rsidRDefault="0032653E" w:rsidP="0032653E">
      <w:pPr>
        <w:pStyle w:val="RegSingleTxtG"/>
        <w:numPr>
          <w:ilvl w:val="0"/>
          <w:numId w:val="0"/>
        </w:numPr>
        <w:tabs>
          <w:tab w:val="clear" w:pos="1701"/>
          <w:tab w:val="left" w:pos="1702"/>
        </w:tabs>
        <w:ind w:left="1134" w:firstLine="567"/>
      </w:pPr>
      <w:r>
        <w:rPr>
          <w:szCs w:val="28"/>
        </w:rPr>
        <w:t>(h)</w:t>
      </w:r>
      <w:r>
        <w:rPr>
          <w:szCs w:val="28"/>
        </w:rPr>
        <w:tab/>
      </w:r>
      <w:r w:rsidR="00BE642F">
        <w:t xml:space="preserve">The issuance of a request for proposals to the private sector for mobilizing funds at scale; </w:t>
      </w:r>
    </w:p>
    <w:p w14:paraId="31BBF7F7" w14:textId="00B92EEB" w:rsidR="00BE642F" w:rsidRDefault="0032653E" w:rsidP="0032653E">
      <w:pPr>
        <w:pStyle w:val="RegSingleTxtG"/>
        <w:numPr>
          <w:ilvl w:val="0"/>
          <w:numId w:val="0"/>
        </w:numPr>
        <w:tabs>
          <w:tab w:val="clear" w:pos="1701"/>
          <w:tab w:val="left" w:pos="1702"/>
        </w:tabs>
        <w:ind w:left="1134" w:firstLine="567"/>
      </w:pPr>
      <w:r>
        <w:rPr>
          <w:szCs w:val="28"/>
        </w:rPr>
        <w:t>(i)</w:t>
      </w:r>
      <w:r>
        <w:rPr>
          <w:szCs w:val="28"/>
        </w:rPr>
        <w:tab/>
      </w:r>
      <w:r w:rsidR="00BE642F">
        <w:t>The framework on complementarity and coherence and the organization of the first annual dialogue with climate finance delivery channels;</w:t>
      </w:r>
    </w:p>
    <w:p w14:paraId="132487F0" w14:textId="0240884A" w:rsidR="00BE642F" w:rsidRDefault="0032653E" w:rsidP="0032653E">
      <w:pPr>
        <w:pStyle w:val="RegSingleTxtG"/>
        <w:numPr>
          <w:ilvl w:val="0"/>
          <w:numId w:val="0"/>
        </w:numPr>
        <w:tabs>
          <w:tab w:val="clear" w:pos="1701"/>
          <w:tab w:val="left" w:pos="1702"/>
        </w:tabs>
        <w:ind w:left="1134" w:firstLine="567"/>
      </w:pPr>
      <w:r>
        <w:rPr>
          <w:szCs w:val="28"/>
        </w:rPr>
        <w:t>(j)</w:t>
      </w:r>
      <w:r>
        <w:rPr>
          <w:szCs w:val="28"/>
        </w:rPr>
        <w:tab/>
      </w:r>
      <w:r w:rsidR="00BE642F">
        <w:t>The approval of the Board’s workplan for 2018;</w:t>
      </w:r>
    </w:p>
    <w:p w14:paraId="7B7FC76B" w14:textId="5192A7E9" w:rsidR="00BE642F" w:rsidRDefault="0032653E" w:rsidP="0032653E">
      <w:pPr>
        <w:pStyle w:val="RegSingleTxtG"/>
        <w:numPr>
          <w:ilvl w:val="0"/>
          <w:numId w:val="0"/>
        </w:numPr>
        <w:ind w:left="1134"/>
      </w:pPr>
      <w:r>
        <w:t>3.</w:t>
      </w:r>
      <w:r>
        <w:tab/>
      </w:r>
      <w:r w:rsidR="00BE642F" w:rsidRPr="00AE2392">
        <w:rPr>
          <w:i/>
        </w:rPr>
        <w:t>Encourages</w:t>
      </w:r>
      <w:r w:rsidR="00BE642F">
        <w:t xml:space="preserve"> the Board to ensure that the post-approval process facilitates the timely disbursement of approved funding;</w:t>
      </w:r>
    </w:p>
    <w:p w14:paraId="70124DC7" w14:textId="14DBDBF9" w:rsidR="00BE642F" w:rsidRDefault="0032653E" w:rsidP="0032653E">
      <w:pPr>
        <w:pStyle w:val="RegSingleTxtG"/>
        <w:numPr>
          <w:ilvl w:val="0"/>
          <w:numId w:val="0"/>
        </w:numPr>
        <w:ind w:left="1134"/>
      </w:pPr>
      <w:r>
        <w:t>4.</w:t>
      </w:r>
      <w:r>
        <w:tab/>
      </w:r>
      <w:r w:rsidR="00BE642F" w:rsidRPr="00AE2392">
        <w:rPr>
          <w:i/>
        </w:rPr>
        <w:t>Notes</w:t>
      </w:r>
      <w:r w:rsidR="00BE642F">
        <w:t xml:space="preserve"> that accreditation is pending for a significant number of entities;</w:t>
      </w:r>
    </w:p>
    <w:p w14:paraId="093EB984" w14:textId="48AFA1B8" w:rsidR="00BE642F" w:rsidRDefault="0032653E" w:rsidP="0032653E">
      <w:pPr>
        <w:pStyle w:val="RegSingleTxtG"/>
        <w:numPr>
          <w:ilvl w:val="0"/>
          <w:numId w:val="0"/>
        </w:numPr>
        <w:ind w:left="1134"/>
      </w:pPr>
      <w:r>
        <w:t>5.</w:t>
      </w:r>
      <w:r>
        <w:tab/>
      </w:r>
      <w:r w:rsidR="00BE642F" w:rsidRPr="00AE2392">
        <w:rPr>
          <w:i/>
        </w:rPr>
        <w:t>Welcomes</w:t>
      </w:r>
      <w:r w:rsidR="00BE642F">
        <w:t xml:space="preserve"> the Board’s decision to trigger the review of the accreditation framework and its fit</w:t>
      </w:r>
      <w:r w:rsidR="00A955CF">
        <w:t>-</w:t>
      </w:r>
      <w:r w:rsidR="00BE642F">
        <w:t>for</w:t>
      </w:r>
      <w:r w:rsidR="00A955CF">
        <w:t>-</w:t>
      </w:r>
      <w:r w:rsidR="00BE642F">
        <w:t>purpose approach,</w:t>
      </w:r>
      <w:r w:rsidR="00BE642F">
        <w:rPr>
          <w:rStyle w:val="FootnoteReference"/>
        </w:rPr>
        <w:footnoteReference w:id="44"/>
      </w:r>
      <w:r w:rsidR="00BE642F">
        <w:t xml:space="preserve"> and </w:t>
      </w:r>
      <w:r w:rsidR="00BE642F" w:rsidRPr="00EC58A0">
        <w:rPr>
          <w:i/>
        </w:rPr>
        <w:t>urges</w:t>
      </w:r>
      <w:r w:rsidR="00BE642F">
        <w:t xml:space="preserve"> the Board to swiftly adopt and implement the </w:t>
      </w:r>
      <w:r w:rsidR="00BE642F">
        <w:lastRenderedPageBreak/>
        <w:t>revised framework with a view to simplifying and facilitating access to the Green Climate Fund, including for direct access entities and private sector actors;</w:t>
      </w:r>
    </w:p>
    <w:p w14:paraId="465FB7EC" w14:textId="28F7E241" w:rsidR="00BE642F" w:rsidRDefault="0032653E" w:rsidP="0032653E">
      <w:pPr>
        <w:pStyle w:val="RegSingleTxtG"/>
        <w:numPr>
          <w:ilvl w:val="0"/>
          <w:numId w:val="0"/>
        </w:numPr>
        <w:ind w:left="1134"/>
      </w:pPr>
      <w:r>
        <w:t>6.</w:t>
      </w:r>
      <w:r>
        <w:tab/>
      </w:r>
      <w:r w:rsidR="00BE642F" w:rsidRPr="00C97F21">
        <w:rPr>
          <w:i/>
        </w:rPr>
        <w:t>Notes with concern</w:t>
      </w:r>
      <w:r w:rsidR="00BE642F">
        <w:t xml:space="preserve"> the challenges in accessing financial resources for climate action in developing country Parties, especially in relation to funding for adaptation;</w:t>
      </w:r>
    </w:p>
    <w:p w14:paraId="611FB0B3" w14:textId="78A69039" w:rsidR="00BE642F" w:rsidRDefault="0032653E" w:rsidP="0032653E">
      <w:pPr>
        <w:pStyle w:val="RegSingleTxtG"/>
        <w:numPr>
          <w:ilvl w:val="0"/>
          <w:numId w:val="0"/>
        </w:numPr>
        <w:ind w:left="1134"/>
      </w:pPr>
      <w:r>
        <w:t>7.</w:t>
      </w:r>
      <w:r>
        <w:tab/>
      </w:r>
      <w:r w:rsidR="00BE642F" w:rsidRPr="00AE2392">
        <w:rPr>
          <w:i/>
        </w:rPr>
        <w:t>Requests</w:t>
      </w:r>
      <w:r w:rsidR="00BE642F">
        <w:t xml:space="preserve"> the Board to ensure that all developing country Parties have access to all the financial instruments available through the Green Climate Fund, in line with the eligibility criteria referred to in the governing instrument and relevant decisions of the Conference of the Parties and to ensure application of the agreed policies of the Green Climate Fund;</w:t>
      </w:r>
    </w:p>
    <w:p w14:paraId="17CAA64F" w14:textId="7851E40C" w:rsidR="00BE642F" w:rsidRDefault="0032653E" w:rsidP="0032653E">
      <w:pPr>
        <w:pStyle w:val="RegSingleTxtG"/>
        <w:numPr>
          <w:ilvl w:val="0"/>
          <w:numId w:val="0"/>
        </w:numPr>
        <w:ind w:left="1134"/>
      </w:pPr>
      <w:r>
        <w:t>8.</w:t>
      </w:r>
      <w:r>
        <w:tab/>
      </w:r>
      <w:r w:rsidR="00BE642F" w:rsidRPr="00AE2392">
        <w:rPr>
          <w:i/>
        </w:rPr>
        <w:t>Confirms</w:t>
      </w:r>
      <w:r w:rsidR="00BE642F">
        <w:t xml:space="preserve"> that the Green Climate Fund will finance agreed full and agreed incremental costs to enable and support enhanced action by developing countries to tackle climate change in line with the relevant provisions in the governing instrument of the Green Climate Fund;</w:t>
      </w:r>
    </w:p>
    <w:p w14:paraId="545AF206" w14:textId="5F7DCDED" w:rsidR="00BE642F" w:rsidRDefault="0032653E" w:rsidP="0032653E">
      <w:pPr>
        <w:pStyle w:val="RegSingleTxtG"/>
        <w:numPr>
          <w:ilvl w:val="0"/>
          <w:numId w:val="0"/>
        </w:numPr>
        <w:ind w:left="1134"/>
      </w:pPr>
      <w:r>
        <w:t>9.</w:t>
      </w:r>
      <w:r>
        <w:tab/>
      </w:r>
      <w:r w:rsidR="00BE642F" w:rsidRPr="00AE2392">
        <w:rPr>
          <w:i/>
        </w:rPr>
        <w:t>Welcomes</w:t>
      </w:r>
      <w:r w:rsidR="00BE642F">
        <w:t xml:space="preserve"> the launch of the </w:t>
      </w:r>
      <w:r w:rsidR="00BE642F" w:rsidRPr="00C97F21">
        <w:t>Simplified Approval Process Pilot Scheme</w:t>
      </w:r>
      <w:r w:rsidR="00BE642F">
        <w:t xml:space="preserve"> and </w:t>
      </w:r>
      <w:r w:rsidR="00BE642F" w:rsidRPr="00EC58A0">
        <w:rPr>
          <w:i/>
        </w:rPr>
        <w:t>urges</w:t>
      </w:r>
      <w:r w:rsidR="00BE642F">
        <w:t xml:space="preserve"> its implementation in line with Green Climate Fund Board decision B.18/06;</w:t>
      </w:r>
    </w:p>
    <w:p w14:paraId="4003BB67" w14:textId="2EADE02C" w:rsidR="00BE642F" w:rsidRDefault="0032653E" w:rsidP="0032653E">
      <w:pPr>
        <w:pStyle w:val="RegSingleTxtG"/>
        <w:numPr>
          <w:ilvl w:val="0"/>
          <w:numId w:val="0"/>
        </w:numPr>
        <w:ind w:left="1134"/>
      </w:pPr>
      <w:r>
        <w:t>10.</w:t>
      </w:r>
      <w:r>
        <w:tab/>
      </w:r>
      <w:r w:rsidR="00BE642F">
        <w:rPr>
          <w:i/>
        </w:rPr>
        <w:t>E</w:t>
      </w:r>
      <w:r w:rsidR="00BE642F" w:rsidRPr="00AE2392">
        <w:rPr>
          <w:i/>
        </w:rPr>
        <w:t>ncourages</w:t>
      </w:r>
      <w:r w:rsidR="00BE642F">
        <w:t xml:space="preserve"> the Board to continue improving the process to review and approve readiness and preparatory support requests, including requests for support to prepare national adaptation plans and voluntary adaptation planning processes, including timely disbursement for approved programmes; </w:t>
      </w:r>
    </w:p>
    <w:p w14:paraId="6A39357B" w14:textId="3F9E158F" w:rsidR="00BE642F" w:rsidRDefault="0032653E" w:rsidP="0032653E">
      <w:pPr>
        <w:pStyle w:val="RegSingleTxtG"/>
        <w:numPr>
          <w:ilvl w:val="0"/>
          <w:numId w:val="0"/>
        </w:numPr>
        <w:ind w:left="1134"/>
      </w:pPr>
      <w:r>
        <w:t>11.</w:t>
      </w:r>
      <w:r>
        <w:tab/>
      </w:r>
      <w:r w:rsidR="00BE642F" w:rsidRPr="00AE2392">
        <w:rPr>
          <w:i/>
        </w:rPr>
        <w:t>Invites</w:t>
      </w:r>
      <w:r w:rsidR="00BE642F">
        <w:t xml:space="preserve"> the Board to consider ways to improve the availability of information on accessing funding from the Green Climate Fund, as appropriate; </w:t>
      </w:r>
    </w:p>
    <w:p w14:paraId="2FC5B26F" w14:textId="3148597E" w:rsidR="00BE642F" w:rsidRDefault="0032653E" w:rsidP="0032653E">
      <w:pPr>
        <w:pStyle w:val="RegSingleTxtG"/>
        <w:numPr>
          <w:ilvl w:val="0"/>
          <w:numId w:val="0"/>
        </w:numPr>
        <w:ind w:left="1134"/>
      </w:pPr>
      <w:r>
        <w:t>12.</w:t>
      </w:r>
      <w:r>
        <w:tab/>
      </w:r>
      <w:r w:rsidR="00BE642F" w:rsidRPr="00AE2392">
        <w:rPr>
          <w:i/>
        </w:rPr>
        <w:t>Takes note</w:t>
      </w:r>
      <w:r w:rsidR="00BE642F">
        <w:t xml:space="preserve"> of the biennial report on the status of privileges and immunities</w:t>
      </w:r>
      <w:r w:rsidR="00BE642F">
        <w:rPr>
          <w:rStyle w:val="FootnoteReference"/>
        </w:rPr>
        <w:footnoteReference w:id="45"/>
      </w:r>
      <w:r w:rsidR="00BE642F">
        <w:t xml:space="preserve"> and </w:t>
      </w:r>
      <w:r w:rsidR="00BE642F" w:rsidRPr="00EC58A0">
        <w:rPr>
          <w:i/>
        </w:rPr>
        <w:t>expresses</w:t>
      </w:r>
      <w:r w:rsidR="00BE642F">
        <w:t xml:space="preserve"> </w:t>
      </w:r>
      <w:r w:rsidR="00BE642F" w:rsidRPr="00CD1FFB">
        <w:rPr>
          <w:i/>
        </w:rPr>
        <w:t>concern</w:t>
      </w:r>
      <w:r w:rsidR="00BE642F">
        <w:t xml:space="preserve"> with the low level of bilateral arrangements concluded between the Green Climate Fund and Parties;</w:t>
      </w:r>
    </w:p>
    <w:p w14:paraId="4E5B24BD" w14:textId="04970931" w:rsidR="00BE642F" w:rsidRDefault="0032653E" w:rsidP="0032653E">
      <w:pPr>
        <w:pStyle w:val="RegSingleTxtG"/>
        <w:numPr>
          <w:ilvl w:val="0"/>
          <w:numId w:val="0"/>
        </w:numPr>
        <w:ind w:left="1134"/>
      </w:pPr>
      <w:r>
        <w:t>13.</w:t>
      </w:r>
      <w:r>
        <w:tab/>
      </w:r>
      <w:r w:rsidR="00BE642F" w:rsidRPr="00AE2392">
        <w:rPr>
          <w:i/>
        </w:rPr>
        <w:t>Encourages</w:t>
      </w:r>
      <w:r w:rsidR="00BE642F">
        <w:t xml:space="preserve"> Parties to enter into agreements to grant the privileges and immunities needed for the effective and efficient operationalization of the Green Climate Fund in accordance with national legislation and circumstances and Board decision B.10/12, as appropriate;</w:t>
      </w:r>
    </w:p>
    <w:p w14:paraId="199D4D64" w14:textId="225A7DC1" w:rsidR="00BE642F" w:rsidRDefault="0032653E" w:rsidP="0032653E">
      <w:pPr>
        <w:pStyle w:val="RegSingleTxtG"/>
        <w:numPr>
          <w:ilvl w:val="0"/>
          <w:numId w:val="0"/>
        </w:numPr>
        <w:ind w:left="1134"/>
      </w:pPr>
      <w:r>
        <w:t>14.</w:t>
      </w:r>
      <w:r>
        <w:tab/>
      </w:r>
      <w:r w:rsidR="00BE642F">
        <w:rPr>
          <w:i/>
        </w:rPr>
        <w:t>Also e</w:t>
      </w:r>
      <w:r w:rsidR="00BE642F" w:rsidRPr="00AE2392">
        <w:rPr>
          <w:i/>
        </w:rPr>
        <w:t>ncourages</w:t>
      </w:r>
      <w:r w:rsidR="00BE642F">
        <w:t xml:space="preserve"> the Board to intensify its efforts to ensure that the Green Climate Fund will enjoy such privileges and immunities as are necessary for the fulfilment of its purposes;</w:t>
      </w:r>
    </w:p>
    <w:p w14:paraId="42AEA9EE" w14:textId="30C22036" w:rsidR="00BE642F" w:rsidRDefault="0032653E" w:rsidP="0032653E">
      <w:pPr>
        <w:pStyle w:val="RegSingleTxtG"/>
        <w:numPr>
          <w:ilvl w:val="0"/>
          <w:numId w:val="0"/>
        </w:numPr>
        <w:ind w:left="1134"/>
      </w:pPr>
      <w:r>
        <w:t>15.</w:t>
      </w:r>
      <w:r>
        <w:tab/>
      </w:r>
      <w:r w:rsidR="00BE642F" w:rsidRPr="00AE2392">
        <w:rPr>
          <w:i/>
        </w:rPr>
        <w:t>Decides</w:t>
      </w:r>
      <w:r w:rsidR="00BE642F">
        <w:t xml:space="preserve"> to continue its consideration of the Board’s request as reflected in Green Climate Fund Board decision B.08/24 and the procedure agreed in decision 7/CP.20;</w:t>
      </w:r>
    </w:p>
    <w:p w14:paraId="41B9D691" w14:textId="43806C28" w:rsidR="00BE642F" w:rsidRDefault="0032653E" w:rsidP="0032653E">
      <w:pPr>
        <w:pStyle w:val="RegSingleTxtG"/>
        <w:numPr>
          <w:ilvl w:val="0"/>
          <w:numId w:val="0"/>
        </w:numPr>
        <w:ind w:left="1134"/>
      </w:pPr>
      <w:r>
        <w:t>16.</w:t>
      </w:r>
      <w:r>
        <w:tab/>
      </w:r>
      <w:r w:rsidR="00BE642F" w:rsidRPr="00AE2392">
        <w:rPr>
          <w:i/>
        </w:rPr>
        <w:t>Urges</w:t>
      </w:r>
      <w:r w:rsidR="00BE642F">
        <w:t xml:space="preserve"> the Board to ensure the continuation of trustee services and to conclude its deliberations on the selection of a trustee, including the terms of reference for the trustee, in accordance with previous decisions of the Conference of the Parties and the Board;</w:t>
      </w:r>
    </w:p>
    <w:p w14:paraId="116960FB" w14:textId="04DA3DC5" w:rsidR="00BE642F" w:rsidRDefault="0032653E" w:rsidP="0032653E">
      <w:pPr>
        <w:pStyle w:val="RegSingleTxtG"/>
        <w:numPr>
          <w:ilvl w:val="0"/>
          <w:numId w:val="0"/>
        </w:numPr>
        <w:ind w:left="1134"/>
      </w:pPr>
      <w:r>
        <w:t>17.</w:t>
      </w:r>
      <w:r>
        <w:tab/>
      </w:r>
      <w:r w:rsidR="00BE642F" w:rsidRPr="00AE2392">
        <w:rPr>
          <w:i/>
        </w:rPr>
        <w:t>Encourages</w:t>
      </w:r>
      <w:r w:rsidR="00BE642F">
        <w:t xml:space="preserve"> the Board to launch the first replenishment process of the Green Climate Fund in accordance with previous decisions of the Conference of the Parties and the Board;</w:t>
      </w:r>
    </w:p>
    <w:p w14:paraId="12BA2AAB" w14:textId="3F1ADE98" w:rsidR="00BE642F" w:rsidRDefault="0032653E" w:rsidP="0032653E">
      <w:pPr>
        <w:pStyle w:val="RegSingleTxtG"/>
        <w:numPr>
          <w:ilvl w:val="0"/>
          <w:numId w:val="0"/>
        </w:numPr>
        <w:ind w:left="1134"/>
      </w:pPr>
      <w:r>
        <w:t>18.</w:t>
      </w:r>
      <w:r>
        <w:tab/>
      </w:r>
      <w:r w:rsidR="00BE642F">
        <w:rPr>
          <w:i/>
        </w:rPr>
        <w:t>Also e</w:t>
      </w:r>
      <w:r w:rsidR="00BE642F" w:rsidRPr="00AE2392">
        <w:rPr>
          <w:i/>
        </w:rPr>
        <w:t>ncourages</w:t>
      </w:r>
      <w:r w:rsidR="00BE642F">
        <w:t xml:space="preserve"> the Board to include in its annual report to the Conference of the Parties information on projects approved by the Board that support the innovation and/or scaling-up of climate technologies with a view to informing the Technology Mechanism as it undertakes further work on climate technology innovation; </w:t>
      </w:r>
    </w:p>
    <w:p w14:paraId="0B039F6A" w14:textId="4CB10BB4" w:rsidR="00BE642F" w:rsidRDefault="0032653E" w:rsidP="0032653E">
      <w:pPr>
        <w:pStyle w:val="RegSingleTxtG"/>
        <w:numPr>
          <w:ilvl w:val="0"/>
          <w:numId w:val="0"/>
        </w:numPr>
        <w:ind w:left="1134"/>
      </w:pPr>
      <w:r>
        <w:t>19.</w:t>
      </w:r>
      <w:r>
        <w:tab/>
      </w:r>
      <w:r w:rsidR="00BE642F" w:rsidRPr="00AE2392">
        <w:rPr>
          <w:i/>
        </w:rPr>
        <w:t>Invites</w:t>
      </w:r>
      <w:r w:rsidR="00BE642F">
        <w:t xml:space="preserve"> Parties to submit their views and recommendations on elements to be taken into account in developing guidance for the Board of the Green Climate Fund</w:t>
      </w:r>
      <w:r w:rsidR="00BE642F">
        <w:rPr>
          <w:rStyle w:val="FootnoteReference"/>
        </w:rPr>
        <w:footnoteReference w:id="46"/>
      </w:r>
      <w:r w:rsidR="00BE642F">
        <w:t xml:space="preserve"> no later than 10 weeks prior to the twenty-fourth session of the Conference of the Parties (December 2018); </w:t>
      </w:r>
    </w:p>
    <w:p w14:paraId="25076F50" w14:textId="5E506149" w:rsidR="00BE642F" w:rsidRDefault="0032653E" w:rsidP="0032653E">
      <w:pPr>
        <w:pStyle w:val="RegSingleTxtG"/>
        <w:numPr>
          <w:ilvl w:val="0"/>
          <w:numId w:val="0"/>
        </w:numPr>
        <w:ind w:left="1134"/>
      </w:pPr>
      <w:r>
        <w:lastRenderedPageBreak/>
        <w:t>20.</w:t>
      </w:r>
      <w:r>
        <w:tab/>
      </w:r>
      <w:r w:rsidR="00BE642F" w:rsidRPr="00AE2392">
        <w:rPr>
          <w:i/>
        </w:rPr>
        <w:t>Requests</w:t>
      </w:r>
      <w:r w:rsidR="00BE642F">
        <w:t xml:space="preserve"> the Standing Committee on Finance to take into consideration the submissions referred to in paragraph 19 above when providing its draft guidance for the Board of the Green Climate Fund for consideration by the Conference of the Parties;</w:t>
      </w:r>
    </w:p>
    <w:p w14:paraId="294626AE" w14:textId="79F24510" w:rsidR="00BE642F" w:rsidRPr="00857F68" w:rsidRDefault="0032653E" w:rsidP="0032653E">
      <w:pPr>
        <w:pStyle w:val="RegSingleTxtG"/>
        <w:numPr>
          <w:ilvl w:val="0"/>
          <w:numId w:val="0"/>
        </w:numPr>
        <w:ind w:left="1134"/>
      </w:pPr>
      <w:r w:rsidRPr="00857F68">
        <w:t>21.</w:t>
      </w:r>
      <w:r w:rsidRPr="00857F68">
        <w:tab/>
      </w:r>
      <w:r w:rsidR="00BE642F" w:rsidRPr="00AE2392">
        <w:rPr>
          <w:i/>
        </w:rPr>
        <w:t>Also requests</w:t>
      </w:r>
      <w:r w:rsidR="00BE642F">
        <w:t xml:space="preserve"> the Green Climate Fund to include in its annual report to the Conference of the Parties information on the steps that it has taken to implement the guidance provided in this decision.</w:t>
      </w:r>
    </w:p>
    <w:p w14:paraId="05057703" w14:textId="7558B3A8" w:rsidR="006602B5" w:rsidRPr="002A19D4" w:rsidRDefault="000D7190" w:rsidP="006602B5">
      <w:pPr>
        <w:jc w:val="right"/>
        <w:rPr>
          <w:i/>
        </w:rPr>
      </w:pPr>
      <w:r>
        <w:rPr>
          <w:i/>
        </w:rPr>
        <w:t>14</w:t>
      </w:r>
      <w:r w:rsidR="006602B5" w:rsidRPr="000D7190">
        <w:rPr>
          <w:i/>
          <w:vertAlign w:val="superscript"/>
        </w:rPr>
        <w:t>th</w:t>
      </w:r>
      <w:r w:rsidR="006602B5" w:rsidRPr="000D7190">
        <w:rPr>
          <w:i/>
        </w:rPr>
        <w:t xml:space="preserve"> plenary meeting</w:t>
      </w:r>
    </w:p>
    <w:p w14:paraId="3DB35EB8" w14:textId="77777777" w:rsidR="006602B5" w:rsidRDefault="006602B5" w:rsidP="006602B5">
      <w:pPr>
        <w:jc w:val="right"/>
        <w:rPr>
          <w:i/>
        </w:rPr>
        <w:sectPr w:rsidR="006602B5" w:rsidSect="00CA22E4">
          <w:headerReference w:type="even" r:id="rId54"/>
          <w:headerReference w:type="default" r:id="rId55"/>
          <w:footerReference w:type="even" r:id="rId56"/>
          <w:footerReference w:type="default" r:id="rId57"/>
          <w:footnotePr>
            <w:numRestart w:val="eachSect"/>
          </w:footnotePr>
          <w:pgSz w:w="11906" w:h="16838" w:code="9"/>
          <w:pgMar w:top="1417" w:right="1134" w:bottom="1134" w:left="1134" w:header="850" w:footer="567" w:gutter="0"/>
          <w:cols w:space="708"/>
          <w:docGrid w:linePitch="360"/>
        </w:sectPr>
      </w:pPr>
      <w:r w:rsidRPr="002A19D4">
        <w:rPr>
          <w:i/>
        </w:rPr>
        <w:t>1</w:t>
      </w:r>
      <w:r>
        <w:rPr>
          <w:i/>
        </w:rPr>
        <w:t>8</w:t>
      </w:r>
      <w:r w:rsidRPr="002A19D4">
        <w:rPr>
          <w:i/>
        </w:rPr>
        <w:t xml:space="preserve"> November 2017</w:t>
      </w:r>
    </w:p>
    <w:p w14:paraId="645C238C" w14:textId="41E3C5E2" w:rsidR="00BE642F" w:rsidRDefault="006602B5" w:rsidP="006602B5">
      <w:pPr>
        <w:pStyle w:val="HChG"/>
      </w:pPr>
      <w:r>
        <w:lastRenderedPageBreak/>
        <w:tab/>
      </w:r>
      <w:r>
        <w:tab/>
        <w:t>Decision 10/CP.23</w:t>
      </w:r>
    </w:p>
    <w:p w14:paraId="3941D6E8" w14:textId="0C5E2BDC" w:rsidR="006602B5" w:rsidRPr="009363AA" w:rsidRDefault="006602B5" w:rsidP="006602B5">
      <w:pPr>
        <w:pStyle w:val="HChG"/>
      </w:pPr>
      <w:r>
        <w:tab/>
      </w:r>
      <w:r>
        <w:tab/>
      </w:r>
      <w:r w:rsidRPr="009363AA">
        <w:t>Report of the Global Environment Facility to the Conference of the Parties and guidance to the Global Environment Facility</w:t>
      </w:r>
    </w:p>
    <w:p w14:paraId="2DDE4B30" w14:textId="77777777" w:rsidR="006602B5" w:rsidRDefault="006602B5" w:rsidP="006602B5">
      <w:pPr>
        <w:pStyle w:val="RegSingleTxtG"/>
        <w:numPr>
          <w:ilvl w:val="0"/>
          <w:numId w:val="0"/>
        </w:numPr>
        <w:spacing w:before="120" w:line="240" w:lineRule="auto"/>
        <w:ind w:left="1134"/>
        <w:rPr>
          <w:rFonts w:eastAsia="Times New Roman"/>
          <w:lang w:eastAsia="en-US"/>
        </w:rPr>
      </w:pPr>
      <w:r w:rsidRPr="009363AA">
        <w:rPr>
          <w:rFonts w:eastAsia="Times New Roman"/>
          <w:i/>
          <w:lang w:eastAsia="en-US"/>
        </w:rPr>
        <w:tab/>
        <w:t>The Conference of the Parties</w:t>
      </w:r>
      <w:r w:rsidRPr="009363AA">
        <w:rPr>
          <w:rFonts w:eastAsia="Times New Roman"/>
          <w:lang w:eastAsia="en-US"/>
        </w:rPr>
        <w:t>,</w:t>
      </w:r>
    </w:p>
    <w:p w14:paraId="43F74029" w14:textId="77777777" w:rsidR="006602B5" w:rsidRPr="009363AA" w:rsidRDefault="006602B5" w:rsidP="006602B5">
      <w:pPr>
        <w:pStyle w:val="RegSingleTxtG"/>
        <w:numPr>
          <w:ilvl w:val="0"/>
          <w:numId w:val="0"/>
        </w:numPr>
        <w:spacing w:before="120" w:line="240" w:lineRule="auto"/>
        <w:ind w:left="1134"/>
        <w:rPr>
          <w:rFonts w:eastAsia="Times New Roman"/>
          <w:lang w:eastAsia="en-US"/>
        </w:rPr>
      </w:pPr>
      <w:r>
        <w:rPr>
          <w:rFonts w:eastAsia="Times New Roman"/>
          <w:i/>
          <w:lang w:eastAsia="en-US"/>
        </w:rPr>
        <w:tab/>
        <w:t xml:space="preserve">Recalling </w:t>
      </w:r>
      <w:r w:rsidRPr="004A0B0C">
        <w:rPr>
          <w:rFonts w:eastAsia="Times New Roman"/>
          <w:lang w:eastAsia="en-US"/>
        </w:rPr>
        <w:t>decision 11/CP.22,</w:t>
      </w:r>
      <w:r>
        <w:rPr>
          <w:rFonts w:eastAsia="Times New Roman"/>
          <w:i/>
          <w:lang w:eastAsia="en-US"/>
        </w:rPr>
        <w:t xml:space="preserve"> </w:t>
      </w:r>
    </w:p>
    <w:p w14:paraId="7F6548EC" w14:textId="77777777" w:rsidR="006602B5" w:rsidRPr="009363AA" w:rsidRDefault="006602B5" w:rsidP="006602B5">
      <w:pPr>
        <w:pStyle w:val="RegSingleTxtG"/>
        <w:numPr>
          <w:ilvl w:val="0"/>
          <w:numId w:val="0"/>
        </w:numPr>
        <w:spacing w:before="120" w:line="240" w:lineRule="auto"/>
        <w:ind w:left="1134"/>
        <w:rPr>
          <w:rFonts w:eastAsia="Times New Roman"/>
          <w:lang w:eastAsia="en-US"/>
        </w:rPr>
      </w:pPr>
      <w:r w:rsidRPr="009363AA">
        <w:rPr>
          <w:rFonts w:eastAsia="Times New Roman"/>
          <w:i/>
          <w:lang w:eastAsia="en-US"/>
        </w:rPr>
        <w:tab/>
        <w:t>Noting</w:t>
      </w:r>
      <w:r w:rsidRPr="009363AA">
        <w:rPr>
          <w:rFonts w:eastAsia="Times New Roman"/>
          <w:lang w:eastAsia="en-US"/>
        </w:rPr>
        <w:t xml:space="preserve"> the importance of providing timely responses to the requests of developing country Parties,</w:t>
      </w:r>
    </w:p>
    <w:p w14:paraId="6BAB7261" w14:textId="0E73578C" w:rsidR="006602B5" w:rsidRPr="009363AA" w:rsidRDefault="0032653E" w:rsidP="0032653E">
      <w:pPr>
        <w:pStyle w:val="RegSingleTxtG"/>
        <w:numPr>
          <w:ilvl w:val="0"/>
          <w:numId w:val="0"/>
        </w:numPr>
        <w:ind w:left="1134"/>
        <w:rPr>
          <w:lang w:eastAsia="en-US"/>
        </w:rPr>
      </w:pPr>
      <w:r w:rsidRPr="009363AA">
        <w:rPr>
          <w:lang w:eastAsia="en-US"/>
        </w:rPr>
        <w:t>1.</w:t>
      </w:r>
      <w:r w:rsidRPr="009363AA">
        <w:rPr>
          <w:lang w:eastAsia="en-US"/>
        </w:rPr>
        <w:tab/>
      </w:r>
      <w:r w:rsidR="006602B5" w:rsidRPr="006602B5">
        <w:rPr>
          <w:i/>
          <w:color w:val="000000"/>
        </w:rPr>
        <w:t>Notes</w:t>
      </w:r>
      <w:r w:rsidR="006602B5" w:rsidRPr="006602B5">
        <w:rPr>
          <w:color w:val="000000"/>
        </w:rPr>
        <w:t xml:space="preserve"> the report of the Global Environment Facility to the Conference of the Parties</w:t>
      </w:r>
      <w:r w:rsidR="006602B5" w:rsidRPr="006602B5">
        <w:rPr>
          <w:rStyle w:val="FootnoteReference"/>
          <w:color w:val="000000"/>
        </w:rPr>
        <w:footnoteReference w:id="47"/>
      </w:r>
      <w:r w:rsidR="006602B5" w:rsidRPr="006602B5">
        <w:rPr>
          <w:color w:val="000000"/>
        </w:rPr>
        <w:t xml:space="preserve"> and the responses of the Global Environment Facility to the guidance from the Conference of the Parties;</w:t>
      </w:r>
    </w:p>
    <w:p w14:paraId="2B4FDBC4" w14:textId="6753A1CE" w:rsidR="006602B5" w:rsidRPr="009363AA" w:rsidRDefault="0032653E" w:rsidP="0032653E">
      <w:pPr>
        <w:pStyle w:val="RegSingleTxtG"/>
        <w:numPr>
          <w:ilvl w:val="0"/>
          <w:numId w:val="0"/>
        </w:numPr>
        <w:ind w:left="1134"/>
      </w:pPr>
      <w:r w:rsidRPr="009363AA">
        <w:t>2.</w:t>
      </w:r>
      <w:r w:rsidRPr="009363AA">
        <w:tab/>
      </w:r>
      <w:r w:rsidR="006602B5" w:rsidRPr="009363AA">
        <w:rPr>
          <w:i/>
          <w:lang w:eastAsia="en-US"/>
        </w:rPr>
        <w:t>Welcomes</w:t>
      </w:r>
      <w:r w:rsidR="006602B5" w:rsidRPr="009363AA">
        <w:rPr>
          <w:lang w:eastAsia="en-US"/>
        </w:rPr>
        <w:t xml:space="preserve"> the decision of the </w:t>
      </w:r>
      <w:r w:rsidR="006602B5" w:rsidRPr="006602B5">
        <w:rPr>
          <w:color w:val="000000"/>
        </w:rPr>
        <w:t>Global</w:t>
      </w:r>
      <w:r w:rsidR="006602B5" w:rsidRPr="009363AA">
        <w:rPr>
          <w:lang w:eastAsia="en-US"/>
        </w:rPr>
        <w:t xml:space="preserve"> Environment Facility Council to begin the process of updating its minimum agency standards and fiduciary policies;</w:t>
      </w:r>
      <w:r w:rsidR="006602B5" w:rsidRPr="009363AA">
        <w:rPr>
          <w:rStyle w:val="FootnoteReference"/>
          <w:lang w:eastAsia="en-US"/>
        </w:rPr>
        <w:footnoteReference w:id="48"/>
      </w:r>
      <w:r w:rsidR="006602B5" w:rsidRPr="009363AA">
        <w:rPr>
          <w:lang w:eastAsia="en-US"/>
        </w:rPr>
        <w:t xml:space="preserve"> </w:t>
      </w:r>
    </w:p>
    <w:p w14:paraId="31AEB0AA" w14:textId="7E5D9615" w:rsidR="006602B5" w:rsidRPr="009363AA" w:rsidRDefault="0032653E" w:rsidP="0032653E">
      <w:pPr>
        <w:pStyle w:val="RegSingleTxtG"/>
        <w:numPr>
          <w:ilvl w:val="0"/>
          <w:numId w:val="0"/>
        </w:numPr>
        <w:ind w:left="1134"/>
        <w:rPr>
          <w:lang w:eastAsia="en-US"/>
        </w:rPr>
      </w:pPr>
      <w:r w:rsidRPr="009363AA">
        <w:rPr>
          <w:lang w:eastAsia="en-US"/>
        </w:rPr>
        <w:t>3.</w:t>
      </w:r>
      <w:r w:rsidRPr="009363AA">
        <w:rPr>
          <w:lang w:eastAsia="en-US"/>
        </w:rPr>
        <w:tab/>
      </w:r>
      <w:r w:rsidR="006602B5" w:rsidRPr="009363AA">
        <w:rPr>
          <w:i/>
          <w:lang w:eastAsia="en-US"/>
        </w:rPr>
        <w:t>Also welcomes</w:t>
      </w:r>
      <w:r w:rsidR="006602B5" w:rsidRPr="009363AA">
        <w:rPr>
          <w:lang w:eastAsia="en-US"/>
        </w:rPr>
        <w:t xml:space="preserve"> the </w:t>
      </w:r>
      <w:r w:rsidR="006602B5" w:rsidRPr="006602B5">
        <w:rPr>
          <w:color w:val="000000"/>
        </w:rPr>
        <w:t>Global</w:t>
      </w:r>
      <w:r w:rsidR="006602B5" w:rsidRPr="009363AA">
        <w:rPr>
          <w:lang w:eastAsia="en-US"/>
        </w:rPr>
        <w:t xml:space="preserve"> Environment Facility Council’s approval of the Global Environment Facility’s policy on ethics and conflict of interest;</w:t>
      </w:r>
      <w:r w:rsidR="006602B5" w:rsidRPr="009363AA">
        <w:rPr>
          <w:rStyle w:val="FootnoteReference"/>
          <w:lang w:eastAsia="en-US"/>
        </w:rPr>
        <w:footnoteReference w:id="49"/>
      </w:r>
    </w:p>
    <w:p w14:paraId="15BC4805" w14:textId="6294B7D7" w:rsidR="006602B5" w:rsidRPr="009363AA" w:rsidRDefault="0032653E" w:rsidP="0032653E">
      <w:pPr>
        <w:pStyle w:val="RegSingleTxtG"/>
        <w:numPr>
          <w:ilvl w:val="0"/>
          <w:numId w:val="0"/>
        </w:numPr>
        <w:ind w:left="1134"/>
        <w:rPr>
          <w:lang w:val="en-US"/>
        </w:rPr>
      </w:pPr>
      <w:r w:rsidRPr="009363AA">
        <w:rPr>
          <w:lang w:val="en-US"/>
        </w:rPr>
        <w:t>4.</w:t>
      </w:r>
      <w:r w:rsidRPr="009363AA">
        <w:rPr>
          <w:lang w:val="en-US"/>
        </w:rPr>
        <w:tab/>
      </w:r>
      <w:r w:rsidR="006602B5" w:rsidRPr="009363AA">
        <w:rPr>
          <w:i/>
          <w:lang w:val="en-US"/>
        </w:rPr>
        <w:t>Reiterates</w:t>
      </w:r>
      <w:r w:rsidR="006602B5" w:rsidRPr="009363AA">
        <w:rPr>
          <w:lang w:val="en-US"/>
        </w:rPr>
        <w:t xml:space="preserve"> its call in </w:t>
      </w:r>
      <w:r w:rsidR="006602B5" w:rsidRPr="006602B5">
        <w:rPr>
          <w:color w:val="000000"/>
        </w:rPr>
        <w:t>decision</w:t>
      </w:r>
      <w:r w:rsidR="006602B5" w:rsidRPr="009363AA">
        <w:rPr>
          <w:lang w:val="en-US"/>
        </w:rPr>
        <w:t xml:space="preserve"> 11/CP.22, paragraph 2,</w:t>
      </w:r>
      <w:r w:rsidR="006602B5" w:rsidRPr="009363AA">
        <w:rPr>
          <w:i/>
          <w:lang w:val="en-US"/>
        </w:rPr>
        <w:t xml:space="preserve"> </w:t>
      </w:r>
      <w:r w:rsidR="006602B5" w:rsidRPr="009363AA">
        <w:rPr>
          <w:lang w:val="en-US"/>
        </w:rPr>
        <w:t>to ensure a robust seventh replenishment</w:t>
      </w:r>
      <w:r w:rsidR="006602B5">
        <w:rPr>
          <w:lang w:val="en-US"/>
        </w:rPr>
        <w:t xml:space="preserve"> </w:t>
      </w:r>
      <w:r w:rsidR="006602B5" w:rsidRPr="009363AA">
        <w:rPr>
          <w:lang w:val="en-US"/>
        </w:rPr>
        <w:t>in order to assist in providing adequate and predictable funding, taking into consideration the Paris Agreement as well as the request of the Conference of the Parties to the Global Environment Facility contained in decision 11/CP.22, paragraph 3;</w:t>
      </w:r>
    </w:p>
    <w:p w14:paraId="7323AE9F" w14:textId="755BECB4" w:rsidR="006602B5" w:rsidRPr="009363AA" w:rsidRDefault="0032653E" w:rsidP="0032653E">
      <w:pPr>
        <w:pStyle w:val="RegSingleTxtG"/>
        <w:numPr>
          <w:ilvl w:val="0"/>
          <w:numId w:val="0"/>
        </w:numPr>
        <w:ind w:left="1134"/>
        <w:rPr>
          <w:lang w:eastAsia="en-US"/>
        </w:rPr>
      </w:pPr>
      <w:r w:rsidRPr="009363AA">
        <w:rPr>
          <w:lang w:eastAsia="en-US"/>
        </w:rPr>
        <w:t>5.</w:t>
      </w:r>
      <w:r w:rsidRPr="009363AA">
        <w:rPr>
          <w:lang w:eastAsia="en-US"/>
        </w:rPr>
        <w:tab/>
      </w:r>
      <w:r w:rsidR="006602B5" w:rsidRPr="009363AA">
        <w:rPr>
          <w:i/>
          <w:lang w:eastAsia="en-US"/>
        </w:rPr>
        <w:t>Requests</w:t>
      </w:r>
      <w:r w:rsidR="006602B5" w:rsidRPr="009363AA">
        <w:rPr>
          <w:lang w:eastAsia="en-US"/>
        </w:rPr>
        <w:t xml:space="preserve"> the Global Environment Facility to enhance the consultation process with developing country Parties and other stakeholders in </w:t>
      </w:r>
      <w:r w:rsidR="006602B5" w:rsidRPr="006602B5">
        <w:rPr>
          <w:color w:val="000000"/>
        </w:rPr>
        <w:t>the</w:t>
      </w:r>
      <w:r w:rsidR="006602B5" w:rsidRPr="009363AA">
        <w:rPr>
          <w:lang w:eastAsia="en-US"/>
        </w:rPr>
        <w:t xml:space="preserve"> context of the Global Environment Facility replenishment process; </w:t>
      </w:r>
    </w:p>
    <w:p w14:paraId="3AEEFC8D" w14:textId="57DA8638" w:rsidR="006602B5" w:rsidRPr="0098511A" w:rsidRDefault="0032653E" w:rsidP="0032653E">
      <w:pPr>
        <w:pStyle w:val="RegSingleTxtG"/>
        <w:numPr>
          <w:ilvl w:val="0"/>
          <w:numId w:val="0"/>
        </w:numPr>
        <w:ind w:left="1134"/>
      </w:pPr>
      <w:r w:rsidRPr="0098511A">
        <w:t>6.</w:t>
      </w:r>
      <w:r w:rsidRPr="0098511A">
        <w:tab/>
      </w:r>
      <w:r w:rsidR="006602B5" w:rsidRPr="0098511A">
        <w:rPr>
          <w:i/>
        </w:rPr>
        <w:t xml:space="preserve">Noting </w:t>
      </w:r>
      <w:r w:rsidR="006602B5" w:rsidRPr="0098511A">
        <w:t xml:space="preserve">the importance of the existing allocation for climate change, </w:t>
      </w:r>
      <w:r w:rsidR="006602B5" w:rsidRPr="0098511A">
        <w:rPr>
          <w:i/>
        </w:rPr>
        <w:t>requests</w:t>
      </w:r>
      <w:r w:rsidR="006602B5" w:rsidRPr="0098511A">
        <w:t xml:space="preserve"> the Global Environment Facility to further consider the needs and priorities of developing countries in the allocation for the climate change focal area in its seventh replenishment </w:t>
      </w:r>
      <w:r w:rsidR="006602B5" w:rsidRPr="006602B5">
        <w:rPr>
          <w:color w:val="000000"/>
        </w:rPr>
        <w:t>period</w:t>
      </w:r>
      <w:r w:rsidR="006602B5" w:rsidRPr="0098511A">
        <w:t>;</w:t>
      </w:r>
    </w:p>
    <w:p w14:paraId="7D5B918C" w14:textId="21E7E21F" w:rsidR="006602B5" w:rsidRPr="006602B5" w:rsidRDefault="0032653E" w:rsidP="0032653E">
      <w:pPr>
        <w:pStyle w:val="RegSingleTxtG"/>
        <w:numPr>
          <w:ilvl w:val="0"/>
          <w:numId w:val="0"/>
        </w:numPr>
        <w:ind w:left="1134"/>
        <w:rPr>
          <w:rFonts w:cs="Arial"/>
          <w:color w:val="000000"/>
        </w:rPr>
      </w:pPr>
      <w:r w:rsidRPr="006602B5">
        <w:rPr>
          <w:rFonts w:cs="Arial"/>
          <w:color w:val="000000"/>
        </w:rPr>
        <w:t>7.</w:t>
      </w:r>
      <w:r w:rsidRPr="006602B5">
        <w:rPr>
          <w:rFonts w:cs="Arial"/>
          <w:color w:val="000000"/>
        </w:rPr>
        <w:tab/>
      </w:r>
      <w:r w:rsidR="006602B5" w:rsidRPr="0098511A">
        <w:rPr>
          <w:i/>
          <w:lang w:val="en-US"/>
        </w:rPr>
        <w:t>Requests</w:t>
      </w:r>
      <w:r w:rsidR="006602B5" w:rsidRPr="0098511A">
        <w:rPr>
          <w:lang w:val="en-US"/>
        </w:rPr>
        <w:t xml:space="preserve"> the Global Environment Facility to continue implementing in its seventh replenishment period its established policies for grants and concessional funding, in support of developing country Parties, in line with the provisions of the Convention, relevant decisions of the Conference of the Parties and the Instrument for the Establishment of</w:t>
      </w:r>
      <w:r w:rsidR="006602B5" w:rsidRPr="00F339A2">
        <w:rPr>
          <w:lang w:val="en-US"/>
        </w:rPr>
        <w:t xml:space="preserve"> the Restructured</w:t>
      </w:r>
      <w:r w:rsidR="006602B5">
        <w:rPr>
          <w:lang w:val="en-US"/>
        </w:rPr>
        <w:t xml:space="preserve"> </w:t>
      </w:r>
      <w:r w:rsidR="006602B5" w:rsidRPr="00F339A2">
        <w:rPr>
          <w:lang w:val="en-US"/>
        </w:rPr>
        <w:t>Global Environment Facility;</w:t>
      </w:r>
    </w:p>
    <w:p w14:paraId="3CEBB061" w14:textId="209F7F6B" w:rsidR="006602B5" w:rsidRDefault="0032653E" w:rsidP="0032653E">
      <w:pPr>
        <w:pStyle w:val="RegSingleTxtG"/>
        <w:numPr>
          <w:ilvl w:val="0"/>
          <w:numId w:val="0"/>
        </w:numPr>
        <w:ind w:left="1134"/>
        <w:rPr>
          <w:lang w:val="en-US"/>
        </w:rPr>
      </w:pPr>
      <w:r>
        <w:rPr>
          <w:lang w:val="en-US"/>
        </w:rPr>
        <w:t>8.</w:t>
      </w:r>
      <w:r>
        <w:rPr>
          <w:lang w:val="en-US"/>
        </w:rPr>
        <w:tab/>
      </w:r>
      <w:r w:rsidR="006602B5" w:rsidRPr="009363AA">
        <w:rPr>
          <w:i/>
          <w:lang w:val="en-US"/>
        </w:rPr>
        <w:t>Welcomes</w:t>
      </w:r>
      <w:r w:rsidR="006602B5" w:rsidRPr="009363AA">
        <w:rPr>
          <w:lang w:val="en-US"/>
        </w:rPr>
        <w:t xml:space="preserve"> the operationalization of the Capacity-building Initiative for Transparency and projects approved during the reporting period, and </w:t>
      </w:r>
      <w:r w:rsidR="006602B5" w:rsidRPr="009363AA">
        <w:rPr>
          <w:i/>
          <w:lang w:val="en-US"/>
        </w:rPr>
        <w:t xml:space="preserve">requests </w:t>
      </w:r>
      <w:r w:rsidR="006602B5" w:rsidRPr="009363AA">
        <w:rPr>
          <w:lang w:val="en-US"/>
        </w:rPr>
        <w:t xml:space="preserve">the Global Environment Facility to provide adequate support to assist </w:t>
      </w:r>
      <w:r w:rsidR="006602B5">
        <w:rPr>
          <w:lang w:val="en-US"/>
        </w:rPr>
        <w:t>developing country Parties</w:t>
      </w:r>
      <w:r w:rsidR="006602B5" w:rsidRPr="009363AA">
        <w:rPr>
          <w:lang w:val="en-US"/>
        </w:rPr>
        <w:t>, in line with decision 1/CP.21</w:t>
      </w:r>
      <w:r w:rsidR="00615371">
        <w:rPr>
          <w:lang w:val="en-US"/>
        </w:rPr>
        <w:t>,</w:t>
      </w:r>
      <w:r w:rsidR="006602B5" w:rsidRPr="009363AA">
        <w:rPr>
          <w:lang w:val="en-US"/>
        </w:rPr>
        <w:t xml:space="preserve"> paragraph 86; </w:t>
      </w:r>
    </w:p>
    <w:p w14:paraId="38DA5148" w14:textId="2B66C4FA" w:rsidR="006602B5" w:rsidRPr="009363AA" w:rsidRDefault="0032653E" w:rsidP="0032653E">
      <w:pPr>
        <w:pStyle w:val="RegSingleTxtG"/>
        <w:numPr>
          <w:ilvl w:val="0"/>
          <w:numId w:val="0"/>
        </w:numPr>
        <w:ind w:left="1134"/>
        <w:rPr>
          <w:lang w:val="en-US"/>
        </w:rPr>
      </w:pPr>
      <w:r w:rsidRPr="009363AA">
        <w:rPr>
          <w:lang w:val="en-US"/>
        </w:rPr>
        <w:t>9.</w:t>
      </w:r>
      <w:r w:rsidRPr="009363AA">
        <w:rPr>
          <w:lang w:val="en-US"/>
        </w:rPr>
        <w:tab/>
      </w:r>
      <w:r w:rsidR="006602B5" w:rsidRPr="0098511A">
        <w:rPr>
          <w:i/>
          <w:lang w:val="en-US"/>
        </w:rPr>
        <w:t>Notes</w:t>
      </w:r>
      <w:r w:rsidR="006602B5" w:rsidRPr="0098511A">
        <w:rPr>
          <w:lang w:val="en-US"/>
        </w:rPr>
        <w:t xml:space="preserve"> the </w:t>
      </w:r>
      <w:r w:rsidR="006602B5">
        <w:rPr>
          <w:lang w:val="en-US"/>
        </w:rPr>
        <w:t xml:space="preserve">Global Environment Facility Council </w:t>
      </w:r>
      <w:r w:rsidR="006602B5" w:rsidRPr="0098511A">
        <w:rPr>
          <w:lang w:val="en-US"/>
        </w:rPr>
        <w:t>decision GEF/C.50/07</w:t>
      </w:r>
      <w:r w:rsidR="006602B5">
        <w:rPr>
          <w:rStyle w:val="FootnoteReference"/>
          <w:lang w:val="en-US"/>
        </w:rPr>
        <w:footnoteReference w:id="50"/>
      </w:r>
      <w:r w:rsidR="006602B5" w:rsidRPr="0098511A">
        <w:rPr>
          <w:lang w:val="en-US"/>
        </w:rPr>
        <w:t xml:space="preserve"> and its conclusions, and </w:t>
      </w:r>
      <w:r w:rsidR="006602B5" w:rsidRPr="004A0B0C">
        <w:rPr>
          <w:i/>
          <w:lang w:val="en-US"/>
        </w:rPr>
        <w:t xml:space="preserve">invites </w:t>
      </w:r>
      <w:r w:rsidR="006602B5" w:rsidRPr="0098511A">
        <w:rPr>
          <w:lang w:val="en-US"/>
        </w:rPr>
        <w:t xml:space="preserve">the </w:t>
      </w:r>
      <w:r w:rsidR="006602B5">
        <w:rPr>
          <w:lang w:val="en-US"/>
        </w:rPr>
        <w:t xml:space="preserve">Global Environment Facility </w:t>
      </w:r>
      <w:r w:rsidR="006602B5" w:rsidRPr="0098511A">
        <w:rPr>
          <w:lang w:val="en-US"/>
        </w:rPr>
        <w:t xml:space="preserve">to further consider ways to improve its access modalities for developing country Parties, including </w:t>
      </w:r>
      <w:r w:rsidR="006602B5">
        <w:rPr>
          <w:lang w:val="en-US"/>
        </w:rPr>
        <w:t xml:space="preserve">small island developing States </w:t>
      </w:r>
      <w:r w:rsidR="006602B5" w:rsidRPr="0098511A">
        <w:rPr>
          <w:lang w:val="en-US"/>
        </w:rPr>
        <w:t xml:space="preserve">and </w:t>
      </w:r>
      <w:r w:rsidR="006602B5">
        <w:rPr>
          <w:lang w:val="en-US"/>
        </w:rPr>
        <w:t>the least developed countries</w:t>
      </w:r>
      <w:r w:rsidR="006602B5" w:rsidRPr="0098511A">
        <w:rPr>
          <w:lang w:val="en-US"/>
        </w:rPr>
        <w:t>;</w:t>
      </w:r>
    </w:p>
    <w:p w14:paraId="2A6CFB0B" w14:textId="2431F3E8" w:rsidR="006602B5" w:rsidRPr="009363AA" w:rsidRDefault="0032653E" w:rsidP="0032653E">
      <w:pPr>
        <w:pStyle w:val="RegSingleTxtG"/>
        <w:numPr>
          <w:ilvl w:val="0"/>
          <w:numId w:val="0"/>
        </w:numPr>
        <w:ind w:left="1134"/>
        <w:rPr>
          <w:lang w:eastAsia="en-US"/>
        </w:rPr>
      </w:pPr>
      <w:r w:rsidRPr="009363AA">
        <w:rPr>
          <w:lang w:eastAsia="en-US"/>
        </w:rPr>
        <w:lastRenderedPageBreak/>
        <w:t>10.</w:t>
      </w:r>
      <w:r w:rsidRPr="009363AA">
        <w:rPr>
          <w:lang w:eastAsia="en-US"/>
        </w:rPr>
        <w:tab/>
      </w:r>
      <w:r w:rsidR="00615371">
        <w:rPr>
          <w:i/>
          <w:lang w:eastAsia="en-US"/>
        </w:rPr>
        <w:t>R</w:t>
      </w:r>
      <w:r w:rsidR="006602B5" w:rsidRPr="009363AA">
        <w:rPr>
          <w:i/>
          <w:lang w:eastAsia="en-US"/>
        </w:rPr>
        <w:t>equests</w:t>
      </w:r>
      <w:r w:rsidR="006602B5" w:rsidRPr="009363AA">
        <w:rPr>
          <w:lang w:eastAsia="en-US"/>
        </w:rPr>
        <w:t xml:space="preserve"> the Global Environment Facility, as appropriate, to ensure that its policies and procedures related to the consideration and review of funding proposals be duly followed in an efficient manner;</w:t>
      </w:r>
    </w:p>
    <w:p w14:paraId="31E79E34" w14:textId="3F86748C" w:rsidR="006602B5" w:rsidRPr="009363AA" w:rsidRDefault="0032653E" w:rsidP="0032653E">
      <w:pPr>
        <w:pStyle w:val="RegSingleTxtG"/>
        <w:numPr>
          <w:ilvl w:val="0"/>
          <w:numId w:val="0"/>
        </w:numPr>
        <w:ind w:left="1134"/>
        <w:rPr>
          <w:lang w:eastAsia="en-US"/>
        </w:rPr>
      </w:pPr>
      <w:r w:rsidRPr="009363AA">
        <w:rPr>
          <w:lang w:eastAsia="en-US"/>
        </w:rPr>
        <w:t>11.</w:t>
      </w:r>
      <w:r w:rsidRPr="009363AA">
        <w:rPr>
          <w:lang w:eastAsia="en-US"/>
        </w:rPr>
        <w:tab/>
      </w:r>
      <w:r w:rsidR="006602B5" w:rsidRPr="009363AA">
        <w:rPr>
          <w:i/>
        </w:rPr>
        <w:t>Encourages</w:t>
      </w:r>
      <w:r w:rsidR="006602B5" w:rsidRPr="009363AA">
        <w:t xml:space="preserve"> the </w:t>
      </w:r>
      <w:r w:rsidR="006602B5" w:rsidRPr="009363AA">
        <w:rPr>
          <w:lang w:eastAsia="en-US"/>
        </w:rPr>
        <w:t>Global Environment Facility</w:t>
      </w:r>
      <w:r w:rsidR="006602B5" w:rsidRPr="009363AA">
        <w:t xml:space="preserve"> to further enhance engagement with the private sector, including in its technology projects;</w:t>
      </w:r>
    </w:p>
    <w:p w14:paraId="1DACF620" w14:textId="730FC85C" w:rsidR="006602B5" w:rsidRPr="009363AA" w:rsidRDefault="0032653E" w:rsidP="0032653E">
      <w:pPr>
        <w:pStyle w:val="RegSingleTxtG"/>
        <w:numPr>
          <w:ilvl w:val="0"/>
          <w:numId w:val="0"/>
        </w:numPr>
        <w:ind w:left="1134"/>
      </w:pPr>
      <w:r w:rsidRPr="009363AA">
        <w:t>12.</w:t>
      </w:r>
      <w:r w:rsidRPr="009363AA">
        <w:tab/>
      </w:r>
      <w:r w:rsidR="006602B5" w:rsidRPr="009363AA">
        <w:rPr>
          <w:i/>
        </w:rPr>
        <w:t>Invites</w:t>
      </w:r>
      <w:r w:rsidR="006602B5" w:rsidRPr="009363AA">
        <w:t xml:space="preserve"> the Global Environment Facility to allocate provisions in the climate change focal area of its seventh replenishment for supporting developing country Parties in undertaking technology needs assessments and piloting priority technology projects to foster innovation and investment;</w:t>
      </w:r>
    </w:p>
    <w:p w14:paraId="0F6AFD2C" w14:textId="2CBD3E67" w:rsidR="006602B5" w:rsidRPr="009363AA" w:rsidRDefault="0032653E" w:rsidP="0032653E">
      <w:pPr>
        <w:pStyle w:val="RegSingleTxtG"/>
        <w:numPr>
          <w:ilvl w:val="0"/>
          <w:numId w:val="0"/>
        </w:numPr>
        <w:ind w:left="1134"/>
      </w:pPr>
      <w:r w:rsidRPr="009363AA">
        <w:t>13.</w:t>
      </w:r>
      <w:r w:rsidRPr="009363AA">
        <w:tab/>
      </w:r>
      <w:r w:rsidR="006602B5" w:rsidRPr="009363AA">
        <w:rPr>
          <w:i/>
        </w:rPr>
        <w:t>Also invites</w:t>
      </w:r>
      <w:r w:rsidR="006602B5" w:rsidRPr="009363AA">
        <w:t xml:space="preserve"> the Global Environment Facility to include information in its reports to the Conference of the Parties on:</w:t>
      </w:r>
    </w:p>
    <w:p w14:paraId="167F48C5" w14:textId="79CF9CBF" w:rsidR="006602B5" w:rsidRPr="009363AA" w:rsidRDefault="0032653E" w:rsidP="0032653E">
      <w:pPr>
        <w:pStyle w:val="RegSingleTxtG"/>
        <w:numPr>
          <w:ilvl w:val="0"/>
          <w:numId w:val="0"/>
        </w:numPr>
        <w:tabs>
          <w:tab w:val="clear" w:pos="1701"/>
          <w:tab w:val="left" w:pos="1702"/>
        </w:tabs>
        <w:ind w:left="1134" w:firstLine="567"/>
      </w:pPr>
      <w:r w:rsidRPr="009363AA">
        <w:rPr>
          <w:szCs w:val="28"/>
        </w:rPr>
        <w:t>(a)</w:t>
      </w:r>
      <w:r w:rsidRPr="009363AA">
        <w:rPr>
          <w:szCs w:val="28"/>
        </w:rPr>
        <w:tab/>
      </w:r>
      <w:r w:rsidR="006602B5" w:rsidRPr="009363AA">
        <w:t>The collaboration between the Global Environment Facility focal points and the national designated entities for technology development and transfer, as communicated by the Climate Technology Centre and Network to the Global Environment Facility;</w:t>
      </w:r>
      <w:r w:rsidR="006602B5" w:rsidRPr="009363AA">
        <w:rPr>
          <w:rStyle w:val="FootnoteReference"/>
        </w:rPr>
        <w:footnoteReference w:id="51"/>
      </w:r>
    </w:p>
    <w:p w14:paraId="2C17617E" w14:textId="78769F71" w:rsidR="006602B5" w:rsidRPr="009363AA" w:rsidRDefault="0032653E" w:rsidP="0032653E">
      <w:pPr>
        <w:pStyle w:val="RegSingleTxtG"/>
        <w:numPr>
          <w:ilvl w:val="0"/>
          <w:numId w:val="0"/>
        </w:numPr>
        <w:tabs>
          <w:tab w:val="clear" w:pos="1701"/>
          <w:tab w:val="left" w:pos="1702"/>
        </w:tabs>
        <w:ind w:left="1134" w:firstLine="567"/>
      </w:pPr>
      <w:r w:rsidRPr="009363AA">
        <w:rPr>
          <w:szCs w:val="28"/>
        </w:rPr>
        <w:t>(b)</w:t>
      </w:r>
      <w:r w:rsidRPr="009363AA">
        <w:rPr>
          <w:szCs w:val="28"/>
        </w:rPr>
        <w:tab/>
      </w:r>
      <w:r w:rsidR="006602B5" w:rsidRPr="009363AA">
        <w:t xml:space="preserve">Whether and how Parties have used their System for Transparent Allocation of Resources allocation for piloting the implementation of the </w:t>
      </w:r>
      <w:r w:rsidR="006602B5" w:rsidRPr="006602B5">
        <w:rPr>
          <w:color w:val="000000"/>
        </w:rPr>
        <w:t>technology</w:t>
      </w:r>
      <w:r w:rsidR="006602B5" w:rsidRPr="009363AA">
        <w:t xml:space="preserve"> needs assessment results;</w:t>
      </w:r>
      <w:r w:rsidR="006602B5" w:rsidRPr="009363AA">
        <w:rPr>
          <w:rStyle w:val="FootnoteReference"/>
        </w:rPr>
        <w:footnoteReference w:id="52"/>
      </w:r>
    </w:p>
    <w:p w14:paraId="1803F3E5" w14:textId="30E2662D" w:rsidR="006602B5" w:rsidRPr="009363AA" w:rsidRDefault="0032653E" w:rsidP="0032653E">
      <w:pPr>
        <w:pStyle w:val="RegSingleTxtG"/>
        <w:numPr>
          <w:ilvl w:val="0"/>
          <w:numId w:val="0"/>
        </w:numPr>
        <w:ind w:left="1134"/>
        <w:rPr>
          <w:lang w:eastAsia="en-US"/>
        </w:rPr>
      </w:pPr>
      <w:r w:rsidRPr="009363AA">
        <w:rPr>
          <w:lang w:eastAsia="en-US"/>
        </w:rPr>
        <w:t>14.</w:t>
      </w:r>
      <w:r w:rsidRPr="009363AA">
        <w:rPr>
          <w:lang w:eastAsia="en-US"/>
        </w:rPr>
        <w:tab/>
      </w:r>
      <w:r w:rsidR="006602B5">
        <w:rPr>
          <w:i/>
        </w:rPr>
        <w:t>Further i</w:t>
      </w:r>
      <w:r w:rsidR="006602B5" w:rsidRPr="009363AA">
        <w:rPr>
          <w:i/>
        </w:rPr>
        <w:t xml:space="preserve">nvites </w:t>
      </w:r>
      <w:r w:rsidR="006602B5" w:rsidRPr="009363AA">
        <w:t>Parties to submit via the submission portal,</w:t>
      </w:r>
      <w:r w:rsidR="006602B5" w:rsidRPr="009363AA">
        <w:rPr>
          <w:rStyle w:val="FootnoteReference"/>
        </w:rPr>
        <w:footnoteReference w:id="53"/>
      </w:r>
      <w:r w:rsidR="006602B5" w:rsidRPr="009363AA">
        <w:t xml:space="preserve"> no later than 10 weeks prior to the twenty-fourth session of the Conference of the Parties (December 2018), their views and recommendations on the elements to be taken into account in developing guidance for the </w:t>
      </w:r>
      <w:r w:rsidR="006602B5" w:rsidRPr="009363AA">
        <w:rPr>
          <w:lang w:eastAsia="en-US"/>
        </w:rPr>
        <w:t>Global Environment Facility</w:t>
      </w:r>
      <w:r w:rsidR="006602B5" w:rsidRPr="006602B5">
        <w:rPr>
          <w:lang w:eastAsia="nl-NL"/>
        </w:rPr>
        <w:t xml:space="preserve">; </w:t>
      </w:r>
    </w:p>
    <w:p w14:paraId="6AB058DA" w14:textId="720E7D1B" w:rsidR="006602B5" w:rsidRDefault="0032653E" w:rsidP="0032653E">
      <w:pPr>
        <w:pStyle w:val="RegSingleTxtG"/>
        <w:numPr>
          <w:ilvl w:val="0"/>
          <w:numId w:val="0"/>
        </w:numPr>
        <w:ind w:left="1134"/>
        <w:rPr>
          <w:lang w:eastAsia="en-US"/>
        </w:rPr>
      </w:pPr>
      <w:r>
        <w:rPr>
          <w:lang w:eastAsia="en-US"/>
        </w:rPr>
        <w:t>15.</w:t>
      </w:r>
      <w:r>
        <w:rPr>
          <w:lang w:eastAsia="en-US"/>
        </w:rPr>
        <w:tab/>
      </w:r>
      <w:r w:rsidR="006602B5">
        <w:rPr>
          <w:i/>
        </w:rPr>
        <w:t>Requests</w:t>
      </w:r>
      <w:r w:rsidR="006602B5">
        <w:t xml:space="preserve"> the Standing Committee on Finance to take into consideration the submissions referred to in paragraph 14 above when providing its draft guidance for the </w:t>
      </w:r>
      <w:r w:rsidR="006602B5">
        <w:rPr>
          <w:lang w:eastAsia="en-US"/>
        </w:rPr>
        <w:t>Global Environment Facility</w:t>
      </w:r>
      <w:r w:rsidR="006602B5" w:rsidRPr="006602B5">
        <w:rPr>
          <w:lang w:eastAsia="nl-NL"/>
        </w:rPr>
        <w:t xml:space="preserve"> </w:t>
      </w:r>
      <w:r w:rsidR="006602B5">
        <w:t>for consideration by the Conference of the Parties;</w:t>
      </w:r>
    </w:p>
    <w:p w14:paraId="0A4D9A09" w14:textId="53940EF4" w:rsidR="006602B5" w:rsidRPr="009363AA" w:rsidRDefault="0032653E" w:rsidP="0032653E">
      <w:pPr>
        <w:pStyle w:val="RegSingleTxtG"/>
        <w:numPr>
          <w:ilvl w:val="0"/>
          <w:numId w:val="0"/>
        </w:numPr>
        <w:ind w:left="1134"/>
        <w:rPr>
          <w:lang w:eastAsia="en-US"/>
        </w:rPr>
      </w:pPr>
      <w:r w:rsidRPr="009363AA">
        <w:rPr>
          <w:lang w:eastAsia="en-US"/>
        </w:rPr>
        <w:t>16.</w:t>
      </w:r>
      <w:r w:rsidRPr="009363AA">
        <w:rPr>
          <w:lang w:eastAsia="en-US"/>
        </w:rPr>
        <w:tab/>
      </w:r>
      <w:r w:rsidR="006602B5" w:rsidRPr="006B2A5F">
        <w:rPr>
          <w:i/>
        </w:rPr>
        <w:t>Also requests</w:t>
      </w:r>
      <w:r w:rsidR="006602B5" w:rsidRPr="009363AA">
        <w:t xml:space="preserve"> the </w:t>
      </w:r>
      <w:r w:rsidR="006602B5" w:rsidRPr="009363AA">
        <w:rPr>
          <w:lang w:eastAsia="en-US"/>
        </w:rPr>
        <w:t>Global Environment Facility</w:t>
      </w:r>
      <w:r w:rsidR="006602B5" w:rsidRPr="009363AA">
        <w:t xml:space="preserve"> to include in its annual report to the Conference of the Parties information on the steps that it has taken to implement the guidance provided in this decision.</w:t>
      </w:r>
      <w:r w:rsidR="006602B5">
        <w:t xml:space="preserve"> </w:t>
      </w:r>
    </w:p>
    <w:p w14:paraId="72537BE8" w14:textId="0C6C65B0" w:rsidR="006602B5" w:rsidRPr="002A19D4" w:rsidRDefault="000D7190" w:rsidP="006602B5">
      <w:pPr>
        <w:jc w:val="right"/>
        <w:rPr>
          <w:i/>
        </w:rPr>
      </w:pPr>
      <w:r>
        <w:rPr>
          <w:i/>
        </w:rPr>
        <w:t>14</w:t>
      </w:r>
      <w:r w:rsidR="006602B5" w:rsidRPr="000D7190">
        <w:rPr>
          <w:i/>
          <w:vertAlign w:val="superscript"/>
        </w:rPr>
        <w:t>th</w:t>
      </w:r>
      <w:r w:rsidR="006602B5" w:rsidRPr="000D7190">
        <w:rPr>
          <w:i/>
        </w:rPr>
        <w:t xml:space="preserve"> plenary meeting</w:t>
      </w:r>
    </w:p>
    <w:p w14:paraId="07C579EE" w14:textId="77777777" w:rsidR="006602B5" w:rsidRDefault="006602B5" w:rsidP="006602B5">
      <w:pPr>
        <w:jc w:val="right"/>
        <w:rPr>
          <w:i/>
        </w:rPr>
        <w:sectPr w:rsidR="006602B5" w:rsidSect="00CA22E4">
          <w:headerReference w:type="even" r:id="rId58"/>
          <w:headerReference w:type="default" r:id="rId59"/>
          <w:footerReference w:type="even" r:id="rId60"/>
          <w:footerReference w:type="default" r:id="rId61"/>
          <w:footnotePr>
            <w:numRestart w:val="eachSect"/>
          </w:footnotePr>
          <w:pgSz w:w="11906" w:h="16838" w:code="9"/>
          <w:pgMar w:top="1417" w:right="1134" w:bottom="1134" w:left="1134" w:header="850" w:footer="567" w:gutter="0"/>
          <w:cols w:space="708"/>
          <w:docGrid w:linePitch="360"/>
        </w:sectPr>
      </w:pPr>
      <w:r w:rsidRPr="002A19D4">
        <w:rPr>
          <w:i/>
        </w:rPr>
        <w:t>1</w:t>
      </w:r>
      <w:r>
        <w:rPr>
          <w:i/>
        </w:rPr>
        <w:t>8</w:t>
      </w:r>
      <w:r w:rsidRPr="002A19D4">
        <w:rPr>
          <w:i/>
        </w:rPr>
        <w:t xml:space="preserve"> November 2017</w:t>
      </w:r>
    </w:p>
    <w:p w14:paraId="5A2B4591" w14:textId="3E346AA3" w:rsidR="006602B5" w:rsidRDefault="006602B5" w:rsidP="006602B5">
      <w:pPr>
        <w:pStyle w:val="HChG"/>
      </w:pPr>
      <w:r>
        <w:lastRenderedPageBreak/>
        <w:tab/>
      </w:r>
      <w:r>
        <w:tab/>
        <w:t>Decision 11/CP</w:t>
      </w:r>
      <w:r w:rsidR="00AC1022">
        <w:t>.</w:t>
      </w:r>
      <w:r>
        <w:t>23</w:t>
      </w:r>
    </w:p>
    <w:p w14:paraId="6191FDC7" w14:textId="081DF4F4" w:rsidR="006602B5" w:rsidRDefault="006602B5" w:rsidP="006602B5">
      <w:pPr>
        <w:pStyle w:val="HChG"/>
      </w:pPr>
      <w:r>
        <w:tab/>
      </w:r>
      <w:r>
        <w:tab/>
      </w:r>
      <w:r w:rsidRPr="008F0F78">
        <w:t>Sixth review of the Financial Mechanism</w:t>
      </w:r>
    </w:p>
    <w:p w14:paraId="38C19AD4" w14:textId="77777777" w:rsidR="006602B5" w:rsidRPr="000754FC" w:rsidRDefault="006602B5" w:rsidP="006602B5">
      <w:pPr>
        <w:spacing w:before="120"/>
        <w:ind w:left="1134" w:right="1174" w:firstLine="567"/>
        <w:rPr>
          <w:i/>
        </w:rPr>
      </w:pPr>
      <w:r w:rsidRPr="000754FC">
        <w:rPr>
          <w:i/>
        </w:rPr>
        <w:t>The Conference of the Parties</w:t>
      </w:r>
      <w:r w:rsidRPr="00AF0F3C">
        <w:t>,</w:t>
      </w:r>
    </w:p>
    <w:p w14:paraId="765D8131" w14:textId="77777777" w:rsidR="006602B5" w:rsidRDefault="006602B5" w:rsidP="006602B5">
      <w:pPr>
        <w:spacing w:before="120"/>
        <w:ind w:left="1134" w:right="1174" w:firstLine="567"/>
      </w:pPr>
      <w:r w:rsidRPr="000754FC">
        <w:rPr>
          <w:i/>
        </w:rPr>
        <w:t>Recalling</w:t>
      </w:r>
      <w:r>
        <w:t xml:space="preserve"> </w:t>
      </w:r>
      <w:r w:rsidRPr="00773B21">
        <w:t>decision 12/CP.22</w:t>
      </w:r>
      <w:r>
        <w:t>,</w:t>
      </w:r>
    </w:p>
    <w:p w14:paraId="7C322E42" w14:textId="32391980" w:rsidR="006602B5" w:rsidRPr="008F0F78" w:rsidRDefault="0032653E" w:rsidP="0032653E">
      <w:pPr>
        <w:pStyle w:val="RegSingleTxtG"/>
        <w:numPr>
          <w:ilvl w:val="0"/>
          <w:numId w:val="0"/>
        </w:numPr>
        <w:spacing w:before="120"/>
        <w:ind w:left="1134"/>
      </w:pPr>
      <w:r w:rsidRPr="008F0F78">
        <w:t>1.</w:t>
      </w:r>
      <w:r w:rsidRPr="008F0F78">
        <w:tab/>
      </w:r>
      <w:r w:rsidR="006602B5" w:rsidRPr="006602B5">
        <w:rPr>
          <w:i/>
          <w:lang w:val="en-US"/>
        </w:rPr>
        <w:t xml:space="preserve">Notes </w:t>
      </w:r>
      <w:r w:rsidR="006602B5" w:rsidRPr="006602B5">
        <w:rPr>
          <w:lang w:val="en-US"/>
        </w:rPr>
        <w:t>the expert input of the Standing Committee on Finance to the sixth review of the Financial Mechanism;</w:t>
      </w:r>
      <w:r w:rsidR="006602B5">
        <w:rPr>
          <w:rStyle w:val="FootnoteReference"/>
          <w:lang w:val="en-US"/>
        </w:rPr>
        <w:footnoteReference w:id="54"/>
      </w:r>
    </w:p>
    <w:p w14:paraId="2C2584C0" w14:textId="71E9D263" w:rsidR="006602B5" w:rsidRDefault="0032653E" w:rsidP="0032653E">
      <w:pPr>
        <w:pStyle w:val="RegSingleTxtG"/>
        <w:numPr>
          <w:ilvl w:val="0"/>
          <w:numId w:val="0"/>
        </w:numPr>
        <w:ind w:left="1134"/>
      </w:pPr>
      <w:r>
        <w:t>2.</w:t>
      </w:r>
      <w:r>
        <w:tab/>
      </w:r>
      <w:r w:rsidR="006602B5" w:rsidRPr="008F0F78">
        <w:rPr>
          <w:i/>
        </w:rPr>
        <w:t>Takes note</w:t>
      </w:r>
      <w:r w:rsidR="006602B5" w:rsidRPr="008F0F78">
        <w:t xml:space="preserve"> </w:t>
      </w:r>
      <w:r w:rsidR="006602B5">
        <w:t xml:space="preserve">of </w:t>
      </w:r>
      <w:r w:rsidR="006602B5" w:rsidRPr="008F0F78">
        <w:t>the efforts made by the operating entities of the Financial Mechanism to enhance complementarity and coherence between them and between the operating entities and other sources of investment and financial flows;</w:t>
      </w:r>
    </w:p>
    <w:p w14:paraId="36628D72" w14:textId="4E3F6A9C" w:rsidR="006602B5" w:rsidRPr="008F0F78" w:rsidRDefault="0032653E" w:rsidP="0032653E">
      <w:pPr>
        <w:pStyle w:val="RegSingleTxtG"/>
        <w:numPr>
          <w:ilvl w:val="0"/>
          <w:numId w:val="0"/>
        </w:numPr>
        <w:ind w:left="1134"/>
      </w:pPr>
      <w:r w:rsidRPr="008F0F78">
        <w:t>3.</w:t>
      </w:r>
      <w:r w:rsidRPr="008F0F78">
        <w:tab/>
      </w:r>
      <w:r w:rsidR="006602B5">
        <w:rPr>
          <w:i/>
          <w:lang w:val="en-US"/>
        </w:rPr>
        <w:t xml:space="preserve">Requests </w:t>
      </w:r>
      <w:r w:rsidR="006602B5">
        <w:rPr>
          <w:lang w:val="en-US"/>
        </w:rPr>
        <w:t>the operating entities of the Financial Mechanism to continue to enhance complementarity</w:t>
      </w:r>
      <w:r w:rsidR="006602B5">
        <w:t xml:space="preserve"> </w:t>
      </w:r>
      <w:r w:rsidR="006602B5">
        <w:rPr>
          <w:rFonts w:hint="eastAsia"/>
          <w:lang w:val="en-US" w:eastAsia="ko-KR"/>
        </w:rPr>
        <w:t>and coherence</w:t>
      </w:r>
      <w:r w:rsidR="006602B5">
        <w:rPr>
          <w:lang w:val="en-US"/>
        </w:rPr>
        <w:t>;</w:t>
      </w:r>
    </w:p>
    <w:p w14:paraId="7DD92421" w14:textId="573603DF" w:rsidR="006602B5" w:rsidRPr="008F0F78" w:rsidRDefault="0032653E" w:rsidP="0032653E">
      <w:pPr>
        <w:pStyle w:val="RegSingleTxtG"/>
        <w:numPr>
          <w:ilvl w:val="0"/>
          <w:numId w:val="0"/>
        </w:numPr>
        <w:ind w:left="1134"/>
      </w:pPr>
      <w:r w:rsidRPr="008F0F78">
        <w:t>4.</w:t>
      </w:r>
      <w:r w:rsidRPr="008F0F78">
        <w:tab/>
      </w:r>
      <w:r w:rsidR="006602B5" w:rsidRPr="008F0F78">
        <w:rPr>
          <w:i/>
        </w:rPr>
        <w:t xml:space="preserve">Decides </w:t>
      </w:r>
      <w:r w:rsidR="006602B5" w:rsidRPr="008F0F78">
        <w:t xml:space="preserve">to initiate the seventh review of the Financial Mechanism at </w:t>
      </w:r>
      <w:r w:rsidR="006602B5">
        <w:t>the twenty-sixth session of the Conference of the Parties (November 2020)</w:t>
      </w:r>
      <w:r w:rsidR="006602B5" w:rsidRPr="008F0F78">
        <w:t xml:space="preserve"> in accordance with the criteria in the updated guidelines contained in the annex to decision 12/CP.22, or as th</w:t>
      </w:r>
      <w:r w:rsidR="006602B5">
        <w:t>o</w:t>
      </w:r>
      <w:r w:rsidR="006602B5" w:rsidRPr="008F0F78">
        <w:t>se guidelines may be subsequently amended;</w:t>
      </w:r>
    </w:p>
    <w:p w14:paraId="0E4BFE67" w14:textId="2DD81F50" w:rsidR="006602B5" w:rsidRDefault="0032653E" w:rsidP="0032653E">
      <w:pPr>
        <w:pStyle w:val="RegSingleTxtG"/>
        <w:numPr>
          <w:ilvl w:val="0"/>
          <w:numId w:val="0"/>
        </w:numPr>
        <w:ind w:left="1134"/>
      </w:pPr>
      <w:r>
        <w:t>5.</w:t>
      </w:r>
      <w:r>
        <w:tab/>
      </w:r>
      <w:r w:rsidR="006602B5" w:rsidRPr="00FF1CF6">
        <w:rPr>
          <w:i/>
        </w:rPr>
        <w:t xml:space="preserve">Requests </w:t>
      </w:r>
      <w:r w:rsidR="006602B5" w:rsidRPr="008F0F78">
        <w:t xml:space="preserve">the </w:t>
      </w:r>
      <w:r w:rsidR="006602B5">
        <w:t xml:space="preserve">Standing Committee on Finance </w:t>
      </w:r>
      <w:r w:rsidR="006602B5" w:rsidRPr="008F0F78">
        <w:t xml:space="preserve">to provide expert input to the seventh review of </w:t>
      </w:r>
      <w:r w:rsidR="006602B5">
        <w:t>the Financial Mechanism in 2021</w:t>
      </w:r>
      <w:r w:rsidR="006602B5" w:rsidRPr="008F0F78">
        <w:t xml:space="preserve"> with a view to the review being completed by </w:t>
      </w:r>
      <w:r w:rsidR="006602B5">
        <w:t>the Conference of the Parties at its twenty-seventh session</w:t>
      </w:r>
      <w:r w:rsidR="006602B5" w:rsidRPr="008F0F78">
        <w:t xml:space="preserve"> (November 2021).</w:t>
      </w:r>
      <w:r w:rsidR="006602B5">
        <w:t xml:space="preserve"> </w:t>
      </w:r>
    </w:p>
    <w:p w14:paraId="1093FCE2" w14:textId="7278ABDC" w:rsidR="006602B5" w:rsidRPr="002A19D4" w:rsidRDefault="000D7190" w:rsidP="006602B5">
      <w:pPr>
        <w:jc w:val="right"/>
        <w:rPr>
          <w:i/>
        </w:rPr>
      </w:pPr>
      <w:r>
        <w:rPr>
          <w:i/>
        </w:rPr>
        <w:t>14</w:t>
      </w:r>
      <w:r w:rsidR="006602B5" w:rsidRPr="000D7190">
        <w:rPr>
          <w:i/>
          <w:vertAlign w:val="superscript"/>
        </w:rPr>
        <w:t>th</w:t>
      </w:r>
      <w:r w:rsidR="006602B5" w:rsidRPr="000D7190">
        <w:rPr>
          <w:i/>
        </w:rPr>
        <w:t xml:space="preserve"> plenary meeting</w:t>
      </w:r>
    </w:p>
    <w:p w14:paraId="1859144A" w14:textId="77777777" w:rsidR="006602B5" w:rsidRDefault="006602B5" w:rsidP="006602B5">
      <w:pPr>
        <w:jc w:val="right"/>
        <w:rPr>
          <w:i/>
        </w:rPr>
        <w:sectPr w:rsidR="006602B5" w:rsidSect="00CA22E4">
          <w:headerReference w:type="even" r:id="rId62"/>
          <w:footerReference w:type="even" r:id="rId63"/>
          <w:footnotePr>
            <w:numRestart w:val="eachSect"/>
          </w:footnotePr>
          <w:pgSz w:w="11906" w:h="16838" w:code="9"/>
          <w:pgMar w:top="1417" w:right="1134" w:bottom="1134" w:left="1134" w:header="850" w:footer="567" w:gutter="0"/>
          <w:cols w:space="708"/>
          <w:docGrid w:linePitch="360"/>
        </w:sectPr>
      </w:pPr>
      <w:r w:rsidRPr="002A19D4">
        <w:rPr>
          <w:i/>
        </w:rPr>
        <w:t>1</w:t>
      </w:r>
      <w:r>
        <w:rPr>
          <w:i/>
        </w:rPr>
        <w:t>8</w:t>
      </w:r>
      <w:r w:rsidRPr="002A19D4">
        <w:rPr>
          <w:i/>
        </w:rPr>
        <w:t xml:space="preserve"> November 2017</w:t>
      </w:r>
    </w:p>
    <w:p w14:paraId="7FB8F648" w14:textId="5E3FB603" w:rsidR="006602B5" w:rsidRPr="006602B5" w:rsidRDefault="006602B5" w:rsidP="006602B5">
      <w:pPr>
        <w:pStyle w:val="HChG"/>
      </w:pPr>
      <w:r>
        <w:lastRenderedPageBreak/>
        <w:tab/>
      </w:r>
      <w:r>
        <w:tab/>
        <w:t>Decision 12/CP.23</w:t>
      </w:r>
    </w:p>
    <w:p w14:paraId="7B0C2D73" w14:textId="51EAC0B9" w:rsidR="006602B5" w:rsidRDefault="006602B5" w:rsidP="006602B5">
      <w:pPr>
        <w:pStyle w:val="HChG"/>
      </w:pPr>
      <w:r>
        <w:tab/>
      </w:r>
      <w:r>
        <w:tab/>
        <w:t>Process to identify the information to be provided by Parties in accordance with Article 9, paragraph 5, of the Paris Agreement</w:t>
      </w:r>
    </w:p>
    <w:p w14:paraId="1D387CA2" w14:textId="77777777" w:rsidR="006602B5" w:rsidRPr="000754FC" w:rsidRDefault="006602B5" w:rsidP="006602B5">
      <w:pPr>
        <w:spacing w:before="120"/>
        <w:ind w:left="1134" w:right="1174" w:firstLine="567"/>
        <w:rPr>
          <w:i/>
        </w:rPr>
      </w:pPr>
      <w:r w:rsidRPr="000754FC">
        <w:rPr>
          <w:i/>
        </w:rPr>
        <w:t>The Conference of the Parties</w:t>
      </w:r>
      <w:r w:rsidRPr="00AF0F3C">
        <w:t>,</w:t>
      </w:r>
    </w:p>
    <w:p w14:paraId="1B1213F8" w14:textId="77777777" w:rsidR="006602B5" w:rsidRPr="007F2DBB" w:rsidRDefault="006602B5" w:rsidP="006602B5">
      <w:pPr>
        <w:spacing w:before="120" w:after="120"/>
        <w:ind w:left="1134" w:right="1174" w:firstLine="567"/>
        <w:jc w:val="both"/>
      </w:pPr>
      <w:r w:rsidRPr="004350D1">
        <w:rPr>
          <w:i/>
        </w:rPr>
        <w:t>Recalling</w:t>
      </w:r>
      <w:r>
        <w:t xml:space="preserve"> Article</w:t>
      </w:r>
      <w:r w:rsidRPr="004350D1">
        <w:t xml:space="preserve"> </w:t>
      </w:r>
      <w:r>
        <w:t xml:space="preserve">9, </w:t>
      </w:r>
      <w:r w:rsidRPr="007F2DBB">
        <w:t>paragraphs 1, 3 and 5, of the Paris Agreement,</w:t>
      </w:r>
    </w:p>
    <w:p w14:paraId="1F94BEA7" w14:textId="77777777" w:rsidR="006602B5" w:rsidRDefault="006602B5" w:rsidP="006602B5">
      <w:pPr>
        <w:spacing w:before="120" w:after="120"/>
        <w:ind w:left="1134" w:right="1174" w:firstLine="567"/>
        <w:jc w:val="both"/>
      </w:pPr>
      <w:r w:rsidRPr="007F2DBB">
        <w:rPr>
          <w:i/>
        </w:rPr>
        <w:t>Also recalling</w:t>
      </w:r>
      <w:r w:rsidRPr="007F2DBB">
        <w:t xml:space="preserve"> decision</w:t>
      </w:r>
      <w:r>
        <w:t>s</w:t>
      </w:r>
      <w:r w:rsidRPr="007F2DBB">
        <w:t xml:space="preserve"> 1/CP.21, paragraph 55, </w:t>
      </w:r>
      <w:r>
        <w:t>and 13/CP.22,</w:t>
      </w:r>
    </w:p>
    <w:p w14:paraId="2862D0EE" w14:textId="77777777" w:rsidR="006602B5" w:rsidRPr="007F2DBB" w:rsidRDefault="006602B5" w:rsidP="006602B5">
      <w:pPr>
        <w:spacing w:before="120" w:after="120"/>
        <w:ind w:left="1134" w:right="1174" w:firstLine="567"/>
        <w:jc w:val="both"/>
      </w:pPr>
      <w:r w:rsidRPr="007F2DBB">
        <w:rPr>
          <w:i/>
        </w:rPr>
        <w:t xml:space="preserve">Further recalling </w:t>
      </w:r>
      <w:r w:rsidRPr="007F2DBB">
        <w:t>decision 3/CP.19, paragraph 10,</w:t>
      </w:r>
    </w:p>
    <w:p w14:paraId="71F60024" w14:textId="588CD51A" w:rsidR="006602B5" w:rsidRDefault="0032653E" w:rsidP="0032653E">
      <w:pPr>
        <w:pStyle w:val="RegSingleTxtG"/>
        <w:numPr>
          <w:ilvl w:val="0"/>
          <w:numId w:val="0"/>
        </w:numPr>
        <w:spacing w:before="120"/>
        <w:ind w:left="1134"/>
      </w:pPr>
      <w:r>
        <w:t>1.</w:t>
      </w:r>
      <w:r>
        <w:tab/>
      </w:r>
      <w:r w:rsidR="006602B5" w:rsidRPr="006602B5">
        <w:rPr>
          <w:i/>
        </w:rPr>
        <w:t xml:space="preserve">Reiterates </w:t>
      </w:r>
      <w:r w:rsidR="006602B5" w:rsidRPr="007F2DBB">
        <w:t xml:space="preserve">that </w:t>
      </w:r>
      <w:r w:rsidR="006602B5">
        <w:t>developed country Parties shall biennially communicate indicative quantitative and qualitative information related to Article 9, paragraphs 1 and 3, of the Paris Agreement, as applicable, including, as available, projected levels of public financial resources to be provided to developing country Parties, and that other Parties providing resources are encouraged to communicate biennially such information on a voluntary basis;</w:t>
      </w:r>
      <w:r w:rsidR="006602B5">
        <w:rPr>
          <w:rStyle w:val="FootnoteReference"/>
        </w:rPr>
        <w:footnoteReference w:id="55"/>
      </w:r>
    </w:p>
    <w:p w14:paraId="05706270" w14:textId="1601A7BE" w:rsidR="006602B5" w:rsidRDefault="0032653E" w:rsidP="0032653E">
      <w:pPr>
        <w:pStyle w:val="RegSingleTxtG"/>
        <w:numPr>
          <w:ilvl w:val="0"/>
          <w:numId w:val="0"/>
        </w:numPr>
        <w:ind w:left="1134"/>
      </w:pPr>
      <w:r>
        <w:t>2.</w:t>
      </w:r>
      <w:r>
        <w:tab/>
      </w:r>
      <w:r w:rsidR="006602B5" w:rsidRPr="004538A3">
        <w:rPr>
          <w:i/>
        </w:rPr>
        <w:t xml:space="preserve">Welcomes </w:t>
      </w:r>
      <w:r w:rsidR="006602B5" w:rsidRPr="004538A3">
        <w:t>the constructive sharing of views</w:t>
      </w:r>
      <w:r w:rsidR="006602B5">
        <w:t xml:space="preserve"> during the</w:t>
      </w:r>
      <w:r w:rsidR="006602B5" w:rsidRPr="004538A3">
        <w:t xml:space="preserve"> </w:t>
      </w:r>
      <w:r w:rsidR="006602B5">
        <w:t>round-table discussion among Parties organized by the secretariat on 16 May 2017;</w:t>
      </w:r>
    </w:p>
    <w:p w14:paraId="437D11D1" w14:textId="7BA22210" w:rsidR="006602B5" w:rsidRPr="0060308A" w:rsidRDefault="0032653E" w:rsidP="0032653E">
      <w:pPr>
        <w:pStyle w:val="RegSingleTxtG"/>
        <w:numPr>
          <w:ilvl w:val="0"/>
          <w:numId w:val="0"/>
        </w:numPr>
        <w:ind w:left="1134"/>
      </w:pPr>
      <w:r w:rsidRPr="0060308A">
        <w:t>3.</w:t>
      </w:r>
      <w:r w:rsidRPr="0060308A">
        <w:tab/>
      </w:r>
      <w:r w:rsidR="006602B5">
        <w:rPr>
          <w:i/>
        </w:rPr>
        <w:t xml:space="preserve">Also welcomes </w:t>
      </w:r>
      <w:r w:rsidR="006602B5">
        <w:t xml:space="preserve">the </w:t>
      </w:r>
      <w:r w:rsidR="006602B5" w:rsidRPr="00D52872">
        <w:t>summary report o</w:t>
      </w:r>
      <w:r w:rsidR="006602B5">
        <w:t>n that</w:t>
      </w:r>
      <w:r w:rsidR="006602B5" w:rsidRPr="00D52872">
        <w:t xml:space="preserve"> </w:t>
      </w:r>
      <w:r w:rsidR="006602B5">
        <w:t>round-table discussion prepared by the secretariat;</w:t>
      </w:r>
      <w:r w:rsidR="006602B5">
        <w:rPr>
          <w:rStyle w:val="FootnoteReference"/>
        </w:rPr>
        <w:footnoteReference w:id="56"/>
      </w:r>
    </w:p>
    <w:p w14:paraId="3021626F" w14:textId="6BCEE7DE" w:rsidR="006602B5" w:rsidRPr="0060308A" w:rsidRDefault="0032653E" w:rsidP="0032653E">
      <w:pPr>
        <w:pStyle w:val="RegSingleTxtG"/>
        <w:numPr>
          <w:ilvl w:val="0"/>
          <w:numId w:val="0"/>
        </w:numPr>
        <w:ind w:left="1134"/>
      </w:pPr>
      <w:r w:rsidRPr="0060308A">
        <w:t>4.</w:t>
      </w:r>
      <w:r w:rsidRPr="0060308A">
        <w:tab/>
      </w:r>
      <w:r w:rsidR="006602B5">
        <w:rPr>
          <w:i/>
        </w:rPr>
        <w:t>Further w</w:t>
      </w:r>
      <w:r w:rsidR="006602B5" w:rsidRPr="00216976">
        <w:rPr>
          <w:i/>
        </w:rPr>
        <w:t xml:space="preserve">elcomes </w:t>
      </w:r>
      <w:r w:rsidR="006602B5">
        <w:t xml:space="preserve">the progress made on this matter </w:t>
      </w:r>
      <w:r w:rsidR="006602B5" w:rsidRPr="001C6392">
        <w:t xml:space="preserve">as reflected in the informal note by the co-chairs of the contact group </w:t>
      </w:r>
      <w:r w:rsidR="006602B5">
        <w:t>thereon;</w:t>
      </w:r>
      <w:r w:rsidR="006602B5">
        <w:rPr>
          <w:rStyle w:val="FootnoteReference"/>
        </w:rPr>
        <w:footnoteReference w:id="57"/>
      </w:r>
    </w:p>
    <w:p w14:paraId="0BC9F832" w14:textId="535B15C9" w:rsidR="006602B5" w:rsidRPr="00551C98" w:rsidRDefault="0032653E" w:rsidP="0032653E">
      <w:pPr>
        <w:pStyle w:val="RegSingleTxtG"/>
        <w:numPr>
          <w:ilvl w:val="0"/>
          <w:numId w:val="0"/>
        </w:numPr>
        <w:ind w:left="1134"/>
      </w:pPr>
      <w:r w:rsidRPr="00551C98">
        <w:t>5.</w:t>
      </w:r>
      <w:r w:rsidRPr="00551C98">
        <w:tab/>
      </w:r>
      <w:r w:rsidR="006602B5" w:rsidRPr="00551C98">
        <w:rPr>
          <w:i/>
        </w:rPr>
        <w:t>Requests</w:t>
      </w:r>
      <w:r w:rsidR="006602B5" w:rsidRPr="00551C98">
        <w:t xml:space="preserve"> the Subsidiary Body for Implementation to consider, beginning at its forty-eighth session </w:t>
      </w:r>
      <w:r w:rsidR="006602B5">
        <w:t xml:space="preserve">(April–May 2018) </w:t>
      </w:r>
      <w:r w:rsidR="006602B5" w:rsidRPr="00551C98">
        <w:t xml:space="preserve">and at any subsequent sessions on the Paris Agreement </w:t>
      </w:r>
      <w:r w:rsidR="006602B5">
        <w:t>w</w:t>
      </w:r>
      <w:r w:rsidR="006602B5" w:rsidRPr="00551C98">
        <w:t xml:space="preserve">ork </w:t>
      </w:r>
      <w:r w:rsidR="006602B5">
        <w:t>p</w:t>
      </w:r>
      <w:r w:rsidR="006602B5" w:rsidRPr="00551C98">
        <w:t>rogram</w:t>
      </w:r>
      <w:r w:rsidR="006602B5">
        <w:t>me</w:t>
      </w:r>
      <w:r w:rsidR="006602B5" w:rsidRPr="00551C98">
        <w:t>,</w:t>
      </w:r>
      <w:r w:rsidR="00AC1022">
        <w:t xml:space="preserve"> the</w:t>
      </w:r>
      <w:r w:rsidR="006602B5" w:rsidRPr="00551C98">
        <w:t xml:space="preserve"> identification of the information to be provided by Parties in accordance with Article 9, paragraph 5, of the Paris Agreement, and to forward the outcomes to the </w:t>
      </w:r>
      <w:r w:rsidR="006602B5">
        <w:t>Conference of the Parties</w:t>
      </w:r>
      <w:r w:rsidR="006602B5" w:rsidRPr="00551C98">
        <w:t xml:space="preserve"> at its twenty-fourth session</w:t>
      </w:r>
      <w:r w:rsidR="006602B5">
        <w:t xml:space="preserve"> (December 2018)</w:t>
      </w:r>
      <w:r w:rsidR="006602B5" w:rsidRPr="00551C98">
        <w:t xml:space="preserve"> with a view to the </w:t>
      </w:r>
      <w:r w:rsidR="006602B5">
        <w:t>Conference of the Parties</w:t>
      </w:r>
      <w:r w:rsidR="006602B5" w:rsidRPr="00551C98">
        <w:t xml:space="preserve"> providing a recommendation for consideration and adoption by the </w:t>
      </w:r>
      <w:r w:rsidR="006602B5">
        <w:t>Conference of the Parties serving as the meeting of the Parties to the Paris Agreement</w:t>
      </w:r>
      <w:r w:rsidR="006602B5" w:rsidRPr="00551C98">
        <w:t xml:space="preserve"> at the third part of its first session (December 2018)</w:t>
      </w:r>
      <w:r w:rsidR="006602B5">
        <w:rPr>
          <w:lang w:val="en-US"/>
        </w:rPr>
        <w:t>;</w:t>
      </w:r>
    </w:p>
    <w:p w14:paraId="5E434EA9" w14:textId="085F8417" w:rsidR="006602B5" w:rsidRPr="00551C98" w:rsidRDefault="0032653E" w:rsidP="0032653E">
      <w:pPr>
        <w:pStyle w:val="RegSingleTxtG"/>
        <w:numPr>
          <w:ilvl w:val="0"/>
          <w:numId w:val="0"/>
        </w:numPr>
        <w:ind w:left="1134"/>
      </w:pPr>
      <w:r w:rsidRPr="00551C98">
        <w:t>6.</w:t>
      </w:r>
      <w:r w:rsidRPr="00551C98">
        <w:tab/>
      </w:r>
      <w:r w:rsidR="006602B5">
        <w:rPr>
          <w:i/>
        </w:rPr>
        <w:t>Also r</w:t>
      </w:r>
      <w:r w:rsidR="006602B5" w:rsidRPr="00551C98">
        <w:rPr>
          <w:i/>
        </w:rPr>
        <w:t>equests</w:t>
      </w:r>
      <w:r w:rsidR="006602B5" w:rsidRPr="00551C98">
        <w:t xml:space="preserve"> the Sub</w:t>
      </w:r>
      <w:r w:rsidR="006602B5">
        <w:t>sidiary Body for Implementation</w:t>
      </w:r>
      <w:r w:rsidR="006602B5" w:rsidRPr="00551C98">
        <w:t xml:space="preserve"> to consider the matter referred to in paragraph 5</w:t>
      </w:r>
      <w:r w:rsidR="006602B5">
        <w:t xml:space="preserve"> above</w:t>
      </w:r>
      <w:r w:rsidR="006602B5" w:rsidRPr="00551C98">
        <w:t xml:space="preserve"> taking into account the informal note referred to in paragraph 4</w:t>
      </w:r>
      <w:r w:rsidR="006602B5">
        <w:t xml:space="preserve"> above.</w:t>
      </w:r>
    </w:p>
    <w:p w14:paraId="74C79C1D" w14:textId="5F45EBDB" w:rsidR="006602B5" w:rsidRPr="002A19D4" w:rsidRDefault="000D7190" w:rsidP="006602B5">
      <w:pPr>
        <w:jc w:val="right"/>
        <w:rPr>
          <w:i/>
        </w:rPr>
      </w:pPr>
      <w:r>
        <w:rPr>
          <w:i/>
        </w:rPr>
        <w:t>14</w:t>
      </w:r>
      <w:r w:rsidR="006602B5" w:rsidRPr="000D7190">
        <w:rPr>
          <w:i/>
          <w:vertAlign w:val="superscript"/>
        </w:rPr>
        <w:t>th</w:t>
      </w:r>
      <w:r w:rsidR="006602B5" w:rsidRPr="000D7190">
        <w:rPr>
          <w:i/>
        </w:rPr>
        <w:t xml:space="preserve"> plenary meeting</w:t>
      </w:r>
    </w:p>
    <w:p w14:paraId="4F6D5873" w14:textId="2BE16C4F" w:rsidR="006602B5" w:rsidRDefault="006602B5" w:rsidP="00831ADD">
      <w:pPr>
        <w:jc w:val="right"/>
        <w:rPr>
          <w:i/>
        </w:rPr>
      </w:pPr>
      <w:r w:rsidRPr="002A19D4">
        <w:rPr>
          <w:i/>
        </w:rPr>
        <w:t>1</w:t>
      </w:r>
      <w:r>
        <w:rPr>
          <w:i/>
        </w:rPr>
        <w:t>8</w:t>
      </w:r>
      <w:r w:rsidR="00831ADD">
        <w:rPr>
          <w:i/>
        </w:rPr>
        <w:t xml:space="preserve"> November 2017</w:t>
      </w:r>
    </w:p>
    <w:p w14:paraId="4D0FF9D3" w14:textId="345A611F" w:rsidR="00831ADD" w:rsidRPr="00CA22E4" w:rsidRDefault="00831ADD" w:rsidP="00CA22E4">
      <w:pPr>
        <w:spacing w:before="240"/>
        <w:ind w:left="1134" w:right="1134"/>
        <w:jc w:val="center"/>
        <w:rPr>
          <w:u w:val="single"/>
        </w:rPr>
      </w:pPr>
      <w:r>
        <w:rPr>
          <w:u w:val="single"/>
        </w:rPr>
        <w:tab/>
      </w:r>
      <w:r>
        <w:rPr>
          <w:u w:val="single"/>
        </w:rPr>
        <w:tab/>
      </w:r>
      <w:r>
        <w:rPr>
          <w:u w:val="single"/>
        </w:rPr>
        <w:tab/>
      </w:r>
    </w:p>
    <w:sectPr w:rsidR="00831ADD" w:rsidRPr="00CA22E4" w:rsidSect="00CA22E4">
      <w:headerReference w:type="even" r:id="rId64"/>
      <w:headerReference w:type="default" r:id="rId65"/>
      <w:footerReference w:type="even" r:id="rId66"/>
      <w:footerReference w:type="default" r:id="rId67"/>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06ABD" w14:textId="77777777" w:rsidR="002B3102" w:rsidRDefault="002B3102">
      <w:r>
        <w:separator/>
      </w:r>
    </w:p>
    <w:p w14:paraId="28EBAF8D" w14:textId="77777777" w:rsidR="002B3102" w:rsidRDefault="002B3102"/>
  </w:endnote>
  <w:endnote w:type="continuationSeparator" w:id="0">
    <w:p w14:paraId="300ED9D8" w14:textId="77777777" w:rsidR="002B3102" w:rsidRDefault="002B3102">
      <w:r>
        <w:continuationSeparator/>
      </w:r>
    </w:p>
    <w:p w14:paraId="44C80704" w14:textId="77777777" w:rsidR="002B3102" w:rsidRDefault="002B3102"/>
  </w:endnote>
  <w:endnote w:type="continuationNotice" w:id="1">
    <w:p w14:paraId="52909416" w14:textId="77777777" w:rsidR="002B3102" w:rsidRDefault="002B31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3AFBB" w14:textId="71A9AB79"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2</w:t>
    </w:r>
    <w:r w:rsidRPr="00CA22E4">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F4D3B" w14:textId="79DFA75A"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15</w:t>
    </w:r>
    <w:r w:rsidRPr="00CA22E4">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3A57F" w14:textId="533A4A57"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19</w:t>
    </w:r>
    <w:r w:rsidRPr="00CA22E4">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5D906" w14:textId="4AC744F1"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20</w:t>
    </w:r>
    <w:r w:rsidRPr="00CA22E4">
      <w:rPr>
        <w:b/>
        <w:sz w:val="18"/>
      </w:rPr>
      <w:fldChar w:fldCharType="end"/>
    </w:r>
    <w:r>
      <w:rPr>
        <w:sz w:val="18"/>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E45CB" w14:textId="1339835E"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21</w:t>
    </w:r>
    <w:r w:rsidRPr="00CA22E4">
      <w:rPr>
        <w:b/>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6A5D6" w14:textId="67374DB8"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24</w:t>
    </w:r>
    <w:r w:rsidRPr="00CA22E4">
      <w:rPr>
        <w:b/>
        <w:sz w:val="18"/>
      </w:rPr>
      <w:fldChar w:fldCharType="end"/>
    </w:r>
    <w:r>
      <w:rPr>
        <w:sz w:val="18"/>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D7F0A" w14:textId="4FF978FF"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23</w:t>
    </w:r>
    <w:r w:rsidRPr="00CA22E4">
      <w:rPr>
        <w:b/>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E0AF" w14:textId="5B1672EF"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26</w:t>
    </w:r>
    <w:r w:rsidRPr="00CA22E4">
      <w:rPr>
        <w:b/>
        <w:sz w:val="18"/>
      </w:rPr>
      <w:fldChar w:fldCharType="end"/>
    </w:r>
    <w:r>
      <w:rPr>
        <w:sz w:val="18"/>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58DE6" w14:textId="5D1B29EC"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25</w:t>
    </w:r>
    <w:r w:rsidRPr="00CA22E4">
      <w:rPr>
        <w:b/>
        <w:sz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92FB4" w14:textId="27C47F4F"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28</w:t>
    </w:r>
    <w:r w:rsidRPr="00CA22E4">
      <w:rPr>
        <w:b/>
        <w:sz w:val="18"/>
      </w:rPr>
      <w:fldChar w:fldCharType="end"/>
    </w:r>
    <w:r>
      <w:rPr>
        <w:sz w:val="18"/>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68A31" w14:textId="27CE779E"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27</w:t>
    </w:r>
    <w:r w:rsidRPr="00CA22E4">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4E79B" w14:textId="08C8B345"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3</w:t>
    </w:r>
    <w:r w:rsidRPr="00CA22E4">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1DF25" w14:textId="398B1F73"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30</w:t>
    </w:r>
    <w:r w:rsidRPr="00CA22E4">
      <w:rPr>
        <w:b/>
        <w:sz w:val="18"/>
      </w:rPr>
      <w:fldChar w:fldCharType="end"/>
    </w:r>
    <w:r>
      <w:rPr>
        <w:sz w:val="18"/>
      </w:rPr>
      <w:tab/>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56631" w14:textId="37E6BB03"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29</w:t>
    </w:r>
    <w:r w:rsidRPr="00CA22E4">
      <w:rPr>
        <w:b/>
        <w:sz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4D45" w14:textId="0CDF1AB7"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32</w:t>
    </w:r>
    <w:r w:rsidRPr="00CA22E4">
      <w:rPr>
        <w:b/>
        <w:sz w:val="18"/>
      </w:rPr>
      <w:fldChar w:fldCharType="end"/>
    </w:r>
    <w:r>
      <w:rPr>
        <w:sz w:val="18"/>
      </w:rPr>
      <w:tab/>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AF34E" w14:textId="4615CE54"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33</w:t>
    </w:r>
    <w:r w:rsidRPr="00CA22E4">
      <w:rPr>
        <w:b/>
        <w:sz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DA03B" w14:textId="3559C90D"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34</w:t>
    </w:r>
    <w:r w:rsidRPr="00CA22E4">
      <w:rPr>
        <w:b/>
        <w:sz w:val="18"/>
      </w:rPr>
      <w:fldChar w:fldCharType="end"/>
    </w:r>
    <w:r>
      <w:rPr>
        <w:sz w:val="18"/>
      </w:rPr>
      <w:tab/>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6F613" w14:textId="2E8DDD3A"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Pr>
        <w:b/>
        <w:noProof/>
        <w:sz w:val="18"/>
      </w:rPr>
      <w:t>36</w:t>
    </w:r>
    <w:r w:rsidRPr="00CA22E4">
      <w:rPr>
        <w:b/>
        <w:sz w:val="18"/>
      </w:rPr>
      <w:fldChar w:fldCharType="end"/>
    </w:r>
    <w:r>
      <w:rPr>
        <w:sz w:val="18"/>
      </w:rPr>
      <w:tab/>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CDC7" w14:textId="12845D90"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35</w:t>
    </w:r>
    <w:r w:rsidRPr="00CA22E4">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0A98" w14:textId="7FDFF851"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6</w:t>
    </w:r>
    <w:r w:rsidRPr="00CA22E4">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0A99" w14:textId="0F660EA6"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5</w:t>
    </w:r>
    <w:r w:rsidRPr="00CA22E4">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88131" w14:textId="656BAC96"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12</w:t>
    </w:r>
    <w:r w:rsidRPr="00CA22E4">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DF10C" w14:textId="2DCF864C"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11</w:t>
    </w:r>
    <w:r w:rsidRPr="00CA22E4">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C517C" w14:textId="4BBF216B"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14</w:t>
    </w:r>
    <w:r w:rsidRPr="00CA22E4">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4C47E" w14:textId="746BDA96" w:rsidR="002B3102" w:rsidRPr="00CA22E4" w:rsidRDefault="002B3102" w:rsidP="00CA22E4">
    <w:pPr>
      <w:pStyle w:val="Footer"/>
      <w:tabs>
        <w:tab w:val="right" w:pos="9638"/>
      </w:tabs>
      <w:rPr>
        <w:b/>
        <w:sz w:val="18"/>
      </w:rPr>
    </w:pPr>
    <w:r>
      <w:tab/>
    </w: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13</w:t>
    </w:r>
    <w:r w:rsidRPr="00CA22E4">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FCB0A" w14:textId="20DAAEB1" w:rsidR="002B3102" w:rsidRPr="00CA22E4" w:rsidRDefault="002B3102" w:rsidP="00CA22E4">
    <w:pPr>
      <w:pStyle w:val="Footer"/>
      <w:tabs>
        <w:tab w:val="right" w:pos="9638"/>
      </w:tabs>
    </w:pPr>
    <w:r w:rsidRPr="00CA22E4">
      <w:rPr>
        <w:b/>
        <w:sz w:val="18"/>
      </w:rPr>
      <w:fldChar w:fldCharType="begin"/>
    </w:r>
    <w:r w:rsidRPr="00CA22E4">
      <w:rPr>
        <w:b/>
        <w:sz w:val="18"/>
      </w:rPr>
      <w:instrText xml:space="preserve"> PAGE  \* MERGEFORMAT </w:instrText>
    </w:r>
    <w:r w:rsidRPr="00CA22E4">
      <w:rPr>
        <w:b/>
        <w:sz w:val="18"/>
      </w:rPr>
      <w:fldChar w:fldCharType="separate"/>
    </w:r>
    <w:r w:rsidR="0032653E">
      <w:rPr>
        <w:b/>
        <w:noProof/>
        <w:sz w:val="18"/>
      </w:rPr>
      <w:t>16</w:t>
    </w:r>
    <w:r w:rsidRPr="00CA22E4">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460B2" w14:textId="77777777" w:rsidR="002B3102" w:rsidRDefault="002B3102">
      <w:r>
        <w:separator/>
      </w:r>
    </w:p>
  </w:footnote>
  <w:footnote w:type="continuationSeparator" w:id="0">
    <w:p w14:paraId="02D9643E" w14:textId="77777777" w:rsidR="002B3102" w:rsidRDefault="002B3102">
      <w:r>
        <w:continuationSeparator/>
      </w:r>
    </w:p>
    <w:p w14:paraId="68E76361" w14:textId="77777777" w:rsidR="002B3102" w:rsidRDefault="002B3102"/>
  </w:footnote>
  <w:footnote w:type="continuationNotice" w:id="1">
    <w:p w14:paraId="18CDFC83" w14:textId="77777777" w:rsidR="002B3102" w:rsidRDefault="002B3102">
      <w:pPr>
        <w:spacing w:line="240" w:lineRule="auto"/>
      </w:pPr>
    </w:p>
  </w:footnote>
  <w:footnote w:id="2">
    <w:p w14:paraId="6B299E84" w14:textId="77777777" w:rsidR="002B3102" w:rsidRPr="008F46C0" w:rsidRDefault="002B3102" w:rsidP="00364659">
      <w:pPr>
        <w:pStyle w:val="FootnoteText"/>
        <w:widowControl w:val="0"/>
        <w:tabs>
          <w:tab w:val="clear" w:pos="1021"/>
          <w:tab w:val="right" w:pos="1020"/>
        </w:tabs>
        <w:rPr>
          <w:lang w:val="en-US"/>
        </w:rPr>
      </w:pPr>
      <w:r>
        <w:tab/>
      </w:r>
      <w:r>
        <w:rPr>
          <w:rStyle w:val="FootnoteReference"/>
        </w:rPr>
        <w:footnoteRef/>
      </w:r>
      <w:r>
        <w:tab/>
      </w:r>
      <w:r>
        <w:rPr>
          <w:lang w:val="en-US"/>
        </w:rPr>
        <w:t>Decision 1/CP.22, paragraph 10.</w:t>
      </w:r>
    </w:p>
  </w:footnote>
  <w:footnote w:id="3">
    <w:p w14:paraId="36B32E4E" w14:textId="61DDF201" w:rsidR="002B3102" w:rsidRPr="008F46C0" w:rsidRDefault="002B3102" w:rsidP="00364659">
      <w:pPr>
        <w:pStyle w:val="FootnoteText"/>
        <w:widowControl w:val="0"/>
        <w:tabs>
          <w:tab w:val="clear" w:pos="1021"/>
          <w:tab w:val="right" w:pos="1020"/>
        </w:tabs>
        <w:rPr>
          <w:lang w:val="en-US"/>
        </w:rPr>
      </w:pPr>
      <w:r>
        <w:tab/>
      </w:r>
      <w:r>
        <w:rPr>
          <w:rStyle w:val="FootnoteReference"/>
        </w:rPr>
        <w:footnoteRef/>
      </w:r>
      <w:r>
        <w:tab/>
      </w:r>
      <w:hyperlink r:id="rId1" w:history="1">
        <w:r w:rsidR="002B1E4D" w:rsidRPr="005E7EC5">
          <w:rPr>
            <w:rStyle w:val="Hyperlink"/>
          </w:rPr>
          <w:t>http://www4.unfccc.int/sites/submissionportal/Pages/Home.aspx</w:t>
        </w:r>
      </w:hyperlink>
      <w:r w:rsidRPr="002B1E4D">
        <w:rPr>
          <w:rStyle w:val="Hyperlink"/>
          <w:color w:val="000000"/>
          <w:u w:val="none"/>
        </w:rPr>
        <w:t>.</w:t>
      </w:r>
    </w:p>
  </w:footnote>
  <w:footnote w:id="4">
    <w:p w14:paraId="13044606" w14:textId="77777777" w:rsidR="002B3102" w:rsidRPr="00F30E95" w:rsidRDefault="002B3102" w:rsidP="00364659">
      <w:pPr>
        <w:pStyle w:val="FootnoteText"/>
        <w:rPr>
          <w:szCs w:val="18"/>
        </w:rPr>
      </w:pPr>
      <w:r>
        <w:rPr>
          <w:szCs w:val="18"/>
        </w:rPr>
        <w:tab/>
      </w:r>
      <w:r w:rsidRPr="00F30E95">
        <w:rPr>
          <w:rStyle w:val="FootnoteReference"/>
          <w:szCs w:val="18"/>
        </w:rPr>
        <w:footnoteRef/>
      </w:r>
      <w:r>
        <w:rPr>
          <w:szCs w:val="18"/>
        </w:rPr>
        <w:tab/>
        <w:t>Pursuant to decision 1/CP.21, paragraph 20,</w:t>
      </w:r>
      <w:r w:rsidRPr="00F30E95">
        <w:rPr>
          <w:szCs w:val="18"/>
        </w:rPr>
        <w:t xml:space="preserve"> and decision 1/CP.22, paragraph 16.</w:t>
      </w:r>
    </w:p>
  </w:footnote>
  <w:footnote w:id="5">
    <w:p w14:paraId="25FF05EF" w14:textId="74640C0F" w:rsidR="002B3102" w:rsidRPr="00541D3E" w:rsidRDefault="002B3102" w:rsidP="00364659">
      <w:pPr>
        <w:pStyle w:val="FootnoteText"/>
        <w:widowControl w:val="0"/>
        <w:tabs>
          <w:tab w:val="clear" w:pos="1021"/>
          <w:tab w:val="right" w:pos="1020"/>
        </w:tabs>
        <w:rPr>
          <w:lang w:val="en-US"/>
        </w:rPr>
      </w:pPr>
      <w:r>
        <w:tab/>
      </w:r>
      <w:r>
        <w:rPr>
          <w:rStyle w:val="FootnoteReference"/>
        </w:rPr>
        <w:footnoteRef/>
      </w:r>
      <w:r>
        <w:tab/>
        <w:t>As e</w:t>
      </w:r>
      <w:r w:rsidRPr="00541D3E">
        <w:t>stablished by decision 1/CP.21, paragraph 115</w:t>
      </w:r>
      <w:r>
        <w:t xml:space="preserve">. See also </w:t>
      </w:r>
      <w:hyperlink r:id="rId2" w:history="1">
        <w:r w:rsidRPr="008D42CF">
          <w:rPr>
            <w:rStyle w:val="Hyperlink"/>
          </w:rPr>
          <w:t>http://unfccc.int/9985</w:t>
        </w:r>
      </w:hyperlink>
      <w:r w:rsidRPr="00A04E14">
        <w:t>.</w:t>
      </w:r>
    </w:p>
  </w:footnote>
  <w:footnote w:id="6">
    <w:p w14:paraId="43936CAD" w14:textId="240803C6" w:rsidR="002B3102" w:rsidRPr="008A3432" w:rsidRDefault="002B3102" w:rsidP="00364659">
      <w:pPr>
        <w:pStyle w:val="FootnoteText"/>
        <w:widowControl w:val="0"/>
        <w:tabs>
          <w:tab w:val="clear" w:pos="1021"/>
          <w:tab w:val="right" w:pos="1020"/>
        </w:tabs>
        <w:rPr>
          <w:lang w:val="en-US"/>
        </w:rPr>
      </w:pPr>
      <w:r>
        <w:tab/>
      </w:r>
      <w:r>
        <w:rPr>
          <w:rStyle w:val="FootnoteReference"/>
        </w:rPr>
        <w:footnoteRef/>
      </w:r>
      <w:r>
        <w:tab/>
        <w:t>Weblinks to facilitators’ notes prepared during this session will be made available on the UNFCCC website.</w:t>
      </w:r>
    </w:p>
  </w:footnote>
  <w:footnote w:id="7">
    <w:p w14:paraId="43CEEADC" w14:textId="5575C85F" w:rsidR="002B3102" w:rsidRPr="0048020D" w:rsidRDefault="002B3102" w:rsidP="0048020D">
      <w:pPr>
        <w:pStyle w:val="FootnoteText"/>
        <w:widowControl w:val="0"/>
        <w:rPr>
          <w:sz w:val="20"/>
          <w:lang w:val="en-US"/>
        </w:rPr>
      </w:pPr>
      <w:r w:rsidRPr="0048020D">
        <w:rPr>
          <w:rStyle w:val="FootnoteReference"/>
        </w:rPr>
        <w:tab/>
      </w:r>
      <w:r w:rsidRPr="002657E2">
        <w:rPr>
          <w:rStyle w:val="FootnoteReference"/>
          <w:vertAlign w:val="baseline"/>
        </w:rPr>
        <w:t>*</w:t>
      </w:r>
      <w:r>
        <w:rPr>
          <w:rStyle w:val="FootnoteReference"/>
        </w:rPr>
        <w:tab/>
      </w:r>
      <w:r w:rsidRPr="009853BC">
        <w:rPr>
          <w:sz w:val="20"/>
        </w:rPr>
        <w:t>Abbreviations:</w:t>
      </w:r>
      <w:r w:rsidRPr="0048020D">
        <w:rPr>
          <w:sz w:val="20"/>
        </w:rPr>
        <w:t xml:space="preserve"> </w:t>
      </w:r>
      <w:r>
        <w:rPr>
          <w:sz w:val="20"/>
        </w:rPr>
        <w:t>AC = Adap</w:t>
      </w:r>
      <w:r w:rsidR="002657E2">
        <w:rPr>
          <w:sz w:val="20"/>
        </w:rPr>
        <w:t>t</w:t>
      </w:r>
      <w:r>
        <w:rPr>
          <w:sz w:val="20"/>
        </w:rPr>
        <w:t xml:space="preserve">ation Committee, APA = Ad </w:t>
      </w:r>
      <w:r w:rsidR="009853BC">
        <w:rPr>
          <w:sz w:val="20"/>
        </w:rPr>
        <w:t>H</w:t>
      </w:r>
      <w:r>
        <w:rPr>
          <w:sz w:val="20"/>
        </w:rPr>
        <w:t xml:space="preserve">oc Working Group </w:t>
      </w:r>
      <w:r w:rsidRPr="0048020D">
        <w:rPr>
          <w:sz w:val="20"/>
        </w:rPr>
        <w:t>on the Paris Agreement</w:t>
      </w:r>
      <w:r>
        <w:rPr>
          <w:sz w:val="20"/>
        </w:rPr>
        <w:t xml:space="preserve">, </w:t>
      </w:r>
      <w:r w:rsidRPr="0048020D">
        <w:rPr>
          <w:sz w:val="20"/>
        </w:rPr>
        <w:t xml:space="preserve">COP = Conference of the Parties, </w:t>
      </w:r>
      <w:r>
        <w:rPr>
          <w:sz w:val="20"/>
        </w:rPr>
        <w:t xml:space="preserve">LEG = Least Developed Countries Expert Group, NDC = </w:t>
      </w:r>
      <w:r w:rsidR="002657E2">
        <w:rPr>
          <w:sz w:val="20"/>
        </w:rPr>
        <w:t>n</w:t>
      </w:r>
      <w:r w:rsidRPr="00B25122">
        <w:rPr>
          <w:sz w:val="20"/>
        </w:rPr>
        <w:t>ationally determined contribution</w:t>
      </w:r>
      <w:r>
        <w:rPr>
          <w:sz w:val="20"/>
        </w:rPr>
        <w:t xml:space="preserve">, </w:t>
      </w:r>
      <w:r w:rsidRPr="0048020D">
        <w:rPr>
          <w:sz w:val="20"/>
        </w:rPr>
        <w:t>SBI = Subsidiary Body for Implementation</w:t>
      </w:r>
      <w:r>
        <w:rPr>
          <w:sz w:val="20"/>
        </w:rPr>
        <w:t xml:space="preserve">, SBSTA = </w:t>
      </w:r>
      <w:r w:rsidRPr="00B25122">
        <w:rPr>
          <w:sz w:val="20"/>
        </w:rPr>
        <w:t>Subsidiary Body for Scientific and Technological Advice</w:t>
      </w:r>
      <w:r>
        <w:rPr>
          <w:sz w:val="20"/>
        </w:rPr>
        <w:t>, SCF</w:t>
      </w:r>
      <w:r w:rsidR="002657E2">
        <w:rPr>
          <w:sz w:val="20"/>
        </w:rPr>
        <w:t> </w:t>
      </w:r>
      <w:r>
        <w:rPr>
          <w:sz w:val="20"/>
        </w:rPr>
        <w:t>= Standing Committee on Finance</w:t>
      </w:r>
      <w:r w:rsidR="009853BC">
        <w:rPr>
          <w:sz w:val="20"/>
        </w:rPr>
        <w:t>, WIM Excom = Executive Committee of the Warsaw International Mechanism for Loss and Damage associated with Climate Change Impacts</w:t>
      </w:r>
      <w:r>
        <w:rPr>
          <w:sz w:val="20"/>
        </w:rPr>
        <w:t>.</w:t>
      </w:r>
    </w:p>
  </w:footnote>
  <w:footnote w:id="8">
    <w:p w14:paraId="09BD144C" w14:textId="792FA73D" w:rsidR="002B3102" w:rsidRPr="00A72192" w:rsidRDefault="002B3102" w:rsidP="00364659">
      <w:pPr>
        <w:pStyle w:val="FootnoteText"/>
        <w:widowControl w:val="0"/>
        <w:tabs>
          <w:tab w:val="clear" w:pos="1021"/>
          <w:tab w:val="right" w:pos="1020"/>
        </w:tabs>
        <w:rPr>
          <w:lang w:val="en-US"/>
        </w:rPr>
      </w:pPr>
      <w:r>
        <w:tab/>
      </w:r>
      <w:r>
        <w:rPr>
          <w:rStyle w:val="FootnoteReference"/>
        </w:rPr>
        <w:footnoteRef/>
      </w:r>
      <w:r>
        <w:tab/>
        <w:t>Different views were expressed by Parties on whether possible additional matters should be added to the work programme under the Paris Agreement for the first session of the Conference of the Parties serving as the meeting of the Parties to the Paris Agreement, including the issues discussed under agenda item 8 of the Ad Hoc Working Group on the Paris Agreement.</w:t>
      </w:r>
    </w:p>
  </w:footnote>
  <w:footnote w:id="9">
    <w:p w14:paraId="35C06D38" w14:textId="77777777" w:rsidR="002B3102" w:rsidRPr="00955580" w:rsidRDefault="002B3102" w:rsidP="00364659">
      <w:pPr>
        <w:pStyle w:val="FootnoteText"/>
        <w:rPr>
          <w:szCs w:val="18"/>
          <w:lang w:val="en-US"/>
        </w:rPr>
      </w:pPr>
      <w:r w:rsidRPr="00463C59">
        <w:rPr>
          <w:rStyle w:val="FootnoteReference"/>
          <w:szCs w:val="18"/>
        </w:rPr>
        <w:tab/>
      </w:r>
      <w:r w:rsidRPr="00463C59">
        <w:rPr>
          <w:rStyle w:val="FootnoteReference"/>
          <w:szCs w:val="18"/>
          <w:vertAlign w:val="baseline"/>
        </w:rPr>
        <w:t>*</w:t>
      </w:r>
      <w:r w:rsidRPr="003773AE">
        <w:rPr>
          <w:rStyle w:val="FootnoteReference"/>
          <w:szCs w:val="18"/>
          <w:vertAlign w:val="baseline"/>
        </w:rPr>
        <w:tab/>
      </w:r>
      <w:r w:rsidRPr="00955580">
        <w:rPr>
          <w:szCs w:val="18"/>
        </w:rPr>
        <w:t>Reproduced as received from the Presidents of the twenty-second and twenty-third sessions of the Conference of the Parties.</w:t>
      </w:r>
    </w:p>
  </w:footnote>
  <w:footnote w:id="10">
    <w:p w14:paraId="2A926736" w14:textId="77777777" w:rsidR="002B3102" w:rsidRPr="001872A5" w:rsidRDefault="002B3102" w:rsidP="00875B3E">
      <w:pPr>
        <w:pStyle w:val="FootnoteText"/>
        <w:widowControl w:val="0"/>
        <w:tabs>
          <w:tab w:val="clear" w:pos="1021"/>
          <w:tab w:val="right" w:pos="1020"/>
        </w:tabs>
        <w:rPr>
          <w:lang w:val="en-US"/>
        </w:rPr>
      </w:pPr>
      <w:r>
        <w:tab/>
      </w:r>
      <w:r>
        <w:rPr>
          <w:rStyle w:val="FootnoteReference"/>
        </w:rPr>
        <w:footnoteRef/>
      </w:r>
      <w:r>
        <w:tab/>
      </w:r>
      <w:r w:rsidRPr="00E10DB6">
        <w:rPr>
          <w:lang w:val="en-US"/>
        </w:rPr>
        <w:t xml:space="preserve">Available at </w:t>
      </w:r>
      <w:hyperlink r:id="rId3" w:history="1">
        <w:r w:rsidRPr="00E10DB6">
          <w:rPr>
            <w:rStyle w:val="Hyperlink"/>
            <w:lang w:val="en-US"/>
          </w:rPr>
          <w:t>http://www4.unfccc.int/submissions/SitePages/sessions.aspx?showOnlyCurrentCalls=1&amp;themes=Adaptation&amp;expectedsubmissionfrom=Parties&amp;focalBodies=SBSTA</w:t>
        </w:r>
      </w:hyperlink>
      <w:r>
        <w:rPr>
          <w:rStyle w:val="Hyperlink"/>
          <w:lang w:val="en-US"/>
        </w:rPr>
        <w:t>.</w:t>
      </w:r>
    </w:p>
  </w:footnote>
  <w:footnote w:id="11">
    <w:p w14:paraId="4D8E58B6" w14:textId="77777777" w:rsidR="002B3102" w:rsidRPr="001872A5" w:rsidRDefault="002B3102" w:rsidP="00875B3E">
      <w:pPr>
        <w:pStyle w:val="FootnoteText"/>
        <w:widowControl w:val="0"/>
        <w:tabs>
          <w:tab w:val="clear" w:pos="1021"/>
          <w:tab w:val="right" w:pos="1020"/>
        </w:tabs>
        <w:rPr>
          <w:lang w:val="en-US"/>
        </w:rPr>
      </w:pPr>
      <w:r>
        <w:tab/>
      </w:r>
      <w:r>
        <w:rPr>
          <w:rStyle w:val="FootnoteReference"/>
        </w:rPr>
        <w:footnoteRef/>
      </w:r>
      <w:r>
        <w:tab/>
      </w:r>
      <w:r w:rsidRPr="00985711">
        <w:rPr>
          <w:lang w:val="en-US"/>
        </w:rPr>
        <w:t xml:space="preserve">Available at </w:t>
      </w:r>
      <w:hyperlink r:id="rId4" w:history="1">
        <w:r w:rsidRPr="00985711">
          <w:rPr>
            <w:rStyle w:val="Hyperlink"/>
            <w:lang w:val="en-US"/>
          </w:rPr>
          <w:t>http://unfccc.int/documentation/submissions_from_non-party_stakeholders/items/7482.php</w:t>
        </w:r>
      </w:hyperlink>
      <w:r>
        <w:rPr>
          <w:rStyle w:val="Hyperlink"/>
          <w:lang w:val="en-US"/>
        </w:rPr>
        <w:t>.</w:t>
      </w:r>
    </w:p>
  </w:footnote>
  <w:footnote w:id="12">
    <w:p w14:paraId="68EE0CA4" w14:textId="77777777" w:rsidR="002B3102" w:rsidRPr="001872A5" w:rsidRDefault="002B3102" w:rsidP="00875B3E">
      <w:pPr>
        <w:pStyle w:val="FootnoteText"/>
        <w:widowControl w:val="0"/>
        <w:tabs>
          <w:tab w:val="clear" w:pos="1021"/>
          <w:tab w:val="right" w:pos="1020"/>
        </w:tabs>
        <w:rPr>
          <w:lang w:val="en-US"/>
        </w:rPr>
      </w:pPr>
      <w:r>
        <w:tab/>
      </w:r>
      <w:r>
        <w:rPr>
          <w:rStyle w:val="FootnoteReference"/>
        </w:rPr>
        <w:footnoteRef/>
      </w:r>
      <w:r>
        <w:tab/>
      </w:r>
      <w:r w:rsidRPr="00F76DBE">
        <w:rPr>
          <w:lang w:val="en-US"/>
        </w:rPr>
        <w:t xml:space="preserve">See </w:t>
      </w:r>
      <w:hyperlink r:id="rId5" w:history="1">
        <w:r w:rsidRPr="00F76DBE">
          <w:rPr>
            <w:rStyle w:val="Hyperlink"/>
            <w:lang w:val="en-US"/>
          </w:rPr>
          <w:t>http://unfccc.int/10151</w:t>
        </w:r>
      </w:hyperlink>
      <w:r>
        <w:rPr>
          <w:rStyle w:val="Hyperlink"/>
          <w:lang w:val="en-US"/>
        </w:rPr>
        <w:t>.</w:t>
      </w:r>
    </w:p>
  </w:footnote>
  <w:footnote w:id="13">
    <w:p w14:paraId="0F67D735" w14:textId="77777777" w:rsidR="002B3102" w:rsidRPr="001872A5" w:rsidRDefault="002B3102" w:rsidP="00875B3E">
      <w:pPr>
        <w:pStyle w:val="FootnoteText"/>
        <w:widowControl w:val="0"/>
        <w:tabs>
          <w:tab w:val="clear" w:pos="1021"/>
          <w:tab w:val="right" w:pos="1020"/>
        </w:tabs>
        <w:rPr>
          <w:lang w:val="en-US"/>
        </w:rPr>
      </w:pPr>
      <w:r>
        <w:tab/>
      </w:r>
      <w:r>
        <w:rPr>
          <w:rStyle w:val="FootnoteReference"/>
        </w:rPr>
        <w:footnoteRef/>
      </w:r>
      <w:r>
        <w:tab/>
      </w:r>
      <w:r w:rsidRPr="00F76DBE">
        <w:rPr>
          <w:lang w:val="en-US"/>
        </w:rPr>
        <w:t>FCCC/SBSTA/2017/6.</w:t>
      </w:r>
    </w:p>
  </w:footnote>
  <w:footnote w:id="14">
    <w:p w14:paraId="6B54DA2B" w14:textId="3C8700D7" w:rsidR="002B3102" w:rsidRPr="00754C2E" w:rsidRDefault="002B3102" w:rsidP="002A19D4">
      <w:pPr>
        <w:pStyle w:val="FootnoteText"/>
        <w:rPr>
          <w:szCs w:val="18"/>
        </w:rPr>
      </w:pPr>
      <w:r>
        <w:tab/>
      </w:r>
      <w:r w:rsidRPr="001C1315">
        <w:rPr>
          <w:vertAlign w:val="superscript"/>
        </w:rPr>
        <w:footnoteRef/>
      </w:r>
      <w:r>
        <w:tab/>
      </w:r>
      <w:r w:rsidRPr="001C1315">
        <w:t>Decision 21/CP.22.</w:t>
      </w:r>
    </w:p>
  </w:footnote>
  <w:footnote w:id="15">
    <w:p w14:paraId="3142A5FF" w14:textId="77777777" w:rsidR="002B3102" w:rsidRPr="003A0CF7" w:rsidRDefault="002B3102" w:rsidP="002A19D4">
      <w:pPr>
        <w:pStyle w:val="FootnoteText"/>
        <w:rPr>
          <w:lang w:val="en-US"/>
        </w:rPr>
      </w:pPr>
      <w:r>
        <w:tab/>
      </w:r>
      <w:r>
        <w:rPr>
          <w:rStyle w:val="FootnoteReference"/>
        </w:rPr>
        <w:footnoteRef/>
      </w:r>
      <w:r>
        <w:tab/>
      </w:r>
      <w:r w:rsidRPr="001C1315">
        <w:t>FCCC/TP/2017/8</w:t>
      </w:r>
      <w:r>
        <w:t xml:space="preserve">. </w:t>
      </w:r>
    </w:p>
  </w:footnote>
  <w:footnote w:id="16">
    <w:p w14:paraId="64E70392" w14:textId="23412C2A" w:rsidR="002B3102" w:rsidRPr="001C1315" w:rsidRDefault="002B3102" w:rsidP="002A19D4">
      <w:pPr>
        <w:pStyle w:val="FootnoteText"/>
      </w:pPr>
      <w:r>
        <w:tab/>
      </w:r>
      <w:r w:rsidRPr="001C1315">
        <w:rPr>
          <w:vertAlign w:val="superscript"/>
        </w:rPr>
        <w:footnoteRef/>
      </w:r>
      <w:r>
        <w:tab/>
      </w:r>
      <w:r w:rsidRPr="001C1315">
        <w:t>Decision 21/CP.22, paragraphs 11 and 12.</w:t>
      </w:r>
    </w:p>
  </w:footnote>
  <w:footnote w:id="17">
    <w:p w14:paraId="0D80F360" w14:textId="28AC482F" w:rsidR="002B3102" w:rsidRPr="00754C2E" w:rsidRDefault="002B3102" w:rsidP="002A19D4">
      <w:pPr>
        <w:pStyle w:val="FootnoteText"/>
        <w:rPr>
          <w:szCs w:val="18"/>
        </w:rPr>
      </w:pPr>
      <w:r>
        <w:tab/>
      </w:r>
      <w:r w:rsidRPr="001C1315">
        <w:rPr>
          <w:vertAlign w:val="superscript"/>
        </w:rPr>
        <w:footnoteRef/>
      </w:r>
      <w:r>
        <w:tab/>
      </w:r>
      <w:r w:rsidRPr="001C1315">
        <w:t>Decision 21/CP.22, paragraph 6.</w:t>
      </w:r>
    </w:p>
  </w:footnote>
  <w:footnote w:id="18">
    <w:p w14:paraId="0D0AAC06" w14:textId="77777777" w:rsidR="002B3102" w:rsidRPr="00D77BB6" w:rsidRDefault="002B3102" w:rsidP="002A19D4">
      <w:pPr>
        <w:pStyle w:val="FootnoteText"/>
        <w:widowControl w:val="0"/>
        <w:tabs>
          <w:tab w:val="clear" w:pos="1021"/>
          <w:tab w:val="right" w:pos="1020"/>
        </w:tabs>
        <w:rPr>
          <w:lang w:val="en-US"/>
        </w:rPr>
      </w:pPr>
      <w:r>
        <w:tab/>
      </w:r>
      <w:r>
        <w:rPr>
          <w:rStyle w:val="FootnoteReference"/>
        </w:rPr>
        <w:footnoteRef/>
      </w:r>
      <w:r>
        <w:tab/>
      </w:r>
      <w:r w:rsidRPr="00DE44F9">
        <w:t>FCCC/SBSTA/2014/INF.2</w:t>
      </w:r>
      <w:r>
        <w:t>,</w:t>
      </w:r>
      <w:r w:rsidRPr="00DE44F9">
        <w:t xml:space="preserve"> FCCC</w:t>
      </w:r>
      <w:r w:rsidRPr="00D77BB6">
        <w:t>/SBSTA/2015/INF.6</w:t>
      </w:r>
      <w:r>
        <w:t>,</w:t>
      </w:r>
      <w:r w:rsidRPr="00D77BB6">
        <w:t xml:space="preserve"> FCCC/SBSTA/2015/INF.7</w:t>
      </w:r>
      <w:r>
        <w:t>,</w:t>
      </w:r>
      <w:r w:rsidRPr="00D77BB6">
        <w:t xml:space="preserve"> FCCC/SBSTA/2016/INF.5</w:t>
      </w:r>
      <w:r>
        <w:t xml:space="preserve"> and</w:t>
      </w:r>
      <w:r w:rsidRPr="00D77BB6">
        <w:t xml:space="preserve"> FCCC/SBSTA/2016/INF.6</w:t>
      </w:r>
      <w:r>
        <w:t xml:space="preserve">. </w:t>
      </w:r>
    </w:p>
  </w:footnote>
  <w:footnote w:id="19">
    <w:p w14:paraId="6D7618CD" w14:textId="1D2641F0" w:rsidR="002B3102" w:rsidRPr="00DE44F9" w:rsidRDefault="002B3102" w:rsidP="002A19D4">
      <w:pPr>
        <w:pStyle w:val="FootnoteText"/>
        <w:widowControl w:val="0"/>
        <w:tabs>
          <w:tab w:val="clear" w:pos="1021"/>
          <w:tab w:val="right" w:pos="1020"/>
        </w:tabs>
        <w:rPr>
          <w:lang w:val="en-US"/>
        </w:rPr>
      </w:pPr>
      <w:r>
        <w:tab/>
      </w:r>
      <w:r>
        <w:rPr>
          <w:rStyle w:val="FootnoteReference"/>
        </w:rPr>
        <w:footnoteRef/>
      </w:r>
      <w:r>
        <w:tab/>
      </w:r>
      <w:r w:rsidRPr="009E1F72">
        <w:t xml:space="preserve">Views should be submitted via the submission portal at </w:t>
      </w:r>
      <w:hyperlink r:id="rId6" w:history="1">
        <w:r w:rsidR="002B1E4D" w:rsidRPr="005E7EC5">
          <w:rPr>
            <w:rStyle w:val="Hyperlink"/>
          </w:rPr>
          <w:t>http://www4.unfccc.int/sites/submissionportal/Pages/Home.aspx</w:t>
        </w:r>
      </w:hyperlink>
      <w:r w:rsidRPr="009E1F72">
        <w:t>.</w:t>
      </w:r>
    </w:p>
  </w:footnote>
  <w:footnote w:id="20">
    <w:p w14:paraId="42F3FE41" w14:textId="77777777" w:rsidR="002B3102" w:rsidRPr="00D8141C" w:rsidRDefault="002B3102" w:rsidP="002C7DF9">
      <w:pPr>
        <w:pStyle w:val="FootnoteText"/>
        <w:widowControl w:val="0"/>
        <w:rPr>
          <w:lang w:val="en-US"/>
        </w:rPr>
      </w:pPr>
      <w:r>
        <w:tab/>
      </w:r>
      <w:r>
        <w:rPr>
          <w:rStyle w:val="FootnoteReference"/>
        </w:rPr>
        <w:footnoteRef/>
      </w:r>
      <w:r>
        <w:tab/>
      </w:r>
      <w:r w:rsidRPr="00D8141C">
        <w:rPr>
          <w:lang w:val="en-US"/>
        </w:rPr>
        <w:t>FCCC/SB/2017/1 and Add.1.</w:t>
      </w:r>
    </w:p>
  </w:footnote>
  <w:footnote w:id="21">
    <w:p w14:paraId="256DDF1A" w14:textId="77777777" w:rsidR="002B3102" w:rsidRPr="00432856" w:rsidRDefault="002B3102" w:rsidP="002C7DF9">
      <w:pPr>
        <w:pStyle w:val="FootnoteText"/>
        <w:rPr>
          <w:lang w:val="en-US"/>
        </w:rPr>
      </w:pPr>
      <w:r>
        <w:tab/>
      </w:r>
      <w:r>
        <w:rPr>
          <w:rStyle w:val="FootnoteReference"/>
        </w:rPr>
        <w:footnoteRef/>
      </w:r>
      <w:r>
        <w:tab/>
        <w:t xml:space="preserve">In response to the invitation of the Conference of the Parties in decision 3/CP.22, paragraph 5. The submissions are available at </w:t>
      </w:r>
      <w:hyperlink r:id="rId7" w:history="1">
        <w:r w:rsidRPr="009D71A5">
          <w:rPr>
            <w:rStyle w:val="Hyperlink"/>
          </w:rPr>
          <w:t>http://unfccc.int/10064</w:t>
        </w:r>
      </w:hyperlink>
      <w:r>
        <w:t xml:space="preserve">. </w:t>
      </w:r>
    </w:p>
  </w:footnote>
  <w:footnote w:id="22">
    <w:p w14:paraId="0314B9F9" w14:textId="77777777" w:rsidR="002B3102" w:rsidRPr="001779E2" w:rsidRDefault="002B3102" w:rsidP="002C7DF9">
      <w:pPr>
        <w:pStyle w:val="FootnoteText"/>
        <w:widowControl w:val="0"/>
      </w:pPr>
      <w:r>
        <w:tab/>
      </w:r>
      <w:r w:rsidRPr="001779E2">
        <w:rPr>
          <w:vertAlign w:val="superscript"/>
        </w:rPr>
        <w:footnoteRef/>
      </w:r>
      <w:r>
        <w:tab/>
      </w:r>
      <w:r w:rsidRPr="00656D6F">
        <w:t>Decision 1/CP.21, para</w:t>
      </w:r>
      <w:r>
        <w:t>g</w:t>
      </w:r>
      <w:r w:rsidRPr="00656D6F">
        <w:t>raph 49.</w:t>
      </w:r>
    </w:p>
  </w:footnote>
  <w:footnote w:id="23">
    <w:p w14:paraId="66C8B4E8" w14:textId="4C16DF2A" w:rsidR="002B3102" w:rsidRPr="009074FB" w:rsidRDefault="002B3102">
      <w:pPr>
        <w:pStyle w:val="FootnoteText"/>
        <w:rPr>
          <w:lang w:val="en-US"/>
        </w:rPr>
      </w:pPr>
      <w:r>
        <w:tab/>
      </w:r>
      <w:r>
        <w:rPr>
          <w:rStyle w:val="FootnoteReference"/>
        </w:rPr>
        <w:footnoteRef/>
      </w:r>
      <w:r>
        <w:tab/>
        <w:t xml:space="preserve">To be known as the Suva expert dialogue. </w:t>
      </w:r>
    </w:p>
  </w:footnote>
  <w:footnote w:id="24">
    <w:p w14:paraId="3D6DFE51" w14:textId="5AF0E813" w:rsidR="002B3102" w:rsidRPr="007D1218" w:rsidRDefault="002B3102" w:rsidP="007D1218">
      <w:pPr>
        <w:pStyle w:val="FootnoteText"/>
        <w:widowControl w:val="0"/>
        <w:tabs>
          <w:tab w:val="clear" w:pos="1021"/>
          <w:tab w:val="right" w:pos="1020"/>
        </w:tabs>
        <w:rPr>
          <w:lang w:val="en-US"/>
        </w:rPr>
      </w:pPr>
      <w:r>
        <w:tab/>
      </w:r>
      <w:r>
        <w:rPr>
          <w:rStyle w:val="FootnoteReference"/>
        </w:rPr>
        <w:footnoteRef/>
      </w:r>
      <w:r>
        <w:tab/>
      </w:r>
      <w:r w:rsidRPr="00917D1D">
        <w:rPr>
          <w:lang w:val="en-US"/>
        </w:rPr>
        <w:t xml:space="preserve">Views should be submitted via the submission portal at </w:t>
      </w:r>
      <w:hyperlink r:id="rId8" w:history="1">
        <w:r w:rsidR="002B1E4D" w:rsidRPr="005E7EC5">
          <w:rPr>
            <w:rStyle w:val="Hyperlink"/>
            <w:lang w:val="en-US"/>
          </w:rPr>
          <w:t>http://www4.unfccc.int/sites/submissionportal/Pages/Home.aspx</w:t>
        </w:r>
      </w:hyperlink>
      <w:r>
        <w:rPr>
          <w:lang w:val="en-US"/>
        </w:rPr>
        <w:t>.</w:t>
      </w:r>
      <w:r>
        <w:t xml:space="preserve"> </w:t>
      </w:r>
    </w:p>
  </w:footnote>
  <w:footnote w:id="25">
    <w:p w14:paraId="1EF63F4A" w14:textId="28F2019B" w:rsidR="002B3102" w:rsidRPr="007D1218" w:rsidRDefault="002B3102" w:rsidP="007D1218">
      <w:pPr>
        <w:pStyle w:val="FootnoteText"/>
        <w:widowControl w:val="0"/>
        <w:tabs>
          <w:tab w:val="clear" w:pos="1021"/>
          <w:tab w:val="right" w:pos="1020"/>
        </w:tabs>
        <w:rPr>
          <w:lang w:val="en-US"/>
        </w:rPr>
      </w:pPr>
      <w:r>
        <w:tab/>
      </w:r>
      <w:r>
        <w:rPr>
          <w:rStyle w:val="FootnoteReference"/>
        </w:rPr>
        <w:footnoteRef/>
      </w:r>
      <w:r>
        <w:tab/>
        <w:t xml:space="preserve">As footnote 5 above. </w:t>
      </w:r>
    </w:p>
  </w:footnote>
  <w:footnote w:id="26">
    <w:p w14:paraId="25801355" w14:textId="33A7B77D" w:rsidR="002B3102" w:rsidRPr="00DB3779" w:rsidRDefault="002B3102" w:rsidP="002C7DF9">
      <w:pPr>
        <w:pStyle w:val="FootnoteText"/>
        <w:widowControl w:val="0"/>
      </w:pPr>
      <w:r>
        <w:tab/>
      </w:r>
      <w:r w:rsidRPr="00DB3779">
        <w:rPr>
          <w:vertAlign w:val="superscript"/>
        </w:rPr>
        <w:footnoteRef/>
      </w:r>
      <w:r>
        <w:tab/>
        <w:t>D</w:t>
      </w:r>
      <w:r w:rsidRPr="005D5358">
        <w:t>ecision 2/CP.19, paragraph</w:t>
      </w:r>
      <w:r>
        <w:t>s</w:t>
      </w:r>
      <w:r w:rsidRPr="005D5358">
        <w:t xml:space="preserve"> 2</w:t>
      </w:r>
      <w:r>
        <w:t xml:space="preserve"> and 5.</w:t>
      </w:r>
    </w:p>
  </w:footnote>
  <w:footnote w:id="27">
    <w:p w14:paraId="4C3EE0B9" w14:textId="0FBE57CF" w:rsidR="002B3102" w:rsidRPr="00D17ECB" w:rsidRDefault="002B3102" w:rsidP="00BE642F">
      <w:pPr>
        <w:pStyle w:val="FootnoteText"/>
        <w:rPr>
          <w:lang w:val="en-US"/>
        </w:rPr>
      </w:pPr>
      <w:r>
        <w:tab/>
      </w:r>
      <w:r>
        <w:rPr>
          <w:rStyle w:val="FootnoteReference"/>
        </w:rPr>
        <w:footnoteRef/>
      </w:r>
      <w:r>
        <w:tab/>
      </w:r>
      <w:r w:rsidRPr="00D17ECB">
        <w:rPr>
          <w:lang w:val="en-US"/>
        </w:rPr>
        <w:t>FCCC/CP/2017/INF</w:t>
      </w:r>
      <w:r>
        <w:rPr>
          <w:lang w:val="en-US"/>
        </w:rPr>
        <w:t>.</w:t>
      </w:r>
      <w:r w:rsidRPr="00D17ECB">
        <w:rPr>
          <w:lang w:val="en-US"/>
        </w:rPr>
        <w:t>1</w:t>
      </w:r>
      <w:r>
        <w:rPr>
          <w:lang w:val="en-US"/>
        </w:rPr>
        <w:t>.</w:t>
      </w:r>
    </w:p>
  </w:footnote>
  <w:footnote w:id="28">
    <w:p w14:paraId="233FE57C" w14:textId="77777777" w:rsidR="002B3102" w:rsidRPr="004606DD" w:rsidRDefault="002B3102" w:rsidP="00BE642F">
      <w:pPr>
        <w:pStyle w:val="FootnoteText"/>
        <w:widowControl w:val="0"/>
        <w:tabs>
          <w:tab w:val="clear" w:pos="1021"/>
          <w:tab w:val="right" w:pos="1020"/>
        </w:tabs>
        <w:rPr>
          <w:lang w:val="en-US"/>
        </w:rPr>
      </w:pPr>
      <w:r>
        <w:tab/>
      </w:r>
      <w:r>
        <w:rPr>
          <w:rStyle w:val="FootnoteReference"/>
        </w:rPr>
        <w:footnoteRef/>
      </w:r>
      <w:r>
        <w:tab/>
        <w:t>FCCC/CP/2017/8.</w:t>
      </w:r>
    </w:p>
  </w:footnote>
  <w:footnote w:id="29">
    <w:p w14:paraId="65539C70" w14:textId="77777777" w:rsidR="002B3102" w:rsidRPr="003219D3" w:rsidRDefault="002B3102" w:rsidP="00BE642F">
      <w:pPr>
        <w:pStyle w:val="FootnoteText"/>
        <w:widowControl w:val="0"/>
        <w:tabs>
          <w:tab w:val="clear" w:pos="1021"/>
          <w:tab w:val="right" w:pos="1020"/>
        </w:tabs>
        <w:rPr>
          <w:lang w:val="fr-BE"/>
        </w:rPr>
      </w:pPr>
      <w:r>
        <w:tab/>
      </w:r>
      <w:r>
        <w:rPr>
          <w:rStyle w:val="FootnoteReference"/>
        </w:rPr>
        <w:footnoteRef/>
      </w:r>
      <w:r w:rsidRPr="003219D3">
        <w:rPr>
          <w:lang w:val="fr-BE"/>
        </w:rPr>
        <w:tab/>
        <w:t>FCCC/CP/2017/8, paragraphs 6–11.</w:t>
      </w:r>
    </w:p>
  </w:footnote>
  <w:footnote w:id="30">
    <w:p w14:paraId="53A55F16" w14:textId="77777777" w:rsidR="002B3102" w:rsidRPr="003219D3" w:rsidRDefault="002B3102" w:rsidP="00BE642F">
      <w:pPr>
        <w:pStyle w:val="FootnoteText"/>
        <w:widowControl w:val="0"/>
        <w:tabs>
          <w:tab w:val="clear" w:pos="1021"/>
          <w:tab w:val="right" w:pos="1020"/>
        </w:tabs>
        <w:rPr>
          <w:lang w:val="fr-BE"/>
        </w:rPr>
      </w:pPr>
      <w:r w:rsidRPr="003219D3">
        <w:rPr>
          <w:lang w:val="fr-BE"/>
        </w:rPr>
        <w:tab/>
      </w:r>
      <w:r>
        <w:rPr>
          <w:rStyle w:val="FootnoteReference"/>
        </w:rPr>
        <w:footnoteRef/>
      </w:r>
      <w:r w:rsidRPr="003219D3">
        <w:rPr>
          <w:lang w:val="fr-BE"/>
        </w:rPr>
        <w:tab/>
        <w:t>FCCC/CP/2017/4.</w:t>
      </w:r>
    </w:p>
  </w:footnote>
  <w:footnote w:id="31">
    <w:p w14:paraId="0A3DA623" w14:textId="77777777" w:rsidR="002B3102" w:rsidRPr="00C24D0B" w:rsidRDefault="002B3102" w:rsidP="00BE642F">
      <w:pPr>
        <w:pStyle w:val="FootnoteText"/>
        <w:widowControl w:val="0"/>
        <w:rPr>
          <w:lang w:val="fr-FR"/>
        </w:rPr>
      </w:pPr>
      <w:r w:rsidRPr="003219D3">
        <w:rPr>
          <w:lang w:val="fr-BE"/>
        </w:rPr>
        <w:tab/>
      </w:r>
      <w:r>
        <w:rPr>
          <w:rStyle w:val="FootnoteReference"/>
        </w:rPr>
        <w:footnoteRef/>
      </w:r>
      <w:r w:rsidRPr="00C24D0B">
        <w:rPr>
          <w:lang w:val="fr-FR"/>
        </w:rPr>
        <w:tab/>
        <w:t>FCCC/CP/2017/4, paragraph 24.</w:t>
      </w:r>
    </w:p>
  </w:footnote>
  <w:footnote w:id="32">
    <w:p w14:paraId="1707BC81" w14:textId="77777777" w:rsidR="002B3102" w:rsidRPr="00C24D0B" w:rsidRDefault="002B3102" w:rsidP="00BE642F">
      <w:pPr>
        <w:pStyle w:val="FootnoteText"/>
        <w:widowControl w:val="0"/>
        <w:rPr>
          <w:lang w:val="fr-FR"/>
        </w:rPr>
      </w:pPr>
      <w:r w:rsidRPr="00C24D0B">
        <w:rPr>
          <w:lang w:val="fr-FR"/>
        </w:rPr>
        <w:tab/>
      </w:r>
      <w:r>
        <w:rPr>
          <w:rStyle w:val="FootnoteReference"/>
        </w:rPr>
        <w:footnoteRef/>
      </w:r>
      <w:r w:rsidRPr="00C24D0B">
        <w:rPr>
          <w:lang w:val="fr-FR"/>
        </w:rPr>
        <w:tab/>
        <w:t>FCCC/CP/2017/9.</w:t>
      </w:r>
    </w:p>
  </w:footnote>
  <w:footnote w:id="33">
    <w:p w14:paraId="1ED74D4C" w14:textId="77777777" w:rsidR="002B3102" w:rsidRPr="00B3682E" w:rsidRDefault="002B3102" w:rsidP="00BE642F">
      <w:pPr>
        <w:pStyle w:val="FootnoteText"/>
        <w:widowControl w:val="0"/>
        <w:rPr>
          <w:lang w:val="en-US"/>
        </w:rPr>
      </w:pPr>
      <w:r w:rsidRPr="00C24D0B">
        <w:rPr>
          <w:lang w:val="fr-FR"/>
        </w:rPr>
        <w:tab/>
      </w:r>
      <w:r>
        <w:rPr>
          <w:rStyle w:val="FootnoteReference"/>
        </w:rPr>
        <w:footnoteRef/>
      </w:r>
      <w:r>
        <w:tab/>
        <w:t>FCCC/CP/2017</w:t>
      </w:r>
      <w:r w:rsidRPr="0055187D">
        <w:t>/9</w:t>
      </w:r>
      <w:r>
        <w:t>, annex VIII.</w:t>
      </w:r>
    </w:p>
  </w:footnote>
  <w:footnote w:id="34">
    <w:p w14:paraId="44BD2B6F" w14:textId="77777777" w:rsidR="002B3102" w:rsidRPr="007A34AA" w:rsidRDefault="002B3102" w:rsidP="00BE642F">
      <w:pPr>
        <w:pStyle w:val="FootnoteText"/>
        <w:widowControl w:val="0"/>
        <w:tabs>
          <w:tab w:val="clear" w:pos="1021"/>
          <w:tab w:val="right" w:pos="1020"/>
        </w:tabs>
        <w:rPr>
          <w:lang w:val="en-US"/>
        </w:rPr>
      </w:pPr>
      <w:r>
        <w:tab/>
      </w:r>
      <w:r>
        <w:rPr>
          <w:rStyle w:val="FootnoteReference"/>
        </w:rPr>
        <w:footnoteRef/>
      </w:r>
      <w:r>
        <w:tab/>
        <w:t xml:space="preserve">FCCC/CP/2017/9, annex V. </w:t>
      </w:r>
    </w:p>
  </w:footnote>
  <w:footnote w:id="35">
    <w:p w14:paraId="28381E76" w14:textId="77777777" w:rsidR="002B3102" w:rsidRPr="00507CBB" w:rsidRDefault="002B3102" w:rsidP="00BE642F">
      <w:pPr>
        <w:pStyle w:val="FootnoteText"/>
        <w:rPr>
          <w:lang w:val="fr-FR"/>
        </w:rPr>
      </w:pPr>
      <w:r w:rsidRPr="00C24D0B">
        <w:rPr>
          <w:lang w:val="en-US"/>
        </w:rPr>
        <w:tab/>
      </w:r>
      <w:r>
        <w:rPr>
          <w:rStyle w:val="FootnoteReference"/>
        </w:rPr>
        <w:footnoteRef/>
      </w:r>
      <w:r>
        <w:rPr>
          <w:lang w:val="fr-FR"/>
        </w:rPr>
        <w:tab/>
      </w:r>
      <w:r w:rsidRPr="00507CBB">
        <w:rPr>
          <w:lang w:val="fr-FR"/>
        </w:rPr>
        <w:t>FCCC/CP/2017/9, annex VI.</w:t>
      </w:r>
    </w:p>
  </w:footnote>
  <w:footnote w:id="36">
    <w:p w14:paraId="0BF5663E" w14:textId="77777777" w:rsidR="002B3102" w:rsidRPr="00507CBB" w:rsidRDefault="002B3102" w:rsidP="00BE642F">
      <w:pPr>
        <w:pStyle w:val="FootnoteText"/>
        <w:rPr>
          <w:lang w:val="fr-FR"/>
        </w:rPr>
      </w:pPr>
      <w:r>
        <w:rPr>
          <w:lang w:val="fr-FR"/>
        </w:rPr>
        <w:tab/>
      </w:r>
      <w:r>
        <w:rPr>
          <w:rStyle w:val="FootnoteReference"/>
        </w:rPr>
        <w:footnoteRef/>
      </w:r>
      <w:r>
        <w:rPr>
          <w:lang w:val="fr-FR"/>
        </w:rPr>
        <w:tab/>
      </w:r>
      <w:r w:rsidRPr="00E5462E">
        <w:rPr>
          <w:lang w:val="fr-FR"/>
        </w:rPr>
        <w:t>FCCC/CP/2017/9, annex VIII, page 69</w:t>
      </w:r>
      <w:r>
        <w:rPr>
          <w:lang w:val="fr-FR"/>
        </w:rPr>
        <w:t>.</w:t>
      </w:r>
    </w:p>
  </w:footnote>
  <w:footnote w:id="37">
    <w:p w14:paraId="36864C63" w14:textId="77777777" w:rsidR="002B3102" w:rsidRPr="00445298" w:rsidRDefault="002B3102" w:rsidP="00BE642F">
      <w:pPr>
        <w:pStyle w:val="FootnoteText"/>
        <w:widowControl w:val="0"/>
        <w:tabs>
          <w:tab w:val="clear" w:pos="1021"/>
          <w:tab w:val="right" w:pos="1020"/>
        </w:tabs>
        <w:rPr>
          <w:lang w:val="en-US"/>
        </w:rPr>
      </w:pPr>
      <w:r w:rsidRPr="00C24D0B">
        <w:rPr>
          <w:lang w:val="fr-FR"/>
        </w:rPr>
        <w:tab/>
      </w:r>
      <w:r>
        <w:rPr>
          <w:rStyle w:val="FootnoteReference"/>
        </w:rPr>
        <w:footnoteRef/>
      </w:r>
      <w:r>
        <w:tab/>
        <w:t xml:space="preserve">See </w:t>
      </w:r>
      <w:hyperlink r:id="rId9" w:history="1">
        <w:r w:rsidRPr="00113873">
          <w:rPr>
            <w:rStyle w:val="Hyperlink"/>
          </w:rPr>
          <w:t>http://www4.unfccc.int/Submissions/Lists/OSPSubmissionUpload/39_304_131359396103493098-SCF%20submission%20SBI%2046.pdf</w:t>
        </w:r>
      </w:hyperlink>
      <w:r>
        <w:t xml:space="preserve">. </w:t>
      </w:r>
    </w:p>
  </w:footnote>
  <w:footnote w:id="38">
    <w:p w14:paraId="592D32A0" w14:textId="77777777" w:rsidR="002B3102" w:rsidRPr="007710AD" w:rsidRDefault="002B3102" w:rsidP="00BE642F">
      <w:pPr>
        <w:pStyle w:val="FootnoteText"/>
        <w:widowControl w:val="0"/>
        <w:tabs>
          <w:tab w:val="clear" w:pos="1021"/>
          <w:tab w:val="right" w:pos="1020"/>
        </w:tabs>
        <w:rPr>
          <w:lang w:val="en-US"/>
        </w:rPr>
      </w:pPr>
      <w:r>
        <w:tab/>
      </w:r>
      <w:r>
        <w:rPr>
          <w:rStyle w:val="FootnoteReference"/>
        </w:rPr>
        <w:footnoteRef/>
      </w:r>
      <w:r>
        <w:tab/>
        <w:t xml:space="preserve">FCCC/CP/2017/9, annex VII. </w:t>
      </w:r>
    </w:p>
  </w:footnote>
  <w:footnote w:id="39">
    <w:p w14:paraId="35FC1AF6" w14:textId="77777777" w:rsidR="002B3102" w:rsidRPr="003650F0" w:rsidRDefault="002B3102" w:rsidP="00BE642F">
      <w:pPr>
        <w:pStyle w:val="FootnoteText"/>
        <w:widowControl w:val="0"/>
        <w:rPr>
          <w:lang w:val="en-US"/>
        </w:rPr>
      </w:pPr>
      <w:r>
        <w:tab/>
      </w:r>
      <w:r>
        <w:rPr>
          <w:rStyle w:val="FootnoteReference"/>
        </w:rPr>
        <w:footnoteRef/>
      </w:r>
      <w:r>
        <w:tab/>
        <w:t>FCCC/TP/2017/4.</w:t>
      </w:r>
    </w:p>
  </w:footnote>
  <w:footnote w:id="40">
    <w:p w14:paraId="0346BA28" w14:textId="4FAC84D3" w:rsidR="002B3102" w:rsidRPr="002701ED" w:rsidRDefault="002B3102" w:rsidP="00BE642F">
      <w:pPr>
        <w:pStyle w:val="FootnoteText"/>
        <w:rPr>
          <w:rFonts w:eastAsia="Malgun Gothic"/>
          <w:lang w:eastAsia="ko-KR"/>
        </w:rPr>
      </w:pPr>
      <w:r>
        <w:tab/>
      </w:r>
      <w:r>
        <w:rPr>
          <w:rStyle w:val="FootnoteReference"/>
        </w:rPr>
        <w:footnoteRef/>
      </w:r>
      <w:r>
        <w:tab/>
        <w:t>FCCC/CP/2017/5 and Add.1.</w:t>
      </w:r>
    </w:p>
  </w:footnote>
  <w:footnote w:id="41">
    <w:p w14:paraId="4B6034F2" w14:textId="0A75F0B6" w:rsidR="002B3102" w:rsidRPr="002701ED" w:rsidRDefault="002B3102" w:rsidP="00BE642F">
      <w:pPr>
        <w:pStyle w:val="FootnoteText"/>
        <w:rPr>
          <w:rFonts w:eastAsia="Malgun Gothic"/>
          <w:lang w:eastAsia="ko-KR"/>
        </w:rPr>
      </w:pPr>
      <w:r>
        <w:tab/>
      </w:r>
      <w:r>
        <w:rPr>
          <w:rStyle w:val="FootnoteReference"/>
        </w:rPr>
        <w:footnoteRef/>
      </w:r>
      <w:r>
        <w:tab/>
        <w:t>Green Climate Fund Board decision B.15/04.</w:t>
      </w:r>
    </w:p>
  </w:footnote>
  <w:footnote w:id="42">
    <w:p w14:paraId="44DC0C65" w14:textId="43599C02" w:rsidR="002B3102" w:rsidRPr="00C97F21" w:rsidRDefault="002B3102" w:rsidP="00BE642F">
      <w:pPr>
        <w:pStyle w:val="FootnoteText"/>
        <w:rPr>
          <w:rFonts w:eastAsia="Malgun Gothic"/>
          <w:lang w:eastAsia="ko-KR"/>
        </w:rPr>
      </w:pPr>
      <w:r>
        <w:tab/>
      </w:r>
      <w:r>
        <w:rPr>
          <w:rStyle w:val="FootnoteReference"/>
        </w:rPr>
        <w:footnoteRef/>
      </w:r>
      <w:r>
        <w:tab/>
        <w:t>Green Climate Fund Board decision B.18/07.</w:t>
      </w:r>
    </w:p>
  </w:footnote>
  <w:footnote w:id="43">
    <w:p w14:paraId="48D45F6C" w14:textId="4F2EE0B1" w:rsidR="002B3102" w:rsidRPr="00766B34" w:rsidRDefault="002B3102" w:rsidP="00BE642F">
      <w:pPr>
        <w:pStyle w:val="FootnoteText"/>
        <w:rPr>
          <w:rFonts w:eastAsia="Malgun Gothic"/>
          <w:lang w:eastAsia="ko-KR"/>
        </w:rPr>
      </w:pPr>
      <w:r>
        <w:tab/>
      </w:r>
      <w:r>
        <w:rPr>
          <w:rStyle w:val="FootnoteReference"/>
        </w:rPr>
        <w:footnoteRef/>
      </w:r>
      <w:r>
        <w:tab/>
        <w:t>Green Climate Fund Board decision B.18/03.</w:t>
      </w:r>
    </w:p>
  </w:footnote>
  <w:footnote w:id="44">
    <w:p w14:paraId="165D9F2F" w14:textId="3B269036" w:rsidR="002B3102" w:rsidRPr="00C97F21" w:rsidRDefault="002B3102" w:rsidP="00BE642F">
      <w:pPr>
        <w:pStyle w:val="FootnoteText"/>
        <w:rPr>
          <w:rFonts w:eastAsia="Malgun Gothic"/>
          <w:lang w:eastAsia="ko-KR"/>
        </w:rPr>
      </w:pPr>
      <w:r>
        <w:tab/>
      </w:r>
      <w:r>
        <w:rPr>
          <w:rStyle w:val="FootnoteReference"/>
        </w:rPr>
        <w:footnoteRef/>
      </w:r>
      <w:r>
        <w:tab/>
        <w:t>Green Climate Fund Board decision B.18/04.</w:t>
      </w:r>
    </w:p>
  </w:footnote>
  <w:footnote w:id="45">
    <w:p w14:paraId="20B08599" w14:textId="0D7255F3" w:rsidR="002B3102" w:rsidRPr="00EC4531" w:rsidRDefault="002B3102" w:rsidP="00823E1E">
      <w:pPr>
        <w:pStyle w:val="FootnoteText"/>
        <w:rPr>
          <w:rFonts w:eastAsia="Malgun Gothic"/>
          <w:lang w:eastAsia="ko-KR"/>
        </w:rPr>
      </w:pPr>
      <w:r>
        <w:tab/>
      </w:r>
      <w:r>
        <w:rPr>
          <w:rStyle w:val="FootnoteReference"/>
        </w:rPr>
        <w:footnoteRef/>
      </w:r>
      <w:r>
        <w:tab/>
        <w:t>A</w:t>
      </w:r>
      <w:r w:rsidRPr="00C65727">
        <w:t>nnex III to the report of the Green Climate Fund contained in the annex to document FCCC/CP/2017/5</w:t>
      </w:r>
      <w:r>
        <w:t>.</w:t>
      </w:r>
    </w:p>
  </w:footnote>
  <w:footnote w:id="46">
    <w:p w14:paraId="2F0208EA" w14:textId="0C9BD6E1" w:rsidR="002B3102" w:rsidRPr="00571463" w:rsidRDefault="002B3102" w:rsidP="00BE642F">
      <w:pPr>
        <w:pStyle w:val="FootnoteText"/>
        <w:rPr>
          <w:rFonts w:eastAsia="Malgun Gothic"/>
          <w:lang w:eastAsia="ko-KR"/>
        </w:rPr>
      </w:pPr>
      <w:r>
        <w:tab/>
      </w:r>
      <w:r>
        <w:rPr>
          <w:rStyle w:val="FootnoteReference"/>
        </w:rPr>
        <w:footnoteRef/>
      </w:r>
      <w:r>
        <w:tab/>
        <w:t xml:space="preserve">Views should be submitted via the submission portal at </w:t>
      </w:r>
      <w:hyperlink r:id="rId10" w:history="1">
        <w:r w:rsidR="002B1E4D" w:rsidRPr="005E7EC5">
          <w:rPr>
            <w:rStyle w:val="Hyperlink"/>
          </w:rPr>
          <w:t>http://www4.unfccc.int/sites/submissionportal/Pages/Home.aspx</w:t>
        </w:r>
      </w:hyperlink>
      <w:r w:rsidRPr="002B1E4D">
        <w:rPr>
          <w:rStyle w:val="Hyperlink"/>
          <w:color w:val="000000"/>
          <w:u w:val="none"/>
        </w:rPr>
        <w:t>.</w:t>
      </w:r>
      <w:r>
        <w:t xml:space="preserve"> </w:t>
      </w:r>
    </w:p>
  </w:footnote>
  <w:footnote w:id="47">
    <w:p w14:paraId="5E1B01E4" w14:textId="77777777" w:rsidR="002B3102" w:rsidRPr="006602B5" w:rsidRDefault="002B3102" w:rsidP="006602B5">
      <w:pPr>
        <w:pStyle w:val="FootnoteText"/>
        <w:rPr>
          <w:lang w:eastAsia="ko-KR"/>
        </w:rPr>
      </w:pPr>
      <w:r>
        <w:tab/>
      </w:r>
      <w:r>
        <w:rPr>
          <w:rStyle w:val="FootnoteReference"/>
        </w:rPr>
        <w:footnoteRef/>
      </w:r>
      <w:r>
        <w:tab/>
        <w:t xml:space="preserve">FCCC/CP/2017/7. </w:t>
      </w:r>
    </w:p>
  </w:footnote>
  <w:footnote w:id="48">
    <w:p w14:paraId="4D2471A0" w14:textId="0CC44011" w:rsidR="002B3102" w:rsidRPr="006602B5" w:rsidRDefault="002B3102" w:rsidP="006602B5">
      <w:pPr>
        <w:pStyle w:val="FootnoteText"/>
        <w:widowControl w:val="0"/>
        <w:rPr>
          <w:lang w:eastAsia="ko-KR"/>
        </w:rPr>
      </w:pPr>
      <w:r>
        <w:tab/>
      </w:r>
      <w:r>
        <w:rPr>
          <w:rStyle w:val="FootnoteReference"/>
        </w:rPr>
        <w:footnoteRef/>
      </w:r>
      <w:r>
        <w:tab/>
        <w:t>See the j</w:t>
      </w:r>
      <w:r w:rsidRPr="006602B5">
        <w:rPr>
          <w:rFonts w:hint="eastAsia"/>
          <w:lang w:eastAsia="ko-KR"/>
        </w:rPr>
        <w:t xml:space="preserve">oint summary of the </w:t>
      </w:r>
      <w:r w:rsidRPr="006602B5">
        <w:rPr>
          <w:lang w:eastAsia="ko-KR"/>
        </w:rPr>
        <w:t>c</w:t>
      </w:r>
      <w:r w:rsidRPr="006602B5">
        <w:rPr>
          <w:rFonts w:hint="eastAsia"/>
          <w:lang w:eastAsia="ko-KR"/>
        </w:rPr>
        <w:t>hairs</w:t>
      </w:r>
      <w:r w:rsidRPr="006602B5">
        <w:rPr>
          <w:lang w:val="en-US" w:eastAsia="ko-KR"/>
        </w:rPr>
        <w:t xml:space="preserve"> of</w:t>
      </w:r>
      <w:r w:rsidRPr="006602B5">
        <w:rPr>
          <w:rFonts w:hint="eastAsia"/>
          <w:lang w:eastAsia="ko-KR"/>
        </w:rPr>
        <w:t xml:space="preserve"> </w:t>
      </w:r>
      <w:r w:rsidRPr="006602B5">
        <w:rPr>
          <w:lang w:eastAsia="ko-KR"/>
        </w:rPr>
        <w:t xml:space="preserve">the </w:t>
      </w:r>
      <w:r w:rsidRPr="006602B5">
        <w:rPr>
          <w:rFonts w:hint="eastAsia"/>
          <w:lang w:eastAsia="ko-KR"/>
        </w:rPr>
        <w:t>52</w:t>
      </w:r>
      <w:r w:rsidRPr="006602B5">
        <w:rPr>
          <w:rFonts w:hint="eastAsia"/>
          <w:vertAlign w:val="superscript"/>
          <w:lang w:eastAsia="ko-KR"/>
        </w:rPr>
        <w:t>nd</w:t>
      </w:r>
      <w:r w:rsidRPr="006602B5">
        <w:rPr>
          <w:rFonts w:hint="eastAsia"/>
          <w:lang w:eastAsia="ko-KR"/>
        </w:rPr>
        <w:t xml:space="preserve"> </w:t>
      </w:r>
      <w:r w:rsidRPr="006602B5">
        <w:rPr>
          <w:lang w:eastAsia="ko-KR"/>
        </w:rPr>
        <w:t xml:space="preserve">Global Environment Facility Council meeting, paragraphs 24 and 25. Available at </w:t>
      </w:r>
      <w:hyperlink r:id="rId11" w:history="1">
        <w:r w:rsidRPr="008D42CF">
          <w:rPr>
            <w:rStyle w:val="Hyperlink"/>
            <w:lang w:eastAsia="ko-KR"/>
          </w:rPr>
          <w:t>https://www.thegef.org/sites/default/files/council-meeting-documents/EN_GEF.C.52_Joint_Summary_of_the_Chairs.pdf</w:t>
        </w:r>
      </w:hyperlink>
      <w:r w:rsidRPr="006602B5">
        <w:rPr>
          <w:lang w:eastAsia="ko-KR"/>
        </w:rPr>
        <w:t xml:space="preserve">. </w:t>
      </w:r>
    </w:p>
  </w:footnote>
  <w:footnote w:id="49">
    <w:p w14:paraId="0A27F340" w14:textId="77777777" w:rsidR="002B3102" w:rsidRPr="006602B5" w:rsidRDefault="002B3102" w:rsidP="006602B5">
      <w:pPr>
        <w:pStyle w:val="FootnoteText"/>
        <w:widowControl w:val="0"/>
        <w:rPr>
          <w:lang w:eastAsia="ko-KR"/>
        </w:rPr>
      </w:pPr>
      <w:r>
        <w:tab/>
      </w:r>
      <w:r>
        <w:rPr>
          <w:rStyle w:val="FootnoteReference"/>
        </w:rPr>
        <w:footnoteRef/>
      </w:r>
      <w:r>
        <w:tab/>
        <w:t xml:space="preserve">See paragraph 7 of the joint summary referred </w:t>
      </w:r>
      <w:r w:rsidRPr="006602B5">
        <w:rPr>
          <w:lang w:eastAsia="ko-KR"/>
        </w:rPr>
        <w:t xml:space="preserve">to in footnote 2 above. </w:t>
      </w:r>
    </w:p>
  </w:footnote>
  <w:footnote w:id="50">
    <w:p w14:paraId="39AB95D9" w14:textId="77777777" w:rsidR="002B3102" w:rsidRPr="0000645C" w:rsidRDefault="002B3102" w:rsidP="006602B5">
      <w:pPr>
        <w:pStyle w:val="FootnoteText"/>
        <w:rPr>
          <w:lang w:val="en-US"/>
        </w:rPr>
      </w:pPr>
      <w:r>
        <w:tab/>
      </w:r>
      <w:r>
        <w:rPr>
          <w:rStyle w:val="FootnoteReference"/>
        </w:rPr>
        <w:footnoteRef/>
      </w:r>
      <w:r>
        <w:tab/>
        <w:t>Titled “</w:t>
      </w:r>
      <w:r w:rsidRPr="0098511A">
        <w:rPr>
          <w:lang w:val="en-US"/>
        </w:rPr>
        <w:t>Future Directions on Accreditation – A Follow</w:t>
      </w:r>
      <w:r>
        <w:rPr>
          <w:lang w:val="en-US"/>
        </w:rPr>
        <w:t>-</w:t>
      </w:r>
      <w:r w:rsidRPr="0098511A">
        <w:rPr>
          <w:lang w:val="en-US"/>
        </w:rPr>
        <w:t>Up</w:t>
      </w:r>
      <w:r>
        <w:rPr>
          <w:lang w:val="en-US"/>
        </w:rPr>
        <w:t>”.</w:t>
      </w:r>
    </w:p>
  </w:footnote>
  <w:footnote w:id="51">
    <w:p w14:paraId="06A07722" w14:textId="77777777" w:rsidR="002B3102" w:rsidRPr="00C24D0B" w:rsidRDefault="002B3102" w:rsidP="006602B5">
      <w:pPr>
        <w:pStyle w:val="FootnoteText"/>
        <w:widowControl w:val="0"/>
        <w:tabs>
          <w:tab w:val="clear" w:pos="1021"/>
          <w:tab w:val="right" w:pos="1020"/>
        </w:tabs>
        <w:rPr>
          <w:lang w:val="fr-FR"/>
        </w:rPr>
      </w:pPr>
      <w:r>
        <w:tab/>
      </w:r>
      <w:r>
        <w:rPr>
          <w:rStyle w:val="FootnoteReference"/>
        </w:rPr>
        <w:footnoteRef/>
      </w:r>
      <w:r w:rsidRPr="00C24D0B">
        <w:rPr>
          <w:lang w:val="fr-FR"/>
        </w:rPr>
        <w:tab/>
      </w:r>
      <w:r w:rsidRPr="0012483C">
        <w:rPr>
          <w:lang w:val="fr-FR"/>
        </w:rPr>
        <w:t>FCCC/SBI/2016/20, paragraph 84.</w:t>
      </w:r>
    </w:p>
  </w:footnote>
  <w:footnote w:id="52">
    <w:p w14:paraId="550709E6" w14:textId="77777777" w:rsidR="002B3102" w:rsidRPr="00C24D0B" w:rsidRDefault="002B3102" w:rsidP="006602B5">
      <w:pPr>
        <w:pStyle w:val="FootnoteText"/>
        <w:widowControl w:val="0"/>
        <w:tabs>
          <w:tab w:val="clear" w:pos="1021"/>
          <w:tab w:val="right" w:pos="1020"/>
        </w:tabs>
        <w:rPr>
          <w:lang w:val="fr-FR"/>
        </w:rPr>
      </w:pPr>
      <w:r w:rsidRPr="00C24D0B">
        <w:rPr>
          <w:lang w:val="fr-FR"/>
        </w:rPr>
        <w:tab/>
      </w:r>
      <w:r>
        <w:rPr>
          <w:rStyle w:val="FootnoteReference"/>
        </w:rPr>
        <w:footnoteRef/>
      </w:r>
      <w:r w:rsidRPr="00C24D0B">
        <w:rPr>
          <w:lang w:val="fr-FR"/>
        </w:rPr>
        <w:tab/>
      </w:r>
      <w:r w:rsidRPr="0012483C">
        <w:rPr>
          <w:lang w:val="fr-FR"/>
        </w:rPr>
        <w:t>FCCC/SBI/2016/20, paragraph 85.</w:t>
      </w:r>
    </w:p>
  </w:footnote>
  <w:footnote w:id="53">
    <w:p w14:paraId="0A139F64" w14:textId="097E6DB7" w:rsidR="002B3102" w:rsidRPr="009363AA" w:rsidRDefault="002B3102" w:rsidP="006602B5">
      <w:pPr>
        <w:pStyle w:val="FootnoteText"/>
        <w:rPr>
          <w:lang w:val="en-US"/>
        </w:rPr>
      </w:pPr>
      <w:r w:rsidRPr="00C24D0B">
        <w:rPr>
          <w:lang w:val="fr-FR"/>
        </w:rPr>
        <w:tab/>
      </w:r>
      <w:r>
        <w:rPr>
          <w:rStyle w:val="FootnoteReference"/>
        </w:rPr>
        <w:footnoteRef/>
      </w:r>
      <w:r>
        <w:tab/>
      </w:r>
      <w:hyperlink r:id="rId12" w:history="1">
        <w:r w:rsidR="002B1E4D" w:rsidRPr="005E7EC5">
          <w:rPr>
            <w:rStyle w:val="Hyperlink"/>
          </w:rPr>
          <w:t>http://www4.unfccc.int/sites/submissionportal/Pages/Home.aspx</w:t>
        </w:r>
      </w:hyperlink>
      <w:r>
        <w:rPr>
          <w:rFonts w:eastAsia="Times New Roman"/>
          <w:color w:val="000000"/>
          <w:szCs w:val="18"/>
          <w:lang w:val="en-AU" w:eastAsia="en-GB"/>
        </w:rPr>
        <w:t>.</w:t>
      </w:r>
      <w:r>
        <w:rPr>
          <w:lang w:val="en-AU"/>
        </w:rPr>
        <w:t xml:space="preserve"> </w:t>
      </w:r>
    </w:p>
  </w:footnote>
  <w:footnote w:id="54">
    <w:p w14:paraId="146B6500" w14:textId="77777777" w:rsidR="002B3102" w:rsidRPr="008F0F78" w:rsidRDefault="002B3102" w:rsidP="006602B5">
      <w:pPr>
        <w:pStyle w:val="FootnoteText"/>
        <w:widowControl w:val="0"/>
        <w:tabs>
          <w:tab w:val="clear" w:pos="1021"/>
          <w:tab w:val="right" w:pos="1020"/>
        </w:tabs>
        <w:rPr>
          <w:lang w:eastAsia="ko-KR"/>
        </w:rPr>
      </w:pPr>
      <w:r>
        <w:tab/>
      </w:r>
      <w:r>
        <w:rPr>
          <w:rStyle w:val="FootnoteReference"/>
        </w:rPr>
        <w:footnoteRef/>
      </w:r>
      <w:r>
        <w:tab/>
        <w:t>FCCC/CP/2017/9, annex II.</w:t>
      </w:r>
    </w:p>
  </w:footnote>
  <w:footnote w:id="55">
    <w:p w14:paraId="07D12951" w14:textId="77777777" w:rsidR="002B3102" w:rsidRPr="00B64D02" w:rsidRDefault="002B3102" w:rsidP="006602B5">
      <w:pPr>
        <w:pStyle w:val="FootnoteText"/>
        <w:widowControl w:val="0"/>
        <w:tabs>
          <w:tab w:val="clear" w:pos="1021"/>
          <w:tab w:val="right" w:pos="1020"/>
        </w:tabs>
        <w:rPr>
          <w:lang w:val="en-US"/>
        </w:rPr>
      </w:pPr>
      <w:r>
        <w:tab/>
      </w:r>
      <w:r>
        <w:rPr>
          <w:rStyle w:val="FootnoteReference"/>
        </w:rPr>
        <w:footnoteRef/>
      </w:r>
      <w:r>
        <w:tab/>
      </w:r>
      <w:r w:rsidRPr="00B64D02">
        <w:t>Article 9, paragraph 5, of the Paris Agreement.</w:t>
      </w:r>
      <w:r>
        <w:t xml:space="preserve"> </w:t>
      </w:r>
    </w:p>
  </w:footnote>
  <w:footnote w:id="56">
    <w:p w14:paraId="7E2AC963" w14:textId="77777777" w:rsidR="002B3102" w:rsidRPr="00B64D02" w:rsidRDefault="002B3102" w:rsidP="006602B5">
      <w:pPr>
        <w:pStyle w:val="FootnoteText"/>
        <w:widowControl w:val="0"/>
        <w:tabs>
          <w:tab w:val="clear" w:pos="1021"/>
          <w:tab w:val="right" w:pos="1020"/>
        </w:tabs>
        <w:rPr>
          <w:lang w:val="en-US"/>
        </w:rPr>
      </w:pPr>
      <w:r>
        <w:tab/>
      </w:r>
      <w:r>
        <w:rPr>
          <w:rStyle w:val="FootnoteReference"/>
        </w:rPr>
        <w:footnoteRef/>
      </w:r>
      <w:r>
        <w:tab/>
      </w:r>
      <w:r w:rsidRPr="00B64D02">
        <w:t>FCCC/CP/2017/INF.2.</w:t>
      </w:r>
      <w:r>
        <w:t xml:space="preserve"> </w:t>
      </w:r>
    </w:p>
  </w:footnote>
  <w:footnote w:id="57">
    <w:p w14:paraId="4A7CC750" w14:textId="7469364E" w:rsidR="002B3102" w:rsidRPr="00B64D02" w:rsidRDefault="002B3102" w:rsidP="006602B5">
      <w:pPr>
        <w:pStyle w:val="FootnoteText"/>
        <w:widowControl w:val="0"/>
        <w:tabs>
          <w:tab w:val="clear" w:pos="1021"/>
          <w:tab w:val="right" w:pos="1020"/>
        </w:tabs>
        <w:rPr>
          <w:lang w:val="en-US"/>
        </w:rPr>
      </w:pPr>
      <w:r>
        <w:tab/>
      </w:r>
      <w:r>
        <w:rPr>
          <w:rStyle w:val="FootnoteReference"/>
        </w:rPr>
        <w:footnoteRef/>
      </w:r>
      <w:r>
        <w:tab/>
      </w:r>
      <w:hyperlink r:id="rId13" w:history="1">
        <w:r w:rsidRPr="00615371">
          <w:rPr>
            <w:rStyle w:val="Hyperlink"/>
          </w:rPr>
          <w:t>http://unfccc.int/files/meetings/bonn_nov_2017/in-session/application/pdf/cop23_10f_informal_note.pdf</w:t>
        </w:r>
      </w:hyperlink>
      <w:r w:rsidRPr="00B64D02">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ACD5E" w14:textId="606DA43C" w:rsidR="002B3102" w:rsidRPr="00CA22E4" w:rsidRDefault="002B3102" w:rsidP="00CA22E4">
    <w:pPr>
      <w:pStyle w:val="Header"/>
    </w:pPr>
    <w:r>
      <w:t>FCCC/CP/2017/11/Add.1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94EEA" w14:textId="6C8882B0" w:rsidR="002B3102" w:rsidRPr="00CA22E4" w:rsidRDefault="002B3102" w:rsidP="00CA22E4">
    <w:pPr>
      <w:pStyle w:val="Header"/>
    </w:pPr>
    <w:r>
      <w:t>FCCC/CP/2017/11/Add.1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E7A7A" w14:textId="644A01F2" w:rsidR="002B3102" w:rsidRPr="00CA22E4" w:rsidRDefault="002B3102" w:rsidP="00CA22E4">
    <w:pPr>
      <w:pStyle w:val="Header"/>
      <w:jc w:val="right"/>
    </w:pPr>
    <w:r>
      <w:t>FCCC/CP/2017/11/Add.1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77541" w14:textId="4188F776" w:rsidR="002B3102" w:rsidRPr="00CA22E4" w:rsidRDefault="002B3102" w:rsidP="00CA22E4">
    <w:pPr>
      <w:pStyle w:val="Header"/>
      <w:jc w:val="right"/>
    </w:pPr>
    <w:r>
      <w:t>FCCC/CP/2017/11/Add.1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2FEBA" w14:textId="1132C18E" w:rsidR="002B3102" w:rsidRPr="00CA22E4" w:rsidRDefault="002B3102" w:rsidP="00CA22E4">
    <w:pPr>
      <w:pStyle w:val="Header"/>
    </w:pPr>
    <w:r>
      <w:t>FCCC/CP/2017/11/Add.1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192A4" w14:textId="0C56A79B" w:rsidR="002B3102" w:rsidRPr="00CA22E4" w:rsidRDefault="002B3102" w:rsidP="00CA22E4">
    <w:pPr>
      <w:pStyle w:val="Header"/>
      <w:jc w:val="right"/>
    </w:pPr>
    <w:r>
      <w:t>FCCC/CP/2017/11/Add.1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6D56C" w14:textId="4EE99A93" w:rsidR="002B3102" w:rsidRPr="00CA22E4" w:rsidRDefault="002B3102" w:rsidP="00CA22E4">
    <w:pPr>
      <w:pStyle w:val="Header"/>
    </w:pPr>
    <w:r>
      <w:t>FCCC/CP/2017/11/Add.1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93390" w14:textId="41F1F390" w:rsidR="002B3102" w:rsidRPr="00CA22E4" w:rsidRDefault="002B3102" w:rsidP="00CA22E4">
    <w:pPr>
      <w:pStyle w:val="Header"/>
      <w:jc w:val="right"/>
    </w:pPr>
    <w:r>
      <w:t>FCCC/CP/2017/11/Add.1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11F7A" w14:textId="15ED9731" w:rsidR="002B3102" w:rsidRPr="00CA22E4" w:rsidRDefault="002B3102" w:rsidP="00CA22E4">
    <w:pPr>
      <w:pStyle w:val="Header"/>
    </w:pPr>
    <w:r>
      <w:t>FCCC/CP/2017/11/Add.1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D373B" w14:textId="2122CCA0" w:rsidR="002B3102" w:rsidRPr="00CA22E4" w:rsidRDefault="002B3102" w:rsidP="00CA22E4">
    <w:pPr>
      <w:pStyle w:val="Header"/>
      <w:jc w:val="right"/>
    </w:pPr>
    <w:r>
      <w:t>FCCC/CP/2017/11/Add.1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817E5" w14:textId="24CB3F37" w:rsidR="002B3102" w:rsidRPr="00CA22E4" w:rsidRDefault="002B3102" w:rsidP="00CA22E4">
    <w:pPr>
      <w:pStyle w:val="Header"/>
    </w:pPr>
    <w:r>
      <w:t>FCCC/CP/2017/11/Add.1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E0419" w14:textId="16B0AA79" w:rsidR="002B3102" w:rsidRPr="00CA22E4" w:rsidRDefault="002B3102" w:rsidP="00CA22E4">
    <w:pPr>
      <w:pStyle w:val="Header"/>
      <w:jc w:val="right"/>
    </w:pPr>
    <w:r>
      <w:t>FCCC/CP/2017/11/Add.1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84062" w14:textId="16EAF669" w:rsidR="002B3102" w:rsidRPr="00CA22E4" w:rsidRDefault="002B3102" w:rsidP="00CA22E4">
    <w:pPr>
      <w:pStyle w:val="Header"/>
      <w:jc w:val="right"/>
    </w:pPr>
    <w:r>
      <w:t>FCCC/CP/2017/11/Add.1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786A3" w14:textId="14A50B89" w:rsidR="002B3102" w:rsidRPr="00CA22E4" w:rsidRDefault="002B3102" w:rsidP="00CA22E4">
    <w:pPr>
      <w:pStyle w:val="Header"/>
    </w:pPr>
    <w:r>
      <w:t>FCCC/CP/2017/11/Add.1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E2F8A" w14:textId="5AE126A5" w:rsidR="002B3102" w:rsidRPr="00CA22E4" w:rsidRDefault="002B3102" w:rsidP="00CA22E4">
    <w:pPr>
      <w:pStyle w:val="Header"/>
      <w:jc w:val="right"/>
    </w:pPr>
    <w:r>
      <w:t>FCCC/CP/2017/11/Add.1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87232" w14:textId="0109A00E" w:rsidR="002B3102" w:rsidRPr="00CA22E4" w:rsidRDefault="002B3102" w:rsidP="00CA22E4">
    <w:pPr>
      <w:pStyle w:val="Header"/>
    </w:pPr>
    <w:r>
      <w:t>FCCC/CP/2017/11/Add.1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A44A8" w14:textId="4C90F1A7" w:rsidR="002B3102" w:rsidRPr="00CA22E4" w:rsidRDefault="002B3102" w:rsidP="00CA22E4">
    <w:pPr>
      <w:pStyle w:val="Header"/>
      <w:jc w:val="right"/>
    </w:pPr>
    <w:r>
      <w:t>FCCC/CP/2017/11/Add.1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E1B6B" w14:textId="0197FED5" w:rsidR="002B3102" w:rsidRPr="00CA22E4" w:rsidRDefault="002B3102" w:rsidP="00CA22E4">
    <w:pPr>
      <w:pStyle w:val="Header"/>
    </w:pPr>
    <w:r>
      <w:t>FCCC/CP/2017/11/Add.1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21C20" w14:textId="3A4C6BBD" w:rsidR="002B3102" w:rsidRPr="00CA22E4" w:rsidRDefault="002B3102" w:rsidP="00CA22E4">
    <w:pPr>
      <w:pStyle w:val="Header"/>
    </w:pPr>
    <w:r>
      <w:t>FCCC/CP/2017/X/Add.1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35812" w14:textId="416D76F1" w:rsidR="002B3102" w:rsidRPr="00CA22E4" w:rsidRDefault="002B3102" w:rsidP="00CA22E4">
    <w:pPr>
      <w:pStyle w:val="Header"/>
      <w:jc w:val="right"/>
    </w:pPr>
    <w:r>
      <w:t>FCCC/CP/2017/11/Add.1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2D495" w14:textId="77777777" w:rsidR="002B3102" w:rsidRDefault="002B3102" w:rsidP="00917D1D">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0A96" w14:textId="246E4442" w:rsidR="002B3102" w:rsidRPr="00CA22E4" w:rsidRDefault="002B3102" w:rsidP="00CA22E4">
    <w:pPr>
      <w:pStyle w:val="Header"/>
    </w:pPr>
    <w:r>
      <w:t>FCCC/CP/2017/11/Add.1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0A97" w14:textId="65550739" w:rsidR="002B3102" w:rsidRPr="00CA22E4" w:rsidRDefault="002B3102" w:rsidP="00CA22E4">
    <w:pPr>
      <w:pStyle w:val="Header"/>
      <w:jc w:val="right"/>
    </w:pPr>
    <w:r>
      <w:t>FCCC/CP/2017/11/Add.1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40E4B" w14:textId="56977919" w:rsidR="002B3102" w:rsidRPr="00CA22E4" w:rsidRDefault="002B3102" w:rsidP="00CA22E4">
    <w:pPr>
      <w:pStyle w:val="Header"/>
    </w:pPr>
    <w:r>
      <w:t>FCCC/CP/2017/11/Add.1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7031" w14:textId="44012102" w:rsidR="002B3102" w:rsidRPr="00CA22E4" w:rsidRDefault="002B3102" w:rsidP="00CA22E4">
    <w:pPr>
      <w:pStyle w:val="Header"/>
      <w:jc w:val="right"/>
    </w:pPr>
    <w:r>
      <w:t>FCCC/CP/2017/11/Add.1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5C9A" w14:textId="1166CF18" w:rsidR="002B3102" w:rsidRPr="00CA22E4" w:rsidRDefault="002B3102" w:rsidP="00CA22E4">
    <w:pPr>
      <w:pStyle w:val="Header"/>
    </w:pPr>
    <w:r>
      <w:t>FCCC/CP/2017/11/Add.1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C27A3" w14:textId="7752CC98" w:rsidR="002B3102" w:rsidRPr="00CA22E4" w:rsidRDefault="002B3102" w:rsidP="00CA22E4">
    <w:pPr>
      <w:pStyle w:val="Header"/>
      <w:jc w:val="right"/>
    </w:pPr>
    <w:r>
      <w:t>FCCC/CP/2017/11/Add.1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01A2222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b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6946062"/>
    <w:multiLevelType w:val="multilevel"/>
    <w:tmpl w:val="C0A4CB7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0"/>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 w15:restartNumberingAfterBreak="0">
    <w:nsid w:val="1BEC5A93"/>
    <w:multiLevelType w:val="multilevel"/>
    <w:tmpl w:val="4D1E02D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0" w15:restartNumberingAfterBreak="0">
    <w:nsid w:val="272739D0"/>
    <w:multiLevelType w:val="hybridMultilevel"/>
    <w:tmpl w:val="1CD80640"/>
    <w:lvl w:ilvl="0" w:tplc="0E7893E8">
      <w:start w:val="1"/>
      <w:numFmt w:val="decimal"/>
      <w:lvlText w:val="%1."/>
      <w:lvlJc w:val="left"/>
      <w:pPr>
        <w:ind w:left="1494" w:hanging="360"/>
      </w:pPr>
      <w:rPr>
        <w:rFonts w:hint="default"/>
        <w:i w:val="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4F431F"/>
    <w:multiLevelType w:val="hybridMultilevel"/>
    <w:tmpl w:val="D8F2601E"/>
    <w:lvl w:ilvl="0" w:tplc="DD28D0FC">
      <w:numFmt w:val="bullet"/>
      <w:lvlText w:val=""/>
      <w:lvlJc w:val="left"/>
      <w:pPr>
        <w:ind w:left="1380" w:hanging="102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3467E"/>
    <w:multiLevelType w:val="hybridMultilevel"/>
    <w:tmpl w:val="EB1C3FC2"/>
    <w:lvl w:ilvl="0" w:tplc="6DE42F58">
      <w:start w:val="1"/>
      <w:numFmt w:val="lowerLetter"/>
      <w:lvlText w:val="(%1)"/>
      <w:lvlJc w:val="left"/>
      <w:pPr>
        <w:ind w:left="1854" w:hanging="360"/>
      </w:pPr>
      <w:rPr>
        <w:rFonts w:ascii="Times New Roman" w:eastAsia="SimSun" w:hAnsi="Times New Roman" w:cs="Times New Roman"/>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57935B1B"/>
    <w:multiLevelType w:val="hybridMultilevel"/>
    <w:tmpl w:val="EC8E9486"/>
    <w:lvl w:ilvl="0" w:tplc="F6FE29E8">
      <w:start w:val="1"/>
      <w:numFmt w:val="bullet"/>
      <w:lvlText w:val="−"/>
      <w:lvlJc w:val="left"/>
      <w:pPr>
        <w:ind w:left="1854" w:hanging="360"/>
      </w:pPr>
      <w:rPr>
        <w:rFonts w:ascii="Times New Roman" w:hAnsi="Times New Roman" w:cs="Times New Roman"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9C5F72"/>
    <w:multiLevelType w:val="hybridMultilevel"/>
    <w:tmpl w:val="BF0816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3"/>
  </w:num>
  <w:num w:numId="2">
    <w:abstractNumId w:val="7"/>
  </w:num>
  <w:num w:numId="3">
    <w:abstractNumId w:val="11"/>
  </w:num>
  <w:num w:numId="4">
    <w:abstractNumId w:val="1"/>
  </w:num>
  <w:num w:numId="5">
    <w:abstractNumId w:val="0"/>
  </w:num>
  <w:num w:numId="6">
    <w:abstractNumId w:val="19"/>
  </w:num>
  <w:num w:numId="7">
    <w:abstractNumId w:val="9"/>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4"/>
  </w:num>
  <w:num w:numId="12">
    <w:abstractNumId w:val="17"/>
  </w:num>
  <w:num w:numId="13">
    <w:abstractNumId w:val="2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2"/>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cumentProtection w:formatting="1" w:enforcement="0"/>
  <w:defaultTabStop w:val="567"/>
  <w:hyphenationZone w:val="425"/>
  <w:evenAndOddHeaders/>
  <w:drawingGridHorizontalSpacing w:val="100"/>
  <w:displayHorizontalDrawingGridEvery w:val="2"/>
  <w:displayVerticalDrawingGridEvery w:val="2"/>
  <w:noPunctuationKerning/>
  <w:characterSpacingControl w:val="doNotCompress"/>
  <w:hdrShapeDefaults>
    <o:shapedefaults v:ext="edit" spidmax="61441"/>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296"/>
    <w:rsid w:val="00002558"/>
    <w:rsid w:val="00004A30"/>
    <w:rsid w:val="00007089"/>
    <w:rsid w:val="00013C29"/>
    <w:rsid w:val="00021BB6"/>
    <w:rsid w:val="0002382B"/>
    <w:rsid w:val="00032DDE"/>
    <w:rsid w:val="00037650"/>
    <w:rsid w:val="0003776D"/>
    <w:rsid w:val="000423A6"/>
    <w:rsid w:val="00052463"/>
    <w:rsid w:val="000555B3"/>
    <w:rsid w:val="000561BD"/>
    <w:rsid w:val="00062505"/>
    <w:rsid w:val="000716E4"/>
    <w:rsid w:val="00073F3E"/>
    <w:rsid w:val="00074855"/>
    <w:rsid w:val="00074EC5"/>
    <w:rsid w:val="00074FC8"/>
    <w:rsid w:val="00076113"/>
    <w:rsid w:val="00076D79"/>
    <w:rsid w:val="000773C8"/>
    <w:rsid w:val="00081C44"/>
    <w:rsid w:val="00083647"/>
    <w:rsid w:val="0008756E"/>
    <w:rsid w:val="00087BE9"/>
    <w:rsid w:val="00090016"/>
    <w:rsid w:val="000913E6"/>
    <w:rsid w:val="00092E29"/>
    <w:rsid w:val="00093044"/>
    <w:rsid w:val="000A1EEE"/>
    <w:rsid w:val="000A399F"/>
    <w:rsid w:val="000A4C99"/>
    <w:rsid w:val="000A566F"/>
    <w:rsid w:val="000A7C2B"/>
    <w:rsid w:val="000B1FD0"/>
    <w:rsid w:val="000C0E05"/>
    <w:rsid w:val="000C24E3"/>
    <w:rsid w:val="000C5173"/>
    <w:rsid w:val="000C7FAF"/>
    <w:rsid w:val="000D5DED"/>
    <w:rsid w:val="000D6922"/>
    <w:rsid w:val="000D6D4A"/>
    <w:rsid w:val="000D7190"/>
    <w:rsid w:val="000E343D"/>
    <w:rsid w:val="000E5A58"/>
    <w:rsid w:val="000E6E68"/>
    <w:rsid w:val="000F13AC"/>
    <w:rsid w:val="000F1E83"/>
    <w:rsid w:val="000F379C"/>
    <w:rsid w:val="000F4528"/>
    <w:rsid w:val="000F5020"/>
    <w:rsid w:val="001007C9"/>
    <w:rsid w:val="00106384"/>
    <w:rsid w:val="00107536"/>
    <w:rsid w:val="00107B0E"/>
    <w:rsid w:val="0011157B"/>
    <w:rsid w:val="001161E5"/>
    <w:rsid w:val="00116C38"/>
    <w:rsid w:val="0011781E"/>
    <w:rsid w:val="00120826"/>
    <w:rsid w:val="00120901"/>
    <w:rsid w:val="001209A8"/>
    <w:rsid w:val="00120E84"/>
    <w:rsid w:val="00123C52"/>
    <w:rsid w:val="00124496"/>
    <w:rsid w:val="00127311"/>
    <w:rsid w:val="001328F9"/>
    <w:rsid w:val="001349EC"/>
    <w:rsid w:val="00134F15"/>
    <w:rsid w:val="00136D61"/>
    <w:rsid w:val="00141710"/>
    <w:rsid w:val="00142A35"/>
    <w:rsid w:val="00144584"/>
    <w:rsid w:val="00152A6E"/>
    <w:rsid w:val="00153DD9"/>
    <w:rsid w:val="001600D9"/>
    <w:rsid w:val="00172CF0"/>
    <w:rsid w:val="001738F1"/>
    <w:rsid w:val="00174A05"/>
    <w:rsid w:val="00177074"/>
    <w:rsid w:val="00184C03"/>
    <w:rsid w:val="00186A4F"/>
    <w:rsid w:val="00187DA8"/>
    <w:rsid w:val="001906D0"/>
    <w:rsid w:val="001915EF"/>
    <w:rsid w:val="0019430F"/>
    <w:rsid w:val="001945C7"/>
    <w:rsid w:val="00194BFA"/>
    <w:rsid w:val="00194E11"/>
    <w:rsid w:val="00195018"/>
    <w:rsid w:val="00196E77"/>
    <w:rsid w:val="001A044A"/>
    <w:rsid w:val="001A1FC1"/>
    <w:rsid w:val="001A3E9A"/>
    <w:rsid w:val="001A594B"/>
    <w:rsid w:val="001A5FE8"/>
    <w:rsid w:val="001A70E2"/>
    <w:rsid w:val="001B085A"/>
    <w:rsid w:val="001B1483"/>
    <w:rsid w:val="001C3DE7"/>
    <w:rsid w:val="001C40F0"/>
    <w:rsid w:val="001C4688"/>
    <w:rsid w:val="001C7B87"/>
    <w:rsid w:val="001D012A"/>
    <w:rsid w:val="001D0F0F"/>
    <w:rsid w:val="001D2FD8"/>
    <w:rsid w:val="001E7D13"/>
    <w:rsid w:val="001F0C87"/>
    <w:rsid w:val="001F2BBF"/>
    <w:rsid w:val="002008AA"/>
    <w:rsid w:val="00201B92"/>
    <w:rsid w:val="002025E1"/>
    <w:rsid w:val="00202C1D"/>
    <w:rsid w:val="00205C0F"/>
    <w:rsid w:val="00207452"/>
    <w:rsid w:val="0021446A"/>
    <w:rsid w:val="00216589"/>
    <w:rsid w:val="00223453"/>
    <w:rsid w:val="00224111"/>
    <w:rsid w:val="00230D0F"/>
    <w:rsid w:val="00231502"/>
    <w:rsid w:val="00231FB5"/>
    <w:rsid w:val="00232479"/>
    <w:rsid w:val="00232EAA"/>
    <w:rsid w:val="0024447B"/>
    <w:rsid w:val="00246888"/>
    <w:rsid w:val="00247BF6"/>
    <w:rsid w:val="00250037"/>
    <w:rsid w:val="00251FF9"/>
    <w:rsid w:val="00256CFB"/>
    <w:rsid w:val="00257AA3"/>
    <w:rsid w:val="00260BFA"/>
    <w:rsid w:val="00264F17"/>
    <w:rsid w:val="00264FD6"/>
    <w:rsid w:val="002657E2"/>
    <w:rsid w:val="00266D68"/>
    <w:rsid w:val="00267B98"/>
    <w:rsid w:val="00273E8E"/>
    <w:rsid w:val="0027419E"/>
    <w:rsid w:val="00276A17"/>
    <w:rsid w:val="00276C28"/>
    <w:rsid w:val="002776B4"/>
    <w:rsid w:val="002779EB"/>
    <w:rsid w:val="002823A1"/>
    <w:rsid w:val="00283275"/>
    <w:rsid w:val="002859C9"/>
    <w:rsid w:val="0029007C"/>
    <w:rsid w:val="00290409"/>
    <w:rsid w:val="00292DC3"/>
    <w:rsid w:val="002933A4"/>
    <w:rsid w:val="002954CD"/>
    <w:rsid w:val="00295866"/>
    <w:rsid w:val="00295F16"/>
    <w:rsid w:val="0029733B"/>
    <w:rsid w:val="00297C1E"/>
    <w:rsid w:val="002A19D4"/>
    <w:rsid w:val="002A7B52"/>
    <w:rsid w:val="002B00DA"/>
    <w:rsid w:val="002B0283"/>
    <w:rsid w:val="002B1E4D"/>
    <w:rsid w:val="002B3102"/>
    <w:rsid w:val="002B3984"/>
    <w:rsid w:val="002B446B"/>
    <w:rsid w:val="002B6CC8"/>
    <w:rsid w:val="002B71EA"/>
    <w:rsid w:val="002B72CE"/>
    <w:rsid w:val="002B7532"/>
    <w:rsid w:val="002C051E"/>
    <w:rsid w:val="002C11F7"/>
    <w:rsid w:val="002C52A6"/>
    <w:rsid w:val="002C7DF9"/>
    <w:rsid w:val="002D154A"/>
    <w:rsid w:val="002D1F6E"/>
    <w:rsid w:val="002D737B"/>
    <w:rsid w:val="002E3ED8"/>
    <w:rsid w:val="002F304A"/>
    <w:rsid w:val="002F60E8"/>
    <w:rsid w:val="002F7B01"/>
    <w:rsid w:val="003012AF"/>
    <w:rsid w:val="00304844"/>
    <w:rsid w:val="00304BA1"/>
    <w:rsid w:val="00306423"/>
    <w:rsid w:val="003132EC"/>
    <w:rsid w:val="003147E4"/>
    <w:rsid w:val="00317B8C"/>
    <w:rsid w:val="003219D3"/>
    <w:rsid w:val="003250E7"/>
    <w:rsid w:val="0032653E"/>
    <w:rsid w:val="00327575"/>
    <w:rsid w:val="00327B89"/>
    <w:rsid w:val="00332442"/>
    <w:rsid w:val="00332592"/>
    <w:rsid w:val="003354A0"/>
    <w:rsid w:val="00336DC3"/>
    <w:rsid w:val="00340554"/>
    <w:rsid w:val="00340D65"/>
    <w:rsid w:val="00341289"/>
    <w:rsid w:val="003415A2"/>
    <w:rsid w:val="00344AD3"/>
    <w:rsid w:val="00350710"/>
    <w:rsid w:val="00355B23"/>
    <w:rsid w:val="00357684"/>
    <w:rsid w:val="00361821"/>
    <w:rsid w:val="00361A9D"/>
    <w:rsid w:val="003643C9"/>
    <w:rsid w:val="00364659"/>
    <w:rsid w:val="00364B85"/>
    <w:rsid w:val="00375F53"/>
    <w:rsid w:val="003762C2"/>
    <w:rsid w:val="003773AE"/>
    <w:rsid w:val="00381632"/>
    <w:rsid w:val="003823FF"/>
    <w:rsid w:val="00383494"/>
    <w:rsid w:val="0038531F"/>
    <w:rsid w:val="003A04B4"/>
    <w:rsid w:val="003A4936"/>
    <w:rsid w:val="003B1229"/>
    <w:rsid w:val="003B1AC9"/>
    <w:rsid w:val="003B2C11"/>
    <w:rsid w:val="003B3C25"/>
    <w:rsid w:val="003B4C6A"/>
    <w:rsid w:val="003B4D23"/>
    <w:rsid w:val="003C0CEB"/>
    <w:rsid w:val="003C3854"/>
    <w:rsid w:val="003C75B9"/>
    <w:rsid w:val="003D1A53"/>
    <w:rsid w:val="003D36AD"/>
    <w:rsid w:val="003D6B47"/>
    <w:rsid w:val="003E05CD"/>
    <w:rsid w:val="003E3A52"/>
    <w:rsid w:val="003E7CA8"/>
    <w:rsid w:val="003F0BC6"/>
    <w:rsid w:val="003F1E27"/>
    <w:rsid w:val="003F3102"/>
    <w:rsid w:val="003F3389"/>
    <w:rsid w:val="003F5FEE"/>
    <w:rsid w:val="003F7301"/>
    <w:rsid w:val="00403E2E"/>
    <w:rsid w:val="004061BF"/>
    <w:rsid w:val="004063AE"/>
    <w:rsid w:val="00410508"/>
    <w:rsid w:val="00415EFB"/>
    <w:rsid w:val="00417292"/>
    <w:rsid w:val="00422A48"/>
    <w:rsid w:val="00422A55"/>
    <w:rsid w:val="00427DA2"/>
    <w:rsid w:val="0043729E"/>
    <w:rsid w:val="00437435"/>
    <w:rsid w:val="00442AFD"/>
    <w:rsid w:val="00445627"/>
    <w:rsid w:val="00455747"/>
    <w:rsid w:val="00456080"/>
    <w:rsid w:val="004578AD"/>
    <w:rsid w:val="00463C59"/>
    <w:rsid w:val="00464BE9"/>
    <w:rsid w:val="0048020D"/>
    <w:rsid w:val="004812E6"/>
    <w:rsid w:val="0048196D"/>
    <w:rsid w:val="00484B74"/>
    <w:rsid w:val="0048523B"/>
    <w:rsid w:val="00485971"/>
    <w:rsid w:val="00487DED"/>
    <w:rsid w:val="004903C5"/>
    <w:rsid w:val="004977C3"/>
    <w:rsid w:val="004A0B0C"/>
    <w:rsid w:val="004A36EC"/>
    <w:rsid w:val="004A4BEA"/>
    <w:rsid w:val="004A5009"/>
    <w:rsid w:val="004A67DD"/>
    <w:rsid w:val="004B2869"/>
    <w:rsid w:val="004B501A"/>
    <w:rsid w:val="004C022A"/>
    <w:rsid w:val="004C1052"/>
    <w:rsid w:val="004D1BD9"/>
    <w:rsid w:val="004D26DD"/>
    <w:rsid w:val="004D72AF"/>
    <w:rsid w:val="004E2287"/>
    <w:rsid w:val="004E4B8F"/>
    <w:rsid w:val="004E5A04"/>
    <w:rsid w:val="004E7437"/>
    <w:rsid w:val="004F0D45"/>
    <w:rsid w:val="004F615A"/>
    <w:rsid w:val="005030B1"/>
    <w:rsid w:val="00503373"/>
    <w:rsid w:val="00521929"/>
    <w:rsid w:val="005255F0"/>
    <w:rsid w:val="00527573"/>
    <w:rsid w:val="005279BE"/>
    <w:rsid w:val="005324FA"/>
    <w:rsid w:val="00532B28"/>
    <w:rsid w:val="00533AB8"/>
    <w:rsid w:val="005416D2"/>
    <w:rsid w:val="00545616"/>
    <w:rsid w:val="005464AA"/>
    <w:rsid w:val="00546735"/>
    <w:rsid w:val="005474C8"/>
    <w:rsid w:val="005549B8"/>
    <w:rsid w:val="00556333"/>
    <w:rsid w:val="0055700C"/>
    <w:rsid w:val="0056083D"/>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B7EF3"/>
    <w:rsid w:val="005C08EC"/>
    <w:rsid w:val="005C683F"/>
    <w:rsid w:val="005C6895"/>
    <w:rsid w:val="005D6C7A"/>
    <w:rsid w:val="005E432D"/>
    <w:rsid w:val="005F7584"/>
    <w:rsid w:val="006002E5"/>
    <w:rsid w:val="00601526"/>
    <w:rsid w:val="00601BEB"/>
    <w:rsid w:val="00603D73"/>
    <w:rsid w:val="0060436D"/>
    <w:rsid w:val="0061173F"/>
    <w:rsid w:val="00611E89"/>
    <w:rsid w:val="00615371"/>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602B5"/>
    <w:rsid w:val="0066159F"/>
    <w:rsid w:val="00664ABD"/>
    <w:rsid w:val="00664E65"/>
    <w:rsid w:val="0066779B"/>
    <w:rsid w:val="00671981"/>
    <w:rsid w:val="006771A4"/>
    <w:rsid w:val="00677F6C"/>
    <w:rsid w:val="006810D8"/>
    <w:rsid w:val="0068552D"/>
    <w:rsid w:val="00687740"/>
    <w:rsid w:val="006927D3"/>
    <w:rsid w:val="00693901"/>
    <w:rsid w:val="006940DC"/>
    <w:rsid w:val="006973FA"/>
    <w:rsid w:val="006A226D"/>
    <w:rsid w:val="006A31B1"/>
    <w:rsid w:val="006A3385"/>
    <w:rsid w:val="006A3E7A"/>
    <w:rsid w:val="006A56FD"/>
    <w:rsid w:val="006A63F7"/>
    <w:rsid w:val="006B06DB"/>
    <w:rsid w:val="006B13CC"/>
    <w:rsid w:val="006B2FFC"/>
    <w:rsid w:val="006B62F2"/>
    <w:rsid w:val="006B6D3A"/>
    <w:rsid w:val="006C590B"/>
    <w:rsid w:val="006C6896"/>
    <w:rsid w:val="006D0BDC"/>
    <w:rsid w:val="006D327C"/>
    <w:rsid w:val="006D59B8"/>
    <w:rsid w:val="006E2336"/>
    <w:rsid w:val="006E62D7"/>
    <w:rsid w:val="006E6852"/>
    <w:rsid w:val="006F1BFA"/>
    <w:rsid w:val="006F2373"/>
    <w:rsid w:val="00700EEF"/>
    <w:rsid w:val="00706ACC"/>
    <w:rsid w:val="00710E49"/>
    <w:rsid w:val="00710E60"/>
    <w:rsid w:val="007112BE"/>
    <w:rsid w:val="00712B67"/>
    <w:rsid w:val="0071428F"/>
    <w:rsid w:val="00717BC5"/>
    <w:rsid w:val="00721FF8"/>
    <w:rsid w:val="00726562"/>
    <w:rsid w:val="007277DC"/>
    <w:rsid w:val="007334B2"/>
    <w:rsid w:val="007334C8"/>
    <w:rsid w:val="00733560"/>
    <w:rsid w:val="007367AC"/>
    <w:rsid w:val="00740984"/>
    <w:rsid w:val="00741FEC"/>
    <w:rsid w:val="00742296"/>
    <w:rsid w:val="00742F78"/>
    <w:rsid w:val="007440D6"/>
    <w:rsid w:val="00746018"/>
    <w:rsid w:val="00746BDF"/>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3616"/>
    <w:rsid w:val="0078549A"/>
    <w:rsid w:val="00794A6F"/>
    <w:rsid w:val="007965C4"/>
    <w:rsid w:val="00797F77"/>
    <w:rsid w:val="007B07E9"/>
    <w:rsid w:val="007B0DFC"/>
    <w:rsid w:val="007B282F"/>
    <w:rsid w:val="007B2CE5"/>
    <w:rsid w:val="007C186F"/>
    <w:rsid w:val="007C23B8"/>
    <w:rsid w:val="007C4046"/>
    <w:rsid w:val="007C4282"/>
    <w:rsid w:val="007C43B0"/>
    <w:rsid w:val="007C60C6"/>
    <w:rsid w:val="007D0DEF"/>
    <w:rsid w:val="007D1218"/>
    <w:rsid w:val="007D3A77"/>
    <w:rsid w:val="007D46D9"/>
    <w:rsid w:val="007E2A04"/>
    <w:rsid w:val="007E5A0D"/>
    <w:rsid w:val="007E5C76"/>
    <w:rsid w:val="007F0C6B"/>
    <w:rsid w:val="007F11A7"/>
    <w:rsid w:val="007F5855"/>
    <w:rsid w:val="007F6C8A"/>
    <w:rsid w:val="007F7F3F"/>
    <w:rsid w:val="00802646"/>
    <w:rsid w:val="00804514"/>
    <w:rsid w:val="00805529"/>
    <w:rsid w:val="008071D5"/>
    <w:rsid w:val="00807F0F"/>
    <w:rsid w:val="00810726"/>
    <w:rsid w:val="0081743A"/>
    <w:rsid w:val="00820954"/>
    <w:rsid w:val="00821927"/>
    <w:rsid w:val="00822406"/>
    <w:rsid w:val="00823E1E"/>
    <w:rsid w:val="00824785"/>
    <w:rsid w:val="00824D92"/>
    <w:rsid w:val="008263F2"/>
    <w:rsid w:val="00826893"/>
    <w:rsid w:val="00827816"/>
    <w:rsid w:val="0083172F"/>
    <w:rsid w:val="00831ADD"/>
    <w:rsid w:val="008355D2"/>
    <w:rsid w:val="008370E0"/>
    <w:rsid w:val="0084026C"/>
    <w:rsid w:val="00840B77"/>
    <w:rsid w:val="008419FD"/>
    <w:rsid w:val="00841F6A"/>
    <w:rsid w:val="008421F3"/>
    <w:rsid w:val="00842245"/>
    <w:rsid w:val="0084341D"/>
    <w:rsid w:val="00843793"/>
    <w:rsid w:val="00845317"/>
    <w:rsid w:val="00847A56"/>
    <w:rsid w:val="00850BA0"/>
    <w:rsid w:val="00854822"/>
    <w:rsid w:val="008548D7"/>
    <w:rsid w:val="00854F81"/>
    <w:rsid w:val="00857A55"/>
    <w:rsid w:val="0086015C"/>
    <w:rsid w:val="00863B98"/>
    <w:rsid w:val="00871E36"/>
    <w:rsid w:val="008739E0"/>
    <w:rsid w:val="00873FF2"/>
    <w:rsid w:val="00875B3E"/>
    <w:rsid w:val="00876FDD"/>
    <w:rsid w:val="00877791"/>
    <w:rsid w:val="00885EE0"/>
    <w:rsid w:val="00892684"/>
    <w:rsid w:val="008947F8"/>
    <w:rsid w:val="008A7864"/>
    <w:rsid w:val="008B0BDE"/>
    <w:rsid w:val="008B0E7C"/>
    <w:rsid w:val="008B17FB"/>
    <w:rsid w:val="008B2230"/>
    <w:rsid w:val="008B4372"/>
    <w:rsid w:val="008C05BD"/>
    <w:rsid w:val="008C3312"/>
    <w:rsid w:val="008C42B4"/>
    <w:rsid w:val="008C485C"/>
    <w:rsid w:val="008D1D78"/>
    <w:rsid w:val="008D2969"/>
    <w:rsid w:val="008D3EE8"/>
    <w:rsid w:val="008D4009"/>
    <w:rsid w:val="008D42CF"/>
    <w:rsid w:val="008D49EA"/>
    <w:rsid w:val="008D7CC1"/>
    <w:rsid w:val="008E2B17"/>
    <w:rsid w:val="008E3053"/>
    <w:rsid w:val="008E4889"/>
    <w:rsid w:val="008E4AAA"/>
    <w:rsid w:val="008E64F0"/>
    <w:rsid w:val="008F0DA9"/>
    <w:rsid w:val="008F4C57"/>
    <w:rsid w:val="008F6651"/>
    <w:rsid w:val="008F7B36"/>
    <w:rsid w:val="009034BB"/>
    <w:rsid w:val="00906948"/>
    <w:rsid w:val="009074FB"/>
    <w:rsid w:val="0091113E"/>
    <w:rsid w:val="0091119B"/>
    <w:rsid w:val="00912C1A"/>
    <w:rsid w:val="009137D2"/>
    <w:rsid w:val="00917177"/>
    <w:rsid w:val="00917213"/>
    <w:rsid w:val="009179D6"/>
    <w:rsid w:val="00917D1D"/>
    <w:rsid w:val="00921DB5"/>
    <w:rsid w:val="0092263E"/>
    <w:rsid w:val="009230A8"/>
    <w:rsid w:val="009252FD"/>
    <w:rsid w:val="00933228"/>
    <w:rsid w:val="00935202"/>
    <w:rsid w:val="0094334C"/>
    <w:rsid w:val="0094674B"/>
    <w:rsid w:val="009476D3"/>
    <w:rsid w:val="00955580"/>
    <w:rsid w:val="00957A10"/>
    <w:rsid w:val="00960298"/>
    <w:rsid w:val="009617EB"/>
    <w:rsid w:val="0096262A"/>
    <w:rsid w:val="00963690"/>
    <w:rsid w:val="00965737"/>
    <w:rsid w:val="00970F53"/>
    <w:rsid w:val="00971B44"/>
    <w:rsid w:val="00980E44"/>
    <w:rsid w:val="009853BC"/>
    <w:rsid w:val="009929D4"/>
    <w:rsid w:val="00996312"/>
    <w:rsid w:val="00997604"/>
    <w:rsid w:val="009979A7"/>
    <w:rsid w:val="009A180C"/>
    <w:rsid w:val="009A1EFD"/>
    <w:rsid w:val="009A2813"/>
    <w:rsid w:val="009A38FD"/>
    <w:rsid w:val="009A71AA"/>
    <w:rsid w:val="009B064C"/>
    <w:rsid w:val="009B1CB9"/>
    <w:rsid w:val="009B6667"/>
    <w:rsid w:val="009D186B"/>
    <w:rsid w:val="009D3E93"/>
    <w:rsid w:val="009D7644"/>
    <w:rsid w:val="009D7985"/>
    <w:rsid w:val="009E1F72"/>
    <w:rsid w:val="009E3F82"/>
    <w:rsid w:val="009F29D4"/>
    <w:rsid w:val="009F3514"/>
    <w:rsid w:val="009F3A00"/>
    <w:rsid w:val="009F4969"/>
    <w:rsid w:val="009F65C0"/>
    <w:rsid w:val="009F7619"/>
    <w:rsid w:val="009F7990"/>
    <w:rsid w:val="009F7A41"/>
    <w:rsid w:val="00A029EC"/>
    <w:rsid w:val="00A02BE9"/>
    <w:rsid w:val="00A02E12"/>
    <w:rsid w:val="00A04983"/>
    <w:rsid w:val="00A04E14"/>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51559"/>
    <w:rsid w:val="00A55AAA"/>
    <w:rsid w:val="00A57A9C"/>
    <w:rsid w:val="00A60427"/>
    <w:rsid w:val="00A63C00"/>
    <w:rsid w:val="00A63E44"/>
    <w:rsid w:val="00A64947"/>
    <w:rsid w:val="00A66451"/>
    <w:rsid w:val="00A71AF4"/>
    <w:rsid w:val="00A72AC2"/>
    <w:rsid w:val="00A72AC5"/>
    <w:rsid w:val="00A72B5C"/>
    <w:rsid w:val="00A73BA9"/>
    <w:rsid w:val="00A76791"/>
    <w:rsid w:val="00A77684"/>
    <w:rsid w:val="00A7768C"/>
    <w:rsid w:val="00A77BFF"/>
    <w:rsid w:val="00A8481E"/>
    <w:rsid w:val="00A85038"/>
    <w:rsid w:val="00A866D7"/>
    <w:rsid w:val="00A86746"/>
    <w:rsid w:val="00A86EF7"/>
    <w:rsid w:val="00A9001C"/>
    <w:rsid w:val="00A9402E"/>
    <w:rsid w:val="00A955CF"/>
    <w:rsid w:val="00AA79D8"/>
    <w:rsid w:val="00AB075E"/>
    <w:rsid w:val="00AB1658"/>
    <w:rsid w:val="00AB2E3D"/>
    <w:rsid w:val="00AC1022"/>
    <w:rsid w:val="00AC1F08"/>
    <w:rsid w:val="00AD40C4"/>
    <w:rsid w:val="00AD4D69"/>
    <w:rsid w:val="00AE03E0"/>
    <w:rsid w:val="00AE2044"/>
    <w:rsid w:val="00AE4AB8"/>
    <w:rsid w:val="00AE550C"/>
    <w:rsid w:val="00AE73B8"/>
    <w:rsid w:val="00AF45B0"/>
    <w:rsid w:val="00B00648"/>
    <w:rsid w:val="00B03244"/>
    <w:rsid w:val="00B13218"/>
    <w:rsid w:val="00B217B4"/>
    <w:rsid w:val="00B24666"/>
    <w:rsid w:val="00B25122"/>
    <w:rsid w:val="00B2560F"/>
    <w:rsid w:val="00B27F33"/>
    <w:rsid w:val="00B30815"/>
    <w:rsid w:val="00B314CC"/>
    <w:rsid w:val="00B33E91"/>
    <w:rsid w:val="00B3411F"/>
    <w:rsid w:val="00B35A02"/>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84D2E"/>
    <w:rsid w:val="00B8735C"/>
    <w:rsid w:val="00B90BC9"/>
    <w:rsid w:val="00B91CC2"/>
    <w:rsid w:val="00B946F3"/>
    <w:rsid w:val="00B955EC"/>
    <w:rsid w:val="00B961E8"/>
    <w:rsid w:val="00BA0582"/>
    <w:rsid w:val="00BA0BF9"/>
    <w:rsid w:val="00BA151F"/>
    <w:rsid w:val="00BA4486"/>
    <w:rsid w:val="00BA5F8A"/>
    <w:rsid w:val="00BA707B"/>
    <w:rsid w:val="00BA7377"/>
    <w:rsid w:val="00BB0700"/>
    <w:rsid w:val="00BB4988"/>
    <w:rsid w:val="00BB7CEE"/>
    <w:rsid w:val="00BC1129"/>
    <w:rsid w:val="00BC36B3"/>
    <w:rsid w:val="00BC43C0"/>
    <w:rsid w:val="00BC5A44"/>
    <w:rsid w:val="00BD4436"/>
    <w:rsid w:val="00BD7715"/>
    <w:rsid w:val="00BE0EAC"/>
    <w:rsid w:val="00BE2DE5"/>
    <w:rsid w:val="00BE642F"/>
    <w:rsid w:val="00BE6757"/>
    <w:rsid w:val="00BF0EE6"/>
    <w:rsid w:val="00BF6550"/>
    <w:rsid w:val="00C0105B"/>
    <w:rsid w:val="00C073F7"/>
    <w:rsid w:val="00C120C7"/>
    <w:rsid w:val="00C12D57"/>
    <w:rsid w:val="00C15432"/>
    <w:rsid w:val="00C16295"/>
    <w:rsid w:val="00C17DFD"/>
    <w:rsid w:val="00C200A6"/>
    <w:rsid w:val="00C20DA0"/>
    <w:rsid w:val="00C238D6"/>
    <w:rsid w:val="00C23E44"/>
    <w:rsid w:val="00C24427"/>
    <w:rsid w:val="00C248D8"/>
    <w:rsid w:val="00C24D0B"/>
    <w:rsid w:val="00C251F3"/>
    <w:rsid w:val="00C266BC"/>
    <w:rsid w:val="00C27B1F"/>
    <w:rsid w:val="00C3075C"/>
    <w:rsid w:val="00C33E96"/>
    <w:rsid w:val="00C34623"/>
    <w:rsid w:val="00C34D9C"/>
    <w:rsid w:val="00C3697F"/>
    <w:rsid w:val="00C43656"/>
    <w:rsid w:val="00C54200"/>
    <w:rsid w:val="00C545A3"/>
    <w:rsid w:val="00C631AC"/>
    <w:rsid w:val="00C6567C"/>
    <w:rsid w:val="00C66538"/>
    <w:rsid w:val="00C67050"/>
    <w:rsid w:val="00C72C22"/>
    <w:rsid w:val="00C737CA"/>
    <w:rsid w:val="00C77A2E"/>
    <w:rsid w:val="00C80E9D"/>
    <w:rsid w:val="00C829B0"/>
    <w:rsid w:val="00C83DFC"/>
    <w:rsid w:val="00C87683"/>
    <w:rsid w:val="00C92592"/>
    <w:rsid w:val="00C970D7"/>
    <w:rsid w:val="00CA22E2"/>
    <w:rsid w:val="00CA22E4"/>
    <w:rsid w:val="00CA64BF"/>
    <w:rsid w:val="00CA7918"/>
    <w:rsid w:val="00CA7E68"/>
    <w:rsid w:val="00CA7E96"/>
    <w:rsid w:val="00CB0F75"/>
    <w:rsid w:val="00CB3FFE"/>
    <w:rsid w:val="00CB5ECE"/>
    <w:rsid w:val="00CB6A6E"/>
    <w:rsid w:val="00CB70AB"/>
    <w:rsid w:val="00CB7ED6"/>
    <w:rsid w:val="00CC7923"/>
    <w:rsid w:val="00CD2376"/>
    <w:rsid w:val="00CD310E"/>
    <w:rsid w:val="00CD41F3"/>
    <w:rsid w:val="00CD5538"/>
    <w:rsid w:val="00CD7578"/>
    <w:rsid w:val="00CE3E5B"/>
    <w:rsid w:val="00CE535A"/>
    <w:rsid w:val="00CF06A4"/>
    <w:rsid w:val="00CF07DD"/>
    <w:rsid w:val="00CF0A1D"/>
    <w:rsid w:val="00CF170E"/>
    <w:rsid w:val="00CF31BB"/>
    <w:rsid w:val="00CF3297"/>
    <w:rsid w:val="00CF3733"/>
    <w:rsid w:val="00CF5E23"/>
    <w:rsid w:val="00D01EC6"/>
    <w:rsid w:val="00D02E98"/>
    <w:rsid w:val="00D03057"/>
    <w:rsid w:val="00D07E3E"/>
    <w:rsid w:val="00D10569"/>
    <w:rsid w:val="00D11FDC"/>
    <w:rsid w:val="00D12F75"/>
    <w:rsid w:val="00D136DA"/>
    <w:rsid w:val="00D1446B"/>
    <w:rsid w:val="00D14C72"/>
    <w:rsid w:val="00D21910"/>
    <w:rsid w:val="00D2610F"/>
    <w:rsid w:val="00D330CA"/>
    <w:rsid w:val="00D33395"/>
    <w:rsid w:val="00D3426A"/>
    <w:rsid w:val="00D35384"/>
    <w:rsid w:val="00D41489"/>
    <w:rsid w:val="00D44A37"/>
    <w:rsid w:val="00D463CF"/>
    <w:rsid w:val="00D50E2F"/>
    <w:rsid w:val="00D54D60"/>
    <w:rsid w:val="00D56153"/>
    <w:rsid w:val="00D574F2"/>
    <w:rsid w:val="00D61765"/>
    <w:rsid w:val="00D6462F"/>
    <w:rsid w:val="00D64B72"/>
    <w:rsid w:val="00D671DF"/>
    <w:rsid w:val="00D74206"/>
    <w:rsid w:val="00D756F9"/>
    <w:rsid w:val="00D7598E"/>
    <w:rsid w:val="00D85EA8"/>
    <w:rsid w:val="00D87844"/>
    <w:rsid w:val="00D87C8B"/>
    <w:rsid w:val="00D94CD8"/>
    <w:rsid w:val="00D94FDF"/>
    <w:rsid w:val="00D96472"/>
    <w:rsid w:val="00D97990"/>
    <w:rsid w:val="00D97FBC"/>
    <w:rsid w:val="00DA0633"/>
    <w:rsid w:val="00DA31E9"/>
    <w:rsid w:val="00DA5A75"/>
    <w:rsid w:val="00DA6A25"/>
    <w:rsid w:val="00DB2054"/>
    <w:rsid w:val="00DB27F3"/>
    <w:rsid w:val="00DB3143"/>
    <w:rsid w:val="00DB41D1"/>
    <w:rsid w:val="00DB7EA6"/>
    <w:rsid w:val="00DD75FC"/>
    <w:rsid w:val="00DE0A63"/>
    <w:rsid w:val="00DE0F91"/>
    <w:rsid w:val="00DE2BF4"/>
    <w:rsid w:val="00E03ED0"/>
    <w:rsid w:val="00E10A1A"/>
    <w:rsid w:val="00E17BB7"/>
    <w:rsid w:val="00E20430"/>
    <w:rsid w:val="00E21A8F"/>
    <w:rsid w:val="00E21DBF"/>
    <w:rsid w:val="00E26BE6"/>
    <w:rsid w:val="00E27A51"/>
    <w:rsid w:val="00E33BDC"/>
    <w:rsid w:val="00E34EE4"/>
    <w:rsid w:val="00E37CB8"/>
    <w:rsid w:val="00E4082B"/>
    <w:rsid w:val="00E42000"/>
    <w:rsid w:val="00E42EA9"/>
    <w:rsid w:val="00E43076"/>
    <w:rsid w:val="00E466BB"/>
    <w:rsid w:val="00E50AEE"/>
    <w:rsid w:val="00E50C89"/>
    <w:rsid w:val="00E569BC"/>
    <w:rsid w:val="00E57B62"/>
    <w:rsid w:val="00E6392A"/>
    <w:rsid w:val="00E6745D"/>
    <w:rsid w:val="00E7000B"/>
    <w:rsid w:val="00E702C1"/>
    <w:rsid w:val="00E731A7"/>
    <w:rsid w:val="00E7585C"/>
    <w:rsid w:val="00E75D67"/>
    <w:rsid w:val="00E83BD5"/>
    <w:rsid w:val="00E8410C"/>
    <w:rsid w:val="00E847EA"/>
    <w:rsid w:val="00E85D4E"/>
    <w:rsid w:val="00E86C47"/>
    <w:rsid w:val="00E87FC3"/>
    <w:rsid w:val="00E91D48"/>
    <w:rsid w:val="00E967CB"/>
    <w:rsid w:val="00EA1029"/>
    <w:rsid w:val="00EA261C"/>
    <w:rsid w:val="00EA2634"/>
    <w:rsid w:val="00EA3D09"/>
    <w:rsid w:val="00EA53F6"/>
    <w:rsid w:val="00EA5F63"/>
    <w:rsid w:val="00EA6C3E"/>
    <w:rsid w:val="00EB0442"/>
    <w:rsid w:val="00EB1254"/>
    <w:rsid w:val="00EB5BB3"/>
    <w:rsid w:val="00EC1E2B"/>
    <w:rsid w:val="00EC3A3D"/>
    <w:rsid w:val="00EC3BBD"/>
    <w:rsid w:val="00ED2F8E"/>
    <w:rsid w:val="00ED3E1E"/>
    <w:rsid w:val="00EE25C4"/>
    <w:rsid w:val="00EE2DC5"/>
    <w:rsid w:val="00EE379D"/>
    <w:rsid w:val="00EE4C98"/>
    <w:rsid w:val="00EE7958"/>
    <w:rsid w:val="00EF078D"/>
    <w:rsid w:val="00EF28C1"/>
    <w:rsid w:val="00EF3D5F"/>
    <w:rsid w:val="00EF4682"/>
    <w:rsid w:val="00EF6BC6"/>
    <w:rsid w:val="00EF6F93"/>
    <w:rsid w:val="00F03595"/>
    <w:rsid w:val="00F12D8F"/>
    <w:rsid w:val="00F1380E"/>
    <w:rsid w:val="00F1390B"/>
    <w:rsid w:val="00F204B3"/>
    <w:rsid w:val="00F230EF"/>
    <w:rsid w:val="00F23F0A"/>
    <w:rsid w:val="00F3393A"/>
    <w:rsid w:val="00F43434"/>
    <w:rsid w:val="00F44C6A"/>
    <w:rsid w:val="00F516A8"/>
    <w:rsid w:val="00F51990"/>
    <w:rsid w:val="00F530B7"/>
    <w:rsid w:val="00F54973"/>
    <w:rsid w:val="00F5595C"/>
    <w:rsid w:val="00F55BA0"/>
    <w:rsid w:val="00F576A9"/>
    <w:rsid w:val="00F62419"/>
    <w:rsid w:val="00F650DD"/>
    <w:rsid w:val="00F6546F"/>
    <w:rsid w:val="00F71266"/>
    <w:rsid w:val="00F71D7E"/>
    <w:rsid w:val="00F71FB8"/>
    <w:rsid w:val="00F73B1E"/>
    <w:rsid w:val="00F74E04"/>
    <w:rsid w:val="00F75669"/>
    <w:rsid w:val="00F805CB"/>
    <w:rsid w:val="00F819FA"/>
    <w:rsid w:val="00F82445"/>
    <w:rsid w:val="00F83CFA"/>
    <w:rsid w:val="00F87228"/>
    <w:rsid w:val="00F87B82"/>
    <w:rsid w:val="00F93E30"/>
    <w:rsid w:val="00F954FE"/>
    <w:rsid w:val="00F9629C"/>
    <w:rsid w:val="00FA1A46"/>
    <w:rsid w:val="00FA3CE0"/>
    <w:rsid w:val="00FA4306"/>
    <w:rsid w:val="00FB3781"/>
    <w:rsid w:val="00FB3FA3"/>
    <w:rsid w:val="00FC024D"/>
    <w:rsid w:val="00FC0615"/>
    <w:rsid w:val="00FC28D9"/>
    <w:rsid w:val="00FC386E"/>
    <w:rsid w:val="00FC3E05"/>
    <w:rsid w:val="00FC5DA9"/>
    <w:rsid w:val="00FC7B0B"/>
    <w:rsid w:val="00FC7CB4"/>
    <w:rsid w:val="00FD1D7B"/>
    <w:rsid w:val="00FD3B5A"/>
    <w:rsid w:val="00FD4BA4"/>
    <w:rsid w:val="00FE11D1"/>
    <w:rsid w:val="00FE3BB2"/>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3EDA0A57"/>
  <w15:docId w15:val="{6AC986B2-FA9E-4AC2-B570-9599FFEA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A19D4"/>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R"/>
    <w:uiPriority w:val="99"/>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uiPriority w:val="99"/>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rsid w:val="00FA1A46"/>
    <w:pPr>
      <w:keepNext/>
      <w:keepLines/>
      <w:numPr>
        <w:numId w:val="8"/>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8"/>
      </w:numPr>
      <w:tabs>
        <w:tab w:val="left" w:pos="1701"/>
      </w:tabs>
      <w:spacing w:after="120"/>
      <w:ind w:right="1134"/>
      <w:jc w:val="both"/>
    </w:pPr>
  </w:style>
  <w:style w:type="paragraph" w:styleId="TOC1">
    <w:name w:val="toc 1"/>
    <w:basedOn w:val="Normal"/>
    <w:next w:val="Normal"/>
    <w:autoRedefine/>
    <w:uiPriority w:val="39"/>
    <w:rsid w:val="00FA1A46"/>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742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gSingleTxtGChar">
    <w:name w:val="Reg_Single Txt_G Char"/>
    <w:link w:val="RegSingleTxtG"/>
    <w:rsid w:val="00364659"/>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uiPriority w:val="99"/>
    <w:rsid w:val="00364659"/>
    <w:rPr>
      <w:rFonts w:eastAsia="SimSun"/>
      <w:sz w:val="18"/>
      <w:lang w:val="en-GB" w:eastAsia="zh-CN"/>
    </w:rPr>
  </w:style>
  <w:style w:type="character" w:styleId="Hyperlink">
    <w:name w:val="Hyperlink"/>
    <w:unhideWhenUsed/>
    <w:rsid w:val="00364659"/>
    <w:rPr>
      <w:color w:val="0000FF"/>
      <w:u w:val="single"/>
    </w:rPr>
  </w:style>
  <w:style w:type="character" w:customStyle="1" w:styleId="RegHChGChar">
    <w:name w:val="Reg_H__Ch_G Char"/>
    <w:link w:val="RegHChG"/>
    <w:rsid w:val="00364659"/>
    <w:rPr>
      <w:rFonts w:eastAsia="SimSun"/>
      <w:b/>
      <w:sz w:val="28"/>
      <w:lang w:val="en-GB" w:eastAsia="zh-CN"/>
    </w:rPr>
  </w:style>
  <w:style w:type="character" w:styleId="CommentReference">
    <w:name w:val="annotation reference"/>
    <w:semiHidden/>
    <w:unhideWhenUsed/>
    <w:rsid w:val="00C24D0B"/>
    <w:rPr>
      <w:sz w:val="16"/>
      <w:szCs w:val="16"/>
    </w:rPr>
  </w:style>
  <w:style w:type="paragraph" w:styleId="CommentText">
    <w:name w:val="annotation text"/>
    <w:basedOn w:val="Normal"/>
    <w:link w:val="CommentTextChar"/>
    <w:semiHidden/>
    <w:unhideWhenUsed/>
    <w:rsid w:val="00C24D0B"/>
  </w:style>
  <w:style w:type="character" w:customStyle="1" w:styleId="CommentTextChar">
    <w:name w:val="Comment Text Char"/>
    <w:link w:val="CommentText"/>
    <w:semiHidden/>
    <w:rsid w:val="00C24D0B"/>
    <w:rPr>
      <w:rFonts w:eastAsia="SimSun"/>
      <w:lang w:val="en-GB" w:eastAsia="zh-CN"/>
    </w:rPr>
  </w:style>
  <w:style w:type="paragraph" w:styleId="CommentSubject">
    <w:name w:val="annotation subject"/>
    <w:basedOn w:val="CommentText"/>
    <w:next w:val="CommentText"/>
    <w:link w:val="CommentSubjectChar"/>
    <w:semiHidden/>
    <w:unhideWhenUsed/>
    <w:rsid w:val="00C24D0B"/>
    <w:rPr>
      <w:b/>
      <w:bCs/>
    </w:rPr>
  </w:style>
  <w:style w:type="character" w:customStyle="1" w:styleId="CommentSubjectChar">
    <w:name w:val="Comment Subject Char"/>
    <w:link w:val="CommentSubject"/>
    <w:semiHidden/>
    <w:rsid w:val="00C24D0B"/>
    <w:rPr>
      <w:rFonts w:eastAsia="SimSun"/>
      <w:b/>
      <w:bCs/>
      <w:lang w:val="en-GB" w:eastAsia="zh-CN"/>
    </w:rPr>
  </w:style>
  <w:style w:type="character" w:styleId="FollowedHyperlink">
    <w:name w:val="FollowedHyperlink"/>
    <w:semiHidden/>
    <w:unhideWhenUsed/>
    <w:rsid w:val="0038531F"/>
    <w:rPr>
      <w:color w:val="800080"/>
      <w:u w:val="single"/>
    </w:rPr>
  </w:style>
  <w:style w:type="paragraph" w:styleId="Revision">
    <w:name w:val="Revision"/>
    <w:hidden/>
    <w:uiPriority w:val="99"/>
    <w:semiHidden/>
    <w:rsid w:val="00ED3E1E"/>
    <w:rPr>
      <w:rFonts w:eastAsia="SimSun"/>
      <w:lang w:val="en-GB" w:eastAsia="zh-CN"/>
    </w:rPr>
  </w:style>
  <w:style w:type="character" w:styleId="Mention">
    <w:name w:val="Mention"/>
    <w:uiPriority w:val="99"/>
    <w:semiHidden/>
    <w:unhideWhenUsed/>
    <w:rsid w:val="00C23E4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52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footer" Target="footer5.xml"/><Relationship Id="rId39" Type="http://schemas.openxmlformats.org/officeDocument/2006/relationships/header" Target="header14.xml"/><Relationship Id="rId21" Type="http://schemas.openxmlformats.org/officeDocument/2006/relationships/header" Target="header5.xml"/><Relationship Id="rId34" Type="http://schemas.openxmlformats.org/officeDocument/2006/relationships/footer" Target="footer9.xml"/><Relationship Id="rId42" Type="http://schemas.openxmlformats.org/officeDocument/2006/relationships/header" Target="header15.xml"/><Relationship Id="rId47" Type="http://schemas.openxmlformats.org/officeDocument/2006/relationships/header" Target="header18.xml"/><Relationship Id="rId50" Type="http://schemas.openxmlformats.org/officeDocument/2006/relationships/header" Target="header19.xml"/><Relationship Id="rId55" Type="http://schemas.openxmlformats.org/officeDocument/2006/relationships/header" Target="header22.xml"/><Relationship Id="rId63" Type="http://schemas.openxmlformats.org/officeDocument/2006/relationships/footer" Target="footer24.xm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40" Type="http://schemas.openxmlformats.org/officeDocument/2006/relationships/footer" Target="footer12.xml"/><Relationship Id="rId45" Type="http://schemas.openxmlformats.org/officeDocument/2006/relationships/footer" Target="footer15.xml"/><Relationship Id="rId53" Type="http://schemas.openxmlformats.org/officeDocument/2006/relationships/footer" Target="footer19.xml"/><Relationship Id="rId58" Type="http://schemas.openxmlformats.org/officeDocument/2006/relationships/header" Target="header23.xml"/><Relationship Id="rId66" Type="http://schemas.openxmlformats.org/officeDocument/2006/relationships/footer" Target="footer2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footer" Target="footer17.xml"/><Relationship Id="rId57" Type="http://schemas.openxmlformats.org/officeDocument/2006/relationships/footer" Target="footer21.xml"/><Relationship Id="rId61" Type="http://schemas.openxmlformats.org/officeDocument/2006/relationships/footer" Target="footer2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8.xml"/><Relationship Id="rId44" Type="http://schemas.openxmlformats.org/officeDocument/2006/relationships/footer" Target="footer14.xml"/><Relationship Id="rId52" Type="http://schemas.openxmlformats.org/officeDocument/2006/relationships/footer" Target="footer18.xml"/><Relationship Id="rId60" Type="http://schemas.openxmlformats.org/officeDocument/2006/relationships/footer" Target="footer22.xml"/><Relationship Id="rId65" Type="http://schemas.openxmlformats.org/officeDocument/2006/relationships/header" Target="header2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footer" Target="footer10.xml"/><Relationship Id="rId43" Type="http://schemas.openxmlformats.org/officeDocument/2006/relationships/header" Target="header16.xml"/><Relationship Id="rId48" Type="http://schemas.openxmlformats.org/officeDocument/2006/relationships/footer" Target="footer16.xml"/><Relationship Id="rId56" Type="http://schemas.openxmlformats.org/officeDocument/2006/relationships/footer" Target="footer20.xml"/><Relationship Id="rId64" Type="http://schemas.openxmlformats.org/officeDocument/2006/relationships/header" Target="header26.xm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eader" Target="header20.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header" Target="header17.xml"/><Relationship Id="rId59" Type="http://schemas.openxmlformats.org/officeDocument/2006/relationships/header" Target="header24.xml"/><Relationship Id="rId67" Type="http://schemas.openxmlformats.org/officeDocument/2006/relationships/footer" Target="footer26.xml"/><Relationship Id="rId20" Type="http://schemas.openxmlformats.org/officeDocument/2006/relationships/header" Target="header4.xml"/><Relationship Id="rId41" Type="http://schemas.openxmlformats.org/officeDocument/2006/relationships/footer" Target="footer13.xml"/><Relationship Id="rId54" Type="http://schemas.openxmlformats.org/officeDocument/2006/relationships/header" Target="header21.xml"/><Relationship Id="rId62" Type="http://schemas.openxmlformats.org/officeDocument/2006/relationships/header" Target="header25.xml"/></Relationships>
</file>

<file path=word/_rels/footnotes.xml.rels><?xml version="1.0" encoding="UTF-8" standalone="yes"?>
<Relationships xmlns="http://schemas.openxmlformats.org/package/2006/relationships"><Relationship Id="rId8" Type="http://schemas.openxmlformats.org/officeDocument/2006/relationships/hyperlink" Target="http://www4.unfccc.int/sites/submissionportal/Pages/Home.aspx" TargetMode="External"/><Relationship Id="rId13" Type="http://schemas.openxmlformats.org/officeDocument/2006/relationships/hyperlink" Target="http://unfccc.int/files/meetings/bonn_nov_2017/in-session/application/pdf/cop23_10f_informal_note.pdf" TargetMode="External"/><Relationship Id="rId3" Type="http://schemas.openxmlformats.org/officeDocument/2006/relationships/hyperlink" Target="http://www4.unfccc.int/submissions/SitePages/sessions.aspx?showOnlyCurrentCalls=1&amp;themes=Adaptation&amp;expectedsubmissionfrom=Parties&amp;focalBodies=SBSTA" TargetMode="External"/><Relationship Id="rId7" Type="http://schemas.openxmlformats.org/officeDocument/2006/relationships/hyperlink" Target="http://unfccc.int/10064" TargetMode="External"/><Relationship Id="rId12" Type="http://schemas.openxmlformats.org/officeDocument/2006/relationships/hyperlink" Target="http://www4.unfccc.int/sites/submissionportal/Pages/Home.aspx" TargetMode="External"/><Relationship Id="rId2" Type="http://schemas.openxmlformats.org/officeDocument/2006/relationships/hyperlink" Target="http://unfccc.int/9985" TargetMode="External"/><Relationship Id="rId1" Type="http://schemas.openxmlformats.org/officeDocument/2006/relationships/hyperlink" Target="http://www4.unfccc.int/sites/submissionportal/Pages/Home.aspx" TargetMode="External"/><Relationship Id="rId6" Type="http://schemas.openxmlformats.org/officeDocument/2006/relationships/hyperlink" Target="http://www4.unfccc.int/sites/submissionportal/Pages/Home.aspx" TargetMode="External"/><Relationship Id="rId11" Type="http://schemas.openxmlformats.org/officeDocument/2006/relationships/hyperlink" Target="https://www.thegef.org/sites/default/files/council-meeting-documents/EN_GEF.C.52_Joint_Summary_of_the_Chairs.pdf" TargetMode="External"/><Relationship Id="rId5" Type="http://schemas.openxmlformats.org/officeDocument/2006/relationships/hyperlink" Target="http://unfccc.int/10151" TargetMode="External"/><Relationship Id="rId10" Type="http://schemas.openxmlformats.org/officeDocument/2006/relationships/hyperlink" Target="http://www4.unfccc.int/sites/submissionportal/Pages/Home.aspx" TargetMode="External"/><Relationship Id="rId4" Type="http://schemas.openxmlformats.org/officeDocument/2006/relationships/hyperlink" Target="http://unfccc.int/documentation/submissions_from_non-party_stakeholders/items/7482.php" TargetMode="External"/><Relationship Id="rId9" Type="http://schemas.openxmlformats.org/officeDocument/2006/relationships/hyperlink" Target="http://www4.unfccc.int/Submissions/Lists/OSPSubmissionUpload/39_304_131359396103493098-SCF%20submission%20SBI%204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5EB1B-6717-4C10-A25D-A169B32D1D45}">
  <ds:schemaRefs>
    <ds:schemaRef ds:uri="http://schemas.microsoft.com/office/2006/documentManagement/types"/>
    <ds:schemaRef ds:uri="http://purl.org/dc/dcmitype/"/>
    <ds:schemaRef ds:uri="http://purl.org/dc/terms/"/>
    <ds:schemaRef ds:uri="95878e15-3eca-40ea-8e2a-b8ac110e97d5"/>
    <ds:schemaRef ds:uri="http://schemas.microsoft.com/sharepoint/v3"/>
    <ds:schemaRef ds:uri="http://purl.org/dc/elements/1.1/"/>
    <ds:schemaRef ds:uri="http://schemas.openxmlformats.org/package/2006/metadata/core-properties"/>
    <ds:schemaRef ds:uri="http://schemas.microsoft.com/office/2006/metadata/properties"/>
    <ds:schemaRef ds:uri="http://schemas.microsoft.com/office/infopath/2007/PartnerControls"/>
    <ds:schemaRef ds:uri="67dad47e-2fca-4711-b9e4-b0642648f99b"/>
    <ds:schemaRef ds:uri="http://www.w3.org/XML/1998/namespace"/>
  </ds:schemaRefs>
</ds:datastoreItem>
</file>

<file path=customXml/itemProps2.xml><?xml version="1.0" encoding="utf-8"?>
<ds:datastoreItem xmlns:ds="http://schemas.openxmlformats.org/officeDocument/2006/customXml" ds:itemID="{21EFE437-1494-436E-8346-75FF5F799ACC}">
  <ds:schemaRefs>
    <ds:schemaRef ds:uri="http://schemas.microsoft.com/sharepoint/v3/contenttype/forms"/>
  </ds:schemaRefs>
</ds:datastoreItem>
</file>

<file path=customXml/itemProps3.xml><?xml version="1.0" encoding="utf-8"?>
<ds:datastoreItem xmlns:ds="http://schemas.openxmlformats.org/officeDocument/2006/customXml" ds:itemID="{718C8666-B503-41EF-A4D3-6DCAD4D69581}"/>
</file>

<file path=customXml/itemProps4.xml><?xml version="1.0" encoding="utf-8"?>
<ds:datastoreItem xmlns:ds="http://schemas.openxmlformats.org/officeDocument/2006/customXml" ds:itemID="{021CDDAA-4B75-49CC-9EC2-24D6EC73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35</Pages>
  <Words>12472</Words>
  <Characters>71095</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Report of the Conference of the Parties on its twenty-third session, held in Bonn from 6 to 17 November 2017. Addendum. Part two: Action taken by the Conference of the Parties at its twenty-third session</vt:lpstr>
    </vt:vector>
  </TitlesOfParts>
  <Company>UNFCCC</Company>
  <LinksUpToDate>false</LinksUpToDate>
  <CharactersWithSpaces>83401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twenty-third session, held in Bonn from 6 to 17 November 2017. Addendum. Part two: Action taken by the Conference of the Parties at its twenty-third session</dc:title>
  <dc:subject/>
  <dc:creator>Katherine Infantino</dc:creator>
  <cp:keywords/>
  <dc:description/>
  <cp:lastModifiedBy>Corinne Loeschner</cp:lastModifiedBy>
  <cp:revision>3</cp:revision>
  <cp:lastPrinted>2018-01-17T13:57:00Z</cp:lastPrinted>
  <dcterms:created xsi:type="dcterms:W3CDTF">2018-01-31T11:45:00Z</dcterms:created>
  <dcterms:modified xsi:type="dcterms:W3CDTF">2018-03-28T08:36:00Z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0x0101002BEBFA4AD3D067488A4F8AE22F38BF68</vt:lpwstr>
  </property>
  <property fmtid="{D5CDD505-2E9C-101B-9397-08002B2CF9AE}" pid="3" name="Bodies">
    <vt:lpwstr>7;#COP|c73e7bf0-e1b5-41ee-ac74-00f3478c6be0</vt:lpwstr>
  </property>
  <property fmtid="{D5CDD505-2E9C-101B-9397-08002B2CF9AE}" pid="4" name="docSymbol1">
    <vt:lpwstr>FCCC/CP/2017/X/Add.1</vt:lpwstr>
  </property>
  <property fmtid="{D5CDD505-2E9C-101B-9397-08002B2CF9AE}" pid="5" name="docSymbol2">
    <vt:lpwstr/>
  </property>
  <property fmtid="{D5CDD505-2E9C-101B-9397-08002B2CF9AE}" pid="6" name="templateVersion">
    <vt:lpwstr>v.July2017</vt:lpwstr>
  </property>
  <property fmtid="{D5CDD505-2E9C-101B-9397-08002B2CF9AE}" pid="7" name="Order">
    <vt:r8>12800</vt:r8>
  </property>
  <property fmtid="{D5CDD505-2E9C-101B-9397-08002B2CF9AE}" pid="8" name="UNFC3CoreFunction">
    <vt:lpwstr/>
  </property>
  <property fmtid="{D5CDD505-2E9C-101B-9397-08002B2CF9AE}" pid="9" name="UNFC3CoreCountry">
    <vt:lpwstr/>
  </property>
  <property fmtid="{D5CDD505-2E9C-101B-9397-08002B2CF9AE}" pid="10" name="UNFC3CoreSensitivity">
    <vt:lpwstr/>
  </property>
</Properties>
</file>