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14:paraId="5F7991F6" w14:textId="77777777" w:rsidTr="00BC36B3">
        <w:trPr>
          <w:cantSplit/>
          <w:trHeight w:hRule="exact" w:val="1134"/>
        </w:trPr>
        <w:tc>
          <w:tcPr>
            <w:tcW w:w="1242" w:type="dxa"/>
            <w:vAlign w:val="bottom"/>
          </w:tcPr>
          <w:p w14:paraId="39586777" w14:textId="77777777" w:rsidR="00756BC7" w:rsidRPr="003F5FEE" w:rsidRDefault="000F209A" w:rsidP="00173478">
            <w:bookmarkStart w:id="0" w:name="_GoBack" w:colFirst="0" w:colLast="0"/>
            <w:r>
              <w:pict w14:anchorId="3C345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Description: Description: _unlogo" style="width:51pt;height:45pt;visibility:visible">
                  <v:imagedata r:id="rId11" o:title=" _unlogo"/>
                </v:shape>
              </w:pict>
            </w:r>
          </w:p>
        </w:tc>
        <w:tc>
          <w:tcPr>
            <w:tcW w:w="2552" w:type="dxa"/>
            <w:vAlign w:val="bottom"/>
          </w:tcPr>
          <w:p w14:paraId="57CDD22A" w14:textId="77777777" w:rsidR="00756BC7" w:rsidRPr="00A86746" w:rsidRDefault="00756BC7" w:rsidP="00173478">
            <w:pPr>
              <w:ind w:left="113"/>
              <w:rPr>
                <w:sz w:val="28"/>
                <w:szCs w:val="28"/>
              </w:rPr>
            </w:pPr>
            <w:r w:rsidRPr="00A86746">
              <w:rPr>
                <w:sz w:val="28"/>
                <w:szCs w:val="28"/>
              </w:rPr>
              <w:t>United Nations</w:t>
            </w:r>
          </w:p>
        </w:tc>
        <w:tc>
          <w:tcPr>
            <w:tcW w:w="5845" w:type="dxa"/>
            <w:gridSpan w:val="3"/>
            <w:vAlign w:val="bottom"/>
          </w:tcPr>
          <w:p w14:paraId="0E048BF3" w14:textId="4F919CB9" w:rsidR="00756BC7" w:rsidRPr="00523FAB" w:rsidRDefault="0024232D" w:rsidP="0024232D">
            <w:pPr>
              <w:jc w:val="right"/>
            </w:pPr>
            <w:r w:rsidRPr="0024232D">
              <w:rPr>
                <w:sz w:val="40"/>
              </w:rPr>
              <w:t>FCCC</w:t>
            </w:r>
            <w:r>
              <w:t>/CP/2017/11/Add.2</w:t>
            </w:r>
          </w:p>
        </w:tc>
      </w:tr>
      <w:bookmarkEnd w:id="0"/>
      <w:tr w:rsidR="00756BC7" w14:paraId="4E24C567" w14:textId="77777777" w:rsidTr="00BC36B3">
        <w:trPr>
          <w:cantSplit/>
          <w:trHeight w:hRule="exact" w:val="2552"/>
        </w:trPr>
        <w:tc>
          <w:tcPr>
            <w:tcW w:w="4511" w:type="dxa"/>
            <w:gridSpan w:val="3"/>
          </w:tcPr>
          <w:p w14:paraId="7E40D322" w14:textId="43ED52EC" w:rsidR="00756BC7" w:rsidRPr="003F5FEE" w:rsidRDefault="000F209A" w:rsidP="00940F10">
            <w:r>
              <w:pict w14:anchorId="4EA910DA">
                <v:shape id="Picture 2" o:spid="_x0000_i1026" type="#_x0000_t75" style="width:189.75pt;height:45pt;visibility:visible;mso-position-horizontal-relative:margin;mso-position-vertical-relative:text;mso-width-relative:page;mso-height-relative:page">
                  <v:imagedata r:id="rId12" o:title=""/>
                </v:shape>
              </w:pict>
            </w:r>
          </w:p>
        </w:tc>
        <w:tc>
          <w:tcPr>
            <w:tcW w:w="2293" w:type="dxa"/>
          </w:tcPr>
          <w:p w14:paraId="17F0B764" w14:textId="77777777" w:rsidR="00756BC7" w:rsidRPr="003F5FEE" w:rsidRDefault="00756BC7" w:rsidP="00173478"/>
        </w:tc>
        <w:tc>
          <w:tcPr>
            <w:tcW w:w="2835" w:type="dxa"/>
          </w:tcPr>
          <w:p w14:paraId="42DDDEEA" w14:textId="77777777" w:rsidR="0024232D" w:rsidRDefault="0024232D" w:rsidP="0024232D">
            <w:pPr>
              <w:spacing w:before="240" w:line="240" w:lineRule="exact"/>
              <w:ind w:left="143"/>
            </w:pPr>
            <w:r>
              <w:t>Distr.: General</w:t>
            </w:r>
          </w:p>
          <w:p w14:paraId="17A2B09E" w14:textId="376A19C6" w:rsidR="0024232D" w:rsidRDefault="00720155" w:rsidP="0024232D">
            <w:pPr>
              <w:spacing w:line="240" w:lineRule="exact"/>
              <w:ind w:left="143"/>
            </w:pPr>
            <w:r>
              <w:t>8 February</w:t>
            </w:r>
            <w:r w:rsidR="0024232D">
              <w:t xml:space="preserve"> 2018</w:t>
            </w:r>
          </w:p>
          <w:p w14:paraId="576B7D64" w14:textId="77777777" w:rsidR="0024232D" w:rsidRDefault="0024232D" w:rsidP="0024232D">
            <w:pPr>
              <w:spacing w:line="240" w:lineRule="exact"/>
              <w:ind w:left="143"/>
            </w:pPr>
          </w:p>
          <w:p w14:paraId="45CFC0D0" w14:textId="51B6557F" w:rsidR="00523FAB" w:rsidRPr="00E0470D" w:rsidRDefault="0024232D" w:rsidP="0024232D">
            <w:pPr>
              <w:spacing w:line="240" w:lineRule="exact"/>
              <w:ind w:left="143"/>
            </w:pPr>
            <w:r>
              <w:t>Original: English</w:t>
            </w:r>
          </w:p>
        </w:tc>
      </w:tr>
    </w:tbl>
    <w:p w14:paraId="73B5D216" w14:textId="77777777" w:rsidR="00523FAB" w:rsidRDefault="00523FAB" w:rsidP="00523FAB">
      <w:pPr>
        <w:spacing w:before="120"/>
        <w:rPr>
          <w:b/>
          <w:sz w:val="24"/>
        </w:rPr>
      </w:pPr>
      <w:r>
        <w:rPr>
          <w:b/>
          <w:sz w:val="24"/>
        </w:rPr>
        <w:t>Conference of the Parties</w:t>
      </w:r>
    </w:p>
    <w:p w14:paraId="214995BF" w14:textId="31B11097" w:rsidR="00523FAB" w:rsidRDefault="00523FAB" w:rsidP="00523FAB">
      <w:pPr>
        <w:pStyle w:val="HChG"/>
      </w:pPr>
      <w:r>
        <w:tab/>
      </w:r>
      <w:r>
        <w:tab/>
        <w:t>Report of the Conference of the Parties on its twenty-third session, held in Bonn from 6 to 1</w:t>
      </w:r>
      <w:r w:rsidR="007E1956">
        <w:t>8</w:t>
      </w:r>
      <w:r>
        <w:t xml:space="preserve"> November 2017</w:t>
      </w:r>
    </w:p>
    <w:p w14:paraId="1F028EB0" w14:textId="77777777" w:rsidR="00523FAB" w:rsidRDefault="00523FAB" w:rsidP="00523FAB">
      <w:pPr>
        <w:pStyle w:val="H1G"/>
        <w:ind w:firstLine="0"/>
      </w:pPr>
      <w:r>
        <w:t>Addendum</w:t>
      </w:r>
    </w:p>
    <w:p w14:paraId="4028C8A9" w14:textId="77777777" w:rsidR="00523FAB" w:rsidRPr="00F75669" w:rsidRDefault="00523FAB" w:rsidP="00523FAB">
      <w:pPr>
        <w:pStyle w:val="H1G"/>
      </w:pPr>
      <w:r>
        <w:tab/>
        <w:t>Part two: Action taken by the Conference of the Parties at its twenty-third session</w:t>
      </w:r>
    </w:p>
    <w:p w14:paraId="77A6C33F" w14:textId="77777777" w:rsidR="00523FAB" w:rsidRDefault="00523FAB" w:rsidP="00523FAB">
      <w:pPr>
        <w:pStyle w:val="HChG"/>
      </w:pPr>
      <w:r w:rsidRPr="00F75669">
        <w:rPr>
          <w:b w:val="0"/>
        </w:rPr>
        <w:t>Contents</w:t>
      </w:r>
    </w:p>
    <w:p w14:paraId="539D4F82" w14:textId="77777777" w:rsidR="00523FAB" w:rsidRDefault="00523FAB" w:rsidP="00523FAB">
      <w:pPr>
        <w:pStyle w:val="HChG"/>
      </w:pPr>
      <w:r>
        <w:tab/>
      </w:r>
      <w:r>
        <w:tab/>
        <w:t>Decisions adopted by the Conference of the Parties</w:t>
      </w:r>
    </w:p>
    <w:p w14:paraId="54FFFF5F" w14:textId="555250C5" w:rsidR="00523FAB" w:rsidRDefault="00523FAB" w:rsidP="00523FAB">
      <w:pPr>
        <w:tabs>
          <w:tab w:val="right" w:pos="8929"/>
          <w:tab w:val="right" w:pos="9638"/>
        </w:tabs>
        <w:spacing w:before="60" w:after="120"/>
        <w:ind w:left="1134"/>
      </w:pPr>
      <w:r>
        <w:rPr>
          <w:i/>
          <w:sz w:val="18"/>
        </w:rPr>
        <w:t>Decision</w:t>
      </w:r>
      <w:r>
        <w:rPr>
          <w:i/>
          <w:sz w:val="18"/>
        </w:rPr>
        <w:tab/>
        <w:t>Page</w:t>
      </w:r>
    </w:p>
    <w:p w14:paraId="7BF4D4D9" w14:textId="51F17B9E"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13/CP.23</w:t>
      </w:r>
      <w:r>
        <w:tab/>
        <w:t>Assessment of the technical examination process</w:t>
      </w:r>
      <w:r w:rsidR="00F73FB1">
        <w:t>es</w:t>
      </w:r>
      <w:r>
        <w:t xml:space="preserve"> on mitigation</w:t>
      </w:r>
      <w:r>
        <w:br/>
        <w:t>and adaptation</w:t>
      </w:r>
      <w:r>
        <w:tab/>
      </w:r>
      <w:r>
        <w:tab/>
      </w:r>
      <w:r w:rsidR="00A93644">
        <w:t>2</w:t>
      </w:r>
    </w:p>
    <w:p w14:paraId="7A9673E7" w14:textId="38204560"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14/CP.23</w:t>
      </w:r>
      <w:r>
        <w:tab/>
        <w:t>Review of the effective implementation of the Climate Technology</w:t>
      </w:r>
      <w:r>
        <w:br/>
        <w:t>Centre and Network</w:t>
      </w:r>
      <w:r>
        <w:tab/>
      </w:r>
      <w:r>
        <w:tab/>
      </w:r>
      <w:r w:rsidR="00A93644">
        <w:t>4</w:t>
      </w:r>
    </w:p>
    <w:p w14:paraId="78E9547C" w14:textId="491239B5"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15/CP.23</w:t>
      </w:r>
      <w:r>
        <w:tab/>
        <w:t>Enhancing climate technology development and transfer through</w:t>
      </w:r>
      <w:r>
        <w:br/>
        <w:t>the Technology Mechanism</w:t>
      </w:r>
      <w:r>
        <w:tab/>
      </w:r>
      <w:r>
        <w:tab/>
      </w:r>
      <w:r w:rsidR="00A93644">
        <w:t>6</w:t>
      </w:r>
    </w:p>
    <w:p w14:paraId="2A5B04B8" w14:textId="5B3CB9AE"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16/CP.23</w:t>
      </w:r>
      <w:r>
        <w:tab/>
        <w:t xml:space="preserve">Annual technical progress report of the Paris Committee on </w:t>
      </w:r>
      <w:r>
        <w:br/>
        <w:t>Capacity-building for 2017</w:t>
      </w:r>
      <w:r>
        <w:tab/>
      </w:r>
      <w:r>
        <w:tab/>
      </w:r>
      <w:r w:rsidR="00A93644">
        <w:t>8</w:t>
      </w:r>
    </w:p>
    <w:p w14:paraId="00D0E170" w14:textId="43AC3BC0"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17/CP.23</w:t>
      </w:r>
      <w:r>
        <w:tab/>
        <w:t>Fourth review of the implementation of the framework for</w:t>
      </w:r>
      <w:r>
        <w:br/>
        <w:t>capacity-building in countries with economies in transition</w:t>
      </w:r>
      <w:r>
        <w:tab/>
      </w:r>
      <w:r>
        <w:tab/>
      </w:r>
      <w:r w:rsidR="00A93644">
        <w:t>9</w:t>
      </w:r>
    </w:p>
    <w:p w14:paraId="686529F3" w14:textId="417D1209"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18/CP.23</w:t>
      </w:r>
      <w:r>
        <w:tab/>
        <w:t>Scope of the next periodic review of the long-term global goal under</w:t>
      </w:r>
      <w:r>
        <w:br/>
        <w:t>the Convention and of overall progress towards achieving it</w:t>
      </w:r>
      <w:r>
        <w:tab/>
      </w:r>
      <w:r>
        <w:tab/>
      </w:r>
      <w:r w:rsidR="00A93644">
        <w:t>10</w:t>
      </w:r>
    </w:p>
    <w:p w14:paraId="0C074C30" w14:textId="7629C293"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19/CP.23</w:t>
      </w:r>
      <w:r>
        <w:tab/>
        <w:t xml:space="preserve">Training programme for review experts for </w:t>
      </w:r>
      <w:r w:rsidR="00DE0D98">
        <w:t xml:space="preserve">the </w:t>
      </w:r>
      <w:r>
        <w:t xml:space="preserve">technical review of </w:t>
      </w:r>
      <w:r>
        <w:br/>
        <w:t>biennial reports and national communications of Parties included in</w:t>
      </w:r>
      <w:r>
        <w:br/>
        <w:t>Annex I to the Convention</w:t>
      </w:r>
      <w:r>
        <w:tab/>
      </w:r>
      <w:r>
        <w:tab/>
      </w:r>
      <w:r w:rsidR="00A93644">
        <w:t>11</w:t>
      </w:r>
    </w:p>
    <w:p w14:paraId="0F028483" w14:textId="3B1A8367"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20/CP.23</w:t>
      </w:r>
      <w:r>
        <w:tab/>
        <w:t>Administrative, financial and institutional matters</w:t>
      </w:r>
      <w:r>
        <w:tab/>
      </w:r>
      <w:r>
        <w:tab/>
      </w:r>
      <w:r w:rsidR="00A93644">
        <w:t>14</w:t>
      </w:r>
    </w:p>
    <w:p w14:paraId="6EA25C78" w14:textId="032FE5F5"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21/CP.23</w:t>
      </w:r>
      <w:r>
        <w:tab/>
        <w:t>Programme budget for the biennium 2018–2019</w:t>
      </w:r>
      <w:r>
        <w:tab/>
      </w:r>
      <w:r>
        <w:tab/>
      </w:r>
      <w:r w:rsidR="00A93644">
        <w:t>16</w:t>
      </w:r>
    </w:p>
    <w:p w14:paraId="65C2615A" w14:textId="790ABCD2" w:rsidR="00523FAB" w:rsidRDefault="00523FAB" w:rsidP="00523FAB">
      <w:pPr>
        <w:tabs>
          <w:tab w:val="right" w:pos="850"/>
          <w:tab w:val="left" w:pos="1134"/>
          <w:tab w:val="left" w:pos="1559"/>
          <w:tab w:val="left" w:pos="2268"/>
          <w:tab w:val="left" w:leader="dot" w:pos="7654"/>
          <w:tab w:val="right" w:pos="8929"/>
          <w:tab w:val="right" w:pos="9638"/>
        </w:tabs>
        <w:spacing w:after="120"/>
        <w:ind w:left="2268" w:hanging="2268"/>
      </w:pPr>
      <w:r>
        <w:tab/>
      </w:r>
      <w:r>
        <w:tab/>
        <w:t>22/CP.23</w:t>
      </w:r>
      <w:r>
        <w:tab/>
        <w:t>Dates and venues of future sessions</w:t>
      </w:r>
      <w:r>
        <w:tab/>
      </w:r>
      <w:r>
        <w:tab/>
      </w:r>
      <w:r w:rsidR="00A93644">
        <w:t>2</w:t>
      </w:r>
      <w:r w:rsidR="001F6126">
        <w:t>6</w:t>
      </w:r>
    </w:p>
    <w:p w14:paraId="6D1D99FA" w14:textId="77777777" w:rsidR="0004656A" w:rsidRDefault="0004656A" w:rsidP="0004656A">
      <w:pPr>
        <w:tabs>
          <w:tab w:val="right" w:pos="8929"/>
          <w:tab w:val="right" w:pos="9638"/>
        </w:tabs>
        <w:spacing w:before="60" w:after="120"/>
        <w:ind w:left="1134"/>
      </w:pPr>
      <w:r>
        <w:rPr>
          <w:i/>
          <w:sz w:val="18"/>
        </w:rPr>
        <w:t>Resolution</w:t>
      </w:r>
    </w:p>
    <w:p w14:paraId="23A8F552" w14:textId="22515EEF" w:rsidR="0004656A" w:rsidRDefault="0004656A" w:rsidP="0004656A">
      <w:pPr>
        <w:tabs>
          <w:tab w:val="right" w:pos="850"/>
          <w:tab w:val="left" w:pos="1134"/>
          <w:tab w:val="left" w:pos="1559"/>
          <w:tab w:val="left" w:pos="2268"/>
          <w:tab w:val="left" w:leader="dot" w:pos="7654"/>
          <w:tab w:val="right" w:pos="8929"/>
          <w:tab w:val="right" w:pos="9638"/>
        </w:tabs>
        <w:spacing w:after="120"/>
        <w:ind w:left="2268" w:hanging="2268"/>
      </w:pPr>
      <w:r>
        <w:tab/>
      </w:r>
      <w:r>
        <w:tab/>
        <w:t>1/CP.23</w:t>
      </w:r>
      <w:r>
        <w:tab/>
      </w:r>
      <w:r w:rsidRPr="0004656A">
        <w:t xml:space="preserve">Expression of gratitude to the Government of the Federal Republic </w:t>
      </w:r>
      <w:r>
        <w:br/>
      </w:r>
      <w:r w:rsidRPr="0004656A">
        <w:t>of Germany and the people of the city of Bonn</w:t>
      </w:r>
      <w:r>
        <w:tab/>
      </w:r>
      <w:r>
        <w:tab/>
      </w:r>
      <w:r w:rsidR="00A93644">
        <w:t>2</w:t>
      </w:r>
      <w:r w:rsidR="001F6126">
        <w:t>8</w:t>
      </w:r>
    </w:p>
    <w:p w14:paraId="23D81B0A" w14:textId="77777777" w:rsidR="00523FAB" w:rsidRDefault="00523FAB" w:rsidP="00477DA9">
      <w:pPr>
        <w:pStyle w:val="HChG"/>
      </w:pPr>
      <w:r>
        <w:br w:type="page"/>
      </w:r>
      <w:r>
        <w:lastRenderedPageBreak/>
        <w:tab/>
      </w:r>
      <w:r>
        <w:tab/>
        <w:t>Decision 13/CP.23</w:t>
      </w:r>
    </w:p>
    <w:p w14:paraId="349216B7" w14:textId="77777777" w:rsidR="00523FAB" w:rsidRPr="00955AD8" w:rsidRDefault="00523FAB" w:rsidP="000F209A">
      <w:pPr>
        <w:pStyle w:val="RegHChG"/>
        <w:numPr>
          <w:ilvl w:val="0"/>
          <w:numId w:val="0"/>
        </w:numPr>
        <w:ind w:left="1135" w:hanging="454"/>
      </w:pPr>
      <w:r w:rsidRPr="00955AD8">
        <w:t>Assessment of the technical examination processes on mitigation and adaptation</w:t>
      </w:r>
    </w:p>
    <w:p w14:paraId="637E3A47" w14:textId="77777777" w:rsidR="00523FAB" w:rsidRPr="00955AD8" w:rsidRDefault="00523FAB" w:rsidP="00523FAB">
      <w:pPr>
        <w:pStyle w:val="RegSingleTxtG"/>
        <w:numPr>
          <w:ilvl w:val="0"/>
          <w:numId w:val="0"/>
        </w:numPr>
        <w:ind w:left="1134"/>
      </w:pPr>
      <w:r>
        <w:tab/>
      </w:r>
      <w:r w:rsidRPr="00C86B53">
        <w:rPr>
          <w:i/>
        </w:rPr>
        <w:t>The Conference of the Parties</w:t>
      </w:r>
      <w:r w:rsidRPr="00955AD8">
        <w:t>,</w:t>
      </w:r>
    </w:p>
    <w:p w14:paraId="7C8EA0CA" w14:textId="77777777" w:rsidR="00523FAB" w:rsidRPr="00955AD8" w:rsidRDefault="00523FAB" w:rsidP="00523FAB">
      <w:pPr>
        <w:pStyle w:val="RegSingleTxtG"/>
        <w:numPr>
          <w:ilvl w:val="0"/>
          <w:numId w:val="0"/>
        </w:numPr>
        <w:ind w:left="1134"/>
      </w:pPr>
      <w:r>
        <w:tab/>
      </w:r>
      <w:r w:rsidRPr="004D3E2D">
        <w:rPr>
          <w:i/>
        </w:rPr>
        <w:t xml:space="preserve">Recalling </w:t>
      </w:r>
      <w:r w:rsidRPr="00955AD8">
        <w:t>its decision to conduct an assessment of the technical examination processes on mitigation and adaptation so as to improve their effectiveness,</w:t>
      </w:r>
      <w:r w:rsidRPr="00955AD8">
        <w:rPr>
          <w:sz w:val="18"/>
          <w:vertAlign w:val="superscript"/>
        </w:rPr>
        <w:footnoteReference w:id="2"/>
      </w:r>
    </w:p>
    <w:p w14:paraId="12F93812" w14:textId="77777777" w:rsidR="00523FAB" w:rsidRPr="00955AD8" w:rsidRDefault="00523FAB" w:rsidP="00523FAB">
      <w:pPr>
        <w:pStyle w:val="RegSingleTxtG"/>
        <w:numPr>
          <w:ilvl w:val="0"/>
          <w:numId w:val="0"/>
        </w:numPr>
        <w:ind w:left="1134"/>
      </w:pPr>
      <w:r>
        <w:tab/>
      </w:r>
      <w:r w:rsidRPr="004D3E2D">
        <w:rPr>
          <w:i/>
        </w:rPr>
        <w:t>Expressing its appreciation</w:t>
      </w:r>
      <w:r w:rsidRPr="00955AD8">
        <w:t xml:space="preserve"> to the Chairs of the subsidiary bodies, the high-level champions, the Adaptation Committee, the Technology Executive Committee, Parties and non-Party stakeholders for the efforts undertaken and outputs produced so far in the implementation of the technical examination processes,</w:t>
      </w:r>
    </w:p>
    <w:p w14:paraId="7DE8D158" w14:textId="77777777" w:rsidR="00523FAB" w:rsidRPr="00955AD8" w:rsidRDefault="00523FAB" w:rsidP="00523FAB">
      <w:pPr>
        <w:pStyle w:val="RegSingleTxtG"/>
        <w:numPr>
          <w:ilvl w:val="0"/>
          <w:numId w:val="0"/>
        </w:numPr>
        <w:ind w:left="1134"/>
      </w:pPr>
      <w:r>
        <w:tab/>
      </w:r>
      <w:r w:rsidRPr="004D3E2D">
        <w:rPr>
          <w:i/>
        </w:rPr>
        <w:t>Having</w:t>
      </w:r>
      <w:r w:rsidRPr="00955AD8">
        <w:t xml:space="preserve"> conducted the assessment of the technical examination processes and considered ways of improving their effectiveness,</w:t>
      </w:r>
    </w:p>
    <w:p w14:paraId="67B40FC2" w14:textId="10A699BE" w:rsidR="00523FAB" w:rsidRPr="006D5A17" w:rsidRDefault="000F209A" w:rsidP="000F209A">
      <w:pPr>
        <w:pStyle w:val="RegSingleTxtG"/>
        <w:numPr>
          <w:ilvl w:val="0"/>
          <w:numId w:val="0"/>
        </w:numPr>
        <w:ind w:left="1134"/>
      </w:pPr>
      <w:r w:rsidRPr="006D5A17">
        <w:t>1.</w:t>
      </w:r>
      <w:r w:rsidRPr="006D5A17">
        <w:tab/>
      </w:r>
      <w:r w:rsidR="00523FAB" w:rsidRPr="006D5A17">
        <w:rPr>
          <w:i/>
        </w:rPr>
        <w:t>Stresses</w:t>
      </w:r>
      <w:r w:rsidR="00523FAB" w:rsidRPr="006D5A17">
        <w:t xml:space="preserve"> the urgency of improving the technical examination processes, as outlined in decision 1/CP.21, including to better integrate them with the Marrakech Partnership for Global Climate Action;</w:t>
      </w:r>
    </w:p>
    <w:p w14:paraId="01CD69CF" w14:textId="0053245C" w:rsidR="00523FAB" w:rsidRPr="006D5A17" w:rsidRDefault="000F209A" w:rsidP="000F209A">
      <w:pPr>
        <w:pStyle w:val="RegSingleTxtG"/>
        <w:numPr>
          <w:ilvl w:val="0"/>
          <w:numId w:val="0"/>
        </w:numPr>
        <w:ind w:left="1134"/>
      </w:pPr>
      <w:r w:rsidRPr="006D5A17">
        <w:t>2.</w:t>
      </w:r>
      <w:r w:rsidRPr="006D5A17">
        <w:tab/>
      </w:r>
      <w:r w:rsidR="00523FAB" w:rsidRPr="006D5A17">
        <w:rPr>
          <w:i/>
        </w:rPr>
        <w:t>Strongly urges</w:t>
      </w:r>
      <w:r w:rsidR="00523FAB" w:rsidRPr="006D5A17">
        <w:t xml:space="preserve"> the Chairs of the subsidiary bodies, the high-level champions,</w:t>
      </w:r>
      <w:r w:rsidR="00523FAB" w:rsidRPr="006D5A17">
        <w:rPr>
          <w:sz w:val="18"/>
          <w:vertAlign w:val="superscript"/>
        </w:rPr>
        <w:footnoteReference w:id="3"/>
      </w:r>
      <w:r w:rsidR="00523FAB" w:rsidRPr="006D5A17">
        <w:t xml:space="preserve"> the Adaptation Committee, the Technology Executive Committee and the Climate Technology Centre and Network to focus the technical examination processes on specific policy options and opportunities for enhancing mitigation and adaptation that are actionable in the short term, including those with sustainable development co-benefits;</w:t>
      </w:r>
    </w:p>
    <w:p w14:paraId="6064192A" w14:textId="12CDE83D" w:rsidR="00523FAB" w:rsidRPr="006D5A17" w:rsidRDefault="000F209A" w:rsidP="000F209A">
      <w:pPr>
        <w:pStyle w:val="RegSingleTxtG"/>
        <w:numPr>
          <w:ilvl w:val="0"/>
          <w:numId w:val="0"/>
        </w:numPr>
        <w:ind w:left="1134"/>
      </w:pPr>
      <w:r w:rsidRPr="006D5A17">
        <w:t>3.</w:t>
      </w:r>
      <w:r w:rsidRPr="006D5A17">
        <w:tab/>
      </w:r>
      <w:r w:rsidR="00523FAB">
        <w:rPr>
          <w:i/>
        </w:rPr>
        <w:t>Also s</w:t>
      </w:r>
      <w:r w:rsidR="00523FAB" w:rsidRPr="003062B3">
        <w:rPr>
          <w:i/>
        </w:rPr>
        <w:t>trongly urges</w:t>
      </w:r>
      <w:r w:rsidR="00523FAB" w:rsidRPr="00955AD8">
        <w:t xml:space="preserve"> </w:t>
      </w:r>
      <w:r w:rsidR="00523FAB" w:rsidRPr="006D5A17">
        <w:t>the high-level champions to identify, by 12 January 2018, in consultation with the Technology Executive Committee and the Climate Technology Centre and Network, topics for the technical examination process on mitigation for the period until 2020;</w:t>
      </w:r>
    </w:p>
    <w:p w14:paraId="7B265392" w14:textId="1FD6E9A3" w:rsidR="00523FAB" w:rsidRPr="00955AD8" w:rsidRDefault="000F209A" w:rsidP="000F209A">
      <w:pPr>
        <w:pStyle w:val="RegSingleTxtG"/>
        <w:numPr>
          <w:ilvl w:val="0"/>
          <w:numId w:val="0"/>
        </w:numPr>
        <w:ind w:left="1134"/>
      </w:pPr>
      <w:r w:rsidRPr="00955AD8">
        <w:t>4.</w:t>
      </w:r>
      <w:r w:rsidRPr="00955AD8">
        <w:tab/>
      </w:r>
      <w:r w:rsidR="00523FAB" w:rsidRPr="003062B3">
        <w:rPr>
          <w:i/>
        </w:rPr>
        <w:t>Requests</w:t>
      </w:r>
      <w:r w:rsidR="00523FAB" w:rsidRPr="00955AD8">
        <w:t xml:space="preserve"> the Technology Executive Committee and the Climate Technology Centre and Network to include in their joint annual report to the Conference of the Parties, having consulted with the high-level champions thereon, recommendations for Parties and other organizations on ways forward and necessary actions to be taken based on the outcomes of the technical expert meetings;</w:t>
      </w:r>
      <w:r w:rsidR="00523FAB" w:rsidRPr="00955AD8">
        <w:rPr>
          <w:sz w:val="18"/>
          <w:vertAlign w:val="superscript"/>
        </w:rPr>
        <w:footnoteReference w:id="4"/>
      </w:r>
    </w:p>
    <w:p w14:paraId="0AE8427B" w14:textId="02D0D062" w:rsidR="00523FAB" w:rsidRPr="00955AD8" w:rsidRDefault="000F209A" w:rsidP="000F209A">
      <w:pPr>
        <w:pStyle w:val="RegSingleTxtG"/>
        <w:numPr>
          <w:ilvl w:val="0"/>
          <w:numId w:val="0"/>
        </w:numPr>
        <w:ind w:left="1134"/>
      </w:pPr>
      <w:r w:rsidRPr="00955AD8">
        <w:t>5.</w:t>
      </w:r>
      <w:r w:rsidRPr="00955AD8">
        <w:tab/>
      </w:r>
      <w:r w:rsidR="00523FAB">
        <w:rPr>
          <w:i/>
        </w:rPr>
        <w:t>Also r</w:t>
      </w:r>
      <w:r w:rsidR="00523FAB" w:rsidRPr="003062B3">
        <w:rPr>
          <w:i/>
        </w:rPr>
        <w:t>equests</w:t>
      </w:r>
      <w:r w:rsidR="00523FAB" w:rsidRPr="00955AD8">
        <w:t xml:space="preserve"> </w:t>
      </w:r>
      <w:r w:rsidR="00523FAB" w:rsidRPr="00996F4C">
        <w:t>the</w:t>
      </w:r>
      <w:r w:rsidR="00523FAB" w:rsidRPr="00955AD8">
        <w:t xml:space="preserve"> Adaptation Committee, in conducting the technical examination process on adaptation, to consider the needs of Parties expressed in their nationally determined contributions, national adaptation plans and national communications, to address all four functions of the technical examination process on adaptation,</w:t>
      </w:r>
      <w:r w:rsidR="00523FAB" w:rsidRPr="00955AD8">
        <w:rPr>
          <w:sz w:val="18"/>
          <w:vertAlign w:val="superscript"/>
        </w:rPr>
        <w:footnoteReference w:id="5"/>
      </w:r>
      <w:r w:rsidR="00523FAB" w:rsidRPr="00955AD8">
        <w:t xml:space="preserve"> and to include in its annual report to the Conference of the Parties recommendations for respective processes and </w:t>
      </w:r>
      <w:r w:rsidR="00523FAB" w:rsidRPr="00E3246D">
        <w:t>for</w:t>
      </w:r>
      <w:r w:rsidR="00523FAB">
        <w:t xml:space="preserve"> </w:t>
      </w:r>
      <w:r w:rsidR="00523FAB" w:rsidRPr="00955AD8">
        <w:t>constituted bodies under the Convention, Parties and other organizations on ways forward and necessary actions to be taken based on the outcomes of the technical expert meetings;</w:t>
      </w:r>
    </w:p>
    <w:p w14:paraId="5DB4A959" w14:textId="11E11434" w:rsidR="00523FAB" w:rsidRPr="00955AD8" w:rsidRDefault="000F209A" w:rsidP="000F209A">
      <w:pPr>
        <w:pStyle w:val="RegSingleTxtG"/>
        <w:numPr>
          <w:ilvl w:val="0"/>
          <w:numId w:val="0"/>
        </w:numPr>
        <w:ind w:left="1134"/>
      </w:pPr>
      <w:r w:rsidRPr="00955AD8">
        <w:t>6.</w:t>
      </w:r>
      <w:r w:rsidRPr="00955AD8">
        <w:tab/>
      </w:r>
      <w:r w:rsidR="00523FAB" w:rsidRPr="003062B3">
        <w:rPr>
          <w:i/>
        </w:rPr>
        <w:t>Invites</w:t>
      </w:r>
      <w:r w:rsidR="00523FAB" w:rsidRPr="00955AD8">
        <w:t xml:space="preserve"> expert organizations, constituted bodies under the Convention and non-Party stakeholders to enhance their engagement in the technical examination processes;</w:t>
      </w:r>
    </w:p>
    <w:p w14:paraId="76D196BE" w14:textId="36D7DA5E" w:rsidR="00523FAB" w:rsidRPr="00955AD8" w:rsidRDefault="000F209A" w:rsidP="000F209A">
      <w:pPr>
        <w:pStyle w:val="RegSingleTxtG"/>
        <w:numPr>
          <w:ilvl w:val="0"/>
          <w:numId w:val="0"/>
        </w:numPr>
        <w:ind w:left="1134"/>
      </w:pPr>
      <w:r w:rsidRPr="00955AD8">
        <w:t>7.</w:t>
      </w:r>
      <w:r w:rsidRPr="00955AD8">
        <w:tab/>
      </w:r>
      <w:r w:rsidR="00523FAB" w:rsidRPr="003062B3">
        <w:rPr>
          <w:i/>
        </w:rPr>
        <w:t>Also invites</w:t>
      </w:r>
      <w:r w:rsidR="00523FAB" w:rsidRPr="00955AD8">
        <w:t xml:space="preserve"> expert organizations to volunteer, through the secretariat, to lead the organization of relevant technical expert meetings;</w:t>
      </w:r>
    </w:p>
    <w:p w14:paraId="6190E7F0" w14:textId="47197630" w:rsidR="00523FAB" w:rsidRPr="00955AD8" w:rsidRDefault="000F209A" w:rsidP="000F209A">
      <w:pPr>
        <w:pStyle w:val="RegSingleTxtG"/>
        <w:numPr>
          <w:ilvl w:val="0"/>
          <w:numId w:val="0"/>
        </w:numPr>
        <w:ind w:left="1134"/>
      </w:pPr>
      <w:r w:rsidRPr="00955AD8">
        <w:t>8.</w:t>
      </w:r>
      <w:r w:rsidRPr="00955AD8">
        <w:tab/>
      </w:r>
      <w:r w:rsidR="00523FAB" w:rsidRPr="003062B3">
        <w:rPr>
          <w:i/>
        </w:rPr>
        <w:t>Further invites</w:t>
      </w:r>
      <w:r w:rsidR="00523FAB" w:rsidRPr="00955AD8">
        <w:t xml:space="preserve"> the lead expert organizations and </w:t>
      </w:r>
      <w:r w:rsidR="00523FAB" w:rsidRPr="00F20F00">
        <w:rPr>
          <w:i/>
        </w:rPr>
        <w:t>requests</w:t>
      </w:r>
      <w:r w:rsidR="00523FAB" w:rsidRPr="00955AD8">
        <w:t xml:space="preserve"> the secretariat, as appropriate, in organizing the technical expert meetings:</w:t>
      </w:r>
    </w:p>
    <w:p w14:paraId="0F1ED834" w14:textId="77777777" w:rsidR="00523FAB" w:rsidRPr="006D5A17" w:rsidRDefault="00523FAB" w:rsidP="00523FAB">
      <w:pPr>
        <w:tabs>
          <w:tab w:val="left" w:pos="1701"/>
        </w:tabs>
        <w:spacing w:after="120"/>
        <w:ind w:left="1134" w:right="1134"/>
        <w:jc w:val="both"/>
      </w:pPr>
      <w:r>
        <w:lastRenderedPageBreak/>
        <w:tab/>
        <w:t>(a)</w:t>
      </w:r>
      <w:r>
        <w:tab/>
      </w:r>
      <w:r w:rsidRPr="00955AD8">
        <w:t xml:space="preserve">To make the technical expert meetings more interactive, including by means of round tables, </w:t>
      </w:r>
      <w:r w:rsidRPr="006D5A17">
        <w:t>thematic dialogues and virtual participation;</w:t>
      </w:r>
    </w:p>
    <w:p w14:paraId="2D58F997" w14:textId="77777777" w:rsidR="00523FAB" w:rsidRPr="006D5A17" w:rsidRDefault="00523FAB" w:rsidP="00523FAB">
      <w:pPr>
        <w:tabs>
          <w:tab w:val="left" w:pos="1701"/>
        </w:tabs>
        <w:spacing w:after="120"/>
        <w:ind w:left="1135" w:right="1134" w:hanging="284"/>
        <w:jc w:val="both"/>
      </w:pPr>
      <w:r w:rsidRPr="006D5A17">
        <w:tab/>
      </w:r>
      <w:r w:rsidRPr="006D5A17">
        <w:tab/>
        <w:t>(b)</w:t>
      </w:r>
      <w:r w:rsidRPr="006D5A17">
        <w:tab/>
        <w:t>To make the agenda and guiding questions for the technical expert meetings available well in advance thereof;</w:t>
      </w:r>
    </w:p>
    <w:p w14:paraId="496BE042" w14:textId="77777777" w:rsidR="00523FAB" w:rsidRPr="00633A8D" w:rsidRDefault="00523FAB" w:rsidP="00523FAB">
      <w:pPr>
        <w:tabs>
          <w:tab w:val="left" w:pos="1701"/>
        </w:tabs>
        <w:spacing w:after="120"/>
        <w:ind w:left="1134" w:right="1134" w:hanging="1134"/>
        <w:jc w:val="both"/>
      </w:pPr>
      <w:r w:rsidRPr="006D5A17">
        <w:tab/>
      </w:r>
      <w:r w:rsidRPr="006D5A17">
        <w:tab/>
        <w:t>(c)</w:t>
      </w:r>
      <w:r w:rsidRPr="006D5A17">
        <w:tab/>
        <w:t>To conclude the technical expert meetings with a session on proposing ways forward and necessary actions in relation to the identified policy options and opportunities referred to in paragraph 2 above for inclusion in the technical papers</w:t>
      </w:r>
      <w:r w:rsidRPr="006D5A17">
        <w:rPr>
          <w:sz w:val="18"/>
          <w:vertAlign w:val="superscript"/>
        </w:rPr>
        <w:footnoteReference w:id="6"/>
      </w:r>
      <w:r w:rsidRPr="006D5A17">
        <w:t xml:space="preserve"> and subsequent summaries for policymakers;</w:t>
      </w:r>
      <w:r w:rsidRPr="006D5A17">
        <w:rPr>
          <w:sz w:val="18"/>
          <w:vertAlign w:val="superscript"/>
        </w:rPr>
        <w:footnoteReference w:id="7"/>
      </w:r>
      <w:r w:rsidRPr="00633A8D">
        <w:t xml:space="preserve"> </w:t>
      </w:r>
    </w:p>
    <w:p w14:paraId="58D9704E" w14:textId="4838D392" w:rsidR="00523FAB" w:rsidRPr="00955AD8" w:rsidRDefault="000F209A" w:rsidP="000F209A">
      <w:pPr>
        <w:pStyle w:val="RegSingleTxtG"/>
        <w:numPr>
          <w:ilvl w:val="0"/>
          <w:numId w:val="0"/>
        </w:numPr>
        <w:ind w:left="1134"/>
      </w:pPr>
      <w:r w:rsidRPr="00955AD8">
        <w:t>9.</w:t>
      </w:r>
      <w:r w:rsidRPr="00955AD8">
        <w:tab/>
      </w:r>
      <w:r w:rsidR="00523FAB" w:rsidRPr="00633A8D">
        <w:rPr>
          <w:i/>
        </w:rPr>
        <w:t>Invites</w:t>
      </w:r>
      <w:r w:rsidR="00523FAB" w:rsidRPr="00633A8D">
        <w:t xml:space="preserve"> </w:t>
      </w:r>
      <w:r w:rsidR="00523FAB" w:rsidRPr="006D5A17">
        <w:t>Parties and non-Party stakeholders to organize</w:t>
      </w:r>
      <w:r w:rsidR="00523FAB" w:rsidRPr="00955AD8">
        <w:t xml:space="preserve"> regional technical expert meetings, building on existing regional climate action events, as appropriate, with a view to examining specific finance, technology and capacity-building resources necessary to scale up actions in regional contexts, including through regional mitigation and adaptation initiatives, and to provide their reports thereon to the secretariat as input to the technical examination processes; </w:t>
      </w:r>
    </w:p>
    <w:p w14:paraId="28B64F02" w14:textId="024911B4" w:rsidR="00523FAB" w:rsidRPr="006D5A17" w:rsidRDefault="000F209A" w:rsidP="000F209A">
      <w:pPr>
        <w:pStyle w:val="RegSingleTxtG"/>
        <w:numPr>
          <w:ilvl w:val="0"/>
          <w:numId w:val="0"/>
        </w:numPr>
        <w:ind w:left="1134"/>
      </w:pPr>
      <w:r w:rsidRPr="006D5A17">
        <w:t>10.</w:t>
      </w:r>
      <w:r w:rsidRPr="006D5A17">
        <w:tab/>
      </w:r>
      <w:r w:rsidR="00523FAB" w:rsidRPr="00955AD8">
        <w:rPr>
          <w:i/>
        </w:rPr>
        <w:t>Strongly</w:t>
      </w:r>
      <w:r w:rsidR="00523FAB" w:rsidRPr="00955AD8">
        <w:t xml:space="preserve"> </w:t>
      </w:r>
      <w:r w:rsidR="00523FAB" w:rsidRPr="006D5A17">
        <w:rPr>
          <w:i/>
        </w:rPr>
        <w:t>urges</w:t>
      </w:r>
      <w:r w:rsidR="00523FAB" w:rsidRPr="006D5A17">
        <w:t xml:space="preserve"> the Chairs of the subsidiary bodies, the high-level champions</w:t>
      </w:r>
      <w:r w:rsidR="00F90968">
        <w:t>,</w:t>
      </w:r>
      <w:r w:rsidR="00523FAB" w:rsidRPr="006D5A17">
        <w:t xml:space="preserve"> the Adaptation Committee, the Technology Executive Committee and the Climate Technology Centre and Network to ensure the necessary continuity of and follow-up on the identified policy options and opportunities referred to in paragraph 2 above, including by informing the summaries for policymakers,</w:t>
      </w:r>
      <w:r w:rsidR="00523FAB" w:rsidRPr="006D5A17">
        <w:rPr>
          <w:rStyle w:val="FootnoteReference"/>
        </w:rPr>
        <w:footnoteReference w:id="8"/>
      </w:r>
      <w:r w:rsidR="00523FAB" w:rsidRPr="006D5A17">
        <w:t xml:space="preserve"> the high-level events</w:t>
      </w:r>
      <w:r w:rsidR="00523FAB" w:rsidRPr="006D5A17">
        <w:rPr>
          <w:sz w:val="18"/>
          <w:vertAlign w:val="superscript"/>
        </w:rPr>
        <w:footnoteReference w:id="9"/>
      </w:r>
      <w:r w:rsidR="00523FAB" w:rsidRPr="006D5A17">
        <w:t xml:space="preserve"> and the </w:t>
      </w:r>
      <w:r w:rsidR="00F649B7">
        <w:t>Talanoa</w:t>
      </w:r>
      <w:r w:rsidR="00523FAB" w:rsidRPr="006D5A17">
        <w:t xml:space="preserve"> dialogue;</w:t>
      </w:r>
    </w:p>
    <w:p w14:paraId="23259EED" w14:textId="244EE8E3" w:rsidR="00523FAB" w:rsidRDefault="000F209A" w:rsidP="000F209A">
      <w:pPr>
        <w:pStyle w:val="RegSingleTxtG"/>
        <w:numPr>
          <w:ilvl w:val="0"/>
          <w:numId w:val="0"/>
        </w:numPr>
        <w:ind w:left="1134"/>
      </w:pPr>
      <w:r>
        <w:t>11.</w:t>
      </w:r>
      <w:r>
        <w:tab/>
      </w:r>
      <w:r w:rsidR="00523FAB" w:rsidRPr="006D5A17">
        <w:rPr>
          <w:i/>
        </w:rPr>
        <w:t>Invites</w:t>
      </w:r>
      <w:r w:rsidR="00523FAB" w:rsidRPr="006D5A17">
        <w:t xml:space="preserve"> Parties and non-Party stakeholders to share experience on actions taken and pledges made towards addressing the recommendations referred to in paragraphs 4 and 5 above as input to the relevant technical papers, summaries for</w:t>
      </w:r>
      <w:r w:rsidR="00523FAB" w:rsidRPr="00955AD8">
        <w:t xml:space="preserve"> policymakers and high-level events.</w:t>
      </w:r>
    </w:p>
    <w:p w14:paraId="754EA8E2" w14:textId="443B2DA8" w:rsidR="00523FAB" w:rsidRPr="00CC4174" w:rsidRDefault="001B336E" w:rsidP="00523FAB">
      <w:pPr>
        <w:pStyle w:val="RegSingleTxtG"/>
        <w:numPr>
          <w:ilvl w:val="0"/>
          <w:numId w:val="0"/>
        </w:numPr>
        <w:suppressAutoHyphens w:val="0"/>
        <w:autoSpaceDE w:val="0"/>
        <w:autoSpaceDN w:val="0"/>
        <w:adjustRightInd w:val="0"/>
        <w:spacing w:after="0" w:line="240" w:lineRule="auto"/>
        <w:ind w:left="1494" w:right="-1"/>
        <w:jc w:val="right"/>
        <w:rPr>
          <w:i/>
          <w:lang w:eastAsia="en-US"/>
        </w:rPr>
      </w:pPr>
      <w:r w:rsidRPr="001B336E">
        <w:rPr>
          <w:i/>
          <w:lang w:eastAsia="en-US"/>
        </w:rPr>
        <w:t>12</w:t>
      </w:r>
      <w:r w:rsidR="00523FAB" w:rsidRPr="001B336E">
        <w:rPr>
          <w:i/>
          <w:vertAlign w:val="superscript"/>
          <w:lang w:eastAsia="en-US"/>
        </w:rPr>
        <w:t>th</w:t>
      </w:r>
      <w:r w:rsidR="00523FAB" w:rsidRPr="001B336E">
        <w:rPr>
          <w:i/>
          <w:lang w:eastAsia="en-US"/>
        </w:rPr>
        <w:t xml:space="preserve"> plenary meeting</w:t>
      </w:r>
    </w:p>
    <w:p w14:paraId="4356D62A" w14:textId="77777777" w:rsidR="004D2A4F" w:rsidRDefault="00523FAB" w:rsidP="00523FAB">
      <w:pPr>
        <w:pStyle w:val="RegSingleTxtG"/>
        <w:numPr>
          <w:ilvl w:val="0"/>
          <w:numId w:val="0"/>
        </w:numPr>
        <w:suppressAutoHyphens w:val="0"/>
        <w:autoSpaceDE w:val="0"/>
        <w:autoSpaceDN w:val="0"/>
        <w:adjustRightInd w:val="0"/>
        <w:spacing w:after="0" w:line="240" w:lineRule="auto"/>
        <w:ind w:left="1494" w:right="-1"/>
        <w:jc w:val="right"/>
        <w:rPr>
          <w:i/>
          <w:lang w:eastAsia="en-US"/>
        </w:rPr>
        <w:sectPr w:rsidR="004D2A4F" w:rsidSect="001F6126">
          <w:headerReference w:type="even" r:id="rId13"/>
          <w:headerReference w:type="default" r:id="rId14"/>
          <w:footerReference w:type="even" r:id="rId15"/>
          <w:footerReference w:type="default" r:id="rId16"/>
          <w:footnotePr>
            <w:numRestart w:val="eachSect"/>
          </w:footnotePr>
          <w:pgSz w:w="11906" w:h="16838" w:code="9"/>
          <w:pgMar w:top="1418" w:right="1134" w:bottom="1134" w:left="1134" w:header="851" w:footer="567" w:gutter="0"/>
          <w:cols w:space="708"/>
          <w:titlePg/>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7562DB00" w14:textId="77777777" w:rsidR="00523FAB" w:rsidRPr="00CC4174" w:rsidRDefault="004D2A4F" w:rsidP="004D2A4F">
      <w:pPr>
        <w:pStyle w:val="HChG"/>
        <w:rPr>
          <w:lang w:eastAsia="en-US"/>
        </w:rPr>
      </w:pPr>
      <w:r>
        <w:rPr>
          <w:lang w:eastAsia="en-US"/>
        </w:rPr>
        <w:lastRenderedPageBreak/>
        <w:tab/>
      </w:r>
      <w:r>
        <w:rPr>
          <w:lang w:eastAsia="en-US"/>
        </w:rPr>
        <w:tab/>
        <w:t>Decision 14/CP.23</w:t>
      </w:r>
    </w:p>
    <w:p w14:paraId="6C7895B8" w14:textId="77777777" w:rsidR="004D2A4F" w:rsidRDefault="004D2A4F" w:rsidP="004D2A4F">
      <w:pPr>
        <w:pStyle w:val="HChG"/>
      </w:pPr>
      <w:r>
        <w:tab/>
      </w:r>
      <w:r>
        <w:tab/>
        <w:t>Review of the effective implementation of the Climate Technology Centre and Network</w:t>
      </w:r>
    </w:p>
    <w:p w14:paraId="6914A475" w14:textId="77777777" w:rsidR="004D2A4F" w:rsidRPr="000754FC" w:rsidRDefault="004D2A4F" w:rsidP="004D2A4F">
      <w:pPr>
        <w:spacing w:before="120"/>
        <w:ind w:left="1134" w:right="1174" w:firstLine="567"/>
        <w:rPr>
          <w:i/>
        </w:rPr>
      </w:pPr>
      <w:r w:rsidRPr="000754FC">
        <w:rPr>
          <w:i/>
        </w:rPr>
        <w:t>The Conference of the Parties</w:t>
      </w:r>
      <w:r w:rsidRPr="00AF0F3C">
        <w:t>,</w:t>
      </w:r>
    </w:p>
    <w:p w14:paraId="57F61D01" w14:textId="77777777" w:rsidR="004D2A4F" w:rsidRDefault="004D2A4F" w:rsidP="004D2A4F">
      <w:pPr>
        <w:spacing w:before="120"/>
        <w:ind w:left="1134" w:right="1174" w:firstLine="567"/>
      </w:pPr>
      <w:r w:rsidRPr="000754FC">
        <w:rPr>
          <w:i/>
        </w:rPr>
        <w:t>Recalling</w:t>
      </w:r>
      <w:r>
        <w:t xml:space="preserve"> decisions 1/CP.16, 2/CP.17, 1/CP.18 and 14/CP.18,</w:t>
      </w:r>
    </w:p>
    <w:p w14:paraId="17C39CE9" w14:textId="338F8786" w:rsidR="004D2A4F" w:rsidRPr="00C85EE4" w:rsidRDefault="000F209A" w:rsidP="000F209A">
      <w:pPr>
        <w:pStyle w:val="RegSingleTxtG"/>
        <w:numPr>
          <w:ilvl w:val="0"/>
          <w:numId w:val="0"/>
        </w:numPr>
        <w:spacing w:before="120"/>
        <w:ind w:left="1134"/>
        <w:rPr>
          <w:i/>
        </w:rPr>
      </w:pPr>
      <w:r w:rsidRPr="00C85EE4">
        <w:t>1.</w:t>
      </w:r>
      <w:r w:rsidRPr="00C85EE4">
        <w:tab/>
      </w:r>
      <w:r w:rsidR="004D2A4F" w:rsidRPr="00C85EE4">
        <w:rPr>
          <w:i/>
        </w:rPr>
        <w:t xml:space="preserve">Welcomes </w:t>
      </w:r>
      <w:r w:rsidR="004D2A4F" w:rsidRPr="00BF2CC6">
        <w:t>the report on the independent</w:t>
      </w:r>
      <w:r w:rsidR="004D2A4F" w:rsidRPr="00C85EE4">
        <w:t xml:space="preserve"> review of the effective implementation of the Climate Technology Centre and Network (hereinafter referred to as the independent review)</w:t>
      </w:r>
      <w:r w:rsidR="004D2A4F">
        <w:rPr>
          <w:rStyle w:val="FootnoteReference"/>
        </w:rPr>
        <w:footnoteReference w:id="10"/>
      </w:r>
      <w:r w:rsidR="004D2A4F" w:rsidRPr="00C85EE4">
        <w:t xml:space="preserve"> commissioned by the secretariat in response to decision 2/CP.17, annex VII, paragraph 20;</w:t>
      </w:r>
    </w:p>
    <w:p w14:paraId="06C973F3" w14:textId="234BF1FF" w:rsidR="004D2A4F" w:rsidRPr="00C85EE4" w:rsidRDefault="000F209A" w:rsidP="000F209A">
      <w:pPr>
        <w:pStyle w:val="RegSingleTxtG"/>
        <w:numPr>
          <w:ilvl w:val="0"/>
          <w:numId w:val="0"/>
        </w:numPr>
        <w:tabs>
          <w:tab w:val="left" w:pos="568"/>
        </w:tabs>
        <w:spacing w:before="120"/>
        <w:ind w:left="1134"/>
      </w:pPr>
      <w:r w:rsidRPr="00C85EE4">
        <w:t>2.</w:t>
      </w:r>
      <w:r w:rsidRPr="00C85EE4">
        <w:tab/>
      </w:r>
      <w:r w:rsidR="004D2A4F" w:rsidRPr="00C85EE4">
        <w:rPr>
          <w:i/>
        </w:rPr>
        <w:t>Welcomes with appreciation</w:t>
      </w:r>
      <w:r w:rsidR="004D2A4F" w:rsidRPr="00C85EE4">
        <w:t xml:space="preserve"> the support provided by Parties</w:t>
      </w:r>
      <w:r w:rsidR="004D2A4F">
        <w:rPr>
          <w:rStyle w:val="FootnoteReference"/>
        </w:rPr>
        <w:footnoteReference w:id="11"/>
      </w:r>
      <w:r w:rsidR="004D2A4F" w:rsidRPr="00C85EE4">
        <w:t xml:space="preserve"> and the Global Environment Facility, and the financial and in-kind contributions from the United Nations Environment Programme, the United Nations Industrial Development Organization and </w:t>
      </w:r>
      <w:r w:rsidR="004D2A4F">
        <w:t>other</w:t>
      </w:r>
      <w:r w:rsidR="004D2A4F" w:rsidRPr="00C85EE4">
        <w:t xml:space="preserve"> consortium partners of the Climate Technology Centre and Network in supporting the </w:t>
      </w:r>
      <w:r w:rsidR="004D2A4F">
        <w:rPr>
          <w:rStyle w:val="highlight"/>
        </w:rPr>
        <w:t>operationalization</w:t>
      </w:r>
      <w:r w:rsidR="004D2A4F">
        <w:t xml:space="preserve"> and activities </w:t>
      </w:r>
      <w:r w:rsidR="004D2A4F" w:rsidRPr="00C85EE4">
        <w:t>of the Climate Technology Centre and Network;</w:t>
      </w:r>
    </w:p>
    <w:p w14:paraId="22E88033" w14:textId="493F7A84" w:rsidR="004D2A4F" w:rsidRPr="00C85EE4" w:rsidRDefault="000F209A" w:rsidP="000F209A">
      <w:pPr>
        <w:pStyle w:val="RegSingleTxtG"/>
        <w:numPr>
          <w:ilvl w:val="0"/>
          <w:numId w:val="0"/>
        </w:numPr>
        <w:tabs>
          <w:tab w:val="left" w:pos="568"/>
        </w:tabs>
        <w:spacing w:before="120"/>
        <w:ind w:left="1134"/>
      </w:pPr>
      <w:r w:rsidRPr="00C85EE4">
        <w:t>3.</w:t>
      </w:r>
      <w:r w:rsidRPr="00C85EE4">
        <w:tab/>
      </w:r>
      <w:r w:rsidR="004D2A4F" w:rsidRPr="00C85EE4">
        <w:rPr>
          <w:i/>
        </w:rPr>
        <w:t xml:space="preserve">Notes </w:t>
      </w:r>
      <w:r w:rsidR="004D2A4F" w:rsidRPr="00C85EE4">
        <w:t>the key findings of the independent review regarding the relevance, effectiveness, efficiency, impact and sustainability of the services provided by the Climate Technology Centre and Network, as contained in the report referred to in paragraph 1 above;</w:t>
      </w:r>
      <w:r w:rsidR="004D2A4F">
        <w:rPr>
          <w:rStyle w:val="FootnoteReference"/>
        </w:rPr>
        <w:footnoteReference w:id="12"/>
      </w:r>
    </w:p>
    <w:p w14:paraId="07C0D6B1" w14:textId="67231DEA" w:rsidR="004D2A4F" w:rsidRPr="00C85EE4" w:rsidRDefault="000F209A" w:rsidP="000F209A">
      <w:pPr>
        <w:pStyle w:val="RegSingleTxtG"/>
        <w:numPr>
          <w:ilvl w:val="0"/>
          <w:numId w:val="0"/>
        </w:numPr>
        <w:tabs>
          <w:tab w:val="left" w:pos="568"/>
        </w:tabs>
        <w:spacing w:before="120"/>
        <w:ind w:left="1134"/>
      </w:pPr>
      <w:r w:rsidRPr="00C85EE4">
        <w:t>4.</w:t>
      </w:r>
      <w:r w:rsidRPr="00C85EE4">
        <w:tab/>
      </w:r>
      <w:r w:rsidR="004D2A4F">
        <w:rPr>
          <w:i/>
        </w:rPr>
        <w:t>Also n</w:t>
      </w:r>
      <w:r w:rsidR="004D2A4F" w:rsidRPr="00C85EE4">
        <w:rPr>
          <w:i/>
        </w:rPr>
        <w:t>otes</w:t>
      </w:r>
      <w:r w:rsidR="004D2A4F" w:rsidRPr="00C85EE4">
        <w:t xml:space="preserve"> the achievements and challenges regarding the effective implementation of the Climate Technology Centre and Network, as contained in the report referred to in paragraph 1 above;</w:t>
      </w:r>
      <w:r w:rsidR="004D2A4F">
        <w:rPr>
          <w:rStyle w:val="FootnoteReference"/>
        </w:rPr>
        <w:footnoteReference w:id="13"/>
      </w:r>
    </w:p>
    <w:p w14:paraId="68E4A35C" w14:textId="3A36E605" w:rsidR="004D2A4F" w:rsidRPr="00C85EE4" w:rsidRDefault="000F209A" w:rsidP="000F209A">
      <w:pPr>
        <w:pStyle w:val="RegSingleTxtG"/>
        <w:numPr>
          <w:ilvl w:val="0"/>
          <w:numId w:val="0"/>
        </w:numPr>
        <w:tabs>
          <w:tab w:val="left" w:pos="568"/>
        </w:tabs>
        <w:spacing w:before="120"/>
        <w:ind w:left="1134"/>
      </w:pPr>
      <w:r w:rsidRPr="00C85EE4">
        <w:t>5.</w:t>
      </w:r>
      <w:r w:rsidRPr="00C85EE4">
        <w:tab/>
      </w:r>
      <w:r w:rsidR="004D2A4F" w:rsidRPr="00C85EE4">
        <w:rPr>
          <w:i/>
        </w:rPr>
        <w:t>Decides</w:t>
      </w:r>
      <w:r w:rsidR="004D2A4F" w:rsidRPr="00C85EE4">
        <w:t xml:space="preserve"> to renew the memorandum of understanding between the Conference of the Parties and the United Nations Environment Programme regarding the hosting of the Climate Technology Centre, as contained in annex I to decision 14/CP.18, for a further four-year period, in accordance with decision 2/CP.17, annex VII, paragraph 22;</w:t>
      </w:r>
    </w:p>
    <w:p w14:paraId="265BF2D7" w14:textId="5BBE9A6B" w:rsidR="004D2A4F" w:rsidRPr="00C85EE4" w:rsidRDefault="000F209A" w:rsidP="000F209A">
      <w:pPr>
        <w:pStyle w:val="RegSingleTxtG"/>
        <w:numPr>
          <w:ilvl w:val="0"/>
          <w:numId w:val="0"/>
        </w:numPr>
        <w:tabs>
          <w:tab w:val="left" w:pos="568"/>
        </w:tabs>
        <w:spacing w:before="120"/>
        <w:ind w:left="1134"/>
      </w:pPr>
      <w:r w:rsidRPr="00C85EE4">
        <w:t>6.</w:t>
      </w:r>
      <w:r w:rsidRPr="00C85EE4">
        <w:tab/>
      </w:r>
      <w:r w:rsidR="004D2A4F" w:rsidRPr="00C85EE4">
        <w:rPr>
          <w:i/>
        </w:rPr>
        <w:t xml:space="preserve">Authorizes </w:t>
      </w:r>
      <w:r w:rsidR="004D2A4F" w:rsidRPr="00C85EE4">
        <w:t>the Executive Secretary to sign, on behalf of the Conference of the Parties, the memorandum of understanding referred to in paragraph 5 above;</w:t>
      </w:r>
    </w:p>
    <w:p w14:paraId="307FE398" w14:textId="4F250F09" w:rsidR="004D2A4F" w:rsidRPr="00F12B4D" w:rsidRDefault="000F209A" w:rsidP="000F209A">
      <w:pPr>
        <w:pStyle w:val="RegSingleTxtG"/>
        <w:numPr>
          <w:ilvl w:val="0"/>
          <w:numId w:val="0"/>
        </w:numPr>
        <w:tabs>
          <w:tab w:val="left" w:pos="568"/>
        </w:tabs>
        <w:spacing w:before="120"/>
        <w:ind w:left="1134"/>
      </w:pPr>
      <w:r w:rsidRPr="00F12B4D">
        <w:t>7.</w:t>
      </w:r>
      <w:r w:rsidRPr="00F12B4D">
        <w:tab/>
      </w:r>
      <w:r w:rsidR="004D2A4F" w:rsidRPr="00C713C8">
        <w:rPr>
          <w:i/>
        </w:rPr>
        <w:t>Invites</w:t>
      </w:r>
      <w:r w:rsidR="004D2A4F" w:rsidRPr="00C713C8">
        <w:t xml:space="preserve"> the United Nations Environment Programme, as the host of the Climate Technology Centre, with the support of the Climate Technology Centre and Network and in consultation with its </w:t>
      </w:r>
      <w:r w:rsidR="004D2A4F">
        <w:t>A</w:t>
      </w:r>
      <w:r w:rsidR="004D2A4F" w:rsidRPr="00C713C8">
        <w:t xml:space="preserve">dvisory </w:t>
      </w:r>
      <w:r w:rsidR="004D2A4F">
        <w:t>B</w:t>
      </w:r>
      <w:r w:rsidR="004D2A4F" w:rsidRPr="00C713C8">
        <w:t>oard, and within their respective functions and mandates,</w:t>
      </w:r>
      <w:r w:rsidR="004D2A4F">
        <w:rPr>
          <w:rStyle w:val="FootnoteReference"/>
        </w:rPr>
        <w:footnoteReference w:id="14"/>
      </w:r>
      <w:r w:rsidR="004D2A4F" w:rsidRPr="00C713C8">
        <w:t xml:space="preserve"> to provide a management response to the relevant findings and recommendations of the independent review for consideration by the Subsidiary Body for Implementation at its forty-eighth session</w:t>
      </w:r>
      <w:r w:rsidR="004D2A4F">
        <w:t xml:space="preserve"> (April–May 2018</w:t>
      </w:r>
      <w:r w:rsidR="004D2A4F" w:rsidRPr="00F12B4D">
        <w:t>), taking into account Parties’ deliberations at this session;</w:t>
      </w:r>
    </w:p>
    <w:p w14:paraId="1B7C996B" w14:textId="7D01F51B" w:rsidR="004D2A4F" w:rsidRPr="00F12B4D" w:rsidRDefault="000F209A" w:rsidP="000F209A">
      <w:pPr>
        <w:pStyle w:val="RegSingleTxtG"/>
        <w:numPr>
          <w:ilvl w:val="0"/>
          <w:numId w:val="0"/>
        </w:numPr>
        <w:tabs>
          <w:tab w:val="left" w:pos="568"/>
        </w:tabs>
        <w:spacing w:before="120"/>
        <w:ind w:left="1134"/>
      </w:pPr>
      <w:r w:rsidRPr="00F12B4D">
        <w:t>8.</w:t>
      </w:r>
      <w:r w:rsidRPr="00F12B4D">
        <w:tab/>
      </w:r>
      <w:r w:rsidR="004D2A4F" w:rsidRPr="00F12B4D">
        <w:rPr>
          <w:i/>
        </w:rPr>
        <w:t>Requests</w:t>
      </w:r>
      <w:r w:rsidR="004D2A4F" w:rsidRPr="00F12B4D">
        <w:t xml:space="preserve"> the Subsidiary Body for Implementation, at its forty-eighth session, to consider the findings and recommendations of the independent review, and the management response from the United Nations Environment Programme referred to in paragraph 7 above with a view to recommending a draft decision on enhancing the performance of the Climate Technology Centre and Network for consideration and adoption by the Conference of the Parties at its twenty-fourth session (December 2018);</w:t>
      </w:r>
    </w:p>
    <w:p w14:paraId="1616656E" w14:textId="5D0AA8FE" w:rsidR="004D2A4F" w:rsidRPr="00F12B4D" w:rsidRDefault="000F209A" w:rsidP="000F209A">
      <w:pPr>
        <w:pStyle w:val="RegSingleTxtG"/>
        <w:numPr>
          <w:ilvl w:val="0"/>
          <w:numId w:val="0"/>
        </w:numPr>
        <w:tabs>
          <w:tab w:val="left" w:pos="568"/>
        </w:tabs>
        <w:spacing w:before="120"/>
        <w:ind w:left="1134"/>
      </w:pPr>
      <w:r w:rsidRPr="00F12B4D">
        <w:t>9.</w:t>
      </w:r>
      <w:r w:rsidRPr="00F12B4D">
        <w:tab/>
      </w:r>
      <w:r w:rsidR="004D2A4F" w:rsidRPr="00F12B4D">
        <w:rPr>
          <w:i/>
        </w:rPr>
        <w:t xml:space="preserve">Notes </w:t>
      </w:r>
      <w:r w:rsidR="004D2A4F" w:rsidRPr="00F12B4D">
        <w:t>that the Climate Technology Centre and Network continues to face challenges that need attention regarding sustainable funding for implementing its functions</w:t>
      </w:r>
      <w:r w:rsidR="00F90968">
        <w:t>,</w:t>
      </w:r>
      <w:r w:rsidR="004D2A4F" w:rsidRPr="00F12B4D">
        <w:t xml:space="preserve"> and that </w:t>
      </w:r>
      <w:r w:rsidR="004D2A4F" w:rsidRPr="00F12B4D">
        <w:lastRenderedPageBreak/>
        <w:t>further financial support should be provided, recalling decis</w:t>
      </w:r>
      <w:r w:rsidR="004D2A4F">
        <w:t>ion 2/CP.17, paragraphs 139 and </w:t>
      </w:r>
      <w:r w:rsidR="004D2A4F" w:rsidRPr="00F12B4D">
        <w:t>141;</w:t>
      </w:r>
    </w:p>
    <w:p w14:paraId="743DF257" w14:textId="716C266A" w:rsidR="004D2A4F" w:rsidRPr="00F12B4D" w:rsidRDefault="000F209A" w:rsidP="000F209A">
      <w:pPr>
        <w:pStyle w:val="RegSingleTxtG"/>
        <w:numPr>
          <w:ilvl w:val="0"/>
          <w:numId w:val="0"/>
        </w:numPr>
        <w:tabs>
          <w:tab w:val="left" w:pos="568"/>
        </w:tabs>
        <w:spacing w:before="120"/>
        <w:ind w:left="1134"/>
      </w:pPr>
      <w:r w:rsidRPr="00F12B4D">
        <w:t>10.</w:t>
      </w:r>
      <w:r w:rsidRPr="00F12B4D">
        <w:tab/>
      </w:r>
      <w:r w:rsidR="004D2A4F" w:rsidRPr="00F12B4D">
        <w:rPr>
          <w:i/>
        </w:rPr>
        <w:t>R</w:t>
      </w:r>
      <w:r w:rsidR="004D2A4F" w:rsidRPr="00F12B4D">
        <w:rPr>
          <w:i/>
          <w:iCs/>
        </w:rPr>
        <w:t>equests</w:t>
      </w:r>
      <w:r w:rsidR="004D2A4F" w:rsidRPr="00F12B4D">
        <w:t xml:space="preserve"> the secretariat, pursuant to decision 2/CP.17, annex VII, paragraph 20</w:t>
      </w:r>
      <w:r w:rsidR="004D2A4F" w:rsidRPr="00F12B4D">
        <w:rPr>
          <w:i/>
          <w:iCs/>
        </w:rPr>
        <w:t xml:space="preserve">, </w:t>
      </w:r>
      <w:r w:rsidR="004D2A4F" w:rsidRPr="00F12B4D">
        <w:t>and</w:t>
      </w:r>
      <w:r w:rsidR="004D2A4F" w:rsidRPr="00F12B4D">
        <w:rPr>
          <w:i/>
          <w:iCs/>
        </w:rPr>
        <w:t xml:space="preserve"> </w:t>
      </w:r>
      <w:r w:rsidR="004D2A4F" w:rsidRPr="00F12B4D">
        <w:t>subject to the availability of financial resources, to commission the second independent review of the effective implementation of the Climate Technology Centre and Network for consideration by the Conference of the Parties at its twenty-seventh session (November 2021), taking into account lessons learned from the first independent review, including issues related to the timing of the review report and the management response referred to in paragraph 7 above.</w:t>
      </w:r>
    </w:p>
    <w:p w14:paraId="0786FB74" w14:textId="76688D4E" w:rsidR="004D2A4F" w:rsidRPr="00CC4174" w:rsidRDefault="001B336E" w:rsidP="004D2A4F">
      <w:pPr>
        <w:pStyle w:val="RegSingleTxtG"/>
        <w:numPr>
          <w:ilvl w:val="0"/>
          <w:numId w:val="0"/>
        </w:numPr>
        <w:suppressAutoHyphens w:val="0"/>
        <w:autoSpaceDE w:val="0"/>
        <w:autoSpaceDN w:val="0"/>
        <w:adjustRightInd w:val="0"/>
        <w:spacing w:after="0" w:line="240" w:lineRule="auto"/>
        <w:ind w:left="1494" w:right="-1"/>
        <w:jc w:val="right"/>
        <w:rPr>
          <w:i/>
          <w:lang w:eastAsia="en-US"/>
        </w:rPr>
      </w:pPr>
      <w:r>
        <w:rPr>
          <w:i/>
          <w:lang w:eastAsia="en-US"/>
        </w:rPr>
        <w:t>12</w:t>
      </w:r>
      <w:r w:rsidR="004D2A4F" w:rsidRPr="001B336E">
        <w:rPr>
          <w:i/>
          <w:vertAlign w:val="superscript"/>
          <w:lang w:eastAsia="en-US"/>
        </w:rPr>
        <w:t>th</w:t>
      </w:r>
      <w:r w:rsidR="004D2A4F" w:rsidRPr="001B336E">
        <w:rPr>
          <w:i/>
          <w:lang w:eastAsia="en-US"/>
        </w:rPr>
        <w:t xml:space="preserve"> plenary meeting</w:t>
      </w:r>
    </w:p>
    <w:p w14:paraId="08526338" w14:textId="77777777" w:rsidR="004D2A4F" w:rsidRDefault="004D2A4F" w:rsidP="004D2A4F">
      <w:pPr>
        <w:pStyle w:val="RegSingleTxtG"/>
        <w:numPr>
          <w:ilvl w:val="0"/>
          <w:numId w:val="0"/>
        </w:numPr>
        <w:suppressAutoHyphens w:val="0"/>
        <w:autoSpaceDE w:val="0"/>
        <w:autoSpaceDN w:val="0"/>
        <w:adjustRightInd w:val="0"/>
        <w:spacing w:after="0" w:line="240" w:lineRule="auto"/>
        <w:ind w:left="1494" w:right="-1"/>
        <w:jc w:val="right"/>
        <w:rPr>
          <w:i/>
          <w:lang w:eastAsia="en-US"/>
        </w:rPr>
        <w:sectPr w:rsidR="004D2A4F" w:rsidSect="0024232D">
          <w:headerReference w:type="even" r:id="rId17"/>
          <w:headerReference w:type="default" r:id="rId18"/>
          <w:footerReference w:type="even" r:id="rId19"/>
          <w:footerReference w:type="default" r:id="rId20"/>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5BB50CDF" w14:textId="77777777" w:rsidR="00523FAB" w:rsidRDefault="004D2A4F" w:rsidP="004D2A4F">
      <w:pPr>
        <w:pStyle w:val="HChG"/>
      </w:pPr>
      <w:r>
        <w:lastRenderedPageBreak/>
        <w:tab/>
      </w:r>
      <w:r>
        <w:tab/>
        <w:t>Decision 15/CP.23</w:t>
      </w:r>
    </w:p>
    <w:p w14:paraId="4BBBA353" w14:textId="77777777" w:rsidR="004D2A4F" w:rsidRDefault="004D2A4F" w:rsidP="004D2A4F">
      <w:pPr>
        <w:pStyle w:val="HChG"/>
      </w:pPr>
      <w:r>
        <w:tab/>
      </w:r>
      <w:r>
        <w:tab/>
      </w:r>
      <w:r w:rsidRPr="00FA267B">
        <w:t>Enhancing climate technology development and transfer through the Technology Mechanism</w:t>
      </w:r>
    </w:p>
    <w:p w14:paraId="78757899" w14:textId="77777777" w:rsidR="004D2A4F" w:rsidRPr="0008334D" w:rsidRDefault="004D2A4F" w:rsidP="004D2A4F">
      <w:pPr>
        <w:pStyle w:val="RegSingleTxtG"/>
        <w:numPr>
          <w:ilvl w:val="0"/>
          <w:numId w:val="0"/>
        </w:numPr>
        <w:ind w:left="1135"/>
        <w:rPr>
          <w:i/>
        </w:rPr>
      </w:pPr>
      <w:r>
        <w:rPr>
          <w:i/>
        </w:rPr>
        <w:tab/>
      </w:r>
      <w:r w:rsidRPr="0008334D">
        <w:rPr>
          <w:i/>
        </w:rPr>
        <w:t>The Conference of the Parties</w:t>
      </w:r>
      <w:r w:rsidRPr="0008334D">
        <w:t>,</w:t>
      </w:r>
    </w:p>
    <w:p w14:paraId="4DA0706E" w14:textId="77777777" w:rsidR="004D2A4F" w:rsidRPr="0008334D" w:rsidRDefault="004D2A4F" w:rsidP="004D2A4F">
      <w:pPr>
        <w:pStyle w:val="RegSingleTxtG"/>
        <w:numPr>
          <w:ilvl w:val="0"/>
          <w:numId w:val="0"/>
        </w:numPr>
        <w:ind w:left="1135"/>
      </w:pPr>
      <w:r w:rsidRPr="0008334D">
        <w:rPr>
          <w:i/>
        </w:rPr>
        <w:tab/>
        <w:t xml:space="preserve">Recalling </w:t>
      </w:r>
      <w:r w:rsidRPr="0008334D">
        <w:t>decisions 1/CP.18, 13/CP.18, 17/CP.20, 12/CP.21 and 15/CP.22,</w:t>
      </w:r>
    </w:p>
    <w:p w14:paraId="1F0606B4" w14:textId="0B5FB33F" w:rsidR="004D2A4F" w:rsidRPr="0008334D" w:rsidRDefault="000F209A" w:rsidP="000F209A">
      <w:pPr>
        <w:pStyle w:val="RegSingleTxtG"/>
        <w:numPr>
          <w:ilvl w:val="0"/>
          <w:numId w:val="0"/>
        </w:numPr>
        <w:tabs>
          <w:tab w:val="left" w:pos="568"/>
        </w:tabs>
        <w:spacing w:before="120"/>
        <w:ind w:left="1134"/>
      </w:pPr>
      <w:r w:rsidRPr="0008334D">
        <w:t>1.</w:t>
      </w:r>
      <w:r w:rsidRPr="0008334D">
        <w:tab/>
      </w:r>
      <w:r w:rsidR="004D2A4F" w:rsidRPr="0008334D">
        <w:rPr>
          <w:i/>
        </w:rPr>
        <w:t xml:space="preserve">Welcomes </w:t>
      </w:r>
      <w:r w:rsidR="004D2A4F" w:rsidRPr="0008334D">
        <w:t>the joint annual report of the Technology Executive Committee and the Climate Technology Centre and Network for 2017, including the key messages and recommendations contained therein, and the progress of their work to facilitate the effective implementation of the Technology Mechanism;</w:t>
      </w:r>
      <w:r w:rsidR="004D2A4F" w:rsidRPr="0008334D">
        <w:rPr>
          <w:rStyle w:val="FootnoteReference"/>
        </w:rPr>
        <w:footnoteReference w:id="15"/>
      </w:r>
    </w:p>
    <w:p w14:paraId="24176A85" w14:textId="658A72B7" w:rsidR="004D2A4F" w:rsidRPr="003658AB" w:rsidRDefault="000F209A" w:rsidP="000F209A">
      <w:pPr>
        <w:pStyle w:val="RegSingleTxtG"/>
        <w:numPr>
          <w:ilvl w:val="0"/>
          <w:numId w:val="0"/>
        </w:numPr>
        <w:tabs>
          <w:tab w:val="left" w:pos="568"/>
        </w:tabs>
        <w:spacing w:before="120"/>
        <w:ind w:left="1134"/>
      </w:pPr>
      <w:r w:rsidRPr="003658AB">
        <w:t>2.</w:t>
      </w:r>
      <w:r w:rsidRPr="003658AB">
        <w:tab/>
      </w:r>
      <w:r w:rsidR="004D2A4F" w:rsidRPr="0008334D">
        <w:rPr>
          <w:i/>
        </w:rPr>
        <w:t xml:space="preserve">Acknowledges </w:t>
      </w:r>
      <w:r w:rsidR="004D2A4F" w:rsidRPr="0008334D">
        <w:t xml:space="preserve">the work undertaken by the Technology Executive Committee and the Climate Technology Centre and Network in supporting the implementation of the Paris Agreement, and </w:t>
      </w:r>
      <w:r w:rsidR="004D2A4F" w:rsidRPr="0008334D">
        <w:rPr>
          <w:i/>
        </w:rPr>
        <w:t xml:space="preserve">looks forward </w:t>
      </w:r>
      <w:r w:rsidR="004D2A4F" w:rsidRPr="0008334D">
        <w:t xml:space="preserve">to enhanced efforts in this </w:t>
      </w:r>
      <w:r w:rsidR="004D2A4F" w:rsidRPr="00C21743">
        <w:t>regard in the future, taking into consideration gender, endogenous technologies, including knowledge from local communities and indigenous people</w:t>
      </w:r>
      <w:r w:rsidR="000855DF">
        <w:t>s</w:t>
      </w:r>
      <w:r w:rsidR="004D2A4F" w:rsidRPr="00C21743">
        <w:t>, and the balance between</w:t>
      </w:r>
      <w:r w:rsidR="004D2A4F" w:rsidRPr="0008334D">
        <w:t xml:space="preserve"> adaptation and mitigation;</w:t>
      </w:r>
    </w:p>
    <w:p w14:paraId="315E430A" w14:textId="084BF88A" w:rsidR="004D2A4F" w:rsidRPr="003658AB" w:rsidRDefault="000F209A" w:rsidP="000F209A">
      <w:pPr>
        <w:pStyle w:val="RegSingleTxtG"/>
        <w:numPr>
          <w:ilvl w:val="0"/>
          <w:numId w:val="0"/>
        </w:numPr>
        <w:tabs>
          <w:tab w:val="left" w:pos="568"/>
        </w:tabs>
        <w:spacing w:before="120"/>
        <w:ind w:left="1134"/>
      </w:pPr>
      <w:r w:rsidRPr="003658AB">
        <w:t>3.</w:t>
      </w:r>
      <w:r w:rsidRPr="003658AB">
        <w:tab/>
      </w:r>
      <w:r w:rsidR="004D2A4F" w:rsidRPr="003658AB">
        <w:rPr>
          <w:i/>
        </w:rPr>
        <w:t xml:space="preserve">Welcomes with appreciation </w:t>
      </w:r>
      <w:r w:rsidR="004D2A4F" w:rsidRPr="003658AB">
        <w:t>the inclusion in the joint annual report referred to in paragraph 1 above of information on challenges and lessons learned by the Technology Executive Committee and the Climate Technology Centre and Network in implementing their respective mandates;</w:t>
      </w:r>
    </w:p>
    <w:p w14:paraId="083E9E7E" w14:textId="11230A39" w:rsidR="004D2A4F" w:rsidRPr="003658AB" w:rsidRDefault="000F209A" w:rsidP="000F209A">
      <w:pPr>
        <w:pStyle w:val="RegSingleTxtG"/>
        <w:numPr>
          <w:ilvl w:val="0"/>
          <w:numId w:val="0"/>
        </w:numPr>
        <w:tabs>
          <w:tab w:val="left" w:pos="568"/>
        </w:tabs>
        <w:spacing w:before="120"/>
        <w:ind w:left="1134"/>
      </w:pPr>
      <w:r w:rsidRPr="003658AB">
        <w:t>4.</w:t>
      </w:r>
      <w:r w:rsidRPr="003658AB">
        <w:tab/>
      </w:r>
      <w:r w:rsidR="004D2A4F" w:rsidRPr="003658AB">
        <w:rPr>
          <w:i/>
        </w:rPr>
        <w:t xml:space="preserve">Takes note </w:t>
      </w:r>
      <w:r w:rsidR="004D2A4F" w:rsidRPr="003658AB">
        <w:t>of the updated procedures for preparing the joint annual report of the Technology Executive Committee and the Climate Technology Centre and Network, as contained in annex I to the joint annual report referred to in paragraph 1 above;</w:t>
      </w:r>
    </w:p>
    <w:p w14:paraId="655302AA" w14:textId="150F9064" w:rsidR="004D2A4F" w:rsidRPr="0008334D" w:rsidRDefault="000F209A" w:rsidP="000F209A">
      <w:pPr>
        <w:pStyle w:val="RegSingleTxtG"/>
        <w:numPr>
          <w:ilvl w:val="0"/>
          <w:numId w:val="0"/>
        </w:numPr>
        <w:tabs>
          <w:tab w:val="left" w:pos="568"/>
        </w:tabs>
        <w:spacing w:before="120"/>
        <w:ind w:left="1134"/>
      </w:pPr>
      <w:r w:rsidRPr="0008334D">
        <w:t>5.</w:t>
      </w:r>
      <w:r w:rsidRPr="0008334D">
        <w:tab/>
      </w:r>
      <w:r w:rsidR="004D2A4F" w:rsidRPr="003658AB">
        <w:rPr>
          <w:i/>
        </w:rPr>
        <w:t>Requests</w:t>
      </w:r>
      <w:r w:rsidR="004D2A4F" w:rsidRPr="0008334D">
        <w:t xml:space="preserve"> the Technology Executive Committee and the Climate Technology Centre and Network </w:t>
      </w:r>
      <w:r w:rsidR="004D2A4F" w:rsidRPr="003658AB">
        <w:t>to carry out</w:t>
      </w:r>
      <w:r w:rsidR="004D2A4F" w:rsidRPr="0008334D">
        <w:t xml:space="preserve"> monitoring and evaluation of the impacts </w:t>
      </w:r>
      <w:r w:rsidR="004D2A4F" w:rsidRPr="003658AB">
        <w:t>of the implementation of their respective mandates</w:t>
      </w:r>
      <w:r w:rsidR="004D2A4F" w:rsidRPr="0008334D">
        <w:t>;</w:t>
      </w:r>
    </w:p>
    <w:p w14:paraId="3C9A2B1E" w14:textId="01DCF780" w:rsidR="004D2A4F" w:rsidRPr="0008334D" w:rsidRDefault="000F209A" w:rsidP="000F209A">
      <w:pPr>
        <w:pStyle w:val="RegSingleTxtG"/>
        <w:numPr>
          <w:ilvl w:val="0"/>
          <w:numId w:val="0"/>
        </w:numPr>
        <w:tabs>
          <w:tab w:val="left" w:pos="568"/>
        </w:tabs>
        <w:spacing w:before="120"/>
        <w:ind w:left="1134"/>
      </w:pPr>
      <w:r w:rsidRPr="0008334D">
        <w:t>6.</w:t>
      </w:r>
      <w:r w:rsidRPr="0008334D">
        <w:tab/>
      </w:r>
      <w:r w:rsidR="004D2A4F" w:rsidRPr="003658AB">
        <w:rPr>
          <w:i/>
        </w:rPr>
        <w:t>Notes with appreciation</w:t>
      </w:r>
      <w:r w:rsidR="004D2A4F" w:rsidRPr="003658AB">
        <w:t xml:space="preserve"> the collaboration between the Technology Executive Committee and the Climate Technology Centre and Network, and </w:t>
      </w:r>
      <w:r w:rsidR="004D2A4F" w:rsidRPr="003658AB">
        <w:rPr>
          <w:i/>
        </w:rPr>
        <w:t>encourages</w:t>
      </w:r>
      <w:r w:rsidR="004D2A4F" w:rsidRPr="003658AB">
        <w:t xml:space="preserve"> the two bodies to continue to strengthen the collaboration across the entire technology cycle</w:t>
      </w:r>
      <w:r w:rsidR="004D2A4F" w:rsidRPr="0008334D">
        <w:t xml:space="preserve">; </w:t>
      </w:r>
    </w:p>
    <w:p w14:paraId="0175054E" w14:textId="5177F41E" w:rsidR="004D2A4F" w:rsidRPr="00565EFB" w:rsidRDefault="000F209A" w:rsidP="000F209A">
      <w:pPr>
        <w:pStyle w:val="RegHChG"/>
        <w:numPr>
          <w:ilvl w:val="0"/>
          <w:numId w:val="0"/>
        </w:numPr>
        <w:tabs>
          <w:tab w:val="left" w:pos="1135"/>
        </w:tabs>
        <w:ind w:left="1135" w:hanging="454"/>
      </w:pPr>
      <w:r w:rsidRPr="00565EFB">
        <w:t>I.</w:t>
      </w:r>
      <w:r w:rsidRPr="00565EFB">
        <w:tab/>
      </w:r>
      <w:r w:rsidR="004D2A4F" w:rsidRPr="00565EFB">
        <w:t>Activities and performance of the Technology Executive Committee in 2017</w:t>
      </w:r>
    </w:p>
    <w:p w14:paraId="015927EE" w14:textId="02FA255C" w:rsidR="004D2A4F" w:rsidRPr="003658AB" w:rsidRDefault="000F209A" w:rsidP="000F209A">
      <w:pPr>
        <w:pStyle w:val="RegSingleTxtG"/>
        <w:numPr>
          <w:ilvl w:val="0"/>
          <w:numId w:val="0"/>
        </w:numPr>
        <w:tabs>
          <w:tab w:val="left" w:pos="568"/>
        </w:tabs>
        <w:spacing w:before="120"/>
        <w:ind w:left="1134"/>
      </w:pPr>
      <w:r w:rsidRPr="003658AB">
        <w:t>7.</w:t>
      </w:r>
      <w:r w:rsidRPr="003658AB">
        <w:tab/>
      </w:r>
      <w:r w:rsidR="004D2A4F" w:rsidRPr="003658AB">
        <w:rPr>
          <w:i/>
        </w:rPr>
        <w:t>Welcomes</w:t>
      </w:r>
      <w:r w:rsidR="004D2A4F" w:rsidRPr="003658AB">
        <w:t xml:space="preserve"> the progress made by the Technology Executive Committee in advancing the implementation of its rolling workplan for 2016–2018,</w:t>
      </w:r>
      <w:r w:rsidR="004D2A4F" w:rsidRPr="0008334D">
        <w:rPr>
          <w:rStyle w:val="FootnoteReference"/>
        </w:rPr>
        <w:footnoteReference w:id="16"/>
      </w:r>
      <w:r w:rsidR="004D2A4F" w:rsidRPr="0008334D">
        <w:t xml:space="preserve"> including in the areas of: adaptation; climate technology financing; emerging and cross-cutting issues; innovation and research, development and demonstration; mitigation; and technology needs assessments;</w:t>
      </w:r>
    </w:p>
    <w:p w14:paraId="20BD7A7E" w14:textId="5AC2EC90" w:rsidR="004D2A4F" w:rsidRPr="003658AB" w:rsidRDefault="000F209A" w:rsidP="000F209A">
      <w:pPr>
        <w:pStyle w:val="RegSingleTxtG"/>
        <w:numPr>
          <w:ilvl w:val="0"/>
          <w:numId w:val="0"/>
        </w:numPr>
        <w:tabs>
          <w:tab w:val="left" w:pos="568"/>
        </w:tabs>
        <w:spacing w:before="120"/>
        <w:ind w:left="1134"/>
      </w:pPr>
      <w:r w:rsidRPr="003658AB">
        <w:t>8.</w:t>
      </w:r>
      <w:r w:rsidRPr="003658AB">
        <w:tab/>
      </w:r>
      <w:r w:rsidR="004D2A4F" w:rsidRPr="003658AB">
        <w:rPr>
          <w:i/>
        </w:rPr>
        <w:t>Invites</w:t>
      </w:r>
      <w:r w:rsidR="004D2A4F" w:rsidRPr="003658AB">
        <w:t xml:space="preserve"> Parties and all relevant stakeholders working on technology development and transfer, when implementing climate technology action, to consider the key messages and recommendations of the Technology Executive Committee, noting that these are in the areas of innovation, industrial energy and material efficiency, and technology needs assessments;</w:t>
      </w:r>
    </w:p>
    <w:p w14:paraId="201105F9" w14:textId="7F0E1830" w:rsidR="004D2A4F" w:rsidRPr="0008334D" w:rsidRDefault="000F209A" w:rsidP="000F209A">
      <w:pPr>
        <w:pStyle w:val="RegSingleTxtG"/>
        <w:numPr>
          <w:ilvl w:val="0"/>
          <w:numId w:val="0"/>
        </w:numPr>
        <w:tabs>
          <w:tab w:val="left" w:pos="568"/>
        </w:tabs>
        <w:spacing w:before="120"/>
        <w:ind w:left="1134"/>
      </w:pPr>
      <w:r w:rsidRPr="0008334D">
        <w:t>9.</w:t>
      </w:r>
      <w:r w:rsidRPr="0008334D">
        <w:tab/>
      </w:r>
      <w:r w:rsidR="004D2A4F" w:rsidRPr="003658AB">
        <w:rPr>
          <w:i/>
        </w:rPr>
        <w:t>Also</w:t>
      </w:r>
      <w:r w:rsidR="004D2A4F" w:rsidRPr="003658AB">
        <w:t xml:space="preserve"> </w:t>
      </w:r>
      <w:r w:rsidR="004D2A4F" w:rsidRPr="003658AB">
        <w:rPr>
          <w:i/>
        </w:rPr>
        <w:t>invites</w:t>
      </w:r>
      <w:r w:rsidR="004D2A4F" w:rsidRPr="003658AB">
        <w:t xml:space="preserve"> the Technology Executive Committee to continue to</w:t>
      </w:r>
      <w:r w:rsidR="004D2A4F" w:rsidRPr="0008334D">
        <w:t xml:space="preserve"> enhance the linkages between the technology needs assessments process </w:t>
      </w:r>
      <w:r w:rsidR="004D2A4F" w:rsidRPr="003658AB">
        <w:t>and the nationally determined contributions process, and between the technology needs assessments process and the national adaptation plans process</w:t>
      </w:r>
      <w:r w:rsidR="004D2A4F" w:rsidRPr="0008334D">
        <w:t>;</w:t>
      </w:r>
    </w:p>
    <w:p w14:paraId="481EDEE6" w14:textId="175DA84C" w:rsidR="004D2A4F" w:rsidRPr="003658AB" w:rsidRDefault="000F209A" w:rsidP="000F209A">
      <w:pPr>
        <w:pStyle w:val="RegSingleTxtG"/>
        <w:numPr>
          <w:ilvl w:val="0"/>
          <w:numId w:val="0"/>
        </w:numPr>
        <w:tabs>
          <w:tab w:val="left" w:pos="568"/>
        </w:tabs>
        <w:spacing w:before="120"/>
        <w:ind w:left="1134"/>
      </w:pPr>
      <w:r w:rsidRPr="003658AB">
        <w:lastRenderedPageBreak/>
        <w:t>10.</w:t>
      </w:r>
      <w:r w:rsidRPr="003658AB">
        <w:tab/>
      </w:r>
      <w:r w:rsidR="004D2A4F" w:rsidRPr="003658AB">
        <w:rPr>
          <w:i/>
        </w:rPr>
        <w:t xml:space="preserve">Encourages </w:t>
      </w:r>
      <w:r w:rsidR="004D2A4F" w:rsidRPr="003658AB">
        <w:t>the Technology Executive Committee to continue strengthening collaboration with other constituted bodies under the Convention, including the Adaptation Committee and the Executive Committee of the Warsaw International Mechanism for Loss and Damage associated with Climate Change Impacts;</w:t>
      </w:r>
    </w:p>
    <w:p w14:paraId="6359F54B" w14:textId="214CB8E3" w:rsidR="004D2A4F" w:rsidRPr="0008334D" w:rsidRDefault="000F209A" w:rsidP="000F209A">
      <w:pPr>
        <w:pStyle w:val="RegSingleTxtG"/>
        <w:numPr>
          <w:ilvl w:val="0"/>
          <w:numId w:val="0"/>
        </w:numPr>
        <w:tabs>
          <w:tab w:val="left" w:pos="568"/>
        </w:tabs>
        <w:spacing w:before="120"/>
        <w:ind w:left="1134"/>
      </w:pPr>
      <w:r w:rsidRPr="0008334D">
        <w:t>11.</w:t>
      </w:r>
      <w:r w:rsidRPr="0008334D">
        <w:tab/>
      </w:r>
      <w:r w:rsidR="004D2A4F" w:rsidRPr="003658AB">
        <w:rPr>
          <w:i/>
        </w:rPr>
        <w:t xml:space="preserve">Invites </w:t>
      </w:r>
      <w:r w:rsidR="004D2A4F" w:rsidRPr="003658AB">
        <w:t>the Technology Executive Committee to enhance its communication and outreach strategy</w:t>
      </w:r>
      <w:r w:rsidR="004D2A4F" w:rsidRPr="0008334D">
        <w:t>;</w:t>
      </w:r>
    </w:p>
    <w:p w14:paraId="0D2432FD" w14:textId="557269AB" w:rsidR="004D2A4F" w:rsidRPr="00565EFB" w:rsidRDefault="000F209A" w:rsidP="000F209A">
      <w:pPr>
        <w:pStyle w:val="RegHChG"/>
        <w:numPr>
          <w:ilvl w:val="0"/>
          <w:numId w:val="0"/>
        </w:numPr>
        <w:tabs>
          <w:tab w:val="left" w:pos="1135"/>
        </w:tabs>
        <w:ind w:left="1135" w:hanging="454"/>
      </w:pPr>
      <w:r w:rsidRPr="00565EFB">
        <w:t>II.</w:t>
      </w:r>
      <w:r w:rsidRPr="00565EFB">
        <w:tab/>
      </w:r>
      <w:r w:rsidR="004D2A4F" w:rsidRPr="003658AB">
        <w:t>Activities and performance of the Climate Technology Centre and Network in 2017</w:t>
      </w:r>
    </w:p>
    <w:p w14:paraId="40C4C73C" w14:textId="353BE2A3" w:rsidR="004D2A4F" w:rsidRPr="003658AB" w:rsidRDefault="000F209A" w:rsidP="000F209A">
      <w:pPr>
        <w:pStyle w:val="RegSingleTxtG"/>
        <w:numPr>
          <w:ilvl w:val="0"/>
          <w:numId w:val="0"/>
        </w:numPr>
        <w:tabs>
          <w:tab w:val="left" w:pos="568"/>
        </w:tabs>
        <w:spacing w:before="120"/>
        <w:ind w:left="1134"/>
        <w:rPr>
          <w:b/>
        </w:rPr>
      </w:pPr>
      <w:r w:rsidRPr="003658AB">
        <w:t>12.</w:t>
      </w:r>
      <w:r w:rsidRPr="003658AB">
        <w:tab/>
      </w:r>
      <w:r w:rsidR="004D2A4F" w:rsidRPr="003658AB">
        <w:rPr>
          <w:i/>
        </w:rPr>
        <w:t xml:space="preserve">Welcomes </w:t>
      </w:r>
      <w:r w:rsidR="004D2A4F" w:rsidRPr="003658AB">
        <w:t>the progress made by the Climate Technology Centre and Network in 2017 in implementing its programme of work, including by enhancing its response to the increased requests for technical assistance; broadening the network membership; and increasing the use of expertise sourced from the network to address the requests for technical assistance;</w:t>
      </w:r>
    </w:p>
    <w:p w14:paraId="581C32E5" w14:textId="3C055FE0" w:rsidR="004D2A4F" w:rsidRPr="003658AB" w:rsidRDefault="000F209A" w:rsidP="000F209A">
      <w:pPr>
        <w:pStyle w:val="RegSingleTxtG"/>
        <w:numPr>
          <w:ilvl w:val="0"/>
          <w:numId w:val="0"/>
        </w:numPr>
        <w:tabs>
          <w:tab w:val="left" w:pos="568"/>
        </w:tabs>
        <w:spacing w:before="120"/>
        <w:ind w:left="1134"/>
        <w:rPr>
          <w:b/>
        </w:rPr>
      </w:pPr>
      <w:r w:rsidRPr="003658AB">
        <w:t>13.</w:t>
      </w:r>
      <w:r w:rsidRPr="003658AB">
        <w:tab/>
      </w:r>
      <w:r w:rsidR="004D2A4F" w:rsidRPr="003658AB">
        <w:rPr>
          <w:i/>
        </w:rPr>
        <w:t xml:space="preserve">Encourages </w:t>
      </w:r>
      <w:r w:rsidR="004D2A4F" w:rsidRPr="003658AB">
        <w:t>the Climate Technology Centre and Network to continue strengthening partnership and collaboration with relevant stakeholders;</w:t>
      </w:r>
    </w:p>
    <w:p w14:paraId="4CD95CD3" w14:textId="1282B924" w:rsidR="004D2A4F" w:rsidRPr="003658AB" w:rsidRDefault="000F209A" w:rsidP="000F209A">
      <w:pPr>
        <w:pStyle w:val="RegSingleTxtG"/>
        <w:numPr>
          <w:ilvl w:val="0"/>
          <w:numId w:val="0"/>
        </w:numPr>
        <w:tabs>
          <w:tab w:val="left" w:pos="568"/>
        </w:tabs>
        <w:spacing w:before="120"/>
        <w:ind w:left="1134"/>
        <w:rPr>
          <w:b/>
        </w:rPr>
      </w:pPr>
      <w:r w:rsidRPr="003658AB">
        <w:t>14.</w:t>
      </w:r>
      <w:r w:rsidRPr="003658AB">
        <w:tab/>
      </w:r>
      <w:r w:rsidR="004D2A4F" w:rsidRPr="003658AB">
        <w:rPr>
          <w:i/>
        </w:rPr>
        <w:t xml:space="preserve">Notes </w:t>
      </w:r>
      <w:r w:rsidR="004D2A4F" w:rsidRPr="003658AB">
        <w:t>that the Climate Technology Centre and Network continues to face challenges that need attention regarding sustainable funding for implementing its functions</w:t>
      </w:r>
      <w:r w:rsidR="0051007F">
        <w:t>,</w:t>
      </w:r>
      <w:r w:rsidR="004D2A4F" w:rsidRPr="003658AB">
        <w:t xml:space="preserve"> and that further financial support should be provided, recalling </w:t>
      </w:r>
      <w:r w:rsidR="004D2A4F" w:rsidRPr="0008334D">
        <w:t xml:space="preserve">decision 2/CP.17, paragraphs 139 </w:t>
      </w:r>
      <w:r w:rsidR="004D2A4F" w:rsidRPr="003658AB">
        <w:t>and</w:t>
      </w:r>
      <w:r w:rsidR="004D2A4F">
        <w:t> </w:t>
      </w:r>
      <w:r w:rsidR="004D2A4F" w:rsidRPr="0008334D">
        <w:t>141;</w:t>
      </w:r>
    </w:p>
    <w:p w14:paraId="49CAD821" w14:textId="09C981BC" w:rsidR="004D2A4F" w:rsidRPr="003658AB" w:rsidRDefault="000F209A" w:rsidP="000F209A">
      <w:pPr>
        <w:pStyle w:val="RegSingleTxtG"/>
        <w:numPr>
          <w:ilvl w:val="0"/>
          <w:numId w:val="0"/>
        </w:numPr>
        <w:tabs>
          <w:tab w:val="left" w:pos="568"/>
        </w:tabs>
        <w:spacing w:before="120"/>
        <w:ind w:left="1134"/>
        <w:rPr>
          <w:i/>
        </w:rPr>
      </w:pPr>
      <w:r w:rsidRPr="003658AB">
        <w:t>15.</w:t>
      </w:r>
      <w:r w:rsidRPr="003658AB">
        <w:tab/>
      </w:r>
      <w:r w:rsidR="004D2A4F" w:rsidRPr="003658AB">
        <w:rPr>
          <w:i/>
        </w:rPr>
        <w:t xml:space="preserve">Welcomes with appreciation </w:t>
      </w:r>
      <w:r w:rsidR="004D2A4F" w:rsidRPr="003658AB">
        <w:t>the ongoing collaboration between the Climate Technology Centre and Network and the Green Climate Fund</w:t>
      </w:r>
      <w:r w:rsidR="0051007F">
        <w:t>,</w:t>
      </w:r>
      <w:r w:rsidR="004D2A4F" w:rsidRPr="003658AB">
        <w:t xml:space="preserve"> </w:t>
      </w:r>
      <w:r w:rsidR="004D2A4F" w:rsidRPr="00F20F00" w:rsidDel="00915074">
        <w:rPr>
          <w:lang w:val="en-US" w:eastAsia="en-US"/>
        </w:rPr>
        <w:t xml:space="preserve">wherein </w:t>
      </w:r>
      <w:r w:rsidR="004D2A4F" w:rsidRPr="003658AB">
        <w:t xml:space="preserve">the </w:t>
      </w:r>
      <w:r w:rsidR="004D2A4F" w:rsidRPr="00F20F00" w:rsidDel="00915074">
        <w:rPr>
          <w:lang w:val="en-US" w:eastAsia="en-US"/>
        </w:rPr>
        <w:t xml:space="preserve">services and expertise </w:t>
      </w:r>
      <w:r w:rsidR="004D2A4F" w:rsidRPr="00F20F00">
        <w:rPr>
          <w:lang w:val="en-US" w:eastAsia="en-US"/>
        </w:rPr>
        <w:t xml:space="preserve">of </w:t>
      </w:r>
      <w:r w:rsidR="004D2A4F" w:rsidRPr="003658AB">
        <w:t xml:space="preserve">the Climate Technology Centre and Network can </w:t>
      </w:r>
      <w:r w:rsidR="004D2A4F" w:rsidRPr="00F20F00" w:rsidDel="00915074">
        <w:rPr>
          <w:lang w:val="en-US" w:eastAsia="en-US"/>
        </w:rPr>
        <w:t xml:space="preserve">strengthen proposals seeking support from the Readiness </w:t>
      </w:r>
      <w:r w:rsidR="004D2A4F" w:rsidRPr="00F20F00">
        <w:rPr>
          <w:lang w:val="en-US" w:eastAsia="en-US"/>
        </w:rPr>
        <w:t xml:space="preserve">and Preparatory Support </w:t>
      </w:r>
      <w:r w:rsidR="004D2A4F" w:rsidRPr="00F20F00" w:rsidDel="00915074">
        <w:rPr>
          <w:lang w:val="en-US" w:eastAsia="en-US"/>
        </w:rPr>
        <w:t xml:space="preserve">Programme and </w:t>
      </w:r>
      <w:r w:rsidR="004D2A4F" w:rsidRPr="00F20F00">
        <w:rPr>
          <w:lang w:val="en-US" w:eastAsia="en-US"/>
        </w:rPr>
        <w:t xml:space="preserve">the </w:t>
      </w:r>
      <w:r w:rsidR="004D2A4F" w:rsidRPr="00F20F00" w:rsidDel="00915074">
        <w:rPr>
          <w:lang w:val="en-US" w:eastAsia="en-US"/>
        </w:rPr>
        <w:t>Project Preparation Facility</w:t>
      </w:r>
      <w:r w:rsidR="004D2A4F" w:rsidRPr="00F20F00">
        <w:rPr>
          <w:lang w:val="en-US" w:eastAsia="en-US"/>
        </w:rPr>
        <w:t xml:space="preserve"> of the Green Climate Fund;</w:t>
      </w:r>
    </w:p>
    <w:p w14:paraId="05D23CCA" w14:textId="0CA3FA64" w:rsidR="004D2A4F" w:rsidRPr="003658AB" w:rsidRDefault="000F209A" w:rsidP="000F209A">
      <w:pPr>
        <w:pStyle w:val="RegSingleTxtG"/>
        <w:numPr>
          <w:ilvl w:val="0"/>
          <w:numId w:val="0"/>
        </w:numPr>
        <w:tabs>
          <w:tab w:val="left" w:pos="568"/>
        </w:tabs>
        <w:spacing w:before="120"/>
        <w:ind w:left="1134"/>
        <w:rPr>
          <w:b/>
        </w:rPr>
      </w:pPr>
      <w:r w:rsidRPr="003658AB">
        <w:t>16.</w:t>
      </w:r>
      <w:r w:rsidRPr="003658AB">
        <w:tab/>
      </w:r>
      <w:r w:rsidR="004D2A4F" w:rsidRPr="003658AB">
        <w:rPr>
          <w:i/>
        </w:rPr>
        <w:t>Welcomes</w:t>
      </w:r>
      <w:r w:rsidR="004D2A4F" w:rsidRPr="003658AB">
        <w:t xml:space="preserve"> the engagement of the Climate Technology Centre and Network with the Global Environment Facility and multilateral development banks regarding collaborative activities, including </w:t>
      </w:r>
      <w:r w:rsidR="004D2A4F" w:rsidRPr="00F20F00" w:rsidDel="00915074">
        <w:rPr>
          <w:lang w:val="en-US" w:eastAsia="en-US"/>
        </w:rPr>
        <w:t>the implementation of technical assistance requests with scalable investment potential</w:t>
      </w:r>
      <w:r w:rsidR="004D2A4F" w:rsidRPr="00F20F00">
        <w:rPr>
          <w:lang w:val="en-US" w:eastAsia="en-US"/>
        </w:rPr>
        <w:t>;</w:t>
      </w:r>
    </w:p>
    <w:p w14:paraId="6D72B9D7" w14:textId="0178A6CF" w:rsidR="004D2A4F" w:rsidRPr="003658AB" w:rsidRDefault="000F209A" w:rsidP="000F209A">
      <w:pPr>
        <w:pStyle w:val="RegSingleTxtG"/>
        <w:numPr>
          <w:ilvl w:val="0"/>
          <w:numId w:val="0"/>
        </w:numPr>
        <w:tabs>
          <w:tab w:val="left" w:pos="568"/>
        </w:tabs>
        <w:spacing w:before="120"/>
        <w:ind w:left="1134"/>
        <w:rPr>
          <w:i/>
        </w:rPr>
      </w:pPr>
      <w:r w:rsidRPr="003658AB">
        <w:t>17.</w:t>
      </w:r>
      <w:r w:rsidRPr="003658AB">
        <w:tab/>
      </w:r>
      <w:r w:rsidR="004D2A4F" w:rsidRPr="003658AB">
        <w:rPr>
          <w:i/>
        </w:rPr>
        <w:t xml:space="preserve">Invites </w:t>
      </w:r>
      <w:r w:rsidR="004D2A4F" w:rsidRPr="003658AB">
        <w:t>the Climate Technology Centre and Network to continue providing support for enhancing</w:t>
      </w:r>
      <w:r w:rsidR="004D2A4F" w:rsidRPr="0008334D">
        <w:t xml:space="preserve"> the capacity of national designated entities;</w:t>
      </w:r>
    </w:p>
    <w:p w14:paraId="6550709A" w14:textId="4130A00B" w:rsidR="004D2A4F" w:rsidRPr="00FA267B" w:rsidRDefault="000F209A" w:rsidP="000F209A">
      <w:pPr>
        <w:pStyle w:val="RegSingleTxtG"/>
        <w:numPr>
          <w:ilvl w:val="0"/>
          <w:numId w:val="0"/>
        </w:numPr>
        <w:tabs>
          <w:tab w:val="left" w:pos="568"/>
        </w:tabs>
        <w:spacing w:before="120"/>
        <w:ind w:left="1134"/>
        <w:rPr>
          <w:i/>
        </w:rPr>
      </w:pPr>
      <w:r w:rsidRPr="00FA267B">
        <w:t>18.</w:t>
      </w:r>
      <w:r w:rsidRPr="00FA267B">
        <w:tab/>
      </w:r>
      <w:r w:rsidR="004D2A4F" w:rsidRPr="003658AB">
        <w:rPr>
          <w:i/>
        </w:rPr>
        <w:t xml:space="preserve">Also invites </w:t>
      </w:r>
      <w:r w:rsidR="004D2A4F" w:rsidRPr="003658AB">
        <w:t>Parties that have not yet nominated their national designated entities to communicate their nomination to the secretariat through their national focal point.</w:t>
      </w:r>
    </w:p>
    <w:p w14:paraId="59FCBBC1" w14:textId="4EFEEA15" w:rsidR="004D2A4F" w:rsidRPr="00CC4174" w:rsidRDefault="001B336E" w:rsidP="004D2A4F">
      <w:pPr>
        <w:pStyle w:val="RegSingleTxtG"/>
        <w:numPr>
          <w:ilvl w:val="0"/>
          <w:numId w:val="0"/>
        </w:numPr>
        <w:suppressAutoHyphens w:val="0"/>
        <w:autoSpaceDE w:val="0"/>
        <w:autoSpaceDN w:val="0"/>
        <w:adjustRightInd w:val="0"/>
        <w:spacing w:after="0" w:line="240" w:lineRule="auto"/>
        <w:ind w:left="1494" w:right="-1"/>
        <w:jc w:val="right"/>
        <w:rPr>
          <w:i/>
          <w:lang w:eastAsia="en-US"/>
        </w:rPr>
      </w:pPr>
      <w:r>
        <w:rPr>
          <w:i/>
          <w:lang w:eastAsia="en-US"/>
        </w:rPr>
        <w:t>12</w:t>
      </w:r>
      <w:r w:rsidR="004D2A4F" w:rsidRPr="001B336E">
        <w:rPr>
          <w:i/>
          <w:vertAlign w:val="superscript"/>
          <w:lang w:eastAsia="en-US"/>
        </w:rPr>
        <w:t>th</w:t>
      </w:r>
      <w:r w:rsidR="004D2A4F" w:rsidRPr="001B336E">
        <w:rPr>
          <w:i/>
          <w:lang w:eastAsia="en-US"/>
        </w:rPr>
        <w:t xml:space="preserve"> plenary meeting</w:t>
      </w:r>
    </w:p>
    <w:p w14:paraId="02F935FD" w14:textId="77777777" w:rsidR="004D2A4F" w:rsidRDefault="004D2A4F" w:rsidP="004D2A4F">
      <w:pPr>
        <w:pStyle w:val="RegSingleTxtG"/>
        <w:numPr>
          <w:ilvl w:val="0"/>
          <w:numId w:val="0"/>
        </w:numPr>
        <w:suppressAutoHyphens w:val="0"/>
        <w:autoSpaceDE w:val="0"/>
        <w:autoSpaceDN w:val="0"/>
        <w:adjustRightInd w:val="0"/>
        <w:spacing w:after="0" w:line="240" w:lineRule="auto"/>
        <w:ind w:left="1494" w:right="-1"/>
        <w:jc w:val="right"/>
        <w:rPr>
          <w:i/>
          <w:lang w:eastAsia="en-US"/>
        </w:rPr>
        <w:sectPr w:rsidR="004D2A4F" w:rsidSect="0024232D">
          <w:headerReference w:type="even" r:id="rId21"/>
          <w:headerReference w:type="default" r:id="rId22"/>
          <w:footerReference w:type="even" r:id="rId23"/>
          <w:footerReference w:type="default" r:id="rId24"/>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2D98DFE3" w14:textId="77777777" w:rsidR="004D2A4F" w:rsidRDefault="004D2A4F" w:rsidP="004D2A4F">
      <w:pPr>
        <w:pStyle w:val="HChG"/>
      </w:pPr>
      <w:r>
        <w:lastRenderedPageBreak/>
        <w:tab/>
      </w:r>
      <w:r>
        <w:tab/>
        <w:t>Decision 16/CP.23</w:t>
      </w:r>
    </w:p>
    <w:p w14:paraId="5CD1CB0D" w14:textId="77777777" w:rsidR="004D2A4F" w:rsidRDefault="004D2A4F" w:rsidP="004D2A4F">
      <w:pPr>
        <w:pStyle w:val="HChG"/>
      </w:pPr>
      <w:r>
        <w:tab/>
      </w:r>
      <w:r>
        <w:tab/>
      </w:r>
      <w:r w:rsidRPr="00791B54">
        <w:t>Annual technical progress report of the Paris Committee on Capacity-building for 2017</w:t>
      </w:r>
    </w:p>
    <w:p w14:paraId="77679C6B" w14:textId="77777777" w:rsidR="004D2A4F" w:rsidRPr="000754FC" w:rsidRDefault="004D2A4F" w:rsidP="004D2A4F">
      <w:pPr>
        <w:spacing w:before="120"/>
        <w:ind w:left="1134" w:right="1174" w:firstLine="567"/>
        <w:rPr>
          <w:i/>
        </w:rPr>
      </w:pPr>
      <w:r w:rsidRPr="000754FC">
        <w:rPr>
          <w:i/>
        </w:rPr>
        <w:t>The Conference of the Parties</w:t>
      </w:r>
      <w:r w:rsidRPr="003F5A5B">
        <w:t>,</w:t>
      </w:r>
    </w:p>
    <w:p w14:paraId="5CE8A7E2" w14:textId="77777777" w:rsidR="004D2A4F" w:rsidRDefault="004D2A4F" w:rsidP="004D2A4F">
      <w:pPr>
        <w:spacing w:before="120"/>
        <w:ind w:left="1134" w:right="1174" w:firstLine="567"/>
      </w:pPr>
      <w:r w:rsidRPr="000754FC">
        <w:rPr>
          <w:i/>
        </w:rPr>
        <w:t>Recalling</w:t>
      </w:r>
      <w:r>
        <w:t xml:space="preserve"> </w:t>
      </w:r>
      <w:r w:rsidRPr="00D34157">
        <w:t>decisions 2/CP.17, 1/CP.21, 2/CP.22 and 16/CP.22,</w:t>
      </w:r>
    </w:p>
    <w:p w14:paraId="647D8269" w14:textId="3123B056" w:rsidR="004D2A4F" w:rsidRDefault="000F209A" w:rsidP="000F209A">
      <w:pPr>
        <w:pStyle w:val="RegSingleTxtG"/>
        <w:numPr>
          <w:ilvl w:val="0"/>
          <w:numId w:val="0"/>
        </w:numPr>
        <w:spacing w:before="120"/>
        <w:ind w:left="1134"/>
      </w:pPr>
      <w:r>
        <w:t>1.</w:t>
      </w:r>
      <w:r>
        <w:tab/>
      </w:r>
      <w:r w:rsidR="004D2A4F" w:rsidRPr="00282D14">
        <w:rPr>
          <w:i/>
        </w:rPr>
        <w:t>Emphasizes</w:t>
      </w:r>
      <w:r w:rsidR="004D2A4F" w:rsidRPr="00D34157">
        <w:t xml:space="preserve"> the importance of addressing the capacity gaps and needs, both current and emerging, related to implementing capacity-building activities in developing country Parties;</w:t>
      </w:r>
    </w:p>
    <w:p w14:paraId="3E00D2E8" w14:textId="1FFFBDDE" w:rsidR="004D2A4F" w:rsidRDefault="000F209A" w:rsidP="000F209A">
      <w:pPr>
        <w:pStyle w:val="RegSingleTxtG"/>
        <w:numPr>
          <w:ilvl w:val="0"/>
          <w:numId w:val="0"/>
        </w:numPr>
        <w:ind w:left="1134"/>
      </w:pPr>
      <w:r>
        <w:t>2.</w:t>
      </w:r>
      <w:r>
        <w:tab/>
      </w:r>
      <w:r w:rsidR="004D2A4F" w:rsidRPr="00D34157">
        <w:rPr>
          <w:i/>
        </w:rPr>
        <w:t>Appreciates</w:t>
      </w:r>
      <w:r w:rsidR="004D2A4F" w:rsidRPr="00D34157">
        <w:t xml:space="preserve"> the work of the Paris Committee on Capacity-building in its first year</w:t>
      </w:r>
      <w:r w:rsidR="004D2A4F" w:rsidRPr="00791B54">
        <w:t>;</w:t>
      </w:r>
    </w:p>
    <w:p w14:paraId="40A7E32D" w14:textId="21B10B00" w:rsidR="004D2A4F" w:rsidRDefault="000F209A" w:rsidP="000F209A">
      <w:pPr>
        <w:pStyle w:val="RegSingleTxtG"/>
        <w:numPr>
          <w:ilvl w:val="0"/>
          <w:numId w:val="0"/>
        </w:numPr>
        <w:ind w:left="1134"/>
      </w:pPr>
      <w:r>
        <w:t>3.</w:t>
      </w:r>
      <w:r>
        <w:tab/>
      </w:r>
      <w:r w:rsidR="004D2A4F" w:rsidRPr="00D34157">
        <w:rPr>
          <w:i/>
        </w:rPr>
        <w:t>Welcomes</w:t>
      </w:r>
      <w:r w:rsidR="004D2A4F" w:rsidRPr="00D34157">
        <w:t xml:space="preserve"> the annual technical progress report of the Paris Committee on Capacity-building for 2017,</w:t>
      </w:r>
      <w:r w:rsidR="004D2A4F" w:rsidRPr="00D34157">
        <w:rPr>
          <w:rStyle w:val="FootnoteReference"/>
        </w:rPr>
        <w:footnoteReference w:id="17"/>
      </w:r>
      <w:r w:rsidR="004D2A4F" w:rsidRPr="00D34157">
        <w:t xml:space="preserve"> taking note of the recommendations contained therein</w:t>
      </w:r>
      <w:r w:rsidR="004D2A4F">
        <w:t>;</w:t>
      </w:r>
    </w:p>
    <w:p w14:paraId="6C02636D" w14:textId="7C5345FE" w:rsidR="004D2A4F" w:rsidRDefault="000F209A" w:rsidP="000F209A">
      <w:pPr>
        <w:pStyle w:val="RegSingleTxtG"/>
        <w:numPr>
          <w:ilvl w:val="0"/>
          <w:numId w:val="0"/>
        </w:numPr>
        <w:ind w:left="1134"/>
      </w:pPr>
      <w:r>
        <w:t>4.</w:t>
      </w:r>
      <w:r>
        <w:tab/>
      </w:r>
      <w:r w:rsidR="004D2A4F" w:rsidRPr="00D34157">
        <w:rPr>
          <w:i/>
        </w:rPr>
        <w:t>Takes note</w:t>
      </w:r>
      <w:r w:rsidR="004D2A4F" w:rsidRPr="00D34157">
        <w:t xml:space="preserve"> of the rules of procedure and working modalities of the Paris Committee on Capacity-building;</w:t>
      </w:r>
      <w:r w:rsidR="004D2A4F" w:rsidRPr="00D34157">
        <w:rPr>
          <w:rStyle w:val="FootnoteReference"/>
        </w:rPr>
        <w:footnoteReference w:id="18"/>
      </w:r>
      <w:r w:rsidR="004D2A4F">
        <w:t xml:space="preserve"> </w:t>
      </w:r>
    </w:p>
    <w:p w14:paraId="3DB5C2CE" w14:textId="2EA147FB" w:rsidR="004D2A4F" w:rsidRDefault="000F209A" w:rsidP="000F209A">
      <w:pPr>
        <w:pStyle w:val="RegSingleTxtG"/>
        <w:numPr>
          <w:ilvl w:val="0"/>
          <w:numId w:val="0"/>
        </w:numPr>
        <w:ind w:left="1134"/>
      </w:pPr>
      <w:r>
        <w:t>5.</w:t>
      </w:r>
      <w:r>
        <w:tab/>
      </w:r>
      <w:r w:rsidR="004D2A4F" w:rsidRPr="00D34157">
        <w:rPr>
          <w:i/>
        </w:rPr>
        <w:t>Also takes note</w:t>
      </w:r>
      <w:r w:rsidR="004D2A4F" w:rsidRPr="00D34157">
        <w:t xml:space="preserve"> of the rolling workplan of the Paris Committee on Capacity-building for 2017–2019;</w:t>
      </w:r>
      <w:r w:rsidR="004D2A4F" w:rsidRPr="00D34157">
        <w:rPr>
          <w:rStyle w:val="FootnoteReference"/>
        </w:rPr>
        <w:footnoteReference w:id="19"/>
      </w:r>
    </w:p>
    <w:p w14:paraId="56202CDC" w14:textId="1A50F3AF" w:rsidR="004D2A4F" w:rsidRPr="00D34157" w:rsidRDefault="000F209A" w:rsidP="000F209A">
      <w:pPr>
        <w:pStyle w:val="RegSingleTxtG"/>
        <w:numPr>
          <w:ilvl w:val="0"/>
          <w:numId w:val="0"/>
        </w:numPr>
        <w:ind w:left="1134"/>
      </w:pPr>
      <w:r w:rsidRPr="00D34157">
        <w:t>6.</w:t>
      </w:r>
      <w:r w:rsidRPr="00D34157">
        <w:tab/>
      </w:r>
      <w:r w:rsidR="004D2A4F" w:rsidRPr="00A07EC9">
        <w:rPr>
          <w:i/>
        </w:rPr>
        <w:t>Invites</w:t>
      </w:r>
      <w:r w:rsidR="004D2A4F" w:rsidRPr="00D34157">
        <w:t xml:space="preserve"> Parties and relevant institutions to provide support and resources to the </w:t>
      </w:r>
      <w:r w:rsidR="004D2A4F" w:rsidRPr="00C47359">
        <w:t xml:space="preserve">Paris Committee on Capacity-building </w:t>
      </w:r>
      <w:r w:rsidR="004D2A4F" w:rsidRPr="00D34157">
        <w:t>in implementing its 2017</w:t>
      </w:r>
      <w:r w:rsidR="004D2A4F">
        <w:t>–</w:t>
      </w:r>
      <w:r w:rsidR="004D2A4F" w:rsidRPr="00D34157">
        <w:t xml:space="preserve">2019 workplan in </w:t>
      </w:r>
      <w:r w:rsidR="0051007F">
        <w:t xml:space="preserve">the </w:t>
      </w:r>
      <w:r w:rsidR="004D2A4F" w:rsidRPr="00D34157">
        <w:t xml:space="preserve">light of the aim of the </w:t>
      </w:r>
      <w:r w:rsidR="004D2A4F" w:rsidRPr="00C47359">
        <w:t>Paris Committee on Capacity-building</w:t>
      </w:r>
      <w:r w:rsidR="004D2A4F" w:rsidRPr="00D34157">
        <w:t xml:space="preserve">, established </w:t>
      </w:r>
      <w:r w:rsidR="004D2A4F">
        <w:t>by</w:t>
      </w:r>
      <w:r w:rsidR="004D2A4F" w:rsidRPr="00D34157">
        <w:t xml:space="preserve"> decision 1/CP.21;</w:t>
      </w:r>
    </w:p>
    <w:p w14:paraId="2B65D46F" w14:textId="03E243D5" w:rsidR="004D2A4F" w:rsidRPr="00D34157" w:rsidRDefault="000F209A" w:rsidP="000F209A">
      <w:pPr>
        <w:pStyle w:val="RegSingleTxtG"/>
        <w:numPr>
          <w:ilvl w:val="0"/>
          <w:numId w:val="0"/>
        </w:numPr>
        <w:ind w:left="1134"/>
      </w:pPr>
      <w:r w:rsidRPr="00D34157">
        <w:t>7.</w:t>
      </w:r>
      <w:r w:rsidRPr="00D34157">
        <w:tab/>
      </w:r>
      <w:r w:rsidR="004D2A4F" w:rsidRPr="00A07EC9">
        <w:rPr>
          <w:i/>
        </w:rPr>
        <w:t>Encourages</w:t>
      </w:r>
      <w:r w:rsidR="004D2A4F" w:rsidRPr="00D34157">
        <w:t xml:space="preserve"> the </w:t>
      </w:r>
      <w:r w:rsidR="004D2A4F" w:rsidRPr="002E4C75">
        <w:t>Pari</w:t>
      </w:r>
      <w:r w:rsidR="004D2A4F">
        <w:t>s Committee on Capacity-building</w:t>
      </w:r>
      <w:r w:rsidR="004D2A4F" w:rsidRPr="00D34157">
        <w:t>, when implementing its workplan</w:t>
      </w:r>
      <w:r w:rsidR="004D2A4F">
        <w:t>,</w:t>
      </w:r>
      <w:r w:rsidR="004D2A4F" w:rsidRPr="00D34157">
        <w:t xml:space="preserve"> to identify and collaborate with institutions and other stakeholders with relevant expertise, tools and resources, including bodies established under the Convention</w:t>
      </w:r>
      <w:r w:rsidR="004D2A4F">
        <w:t>;</w:t>
      </w:r>
    </w:p>
    <w:p w14:paraId="7C936376" w14:textId="3C3622CF" w:rsidR="004D2A4F" w:rsidRPr="00D34157" w:rsidRDefault="000F209A" w:rsidP="000F209A">
      <w:pPr>
        <w:pStyle w:val="RegSingleTxtG"/>
        <w:numPr>
          <w:ilvl w:val="0"/>
          <w:numId w:val="0"/>
        </w:numPr>
        <w:ind w:left="1134"/>
      </w:pPr>
      <w:r w:rsidRPr="00D34157">
        <w:t>8.</w:t>
      </w:r>
      <w:r w:rsidRPr="00D34157">
        <w:tab/>
      </w:r>
      <w:r w:rsidR="004D2A4F" w:rsidRPr="00D34157">
        <w:rPr>
          <w:i/>
        </w:rPr>
        <w:t>Takes note</w:t>
      </w:r>
      <w:r w:rsidR="004D2A4F" w:rsidRPr="00D34157">
        <w:t xml:space="preserve"> of the decision of the Paris Committee on Capacity-building to continue its 2017 focus area or theme of capacity-building activities for the implementation of nationally determined contributions in the context of the Paris Agreement in 2018;</w:t>
      </w:r>
      <w:r w:rsidR="004D2A4F" w:rsidRPr="00D34157">
        <w:rPr>
          <w:rStyle w:val="FootnoteReference"/>
        </w:rPr>
        <w:footnoteReference w:id="20"/>
      </w:r>
    </w:p>
    <w:p w14:paraId="0140C3CE" w14:textId="2AEC0986" w:rsidR="004D2A4F" w:rsidRPr="00D34157" w:rsidRDefault="000F209A" w:rsidP="000F209A">
      <w:pPr>
        <w:pStyle w:val="RegSingleTxtG"/>
        <w:numPr>
          <w:ilvl w:val="0"/>
          <w:numId w:val="0"/>
        </w:numPr>
        <w:ind w:left="1134"/>
      </w:pPr>
      <w:r w:rsidRPr="00D34157">
        <w:t>9.</w:t>
      </w:r>
      <w:r w:rsidRPr="00D34157">
        <w:tab/>
      </w:r>
      <w:r w:rsidR="004D2A4F" w:rsidRPr="00D34157">
        <w:rPr>
          <w:i/>
        </w:rPr>
        <w:t>Requests</w:t>
      </w:r>
      <w:r w:rsidR="004D2A4F" w:rsidRPr="00D34157">
        <w:t xml:space="preserve"> the Subsidiary Body for Implementation to thematically align the next Durban Forum with the 2017–2018 focus area or theme of the Paris Committee on Capacity-building, taking note of the recommendation of the committee contained in its 2017 technical progress report;</w:t>
      </w:r>
    </w:p>
    <w:p w14:paraId="2CA46EA2" w14:textId="59E46B0F" w:rsidR="004D2A4F" w:rsidRPr="00D34157" w:rsidRDefault="000F209A" w:rsidP="000F209A">
      <w:pPr>
        <w:pStyle w:val="RegSingleTxtG"/>
        <w:numPr>
          <w:ilvl w:val="0"/>
          <w:numId w:val="0"/>
        </w:numPr>
        <w:ind w:left="1134"/>
      </w:pPr>
      <w:r w:rsidRPr="00D34157">
        <w:t>10.</w:t>
      </w:r>
      <w:r w:rsidRPr="00D34157">
        <w:tab/>
      </w:r>
      <w:r w:rsidR="004D2A4F">
        <w:rPr>
          <w:i/>
        </w:rPr>
        <w:t>Also r</w:t>
      </w:r>
      <w:r w:rsidR="004D2A4F" w:rsidRPr="00D34157">
        <w:rPr>
          <w:i/>
        </w:rPr>
        <w:t>equests</w:t>
      </w:r>
      <w:r w:rsidR="004D2A4F" w:rsidRPr="00D34157">
        <w:t xml:space="preserve"> the secretariat to help </w:t>
      </w:r>
      <w:r w:rsidR="004D2A4F">
        <w:t xml:space="preserve">to </w:t>
      </w:r>
      <w:r w:rsidR="004D2A4F" w:rsidRPr="00D34157">
        <w:t>identify communication modalities that would better accommodate the intersessional work of the Paris Committee on Capacity-building.</w:t>
      </w:r>
    </w:p>
    <w:p w14:paraId="3B350A8E" w14:textId="1807A05E" w:rsidR="004D2A4F" w:rsidRPr="00CC4174" w:rsidRDefault="001B336E" w:rsidP="004D2A4F">
      <w:pPr>
        <w:pStyle w:val="RegSingleTxtG"/>
        <w:numPr>
          <w:ilvl w:val="0"/>
          <w:numId w:val="0"/>
        </w:numPr>
        <w:suppressAutoHyphens w:val="0"/>
        <w:autoSpaceDE w:val="0"/>
        <w:autoSpaceDN w:val="0"/>
        <w:adjustRightInd w:val="0"/>
        <w:spacing w:after="0" w:line="240" w:lineRule="auto"/>
        <w:ind w:left="1494" w:right="-1"/>
        <w:jc w:val="right"/>
        <w:rPr>
          <w:i/>
          <w:lang w:eastAsia="en-US"/>
        </w:rPr>
      </w:pPr>
      <w:r>
        <w:rPr>
          <w:i/>
          <w:lang w:eastAsia="en-US"/>
        </w:rPr>
        <w:t>12</w:t>
      </w:r>
      <w:r w:rsidR="004D2A4F" w:rsidRPr="001B336E">
        <w:rPr>
          <w:i/>
          <w:vertAlign w:val="superscript"/>
          <w:lang w:eastAsia="en-US"/>
        </w:rPr>
        <w:t>th</w:t>
      </w:r>
      <w:r w:rsidR="004D2A4F" w:rsidRPr="001B336E">
        <w:rPr>
          <w:i/>
          <w:lang w:eastAsia="en-US"/>
        </w:rPr>
        <w:t xml:space="preserve"> plenary meeting</w:t>
      </w:r>
    </w:p>
    <w:p w14:paraId="7E56DF11" w14:textId="77777777" w:rsidR="004D2A4F" w:rsidRDefault="004D2A4F" w:rsidP="004D2A4F">
      <w:pPr>
        <w:pStyle w:val="RegSingleTxtG"/>
        <w:numPr>
          <w:ilvl w:val="0"/>
          <w:numId w:val="0"/>
        </w:numPr>
        <w:suppressAutoHyphens w:val="0"/>
        <w:autoSpaceDE w:val="0"/>
        <w:autoSpaceDN w:val="0"/>
        <w:adjustRightInd w:val="0"/>
        <w:spacing w:after="0" w:line="240" w:lineRule="auto"/>
        <w:ind w:left="1494" w:right="-1"/>
        <w:jc w:val="right"/>
        <w:rPr>
          <w:i/>
          <w:lang w:eastAsia="en-US"/>
        </w:rPr>
        <w:sectPr w:rsidR="004D2A4F" w:rsidSect="0024232D">
          <w:headerReference w:type="even" r:id="rId25"/>
          <w:headerReference w:type="default" r:id="rId26"/>
          <w:footerReference w:type="even" r:id="rId27"/>
          <w:footerReference w:type="default" r:id="rId28"/>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65B890CD" w14:textId="77777777" w:rsidR="004D2A4F" w:rsidRDefault="004D2A4F" w:rsidP="004D2A4F">
      <w:pPr>
        <w:pStyle w:val="HChG"/>
      </w:pPr>
      <w:r>
        <w:lastRenderedPageBreak/>
        <w:tab/>
      </w:r>
      <w:r>
        <w:tab/>
        <w:t>Decision 17/CP.23</w:t>
      </w:r>
    </w:p>
    <w:p w14:paraId="7497EB9A" w14:textId="77777777" w:rsidR="004D2A4F" w:rsidRDefault="004D2A4F" w:rsidP="004D2A4F">
      <w:pPr>
        <w:pStyle w:val="HChG"/>
      </w:pPr>
      <w:r>
        <w:rPr>
          <w:szCs w:val="28"/>
          <w:lang w:val="en-US"/>
        </w:rPr>
        <w:tab/>
      </w:r>
      <w:r>
        <w:rPr>
          <w:szCs w:val="28"/>
          <w:lang w:val="en-US"/>
        </w:rPr>
        <w:tab/>
      </w:r>
      <w:r w:rsidRPr="007763E2">
        <w:rPr>
          <w:szCs w:val="28"/>
          <w:lang w:val="en-US"/>
        </w:rPr>
        <w:t>Fourth review of the implementation of the framework for capacity-building in countries with economies in transition</w:t>
      </w:r>
    </w:p>
    <w:p w14:paraId="033658B4" w14:textId="77777777" w:rsidR="004D2A4F" w:rsidRPr="000754FC" w:rsidRDefault="004D2A4F" w:rsidP="004D2A4F">
      <w:pPr>
        <w:spacing w:before="120"/>
        <w:ind w:left="1134" w:right="1174" w:firstLine="567"/>
        <w:jc w:val="both"/>
        <w:rPr>
          <w:i/>
        </w:rPr>
      </w:pPr>
      <w:r w:rsidRPr="000754FC">
        <w:rPr>
          <w:i/>
        </w:rPr>
        <w:t>The Conference of the Parties</w:t>
      </w:r>
      <w:r w:rsidRPr="003F5A5B">
        <w:t>,</w:t>
      </w:r>
    </w:p>
    <w:p w14:paraId="56F59847" w14:textId="77777777" w:rsidR="004D2A4F" w:rsidRDefault="004D2A4F" w:rsidP="004D2A4F">
      <w:pPr>
        <w:spacing w:before="120"/>
        <w:ind w:left="1134" w:right="1174" w:firstLine="567"/>
        <w:jc w:val="both"/>
      </w:pPr>
      <w:r w:rsidRPr="000754FC">
        <w:rPr>
          <w:i/>
        </w:rPr>
        <w:t>Recalling</w:t>
      </w:r>
      <w:r>
        <w:t xml:space="preserve"> </w:t>
      </w:r>
      <w:r w:rsidRPr="007763E2">
        <w:rPr>
          <w:noProof/>
        </w:rPr>
        <w:t>decisions 3/CP.7, 9/CP.9, 3/CP.10, 2/CP.17 and 21/CP.18,</w:t>
      </w:r>
    </w:p>
    <w:p w14:paraId="26DFC00D" w14:textId="77777777" w:rsidR="004D2A4F" w:rsidRDefault="004D2A4F" w:rsidP="004D2A4F">
      <w:pPr>
        <w:spacing w:before="120"/>
        <w:ind w:left="1134" w:right="1174" w:firstLine="567"/>
        <w:jc w:val="both"/>
        <w:rPr>
          <w:noProof/>
        </w:rPr>
      </w:pPr>
      <w:r w:rsidRPr="000754FC">
        <w:rPr>
          <w:i/>
        </w:rPr>
        <w:t>Acknowledging</w:t>
      </w:r>
      <w:r>
        <w:t xml:space="preserve"> </w:t>
      </w:r>
      <w:r w:rsidRPr="007763E2">
        <w:rPr>
          <w:noProof/>
        </w:rPr>
        <w:t xml:space="preserve">that capacity-building for countries with economies in transition is essential to enable them to implement effectively their commitments under the Convention, </w:t>
      </w:r>
    </w:p>
    <w:p w14:paraId="70D77E8C" w14:textId="4C73A803" w:rsidR="004D2A4F" w:rsidRDefault="004D2A4F" w:rsidP="004D2A4F">
      <w:pPr>
        <w:spacing w:before="120" w:after="120"/>
        <w:ind w:left="1134" w:right="1174" w:firstLine="567"/>
        <w:jc w:val="both"/>
      </w:pPr>
      <w:r w:rsidRPr="007763E2">
        <w:rPr>
          <w:i/>
          <w:noProof/>
        </w:rPr>
        <w:t xml:space="preserve">Having considered </w:t>
      </w:r>
      <w:r w:rsidRPr="007763E2">
        <w:rPr>
          <w:noProof/>
        </w:rPr>
        <w:t xml:space="preserve">the information provided by Parties, the submissions received in response to the invitations of the Conference of the Parties and the compilation and synthesis report in support of the fourth review of the implementation of the framework for capacity-building in countries with economies in transition established </w:t>
      </w:r>
      <w:r w:rsidR="00376247">
        <w:rPr>
          <w:noProof/>
        </w:rPr>
        <w:t>under</w:t>
      </w:r>
      <w:r w:rsidRPr="007763E2">
        <w:rPr>
          <w:noProof/>
        </w:rPr>
        <w:t xml:space="preserve"> decision 3/CP.7,</w:t>
      </w:r>
    </w:p>
    <w:p w14:paraId="161EBA2C" w14:textId="176D5F0E" w:rsidR="004D2A4F" w:rsidRDefault="000F209A" w:rsidP="000F209A">
      <w:pPr>
        <w:pStyle w:val="RegSingleTxtG"/>
        <w:numPr>
          <w:ilvl w:val="0"/>
          <w:numId w:val="0"/>
        </w:numPr>
        <w:ind w:left="1134"/>
      </w:pPr>
      <w:r>
        <w:t>1.</w:t>
      </w:r>
      <w:r>
        <w:tab/>
      </w:r>
      <w:r w:rsidR="004D2A4F" w:rsidRPr="004D2A4F">
        <w:rPr>
          <w:i/>
        </w:rPr>
        <w:t>Recognizes</w:t>
      </w:r>
      <w:r w:rsidR="004D2A4F" w:rsidRPr="007763E2">
        <w:t xml:space="preserve"> that:</w:t>
      </w:r>
    </w:p>
    <w:p w14:paraId="33D8E075" w14:textId="53D11708" w:rsidR="004D2A4F" w:rsidRDefault="000F209A" w:rsidP="000F209A">
      <w:pPr>
        <w:pStyle w:val="RegSingleTxtG2"/>
        <w:numPr>
          <w:ilvl w:val="0"/>
          <w:numId w:val="0"/>
        </w:numPr>
        <w:ind w:left="1134" w:firstLine="567"/>
      </w:pPr>
      <w:r>
        <w:rPr>
          <w:szCs w:val="28"/>
        </w:rPr>
        <w:t>(a)</w:t>
      </w:r>
      <w:r>
        <w:rPr>
          <w:szCs w:val="28"/>
        </w:rPr>
        <w:tab/>
      </w:r>
      <w:r w:rsidR="004D2A4F" w:rsidRPr="007763E2">
        <w:t>Significant progress has been made in building the capacity of countries with economies in transition to mitigate and adapt to climate change, and that some recipients of assistance have started to transfer their own expertise, knowledge and lessons learned on capacity-building to Parties not included in Annex I to the Convention;</w:t>
      </w:r>
    </w:p>
    <w:p w14:paraId="2227C45E" w14:textId="718D465B" w:rsidR="004D2A4F" w:rsidRDefault="000F209A" w:rsidP="000F209A">
      <w:pPr>
        <w:pStyle w:val="RegSingleTxtG2"/>
        <w:numPr>
          <w:ilvl w:val="0"/>
          <w:numId w:val="0"/>
        </w:numPr>
        <w:ind w:left="1134" w:firstLine="567"/>
      </w:pPr>
      <w:r>
        <w:rPr>
          <w:szCs w:val="28"/>
        </w:rPr>
        <w:t>(b)</w:t>
      </w:r>
      <w:r>
        <w:rPr>
          <w:szCs w:val="28"/>
        </w:rPr>
        <w:tab/>
      </w:r>
      <w:r w:rsidR="004D2A4F" w:rsidRPr="007763E2">
        <w:t xml:space="preserve">Parties included in Annex I to the Convention and the Global Environment Facility, within its mandate, have provided adequate resources and assistance for the implementation of the framework for capacity-building in countries with economies in transition established </w:t>
      </w:r>
      <w:r w:rsidR="00376247">
        <w:t>under</w:t>
      </w:r>
      <w:r w:rsidR="004D2A4F" w:rsidRPr="007763E2">
        <w:t xml:space="preserve"> decision 3/CP.7;</w:t>
      </w:r>
    </w:p>
    <w:p w14:paraId="6AA51826" w14:textId="32F4B9EB" w:rsidR="004D2A4F" w:rsidRDefault="000F209A" w:rsidP="000F209A">
      <w:pPr>
        <w:pStyle w:val="RegSingleTxtG2"/>
        <w:numPr>
          <w:ilvl w:val="0"/>
          <w:numId w:val="0"/>
        </w:numPr>
        <w:ind w:left="1134" w:firstLine="567"/>
      </w:pPr>
      <w:r>
        <w:rPr>
          <w:szCs w:val="28"/>
        </w:rPr>
        <w:t>(c)</w:t>
      </w:r>
      <w:r>
        <w:rPr>
          <w:szCs w:val="28"/>
        </w:rPr>
        <w:tab/>
      </w:r>
      <w:r w:rsidR="004D2A4F" w:rsidRPr="007763E2">
        <w:t>Support was also provided to countries with economies in transition by multilateral development banks and international financial institutions;</w:t>
      </w:r>
    </w:p>
    <w:p w14:paraId="5A9C4704" w14:textId="3A1E2EC3" w:rsidR="004D2A4F" w:rsidRDefault="000F209A" w:rsidP="000F209A">
      <w:pPr>
        <w:pStyle w:val="RegSingleTxtG2"/>
        <w:numPr>
          <w:ilvl w:val="0"/>
          <w:numId w:val="0"/>
        </w:numPr>
        <w:ind w:left="1134" w:firstLine="567"/>
      </w:pPr>
      <w:r>
        <w:rPr>
          <w:szCs w:val="28"/>
        </w:rPr>
        <w:t>(d)</w:t>
      </w:r>
      <w:r>
        <w:rPr>
          <w:szCs w:val="28"/>
        </w:rPr>
        <w:tab/>
      </w:r>
      <w:r w:rsidR="004D2A4F" w:rsidRPr="007763E2">
        <w:t>Countries with economies in transition that are currently receiving support, notwithstanding the progress made, are in need of further capacity-building, in particular for the development and implementation of national low-carbon development strategies consistent with their national priorities and with their emission reduction targets;</w:t>
      </w:r>
    </w:p>
    <w:p w14:paraId="385D3CCB" w14:textId="42E72FB6" w:rsidR="004D2A4F" w:rsidRDefault="000F209A" w:rsidP="000F209A">
      <w:pPr>
        <w:pStyle w:val="RegSingleTxtG"/>
        <w:numPr>
          <w:ilvl w:val="0"/>
          <w:numId w:val="0"/>
        </w:numPr>
        <w:ind w:left="1134"/>
      </w:pPr>
      <w:r>
        <w:t>2.</w:t>
      </w:r>
      <w:r>
        <w:tab/>
      </w:r>
      <w:r w:rsidR="004D2A4F" w:rsidRPr="00B4280F">
        <w:rPr>
          <w:i/>
        </w:rPr>
        <w:t xml:space="preserve">Reaffirms </w:t>
      </w:r>
      <w:r w:rsidR="004D2A4F" w:rsidRPr="007763E2">
        <w:t>that the scope of the needs identified in the framework for capacity-building in countries with economies in transition established under decision 3/CP.7 and the key factors identified in decision 3/CP.10 remain relevant and continue to be the basis for, and guide the implementation of, capacity-building activities in countries with economies in transition that are currently receiving support</w:t>
      </w:r>
      <w:r w:rsidR="004D2A4F">
        <w:t>;</w:t>
      </w:r>
    </w:p>
    <w:p w14:paraId="6BF21781" w14:textId="2DC392E5" w:rsidR="004D2A4F" w:rsidRDefault="000F209A" w:rsidP="000F209A">
      <w:pPr>
        <w:pStyle w:val="RegSingleTxtG"/>
        <w:numPr>
          <w:ilvl w:val="0"/>
          <w:numId w:val="0"/>
        </w:numPr>
        <w:ind w:left="1134"/>
      </w:pPr>
      <w:r>
        <w:t>3.</w:t>
      </w:r>
      <w:r>
        <w:tab/>
      </w:r>
      <w:r w:rsidR="004D2A4F" w:rsidRPr="00B4280F">
        <w:rPr>
          <w:i/>
        </w:rPr>
        <w:t>Invites</w:t>
      </w:r>
      <w:r w:rsidR="004D2A4F" w:rsidRPr="007763E2">
        <w:t xml:space="preserve"> Parties included in Annex II to the Convention and other Parties in a position to do so, the Global Environment Facility, multilateral and bilateral agencies, international organizations, multilateral development banks, international financial institutions and the private sector, or any further arrangements, as appropriate and within their mandates, to continue to provide support for capacity-building activities in countries with economies in transition that are currently receiving support;</w:t>
      </w:r>
    </w:p>
    <w:p w14:paraId="417C8EF3" w14:textId="0E27F3E0" w:rsidR="004D2A4F" w:rsidRDefault="000F209A" w:rsidP="000F209A">
      <w:pPr>
        <w:pStyle w:val="RegSingleTxtG"/>
        <w:numPr>
          <w:ilvl w:val="0"/>
          <w:numId w:val="0"/>
        </w:numPr>
        <w:ind w:left="1134"/>
      </w:pPr>
      <w:r>
        <w:t>4.</w:t>
      </w:r>
      <w:r>
        <w:tab/>
      </w:r>
      <w:r w:rsidR="004D2A4F" w:rsidRPr="00B4280F">
        <w:rPr>
          <w:i/>
        </w:rPr>
        <w:t>Decides</w:t>
      </w:r>
      <w:r w:rsidR="004D2A4F" w:rsidRPr="007763E2">
        <w:t xml:space="preserve"> to conclude the fourth review, and </w:t>
      </w:r>
      <w:r w:rsidR="004D2A4F" w:rsidRPr="00B4280F">
        <w:rPr>
          <w:i/>
        </w:rPr>
        <w:t>request</w:t>
      </w:r>
      <w:r w:rsidR="004D2A4F">
        <w:rPr>
          <w:i/>
        </w:rPr>
        <w:t>s</w:t>
      </w:r>
      <w:r w:rsidR="004D2A4F" w:rsidRPr="007763E2">
        <w:t xml:space="preserve"> the </w:t>
      </w:r>
      <w:r w:rsidR="004D2A4F">
        <w:t>Subsidiary Body for Implementation</w:t>
      </w:r>
      <w:r w:rsidR="004D2A4F" w:rsidRPr="007763E2">
        <w:t xml:space="preserve">, </w:t>
      </w:r>
      <w:r w:rsidR="004D2A4F">
        <w:t xml:space="preserve">at </w:t>
      </w:r>
      <w:r w:rsidR="004D2A4F" w:rsidRPr="007763E2">
        <w:t>its session</w:t>
      </w:r>
      <w:r w:rsidR="004D2A4F">
        <w:t xml:space="preserve"> </w:t>
      </w:r>
      <w:r w:rsidR="00376247">
        <w:t xml:space="preserve">to be held in </w:t>
      </w:r>
      <w:r w:rsidR="004D2A4F">
        <w:t>June 2020</w:t>
      </w:r>
      <w:r w:rsidR="004D2A4F" w:rsidRPr="007763E2">
        <w:t>, to initiate the fifth review of the implementation of the framework for capacity-building in countries with economies in transition with a view to completing this review at the twenty-sixth session of the Conference of the Parties</w:t>
      </w:r>
      <w:r w:rsidR="004D2A4F">
        <w:t xml:space="preserve"> (November 2020)</w:t>
      </w:r>
      <w:r w:rsidR="004D2A4F" w:rsidRPr="007763E2">
        <w:t>.</w:t>
      </w:r>
    </w:p>
    <w:p w14:paraId="6284C715" w14:textId="255373C1" w:rsidR="004D2A4F" w:rsidRPr="00CC4174" w:rsidRDefault="000D0389" w:rsidP="004D2A4F">
      <w:pPr>
        <w:pStyle w:val="RegSingleTxtG"/>
        <w:numPr>
          <w:ilvl w:val="0"/>
          <w:numId w:val="0"/>
        </w:numPr>
        <w:suppressAutoHyphens w:val="0"/>
        <w:autoSpaceDE w:val="0"/>
        <w:autoSpaceDN w:val="0"/>
        <w:adjustRightInd w:val="0"/>
        <w:spacing w:after="0" w:line="240" w:lineRule="auto"/>
        <w:ind w:left="1494" w:right="-1"/>
        <w:jc w:val="right"/>
        <w:rPr>
          <w:i/>
          <w:lang w:eastAsia="en-US"/>
        </w:rPr>
      </w:pPr>
      <w:r>
        <w:rPr>
          <w:i/>
          <w:lang w:eastAsia="en-US"/>
        </w:rPr>
        <w:t>12</w:t>
      </w:r>
      <w:r w:rsidR="004D2A4F" w:rsidRPr="000D0389">
        <w:rPr>
          <w:i/>
          <w:vertAlign w:val="superscript"/>
          <w:lang w:eastAsia="en-US"/>
        </w:rPr>
        <w:t>th</w:t>
      </w:r>
      <w:r w:rsidR="004D2A4F" w:rsidRPr="000D0389">
        <w:rPr>
          <w:i/>
          <w:lang w:eastAsia="en-US"/>
        </w:rPr>
        <w:t xml:space="preserve"> plenary meeting</w:t>
      </w:r>
    </w:p>
    <w:p w14:paraId="40D49BF0" w14:textId="77777777" w:rsidR="004D2A4F" w:rsidRDefault="004D2A4F" w:rsidP="004D2A4F">
      <w:pPr>
        <w:pStyle w:val="RegSingleTxtG"/>
        <w:numPr>
          <w:ilvl w:val="0"/>
          <w:numId w:val="0"/>
        </w:numPr>
        <w:suppressAutoHyphens w:val="0"/>
        <w:autoSpaceDE w:val="0"/>
        <w:autoSpaceDN w:val="0"/>
        <w:adjustRightInd w:val="0"/>
        <w:spacing w:after="0" w:line="240" w:lineRule="auto"/>
        <w:ind w:left="1494" w:right="-1"/>
        <w:jc w:val="right"/>
        <w:rPr>
          <w:i/>
          <w:lang w:eastAsia="en-US"/>
        </w:rPr>
        <w:sectPr w:rsidR="004D2A4F" w:rsidSect="0024232D">
          <w:headerReference w:type="even" r:id="rId29"/>
          <w:headerReference w:type="default" r:id="rId30"/>
          <w:footerReference w:type="even" r:id="rId31"/>
          <w:footerReference w:type="default" r:id="rId32"/>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376F2E7D" w14:textId="77777777" w:rsidR="004D2A4F" w:rsidRDefault="00173478" w:rsidP="004D2A4F">
      <w:pPr>
        <w:pStyle w:val="HChG"/>
      </w:pPr>
      <w:r>
        <w:lastRenderedPageBreak/>
        <w:tab/>
      </w:r>
      <w:r>
        <w:tab/>
      </w:r>
      <w:r w:rsidR="004D2A4F">
        <w:t>Decision 18/CP.23</w:t>
      </w:r>
    </w:p>
    <w:p w14:paraId="3F574541" w14:textId="77777777" w:rsidR="004D2A4F" w:rsidRDefault="004D2A4F" w:rsidP="004D2A4F">
      <w:pPr>
        <w:pStyle w:val="HChG"/>
      </w:pPr>
      <w:r>
        <w:tab/>
      </w:r>
      <w:r>
        <w:tab/>
        <w:t xml:space="preserve">Scope of the next periodic review of the long-term global goal under the Convention and of overall progress towards achieving it </w:t>
      </w:r>
    </w:p>
    <w:p w14:paraId="1208B245" w14:textId="77777777" w:rsidR="004D2A4F" w:rsidRDefault="004D2A4F" w:rsidP="004D2A4F">
      <w:pPr>
        <w:spacing w:before="120"/>
        <w:ind w:left="1134" w:right="1174" w:firstLine="567"/>
        <w:jc w:val="both"/>
      </w:pPr>
      <w:r>
        <w:rPr>
          <w:i/>
          <w:iCs/>
        </w:rPr>
        <w:t xml:space="preserve">The </w:t>
      </w:r>
      <w:r w:rsidRPr="004D2A4F">
        <w:rPr>
          <w:i/>
        </w:rPr>
        <w:t>Conference</w:t>
      </w:r>
      <w:r>
        <w:rPr>
          <w:i/>
          <w:iCs/>
        </w:rPr>
        <w:t xml:space="preserve"> of the Parties</w:t>
      </w:r>
      <w:r>
        <w:t xml:space="preserve">, </w:t>
      </w:r>
    </w:p>
    <w:p w14:paraId="72ABCADE" w14:textId="77777777" w:rsidR="004D2A4F" w:rsidRDefault="004D2A4F" w:rsidP="004D2A4F">
      <w:pPr>
        <w:spacing w:before="120"/>
        <w:ind w:left="1134" w:right="1174" w:firstLine="567"/>
        <w:jc w:val="both"/>
      </w:pPr>
      <w:r w:rsidRPr="004D2A4F">
        <w:rPr>
          <w:i/>
        </w:rPr>
        <w:t>Recalling</w:t>
      </w:r>
      <w:r>
        <w:rPr>
          <w:i/>
          <w:iCs/>
        </w:rPr>
        <w:t xml:space="preserve"> </w:t>
      </w:r>
      <w:r>
        <w:t xml:space="preserve">decision 10/CP.21, paragraph 10, </w:t>
      </w:r>
    </w:p>
    <w:p w14:paraId="4392A3A1" w14:textId="7FE11785" w:rsidR="004D2A4F" w:rsidRDefault="004D2A4F" w:rsidP="004D2A4F">
      <w:pPr>
        <w:spacing w:before="120"/>
        <w:ind w:left="1134" w:right="1174" w:firstLine="567"/>
        <w:jc w:val="both"/>
      </w:pPr>
      <w:r w:rsidRPr="004D2A4F">
        <w:rPr>
          <w:i/>
        </w:rPr>
        <w:t>Noting</w:t>
      </w:r>
      <w:r>
        <w:rPr>
          <w:i/>
          <w:iCs/>
        </w:rPr>
        <w:t xml:space="preserve"> </w:t>
      </w:r>
      <w:r>
        <w:t xml:space="preserve">the recommendation by the Subsidiary Body for Scientific and Technological Advice and the Subsidiary Body for Implementation, at their forty-sixth sessions, on the scope of the next periodic review of the long-term global goal under the Convention and of overall progress towards achieving it, </w:t>
      </w:r>
    </w:p>
    <w:p w14:paraId="6B9C306D" w14:textId="578AB1AA" w:rsidR="004D2A4F" w:rsidRDefault="004D2A4F" w:rsidP="004D2A4F">
      <w:pPr>
        <w:spacing w:before="120"/>
        <w:ind w:left="1134" w:right="1174" w:firstLine="567"/>
        <w:jc w:val="both"/>
      </w:pPr>
      <w:r w:rsidRPr="004D2A4F">
        <w:rPr>
          <w:i/>
        </w:rPr>
        <w:t>Decides</w:t>
      </w:r>
      <w:r>
        <w:rPr>
          <w:i/>
          <w:iCs/>
        </w:rPr>
        <w:t xml:space="preserve"> </w:t>
      </w:r>
      <w:r>
        <w:t xml:space="preserve">that the consideration of the scope of the next periodic review of the long-term global goal under the Convention and of overall progress towards achieving it should be resumed by the Subsidiary Body for Scientific and Technological Advice and the Subsidiary Body for Implementation at their sessions </w:t>
      </w:r>
      <w:r w:rsidR="00376247">
        <w:t xml:space="preserve">to be held in </w:t>
      </w:r>
      <w:r>
        <w:t xml:space="preserve">June 2019 with a view to the Subsidiary Body for Scientific and Technological Advice and the Subsidiary Body for Implementation forwarding a recommendation for consideration by the Conference of the Parties at its twenty-fifth session (November 2019) that will take into account the relevant work on the global stocktake under the Ad Hoc Working Group on the Paris Agreement, and the </w:t>
      </w:r>
      <w:r w:rsidR="000855DF">
        <w:t xml:space="preserve">Talanoa </w:t>
      </w:r>
      <w:r>
        <w:t>dialogue, which will take place in 2018, and the technical examination processes.</w:t>
      </w:r>
      <w:r w:rsidR="00173478">
        <w:rPr>
          <w:rStyle w:val="FootnoteReference"/>
        </w:rPr>
        <w:footnoteReference w:id="21"/>
      </w:r>
    </w:p>
    <w:p w14:paraId="6A415549" w14:textId="5D2E0701" w:rsidR="00173478" w:rsidRPr="00CC4174" w:rsidRDefault="000D0389" w:rsidP="00173478">
      <w:pPr>
        <w:pStyle w:val="RegSingleTxtG"/>
        <w:numPr>
          <w:ilvl w:val="0"/>
          <w:numId w:val="0"/>
        </w:numPr>
        <w:suppressAutoHyphens w:val="0"/>
        <w:autoSpaceDE w:val="0"/>
        <w:autoSpaceDN w:val="0"/>
        <w:adjustRightInd w:val="0"/>
        <w:spacing w:after="0" w:line="240" w:lineRule="auto"/>
        <w:ind w:left="1494" w:right="-1"/>
        <w:jc w:val="right"/>
        <w:rPr>
          <w:i/>
          <w:lang w:eastAsia="en-US"/>
        </w:rPr>
      </w:pPr>
      <w:r>
        <w:rPr>
          <w:i/>
          <w:lang w:eastAsia="en-US"/>
        </w:rPr>
        <w:t>12</w:t>
      </w:r>
      <w:r w:rsidR="00173478" w:rsidRPr="000D0389">
        <w:rPr>
          <w:i/>
          <w:vertAlign w:val="superscript"/>
          <w:lang w:eastAsia="en-US"/>
        </w:rPr>
        <w:t>th</w:t>
      </w:r>
      <w:r w:rsidR="00173478" w:rsidRPr="000D0389">
        <w:rPr>
          <w:i/>
          <w:lang w:eastAsia="en-US"/>
        </w:rPr>
        <w:t xml:space="preserve"> plenary meeting</w:t>
      </w:r>
    </w:p>
    <w:p w14:paraId="19F75A0B" w14:textId="77777777" w:rsidR="00173478" w:rsidRDefault="00173478" w:rsidP="00173478">
      <w:pPr>
        <w:pStyle w:val="RegSingleTxtG"/>
        <w:numPr>
          <w:ilvl w:val="0"/>
          <w:numId w:val="0"/>
        </w:numPr>
        <w:suppressAutoHyphens w:val="0"/>
        <w:autoSpaceDE w:val="0"/>
        <w:autoSpaceDN w:val="0"/>
        <w:adjustRightInd w:val="0"/>
        <w:spacing w:after="0" w:line="240" w:lineRule="auto"/>
        <w:ind w:left="1494" w:right="-1"/>
        <w:jc w:val="right"/>
        <w:rPr>
          <w:i/>
          <w:lang w:eastAsia="en-US"/>
        </w:rPr>
        <w:sectPr w:rsidR="00173478" w:rsidSect="0024232D">
          <w:headerReference w:type="even" r:id="rId33"/>
          <w:headerReference w:type="default" r:id="rId34"/>
          <w:footerReference w:type="even" r:id="rId35"/>
          <w:footerReference w:type="default" r:id="rId36"/>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414618F6" w14:textId="77777777" w:rsidR="00173478" w:rsidRDefault="00173478" w:rsidP="00173478">
      <w:pPr>
        <w:pStyle w:val="HChG"/>
      </w:pPr>
      <w:r>
        <w:lastRenderedPageBreak/>
        <w:tab/>
      </w:r>
      <w:r>
        <w:tab/>
        <w:t>Decision 19/CP.23</w:t>
      </w:r>
    </w:p>
    <w:p w14:paraId="39385B5A" w14:textId="77777777" w:rsidR="00173478" w:rsidRPr="00A81D1B" w:rsidRDefault="00173478" w:rsidP="00173478">
      <w:pPr>
        <w:pStyle w:val="HChG"/>
        <w:ind w:firstLine="0"/>
      </w:pPr>
      <w:r w:rsidRPr="00A81D1B">
        <w:t>Training programme for review experts for the technical review of biennial reports and national communications of Parties included in Annex I to the Convention</w:t>
      </w:r>
    </w:p>
    <w:p w14:paraId="42155833" w14:textId="77777777" w:rsidR="00173478" w:rsidRPr="00A81D1B" w:rsidRDefault="00173478" w:rsidP="00173478">
      <w:pPr>
        <w:tabs>
          <w:tab w:val="left" w:pos="1701"/>
        </w:tabs>
        <w:spacing w:after="120"/>
        <w:ind w:left="1135" w:right="1134"/>
        <w:jc w:val="both"/>
        <w:rPr>
          <w:i/>
        </w:rPr>
      </w:pPr>
      <w:r w:rsidRPr="00A81D1B">
        <w:rPr>
          <w:i/>
        </w:rPr>
        <w:tab/>
        <w:t>The Conference of the Parties</w:t>
      </w:r>
      <w:r w:rsidRPr="00A81D1B">
        <w:t>,</w:t>
      </w:r>
    </w:p>
    <w:p w14:paraId="47E56176" w14:textId="083FA968" w:rsidR="00173478" w:rsidRPr="00A81D1B" w:rsidRDefault="00173478" w:rsidP="00173478">
      <w:pPr>
        <w:tabs>
          <w:tab w:val="left" w:pos="1701"/>
        </w:tabs>
        <w:spacing w:after="120"/>
        <w:ind w:left="1135" w:right="1134"/>
        <w:jc w:val="both"/>
        <w:rPr>
          <w:rFonts w:eastAsia="Times New Roman"/>
        </w:rPr>
      </w:pPr>
      <w:r w:rsidRPr="00A81D1B">
        <w:rPr>
          <w:rFonts w:eastAsia="Times New Roman"/>
          <w:i/>
          <w:iCs/>
        </w:rPr>
        <w:tab/>
        <w:t xml:space="preserve">Recalling </w:t>
      </w:r>
      <w:r w:rsidRPr="00A81D1B">
        <w:rPr>
          <w:rFonts w:eastAsia="Times New Roman"/>
        </w:rPr>
        <w:t>Articles 4, 7 and 12 of the Convention and</w:t>
      </w:r>
      <w:r w:rsidRPr="00A81D1B">
        <w:rPr>
          <w:rFonts w:eastAsia="Times New Roman"/>
          <w:i/>
          <w:iCs/>
        </w:rPr>
        <w:t xml:space="preserve"> </w:t>
      </w:r>
      <w:r w:rsidRPr="00A81D1B">
        <w:rPr>
          <w:rFonts w:eastAsia="Times New Roman"/>
        </w:rPr>
        <w:t>decisions 2/CP.1, 9/CP.2, 6/CP.3, 4/CP.5, 33/CP.7, 18/CP.10, 1/CP.13, 2/CP.17</w:t>
      </w:r>
      <w:r w:rsidR="00DE0D98">
        <w:rPr>
          <w:rFonts w:eastAsia="Times New Roman"/>
        </w:rPr>
        <w:t xml:space="preserve"> and</w:t>
      </w:r>
      <w:r w:rsidRPr="00A81D1B">
        <w:rPr>
          <w:rFonts w:eastAsia="Times New Roman"/>
        </w:rPr>
        <w:t xml:space="preserve"> 19/CP.18 on national communications and biennial reports,</w:t>
      </w:r>
    </w:p>
    <w:p w14:paraId="45D8C9E7" w14:textId="77777777" w:rsidR="00173478" w:rsidRPr="00A81D1B" w:rsidRDefault="00173478" w:rsidP="00173478">
      <w:pPr>
        <w:tabs>
          <w:tab w:val="left" w:pos="1701"/>
        </w:tabs>
        <w:spacing w:after="120"/>
        <w:ind w:left="1135" w:right="1134"/>
        <w:jc w:val="both"/>
        <w:rPr>
          <w:rFonts w:eastAsia="Times New Roman"/>
        </w:rPr>
      </w:pPr>
      <w:r w:rsidRPr="00A81D1B">
        <w:rPr>
          <w:rFonts w:eastAsia="Times New Roman"/>
          <w:i/>
          <w:iCs/>
        </w:rPr>
        <w:tab/>
        <w:t>Also recalling</w:t>
      </w:r>
      <w:r w:rsidRPr="00A81D1B">
        <w:rPr>
          <w:rFonts w:eastAsia="Times New Roman"/>
          <w:iCs/>
        </w:rPr>
        <w:t xml:space="preserve"> </w:t>
      </w:r>
      <w:r w:rsidRPr="00A81D1B">
        <w:rPr>
          <w:rFonts w:eastAsia="Times New Roman"/>
        </w:rPr>
        <w:t xml:space="preserve">decision 13/CP.20 on the guidelines for the technical review of information reported under the Convention related to </w:t>
      </w:r>
      <w:r w:rsidRPr="00A81D1B">
        <w:t>greenhouse gas inventories,</w:t>
      </w:r>
      <w:r w:rsidRPr="00A81D1B">
        <w:rPr>
          <w:rFonts w:eastAsia="Times New Roman"/>
        </w:rPr>
        <w:t xml:space="preserve"> biennial reports and national communications by Parties included </w:t>
      </w:r>
      <w:r w:rsidRPr="00A81D1B">
        <w:t>in Annex I to the Convention</w:t>
      </w:r>
      <w:r w:rsidRPr="00A81D1B">
        <w:rPr>
          <w:rFonts w:eastAsia="Times New Roman"/>
        </w:rPr>
        <w:t>,</w:t>
      </w:r>
    </w:p>
    <w:p w14:paraId="28C67B2F" w14:textId="77777777" w:rsidR="00173478" w:rsidRPr="00A81D1B" w:rsidRDefault="00173478" w:rsidP="00173478">
      <w:pPr>
        <w:tabs>
          <w:tab w:val="left" w:pos="1701"/>
        </w:tabs>
        <w:spacing w:after="120"/>
        <w:ind w:left="1135" w:right="1134"/>
        <w:jc w:val="both"/>
        <w:rPr>
          <w:rFonts w:eastAsia="Times New Roman"/>
        </w:rPr>
      </w:pPr>
      <w:r w:rsidRPr="00A81D1B">
        <w:rPr>
          <w:rFonts w:eastAsia="Times New Roman"/>
          <w:i/>
          <w:iCs/>
        </w:rPr>
        <w:tab/>
        <w:t>Further recalling</w:t>
      </w:r>
      <w:r w:rsidRPr="00A81D1B">
        <w:rPr>
          <w:rFonts w:eastAsia="Times New Roman"/>
          <w:iCs/>
        </w:rPr>
        <w:t xml:space="preserve"> </w:t>
      </w:r>
      <w:r w:rsidRPr="00A81D1B">
        <w:rPr>
          <w:rFonts w:eastAsia="Times New Roman"/>
        </w:rPr>
        <w:t xml:space="preserve">decision 15/CP.20 on the </w:t>
      </w:r>
      <w:r w:rsidRPr="00A81D1B">
        <w:t>training programme for review experts for the technical review of biennial reports and national communications of Parties included in Annex I to the Convention,</w:t>
      </w:r>
    </w:p>
    <w:p w14:paraId="617092DD" w14:textId="77777777" w:rsidR="00173478" w:rsidRPr="00A81D1B" w:rsidRDefault="00173478" w:rsidP="00173478">
      <w:pPr>
        <w:tabs>
          <w:tab w:val="left" w:pos="1701"/>
        </w:tabs>
        <w:spacing w:after="120"/>
        <w:ind w:left="1135" w:right="1134"/>
        <w:jc w:val="both"/>
        <w:rPr>
          <w:rFonts w:eastAsia="Times New Roman"/>
          <w:lang w:eastAsia="en-GB"/>
        </w:rPr>
      </w:pPr>
      <w:r w:rsidRPr="00A81D1B">
        <w:rPr>
          <w:rFonts w:eastAsia="Times New Roman"/>
          <w:i/>
          <w:iCs/>
          <w:lang w:eastAsia="en-GB"/>
        </w:rPr>
        <w:tab/>
        <w:t xml:space="preserve">Having considered </w:t>
      </w:r>
      <w:r w:rsidRPr="00A81D1B">
        <w:rPr>
          <w:rFonts w:eastAsia="Times New Roman"/>
          <w:lang w:eastAsia="en-GB"/>
        </w:rPr>
        <w:t xml:space="preserve">the </w:t>
      </w:r>
      <w:r w:rsidRPr="00A81D1B">
        <w:rPr>
          <w:rFonts w:eastAsia="Times New Roman"/>
        </w:rPr>
        <w:t>relevant</w:t>
      </w:r>
      <w:r w:rsidRPr="00A81D1B">
        <w:rPr>
          <w:rFonts w:eastAsia="Times New Roman"/>
          <w:lang w:eastAsia="en-GB"/>
        </w:rPr>
        <w:t xml:space="preserve"> </w:t>
      </w:r>
      <w:r w:rsidRPr="00A81D1B">
        <w:rPr>
          <w:rFonts w:eastAsia="Times New Roman"/>
          <w:iCs/>
        </w:rPr>
        <w:t>recommendations</w:t>
      </w:r>
      <w:r w:rsidRPr="00A81D1B">
        <w:rPr>
          <w:rFonts w:eastAsia="Times New Roman"/>
          <w:lang w:eastAsia="en-GB"/>
        </w:rPr>
        <w:t xml:space="preserve"> of the Subsidiary Body for Scientific and Technological Advice,</w:t>
      </w:r>
    </w:p>
    <w:p w14:paraId="36BF0B7E" w14:textId="77777777" w:rsidR="00173478" w:rsidRPr="00A81D1B" w:rsidRDefault="00173478" w:rsidP="00173478">
      <w:pPr>
        <w:tabs>
          <w:tab w:val="left" w:pos="1701"/>
        </w:tabs>
        <w:spacing w:after="120"/>
        <w:ind w:left="1135" w:right="1134"/>
        <w:jc w:val="both"/>
      </w:pPr>
      <w:r w:rsidRPr="00A81D1B">
        <w:rPr>
          <w:rFonts w:eastAsia="Times New Roman"/>
          <w:i/>
        </w:rPr>
        <w:tab/>
        <w:t>Recognizing</w:t>
      </w:r>
      <w:r w:rsidRPr="00A81D1B">
        <w:rPr>
          <w:rFonts w:eastAsia="Times New Roman"/>
        </w:rPr>
        <w:t xml:space="preserve"> the importance</w:t>
      </w:r>
      <w:r w:rsidRPr="00A81D1B">
        <w:rPr>
          <w:rFonts w:eastAsia="Times New Roman"/>
          <w:lang w:eastAsia="en-GB"/>
        </w:rPr>
        <w:t xml:space="preserve"> of the </w:t>
      </w:r>
      <w:r w:rsidRPr="00A81D1B">
        <w:rPr>
          <w:rFonts w:eastAsia="Times New Roman"/>
          <w:iCs/>
        </w:rPr>
        <w:t>training</w:t>
      </w:r>
      <w:r w:rsidRPr="00A81D1B">
        <w:rPr>
          <w:rFonts w:eastAsia="Times New Roman"/>
          <w:lang w:eastAsia="en-GB"/>
        </w:rPr>
        <w:t xml:space="preserve"> programme for review experts for the technical review of biennial reports and national communications of Parties included in Annex I to the Convention and </w:t>
      </w:r>
      <w:r w:rsidRPr="00A81D1B">
        <w:t>the importance of enhancing the training programme,</w:t>
      </w:r>
    </w:p>
    <w:p w14:paraId="5A28A721" w14:textId="77777777" w:rsidR="00173478" w:rsidRPr="00A81D1B" w:rsidRDefault="00173478" w:rsidP="00173478">
      <w:pPr>
        <w:tabs>
          <w:tab w:val="left" w:pos="1701"/>
        </w:tabs>
        <w:spacing w:after="120"/>
        <w:ind w:left="1135" w:right="1134"/>
        <w:jc w:val="both"/>
        <w:rPr>
          <w:rFonts w:eastAsia="Times New Roman"/>
          <w:lang w:eastAsia="en-US"/>
        </w:rPr>
      </w:pPr>
      <w:r w:rsidRPr="00A81D1B">
        <w:rPr>
          <w:rFonts w:eastAsia="Times New Roman"/>
          <w:lang w:eastAsia="en-US"/>
        </w:rPr>
        <w:t>1.</w:t>
      </w:r>
      <w:r w:rsidRPr="00A81D1B">
        <w:rPr>
          <w:rFonts w:eastAsia="Times New Roman"/>
          <w:lang w:eastAsia="en-US"/>
        </w:rPr>
        <w:tab/>
      </w:r>
      <w:r w:rsidRPr="00A81D1B">
        <w:rPr>
          <w:rFonts w:eastAsia="Times New Roman"/>
          <w:i/>
          <w:lang w:eastAsia="en-US"/>
        </w:rPr>
        <w:t>Requests</w:t>
      </w:r>
      <w:r w:rsidRPr="00A81D1B">
        <w:rPr>
          <w:rFonts w:eastAsia="Times New Roman"/>
          <w:lang w:eastAsia="en-US"/>
        </w:rPr>
        <w:t xml:space="preserve"> the secretariat to enhance the materials of the training programme, on the basis of decisions 24/CP.19 and 9/CP.21 and taking into account the experience gained in conducting the technical reviews of biennial reports and national communications of Parties included in Annex I to the Convention since 2014, before the start of the reviews of the seventh national communications and third biennial reports of Parties included in Annex I to the Convention in 2018;</w:t>
      </w:r>
    </w:p>
    <w:p w14:paraId="64A08C54" w14:textId="77777777" w:rsidR="00173478" w:rsidRPr="00A81D1B" w:rsidRDefault="00173478" w:rsidP="00173478">
      <w:pPr>
        <w:tabs>
          <w:tab w:val="left" w:pos="1701"/>
        </w:tabs>
        <w:spacing w:after="120"/>
        <w:ind w:left="1135" w:right="1134"/>
        <w:jc w:val="both"/>
        <w:rPr>
          <w:rFonts w:eastAsia="Times New Roman"/>
          <w:lang w:eastAsia="en-US"/>
        </w:rPr>
      </w:pPr>
      <w:r w:rsidRPr="00A81D1B">
        <w:rPr>
          <w:rFonts w:eastAsia="Times New Roman"/>
          <w:lang w:eastAsia="en-US"/>
        </w:rPr>
        <w:t>2.</w:t>
      </w:r>
      <w:r w:rsidRPr="00A81D1B">
        <w:rPr>
          <w:rFonts w:eastAsia="Times New Roman"/>
          <w:lang w:eastAsia="en-US"/>
        </w:rPr>
        <w:tab/>
      </w:r>
      <w:r w:rsidRPr="00A81D1B">
        <w:rPr>
          <w:rFonts w:eastAsia="Times New Roman"/>
          <w:i/>
          <w:lang w:eastAsia="en-US"/>
        </w:rPr>
        <w:t>Also</w:t>
      </w:r>
      <w:r w:rsidRPr="00A81D1B">
        <w:rPr>
          <w:rFonts w:eastAsia="Times New Roman"/>
          <w:lang w:eastAsia="en-US"/>
        </w:rPr>
        <w:t xml:space="preserve"> </w:t>
      </w:r>
      <w:r w:rsidRPr="00A81D1B">
        <w:rPr>
          <w:rFonts w:eastAsia="Times New Roman"/>
          <w:i/>
          <w:lang w:eastAsia="en-US"/>
        </w:rPr>
        <w:t>requests</w:t>
      </w:r>
      <w:r w:rsidRPr="00A81D1B">
        <w:rPr>
          <w:rFonts w:eastAsia="Times New Roman"/>
          <w:lang w:eastAsia="en-US"/>
        </w:rPr>
        <w:t xml:space="preserve"> the secretariat to enhance the user interface of the training courses with a view to making them more user-friendly;</w:t>
      </w:r>
    </w:p>
    <w:p w14:paraId="7E346F91" w14:textId="77777777" w:rsidR="00173478" w:rsidRPr="00A81D1B" w:rsidRDefault="00173478" w:rsidP="00173478">
      <w:pPr>
        <w:tabs>
          <w:tab w:val="left" w:pos="1701"/>
        </w:tabs>
        <w:spacing w:after="120"/>
        <w:ind w:left="1135" w:right="1134"/>
        <w:jc w:val="both"/>
        <w:rPr>
          <w:rFonts w:eastAsia="Times New Roman"/>
          <w:lang w:eastAsia="en-US"/>
        </w:rPr>
      </w:pPr>
      <w:r w:rsidRPr="00A81D1B">
        <w:rPr>
          <w:rFonts w:eastAsia="Times New Roman"/>
          <w:lang w:eastAsia="en-US"/>
        </w:rPr>
        <w:t>3.</w:t>
      </w:r>
      <w:r w:rsidRPr="00A81D1B">
        <w:rPr>
          <w:rFonts w:eastAsia="Times New Roman"/>
          <w:lang w:eastAsia="en-US"/>
        </w:rPr>
        <w:tab/>
      </w:r>
      <w:r w:rsidRPr="00A81D1B">
        <w:rPr>
          <w:rFonts w:eastAsia="Times New Roman"/>
          <w:i/>
          <w:lang w:eastAsia="en-US"/>
        </w:rPr>
        <w:t>Further requests</w:t>
      </w:r>
      <w:r w:rsidRPr="00A81D1B">
        <w:rPr>
          <w:rFonts w:eastAsia="Times New Roman"/>
          <w:lang w:eastAsia="en-US"/>
        </w:rPr>
        <w:t xml:space="preserve"> the secretariat to implement the training programme and examinations for review experts for the technical review of biennial reports and national communications of Parties included in Annex I to the Convention as outlined in the annex;</w:t>
      </w:r>
    </w:p>
    <w:p w14:paraId="3CA913F3" w14:textId="77777777" w:rsidR="00173478" w:rsidRPr="00A81D1B" w:rsidRDefault="00173478" w:rsidP="00173478">
      <w:pPr>
        <w:tabs>
          <w:tab w:val="left" w:pos="1701"/>
        </w:tabs>
        <w:spacing w:after="120"/>
        <w:ind w:left="1135" w:right="1134"/>
        <w:jc w:val="both"/>
        <w:rPr>
          <w:rFonts w:eastAsia="Times New Roman"/>
          <w:lang w:eastAsia="en-US"/>
        </w:rPr>
      </w:pPr>
      <w:r w:rsidRPr="00A81D1B">
        <w:rPr>
          <w:rFonts w:eastAsia="Times New Roman"/>
          <w:iCs/>
          <w:lang w:eastAsia="en-US"/>
        </w:rPr>
        <w:t>4.</w:t>
      </w:r>
      <w:r w:rsidRPr="00A81D1B">
        <w:rPr>
          <w:rFonts w:eastAsia="Times New Roman"/>
          <w:iCs/>
          <w:lang w:eastAsia="en-US"/>
        </w:rPr>
        <w:tab/>
      </w:r>
      <w:r w:rsidRPr="00A81D1B">
        <w:rPr>
          <w:rFonts w:eastAsia="Times New Roman"/>
          <w:i/>
          <w:iCs/>
          <w:lang w:eastAsia="en-US"/>
        </w:rPr>
        <w:t xml:space="preserve">Requests </w:t>
      </w:r>
      <w:r w:rsidRPr="00A81D1B">
        <w:rPr>
          <w:rFonts w:eastAsia="Times New Roman"/>
          <w:lang w:eastAsia="en-US"/>
        </w:rPr>
        <w:t>the secretariat to include, in its annual report to the Subsidiary Body for Scientific and Technological Advice on the composition of expert review teams, information on the training programme, in particular on examination procedures and the selection of trainees, so that Parties may assess the effectiveness of the programme.</w:t>
      </w:r>
    </w:p>
    <w:p w14:paraId="3D6F17EF" w14:textId="77777777" w:rsidR="00173478" w:rsidRPr="00A81D1B" w:rsidRDefault="00173478" w:rsidP="00173478">
      <w:pPr>
        <w:suppressAutoHyphens w:val="0"/>
        <w:spacing w:line="240" w:lineRule="auto"/>
        <w:rPr>
          <w:lang w:eastAsia="en-US"/>
        </w:rPr>
      </w:pPr>
    </w:p>
    <w:p w14:paraId="2D9E815C" w14:textId="77777777" w:rsidR="00173478" w:rsidRPr="00A81D1B" w:rsidRDefault="00173478" w:rsidP="00173478">
      <w:pPr>
        <w:sectPr w:rsidR="00173478" w:rsidRPr="00A81D1B" w:rsidSect="0024232D">
          <w:headerReference w:type="even" r:id="rId37"/>
          <w:headerReference w:type="default" r:id="rId38"/>
          <w:footerReference w:type="even" r:id="rId39"/>
          <w:footerReference w:type="default" r:id="rId40"/>
          <w:headerReference w:type="first" r:id="rId41"/>
          <w:pgSz w:w="11906" w:h="16838" w:code="9"/>
          <w:pgMar w:top="1417" w:right="1134" w:bottom="1134" w:left="1134" w:header="850" w:footer="567" w:gutter="0"/>
          <w:cols w:space="708"/>
          <w:docGrid w:linePitch="360"/>
        </w:sectPr>
      </w:pPr>
    </w:p>
    <w:p w14:paraId="34D564D7" w14:textId="77777777" w:rsidR="00173478" w:rsidRPr="00A81D1B" w:rsidRDefault="00173478" w:rsidP="00173478">
      <w:pPr>
        <w:pStyle w:val="HChG"/>
        <w:spacing w:before="0"/>
      </w:pPr>
      <w:r w:rsidRPr="00A81D1B">
        <w:lastRenderedPageBreak/>
        <w:t xml:space="preserve">Annex </w:t>
      </w:r>
    </w:p>
    <w:p w14:paraId="798A4B57" w14:textId="77777777" w:rsidR="00173478" w:rsidRPr="00A81D1B" w:rsidRDefault="00173478" w:rsidP="00173478">
      <w:pPr>
        <w:pStyle w:val="H1G"/>
        <w:ind w:firstLine="0"/>
      </w:pPr>
      <w:r w:rsidRPr="00A81D1B">
        <w:t>Training programme for review experts for the technical review of biennial reports and national communications of Parties included in Annex I to the Convention</w:t>
      </w:r>
    </w:p>
    <w:p w14:paraId="4979547F" w14:textId="77777777" w:rsidR="00173478" w:rsidRPr="00A81D1B" w:rsidRDefault="00173478" w:rsidP="00173478">
      <w:pPr>
        <w:keepNext/>
        <w:keepLines/>
        <w:tabs>
          <w:tab w:val="right" w:pos="851"/>
        </w:tabs>
        <w:spacing w:before="360" w:after="240" w:line="270" w:lineRule="exact"/>
        <w:ind w:left="1134" w:right="1134" w:hanging="1134"/>
        <w:rPr>
          <w:b/>
          <w:sz w:val="28"/>
        </w:rPr>
      </w:pPr>
      <w:r w:rsidRPr="00A81D1B">
        <w:rPr>
          <w:b/>
          <w:sz w:val="28"/>
        </w:rPr>
        <w:tab/>
      </w:r>
      <w:r w:rsidRPr="00A81D1B">
        <w:rPr>
          <w:b/>
          <w:sz w:val="24"/>
        </w:rPr>
        <w:t>A.</w:t>
      </w:r>
      <w:r w:rsidRPr="00A81D1B">
        <w:rPr>
          <w:b/>
          <w:sz w:val="24"/>
        </w:rPr>
        <w:tab/>
        <w:t>Details of the training programme</w:t>
      </w:r>
    </w:p>
    <w:p w14:paraId="4EAB6AC5" w14:textId="77777777" w:rsidR="00173478" w:rsidRPr="00A81D1B" w:rsidRDefault="00173478" w:rsidP="00173478">
      <w:pPr>
        <w:pStyle w:val="SingleTxtG"/>
      </w:pPr>
      <w:r w:rsidRPr="00A81D1B">
        <w:t>1.</w:t>
      </w:r>
      <w:r w:rsidRPr="00A81D1B">
        <w:tab/>
        <w:t>The courses are intended to train review experts for the technical review of biennial reports and national communications of Parties included in Annex I to the Convention. All training courses will be available online and able to be downloaded. For trainees without easy access to the Internet, courses will be distributed through other electronic means. The courses will also be made available to others interested in the review process, provided that this does not require additional resources. All courses will be available upon request to trainees all year round, without facilitation by instructors.</w:t>
      </w:r>
    </w:p>
    <w:p w14:paraId="212BF138" w14:textId="77777777" w:rsidR="00173478" w:rsidRPr="00A81D1B" w:rsidRDefault="00173478" w:rsidP="00173478">
      <w:pPr>
        <w:pStyle w:val="SingleTxtG"/>
      </w:pPr>
      <w:r w:rsidRPr="00A81D1B">
        <w:t>2.</w:t>
      </w:r>
      <w:r w:rsidRPr="00A81D1B">
        <w:tab/>
        <w:t>All training courses will include an examination. Examination procedures will be standardized, objective and transparent.</w:t>
      </w:r>
    </w:p>
    <w:p w14:paraId="2DD1A92B" w14:textId="77777777" w:rsidR="00173478" w:rsidRPr="00A81D1B" w:rsidRDefault="00173478" w:rsidP="00173478">
      <w:pPr>
        <w:pStyle w:val="SingleTxtG"/>
      </w:pPr>
      <w:r w:rsidRPr="00A81D1B">
        <w:t>3.</w:t>
      </w:r>
      <w:r w:rsidRPr="00A81D1B">
        <w:tab/>
        <w:t>The examination will take place online. In exceptional circumstances, other arrangements for examinations will be made, provided that the examinations take place under the supervision of the secretariat and that this does not require additional resources.</w:t>
      </w:r>
    </w:p>
    <w:p w14:paraId="5F539675" w14:textId="77777777" w:rsidR="00173478" w:rsidRPr="00A81D1B" w:rsidRDefault="00173478" w:rsidP="00173478">
      <w:pPr>
        <w:pStyle w:val="SingleTxtG"/>
      </w:pPr>
      <w:r w:rsidRPr="00A81D1B">
        <w:t>4.</w:t>
      </w:r>
      <w:r w:rsidRPr="00A81D1B">
        <w:tab/>
        <w:t xml:space="preserve">New </w:t>
      </w:r>
      <w:r w:rsidRPr="00A81D1B">
        <w:rPr>
          <w:color w:val="000000"/>
        </w:rPr>
        <w:t>review experts</w:t>
      </w:r>
      <w:r w:rsidRPr="00A81D1B">
        <w:t xml:space="preserve"> who successfully complete the relevant requirements of the training programme and pass the examinations will be invited to participate in a centralized or in-country review, working alongside experienced </w:t>
      </w:r>
      <w:r w:rsidRPr="00A81D1B">
        <w:rPr>
          <w:color w:val="000000"/>
        </w:rPr>
        <w:t>review experts</w:t>
      </w:r>
      <w:r w:rsidRPr="00A81D1B">
        <w:t>.</w:t>
      </w:r>
    </w:p>
    <w:p w14:paraId="24BFFD6B" w14:textId="77777777" w:rsidR="00173478" w:rsidRPr="00A81D1B" w:rsidRDefault="00173478" w:rsidP="00173478">
      <w:pPr>
        <w:pStyle w:val="SingleTxtG"/>
      </w:pPr>
      <w:r w:rsidRPr="00A81D1B">
        <w:t>5.</w:t>
      </w:r>
      <w:r w:rsidRPr="00A81D1B">
        <w:tab/>
        <w:t>Experts who do not pass an examination for a course at the first attempt may retake the examination up to two more times only, provided that the expert has fulfilled all of the tasks assigned during the training course in a timely manner and that the retake does not require the secretariat to incur additional costs.</w:t>
      </w:r>
    </w:p>
    <w:p w14:paraId="7469AF76" w14:textId="77777777" w:rsidR="00173478" w:rsidRPr="00A81D1B" w:rsidRDefault="00173478" w:rsidP="00173478">
      <w:pPr>
        <w:keepNext/>
        <w:keepLines/>
        <w:tabs>
          <w:tab w:val="right" w:pos="851"/>
        </w:tabs>
        <w:spacing w:before="360" w:after="240" w:line="270" w:lineRule="exact"/>
        <w:ind w:left="1134" w:right="1134" w:hanging="1134"/>
        <w:rPr>
          <w:b/>
          <w:sz w:val="28"/>
        </w:rPr>
      </w:pPr>
      <w:r w:rsidRPr="00A81D1B">
        <w:rPr>
          <w:b/>
          <w:sz w:val="28"/>
        </w:rPr>
        <w:tab/>
      </w:r>
      <w:r w:rsidRPr="00A81D1B">
        <w:rPr>
          <w:b/>
          <w:sz w:val="24"/>
        </w:rPr>
        <w:t>B.</w:t>
      </w:r>
      <w:r w:rsidRPr="00A81D1B">
        <w:rPr>
          <w:b/>
          <w:sz w:val="24"/>
        </w:rPr>
        <w:tab/>
        <w:t>Courses of the training programme</w:t>
      </w:r>
    </w:p>
    <w:p w14:paraId="157D278C" w14:textId="77777777" w:rsidR="00173478" w:rsidRPr="00A81D1B" w:rsidRDefault="00173478" w:rsidP="00173478">
      <w:pPr>
        <w:keepNext/>
        <w:keepLines/>
        <w:tabs>
          <w:tab w:val="right" w:pos="850"/>
        </w:tabs>
        <w:spacing w:before="240" w:after="120" w:line="240" w:lineRule="exact"/>
        <w:ind w:left="1134" w:right="1134" w:hanging="1134"/>
        <w:rPr>
          <w:b/>
          <w:sz w:val="24"/>
          <w:lang w:eastAsia="en-US"/>
        </w:rPr>
      </w:pPr>
      <w:r w:rsidRPr="00A81D1B">
        <w:rPr>
          <w:b/>
          <w:sz w:val="24"/>
          <w:lang w:eastAsia="en-US"/>
        </w:rPr>
        <w:tab/>
      </w:r>
      <w:r w:rsidRPr="00A81D1B">
        <w:rPr>
          <w:b/>
          <w:lang w:eastAsia="en-US"/>
        </w:rPr>
        <w:t>1.</w:t>
      </w:r>
      <w:r w:rsidRPr="00A81D1B">
        <w:rPr>
          <w:b/>
          <w:lang w:eastAsia="en-US"/>
        </w:rPr>
        <w:tab/>
        <w:t>General and cross-cutting aspects of the review of national communications</w:t>
      </w:r>
      <w:r w:rsidRPr="00A81D1B">
        <w:rPr>
          <w:b/>
          <w:lang w:eastAsia="en-US"/>
        </w:rPr>
        <w:br/>
        <w:t>and biennial reports</w:t>
      </w:r>
    </w:p>
    <w:p w14:paraId="7D62EC10" w14:textId="77777777" w:rsidR="00173478" w:rsidRPr="00A81D1B" w:rsidRDefault="00173478" w:rsidP="00173478">
      <w:pPr>
        <w:pStyle w:val="SingleTxtG"/>
        <w:spacing w:after="0"/>
      </w:pPr>
      <w:r w:rsidRPr="00A81D1B">
        <w:rPr>
          <w:b/>
          <w:bCs/>
        </w:rPr>
        <w:t>Description</w:t>
      </w:r>
      <w:r w:rsidRPr="00A81D1B">
        <w:rPr>
          <w:bCs/>
        </w:rPr>
        <w:t>:</w:t>
      </w:r>
      <w:r w:rsidRPr="00A81D1B">
        <w:t xml:space="preserve"> This course covers the reporting requirements and the procedures for the general aspects of the review process of national communications and biennial reports under the Convention, and aims to provide a comprehensive overview of the reporting and review requirements and guidance to expert review teams on the process and steps for conducting reviews under the international assessment and review process. The course </w:t>
      </w:r>
      <w:r w:rsidRPr="00A81D1B">
        <w:rPr>
          <w:bCs/>
        </w:rPr>
        <w:t>promotes consistency and fairness in the review process by providing technical guidance on the general review approaches and use of tools.</w:t>
      </w:r>
    </w:p>
    <w:p w14:paraId="57072995" w14:textId="77777777" w:rsidR="00173478" w:rsidRPr="00A81D1B" w:rsidRDefault="00173478" w:rsidP="00173478">
      <w:pPr>
        <w:ind w:left="1134" w:right="1133"/>
        <w:jc w:val="both"/>
        <w:rPr>
          <w:color w:val="000000"/>
        </w:rPr>
      </w:pPr>
      <w:r w:rsidRPr="00A81D1B">
        <w:rPr>
          <w:b/>
          <w:bCs/>
          <w:color w:val="000000"/>
        </w:rPr>
        <w:t>Preparation</w:t>
      </w:r>
      <w:r w:rsidRPr="00A81D1B">
        <w:rPr>
          <w:bCs/>
          <w:color w:val="000000"/>
        </w:rPr>
        <w:t>:</w:t>
      </w:r>
      <w:r w:rsidRPr="00A81D1B">
        <w:rPr>
          <w:color w:val="000000"/>
        </w:rPr>
        <w:t xml:space="preserve"> 2017.</w:t>
      </w:r>
    </w:p>
    <w:p w14:paraId="48D31810" w14:textId="77777777" w:rsidR="00173478" w:rsidRPr="00A81D1B" w:rsidRDefault="00173478" w:rsidP="00173478">
      <w:pPr>
        <w:ind w:left="1134" w:right="1133"/>
        <w:jc w:val="both"/>
        <w:rPr>
          <w:color w:val="000000"/>
        </w:rPr>
      </w:pPr>
      <w:r w:rsidRPr="00A81D1B">
        <w:rPr>
          <w:b/>
          <w:bCs/>
          <w:color w:val="000000"/>
        </w:rPr>
        <w:t>Implementation</w:t>
      </w:r>
      <w:r w:rsidRPr="00A81D1B">
        <w:rPr>
          <w:bCs/>
          <w:color w:val="000000"/>
        </w:rPr>
        <w:t>:</w:t>
      </w:r>
      <w:r w:rsidRPr="00A81D1B">
        <w:rPr>
          <w:color w:val="000000"/>
        </w:rPr>
        <w:t xml:space="preserve"> 2017–</w:t>
      </w:r>
      <w:r w:rsidRPr="00A81D1B">
        <w:t>2020.</w:t>
      </w:r>
    </w:p>
    <w:p w14:paraId="654EFCF8" w14:textId="77777777" w:rsidR="00173478" w:rsidRPr="00A81D1B" w:rsidRDefault="00173478" w:rsidP="00173478">
      <w:pPr>
        <w:ind w:left="1134" w:right="1133"/>
        <w:jc w:val="both"/>
        <w:rPr>
          <w:color w:val="000000"/>
        </w:rPr>
      </w:pPr>
      <w:r w:rsidRPr="00A81D1B">
        <w:rPr>
          <w:b/>
          <w:bCs/>
          <w:color w:val="000000"/>
        </w:rPr>
        <w:t>Target audience</w:t>
      </w:r>
      <w:r w:rsidRPr="00A81D1B">
        <w:rPr>
          <w:bCs/>
          <w:color w:val="000000"/>
        </w:rPr>
        <w:t>:</w:t>
      </w:r>
      <w:r w:rsidRPr="00A81D1B">
        <w:rPr>
          <w:color w:val="000000"/>
        </w:rPr>
        <w:t xml:space="preserve"> New and experienced review experts</w:t>
      </w:r>
      <w:r w:rsidRPr="00A81D1B">
        <w:t xml:space="preserve"> and lead reviewers.</w:t>
      </w:r>
    </w:p>
    <w:p w14:paraId="224BAA29" w14:textId="77777777" w:rsidR="00173478" w:rsidRPr="00A81D1B" w:rsidRDefault="00173478" w:rsidP="00173478">
      <w:pPr>
        <w:ind w:left="1134" w:right="1133"/>
        <w:jc w:val="both"/>
        <w:rPr>
          <w:color w:val="000000"/>
        </w:rPr>
      </w:pPr>
      <w:r w:rsidRPr="00A81D1B">
        <w:rPr>
          <w:b/>
          <w:bCs/>
          <w:color w:val="000000"/>
        </w:rPr>
        <w:t>Type of course</w:t>
      </w:r>
      <w:r w:rsidRPr="00A81D1B">
        <w:rPr>
          <w:bCs/>
          <w:color w:val="000000"/>
        </w:rPr>
        <w:t>:</w:t>
      </w:r>
      <w:r w:rsidRPr="00A81D1B">
        <w:rPr>
          <w:color w:val="000000"/>
        </w:rPr>
        <w:t xml:space="preserve"> E-learning, without an instructor.</w:t>
      </w:r>
    </w:p>
    <w:p w14:paraId="4BCBA83B" w14:textId="77777777" w:rsidR="00173478" w:rsidRPr="00A81D1B" w:rsidRDefault="00173478" w:rsidP="00173478">
      <w:pPr>
        <w:pStyle w:val="SingleTxtG"/>
      </w:pPr>
      <w:r w:rsidRPr="00A81D1B">
        <w:rPr>
          <w:b/>
          <w:bCs/>
          <w:color w:val="000000"/>
        </w:rPr>
        <w:t>Examination requirements and format</w:t>
      </w:r>
      <w:r w:rsidRPr="00A81D1B">
        <w:rPr>
          <w:bCs/>
          <w:color w:val="000000"/>
        </w:rPr>
        <w:t>:</w:t>
      </w:r>
      <w:r w:rsidRPr="00A81D1B">
        <w:rPr>
          <w:color w:val="000000"/>
        </w:rPr>
        <w:t xml:space="preserve"> </w:t>
      </w:r>
      <w:r w:rsidRPr="00A81D1B">
        <w:t xml:space="preserve">New </w:t>
      </w:r>
      <w:r w:rsidRPr="00A81D1B">
        <w:rPr>
          <w:color w:val="000000"/>
        </w:rPr>
        <w:t>review experts</w:t>
      </w:r>
      <w:r w:rsidRPr="00A81D1B">
        <w:t xml:space="preserve"> and new lead reviewers must pass the examination before participating in expert review teams. Lead reviewers and experienced experts are encouraged to take the examination. Online examination.</w:t>
      </w:r>
    </w:p>
    <w:p w14:paraId="5F01C842" w14:textId="77777777" w:rsidR="00173478" w:rsidRPr="00A81D1B" w:rsidRDefault="00173478" w:rsidP="00173478">
      <w:pPr>
        <w:keepNext/>
        <w:keepLines/>
        <w:tabs>
          <w:tab w:val="right" w:pos="850"/>
        </w:tabs>
        <w:spacing w:before="240" w:after="120" w:line="240" w:lineRule="exact"/>
        <w:ind w:left="1134" w:right="1134" w:hanging="1134"/>
        <w:rPr>
          <w:b/>
          <w:sz w:val="24"/>
          <w:lang w:eastAsia="en-US"/>
        </w:rPr>
      </w:pPr>
      <w:r w:rsidRPr="00A81D1B">
        <w:rPr>
          <w:b/>
          <w:sz w:val="24"/>
          <w:lang w:eastAsia="en-US"/>
        </w:rPr>
        <w:tab/>
      </w:r>
      <w:r w:rsidRPr="00A81D1B">
        <w:rPr>
          <w:b/>
          <w:lang w:eastAsia="en-US"/>
        </w:rPr>
        <w:t>2.</w:t>
      </w:r>
      <w:r w:rsidRPr="00A81D1B">
        <w:rPr>
          <w:b/>
          <w:lang w:eastAsia="en-US"/>
        </w:rPr>
        <w:tab/>
        <w:t>Technical review of targets and of policies and measures, their effects</w:t>
      </w:r>
      <w:r w:rsidRPr="00A81D1B">
        <w:rPr>
          <w:b/>
          <w:lang w:eastAsia="en-US"/>
        </w:rPr>
        <w:br/>
        <w:t>and their contribution to achieving those targets</w:t>
      </w:r>
    </w:p>
    <w:p w14:paraId="626C6A3C" w14:textId="77777777" w:rsidR="00173478" w:rsidRPr="00A81D1B" w:rsidRDefault="00173478" w:rsidP="00173478">
      <w:pPr>
        <w:pStyle w:val="SingleTxtG"/>
        <w:spacing w:after="0"/>
        <w:rPr>
          <w:strike/>
        </w:rPr>
      </w:pPr>
      <w:r w:rsidRPr="00A81D1B">
        <w:rPr>
          <w:b/>
          <w:bCs/>
        </w:rPr>
        <w:t>Description</w:t>
      </w:r>
      <w:r w:rsidRPr="00A81D1B">
        <w:rPr>
          <w:bCs/>
        </w:rPr>
        <w:t>:</w:t>
      </w:r>
      <w:r w:rsidRPr="00A81D1B">
        <w:t xml:space="preserve"> This course provides general guidance and approaches for the technical review of information on national policy context and greenhouse gas (GHG) mitigation targets, policies and measures (PaMs), the effects of each individual PaM and their contribution to the reduction of GHG emissions.</w:t>
      </w:r>
    </w:p>
    <w:p w14:paraId="74346CF7" w14:textId="77777777" w:rsidR="00173478" w:rsidRPr="00A81D1B" w:rsidRDefault="00173478" w:rsidP="00173478">
      <w:pPr>
        <w:ind w:left="1134" w:right="1133"/>
        <w:jc w:val="both"/>
      </w:pPr>
      <w:r w:rsidRPr="00A81D1B">
        <w:rPr>
          <w:b/>
          <w:bCs/>
        </w:rPr>
        <w:t>Preparation</w:t>
      </w:r>
      <w:r w:rsidRPr="00A81D1B">
        <w:rPr>
          <w:bCs/>
        </w:rPr>
        <w:t>:</w:t>
      </w:r>
      <w:r w:rsidRPr="00A81D1B">
        <w:t xml:space="preserve"> 2017.</w:t>
      </w:r>
    </w:p>
    <w:p w14:paraId="1A453286" w14:textId="77777777" w:rsidR="00173478" w:rsidRPr="00A81D1B" w:rsidRDefault="00173478" w:rsidP="00173478">
      <w:pPr>
        <w:ind w:left="1134" w:right="1133"/>
        <w:jc w:val="both"/>
      </w:pPr>
      <w:r w:rsidRPr="00A81D1B">
        <w:rPr>
          <w:b/>
          <w:bCs/>
        </w:rPr>
        <w:lastRenderedPageBreak/>
        <w:t>Implementation</w:t>
      </w:r>
      <w:r w:rsidRPr="00A81D1B">
        <w:rPr>
          <w:bCs/>
        </w:rPr>
        <w:t>:</w:t>
      </w:r>
      <w:r w:rsidRPr="00A81D1B">
        <w:t xml:space="preserve"> 2017–2020.</w:t>
      </w:r>
    </w:p>
    <w:p w14:paraId="6BAFFCA5" w14:textId="77777777" w:rsidR="00173478" w:rsidRPr="00A81D1B" w:rsidRDefault="00173478" w:rsidP="00173478">
      <w:pPr>
        <w:ind w:left="1134" w:right="1133"/>
        <w:jc w:val="both"/>
      </w:pPr>
      <w:r w:rsidRPr="00A81D1B">
        <w:rPr>
          <w:b/>
          <w:bCs/>
        </w:rPr>
        <w:t>Target audience</w:t>
      </w:r>
      <w:r w:rsidRPr="00A81D1B">
        <w:rPr>
          <w:bCs/>
        </w:rPr>
        <w:t>:</w:t>
      </w:r>
      <w:r w:rsidRPr="00A81D1B">
        <w:t xml:space="preserve"> New and experienced </w:t>
      </w:r>
      <w:r w:rsidRPr="00A81D1B">
        <w:rPr>
          <w:color w:val="000000"/>
        </w:rPr>
        <w:t>review experts</w:t>
      </w:r>
      <w:r w:rsidRPr="00A81D1B">
        <w:t xml:space="preserve"> reviewing targets and PaMs, and lead reviewers.</w:t>
      </w:r>
    </w:p>
    <w:p w14:paraId="597C2819" w14:textId="77777777" w:rsidR="00173478" w:rsidRPr="00A81D1B" w:rsidRDefault="00173478" w:rsidP="00173478">
      <w:pPr>
        <w:ind w:left="1134" w:right="1133"/>
        <w:jc w:val="both"/>
      </w:pPr>
      <w:r w:rsidRPr="00A81D1B">
        <w:rPr>
          <w:b/>
          <w:bCs/>
        </w:rPr>
        <w:t>Type of course</w:t>
      </w:r>
      <w:r w:rsidRPr="00A81D1B">
        <w:rPr>
          <w:bCs/>
        </w:rPr>
        <w:t>:</w:t>
      </w:r>
      <w:r w:rsidRPr="00A81D1B">
        <w:t xml:space="preserve"> E-learning, without an instructor.</w:t>
      </w:r>
    </w:p>
    <w:p w14:paraId="0B1B1F20" w14:textId="4DE093D4" w:rsidR="00173478" w:rsidRPr="00A81D1B" w:rsidRDefault="00173478" w:rsidP="00173478">
      <w:pPr>
        <w:pStyle w:val="SingleTxtG"/>
        <w:rPr>
          <w:color w:val="000000"/>
        </w:rPr>
      </w:pPr>
      <w:r w:rsidRPr="00A81D1B">
        <w:rPr>
          <w:b/>
          <w:bCs/>
          <w:color w:val="000000"/>
        </w:rPr>
        <w:t>Examination requirements and format</w:t>
      </w:r>
      <w:r w:rsidRPr="00A81D1B">
        <w:rPr>
          <w:bCs/>
          <w:color w:val="000000"/>
        </w:rPr>
        <w:t>:</w:t>
      </w:r>
      <w:r w:rsidRPr="00A81D1B">
        <w:rPr>
          <w:color w:val="000000"/>
        </w:rPr>
        <w:t xml:space="preserve"> </w:t>
      </w:r>
      <w:r w:rsidRPr="00A81D1B">
        <w:t xml:space="preserve">New </w:t>
      </w:r>
      <w:r w:rsidRPr="00A81D1B">
        <w:rPr>
          <w:color w:val="000000"/>
        </w:rPr>
        <w:t>review experts</w:t>
      </w:r>
      <w:r w:rsidRPr="00A81D1B">
        <w:t xml:space="preserve"> must pass the examination before participating in expert review teams. Lead reviewers and experienced experts reviewing targets and</w:t>
      </w:r>
      <w:r w:rsidR="00DE0D98">
        <w:t xml:space="preserve"> </w:t>
      </w:r>
      <w:r w:rsidR="00873B5B">
        <w:t>PaMs</w:t>
      </w:r>
      <w:r w:rsidRPr="00A81D1B">
        <w:t>, their effects and their contribution to achieving those targets are encouraged to take the examination. Online examination.</w:t>
      </w:r>
    </w:p>
    <w:p w14:paraId="2A85D283" w14:textId="77777777" w:rsidR="00173478" w:rsidRPr="00A81D1B" w:rsidRDefault="00173478" w:rsidP="00173478">
      <w:pPr>
        <w:keepNext/>
        <w:keepLines/>
        <w:tabs>
          <w:tab w:val="right" w:pos="850"/>
        </w:tabs>
        <w:spacing w:before="240" w:after="120" w:line="240" w:lineRule="exact"/>
        <w:ind w:left="1134" w:right="1134" w:hanging="1134"/>
        <w:rPr>
          <w:b/>
          <w:lang w:eastAsia="en-US"/>
        </w:rPr>
      </w:pPr>
      <w:r w:rsidRPr="00A81D1B">
        <w:rPr>
          <w:b/>
          <w:lang w:eastAsia="en-US"/>
        </w:rPr>
        <w:tab/>
        <w:t>3.</w:t>
      </w:r>
      <w:r w:rsidRPr="00A81D1B">
        <w:rPr>
          <w:b/>
          <w:lang w:eastAsia="en-US"/>
        </w:rPr>
        <w:tab/>
        <w:t>Technical review of greenhouse gas emissions, emission trends, projections</w:t>
      </w:r>
      <w:r w:rsidRPr="00A81D1B">
        <w:rPr>
          <w:b/>
          <w:lang w:eastAsia="en-US"/>
        </w:rPr>
        <w:br/>
        <w:t>and the total effect of policies and measures</w:t>
      </w:r>
    </w:p>
    <w:p w14:paraId="6AE9B4CB" w14:textId="77777777" w:rsidR="00173478" w:rsidRPr="00A81D1B" w:rsidRDefault="00173478" w:rsidP="00173478">
      <w:pPr>
        <w:pStyle w:val="SingleTxtG"/>
        <w:spacing w:after="0"/>
        <w:rPr>
          <w:strike/>
        </w:rPr>
      </w:pPr>
      <w:r w:rsidRPr="00A81D1B">
        <w:rPr>
          <w:b/>
          <w:bCs/>
        </w:rPr>
        <w:t>Description</w:t>
      </w:r>
      <w:r w:rsidRPr="00A81D1B">
        <w:rPr>
          <w:bCs/>
        </w:rPr>
        <w:t xml:space="preserve">: </w:t>
      </w:r>
      <w:r w:rsidRPr="00A81D1B">
        <w:t>This course provides general guidance and approaches for the technical review of information on GHG emissions, emission trends, projections and the total effect of PaMs.</w:t>
      </w:r>
    </w:p>
    <w:p w14:paraId="22C9BB58" w14:textId="77777777" w:rsidR="00173478" w:rsidRPr="00A81D1B" w:rsidRDefault="00173478" w:rsidP="00173478">
      <w:pPr>
        <w:ind w:left="1134" w:right="1133"/>
        <w:jc w:val="both"/>
      </w:pPr>
      <w:r w:rsidRPr="00A81D1B">
        <w:rPr>
          <w:b/>
          <w:bCs/>
        </w:rPr>
        <w:t>Preparation</w:t>
      </w:r>
      <w:r w:rsidRPr="00A81D1B">
        <w:rPr>
          <w:bCs/>
        </w:rPr>
        <w:t>:</w:t>
      </w:r>
      <w:r w:rsidRPr="00A81D1B">
        <w:t xml:space="preserve"> 2017.</w:t>
      </w:r>
      <w:r w:rsidRPr="00A81D1B">
        <w:tab/>
      </w:r>
    </w:p>
    <w:p w14:paraId="3024F284" w14:textId="77777777" w:rsidR="00173478" w:rsidRPr="00A81D1B" w:rsidRDefault="00173478" w:rsidP="00173478">
      <w:pPr>
        <w:ind w:left="1134" w:right="1133"/>
        <w:jc w:val="both"/>
      </w:pPr>
      <w:r w:rsidRPr="00A81D1B">
        <w:rPr>
          <w:b/>
          <w:bCs/>
        </w:rPr>
        <w:t>Implementation</w:t>
      </w:r>
      <w:r w:rsidRPr="00A81D1B">
        <w:rPr>
          <w:bCs/>
        </w:rPr>
        <w:t>:</w:t>
      </w:r>
      <w:r w:rsidRPr="00A81D1B">
        <w:t xml:space="preserve"> 2017–2020.</w:t>
      </w:r>
    </w:p>
    <w:p w14:paraId="147879BD" w14:textId="77777777" w:rsidR="00173478" w:rsidRPr="00A81D1B" w:rsidRDefault="00173478" w:rsidP="00173478">
      <w:pPr>
        <w:ind w:left="1134" w:right="1133"/>
        <w:jc w:val="both"/>
      </w:pPr>
      <w:r w:rsidRPr="00A81D1B">
        <w:rPr>
          <w:b/>
          <w:bCs/>
        </w:rPr>
        <w:t>Target audience</w:t>
      </w:r>
      <w:r w:rsidRPr="00A81D1B">
        <w:rPr>
          <w:bCs/>
        </w:rPr>
        <w:t>:</w:t>
      </w:r>
      <w:r w:rsidRPr="00A81D1B">
        <w:t xml:space="preserve"> New and experienced </w:t>
      </w:r>
      <w:r w:rsidRPr="00A81D1B">
        <w:rPr>
          <w:color w:val="000000"/>
        </w:rPr>
        <w:t>review experts</w:t>
      </w:r>
      <w:r w:rsidRPr="00A81D1B">
        <w:t xml:space="preserve"> reviewing emission trends, projections and the total effect of PaMs, and lead reviewers.</w:t>
      </w:r>
    </w:p>
    <w:p w14:paraId="6CE2FB95" w14:textId="77777777" w:rsidR="00173478" w:rsidRPr="00A81D1B" w:rsidRDefault="00173478" w:rsidP="00173478">
      <w:pPr>
        <w:ind w:left="1134" w:right="1133"/>
        <w:jc w:val="both"/>
      </w:pPr>
      <w:r w:rsidRPr="00A81D1B">
        <w:rPr>
          <w:b/>
          <w:bCs/>
        </w:rPr>
        <w:t>Type of course</w:t>
      </w:r>
      <w:r w:rsidRPr="00A81D1B">
        <w:rPr>
          <w:bCs/>
        </w:rPr>
        <w:t>:</w:t>
      </w:r>
      <w:r w:rsidRPr="00A81D1B">
        <w:t xml:space="preserve"> E-learning, without an instructor.</w:t>
      </w:r>
    </w:p>
    <w:p w14:paraId="5ADA7E9C" w14:textId="293DBF10" w:rsidR="00173478" w:rsidRPr="00A81D1B" w:rsidRDefault="00173478" w:rsidP="00173478">
      <w:pPr>
        <w:pStyle w:val="SingleTxtG"/>
      </w:pPr>
      <w:r w:rsidRPr="00A81D1B">
        <w:rPr>
          <w:b/>
          <w:bCs/>
          <w:color w:val="000000"/>
        </w:rPr>
        <w:t>Examination requirements and format</w:t>
      </w:r>
      <w:r w:rsidRPr="00A81D1B">
        <w:rPr>
          <w:bCs/>
          <w:color w:val="000000"/>
        </w:rPr>
        <w:t>:</w:t>
      </w:r>
      <w:r w:rsidRPr="00A81D1B">
        <w:rPr>
          <w:color w:val="000000"/>
        </w:rPr>
        <w:t xml:space="preserve"> </w:t>
      </w:r>
      <w:r w:rsidRPr="00A81D1B">
        <w:t xml:space="preserve">New </w:t>
      </w:r>
      <w:r w:rsidRPr="00A81D1B">
        <w:rPr>
          <w:color w:val="000000"/>
        </w:rPr>
        <w:t>review experts</w:t>
      </w:r>
      <w:r w:rsidRPr="00A81D1B">
        <w:t xml:space="preserve"> must pass the examination before participating in expert review teams. Lead reviewers and experienced experts reviewing </w:t>
      </w:r>
      <w:r w:rsidR="00DE0D98">
        <w:t>GHG</w:t>
      </w:r>
      <w:r w:rsidRPr="00A81D1B">
        <w:t xml:space="preserve"> emissions, emission trends, projections and the total effect of </w:t>
      </w:r>
      <w:r w:rsidR="00D817C9">
        <w:t xml:space="preserve">PaMs </w:t>
      </w:r>
      <w:r w:rsidRPr="00A81D1B">
        <w:t>are encouraged to take the examination. Online examination.</w:t>
      </w:r>
    </w:p>
    <w:p w14:paraId="0B380DB4" w14:textId="77777777" w:rsidR="00173478" w:rsidRPr="00A81D1B" w:rsidRDefault="00173478" w:rsidP="00173478">
      <w:pPr>
        <w:keepNext/>
        <w:keepLines/>
        <w:tabs>
          <w:tab w:val="right" w:pos="850"/>
        </w:tabs>
        <w:spacing w:before="240" w:after="120" w:line="240" w:lineRule="exact"/>
        <w:ind w:left="1134" w:right="1134" w:hanging="1134"/>
        <w:rPr>
          <w:b/>
          <w:sz w:val="24"/>
          <w:lang w:eastAsia="en-US"/>
        </w:rPr>
      </w:pPr>
      <w:r w:rsidRPr="00A81D1B">
        <w:rPr>
          <w:b/>
          <w:sz w:val="24"/>
          <w:lang w:eastAsia="en-US"/>
        </w:rPr>
        <w:tab/>
      </w:r>
      <w:r w:rsidRPr="00A81D1B">
        <w:rPr>
          <w:b/>
          <w:lang w:eastAsia="en-US"/>
        </w:rPr>
        <w:t>4.</w:t>
      </w:r>
      <w:r w:rsidRPr="00A81D1B">
        <w:rPr>
          <w:b/>
          <w:lang w:eastAsia="en-US"/>
        </w:rPr>
        <w:tab/>
        <w:t>Technical review of the provision of financial support, technology transfer and capacity-building</w:t>
      </w:r>
    </w:p>
    <w:p w14:paraId="00725C81" w14:textId="77777777" w:rsidR="00173478" w:rsidRPr="00A81D1B" w:rsidRDefault="00173478" w:rsidP="00173478">
      <w:pPr>
        <w:spacing w:before="180"/>
        <w:ind w:left="1134" w:right="1133"/>
        <w:jc w:val="both"/>
      </w:pPr>
      <w:r w:rsidRPr="00A81D1B">
        <w:rPr>
          <w:b/>
          <w:bCs/>
        </w:rPr>
        <w:t>Description</w:t>
      </w:r>
      <w:r w:rsidRPr="00A81D1B">
        <w:rPr>
          <w:bCs/>
        </w:rPr>
        <w:t>:</w:t>
      </w:r>
      <w:r w:rsidRPr="00A81D1B">
        <w:rPr>
          <w:b/>
          <w:bCs/>
        </w:rPr>
        <w:t xml:space="preserve"> </w:t>
      </w:r>
      <w:r w:rsidRPr="00A81D1B">
        <w:t>This course provides general guidance and approaches for the technical review of information on the provision of financial resources by Parties included in Annex II to the Convention to Parties not included in Annex I to the Convention, the promotion, facilitation and financing of the transfer of technology, and capacity-building, including creating national expertise on issues related to climate change, strengthening institutions and developing educational, training and awareness-raising activities.</w:t>
      </w:r>
    </w:p>
    <w:p w14:paraId="3E53777D" w14:textId="77777777" w:rsidR="00173478" w:rsidRPr="00A81D1B" w:rsidRDefault="00173478" w:rsidP="00173478">
      <w:pPr>
        <w:ind w:left="1134" w:right="1133"/>
        <w:jc w:val="both"/>
      </w:pPr>
      <w:r w:rsidRPr="00A81D1B">
        <w:rPr>
          <w:b/>
          <w:bCs/>
        </w:rPr>
        <w:t>Preparation</w:t>
      </w:r>
      <w:r w:rsidRPr="00A81D1B">
        <w:rPr>
          <w:bCs/>
        </w:rPr>
        <w:t>:</w:t>
      </w:r>
      <w:r w:rsidRPr="00A81D1B">
        <w:t xml:space="preserve"> 2017.</w:t>
      </w:r>
    </w:p>
    <w:p w14:paraId="231BB9D9" w14:textId="77777777" w:rsidR="00173478" w:rsidRPr="00A81D1B" w:rsidRDefault="00173478" w:rsidP="00173478">
      <w:pPr>
        <w:ind w:left="1134" w:right="1133"/>
        <w:jc w:val="both"/>
      </w:pPr>
      <w:r w:rsidRPr="00A81D1B">
        <w:rPr>
          <w:b/>
          <w:bCs/>
        </w:rPr>
        <w:t>Implementation</w:t>
      </w:r>
      <w:r w:rsidRPr="00A81D1B">
        <w:rPr>
          <w:bCs/>
        </w:rPr>
        <w:t>:</w:t>
      </w:r>
      <w:r w:rsidRPr="00A81D1B">
        <w:t xml:space="preserve"> 2017–2020.</w:t>
      </w:r>
    </w:p>
    <w:p w14:paraId="79B58B0D" w14:textId="77777777" w:rsidR="00173478" w:rsidRPr="00A81D1B" w:rsidRDefault="00173478" w:rsidP="00173478">
      <w:pPr>
        <w:ind w:left="1134" w:right="1133"/>
        <w:jc w:val="both"/>
      </w:pPr>
      <w:r w:rsidRPr="00A81D1B">
        <w:rPr>
          <w:b/>
          <w:bCs/>
        </w:rPr>
        <w:t>Target audience</w:t>
      </w:r>
      <w:r w:rsidRPr="00A81D1B">
        <w:rPr>
          <w:bCs/>
        </w:rPr>
        <w:t>:</w:t>
      </w:r>
      <w:r w:rsidRPr="00A81D1B">
        <w:t xml:space="preserve"> New and experienced </w:t>
      </w:r>
      <w:r w:rsidRPr="00A81D1B">
        <w:rPr>
          <w:color w:val="000000"/>
        </w:rPr>
        <w:t>review experts</w:t>
      </w:r>
      <w:r w:rsidRPr="00A81D1B">
        <w:t xml:space="preserve"> reviewing the provision of financial support, technology transfer and capacity-building, and lead reviewers.</w:t>
      </w:r>
    </w:p>
    <w:p w14:paraId="44A46E07" w14:textId="77777777" w:rsidR="00173478" w:rsidRPr="00A81D1B" w:rsidRDefault="00173478" w:rsidP="00173478">
      <w:pPr>
        <w:ind w:left="1134" w:right="1133"/>
        <w:jc w:val="both"/>
      </w:pPr>
      <w:r w:rsidRPr="00A81D1B">
        <w:rPr>
          <w:b/>
          <w:bCs/>
        </w:rPr>
        <w:t>Type of course</w:t>
      </w:r>
      <w:r w:rsidRPr="00A81D1B">
        <w:rPr>
          <w:bCs/>
        </w:rPr>
        <w:t>:</w:t>
      </w:r>
      <w:r w:rsidRPr="00A81D1B">
        <w:t xml:space="preserve"> E-learning, without an instructor.</w:t>
      </w:r>
    </w:p>
    <w:p w14:paraId="731DE991" w14:textId="77777777" w:rsidR="00173478" w:rsidRPr="00A81D1B" w:rsidRDefault="00173478" w:rsidP="00173478">
      <w:pPr>
        <w:ind w:left="1134" w:right="1133"/>
        <w:jc w:val="both"/>
      </w:pPr>
      <w:r w:rsidRPr="00A81D1B">
        <w:rPr>
          <w:b/>
          <w:bCs/>
          <w:color w:val="000000"/>
        </w:rPr>
        <w:t>Examination requirements and format</w:t>
      </w:r>
      <w:r w:rsidRPr="00A81D1B">
        <w:rPr>
          <w:bCs/>
          <w:color w:val="000000"/>
        </w:rPr>
        <w:t>:</w:t>
      </w:r>
      <w:r w:rsidRPr="00A81D1B">
        <w:rPr>
          <w:color w:val="000000"/>
        </w:rPr>
        <w:t xml:space="preserve"> </w:t>
      </w:r>
      <w:r w:rsidRPr="00A81D1B">
        <w:t xml:space="preserve">New </w:t>
      </w:r>
      <w:r w:rsidRPr="00A81D1B">
        <w:rPr>
          <w:color w:val="000000"/>
        </w:rPr>
        <w:t>review experts</w:t>
      </w:r>
      <w:r w:rsidRPr="00A81D1B">
        <w:t xml:space="preserve"> must pass the examination before participating in expert review teams. Lead reviewers and experienced experts reviewing the provision of financial support, technology transfer and capacity-building are encouraged to take the examination. Online examination.</w:t>
      </w:r>
    </w:p>
    <w:p w14:paraId="5D965683" w14:textId="2EE38484" w:rsidR="00173478" w:rsidRPr="00CC4174" w:rsidRDefault="000D0389" w:rsidP="00173478">
      <w:pPr>
        <w:pStyle w:val="RegSingleTxtG"/>
        <w:numPr>
          <w:ilvl w:val="0"/>
          <w:numId w:val="0"/>
        </w:numPr>
        <w:suppressAutoHyphens w:val="0"/>
        <w:autoSpaceDE w:val="0"/>
        <w:autoSpaceDN w:val="0"/>
        <w:adjustRightInd w:val="0"/>
        <w:spacing w:after="0" w:line="240" w:lineRule="auto"/>
        <w:ind w:left="1494" w:right="-1"/>
        <w:jc w:val="right"/>
        <w:rPr>
          <w:i/>
          <w:lang w:eastAsia="en-US"/>
        </w:rPr>
      </w:pPr>
      <w:r>
        <w:rPr>
          <w:i/>
          <w:lang w:eastAsia="en-US"/>
        </w:rPr>
        <w:t>12</w:t>
      </w:r>
      <w:r w:rsidR="00173478" w:rsidRPr="000D0389">
        <w:rPr>
          <w:i/>
          <w:vertAlign w:val="superscript"/>
          <w:lang w:eastAsia="en-US"/>
        </w:rPr>
        <w:t>th</w:t>
      </w:r>
      <w:r w:rsidR="00173478" w:rsidRPr="000D0389">
        <w:rPr>
          <w:i/>
          <w:lang w:eastAsia="en-US"/>
        </w:rPr>
        <w:t xml:space="preserve"> plenary meeting</w:t>
      </w:r>
    </w:p>
    <w:p w14:paraId="3D7B4C4B" w14:textId="77777777" w:rsidR="00173478" w:rsidRDefault="00173478" w:rsidP="00173478">
      <w:pPr>
        <w:pStyle w:val="RegSingleTxtG"/>
        <w:numPr>
          <w:ilvl w:val="0"/>
          <w:numId w:val="0"/>
        </w:numPr>
        <w:suppressAutoHyphens w:val="0"/>
        <w:autoSpaceDE w:val="0"/>
        <w:autoSpaceDN w:val="0"/>
        <w:adjustRightInd w:val="0"/>
        <w:spacing w:after="0" w:line="240" w:lineRule="auto"/>
        <w:ind w:left="1494" w:right="-1"/>
        <w:jc w:val="right"/>
        <w:rPr>
          <w:i/>
          <w:lang w:eastAsia="en-US"/>
        </w:rPr>
        <w:sectPr w:rsidR="00173478" w:rsidSect="0024232D">
          <w:headerReference w:type="even" r:id="rId42"/>
          <w:headerReference w:type="default" r:id="rId43"/>
          <w:footerReference w:type="even" r:id="rId44"/>
          <w:footerReference w:type="default" r:id="rId45"/>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3E2AB136" w14:textId="77777777" w:rsidR="00173478" w:rsidRDefault="00173478" w:rsidP="00173478">
      <w:pPr>
        <w:pStyle w:val="HChG"/>
      </w:pPr>
      <w:r>
        <w:lastRenderedPageBreak/>
        <w:tab/>
      </w:r>
      <w:r>
        <w:tab/>
        <w:t>Decision 20/CP.23</w:t>
      </w:r>
    </w:p>
    <w:p w14:paraId="06DD47E7" w14:textId="77777777" w:rsidR="00173478" w:rsidRDefault="00173478" w:rsidP="00173478">
      <w:pPr>
        <w:pStyle w:val="HChG"/>
        <w:jc w:val="both"/>
      </w:pPr>
      <w:r>
        <w:tab/>
      </w:r>
      <w:r>
        <w:tab/>
        <w:t>Administrative, financial and institutional matters</w:t>
      </w:r>
    </w:p>
    <w:p w14:paraId="721C0FE1" w14:textId="77777777" w:rsidR="00173478" w:rsidRPr="000754FC" w:rsidRDefault="00173478" w:rsidP="00173478">
      <w:pPr>
        <w:spacing w:before="120"/>
        <w:ind w:left="1134" w:right="1174" w:firstLine="567"/>
        <w:jc w:val="both"/>
        <w:rPr>
          <w:i/>
        </w:rPr>
      </w:pPr>
      <w:r w:rsidRPr="000754FC">
        <w:rPr>
          <w:i/>
        </w:rPr>
        <w:t>The Conference of the Parties</w:t>
      </w:r>
      <w:r w:rsidRPr="003F5A5B">
        <w:t>,</w:t>
      </w:r>
    </w:p>
    <w:p w14:paraId="399A15F6" w14:textId="77777777" w:rsidR="00173478" w:rsidRDefault="00173478" w:rsidP="00173478">
      <w:pPr>
        <w:spacing w:before="120"/>
        <w:ind w:left="1134" w:right="1174" w:firstLine="567"/>
        <w:jc w:val="both"/>
      </w:pPr>
      <w:r w:rsidRPr="00312A50">
        <w:rPr>
          <w:i/>
        </w:rPr>
        <w:t>Recalling</w:t>
      </w:r>
      <w:r>
        <w:t xml:space="preserve"> decision 22/CP.21, in which the programme budget for the biennium 2016–2017 was approved, </w:t>
      </w:r>
    </w:p>
    <w:p w14:paraId="67495582" w14:textId="77777777" w:rsidR="00173478" w:rsidRDefault="00173478" w:rsidP="00173478">
      <w:pPr>
        <w:spacing w:before="120"/>
        <w:ind w:left="1134" w:right="1174" w:firstLine="567"/>
        <w:jc w:val="both"/>
      </w:pPr>
      <w:r w:rsidRPr="00312A50">
        <w:rPr>
          <w:i/>
        </w:rPr>
        <w:t>Also recalling</w:t>
      </w:r>
      <w:r>
        <w:t xml:space="preserve"> paragraph 11 of the financial procedures for the Conference of the Parties to the United Nations Framework Convention on Climate Change, its subsidiary bodies and its permanent secretariat,</w:t>
      </w:r>
      <w:r>
        <w:rPr>
          <w:rStyle w:val="FootnoteReference"/>
        </w:rPr>
        <w:footnoteReference w:id="22"/>
      </w:r>
    </w:p>
    <w:p w14:paraId="6B2E0B6C" w14:textId="77777777" w:rsidR="00173478" w:rsidRDefault="00173478" w:rsidP="00173478">
      <w:pPr>
        <w:spacing w:before="120"/>
        <w:ind w:left="1134" w:right="1174" w:firstLine="567"/>
        <w:jc w:val="both"/>
      </w:pPr>
      <w:r w:rsidRPr="00312A50">
        <w:rPr>
          <w:i/>
        </w:rPr>
        <w:t>Having considered</w:t>
      </w:r>
      <w:r>
        <w:t xml:space="preserve"> the information contained in the documents prepared by the secretariat on administrative, financial and institutional matters,</w:t>
      </w:r>
      <w:r>
        <w:rPr>
          <w:rStyle w:val="FootnoteReference"/>
        </w:rPr>
        <w:footnoteReference w:id="23"/>
      </w:r>
    </w:p>
    <w:p w14:paraId="20345BB0" w14:textId="69B2DF28" w:rsidR="00173478" w:rsidRDefault="000F209A" w:rsidP="000F209A">
      <w:pPr>
        <w:pStyle w:val="RegHChG"/>
        <w:numPr>
          <w:ilvl w:val="0"/>
          <w:numId w:val="0"/>
        </w:numPr>
        <w:tabs>
          <w:tab w:val="left" w:pos="1135"/>
        </w:tabs>
        <w:ind w:left="1135" w:hanging="454"/>
      </w:pPr>
      <w:r>
        <w:t>I.</w:t>
      </w:r>
      <w:r>
        <w:tab/>
      </w:r>
      <w:r w:rsidR="00173478" w:rsidRPr="00C94384">
        <w:t>Budget performance for the biennium 2016–2017</w:t>
      </w:r>
    </w:p>
    <w:p w14:paraId="13AE2171" w14:textId="6A195A87" w:rsidR="00173478" w:rsidRPr="00B54EAE" w:rsidRDefault="000F209A" w:rsidP="000F209A">
      <w:pPr>
        <w:pStyle w:val="RegSingleTxtG"/>
        <w:numPr>
          <w:ilvl w:val="0"/>
          <w:numId w:val="0"/>
        </w:numPr>
        <w:ind w:left="1134"/>
        <w:rPr>
          <w:lang w:eastAsia="en-US"/>
        </w:rPr>
      </w:pPr>
      <w:r w:rsidRPr="00B54EAE">
        <w:rPr>
          <w:lang w:eastAsia="en-US"/>
        </w:rPr>
        <w:t>1.</w:t>
      </w:r>
      <w:r w:rsidRPr="00B54EAE">
        <w:rPr>
          <w:lang w:eastAsia="en-US"/>
        </w:rPr>
        <w:tab/>
      </w:r>
      <w:r w:rsidR="00173478" w:rsidRPr="000D0389">
        <w:rPr>
          <w:i/>
          <w:lang w:eastAsia="en-US"/>
        </w:rPr>
        <w:t>Takes note</w:t>
      </w:r>
      <w:r w:rsidR="00173478" w:rsidRPr="00B54EAE">
        <w:rPr>
          <w:lang w:eastAsia="en-US"/>
        </w:rPr>
        <w:t xml:space="preserve"> of the information contained in the report on budget performance for the </w:t>
      </w:r>
      <w:r w:rsidR="00173478" w:rsidRPr="004D1A1E">
        <w:rPr>
          <w:lang w:eastAsia="en-US"/>
        </w:rPr>
        <w:t>biennium 2016–2017 as at 30 June 2017</w:t>
      </w:r>
      <w:r w:rsidR="00173478">
        <w:rPr>
          <w:rStyle w:val="FootnoteReference"/>
          <w:rFonts w:eastAsia="Times New Roman"/>
          <w:lang w:eastAsia="en-US"/>
        </w:rPr>
        <w:footnoteReference w:id="24"/>
      </w:r>
      <w:r w:rsidR="00173478">
        <w:rPr>
          <w:lang w:eastAsia="en-US"/>
        </w:rPr>
        <w:t xml:space="preserve"> and </w:t>
      </w:r>
      <w:r w:rsidR="00173478" w:rsidRPr="00B54EAE">
        <w:rPr>
          <w:lang w:eastAsia="en-US"/>
        </w:rPr>
        <w:t>the</w:t>
      </w:r>
      <w:r w:rsidR="00173478">
        <w:rPr>
          <w:lang w:eastAsia="en-US"/>
        </w:rPr>
        <w:t xml:space="preserve"> note on the</w:t>
      </w:r>
      <w:r w:rsidR="00173478" w:rsidRPr="00B54EAE">
        <w:rPr>
          <w:lang w:eastAsia="en-US"/>
        </w:rPr>
        <w:t xml:space="preserve"> status of contributions </w:t>
      </w:r>
      <w:r w:rsidR="00173478">
        <w:rPr>
          <w:lang w:eastAsia="en-US"/>
        </w:rPr>
        <w:t xml:space="preserve">to the trust funds </w:t>
      </w:r>
      <w:r w:rsidR="00173478" w:rsidRPr="00336FC7">
        <w:rPr>
          <w:lang w:eastAsia="en-US"/>
        </w:rPr>
        <w:t>administered by the secretariat</w:t>
      </w:r>
      <w:r w:rsidR="00173478">
        <w:rPr>
          <w:lang w:eastAsia="en-US"/>
        </w:rPr>
        <w:t xml:space="preserve"> </w:t>
      </w:r>
      <w:r w:rsidR="00173478" w:rsidRPr="00B54EAE">
        <w:rPr>
          <w:lang w:eastAsia="en-US"/>
        </w:rPr>
        <w:t xml:space="preserve">as at </w:t>
      </w:r>
      <w:r w:rsidR="00173478">
        <w:rPr>
          <w:lang w:eastAsia="en-US"/>
        </w:rPr>
        <w:t>16</w:t>
      </w:r>
      <w:r w:rsidR="00173478" w:rsidRPr="00B54EAE">
        <w:rPr>
          <w:lang w:eastAsia="en-US"/>
        </w:rPr>
        <w:t xml:space="preserve"> </w:t>
      </w:r>
      <w:r w:rsidR="00173478">
        <w:rPr>
          <w:lang w:eastAsia="en-US"/>
        </w:rPr>
        <w:t>October</w:t>
      </w:r>
      <w:r w:rsidR="00173478" w:rsidRPr="00B54EAE">
        <w:rPr>
          <w:lang w:eastAsia="en-US"/>
        </w:rPr>
        <w:t xml:space="preserve"> 201</w:t>
      </w:r>
      <w:r w:rsidR="00173478">
        <w:rPr>
          <w:lang w:eastAsia="en-US"/>
        </w:rPr>
        <w:t>7;</w:t>
      </w:r>
      <w:r w:rsidR="00173478">
        <w:rPr>
          <w:rStyle w:val="FootnoteReference"/>
          <w:rFonts w:eastAsia="Times New Roman"/>
          <w:lang w:eastAsia="en-US"/>
        </w:rPr>
        <w:footnoteReference w:id="25"/>
      </w:r>
      <w:r w:rsidR="00173478" w:rsidRPr="00B54EAE">
        <w:rPr>
          <w:lang w:eastAsia="en-US"/>
        </w:rPr>
        <w:t xml:space="preserve"> </w:t>
      </w:r>
    </w:p>
    <w:p w14:paraId="6DF4A508" w14:textId="16AF9CA6" w:rsidR="00173478" w:rsidRPr="00B76745" w:rsidRDefault="000F209A" w:rsidP="000F209A">
      <w:pPr>
        <w:pStyle w:val="RegSingleTxtG"/>
        <w:numPr>
          <w:ilvl w:val="0"/>
          <w:numId w:val="0"/>
        </w:numPr>
        <w:ind w:left="1134"/>
        <w:rPr>
          <w:lang w:eastAsia="en-US"/>
        </w:rPr>
      </w:pPr>
      <w:r w:rsidRPr="00B76745">
        <w:rPr>
          <w:lang w:eastAsia="en-US"/>
        </w:rPr>
        <w:t>2.</w:t>
      </w:r>
      <w:r w:rsidRPr="00B76745">
        <w:rPr>
          <w:lang w:eastAsia="en-US"/>
        </w:rPr>
        <w:tab/>
      </w:r>
      <w:r w:rsidR="00173478" w:rsidRPr="00A36E4E">
        <w:rPr>
          <w:i/>
          <w:lang w:eastAsia="en-US"/>
        </w:rPr>
        <w:t>Expresses its appreciation</w:t>
      </w:r>
      <w:r w:rsidR="00173478" w:rsidRPr="00B76745">
        <w:rPr>
          <w:lang w:eastAsia="en-US"/>
        </w:rPr>
        <w:t xml:space="preserve"> to Parties that made contributions to the core budget in a</w:t>
      </w:r>
      <w:r w:rsidR="00173478">
        <w:rPr>
          <w:lang w:eastAsia="en-US"/>
        </w:rPr>
        <w:t xml:space="preserve"> </w:t>
      </w:r>
      <w:r w:rsidR="00173478" w:rsidRPr="00B76745">
        <w:rPr>
          <w:lang w:eastAsia="en-US"/>
        </w:rPr>
        <w:t>timely manner;</w:t>
      </w:r>
      <w:r w:rsidR="00173478">
        <w:rPr>
          <w:lang w:eastAsia="en-US"/>
        </w:rPr>
        <w:t xml:space="preserve"> </w:t>
      </w:r>
    </w:p>
    <w:p w14:paraId="5D6C1D83" w14:textId="5856D82A" w:rsidR="00173478" w:rsidRPr="00883441" w:rsidRDefault="000F209A" w:rsidP="000F209A">
      <w:pPr>
        <w:pStyle w:val="RegSingleTxtG"/>
        <w:numPr>
          <w:ilvl w:val="0"/>
          <w:numId w:val="0"/>
        </w:numPr>
        <w:ind w:left="1134"/>
        <w:rPr>
          <w:lang w:eastAsia="en-US"/>
        </w:rPr>
      </w:pPr>
      <w:r w:rsidRPr="00883441">
        <w:rPr>
          <w:lang w:eastAsia="en-US"/>
        </w:rPr>
        <w:t>3.</w:t>
      </w:r>
      <w:r w:rsidRPr="00883441">
        <w:rPr>
          <w:lang w:eastAsia="en-US"/>
        </w:rPr>
        <w:tab/>
      </w:r>
      <w:r w:rsidR="00173478" w:rsidRPr="00A36E4E">
        <w:rPr>
          <w:i/>
          <w:lang w:eastAsia="en-US"/>
        </w:rPr>
        <w:t>Expresses concern</w:t>
      </w:r>
      <w:r w:rsidR="00173478" w:rsidRPr="00883441">
        <w:rPr>
          <w:lang w:eastAsia="en-US"/>
        </w:rPr>
        <w:t xml:space="preserve"> regarding the high level of outstanding contributions to the core budget for the current and previous bienniums</w:t>
      </w:r>
      <w:r w:rsidR="00173478">
        <w:rPr>
          <w:lang w:eastAsia="en-US"/>
        </w:rPr>
        <w:t>,</w:t>
      </w:r>
      <w:r w:rsidR="00173478" w:rsidRPr="00883441">
        <w:rPr>
          <w:lang w:eastAsia="en-US"/>
        </w:rPr>
        <w:t xml:space="preserve"> which has resulted in difficulties with cash flow;</w:t>
      </w:r>
      <w:r w:rsidR="00173478">
        <w:rPr>
          <w:lang w:eastAsia="en-US"/>
        </w:rPr>
        <w:t xml:space="preserve"> </w:t>
      </w:r>
    </w:p>
    <w:p w14:paraId="17B5234D" w14:textId="1E30FC96" w:rsidR="00173478" w:rsidRDefault="000F209A" w:rsidP="000F209A">
      <w:pPr>
        <w:pStyle w:val="RegSingleTxtG"/>
        <w:numPr>
          <w:ilvl w:val="0"/>
          <w:numId w:val="0"/>
        </w:numPr>
        <w:ind w:left="1134"/>
        <w:rPr>
          <w:lang w:eastAsia="en-US"/>
        </w:rPr>
      </w:pPr>
      <w:r>
        <w:rPr>
          <w:lang w:eastAsia="en-US"/>
        </w:rPr>
        <w:t>4.</w:t>
      </w:r>
      <w:r>
        <w:rPr>
          <w:lang w:eastAsia="en-US"/>
        </w:rPr>
        <w:tab/>
      </w:r>
      <w:r w:rsidR="00173478" w:rsidRPr="00A36E4E">
        <w:rPr>
          <w:i/>
          <w:lang w:eastAsia="en-US"/>
        </w:rPr>
        <w:t>Strongly urges</w:t>
      </w:r>
      <w:r w:rsidR="00173478" w:rsidRPr="00883441">
        <w:rPr>
          <w:lang w:eastAsia="en-US"/>
        </w:rPr>
        <w:t xml:space="preserve"> Parties that have not made contributions in full to the core budget for the current and/or previous bienniums to do so without further delay;</w:t>
      </w:r>
      <w:r w:rsidR="00173478">
        <w:rPr>
          <w:lang w:eastAsia="en-US"/>
        </w:rPr>
        <w:t xml:space="preserve"> </w:t>
      </w:r>
    </w:p>
    <w:p w14:paraId="1B180C5A" w14:textId="2A7323CB" w:rsidR="00173478" w:rsidRPr="009F122E" w:rsidRDefault="000F209A" w:rsidP="000F209A">
      <w:pPr>
        <w:pStyle w:val="RegSingleTxtG"/>
        <w:numPr>
          <w:ilvl w:val="0"/>
          <w:numId w:val="0"/>
        </w:numPr>
        <w:ind w:left="1134"/>
        <w:rPr>
          <w:lang w:eastAsia="en-US"/>
        </w:rPr>
      </w:pPr>
      <w:r w:rsidRPr="009F122E">
        <w:rPr>
          <w:lang w:eastAsia="en-US"/>
        </w:rPr>
        <w:t>5.</w:t>
      </w:r>
      <w:r w:rsidRPr="009F122E">
        <w:rPr>
          <w:lang w:eastAsia="en-US"/>
        </w:rPr>
        <w:tab/>
      </w:r>
      <w:r w:rsidR="00173478" w:rsidRPr="00A36E4E">
        <w:rPr>
          <w:i/>
          <w:lang w:eastAsia="en-US"/>
        </w:rPr>
        <w:t>Calls upon</w:t>
      </w:r>
      <w:r w:rsidR="00173478" w:rsidRPr="00883441">
        <w:rPr>
          <w:lang w:eastAsia="en-US"/>
        </w:rPr>
        <w:t xml:space="preserve"> Parties to make their contributions to t</w:t>
      </w:r>
      <w:r w:rsidR="00173478">
        <w:rPr>
          <w:lang w:eastAsia="en-US"/>
        </w:rPr>
        <w:t>he core budget for the year 2018</w:t>
      </w:r>
      <w:r w:rsidR="00173478" w:rsidRPr="00883441">
        <w:rPr>
          <w:lang w:eastAsia="en-US"/>
        </w:rPr>
        <w:t xml:space="preserve"> in a </w:t>
      </w:r>
      <w:r w:rsidR="00173478" w:rsidRPr="009F122E">
        <w:rPr>
          <w:lang w:eastAsia="en-US"/>
        </w:rPr>
        <w:t xml:space="preserve">timely manner, bearing in mind that contributions are due on 1 January of each year in accordance with the financial procedures </w:t>
      </w:r>
      <w:r w:rsidR="00173478" w:rsidRPr="009F122E">
        <w:t>for the Conference of the Parties</w:t>
      </w:r>
      <w:r w:rsidR="00173478" w:rsidRPr="009F122E">
        <w:rPr>
          <w:lang w:eastAsia="en-US"/>
        </w:rPr>
        <w:t>;</w:t>
      </w:r>
      <w:r w:rsidR="00173478">
        <w:rPr>
          <w:lang w:eastAsia="en-US"/>
        </w:rPr>
        <w:t xml:space="preserve"> </w:t>
      </w:r>
    </w:p>
    <w:p w14:paraId="049EA833" w14:textId="7BE20F55" w:rsidR="00173478" w:rsidRDefault="000F209A" w:rsidP="000F209A">
      <w:pPr>
        <w:pStyle w:val="RegSingleTxtG"/>
        <w:numPr>
          <w:ilvl w:val="0"/>
          <w:numId w:val="0"/>
        </w:numPr>
        <w:ind w:left="1134"/>
        <w:rPr>
          <w:lang w:eastAsia="en-US"/>
        </w:rPr>
      </w:pPr>
      <w:r>
        <w:rPr>
          <w:lang w:eastAsia="en-US"/>
        </w:rPr>
        <w:t>6.</w:t>
      </w:r>
      <w:r>
        <w:rPr>
          <w:lang w:eastAsia="en-US"/>
        </w:rPr>
        <w:tab/>
      </w:r>
      <w:r w:rsidR="00173478" w:rsidRPr="00A36E4E">
        <w:rPr>
          <w:i/>
          <w:lang w:eastAsia="en-US"/>
        </w:rPr>
        <w:t>Expresses its appreciation</w:t>
      </w:r>
      <w:r w:rsidR="00173478" w:rsidRPr="009F122E">
        <w:rPr>
          <w:lang w:eastAsia="en-US"/>
        </w:rPr>
        <w:t xml:space="preserve"> for the contributions to the Trust Fund for Participation in the UNFCCC Process and to the Trust Fund for Supplementary Activities received from Parties;</w:t>
      </w:r>
    </w:p>
    <w:p w14:paraId="55A7554A" w14:textId="5ED71233" w:rsidR="00173478" w:rsidRPr="009F122E" w:rsidRDefault="000F209A" w:rsidP="000F209A">
      <w:pPr>
        <w:pStyle w:val="RegSingleTxtG"/>
        <w:numPr>
          <w:ilvl w:val="0"/>
          <w:numId w:val="0"/>
        </w:numPr>
        <w:ind w:left="1134"/>
        <w:rPr>
          <w:lang w:eastAsia="en-US"/>
        </w:rPr>
      </w:pPr>
      <w:r w:rsidRPr="009F122E">
        <w:rPr>
          <w:lang w:eastAsia="en-US"/>
        </w:rPr>
        <w:t>7.</w:t>
      </w:r>
      <w:r w:rsidRPr="009F122E">
        <w:rPr>
          <w:lang w:eastAsia="en-US"/>
        </w:rPr>
        <w:tab/>
      </w:r>
      <w:r w:rsidR="00173478" w:rsidRPr="00A36E4E">
        <w:rPr>
          <w:i/>
          <w:lang w:eastAsia="en-US"/>
        </w:rPr>
        <w:t>Urges</w:t>
      </w:r>
      <w:r w:rsidR="00173478" w:rsidRPr="009F122E">
        <w:rPr>
          <w:lang w:eastAsia="en-US"/>
        </w:rPr>
        <w:t xml:space="preserve"> Parties to further contribute to the Trust Fund for Participation in the UNFCCC Process, in order to ensure the widest possible participa</w:t>
      </w:r>
      <w:r w:rsidR="00173478">
        <w:rPr>
          <w:lang w:eastAsia="en-US"/>
        </w:rPr>
        <w:t>tion in the negotiations in 2018</w:t>
      </w:r>
      <w:r w:rsidR="00173478" w:rsidRPr="009F122E">
        <w:rPr>
          <w:lang w:eastAsia="en-US"/>
        </w:rPr>
        <w:t>, and to the Trust Fund for Supplementary Activities;</w:t>
      </w:r>
      <w:r w:rsidR="00173478">
        <w:rPr>
          <w:lang w:eastAsia="en-US"/>
        </w:rPr>
        <w:t xml:space="preserve"> </w:t>
      </w:r>
    </w:p>
    <w:p w14:paraId="234876E4" w14:textId="0F23789F" w:rsidR="00F20F00" w:rsidRDefault="000F209A" w:rsidP="000F209A">
      <w:pPr>
        <w:pStyle w:val="RegSingleTxtG"/>
        <w:numPr>
          <w:ilvl w:val="0"/>
          <w:numId w:val="0"/>
        </w:numPr>
        <w:ind w:left="1134"/>
        <w:rPr>
          <w:lang w:eastAsia="en-US"/>
        </w:rPr>
      </w:pPr>
      <w:r>
        <w:rPr>
          <w:lang w:eastAsia="en-US"/>
        </w:rPr>
        <w:t>8.</w:t>
      </w:r>
      <w:r>
        <w:rPr>
          <w:lang w:eastAsia="en-US"/>
        </w:rPr>
        <w:tab/>
      </w:r>
      <w:r w:rsidR="00173478" w:rsidRPr="00F20F00">
        <w:rPr>
          <w:i/>
          <w:lang w:eastAsia="en-US"/>
        </w:rPr>
        <w:t>Reiterate</w:t>
      </w:r>
      <w:r w:rsidR="00173478" w:rsidRPr="00A36E4E">
        <w:rPr>
          <w:i/>
          <w:lang w:eastAsia="en-US"/>
        </w:rPr>
        <w:t>s</w:t>
      </w:r>
      <w:r w:rsidR="00173478" w:rsidRPr="00F20F00">
        <w:rPr>
          <w:i/>
          <w:lang w:eastAsia="en-US"/>
        </w:rPr>
        <w:t xml:space="preserve"> its appreciatio</w:t>
      </w:r>
      <w:r w:rsidR="00173478" w:rsidRPr="00A36E4E">
        <w:rPr>
          <w:i/>
          <w:lang w:eastAsia="en-US"/>
        </w:rPr>
        <w:t>n</w:t>
      </w:r>
      <w:r w:rsidR="00173478" w:rsidRPr="009F122E">
        <w:rPr>
          <w:lang w:eastAsia="en-US"/>
        </w:rPr>
        <w:t xml:space="preserve"> to the Government of Germany for its annual voluntary contribution to the core budget of EUR 766,938 and its special contribution of EUR 1,789,522 as Host Government of the secretariat;</w:t>
      </w:r>
      <w:r w:rsidR="00173478">
        <w:rPr>
          <w:lang w:eastAsia="en-US"/>
        </w:rPr>
        <w:t xml:space="preserve"> </w:t>
      </w:r>
    </w:p>
    <w:p w14:paraId="3489844C" w14:textId="44F892C5" w:rsidR="00173478" w:rsidRDefault="000F209A" w:rsidP="000F209A">
      <w:pPr>
        <w:pStyle w:val="RegHChG"/>
        <w:numPr>
          <w:ilvl w:val="0"/>
          <w:numId w:val="0"/>
        </w:numPr>
        <w:tabs>
          <w:tab w:val="left" w:pos="1135"/>
        </w:tabs>
        <w:ind w:left="1135" w:hanging="454"/>
      </w:pPr>
      <w:r>
        <w:t>II.</w:t>
      </w:r>
      <w:r>
        <w:tab/>
      </w:r>
      <w:r w:rsidR="00F20F00">
        <w:rPr>
          <w:lang w:eastAsia="en-US"/>
        </w:rPr>
        <w:br w:type="page"/>
      </w:r>
      <w:r w:rsidR="00173478" w:rsidRPr="00C94384">
        <w:lastRenderedPageBreak/>
        <w:t>Audit report a</w:t>
      </w:r>
      <w:r w:rsidR="00173478">
        <w:t>nd financial statements for 2016</w:t>
      </w:r>
    </w:p>
    <w:p w14:paraId="1AA516A0" w14:textId="2B891508" w:rsidR="00173478" w:rsidRPr="00A36E4E" w:rsidRDefault="000F209A" w:rsidP="000F209A">
      <w:pPr>
        <w:pStyle w:val="RegSingleTxtG"/>
        <w:numPr>
          <w:ilvl w:val="0"/>
          <w:numId w:val="0"/>
        </w:numPr>
        <w:tabs>
          <w:tab w:val="left" w:pos="568"/>
        </w:tabs>
        <w:ind w:left="1134"/>
        <w:rPr>
          <w:lang w:eastAsia="en-US"/>
        </w:rPr>
      </w:pPr>
      <w:r w:rsidRPr="00A36E4E">
        <w:rPr>
          <w:lang w:eastAsia="en-US"/>
        </w:rPr>
        <w:t>9.</w:t>
      </w:r>
      <w:r w:rsidRPr="00A36E4E">
        <w:rPr>
          <w:lang w:eastAsia="en-US"/>
        </w:rPr>
        <w:tab/>
      </w:r>
      <w:r w:rsidR="00173478" w:rsidRPr="00A36E4E">
        <w:rPr>
          <w:i/>
          <w:lang w:eastAsia="en-US"/>
        </w:rPr>
        <w:t>Takes note</w:t>
      </w:r>
      <w:r w:rsidR="00173478" w:rsidRPr="00A36E4E">
        <w:rPr>
          <w:lang w:eastAsia="en-US"/>
        </w:rPr>
        <w:t xml:space="preserve"> of the audit report of the United Nations Board of Auditors</w:t>
      </w:r>
      <w:r w:rsidR="00173478">
        <w:rPr>
          <w:rStyle w:val="FootnoteReference"/>
          <w:lang w:eastAsia="en-US"/>
        </w:rPr>
        <w:footnoteReference w:id="26"/>
      </w:r>
      <w:r w:rsidR="00173478" w:rsidRPr="00A36E4E">
        <w:rPr>
          <w:lang w:eastAsia="en-US"/>
        </w:rPr>
        <w:t xml:space="preserve"> and the financial statements for 2016, which include recommendations, and the comments of the secretariat thereon; </w:t>
      </w:r>
    </w:p>
    <w:p w14:paraId="245F3250" w14:textId="74EFB895" w:rsidR="00173478" w:rsidRPr="00A36E4E" w:rsidRDefault="000F209A" w:rsidP="000F209A">
      <w:pPr>
        <w:pStyle w:val="RegSingleTxtG"/>
        <w:numPr>
          <w:ilvl w:val="0"/>
          <w:numId w:val="0"/>
        </w:numPr>
        <w:tabs>
          <w:tab w:val="left" w:pos="568"/>
        </w:tabs>
        <w:ind w:left="1134"/>
        <w:rPr>
          <w:lang w:eastAsia="en-US"/>
        </w:rPr>
      </w:pPr>
      <w:r w:rsidRPr="00A36E4E">
        <w:rPr>
          <w:lang w:eastAsia="en-US"/>
        </w:rPr>
        <w:t>10.</w:t>
      </w:r>
      <w:r w:rsidRPr="00A36E4E">
        <w:rPr>
          <w:lang w:eastAsia="en-US"/>
        </w:rPr>
        <w:tab/>
      </w:r>
      <w:r w:rsidR="00173478" w:rsidRPr="00A36E4E">
        <w:rPr>
          <w:i/>
          <w:lang w:eastAsia="en-US"/>
        </w:rPr>
        <w:t>Expresses its appreciation</w:t>
      </w:r>
      <w:r w:rsidR="00173478" w:rsidRPr="00A36E4E">
        <w:rPr>
          <w:lang w:eastAsia="en-US"/>
        </w:rPr>
        <w:t xml:space="preserve"> to the United Nations for arranging the audit of the accounts of the Convention;</w:t>
      </w:r>
    </w:p>
    <w:p w14:paraId="7319E241" w14:textId="5430F339" w:rsidR="00173478" w:rsidRPr="00A36E4E" w:rsidRDefault="000F209A" w:rsidP="000F209A">
      <w:pPr>
        <w:pStyle w:val="RegSingleTxtG"/>
        <w:numPr>
          <w:ilvl w:val="0"/>
          <w:numId w:val="0"/>
        </w:numPr>
        <w:tabs>
          <w:tab w:val="left" w:pos="568"/>
        </w:tabs>
        <w:ind w:left="1134"/>
        <w:rPr>
          <w:lang w:eastAsia="en-US"/>
        </w:rPr>
      </w:pPr>
      <w:r w:rsidRPr="00A36E4E">
        <w:rPr>
          <w:lang w:eastAsia="en-US"/>
        </w:rPr>
        <w:t>11.</w:t>
      </w:r>
      <w:r w:rsidRPr="00A36E4E">
        <w:rPr>
          <w:lang w:eastAsia="en-US"/>
        </w:rPr>
        <w:tab/>
      </w:r>
      <w:r w:rsidR="00173478" w:rsidRPr="00A36E4E">
        <w:rPr>
          <w:i/>
          <w:lang w:eastAsia="en-US"/>
        </w:rPr>
        <w:t>Also expresses its appreciation</w:t>
      </w:r>
      <w:r w:rsidR="00173478" w:rsidRPr="00A36E4E">
        <w:rPr>
          <w:lang w:eastAsia="en-US"/>
        </w:rPr>
        <w:t xml:space="preserve"> to the auditors for the valuable observations and recommendations and the presentation made thereon to Parties;</w:t>
      </w:r>
    </w:p>
    <w:p w14:paraId="4309C47C" w14:textId="4DF53CF9" w:rsidR="00173478" w:rsidRPr="00A36E4E" w:rsidRDefault="000F209A" w:rsidP="000F209A">
      <w:pPr>
        <w:pStyle w:val="RegSingleTxtG"/>
        <w:numPr>
          <w:ilvl w:val="0"/>
          <w:numId w:val="0"/>
        </w:numPr>
        <w:ind w:left="1134"/>
        <w:rPr>
          <w:lang w:eastAsia="en-US"/>
        </w:rPr>
      </w:pPr>
      <w:r w:rsidRPr="00A36E4E">
        <w:rPr>
          <w:lang w:eastAsia="en-US"/>
        </w:rPr>
        <w:t>12.</w:t>
      </w:r>
      <w:r w:rsidRPr="00A36E4E">
        <w:rPr>
          <w:lang w:eastAsia="en-US"/>
        </w:rPr>
        <w:tab/>
      </w:r>
      <w:r w:rsidR="00173478" w:rsidRPr="00A36E4E">
        <w:rPr>
          <w:i/>
          <w:lang w:eastAsia="en-US"/>
        </w:rPr>
        <w:t>Urges</w:t>
      </w:r>
      <w:r w:rsidR="00173478" w:rsidRPr="00A36E4E">
        <w:rPr>
          <w:lang w:eastAsia="en-US"/>
        </w:rPr>
        <w:t xml:space="preserve"> the Executive Secretary to implement the recommendations of the auditors, as appropriate.</w:t>
      </w:r>
    </w:p>
    <w:p w14:paraId="68C3A009" w14:textId="41887059" w:rsidR="00173478" w:rsidRPr="00CC4174" w:rsidRDefault="000D0389" w:rsidP="00173478">
      <w:pPr>
        <w:pStyle w:val="RegSingleTxtG"/>
        <w:numPr>
          <w:ilvl w:val="0"/>
          <w:numId w:val="0"/>
        </w:numPr>
        <w:suppressAutoHyphens w:val="0"/>
        <w:autoSpaceDE w:val="0"/>
        <w:autoSpaceDN w:val="0"/>
        <w:adjustRightInd w:val="0"/>
        <w:spacing w:after="0" w:line="240" w:lineRule="auto"/>
        <w:ind w:left="1494" w:right="-1"/>
        <w:jc w:val="right"/>
        <w:rPr>
          <w:i/>
          <w:lang w:eastAsia="en-US"/>
        </w:rPr>
      </w:pPr>
      <w:r>
        <w:rPr>
          <w:i/>
          <w:lang w:eastAsia="en-US"/>
        </w:rPr>
        <w:t>12</w:t>
      </w:r>
      <w:r w:rsidR="00173478" w:rsidRPr="000D0389">
        <w:rPr>
          <w:i/>
          <w:vertAlign w:val="superscript"/>
          <w:lang w:eastAsia="en-US"/>
        </w:rPr>
        <w:t>th</w:t>
      </w:r>
      <w:r w:rsidR="00173478" w:rsidRPr="000D0389">
        <w:rPr>
          <w:i/>
          <w:lang w:eastAsia="en-US"/>
        </w:rPr>
        <w:t xml:space="preserve"> plenary meeting</w:t>
      </w:r>
    </w:p>
    <w:p w14:paraId="60BC4B86" w14:textId="77777777" w:rsidR="00173478" w:rsidRDefault="00173478" w:rsidP="00173478">
      <w:pPr>
        <w:pStyle w:val="RegSingleTxtG"/>
        <w:numPr>
          <w:ilvl w:val="0"/>
          <w:numId w:val="0"/>
        </w:numPr>
        <w:suppressAutoHyphens w:val="0"/>
        <w:autoSpaceDE w:val="0"/>
        <w:autoSpaceDN w:val="0"/>
        <w:adjustRightInd w:val="0"/>
        <w:spacing w:after="0" w:line="240" w:lineRule="auto"/>
        <w:ind w:left="1494" w:right="-1"/>
        <w:jc w:val="right"/>
        <w:rPr>
          <w:i/>
          <w:lang w:eastAsia="en-US"/>
        </w:rPr>
        <w:sectPr w:rsidR="00173478" w:rsidSect="0024232D">
          <w:headerReference w:type="even" r:id="rId46"/>
          <w:headerReference w:type="default" r:id="rId47"/>
          <w:footerReference w:type="even" r:id="rId48"/>
          <w:footerReference w:type="default" r:id="rId49"/>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32AA3C95" w14:textId="77777777" w:rsidR="00173478" w:rsidRDefault="00173478" w:rsidP="00173478">
      <w:pPr>
        <w:pStyle w:val="HChG"/>
      </w:pPr>
      <w:r>
        <w:lastRenderedPageBreak/>
        <w:tab/>
      </w:r>
      <w:r>
        <w:tab/>
        <w:t>Decision 21/CP.23</w:t>
      </w:r>
    </w:p>
    <w:p w14:paraId="47E2DEFE" w14:textId="77777777" w:rsidR="00173478" w:rsidRPr="008E28A6" w:rsidRDefault="00173478" w:rsidP="00173478">
      <w:pPr>
        <w:pStyle w:val="HChG"/>
      </w:pPr>
      <w:r>
        <w:tab/>
      </w:r>
      <w:r>
        <w:tab/>
      </w:r>
      <w:r w:rsidRPr="008E28A6">
        <w:t>Programme budget for the biennium 2018–2019</w:t>
      </w:r>
    </w:p>
    <w:p w14:paraId="65919F52" w14:textId="77777777" w:rsidR="00173478" w:rsidRPr="008E28A6" w:rsidRDefault="00173478" w:rsidP="00173478">
      <w:pPr>
        <w:spacing w:after="120"/>
        <w:ind w:left="1134" w:firstLine="567"/>
        <w:jc w:val="both"/>
        <w:rPr>
          <w:rFonts w:eastAsia="Times New Roman"/>
          <w:i/>
          <w:lang w:eastAsia="en-US"/>
        </w:rPr>
      </w:pPr>
      <w:r w:rsidRPr="008E28A6">
        <w:rPr>
          <w:rFonts w:eastAsia="Times New Roman"/>
          <w:i/>
          <w:lang w:eastAsia="en-US"/>
        </w:rPr>
        <w:t>The Conference of the Parties</w:t>
      </w:r>
      <w:r w:rsidRPr="008E28A6">
        <w:rPr>
          <w:rFonts w:eastAsia="Times New Roman"/>
          <w:lang w:eastAsia="en-US"/>
        </w:rPr>
        <w:t>,</w:t>
      </w:r>
    </w:p>
    <w:p w14:paraId="1E99FFF5" w14:textId="77777777" w:rsidR="00173478" w:rsidRPr="008E28A6" w:rsidRDefault="00173478" w:rsidP="00173478">
      <w:pPr>
        <w:spacing w:after="120"/>
        <w:ind w:left="1134" w:right="1174" w:firstLine="567"/>
        <w:jc w:val="both"/>
        <w:rPr>
          <w:rFonts w:eastAsia="Times New Roman"/>
          <w:lang w:eastAsia="en-US"/>
        </w:rPr>
      </w:pPr>
      <w:r w:rsidRPr="008E28A6">
        <w:rPr>
          <w:rFonts w:eastAsia="Times New Roman"/>
          <w:i/>
          <w:iCs/>
          <w:lang w:eastAsia="en-US"/>
        </w:rPr>
        <w:t xml:space="preserve">Recalling </w:t>
      </w:r>
      <w:r w:rsidRPr="008E28A6">
        <w:rPr>
          <w:rFonts w:eastAsia="Times New Roman"/>
          <w:lang w:eastAsia="en-US"/>
        </w:rPr>
        <w:t>paragraphs 4 and 7(a) of the financial procedures for the Conference of the Parties, its subsidiary bodies and the secretariat,</w:t>
      </w:r>
      <w:r w:rsidRPr="008E28A6">
        <w:rPr>
          <w:rFonts w:eastAsia="Times New Roman"/>
          <w:sz w:val="18"/>
          <w:szCs w:val="18"/>
          <w:vertAlign w:val="superscript"/>
          <w:lang w:eastAsia="en-US"/>
        </w:rPr>
        <w:footnoteReference w:id="27"/>
      </w:r>
      <w:r w:rsidRPr="008E28A6">
        <w:rPr>
          <w:rFonts w:eastAsia="Times New Roman"/>
          <w:lang w:eastAsia="en-US"/>
        </w:rPr>
        <w:t xml:space="preserve"> </w:t>
      </w:r>
    </w:p>
    <w:p w14:paraId="4C064D54" w14:textId="4B823313" w:rsidR="00173478" w:rsidRPr="008E28A6" w:rsidRDefault="00173478" w:rsidP="00173478">
      <w:pPr>
        <w:spacing w:after="120"/>
        <w:ind w:left="1134" w:right="1174" w:firstLine="567"/>
        <w:jc w:val="both"/>
        <w:rPr>
          <w:rFonts w:eastAsia="Times New Roman"/>
          <w:lang w:eastAsia="en-US"/>
        </w:rPr>
      </w:pPr>
      <w:r w:rsidRPr="008E28A6">
        <w:rPr>
          <w:rFonts w:eastAsia="Times New Roman"/>
          <w:i/>
          <w:iCs/>
          <w:lang w:eastAsia="en-US"/>
        </w:rPr>
        <w:t xml:space="preserve">Having considered </w:t>
      </w:r>
      <w:r w:rsidRPr="008E28A6">
        <w:rPr>
          <w:rFonts w:eastAsia="Times New Roman"/>
          <w:lang w:eastAsia="en-US"/>
        </w:rPr>
        <w:t>the proposed programme budget for the biennium 2018–2019 submitted by the Executive Secretary</w:t>
      </w:r>
      <w:r w:rsidR="00F20F00">
        <w:rPr>
          <w:rFonts w:eastAsia="Times New Roman"/>
          <w:lang w:eastAsia="en-US"/>
        </w:rPr>
        <w:t>,</w:t>
      </w:r>
      <w:r w:rsidRPr="008E28A6">
        <w:rPr>
          <w:rFonts w:eastAsia="Times New Roman"/>
          <w:sz w:val="18"/>
          <w:szCs w:val="18"/>
          <w:vertAlign w:val="superscript"/>
          <w:lang w:eastAsia="en-US"/>
        </w:rPr>
        <w:footnoteReference w:id="28"/>
      </w:r>
      <w:r w:rsidRPr="008E28A6">
        <w:rPr>
          <w:rFonts w:eastAsia="Times New Roman"/>
          <w:lang w:eastAsia="en-US"/>
        </w:rPr>
        <w:t xml:space="preserve"> </w:t>
      </w:r>
    </w:p>
    <w:p w14:paraId="04C0B9DD" w14:textId="54013904"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w:t>
      </w:r>
      <w:r w:rsidRPr="008E28A6">
        <w:rPr>
          <w:lang w:eastAsia="en-US"/>
        </w:rPr>
        <w:tab/>
      </w:r>
      <w:r w:rsidR="00173478" w:rsidRPr="008E28A6">
        <w:rPr>
          <w:i/>
          <w:lang w:eastAsia="en-US"/>
        </w:rPr>
        <w:t>Approves</w:t>
      </w:r>
      <w:r w:rsidR="00173478" w:rsidRPr="008E28A6">
        <w:rPr>
          <w:lang w:eastAsia="en-US"/>
        </w:rPr>
        <w:t xml:space="preserve"> the programme budget for the biennium 2018–2019, amounting to EUR 56,889,092 for the purposes </w:t>
      </w:r>
      <w:r w:rsidR="00173478" w:rsidRPr="008E28A6">
        <w:rPr>
          <w:iCs/>
          <w:lang w:eastAsia="en-US"/>
        </w:rPr>
        <w:t>specified</w:t>
      </w:r>
      <w:r w:rsidR="00173478" w:rsidRPr="008E28A6">
        <w:rPr>
          <w:lang w:eastAsia="en-US"/>
        </w:rPr>
        <w:t xml:space="preserve"> in table 1;</w:t>
      </w:r>
    </w:p>
    <w:p w14:paraId="70A70A6E" w14:textId="747F5588"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2.</w:t>
      </w:r>
      <w:r w:rsidRPr="008E28A6">
        <w:rPr>
          <w:lang w:eastAsia="en-US"/>
        </w:rPr>
        <w:tab/>
      </w:r>
      <w:r w:rsidR="00173478" w:rsidRPr="008E28A6">
        <w:rPr>
          <w:i/>
          <w:iCs/>
          <w:lang w:eastAsia="en-US"/>
        </w:rPr>
        <w:t xml:space="preserve">Notes with appreciation </w:t>
      </w:r>
      <w:r w:rsidR="00173478" w:rsidRPr="008E28A6">
        <w:rPr>
          <w:lang w:eastAsia="en-US"/>
        </w:rPr>
        <w:t xml:space="preserve">the </w:t>
      </w:r>
      <w:r w:rsidR="00173478" w:rsidRPr="008E28A6">
        <w:rPr>
          <w:iCs/>
          <w:lang w:eastAsia="en-US"/>
        </w:rPr>
        <w:t>annual</w:t>
      </w:r>
      <w:r w:rsidR="00173478" w:rsidRPr="008E28A6">
        <w:rPr>
          <w:lang w:eastAsia="en-US"/>
        </w:rPr>
        <w:t xml:space="preserve"> contribution of EUR 766,938 of the Host Government, which offsets planned expenditures;</w:t>
      </w:r>
    </w:p>
    <w:p w14:paraId="5348122D" w14:textId="40AE299D"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3.</w:t>
      </w:r>
      <w:r w:rsidRPr="008E28A6">
        <w:rPr>
          <w:lang w:eastAsia="en-US"/>
        </w:rPr>
        <w:tab/>
      </w:r>
      <w:r w:rsidR="00173478" w:rsidRPr="008E28A6">
        <w:rPr>
          <w:i/>
          <w:iCs/>
          <w:lang w:eastAsia="en-US"/>
        </w:rPr>
        <w:t xml:space="preserve">Approves </w:t>
      </w:r>
      <w:r w:rsidR="00173478" w:rsidRPr="008E28A6">
        <w:rPr>
          <w:lang w:eastAsia="en-US"/>
        </w:rPr>
        <w:t xml:space="preserve">the staffing table (see </w:t>
      </w:r>
      <w:r w:rsidR="00173478" w:rsidRPr="008E28A6">
        <w:rPr>
          <w:iCs/>
          <w:lang w:eastAsia="en-US"/>
        </w:rPr>
        <w:t>table</w:t>
      </w:r>
      <w:r w:rsidR="00173478" w:rsidRPr="008E28A6">
        <w:rPr>
          <w:lang w:eastAsia="en-US"/>
        </w:rPr>
        <w:t xml:space="preserve"> 2) for the programme budget;</w:t>
      </w:r>
    </w:p>
    <w:p w14:paraId="0EEE17B3" w14:textId="425E8F59"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4.</w:t>
      </w:r>
      <w:r w:rsidRPr="008E28A6">
        <w:rPr>
          <w:lang w:eastAsia="en-US"/>
        </w:rPr>
        <w:tab/>
      </w:r>
      <w:r w:rsidR="00173478" w:rsidRPr="008E28A6">
        <w:rPr>
          <w:i/>
          <w:iCs/>
          <w:lang w:eastAsia="en-US"/>
        </w:rPr>
        <w:t>Notes</w:t>
      </w:r>
      <w:r w:rsidR="00173478" w:rsidRPr="008E28A6">
        <w:rPr>
          <w:lang w:eastAsia="en-US"/>
        </w:rPr>
        <w:t xml:space="preserve"> that the programme budget contains elements relating to the Convention and the Paris Agreement as well as to the Kyoto Protocol;</w:t>
      </w:r>
    </w:p>
    <w:p w14:paraId="5F0FEF37" w14:textId="7DEE8483"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5.</w:t>
      </w:r>
      <w:r w:rsidRPr="008E28A6">
        <w:rPr>
          <w:lang w:eastAsia="en-US"/>
        </w:rPr>
        <w:tab/>
      </w:r>
      <w:r w:rsidR="00173478" w:rsidRPr="008E28A6">
        <w:rPr>
          <w:i/>
          <w:iCs/>
          <w:lang w:eastAsia="en-US"/>
        </w:rPr>
        <w:t xml:space="preserve">Adopts </w:t>
      </w:r>
      <w:r w:rsidR="00173478" w:rsidRPr="008E28A6">
        <w:rPr>
          <w:lang w:eastAsia="en-US"/>
        </w:rPr>
        <w:t>the indicative scale of contributions for 2018 and 2019 contained in the annex, covering 85 per cent of the indicative contributions specified in table 1;</w:t>
      </w:r>
    </w:p>
    <w:p w14:paraId="0158EBDF" w14:textId="3421560A"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6.</w:t>
      </w:r>
      <w:r w:rsidRPr="008E28A6">
        <w:rPr>
          <w:lang w:eastAsia="en-US"/>
        </w:rPr>
        <w:tab/>
      </w:r>
      <w:r w:rsidR="00173478" w:rsidRPr="008E28A6">
        <w:rPr>
          <w:i/>
          <w:iCs/>
          <w:lang w:eastAsia="en-US"/>
        </w:rPr>
        <w:t>Invites</w:t>
      </w:r>
      <w:r w:rsidR="00173478" w:rsidRPr="008E28A6">
        <w:rPr>
          <w:lang w:eastAsia="en-US"/>
        </w:rPr>
        <w:t xml:space="preserve"> the Conference of the </w:t>
      </w:r>
      <w:r w:rsidR="00173478" w:rsidRPr="008E28A6">
        <w:rPr>
          <w:iCs/>
          <w:lang w:eastAsia="en-US"/>
        </w:rPr>
        <w:t>Parties</w:t>
      </w:r>
      <w:r w:rsidR="00173478" w:rsidRPr="008E28A6">
        <w:rPr>
          <w:lang w:eastAsia="en-US"/>
        </w:rPr>
        <w:t xml:space="preserve"> serving as the meeting of the Parties to the Kyoto Protocol, at its thirteenth session, to endorse the elements of the recommended budget as it applies to the Kyoto Protocol;</w:t>
      </w:r>
    </w:p>
    <w:p w14:paraId="4B5D8A26" w14:textId="1A0E5D63"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7.</w:t>
      </w:r>
      <w:r w:rsidRPr="008E28A6">
        <w:rPr>
          <w:lang w:eastAsia="en-US"/>
        </w:rPr>
        <w:tab/>
      </w:r>
      <w:r w:rsidR="00173478" w:rsidRPr="008E28A6">
        <w:rPr>
          <w:i/>
          <w:iCs/>
          <w:lang w:eastAsia="en-US"/>
        </w:rPr>
        <w:t>Also invites</w:t>
      </w:r>
      <w:r w:rsidR="00173478" w:rsidRPr="008E28A6">
        <w:rPr>
          <w:lang w:eastAsia="en-US"/>
        </w:rPr>
        <w:t xml:space="preserve"> the United Nations General Assembly to decide, at its seventy-second session, on the issue of meeting the conference </w:t>
      </w:r>
      <w:r w:rsidR="00173478" w:rsidRPr="008E28A6">
        <w:rPr>
          <w:iCs/>
          <w:lang w:eastAsia="en-US"/>
        </w:rPr>
        <w:t>services</w:t>
      </w:r>
      <w:r w:rsidR="00173478" w:rsidRPr="008E28A6">
        <w:rPr>
          <w:lang w:eastAsia="en-US"/>
        </w:rPr>
        <w:t xml:space="preserve"> expenses from its regular budget </w:t>
      </w:r>
      <w:r w:rsidR="00173478" w:rsidRPr="008E28A6">
        <w:t>as a continuation of existing practice</w:t>
      </w:r>
      <w:r w:rsidR="00173478" w:rsidRPr="008E28A6">
        <w:rPr>
          <w:lang w:eastAsia="en-US"/>
        </w:rPr>
        <w:t>;</w:t>
      </w:r>
    </w:p>
    <w:p w14:paraId="5E89C03A" w14:textId="76BBB4A7"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8.</w:t>
      </w:r>
      <w:r w:rsidRPr="008E28A6">
        <w:rPr>
          <w:lang w:eastAsia="en-US"/>
        </w:rPr>
        <w:tab/>
      </w:r>
      <w:r w:rsidR="00173478" w:rsidRPr="008E28A6">
        <w:rPr>
          <w:i/>
          <w:iCs/>
          <w:lang w:eastAsia="en-US"/>
        </w:rPr>
        <w:t xml:space="preserve">Approves </w:t>
      </w:r>
      <w:r w:rsidR="00173478" w:rsidRPr="008E28A6">
        <w:rPr>
          <w:lang w:eastAsia="en-US"/>
        </w:rPr>
        <w:t xml:space="preserve">a contingency budget for conference services, amounting to EUR 9,651,400, to be added to the programme budget for </w:t>
      </w:r>
      <w:r w:rsidR="00173478" w:rsidRPr="008E28A6">
        <w:rPr>
          <w:iCs/>
          <w:lang w:eastAsia="en-US"/>
        </w:rPr>
        <w:t>the</w:t>
      </w:r>
      <w:r w:rsidR="00173478" w:rsidRPr="008E28A6">
        <w:rPr>
          <w:lang w:eastAsia="en-US"/>
        </w:rPr>
        <w:t xml:space="preserve"> biennium 2018–2019 in the event that the United Nations General Assembly decides not to provide resources for these activities in the United Nations regular budget (see table 3);</w:t>
      </w:r>
    </w:p>
    <w:p w14:paraId="65A05001" w14:textId="054D04BF"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9.</w:t>
      </w:r>
      <w:r w:rsidRPr="008E28A6">
        <w:rPr>
          <w:lang w:eastAsia="en-US"/>
        </w:rPr>
        <w:tab/>
      </w:r>
      <w:r w:rsidR="00173478" w:rsidRPr="008E28A6">
        <w:rPr>
          <w:i/>
          <w:iCs/>
          <w:lang w:eastAsia="en-US"/>
        </w:rPr>
        <w:t xml:space="preserve">Requests </w:t>
      </w:r>
      <w:r w:rsidR="00173478" w:rsidRPr="008E28A6">
        <w:rPr>
          <w:lang w:eastAsia="en-US"/>
        </w:rPr>
        <w:t>the Executive Secretary to report to the Subsidiary Body for Implementation on the implementation of matters referred to in paragraphs 7 and 8 above, as necessary;</w:t>
      </w:r>
    </w:p>
    <w:p w14:paraId="522A1585" w14:textId="46855CFC"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10.</w:t>
      </w:r>
      <w:r w:rsidRPr="008E28A6">
        <w:rPr>
          <w:lang w:eastAsia="en-US"/>
        </w:rPr>
        <w:tab/>
      </w:r>
      <w:r w:rsidR="00173478" w:rsidRPr="008E28A6">
        <w:rPr>
          <w:i/>
          <w:iCs/>
          <w:lang w:eastAsia="en-US"/>
        </w:rPr>
        <w:t>Authorizes</w:t>
      </w:r>
      <w:r w:rsidR="00173478" w:rsidRPr="008E28A6">
        <w:rPr>
          <w:lang w:eastAsia="en-US"/>
        </w:rPr>
        <w:t xml:space="preserve"> the Executive Secretary to make transfers between each of the appropriation lines set out in table 1, up to an aggregate limit of 15 per cent of total estimated expenditure for those </w:t>
      </w:r>
      <w:r w:rsidR="00173478" w:rsidRPr="008E28A6">
        <w:rPr>
          <w:iCs/>
          <w:lang w:eastAsia="en-US"/>
        </w:rPr>
        <w:t>appropriation</w:t>
      </w:r>
      <w:r w:rsidR="00173478" w:rsidRPr="008E28A6">
        <w:rPr>
          <w:lang w:eastAsia="en-US"/>
        </w:rPr>
        <w:t xml:space="preserve"> lines, provided that a further limitation of up to minus 25 per cent of each such appropriation line shall apply, while ensuring no negative impacts on the activities under each programme;</w:t>
      </w:r>
    </w:p>
    <w:p w14:paraId="33888362" w14:textId="5AC4AF49"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11.</w:t>
      </w:r>
      <w:r w:rsidRPr="008E28A6">
        <w:rPr>
          <w:lang w:eastAsia="en-US"/>
        </w:rPr>
        <w:tab/>
      </w:r>
      <w:r w:rsidR="00173478" w:rsidRPr="008E28A6">
        <w:rPr>
          <w:i/>
          <w:iCs/>
          <w:lang w:eastAsia="en-US"/>
        </w:rPr>
        <w:t>Decides</w:t>
      </w:r>
      <w:r w:rsidR="00173478" w:rsidRPr="008E28A6">
        <w:rPr>
          <w:lang w:eastAsia="en-US"/>
        </w:rPr>
        <w:t xml:space="preserve"> to maintain the level of the </w:t>
      </w:r>
      <w:r w:rsidR="00173478" w:rsidRPr="008E28A6">
        <w:rPr>
          <w:iCs/>
          <w:lang w:eastAsia="en-US"/>
        </w:rPr>
        <w:t>working</w:t>
      </w:r>
      <w:r w:rsidR="00173478" w:rsidRPr="008E28A6">
        <w:rPr>
          <w:lang w:eastAsia="en-US"/>
        </w:rPr>
        <w:t xml:space="preserve"> capital reserve at 8.3 per cent of the estimated expenditure;</w:t>
      </w:r>
    </w:p>
    <w:p w14:paraId="172507F1" w14:textId="066E9131"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12.</w:t>
      </w:r>
      <w:r w:rsidRPr="008E28A6">
        <w:rPr>
          <w:lang w:eastAsia="en-US"/>
        </w:rPr>
        <w:tab/>
      </w:r>
      <w:r w:rsidR="00173478" w:rsidRPr="008E28A6">
        <w:rPr>
          <w:i/>
          <w:iCs/>
          <w:lang w:eastAsia="en-US"/>
        </w:rPr>
        <w:t>Invites</w:t>
      </w:r>
      <w:r w:rsidR="00173478" w:rsidRPr="008E28A6">
        <w:rPr>
          <w:lang w:eastAsia="en-US"/>
        </w:rPr>
        <w:t xml:space="preserve"> all Parties to the Convention to </w:t>
      </w:r>
      <w:r w:rsidR="00173478" w:rsidRPr="008E28A6">
        <w:rPr>
          <w:iCs/>
          <w:lang w:eastAsia="en-US"/>
        </w:rPr>
        <w:t>note</w:t>
      </w:r>
      <w:r w:rsidR="00173478" w:rsidRPr="008E28A6">
        <w:rPr>
          <w:lang w:eastAsia="en-US"/>
        </w:rPr>
        <w:t xml:space="preserve"> that contributions to the core budget are due on 1 January of each year in accordance with paragraph 8(b) of the financial procedures</w:t>
      </w:r>
      <w:r w:rsidR="00173478" w:rsidRPr="008E28A6">
        <w:rPr>
          <w:rFonts w:eastAsia="Times New Roman"/>
          <w:sz w:val="18"/>
          <w:szCs w:val="18"/>
          <w:vertAlign w:val="superscript"/>
          <w:lang w:eastAsia="en-US"/>
        </w:rPr>
        <w:footnoteReference w:id="29"/>
      </w:r>
      <w:r w:rsidR="00173478" w:rsidRPr="008E28A6">
        <w:rPr>
          <w:lang w:eastAsia="en-US"/>
        </w:rPr>
        <w:t xml:space="preserve"> and to pay promptly and in full, for each of the years 2018 and 2019, the contributions required to finance expenditures approved in paragraph 1 above and any contributions required to finance the expenditures arising from the decision referred to in paragraph 8 above;</w:t>
      </w:r>
    </w:p>
    <w:p w14:paraId="784C3059" w14:textId="0773BCCA"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13.</w:t>
      </w:r>
      <w:r w:rsidRPr="008E28A6">
        <w:rPr>
          <w:lang w:eastAsia="en-US"/>
        </w:rPr>
        <w:tab/>
      </w:r>
      <w:r w:rsidR="00173478" w:rsidRPr="008E28A6">
        <w:rPr>
          <w:i/>
          <w:iCs/>
          <w:lang w:eastAsia="en-US"/>
        </w:rPr>
        <w:t>Takes note</w:t>
      </w:r>
      <w:r w:rsidR="00173478" w:rsidRPr="008E28A6">
        <w:rPr>
          <w:lang w:eastAsia="en-US"/>
        </w:rPr>
        <w:t xml:space="preserve"> of the funding estimates for the Trust Fund for Participation in the UNFCCC Process specified by the Executive Secretary (see table 4);</w:t>
      </w:r>
    </w:p>
    <w:p w14:paraId="1DE7B382" w14:textId="21990C25"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lastRenderedPageBreak/>
        <w:t>14.</w:t>
      </w:r>
      <w:r w:rsidRPr="008E28A6">
        <w:rPr>
          <w:lang w:eastAsia="en-US"/>
        </w:rPr>
        <w:tab/>
      </w:r>
      <w:r w:rsidR="00173478" w:rsidRPr="008E28A6">
        <w:rPr>
          <w:i/>
          <w:iCs/>
          <w:lang w:eastAsia="en-US"/>
        </w:rPr>
        <w:t xml:space="preserve">Invites </w:t>
      </w:r>
      <w:r w:rsidR="00173478" w:rsidRPr="008E28A6">
        <w:rPr>
          <w:lang w:eastAsia="en-US"/>
        </w:rPr>
        <w:t>Parties to make contributions to the Trust Fund for Participation in the UNFCCC Process;</w:t>
      </w:r>
    </w:p>
    <w:p w14:paraId="5CDE3F4B" w14:textId="072E9865"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15.</w:t>
      </w:r>
      <w:r w:rsidRPr="008E28A6">
        <w:rPr>
          <w:lang w:eastAsia="en-US"/>
        </w:rPr>
        <w:tab/>
      </w:r>
      <w:r w:rsidR="00173478" w:rsidRPr="008E28A6">
        <w:rPr>
          <w:i/>
          <w:iCs/>
          <w:lang w:eastAsia="en-US"/>
        </w:rPr>
        <w:t>Takes note</w:t>
      </w:r>
      <w:r w:rsidR="00173478" w:rsidRPr="008E28A6">
        <w:rPr>
          <w:lang w:eastAsia="en-US"/>
        </w:rPr>
        <w:t xml:space="preserve"> of the funding estimates for the Trust Fund for Supplementary Activities specified by the Executive Secretary (EUR 53,484,419 for the biennium 2018–2019) (see table 5);</w:t>
      </w:r>
    </w:p>
    <w:p w14:paraId="552EFB82" w14:textId="1227427E"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16.</w:t>
      </w:r>
      <w:r w:rsidRPr="008E28A6">
        <w:rPr>
          <w:lang w:eastAsia="en-US"/>
        </w:rPr>
        <w:tab/>
      </w:r>
      <w:r w:rsidR="00173478" w:rsidRPr="008E28A6">
        <w:rPr>
          <w:i/>
          <w:lang w:eastAsia="en-US"/>
        </w:rPr>
        <w:t>Invites</w:t>
      </w:r>
      <w:r w:rsidR="00173478" w:rsidRPr="008E28A6">
        <w:rPr>
          <w:lang w:eastAsia="en-US"/>
        </w:rPr>
        <w:t xml:space="preserve"> Parties to make contributions to the Trust Fund for Supplementary Activities</w:t>
      </w:r>
      <w:r w:rsidR="00173478" w:rsidRPr="008E28A6">
        <w:t xml:space="preserve"> with a view to enabling the implementation of mandated activities envisaged under the fund</w:t>
      </w:r>
      <w:r w:rsidR="00173478" w:rsidRPr="008E28A6">
        <w:rPr>
          <w:lang w:eastAsia="en-US"/>
        </w:rPr>
        <w:t>;</w:t>
      </w:r>
    </w:p>
    <w:p w14:paraId="06738D36" w14:textId="4F5BDC82"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17.</w:t>
      </w:r>
      <w:r w:rsidRPr="008E28A6">
        <w:rPr>
          <w:lang w:eastAsia="en-US"/>
        </w:rPr>
        <w:tab/>
      </w:r>
      <w:r w:rsidR="00173478" w:rsidRPr="008E28A6">
        <w:rPr>
          <w:i/>
          <w:lang w:eastAsia="en-US"/>
        </w:rPr>
        <w:t>Requests</w:t>
      </w:r>
      <w:r w:rsidR="00173478" w:rsidRPr="008E28A6">
        <w:rPr>
          <w:lang w:eastAsia="en-US"/>
        </w:rPr>
        <w:t xml:space="preserve"> the secretariat to continue to seek efficiencies, streamline administrative services, absorb work in order to save costs in the biennium 2018–2019 and to report thereon at the session of the Subsidiary Body for Implementation </w:t>
      </w:r>
      <w:r w:rsidR="00522E86">
        <w:rPr>
          <w:lang w:eastAsia="en-US"/>
        </w:rPr>
        <w:t xml:space="preserve">to be held in </w:t>
      </w:r>
      <w:r w:rsidR="00173478" w:rsidRPr="008E28A6">
        <w:rPr>
          <w:lang w:eastAsia="en-US"/>
        </w:rPr>
        <w:t>June 2019;</w:t>
      </w:r>
    </w:p>
    <w:p w14:paraId="19FD0213" w14:textId="232EA425"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18.</w:t>
      </w:r>
      <w:r w:rsidRPr="008E28A6">
        <w:rPr>
          <w:lang w:eastAsia="en-US"/>
        </w:rPr>
        <w:tab/>
      </w:r>
      <w:r w:rsidR="00173478" w:rsidRPr="008E28A6">
        <w:rPr>
          <w:i/>
          <w:lang w:eastAsia="en-US"/>
        </w:rPr>
        <w:t xml:space="preserve">Also requests </w:t>
      </w:r>
      <w:r w:rsidR="00173478" w:rsidRPr="008E28A6">
        <w:rPr>
          <w:lang w:eastAsia="en-US"/>
        </w:rPr>
        <w:t>the secretariat</w:t>
      </w:r>
      <w:r w:rsidR="00173478" w:rsidRPr="008E28A6">
        <w:rPr>
          <w:i/>
          <w:lang w:eastAsia="en-US"/>
        </w:rPr>
        <w:t xml:space="preserve"> </w:t>
      </w:r>
      <w:r w:rsidR="00173478" w:rsidRPr="008E28A6">
        <w:rPr>
          <w:lang w:eastAsia="en-US"/>
        </w:rPr>
        <w:t xml:space="preserve">to prepare and make available an annual report as outlined in document FCCC/SBI/2016/INF.14, paragraph 37, to be considered at each session of the Subsidiary Body for Implementation following the closure of the preceding financial year, providing information on the secretariat’s activities in the preceding year, programme delivery highlights and financial performance; </w:t>
      </w:r>
    </w:p>
    <w:p w14:paraId="1A4541E3" w14:textId="467C21EF"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19.</w:t>
      </w:r>
      <w:r w:rsidRPr="008E28A6">
        <w:rPr>
          <w:lang w:eastAsia="en-US"/>
        </w:rPr>
        <w:tab/>
      </w:r>
      <w:r w:rsidR="00173478" w:rsidRPr="008E28A6">
        <w:rPr>
          <w:i/>
          <w:iCs/>
          <w:lang w:eastAsia="en-US"/>
        </w:rPr>
        <w:t>Further requests</w:t>
      </w:r>
      <w:r w:rsidR="00173478" w:rsidRPr="008E28A6">
        <w:rPr>
          <w:lang w:eastAsia="en-US"/>
        </w:rPr>
        <w:t xml:space="preserve"> the Executive Secretary to report to the Conference of the Parties at its twenty-fourth session (December 2018) on income and budget</w:t>
      </w:r>
      <w:r w:rsidR="00173478" w:rsidRPr="008E28A6">
        <w:rPr>
          <w:iCs/>
          <w:lang w:eastAsia="en-US"/>
        </w:rPr>
        <w:t xml:space="preserve"> performance</w:t>
      </w:r>
      <w:r w:rsidR="00173478" w:rsidRPr="008E28A6">
        <w:rPr>
          <w:lang w:eastAsia="en-US"/>
        </w:rPr>
        <w:t>, taking into account guidance from Parties, and to propose any adjustments that might be needed to the programme budget for the biennium 2018–2019;</w:t>
      </w:r>
    </w:p>
    <w:p w14:paraId="6DFD50AB" w14:textId="4BFD10D9" w:rsidR="00173478" w:rsidRPr="008E28A6" w:rsidRDefault="000F209A" w:rsidP="000F209A">
      <w:pPr>
        <w:pStyle w:val="RegSingleTxtG"/>
        <w:numPr>
          <w:ilvl w:val="0"/>
          <w:numId w:val="0"/>
        </w:numPr>
        <w:tabs>
          <w:tab w:val="left" w:pos="568"/>
        </w:tabs>
        <w:suppressAutoHyphens w:val="0"/>
        <w:spacing w:line="240" w:lineRule="auto"/>
        <w:ind w:left="1135"/>
        <w:rPr>
          <w:lang w:eastAsia="en-US"/>
        </w:rPr>
      </w:pPr>
      <w:r w:rsidRPr="008E28A6">
        <w:rPr>
          <w:lang w:eastAsia="en-US"/>
        </w:rPr>
        <w:t>20.</w:t>
      </w:r>
      <w:r w:rsidRPr="008E28A6">
        <w:rPr>
          <w:lang w:eastAsia="en-US"/>
        </w:rPr>
        <w:tab/>
      </w:r>
      <w:r w:rsidR="00173478" w:rsidRPr="008E28A6">
        <w:rPr>
          <w:i/>
          <w:lang w:eastAsia="en-US"/>
        </w:rPr>
        <w:t>Requests</w:t>
      </w:r>
      <w:r w:rsidR="00173478" w:rsidRPr="008E28A6">
        <w:rPr>
          <w:lang w:eastAsia="en-US"/>
        </w:rPr>
        <w:t>, recalling paragraph 22 of decision 22/CP.21, in which the Executive Secretary was requested to include a zero nominal growth scenario in preparing future programme budget proposals, that such zero nominal growth budget scenarios be presented in the official budget documents in the same format and at the same level of detail as any other budget scenarios that the secretariat might provide.</w:t>
      </w:r>
    </w:p>
    <w:p w14:paraId="2A0C9A99" w14:textId="77777777" w:rsidR="00173478" w:rsidRPr="00E63A73" w:rsidRDefault="00173478" w:rsidP="00173478">
      <w:pPr>
        <w:pStyle w:val="ListParagraph"/>
        <w:ind w:left="0"/>
        <w:rPr>
          <w:rFonts w:eastAsia="Times New Roman"/>
          <w:lang w:eastAsia="en-US"/>
        </w:rPr>
      </w:pPr>
      <w:r w:rsidRPr="008E28A6">
        <w:rPr>
          <w:rFonts w:eastAsia="Times New Roman"/>
          <w:lang w:eastAsia="en-US"/>
        </w:rPr>
        <w:br w:type="page"/>
      </w:r>
      <w:bookmarkStart w:id="1" w:name="_Toc288663203"/>
      <w:bookmarkStart w:id="2" w:name="_Toc285200552"/>
      <w:bookmarkStart w:id="3" w:name="_Toc288663196"/>
      <w:r w:rsidRPr="00E63A73">
        <w:rPr>
          <w:rFonts w:eastAsia="Times New Roman"/>
          <w:lang w:eastAsia="en-US"/>
        </w:rPr>
        <w:lastRenderedPageBreak/>
        <w:t>Table 1</w:t>
      </w:r>
    </w:p>
    <w:p w14:paraId="40939767" w14:textId="77777777" w:rsidR="00173478" w:rsidRPr="00E63A73" w:rsidRDefault="00173478" w:rsidP="00173478">
      <w:pPr>
        <w:suppressAutoHyphens w:val="0"/>
        <w:spacing w:after="120" w:line="240" w:lineRule="auto"/>
        <w:ind w:left="567" w:right="40" w:hanging="567"/>
        <w:outlineLvl w:val="0"/>
        <w:rPr>
          <w:rFonts w:eastAsia="MS Mincho"/>
          <w:i/>
          <w:lang w:eastAsia="de-DE"/>
        </w:rPr>
      </w:pPr>
      <w:r w:rsidRPr="00E63A73">
        <w:rPr>
          <w:rFonts w:eastAsia="MS Mincho"/>
          <w:b/>
          <w:lang w:eastAsia="de-DE"/>
        </w:rPr>
        <w:t>Core budget for 2018–2019 by programme</w:t>
      </w:r>
    </w:p>
    <w:bookmarkEnd w:id="1"/>
    <w:tbl>
      <w:tblPr>
        <w:tblW w:w="9639" w:type="dxa"/>
        <w:tblBorders>
          <w:top w:val="single" w:sz="4" w:space="0" w:color="auto"/>
        </w:tblBorders>
        <w:tblCellMar>
          <w:left w:w="0" w:type="dxa"/>
          <w:right w:w="113" w:type="dxa"/>
        </w:tblCellMar>
        <w:tblLook w:val="0000" w:firstRow="0" w:lastRow="0" w:firstColumn="0" w:lastColumn="0" w:noHBand="0" w:noVBand="0"/>
      </w:tblPr>
      <w:tblGrid>
        <w:gridCol w:w="5103"/>
        <w:gridCol w:w="1632"/>
        <w:gridCol w:w="1456"/>
        <w:gridCol w:w="1448"/>
      </w:tblGrid>
      <w:tr w:rsidR="00173478" w:rsidRPr="008E28A6" w14:paraId="1EA0903B" w14:textId="77777777" w:rsidTr="00173478">
        <w:trPr>
          <w:trHeight w:val="144"/>
          <w:tblHeader/>
        </w:trPr>
        <w:tc>
          <w:tcPr>
            <w:tcW w:w="5103" w:type="dxa"/>
            <w:tcBorders>
              <w:top w:val="single" w:sz="4" w:space="0" w:color="auto"/>
              <w:bottom w:val="single" w:sz="12" w:space="0" w:color="auto"/>
            </w:tcBorders>
          </w:tcPr>
          <w:p w14:paraId="7924309E" w14:textId="77777777" w:rsidR="00173478" w:rsidRPr="008E28A6" w:rsidRDefault="00173478" w:rsidP="00173478">
            <w:pPr>
              <w:suppressAutoHyphens w:val="0"/>
              <w:autoSpaceDE w:val="0"/>
              <w:autoSpaceDN w:val="0"/>
              <w:adjustRightInd w:val="0"/>
              <w:spacing w:before="40" w:after="40" w:line="220" w:lineRule="exact"/>
              <w:ind w:left="426" w:right="38"/>
              <w:rPr>
                <w:rFonts w:eastAsia="MS Mincho"/>
                <w:bCs/>
                <w:sz w:val="18"/>
                <w:szCs w:val="18"/>
                <w:lang w:eastAsia="de-DE"/>
              </w:rPr>
            </w:pPr>
          </w:p>
        </w:tc>
        <w:tc>
          <w:tcPr>
            <w:tcW w:w="1632" w:type="dxa"/>
            <w:tcBorders>
              <w:top w:val="single" w:sz="4" w:space="0" w:color="auto"/>
              <w:bottom w:val="single" w:sz="12" w:space="0" w:color="auto"/>
            </w:tcBorders>
          </w:tcPr>
          <w:p w14:paraId="7C6A144E" w14:textId="77777777" w:rsidR="00173478" w:rsidRPr="008E28A6" w:rsidRDefault="00173478" w:rsidP="00173478">
            <w:pPr>
              <w:suppressAutoHyphens w:val="0"/>
              <w:autoSpaceDE w:val="0"/>
              <w:autoSpaceDN w:val="0"/>
              <w:adjustRightInd w:val="0"/>
              <w:spacing w:before="40" w:after="40" w:line="220" w:lineRule="exact"/>
              <w:ind w:right="38"/>
              <w:jc w:val="right"/>
              <w:rPr>
                <w:rFonts w:eastAsia="MS Mincho"/>
                <w:bCs/>
                <w:i/>
                <w:sz w:val="16"/>
                <w:szCs w:val="16"/>
                <w:lang w:eastAsia="de-DE"/>
              </w:rPr>
            </w:pPr>
            <w:r w:rsidRPr="008E28A6">
              <w:rPr>
                <w:rFonts w:eastAsia="MS Mincho"/>
                <w:bCs/>
                <w:i/>
                <w:sz w:val="16"/>
                <w:szCs w:val="16"/>
                <w:lang w:eastAsia="de-DE"/>
              </w:rPr>
              <w:t xml:space="preserve">2018 </w:t>
            </w:r>
            <w:r w:rsidRPr="008E28A6">
              <w:rPr>
                <w:rFonts w:eastAsia="MS Mincho"/>
                <w:i/>
                <w:sz w:val="16"/>
                <w:szCs w:val="16"/>
                <w:lang w:eastAsia="de-DE"/>
              </w:rPr>
              <w:t>(EUR)</w:t>
            </w:r>
          </w:p>
        </w:tc>
        <w:tc>
          <w:tcPr>
            <w:tcW w:w="1456" w:type="dxa"/>
            <w:tcBorders>
              <w:top w:val="single" w:sz="4" w:space="0" w:color="auto"/>
              <w:bottom w:val="single" w:sz="12" w:space="0" w:color="auto"/>
            </w:tcBorders>
            <w:vAlign w:val="bottom"/>
          </w:tcPr>
          <w:p w14:paraId="0C99FEBB" w14:textId="77777777" w:rsidR="00173478" w:rsidRPr="008E28A6" w:rsidRDefault="00173478" w:rsidP="00173478">
            <w:pPr>
              <w:suppressAutoHyphens w:val="0"/>
              <w:autoSpaceDE w:val="0"/>
              <w:autoSpaceDN w:val="0"/>
              <w:adjustRightInd w:val="0"/>
              <w:spacing w:before="40" w:after="40" w:line="220" w:lineRule="exact"/>
              <w:ind w:right="38"/>
              <w:jc w:val="right"/>
              <w:rPr>
                <w:rFonts w:eastAsia="MS Mincho"/>
                <w:bCs/>
                <w:i/>
                <w:sz w:val="16"/>
                <w:szCs w:val="16"/>
                <w:lang w:eastAsia="de-DE"/>
              </w:rPr>
            </w:pPr>
            <w:r w:rsidRPr="008E28A6">
              <w:rPr>
                <w:rFonts w:eastAsia="MS Mincho"/>
                <w:bCs/>
                <w:i/>
                <w:sz w:val="16"/>
                <w:szCs w:val="16"/>
                <w:lang w:eastAsia="de-DE"/>
              </w:rPr>
              <w:t xml:space="preserve">2019 </w:t>
            </w:r>
            <w:r w:rsidRPr="008E28A6">
              <w:rPr>
                <w:rFonts w:eastAsia="MS Mincho"/>
                <w:i/>
                <w:sz w:val="16"/>
                <w:szCs w:val="16"/>
                <w:lang w:eastAsia="de-DE"/>
              </w:rPr>
              <w:t>(EUR)</w:t>
            </w:r>
          </w:p>
        </w:tc>
        <w:tc>
          <w:tcPr>
            <w:tcW w:w="1448" w:type="dxa"/>
            <w:tcBorders>
              <w:top w:val="single" w:sz="4" w:space="0" w:color="auto"/>
              <w:bottom w:val="single" w:sz="12" w:space="0" w:color="auto"/>
            </w:tcBorders>
            <w:vAlign w:val="bottom"/>
          </w:tcPr>
          <w:p w14:paraId="0ACE124B" w14:textId="77777777" w:rsidR="00173478" w:rsidRPr="008E28A6" w:rsidRDefault="00173478" w:rsidP="00173478">
            <w:pPr>
              <w:suppressAutoHyphens w:val="0"/>
              <w:autoSpaceDE w:val="0"/>
              <w:autoSpaceDN w:val="0"/>
              <w:adjustRightInd w:val="0"/>
              <w:spacing w:before="40" w:after="40" w:line="220" w:lineRule="exact"/>
              <w:ind w:right="38"/>
              <w:jc w:val="right"/>
              <w:rPr>
                <w:rFonts w:eastAsia="MS Mincho"/>
                <w:bCs/>
                <w:i/>
                <w:sz w:val="16"/>
                <w:szCs w:val="16"/>
                <w:lang w:eastAsia="de-DE"/>
              </w:rPr>
            </w:pPr>
            <w:r w:rsidRPr="008E28A6">
              <w:rPr>
                <w:rFonts w:eastAsia="MS Mincho"/>
                <w:bCs/>
                <w:i/>
                <w:sz w:val="16"/>
                <w:szCs w:val="16"/>
                <w:lang w:eastAsia="de-DE"/>
              </w:rPr>
              <w:t xml:space="preserve">Total </w:t>
            </w:r>
            <w:r w:rsidRPr="008E28A6">
              <w:rPr>
                <w:rFonts w:eastAsia="MS Mincho"/>
                <w:i/>
                <w:sz w:val="16"/>
                <w:szCs w:val="16"/>
                <w:lang w:eastAsia="de-DE"/>
              </w:rPr>
              <w:t>(EUR)</w:t>
            </w:r>
          </w:p>
        </w:tc>
      </w:tr>
      <w:tr w:rsidR="00173478" w:rsidRPr="008E28A6" w14:paraId="1F70706D" w14:textId="77777777" w:rsidTr="00173478">
        <w:trPr>
          <w:trHeight w:val="240"/>
        </w:trPr>
        <w:tc>
          <w:tcPr>
            <w:tcW w:w="5103" w:type="dxa"/>
            <w:tcBorders>
              <w:top w:val="single" w:sz="12" w:space="0" w:color="auto"/>
            </w:tcBorders>
          </w:tcPr>
          <w:p w14:paraId="10C9D7C4" w14:textId="465A13C2" w:rsidR="00173478" w:rsidRPr="008E28A6" w:rsidRDefault="000F209A" w:rsidP="000F209A">
            <w:pPr>
              <w:tabs>
                <w:tab w:val="left" w:pos="284"/>
              </w:tabs>
              <w:suppressAutoHyphens w:val="0"/>
              <w:spacing w:before="40" w:after="40" w:line="220" w:lineRule="exact"/>
              <w:ind w:left="426" w:right="38" w:hanging="360"/>
              <w:rPr>
                <w:rFonts w:eastAsia="Arial Unicode MS"/>
                <w:bCs/>
                <w:sz w:val="18"/>
                <w:szCs w:val="18"/>
                <w:lang w:eastAsia="de-DE"/>
              </w:rPr>
            </w:pPr>
            <w:r w:rsidRPr="008E28A6">
              <w:rPr>
                <w:bCs/>
                <w:sz w:val="18"/>
                <w:szCs w:val="18"/>
                <w:lang w:eastAsia="de-DE"/>
              </w:rPr>
              <w:t>A.</w:t>
            </w:r>
            <w:r w:rsidRPr="008E28A6">
              <w:rPr>
                <w:bCs/>
                <w:sz w:val="18"/>
                <w:szCs w:val="18"/>
                <w:lang w:eastAsia="de-DE"/>
              </w:rPr>
              <w:tab/>
            </w:r>
            <w:r w:rsidR="00173478" w:rsidRPr="008E28A6">
              <w:rPr>
                <w:rFonts w:eastAsia="MS Mincho"/>
                <w:bCs/>
                <w:sz w:val="18"/>
                <w:szCs w:val="18"/>
                <w:lang w:eastAsia="de-DE"/>
              </w:rPr>
              <w:t>Appropriations</w:t>
            </w:r>
          </w:p>
        </w:tc>
        <w:tc>
          <w:tcPr>
            <w:tcW w:w="1632" w:type="dxa"/>
            <w:tcBorders>
              <w:top w:val="single" w:sz="12" w:space="0" w:color="auto"/>
            </w:tcBorders>
          </w:tcPr>
          <w:p w14:paraId="2A6733C0" w14:textId="77777777" w:rsidR="00173478" w:rsidRPr="008E28A6" w:rsidRDefault="00173478" w:rsidP="00173478">
            <w:pPr>
              <w:suppressAutoHyphens w:val="0"/>
              <w:spacing w:before="40" w:after="40" w:line="220" w:lineRule="exact"/>
              <w:ind w:right="38"/>
              <w:jc w:val="right"/>
              <w:rPr>
                <w:rFonts w:eastAsia="MS Mincho"/>
                <w:sz w:val="18"/>
                <w:szCs w:val="18"/>
                <w:lang w:eastAsia="de-DE"/>
              </w:rPr>
            </w:pPr>
          </w:p>
        </w:tc>
        <w:tc>
          <w:tcPr>
            <w:tcW w:w="1456" w:type="dxa"/>
            <w:tcBorders>
              <w:top w:val="single" w:sz="12" w:space="0" w:color="auto"/>
            </w:tcBorders>
          </w:tcPr>
          <w:p w14:paraId="54391368" w14:textId="77777777" w:rsidR="00173478" w:rsidRPr="008E28A6" w:rsidRDefault="00173478" w:rsidP="00173478">
            <w:pPr>
              <w:suppressAutoHyphens w:val="0"/>
              <w:spacing w:before="40" w:after="40" w:line="220" w:lineRule="exact"/>
              <w:ind w:right="38"/>
              <w:jc w:val="right"/>
              <w:rPr>
                <w:rFonts w:eastAsia="MS Mincho"/>
                <w:sz w:val="18"/>
                <w:szCs w:val="18"/>
                <w:lang w:eastAsia="de-DE"/>
              </w:rPr>
            </w:pPr>
          </w:p>
        </w:tc>
        <w:tc>
          <w:tcPr>
            <w:tcW w:w="1448" w:type="dxa"/>
            <w:tcBorders>
              <w:top w:val="single" w:sz="12" w:space="0" w:color="auto"/>
            </w:tcBorders>
          </w:tcPr>
          <w:p w14:paraId="2CAA61A3" w14:textId="77777777" w:rsidR="00173478" w:rsidRPr="008E28A6" w:rsidRDefault="00173478" w:rsidP="00173478">
            <w:pPr>
              <w:suppressAutoHyphens w:val="0"/>
              <w:spacing w:before="40" w:after="40" w:line="220" w:lineRule="exact"/>
              <w:ind w:right="38"/>
              <w:jc w:val="right"/>
              <w:rPr>
                <w:rFonts w:eastAsia="MS Mincho"/>
                <w:sz w:val="18"/>
                <w:szCs w:val="18"/>
                <w:lang w:eastAsia="de-DE"/>
              </w:rPr>
            </w:pPr>
          </w:p>
        </w:tc>
      </w:tr>
      <w:tr w:rsidR="00173478" w:rsidRPr="008E28A6" w14:paraId="505C048D" w14:textId="77777777" w:rsidTr="00173478">
        <w:trPr>
          <w:trHeight w:val="240"/>
        </w:trPr>
        <w:tc>
          <w:tcPr>
            <w:tcW w:w="5103" w:type="dxa"/>
          </w:tcPr>
          <w:p w14:paraId="3795C0A4"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i/>
                <w:sz w:val="18"/>
                <w:szCs w:val="18"/>
                <w:vertAlign w:val="superscript"/>
                <w:lang w:eastAsia="de-DE"/>
              </w:rPr>
            </w:pPr>
            <w:r w:rsidRPr="008E28A6">
              <w:rPr>
                <w:rFonts w:eastAsia="MS Mincho"/>
                <w:sz w:val="18"/>
                <w:szCs w:val="18"/>
                <w:lang w:eastAsia="de-DE"/>
              </w:rPr>
              <w:t>Executive Direction and Management</w:t>
            </w:r>
            <w:r w:rsidRPr="008E28A6">
              <w:rPr>
                <w:rFonts w:eastAsia="MS Mincho"/>
                <w:i/>
                <w:sz w:val="18"/>
                <w:szCs w:val="18"/>
                <w:vertAlign w:val="superscript"/>
                <w:lang w:eastAsia="de-DE"/>
              </w:rPr>
              <w:t>a</w:t>
            </w:r>
          </w:p>
        </w:tc>
        <w:tc>
          <w:tcPr>
            <w:tcW w:w="1632" w:type="dxa"/>
            <w:vAlign w:val="center"/>
          </w:tcPr>
          <w:p w14:paraId="070C3284"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2 353 745</w:t>
            </w:r>
          </w:p>
        </w:tc>
        <w:tc>
          <w:tcPr>
            <w:tcW w:w="1456" w:type="dxa"/>
            <w:vAlign w:val="center"/>
          </w:tcPr>
          <w:p w14:paraId="79FAAABF"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2 353 745</w:t>
            </w:r>
          </w:p>
        </w:tc>
        <w:tc>
          <w:tcPr>
            <w:tcW w:w="1448" w:type="dxa"/>
            <w:vAlign w:val="center"/>
          </w:tcPr>
          <w:p w14:paraId="20755574"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4 707 490</w:t>
            </w:r>
          </w:p>
        </w:tc>
      </w:tr>
      <w:tr w:rsidR="00173478" w:rsidRPr="008E28A6" w14:paraId="119253C5" w14:textId="77777777" w:rsidTr="00173478">
        <w:trPr>
          <w:trHeight w:val="240"/>
        </w:trPr>
        <w:tc>
          <w:tcPr>
            <w:tcW w:w="5103" w:type="dxa"/>
            <w:vAlign w:val="center"/>
          </w:tcPr>
          <w:p w14:paraId="75278503"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b/>
                <w:sz w:val="18"/>
                <w:szCs w:val="18"/>
                <w:lang w:eastAsia="de-DE"/>
              </w:rPr>
              <w:t>Implementation and climate action cluster</w:t>
            </w:r>
          </w:p>
        </w:tc>
        <w:tc>
          <w:tcPr>
            <w:tcW w:w="1632" w:type="dxa"/>
            <w:tcBorders>
              <w:top w:val="nil"/>
              <w:left w:val="nil"/>
              <w:bottom w:val="nil"/>
              <w:right w:val="nil"/>
            </w:tcBorders>
            <w:shd w:val="clear" w:color="auto" w:fill="auto"/>
            <w:vAlign w:val="center"/>
          </w:tcPr>
          <w:p w14:paraId="0826C498" w14:textId="77777777" w:rsidR="00173478" w:rsidRPr="008E28A6" w:rsidRDefault="00173478" w:rsidP="00173478">
            <w:pPr>
              <w:suppressAutoHyphens w:val="0"/>
              <w:spacing w:line="240" w:lineRule="auto"/>
              <w:jc w:val="right"/>
              <w:rPr>
                <w:rFonts w:eastAsia="MS Mincho"/>
                <w:sz w:val="18"/>
                <w:szCs w:val="18"/>
                <w:lang w:eastAsia="de-DE"/>
              </w:rPr>
            </w:pPr>
          </w:p>
        </w:tc>
        <w:tc>
          <w:tcPr>
            <w:tcW w:w="1456" w:type="dxa"/>
            <w:vAlign w:val="center"/>
          </w:tcPr>
          <w:p w14:paraId="5250C27A" w14:textId="77777777" w:rsidR="00173478" w:rsidRPr="008E28A6" w:rsidRDefault="00173478" w:rsidP="00173478">
            <w:pPr>
              <w:suppressAutoHyphens w:val="0"/>
              <w:spacing w:line="240" w:lineRule="auto"/>
              <w:jc w:val="right"/>
              <w:rPr>
                <w:rFonts w:eastAsia="MS Mincho"/>
                <w:sz w:val="18"/>
                <w:szCs w:val="18"/>
                <w:lang w:eastAsia="de-DE"/>
              </w:rPr>
            </w:pPr>
          </w:p>
        </w:tc>
        <w:tc>
          <w:tcPr>
            <w:tcW w:w="1448" w:type="dxa"/>
            <w:vAlign w:val="center"/>
          </w:tcPr>
          <w:p w14:paraId="7F419231" w14:textId="77777777" w:rsidR="00173478" w:rsidRPr="008E28A6" w:rsidRDefault="00173478" w:rsidP="00173478">
            <w:pPr>
              <w:suppressAutoHyphens w:val="0"/>
              <w:spacing w:line="240" w:lineRule="auto"/>
              <w:jc w:val="right"/>
              <w:rPr>
                <w:rFonts w:eastAsia="MS Mincho"/>
                <w:sz w:val="18"/>
                <w:szCs w:val="18"/>
                <w:lang w:eastAsia="de-DE"/>
              </w:rPr>
            </w:pPr>
          </w:p>
        </w:tc>
      </w:tr>
      <w:tr w:rsidR="00173478" w:rsidRPr="008E28A6" w14:paraId="4A457AF2" w14:textId="77777777" w:rsidTr="00173478">
        <w:trPr>
          <w:trHeight w:val="240"/>
        </w:trPr>
        <w:tc>
          <w:tcPr>
            <w:tcW w:w="5103" w:type="dxa"/>
            <w:vAlign w:val="center"/>
          </w:tcPr>
          <w:p w14:paraId="35A46AAF"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Mitigation, Data and Analysis</w:t>
            </w:r>
          </w:p>
        </w:tc>
        <w:tc>
          <w:tcPr>
            <w:tcW w:w="1632" w:type="dxa"/>
            <w:tcBorders>
              <w:top w:val="nil"/>
              <w:left w:val="nil"/>
              <w:bottom w:val="nil"/>
              <w:right w:val="nil"/>
            </w:tcBorders>
            <w:shd w:val="clear" w:color="auto" w:fill="auto"/>
            <w:vAlign w:val="center"/>
          </w:tcPr>
          <w:p w14:paraId="7F9D854D"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7 956 080</w:t>
            </w:r>
          </w:p>
        </w:tc>
        <w:tc>
          <w:tcPr>
            <w:tcW w:w="1456" w:type="dxa"/>
            <w:tcBorders>
              <w:bottom w:val="nil"/>
            </w:tcBorders>
            <w:vAlign w:val="center"/>
          </w:tcPr>
          <w:p w14:paraId="590FD0FC"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7 670 780</w:t>
            </w:r>
          </w:p>
        </w:tc>
        <w:tc>
          <w:tcPr>
            <w:tcW w:w="1448" w:type="dxa"/>
            <w:tcBorders>
              <w:bottom w:val="nil"/>
            </w:tcBorders>
            <w:vAlign w:val="center"/>
          </w:tcPr>
          <w:p w14:paraId="4ED130AF"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15 626 860</w:t>
            </w:r>
          </w:p>
        </w:tc>
      </w:tr>
      <w:tr w:rsidR="00173478" w:rsidRPr="008E28A6" w14:paraId="7320EDDB" w14:textId="77777777" w:rsidTr="00173478">
        <w:trPr>
          <w:trHeight w:val="240"/>
        </w:trPr>
        <w:tc>
          <w:tcPr>
            <w:tcW w:w="5103" w:type="dxa"/>
            <w:vAlign w:val="center"/>
          </w:tcPr>
          <w:p w14:paraId="668A79CB"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Finance, Technology and Capacity-Building</w:t>
            </w:r>
          </w:p>
        </w:tc>
        <w:tc>
          <w:tcPr>
            <w:tcW w:w="1632" w:type="dxa"/>
            <w:tcBorders>
              <w:top w:val="nil"/>
              <w:left w:val="nil"/>
              <w:bottom w:val="nil"/>
              <w:right w:val="nil"/>
            </w:tcBorders>
            <w:shd w:val="clear" w:color="auto" w:fill="auto"/>
            <w:vAlign w:val="center"/>
          </w:tcPr>
          <w:p w14:paraId="696F3F74"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3 010 180</w:t>
            </w:r>
          </w:p>
        </w:tc>
        <w:tc>
          <w:tcPr>
            <w:tcW w:w="1456" w:type="dxa"/>
            <w:tcBorders>
              <w:bottom w:val="nil"/>
            </w:tcBorders>
            <w:vAlign w:val="center"/>
          </w:tcPr>
          <w:p w14:paraId="6BE235C1"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3 010 180</w:t>
            </w:r>
          </w:p>
        </w:tc>
        <w:tc>
          <w:tcPr>
            <w:tcW w:w="1448" w:type="dxa"/>
            <w:tcBorders>
              <w:bottom w:val="nil"/>
            </w:tcBorders>
            <w:vAlign w:val="center"/>
          </w:tcPr>
          <w:p w14:paraId="60352D8A"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6 020 360</w:t>
            </w:r>
          </w:p>
        </w:tc>
      </w:tr>
      <w:tr w:rsidR="00173478" w:rsidRPr="008E28A6" w14:paraId="658EABD6" w14:textId="77777777" w:rsidTr="00173478">
        <w:trPr>
          <w:trHeight w:val="240"/>
        </w:trPr>
        <w:tc>
          <w:tcPr>
            <w:tcW w:w="5103" w:type="dxa"/>
            <w:vAlign w:val="center"/>
          </w:tcPr>
          <w:p w14:paraId="5151EBE2"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Adaptation</w:t>
            </w:r>
          </w:p>
        </w:tc>
        <w:tc>
          <w:tcPr>
            <w:tcW w:w="1632" w:type="dxa"/>
            <w:tcBorders>
              <w:top w:val="nil"/>
              <w:left w:val="nil"/>
              <w:bottom w:val="nil"/>
              <w:right w:val="nil"/>
            </w:tcBorders>
            <w:shd w:val="clear" w:color="auto" w:fill="auto"/>
            <w:vAlign w:val="center"/>
          </w:tcPr>
          <w:p w14:paraId="4ED32AB9"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2 677 500</w:t>
            </w:r>
          </w:p>
        </w:tc>
        <w:tc>
          <w:tcPr>
            <w:tcW w:w="1456" w:type="dxa"/>
            <w:tcBorders>
              <w:bottom w:val="nil"/>
            </w:tcBorders>
            <w:vAlign w:val="center"/>
          </w:tcPr>
          <w:p w14:paraId="161ACB15"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2 684 600</w:t>
            </w:r>
          </w:p>
        </w:tc>
        <w:tc>
          <w:tcPr>
            <w:tcW w:w="1448" w:type="dxa"/>
            <w:tcBorders>
              <w:bottom w:val="nil"/>
            </w:tcBorders>
            <w:vAlign w:val="center"/>
          </w:tcPr>
          <w:p w14:paraId="1CEDB03C"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5 362 100</w:t>
            </w:r>
          </w:p>
        </w:tc>
      </w:tr>
      <w:tr w:rsidR="00173478" w:rsidRPr="008E28A6" w14:paraId="64BD849E" w14:textId="77777777" w:rsidTr="00173478">
        <w:trPr>
          <w:trHeight w:val="240"/>
        </w:trPr>
        <w:tc>
          <w:tcPr>
            <w:tcW w:w="5103" w:type="dxa"/>
            <w:vAlign w:val="center"/>
          </w:tcPr>
          <w:p w14:paraId="2D6319DE"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Sustainable Development Mechanism</w:t>
            </w:r>
          </w:p>
        </w:tc>
        <w:tc>
          <w:tcPr>
            <w:tcW w:w="1632" w:type="dxa"/>
            <w:tcBorders>
              <w:top w:val="nil"/>
              <w:left w:val="nil"/>
              <w:bottom w:val="nil"/>
              <w:right w:val="nil"/>
            </w:tcBorders>
            <w:shd w:val="clear" w:color="auto" w:fill="auto"/>
            <w:vAlign w:val="center"/>
          </w:tcPr>
          <w:p w14:paraId="4DE42D6B"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439 740</w:t>
            </w:r>
          </w:p>
        </w:tc>
        <w:tc>
          <w:tcPr>
            <w:tcW w:w="1456" w:type="dxa"/>
            <w:tcBorders>
              <w:bottom w:val="nil"/>
            </w:tcBorders>
            <w:vAlign w:val="center"/>
          </w:tcPr>
          <w:p w14:paraId="45AF3E8F"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439 740</w:t>
            </w:r>
          </w:p>
        </w:tc>
        <w:tc>
          <w:tcPr>
            <w:tcW w:w="1448" w:type="dxa"/>
            <w:tcBorders>
              <w:bottom w:val="nil"/>
            </w:tcBorders>
            <w:vAlign w:val="center"/>
          </w:tcPr>
          <w:p w14:paraId="6EFFC1DF"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879 480</w:t>
            </w:r>
          </w:p>
        </w:tc>
      </w:tr>
      <w:tr w:rsidR="00173478" w:rsidRPr="008E28A6" w14:paraId="50B1BFC8" w14:textId="77777777" w:rsidTr="00173478">
        <w:trPr>
          <w:trHeight w:val="240"/>
        </w:trPr>
        <w:tc>
          <w:tcPr>
            <w:tcW w:w="5103" w:type="dxa"/>
            <w:vAlign w:val="center"/>
          </w:tcPr>
          <w:p w14:paraId="55957DEF"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b/>
                <w:sz w:val="18"/>
                <w:szCs w:val="18"/>
                <w:lang w:eastAsia="de-DE"/>
              </w:rPr>
            </w:pPr>
            <w:r w:rsidRPr="008E28A6">
              <w:rPr>
                <w:rFonts w:eastAsia="MS Mincho"/>
                <w:b/>
                <w:sz w:val="18"/>
                <w:szCs w:val="18"/>
                <w:lang w:eastAsia="de-DE"/>
              </w:rPr>
              <w:t>Subtotal implementation and climate action cluster</w:t>
            </w:r>
          </w:p>
        </w:tc>
        <w:tc>
          <w:tcPr>
            <w:tcW w:w="1632" w:type="dxa"/>
            <w:tcBorders>
              <w:top w:val="nil"/>
              <w:left w:val="nil"/>
              <w:bottom w:val="nil"/>
              <w:right w:val="nil"/>
            </w:tcBorders>
            <w:shd w:val="clear" w:color="auto" w:fill="auto"/>
            <w:vAlign w:val="center"/>
          </w:tcPr>
          <w:p w14:paraId="630D202D" w14:textId="77777777" w:rsidR="00173478" w:rsidRPr="008E28A6" w:rsidRDefault="00173478" w:rsidP="00173478">
            <w:pPr>
              <w:suppressAutoHyphens w:val="0"/>
              <w:spacing w:line="240" w:lineRule="auto"/>
              <w:jc w:val="right"/>
              <w:rPr>
                <w:rFonts w:eastAsia="MS Mincho"/>
                <w:b/>
                <w:sz w:val="18"/>
                <w:szCs w:val="18"/>
                <w:lang w:eastAsia="de-DE"/>
              </w:rPr>
            </w:pPr>
            <w:r w:rsidRPr="008E28A6">
              <w:rPr>
                <w:rFonts w:eastAsia="MS Mincho"/>
                <w:b/>
                <w:sz w:val="18"/>
                <w:szCs w:val="18"/>
                <w:lang w:eastAsia="de-DE"/>
              </w:rPr>
              <w:t>14 083 500</w:t>
            </w:r>
          </w:p>
        </w:tc>
        <w:tc>
          <w:tcPr>
            <w:tcW w:w="1456" w:type="dxa"/>
            <w:tcBorders>
              <w:bottom w:val="nil"/>
            </w:tcBorders>
            <w:vAlign w:val="center"/>
          </w:tcPr>
          <w:p w14:paraId="09983CD6" w14:textId="77777777" w:rsidR="00173478" w:rsidRPr="008E28A6" w:rsidRDefault="00173478" w:rsidP="00173478">
            <w:pPr>
              <w:suppressAutoHyphens w:val="0"/>
              <w:spacing w:line="240" w:lineRule="auto"/>
              <w:jc w:val="right"/>
              <w:rPr>
                <w:rFonts w:eastAsia="MS Mincho"/>
                <w:b/>
                <w:sz w:val="18"/>
                <w:szCs w:val="18"/>
                <w:lang w:eastAsia="de-DE"/>
              </w:rPr>
            </w:pPr>
            <w:r w:rsidRPr="008E28A6">
              <w:rPr>
                <w:rFonts w:eastAsia="MS Mincho"/>
                <w:b/>
                <w:sz w:val="18"/>
                <w:szCs w:val="18"/>
                <w:lang w:eastAsia="de-DE"/>
              </w:rPr>
              <w:t>13 805 300</w:t>
            </w:r>
          </w:p>
        </w:tc>
        <w:tc>
          <w:tcPr>
            <w:tcW w:w="1448" w:type="dxa"/>
            <w:tcBorders>
              <w:bottom w:val="nil"/>
            </w:tcBorders>
            <w:vAlign w:val="center"/>
          </w:tcPr>
          <w:p w14:paraId="30629318" w14:textId="77777777" w:rsidR="00173478" w:rsidRPr="008E28A6" w:rsidRDefault="00173478" w:rsidP="00173478">
            <w:pPr>
              <w:suppressAutoHyphens w:val="0"/>
              <w:spacing w:line="240" w:lineRule="auto"/>
              <w:jc w:val="right"/>
              <w:rPr>
                <w:rFonts w:eastAsia="MS Mincho"/>
                <w:b/>
                <w:sz w:val="18"/>
                <w:szCs w:val="18"/>
                <w:lang w:eastAsia="de-DE"/>
              </w:rPr>
            </w:pPr>
            <w:r w:rsidRPr="008E28A6">
              <w:rPr>
                <w:rFonts w:eastAsia="MS Mincho"/>
                <w:b/>
                <w:sz w:val="18"/>
                <w:szCs w:val="18"/>
                <w:lang w:eastAsia="de-DE"/>
              </w:rPr>
              <w:t>27 888 800</w:t>
            </w:r>
          </w:p>
        </w:tc>
      </w:tr>
      <w:tr w:rsidR="00173478" w:rsidRPr="008E28A6" w14:paraId="128F7AA7" w14:textId="77777777" w:rsidTr="00173478">
        <w:trPr>
          <w:trHeight w:val="240"/>
        </w:trPr>
        <w:tc>
          <w:tcPr>
            <w:tcW w:w="5103" w:type="dxa"/>
            <w:vAlign w:val="center"/>
          </w:tcPr>
          <w:p w14:paraId="4E17411C"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b/>
                <w:sz w:val="18"/>
                <w:szCs w:val="18"/>
                <w:lang w:eastAsia="de-DE"/>
              </w:rPr>
              <w:t>Intergovernmental affairs and secretariat operations cluster</w:t>
            </w:r>
          </w:p>
        </w:tc>
        <w:tc>
          <w:tcPr>
            <w:tcW w:w="1632" w:type="dxa"/>
            <w:tcBorders>
              <w:top w:val="nil"/>
              <w:left w:val="nil"/>
              <w:bottom w:val="nil"/>
              <w:right w:val="nil"/>
            </w:tcBorders>
            <w:shd w:val="clear" w:color="auto" w:fill="auto"/>
            <w:vAlign w:val="center"/>
          </w:tcPr>
          <w:p w14:paraId="6D29A6C3" w14:textId="77777777" w:rsidR="00173478" w:rsidRPr="008E28A6" w:rsidRDefault="00173478" w:rsidP="00173478">
            <w:pPr>
              <w:suppressAutoHyphens w:val="0"/>
              <w:spacing w:line="240" w:lineRule="auto"/>
              <w:jc w:val="right"/>
              <w:rPr>
                <w:rFonts w:eastAsia="MS Mincho"/>
                <w:sz w:val="18"/>
                <w:szCs w:val="18"/>
                <w:lang w:eastAsia="de-DE"/>
              </w:rPr>
            </w:pPr>
          </w:p>
        </w:tc>
        <w:tc>
          <w:tcPr>
            <w:tcW w:w="1456" w:type="dxa"/>
            <w:tcBorders>
              <w:bottom w:val="nil"/>
            </w:tcBorders>
            <w:vAlign w:val="center"/>
          </w:tcPr>
          <w:p w14:paraId="71EF6DA4" w14:textId="77777777" w:rsidR="00173478" w:rsidRPr="008E28A6" w:rsidRDefault="00173478" w:rsidP="00173478">
            <w:pPr>
              <w:suppressAutoHyphens w:val="0"/>
              <w:spacing w:line="240" w:lineRule="auto"/>
              <w:jc w:val="right"/>
              <w:rPr>
                <w:rFonts w:eastAsia="MS Mincho"/>
                <w:sz w:val="18"/>
                <w:szCs w:val="18"/>
                <w:lang w:eastAsia="de-DE"/>
              </w:rPr>
            </w:pPr>
          </w:p>
        </w:tc>
        <w:tc>
          <w:tcPr>
            <w:tcW w:w="1448" w:type="dxa"/>
            <w:tcBorders>
              <w:bottom w:val="nil"/>
            </w:tcBorders>
            <w:vAlign w:val="center"/>
          </w:tcPr>
          <w:p w14:paraId="094E0E83" w14:textId="77777777" w:rsidR="00173478" w:rsidRPr="008E28A6" w:rsidRDefault="00173478" w:rsidP="00173478">
            <w:pPr>
              <w:suppressAutoHyphens w:val="0"/>
              <w:spacing w:line="240" w:lineRule="auto"/>
              <w:jc w:val="right"/>
              <w:rPr>
                <w:rFonts w:eastAsia="MS Mincho"/>
                <w:sz w:val="18"/>
                <w:szCs w:val="18"/>
                <w:lang w:eastAsia="de-DE"/>
              </w:rPr>
            </w:pPr>
          </w:p>
        </w:tc>
      </w:tr>
      <w:tr w:rsidR="00173478" w:rsidRPr="008E28A6" w14:paraId="4866EC5B" w14:textId="77777777" w:rsidTr="00173478">
        <w:trPr>
          <w:trHeight w:val="240"/>
        </w:trPr>
        <w:tc>
          <w:tcPr>
            <w:tcW w:w="5103" w:type="dxa"/>
            <w:vAlign w:val="center"/>
          </w:tcPr>
          <w:p w14:paraId="256121F3"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Legal Affairs</w:t>
            </w:r>
          </w:p>
        </w:tc>
        <w:tc>
          <w:tcPr>
            <w:tcW w:w="1632" w:type="dxa"/>
            <w:tcBorders>
              <w:top w:val="nil"/>
              <w:left w:val="nil"/>
              <w:bottom w:val="nil"/>
              <w:right w:val="nil"/>
            </w:tcBorders>
            <w:shd w:val="clear" w:color="auto" w:fill="auto"/>
            <w:vAlign w:val="center"/>
          </w:tcPr>
          <w:p w14:paraId="1A60337B"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1 076 800</w:t>
            </w:r>
          </w:p>
        </w:tc>
        <w:tc>
          <w:tcPr>
            <w:tcW w:w="1456" w:type="dxa"/>
            <w:tcBorders>
              <w:bottom w:val="nil"/>
            </w:tcBorders>
            <w:vAlign w:val="center"/>
          </w:tcPr>
          <w:p w14:paraId="77A3C51B"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1 076 800</w:t>
            </w:r>
          </w:p>
        </w:tc>
        <w:tc>
          <w:tcPr>
            <w:tcW w:w="1448" w:type="dxa"/>
            <w:tcBorders>
              <w:bottom w:val="nil"/>
            </w:tcBorders>
            <w:vAlign w:val="center"/>
          </w:tcPr>
          <w:p w14:paraId="60CD8B53"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2 153 600</w:t>
            </w:r>
          </w:p>
        </w:tc>
      </w:tr>
      <w:tr w:rsidR="00173478" w:rsidRPr="008E28A6" w14:paraId="774DEBFD" w14:textId="77777777" w:rsidTr="00173478">
        <w:trPr>
          <w:trHeight w:val="240"/>
        </w:trPr>
        <w:tc>
          <w:tcPr>
            <w:tcW w:w="5103" w:type="dxa"/>
            <w:vAlign w:val="center"/>
          </w:tcPr>
          <w:p w14:paraId="2F864CE8"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Conference Affairs Services</w:t>
            </w:r>
          </w:p>
        </w:tc>
        <w:tc>
          <w:tcPr>
            <w:tcW w:w="1632" w:type="dxa"/>
            <w:tcBorders>
              <w:top w:val="nil"/>
              <w:left w:val="nil"/>
              <w:bottom w:val="nil"/>
              <w:right w:val="nil"/>
            </w:tcBorders>
            <w:shd w:val="clear" w:color="auto" w:fill="auto"/>
            <w:vAlign w:val="center"/>
          </w:tcPr>
          <w:p w14:paraId="4E411EB2"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1 699 035</w:t>
            </w:r>
          </w:p>
        </w:tc>
        <w:tc>
          <w:tcPr>
            <w:tcW w:w="1456" w:type="dxa"/>
            <w:tcBorders>
              <w:bottom w:val="nil"/>
            </w:tcBorders>
            <w:vAlign w:val="center"/>
          </w:tcPr>
          <w:p w14:paraId="33437845"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1 696 620</w:t>
            </w:r>
          </w:p>
        </w:tc>
        <w:tc>
          <w:tcPr>
            <w:tcW w:w="1448" w:type="dxa"/>
            <w:tcBorders>
              <w:bottom w:val="nil"/>
            </w:tcBorders>
            <w:vAlign w:val="center"/>
          </w:tcPr>
          <w:p w14:paraId="3E69AE3B"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3 395 655</w:t>
            </w:r>
          </w:p>
        </w:tc>
      </w:tr>
      <w:tr w:rsidR="00173478" w:rsidRPr="008E28A6" w14:paraId="525D401E" w14:textId="77777777" w:rsidTr="00173478">
        <w:trPr>
          <w:trHeight w:val="240"/>
        </w:trPr>
        <w:tc>
          <w:tcPr>
            <w:tcW w:w="5103" w:type="dxa"/>
            <w:vAlign w:val="center"/>
          </w:tcPr>
          <w:p w14:paraId="036351F5"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Communications and Outreach</w:t>
            </w:r>
          </w:p>
        </w:tc>
        <w:tc>
          <w:tcPr>
            <w:tcW w:w="1632" w:type="dxa"/>
            <w:tcBorders>
              <w:top w:val="nil"/>
              <w:left w:val="nil"/>
              <w:bottom w:val="nil"/>
              <w:right w:val="nil"/>
            </w:tcBorders>
            <w:shd w:val="clear" w:color="auto" w:fill="auto"/>
            <w:vAlign w:val="center"/>
          </w:tcPr>
          <w:p w14:paraId="144BE006"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1 715 660</w:t>
            </w:r>
          </w:p>
        </w:tc>
        <w:tc>
          <w:tcPr>
            <w:tcW w:w="1456" w:type="dxa"/>
            <w:tcBorders>
              <w:bottom w:val="nil"/>
            </w:tcBorders>
            <w:vAlign w:val="center"/>
          </w:tcPr>
          <w:p w14:paraId="3DDE0C9D"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1 715 660</w:t>
            </w:r>
          </w:p>
        </w:tc>
        <w:tc>
          <w:tcPr>
            <w:tcW w:w="1448" w:type="dxa"/>
            <w:tcBorders>
              <w:bottom w:val="nil"/>
            </w:tcBorders>
            <w:vAlign w:val="center"/>
          </w:tcPr>
          <w:p w14:paraId="0A96B2FD"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3 431 320</w:t>
            </w:r>
          </w:p>
        </w:tc>
      </w:tr>
      <w:tr w:rsidR="00173478" w:rsidRPr="008E28A6" w14:paraId="57AE65BB" w14:textId="77777777" w:rsidTr="00173478">
        <w:trPr>
          <w:trHeight w:val="240"/>
        </w:trPr>
        <w:tc>
          <w:tcPr>
            <w:tcW w:w="5103" w:type="dxa"/>
            <w:vAlign w:val="center"/>
          </w:tcPr>
          <w:p w14:paraId="5E719F2E"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Information and Communication Technology</w:t>
            </w:r>
          </w:p>
        </w:tc>
        <w:tc>
          <w:tcPr>
            <w:tcW w:w="1632" w:type="dxa"/>
            <w:tcBorders>
              <w:top w:val="nil"/>
              <w:left w:val="nil"/>
              <w:bottom w:val="nil"/>
              <w:right w:val="nil"/>
            </w:tcBorders>
            <w:shd w:val="clear" w:color="auto" w:fill="auto"/>
            <w:vAlign w:val="center"/>
          </w:tcPr>
          <w:p w14:paraId="47F49136"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2 723 900</w:t>
            </w:r>
          </w:p>
        </w:tc>
        <w:tc>
          <w:tcPr>
            <w:tcW w:w="1456" w:type="dxa"/>
            <w:tcBorders>
              <w:bottom w:val="nil"/>
            </w:tcBorders>
            <w:vAlign w:val="center"/>
          </w:tcPr>
          <w:p w14:paraId="0C7394DE"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2 723 900</w:t>
            </w:r>
          </w:p>
        </w:tc>
        <w:tc>
          <w:tcPr>
            <w:tcW w:w="1448" w:type="dxa"/>
            <w:tcBorders>
              <w:bottom w:val="nil"/>
            </w:tcBorders>
            <w:vAlign w:val="center"/>
          </w:tcPr>
          <w:p w14:paraId="4922D0BB"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5 447 800</w:t>
            </w:r>
          </w:p>
        </w:tc>
      </w:tr>
      <w:tr w:rsidR="00173478" w:rsidRPr="008E28A6" w14:paraId="7CFBE038" w14:textId="77777777" w:rsidTr="00173478">
        <w:trPr>
          <w:trHeight w:val="240"/>
        </w:trPr>
        <w:tc>
          <w:tcPr>
            <w:tcW w:w="5103" w:type="dxa"/>
            <w:vAlign w:val="center"/>
          </w:tcPr>
          <w:p w14:paraId="5881A1EE"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ab/>
              <w:t>Administrative Services</w:t>
            </w:r>
            <w:r w:rsidRPr="008E28A6">
              <w:rPr>
                <w:rFonts w:eastAsia="MS Mincho"/>
                <w:i/>
                <w:sz w:val="18"/>
                <w:szCs w:val="18"/>
                <w:vertAlign w:val="superscript"/>
                <w:lang w:eastAsia="de-DE"/>
              </w:rPr>
              <w:t>b</w:t>
            </w:r>
          </w:p>
        </w:tc>
        <w:tc>
          <w:tcPr>
            <w:tcW w:w="1632" w:type="dxa"/>
            <w:tcBorders>
              <w:top w:val="nil"/>
              <w:left w:val="nil"/>
              <w:bottom w:val="nil"/>
              <w:right w:val="nil"/>
            </w:tcBorders>
            <w:shd w:val="clear" w:color="auto" w:fill="auto"/>
            <w:vAlign w:val="center"/>
          </w:tcPr>
          <w:p w14:paraId="002E0FFD"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w:t>
            </w:r>
          </w:p>
        </w:tc>
        <w:tc>
          <w:tcPr>
            <w:tcW w:w="1456" w:type="dxa"/>
            <w:tcBorders>
              <w:bottom w:val="nil"/>
            </w:tcBorders>
            <w:vAlign w:val="center"/>
          </w:tcPr>
          <w:p w14:paraId="02281F4D"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w:t>
            </w:r>
          </w:p>
        </w:tc>
        <w:tc>
          <w:tcPr>
            <w:tcW w:w="1448" w:type="dxa"/>
            <w:tcBorders>
              <w:bottom w:val="nil"/>
            </w:tcBorders>
            <w:vAlign w:val="center"/>
          </w:tcPr>
          <w:p w14:paraId="58457DE7"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w:t>
            </w:r>
          </w:p>
        </w:tc>
      </w:tr>
      <w:tr w:rsidR="00173478" w:rsidRPr="008E28A6" w14:paraId="583E4CDA" w14:textId="77777777" w:rsidTr="00173478">
        <w:trPr>
          <w:trHeight w:val="240"/>
        </w:trPr>
        <w:tc>
          <w:tcPr>
            <w:tcW w:w="5103" w:type="dxa"/>
            <w:tcBorders>
              <w:top w:val="nil"/>
            </w:tcBorders>
          </w:tcPr>
          <w:p w14:paraId="65D5B209"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i/>
                <w:sz w:val="18"/>
                <w:szCs w:val="18"/>
                <w:vertAlign w:val="superscript"/>
                <w:lang w:eastAsia="de-DE"/>
              </w:rPr>
            </w:pPr>
            <w:r w:rsidRPr="008E28A6">
              <w:rPr>
                <w:rFonts w:eastAsia="MS Mincho"/>
                <w:sz w:val="18"/>
                <w:szCs w:val="18"/>
                <w:lang w:eastAsia="de-DE"/>
              </w:rPr>
              <w:tab/>
              <w:t>Secretariat-wide operating costs</w:t>
            </w:r>
            <w:r w:rsidRPr="008E28A6">
              <w:rPr>
                <w:rFonts w:eastAsia="MS Mincho"/>
                <w:i/>
                <w:sz w:val="18"/>
                <w:szCs w:val="18"/>
                <w:vertAlign w:val="superscript"/>
                <w:lang w:eastAsia="de-DE"/>
              </w:rPr>
              <w:t>c</w:t>
            </w:r>
          </w:p>
        </w:tc>
        <w:tc>
          <w:tcPr>
            <w:tcW w:w="1632" w:type="dxa"/>
            <w:tcBorders>
              <w:top w:val="nil"/>
              <w:left w:val="nil"/>
              <w:bottom w:val="nil"/>
              <w:right w:val="nil"/>
            </w:tcBorders>
            <w:shd w:val="clear" w:color="auto" w:fill="auto"/>
            <w:vAlign w:val="center"/>
          </w:tcPr>
          <w:p w14:paraId="521C0079"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1 644 030</w:t>
            </w:r>
          </w:p>
        </w:tc>
        <w:tc>
          <w:tcPr>
            <w:tcW w:w="1456" w:type="dxa"/>
            <w:tcBorders>
              <w:bottom w:val="nil"/>
            </w:tcBorders>
            <w:vAlign w:val="center"/>
          </w:tcPr>
          <w:p w14:paraId="174B0FCE"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1 584 433</w:t>
            </w:r>
          </w:p>
        </w:tc>
        <w:tc>
          <w:tcPr>
            <w:tcW w:w="1448" w:type="dxa"/>
            <w:tcBorders>
              <w:bottom w:val="nil"/>
            </w:tcBorders>
            <w:vAlign w:val="center"/>
          </w:tcPr>
          <w:p w14:paraId="35AA1041"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3 228 463</w:t>
            </w:r>
          </w:p>
        </w:tc>
      </w:tr>
      <w:tr w:rsidR="00173478" w:rsidRPr="008E28A6" w14:paraId="4224239C" w14:textId="77777777" w:rsidTr="00173478">
        <w:trPr>
          <w:trHeight w:val="240"/>
        </w:trPr>
        <w:tc>
          <w:tcPr>
            <w:tcW w:w="5103" w:type="dxa"/>
            <w:tcBorders>
              <w:top w:val="nil"/>
            </w:tcBorders>
          </w:tcPr>
          <w:p w14:paraId="69172CB9"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b/>
                <w:sz w:val="18"/>
                <w:szCs w:val="18"/>
                <w:lang w:eastAsia="de-DE"/>
              </w:rPr>
            </w:pPr>
            <w:r w:rsidRPr="008E28A6">
              <w:rPr>
                <w:rFonts w:eastAsia="MS Mincho"/>
                <w:b/>
                <w:sz w:val="18"/>
                <w:szCs w:val="18"/>
                <w:lang w:eastAsia="de-DE"/>
              </w:rPr>
              <w:t>Subtotal intergovernmental affairs and secretariat operations cluster</w:t>
            </w:r>
          </w:p>
        </w:tc>
        <w:tc>
          <w:tcPr>
            <w:tcW w:w="1632" w:type="dxa"/>
            <w:tcBorders>
              <w:top w:val="nil"/>
              <w:left w:val="nil"/>
              <w:bottom w:val="nil"/>
              <w:right w:val="nil"/>
            </w:tcBorders>
            <w:shd w:val="clear" w:color="auto" w:fill="auto"/>
            <w:vAlign w:val="center"/>
          </w:tcPr>
          <w:p w14:paraId="391B93C4" w14:textId="77777777" w:rsidR="00173478" w:rsidRPr="008E28A6" w:rsidRDefault="00173478" w:rsidP="00173478">
            <w:pPr>
              <w:suppressAutoHyphens w:val="0"/>
              <w:spacing w:line="240" w:lineRule="auto"/>
              <w:jc w:val="right"/>
              <w:rPr>
                <w:rFonts w:eastAsia="MS Mincho"/>
                <w:b/>
                <w:sz w:val="18"/>
                <w:szCs w:val="18"/>
                <w:lang w:eastAsia="de-DE"/>
              </w:rPr>
            </w:pPr>
            <w:r w:rsidRPr="008E28A6">
              <w:rPr>
                <w:rFonts w:eastAsia="MS Mincho"/>
                <w:b/>
                <w:sz w:val="18"/>
                <w:szCs w:val="18"/>
                <w:lang w:eastAsia="de-DE"/>
              </w:rPr>
              <w:t xml:space="preserve"> 8 859 425 </w:t>
            </w:r>
          </w:p>
        </w:tc>
        <w:tc>
          <w:tcPr>
            <w:tcW w:w="1456" w:type="dxa"/>
            <w:tcBorders>
              <w:bottom w:val="nil"/>
            </w:tcBorders>
            <w:vAlign w:val="center"/>
          </w:tcPr>
          <w:p w14:paraId="7200A8E2" w14:textId="77777777" w:rsidR="00173478" w:rsidRPr="008E28A6" w:rsidRDefault="00173478" w:rsidP="00173478">
            <w:pPr>
              <w:suppressAutoHyphens w:val="0"/>
              <w:spacing w:line="240" w:lineRule="auto"/>
              <w:jc w:val="right"/>
              <w:rPr>
                <w:rFonts w:eastAsia="MS Mincho"/>
                <w:b/>
                <w:sz w:val="18"/>
                <w:szCs w:val="18"/>
                <w:lang w:eastAsia="de-DE"/>
              </w:rPr>
            </w:pPr>
            <w:r w:rsidRPr="008E28A6">
              <w:rPr>
                <w:rFonts w:eastAsia="MS Mincho"/>
                <w:b/>
                <w:sz w:val="18"/>
                <w:szCs w:val="18"/>
                <w:lang w:eastAsia="de-DE"/>
              </w:rPr>
              <w:t xml:space="preserve"> 8 797 413 </w:t>
            </w:r>
          </w:p>
        </w:tc>
        <w:tc>
          <w:tcPr>
            <w:tcW w:w="1448" w:type="dxa"/>
            <w:tcBorders>
              <w:bottom w:val="nil"/>
            </w:tcBorders>
            <w:vAlign w:val="center"/>
          </w:tcPr>
          <w:p w14:paraId="1E5BC869" w14:textId="77777777" w:rsidR="00173478" w:rsidRPr="008E28A6" w:rsidRDefault="00173478" w:rsidP="00173478">
            <w:pPr>
              <w:suppressAutoHyphens w:val="0"/>
              <w:spacing w:line="240" w:lineRule="auto"/>
              <w:jc w:val="right"/>
              <w:rPr>
                <w:rFonts w:eastAsia="MS Mincho"/>
                <w:b/>
                <w:sz w:val="18"/>
                <w:szCs w:val="18"/>
                <w:lang w:eastAsia="de-DE"/>
              </w:rPr>
            </w:pPr>
            <w:r w:rsidRPr="008E28A6">
              <w:rPr>
                <w:rFonts w:eastAsia="MS Mincho"/>
                <w:b/>
                <w:sz w:val="18"/>
                <w:szCs w:val="18"/>
                <w:lang w:eastAsia="de-DE"/>
              </w:rPr>
              <w:t xml:space="preserve"> 17 656 838 </w:t>
            </w:r>
          </w:p>
        </w:tc>
      </w:tr>
      <w:tr w:rsidR="00173478" w:rsidRPr="008E28A6" w14:paraId="3560D220" w14:textId="77777777" w:rsidTr="00173478">
        <w:trPr>
          <w:trHeight w:val="240"/>
        </w:trPr>
        <w:tc>
          <w:tcPr>
            <w:tcW w:w="5103" w:type="dxa"/>
            <w:tcBorders>
              <w:top w:val="nil"/>
              <w:bottom w:val="single" w:sz="4" w:space="0" w:color="auto"/>
            </w:tcBorders>
          </w:tcPr>
          <w:p w14:paraId="7F76EBBD" w14:textId="77777777" w:rsidR="00173478" w:rsidRPr="008E28A6" w:rsidRDefault="00173478" w:rsidP="00173478">
            <w:pPr>
              <w:suppressAutoHyphens w:val="0"/>
              <w:spacing w:before="40" w:after="40" w:line="220" w:lineRule="exact"/>
              <w:ind w:left="426" w:right="38" w:firstLine="284"/>
              <w:rPr>
                <w:rFonts w:eastAsia="Arial Unicode MS"/>
                <w:b/>
                <w:bCs/>
                <w:sz w:val="18"/>
                <w:szCs w:val="18"/>
                <w:lang w:eastAsia="de-DE"/>
              </w:rPr>
            </w:pPr>
            <w:r w:rsidRPr="008E28A6">
              <w:rPr>
                <w:rFonts w:eastAsia="MS Mincho"/>
                <w:b/>
                <w:bCs/>
                <w:sz w:val="18"/>
                <w:szCs w:val="18"/>
                <w:lang w:eastAsia="de-DE"/>
              </w:rPr>
              <w:t>Total appropriations</w:t>
            </w:r>
          </w:p>
        </w:tc>
        <w:tc>
          <w:tcPr>
            <w:tcW w:w="1632" w:type="dxa"/>
            <w:tcBorders>
              <w:top w:val="nil"/>
              <w:bottom w:val="single" w:sz="4" w:space="0" w:color="auto"/>
            </w:tcBorders>
            <w:vAlign w:val="center"/>
          </w:tcPr>
          <w:p w14:paraId="103EAA39"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25 296 670</w:t>
            </w:r>
          </w:p>
        </w:tc>
        <w:tc>
          <w:tcPr>
            <w:tcW w:w="1456" w:type="dxa"/>
            <w:tcBorders>
              <w:top w:val="nil"/>
              <w:bottom w:val="single" w:sz="4" w:space="0" w:color="auto"/>
            </w:tcBorders>
            <w:vAlign w:val="center"/>
          </w:tcPr>
          <w:p w14:paraId="4F150A39"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24 956 458</w:t>
            </w:r>
          </w:p>
        </w:tc>
        <w:tc>
          <w:tcPr>
            <w:tcW w:w="1448" w:type="dxa"/>
            <w:tcBorders>
              <w:top w:val="nil"/>
              <w:bottom w:val="single" w:sz="4" w:space="0" w:color="auto"/>
            </w:tcBorders>
            <w:vAlign w:val="center"/>
          </w:tcPr>
          <w:p w14:paraId="75360B6A"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50 253 128</w:t>
            </w:r>
          </w:p>
        </w:tc>
      </w:tr>
      <w:tr w:rsidR="00173478" w:rsidRPr="008E28A6" w14:paraId="410D0D54" w14:textId="77777777" w:rsidTr="00173478">
        <w:trPr>
          <w:trHeight w:val="240"/>
        </w:trPr>
        <w:tc>
          <w:tcPr>
            <w:tcW w:w="5103" w:type="dxa"/>
            <w:tcBorders>
              <w:top w:val="nil"/>
            </w:tcBorders>
          </w:tcPr>
          <w:p w14:paraId="5E69EFC3" w14:textId="35E5A790" w:rsidR="00173478" w:rsidRPr="008E28A6" w:rsidRDefault="000F209A" w:rsidP="000F209A">
            <w:pPr>
              <w:tabs>
                <w:tab w:val="left" w:pos="284"/>
              </w:tabs>
              <w:suppressAutoHyphens w:val="0"/>
              <w:spacing w:before="40" w:after="40" w:line="220" w:lineRule="exact"/>
              <w:ind w:left="426" w:right="38" w:hanging="360"/>
              <w:rPr>
                <w:rFonts w:eastAsia="Arial Unicode MS"/>
                <w:sz w:val="18"/>
                <w:szCs w:val="18"/>
                <w:lang w:eastAsia="de-DE"/>
              </w:rPr>
            </w:pPr>
            <w:r w:rsidRPr="008E28A6">
              <w:rPr>
                <w:sz w:val="18"/>
                <w:szCs w:val="18"/>
                <w:lang w:eastAsia="de-DE"/>
              </w:rPr>
              <w:t>B.</w:t>
            </w:r>
            <w:r w:rsidRPr="008E28A6">
              <w:rPr>
                <w:sz w:val="18"/>
                <w:szCs w:val="18"/>
                <w:lang w:eastAsia="de-DE"/>
              </w:rPr>
              <w:tab/>
            </w:r>
            <w:r w:rsidR="00173478" w:rsidRPr="008E28A6">
              <w:rPr>
                <w:rFonts w:eastAsia="MS Mincho"/>
                <w:sz w:val="18"/>
                <w:szCs w:val="18"/>
                <w:lang w:eastAsia="de-DE"/>
              </w:rPr>
              <w:t>Programme support costs (overheads)</w:t>
            </w:r>
            <w:r w:rsidR="00173478" w:rsidRPr="008E28A6">
              <w:rPr>
                <w:rFonts w:eastAsia="MS Mincho"/>
                <w:i/>
                <w:sz w:val="18"/>
                <w:szCs w:val="18"/>
                <w:vertAlign w:val="superscript"/>
                <w:lang w:eastAsia="de-DE"/>
              </w:rPr>
              <w:t>d</w:t>
            </w:r>
          </w:p>
        </w:tc>
        <w:tc>
          <w:tcPr>
            <w:tcW w:w="1632" w:type="dxa"/>
            <w:tcBorders>
              <w:top w:val="nil"/>
            </w:tcBorders>
            <w:vAlign w:val="center"/>
          </w:tcPr>
          <w:p w14:paraId="211FF963"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3 288 567</w:t>
            </w:r>
          </w:p>
        </w:tc>
        <w:tc>
          <w:tcPr>
            <w:tcW w:w="1456" w:type="dxa"/>
            <w:tcBorders>
              <w:top w:val="nil"/>
            </w:tcBorders>
            <w:vAlign w:val="center"/>
          </w:tcPr>
          <w:p w14:paraId="62AF13DE"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3 244 340</w:t>
            </w:r>
          </w:p>
        </w:tc>
        <w:tc>
          <w:tcPr>
            <w:tcW w:w="1448" w:type="dxa"/>
            <w:tcBorders>
              <w:top w:val="nil"/>
            </w:tcBorders>
            <w:vAlign w:val="center"/>
          </w:tcPr>
          <w:p w14:paraId="719A21BC"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6 532 907</w:t>
            </w:r>
          </w:p>
        </w:tc>
      </w:tr>
      <w:tr w:rsidR="00173478" w:rsidRPr="008E28A6" w14:paraId="2673F30E" w14:textId="77777777" w:rsidTr="00173478">
        <w:trPr>
          <w:trHeight w:val="240"/>
        </w:trPr>
        <w:tc>
          <w:tcPr>
            <w:tcW w:w="5103" w:type="dxa"/>
            <w:tcBorders>
              <w:bottom w:val="single" w:sz="4" w:space="0" w:color="auto"/>
            </w:tcBorders>
          </w:tcPr>
          <w:p w14:paraId="2CC515E0" w14:textId="3ABE6997" w:rsidR="00173478" w:rsidRPr="008E28A6" w:rsidRDefault="000F209A" w:rsidP="000F209A">
            <w:pPr>
              <w:tabs>
                <w:tab w:val="left" w:pos="284"/>
              </w:tabs>
              <w:suppressAutoHyphens w:val="0"/>
              <w:spacing w:before="40" w:after="40" w:line="220" w:lineRule="exact"/>
              <w:ind w:left="426" w:right="38" w:hanging="360"/>
              <w:rPr>
                <w:rFonts w:eastAsia="Arial Unicode MS"/>
                <w:sz w:val="18"/>
                <w:szCs w:val="18"/>
                <w:lang w:eastAsia="de-DE"/>
              </w:rPr>
            </w:pPr>
            <w:r w:rsidRPr="008E28A6">
              <w:rPr>
                <w:sz w:val="18"/>
                <w:szCs w:val="18"/>
                <w:lang w:eastAsia="de-DE"/>
              </w:rPr>
              <w:t>C.</w:t>
            </w:r>
            <w:r w:rsidRPr="008E28A6">
              <w:rPr>
                <w:sz w:val="18"/>
                <w:szCs w:val="18"/>
                <w:lang w:eastAsia="de-DE"/>
              </w:rPr>
              <w:tab/>
            </w:r>
            <w:r w:rsidR="00173478" w:rsidRPr="008E28A6">
              <w:rPr>
                <w:rFonts w:eastAsia="MS Mincho"/>
                <w:sz w:val="18"/>
                <w:lang w:eastAsia="de-DE"/>
              </w:rPr>
              <w:t xml:space="preserve">Adjustment to working </w:t>
            </w:r>
            <w:r w:rsidR="00173478" w:rsidRPr="008E28A6">
              <w:rPr>
                <w:rFonts w:eastAsia="MS Mincho"/>
                <w:sz w:val="18"/>
                <w:szCs w:val="18"/>
                <w:lang w:eastAsia="de-DE"/>
              </w:rPr>
              <w:t>capital reserve</w:t>
            </w:r>
            <w:r w:rsidR="00173478" w:rsidRPr="008E28A6">
              <w:rPr>
                <w:rFonts w:eastAsia="MS Mincho"/>
                <w:i/>
                <w:sz w:val="18"/>
                <w:szCs w:val="18"/>
                <w:vertAlign w:val="superscript"/>
                <w:lang w:eastAsia="de-DE"/>
              </w:rPr>
              <w:t>e</w:t>
            </w:r>
          </w:p>
        </w:tc>
        <w:tc>
          <w:tcPr>
            <w:tcW w:w="1632" w:type="dxa"/>
            <w:tcBorders>
              <w:bottom w:val="single" w:sz="4" w:space="0" w:color="auto"/>
            </w:tcBorders>
            <w:vAlign w:val="center"/>
          </w:tcPr>
          <w:p w14:paraId="1FE4FB5C"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103 057</w:t>
            </w:r>
          </w:p>
        </w:tc>
        <w:tc>
          <w:tcPr>
            <w:tcW w:w="1456" w:type="dxa"/>
            <w:tcBorders>
              <w:bottom w:val="single" w:sz="4" w:space="0" w:color="auto"/>
            </w:tcBorders>
            <w:vAlign w:val="center"/>
          </w:tcPr>
          <w:p w14:paraId="2E8BA8C1"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w:t>
            </w:r>
          </w:p>
        </w:tc>
        <w:tc>
          <w:tcPr>
            <w:tcW w:w="1448" w:type="dxa"/>
            <w:tcBorders>
              <w:bottom w:val="single" w:sz="4" w:space="0" w:color="auto"/>
            </w:tcBorders>
            <w:vAlign w:val="center"/>
          </w:tcPr>
          <w:p w14:paraId="3ED5ADA9" w14:textId="77777777" w:rsidR="00173478" w:rsidRPr="008E28A6" w:rsidRDefault="00173478" w:rsidP="00173478">
            <w:pPr>
              <w:suppressAutoHyphens w:val="0"/>
              <w:spacing w:line="240" w:lineRule="auto"/>
              <w:jc w:val="right"/>
              <w:rPr>
                <w:rFonts w:eastAsia="MS Mincho"/>
                <w:sz w:val="18"/>
                <w:szCs w:val="18"/>
                <w:lang w:eastAsia="de-DE"/>
              </w:rPr>
            </w:pPr>
            <w:r w:rsidRPr="008E28A6">
              <w:rPr>
                <w:rFonts w:eastAsia="MS Mincho"/>
                <w:sz w:val="18"/>
                <w:szCs w:val="18"/>
                <w:lang w:eastAsia="de-DE"/>
              </w:rPr>
              <w:t>103 057</w:t>
            </w:r>
          </w:p>
        </w:tc>
      </w:tr>
      <w:tr w:rsidR="00173478" w:rsidRPr="008E28A6" w14:paraId="3DDEE281" w14:textId="77777777" w:rsidTr="00173478">
        <w:trPr>
          <w:trHeight w:val="240"/>
        </w:trPr>
        <w:tc>
          <w:tcPr>
            <w:tcW w:w="5103" w:type="dxa"/>
            <w:tcBorders>
              <w:top w:val="single" w:sz="4" w:space="0" w:color="auto"/>
              <w:bottom w:val="single" w:sz="4" w:space="0" w:color="auto"/>
            </w:tcBorders>
          </w:tcPr>
          <w:p w14:paraId="49401E93" w14:textId="77777777" w:rsidR="00173478" w:rsidRPr="008E28A6" w:rsidRDefault="00173478" w:rsidP="00173478">
            <w:pPr>
              <w:suppressAutoHyphens w:val="0"/>
              <w:autoSpaceDE w:val="0"/>
              <w:autoSpaceDN w:val="0"/>
              <w:adjustRightInd w:val="0"/>
              <w:spacing w:before="40" w:after="40" w:line="220" w:lineRule="exact"/>
              <w:ind w:left="426" w:right="38" w:firstLine="184"/>
              <w:rPr>
                <w:rFonts w:eastAsia="MS Mincho"/>
                <w:b/>
                <w:bCs/>
                <w:sz w:val="18"/>
                <w:szCs w:val="18"/>
                <w:lang w:eastAsia="de-DE"/>
              </w:rPr>
            </w:pPr>
            <w:r w:rsidRPr="008E28A6">
              <w:rPr>
                <w:rFonts w:eastAsia="MS Mincho"/>
                <w:b/>
                <w:bCs/>
                <w:sz w:val="18"/>
                <w:szCs w:val="18"/>
                <w:lang w:eastAsia="de-DE"/>
              </w:rPr>
              <w:t>Total (A + B + C)</w:t>
            </w:r>
          </w:p>
        </w:tc>
        <w:tc>
          <w:tcPr>
            <w:tcW w:w="1632" w:type="dxa"/>
            <w:tcBorders>
              <w:top w:val="single" w:sz="4" w:space="0" w:color="auto"/>
              <w:bottom w:val="single" w:sz="4" w:space="0" w:color="auto"/>
            </w:tcBorders>
            <w:vAlign w:val="center"/>
          </w:tcPr>
          <w:p w14:paraId="3BE1D9F9"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28 688 294</w:t>
            </w:r>
          </w:p>
        </w:tc>
        <w:tc>
          <w:tcPr>
            <w:tcW w:w="1456" w:type="dxa"/>
            <w:tcBorders>
              <w:top w:val="single" w:sz="4" w:space="0" w:color="auto"/>
              <w:bottom w:val="single" w:sz="4" w:space="0" w:color="auto"/>
            </w:tcBorders>
            <w:vAlign w:val="center"/>
          </w:tcPr>
          <w:p w14:paraId="627406DD"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28 200 798</w:t>
            </w:r>
          </w:p>
        </w:tc>
        <w:tc>
          <w:tcPr>
            <w:tcW w:w="1448" w:type="dxa"/>
            <w:tcBorders>
              <w:top w:val="single" w:sz="4" w:space="0" w:color="auto"/>
              <w:bottom w:val="single" w:sz="4" w:space="0" w:color="auto"/>
            </w:tcBorders>
            <w:vAlign w:val="center"/>
          </w:tcPr>
          <w:p w14:paraId="18382B39"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56 889 092</w:t>
            </w:r>
          </w:p>
        </w:tc>
      </w:tr>
      <w:tr w:rsidR="00173478" w:rsidRPr="008E28A6" w14:paraId="286EABBF" w14:textId="77777777" w:rsidTr="00173478">
        <w:trPr>
          <w:trHeight w:val="240"/>
        </w:trPr>
        <w:tc>
          <w:tcPr>
            <w:tcW w:w="5103" w:type="dxa"/>
            <w:tcBorders>
              <w:top w:val="single" w:sz="4" w:space="0" w:color="auto"/>
            </w:tcBorders>
          </w:tcPr>
          <w:p w14:paraId="2AA43C91" w14:textId="77777777" w:rsidR="00173478" w:rsidRPr="008E28A6" w:rsidRDefault="00173478" w:rsidP="00173478">
            <w:pPr>
              <w:suppressAutoHyphens w:val="0"/>
              <w:autoSpaceDE w:val="0"/>
              <w:autoSpaceDN w:val="0"/>
              <w:adjustRightInd w:val="0"/>
              <w:spacing w:before="40" w:after="40" w:line="220" w:lineRule="exact"/>
              <w:ind w:left="426" w:right="38"/>
              <w:rPr>
                <w:rFonts w:eastAsia="MS Mincho"/>
                <w:bCs/>
                <w:sz w:val="18"/>
                <w:szCs w:val="18"/>
                <w:lang w:eastAsia="de-DE"/>
              </w:rPr>
            </w:pPr>
            <w:r w:rsidRPr="008E28A6">
              <w:rPr>
                <w:rFonts w:eastAsia="MS Mincho"/>
                <w:bCs/>
                <w:sz w:val="18"/>
                <w:szCs w:val="18"/>
                <w:lang w:eastAsia="de-DE"/>
              </w:rPr>
              <w:t>Income</w:t>
            </w:r>
          </w:p>
        </w:tc>
        <w:tc>
          <w:tcPr>
            <w:tcW w:w="1632" w:type="dxa"/>
            <w:tcBorders>
              <w:top w:val="single" w:sz="4" w:space="0" w:color="auto"/>
            </w:tcBorders>
            <w:vAlign w:val="center"/>
          </w:tcPr>
          <w:p w14:paraId="79B44803" w14:textId="77777777" w:rsidR="00173478" w:rsidRPr="008E28A6" w:rsidRDefault="00173478" w:rsidP="00173478">
            <w:pPr>
              <w:suppressAutoHyphens w:val="0"/>
              <w:spacing w:before="40" w:after="40" w:line="220" w:lineRule="exact"/>
              <w:ind w:right="38"/>
              <w:jc w:val="right"/>
              <w:rPr>
                <w:rFonts w:eastAsia="Arial Unicode MS"/>
                <w:bCs/>
                <w:sz w:val="18"/>
                <w:szCs w:val="18"/>
                <w:lang w:eastAsia="de-DE"/>
              </w:rPr>
            </w:pPr>
          </w:p>
        </w:tc>
        <w:tc>
          <w:tcPr>
            <w:tcW w:w="1456" w:type="dxa"/>
            <w:tcBorders>
              <w:top w:val="single" w:sz="4" w:space="0" w:color="auto"/>
            </w:tcBorders>
            <w:vAlign w:val="center"/>
          </w:tcPr>
          <w:p w14:paraId="143B83EB" w14:textId="77777777" w:rsidR="00173478" w:rsidRPr="008E28A6" w:rsidRDefault="00173478" w:rsidP="00173478">
            <w:pPr>
              <w:suppressAutoHyphens w:val="0"/>
              <w:spacing w:before="40" w:after="40" w:line="220" w:lineRule="exact"/>
              <w:ind w:right="38"/>
              <w:jc w:val="right"/>
              <w:rPr>
                <w:rFonts w:eastAsia="MS Mincho"/>
                <w:bCs/>
                <w:sz w:val="18"/>
                <w:szCs w:val="18"/>
                <w:lang w:eastAsia="de-DE"/>
              </w:rPr>
            </w:pPr>
          </w:p>
        </w:tc>
        <w:tc>
          <w:tcPr>
            <w:tcW w:w="1448" w:type="dxa"/>
            <w:tcBorders>
              <w:top w:val="single" w:sz="4" w:space="0" w:color="auto"/>
            </w:tcBorders>
            <w:vAlign w:val="center"/>
          </w:tcPr>
          <w:p w14:paraId="4A408658" w14:textId="77777777" w:rsidR="00173478" w:rsidRPr="008E28A6" w:rsidRDefault="00173478" w:rsidP="00173478">
            <w:pPr>
              <w:suppressAutoHyphens w:val="0"/>
              <w:spacing w:before="40" w:after="40" w:line="220" w:lineRule="exact"/>
              <w:ind w:right="38"/>
              <w:jc w:val="right"/>
              <w:rPr>
                <w:rFonts w:eastAsia="MS Mincho"/>
                <w:bCs/>
                <w:sz w:val="18"/>
                <w:szCs w:val="18"/>
                <w:lang w:eastAsia="de-DE"/>
              </w:rPr>
            </w:pPr>
          </w:p>
        </w:tc>
      </w:tr>
      <w:tr w:rsidR="00173478" w:rsidRPr="008E28A6" w14:paraId="103A0FB5" w14:textId="77777777" w:rsidTr="00173478">
        <w:trPr>
          <w:trHeight w:val="240"/>
        </w:trPr>
        <w:tc>
          <w:tcPr>
            <w:tcW w:w="5103" w:type="dxa"/>
          </w:tcPr>
          <w:p w14:paraId="38BF86B1"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bCs/>
                <w:sz w:val="18"/>
                <w:szCs w:val="18"/>
                <w:lang w:eastAsia="de-DE"/>
              </w:rPr>
            </w:pPr>
            <w:r w:rsidRPr="008E28A6">
              <w:rPr>
                <w:rFonts w:eastAsia="MS Mincho"/>
                <w:sz w:val="18"/>
                <w:szCs w:val="18"/>
                <w:lang w:eastAsia="de-DE"/>
              </w:rPr>
              <w:t xml:space="preserve">Contribution from the Host Government </w:t>
            </w:r>
          </w:p>
        </w:tc>
        <w:tc>
          <w:tcPr>
            <w:tcW w:w="1632" w:type="dxa"/>
            <w:vAlign w:val="center"/>
          </w:tcPr>
          <w:p w14:paraId="269F1902" w14:textId="77777777" w:rsidR="00173478" w:rsidRPr="008E28A6" w:rsidRDefault="00173478" w:rsidP="00173478">
            <w:pPr>
              <w:suppressAutoHyphens w:val="0"/>
              <w:spacing w:line="220" w:lineRule="exact"/>
              <w:jc w:val="right"/>
              <w:rPr>
                <w:rFonts w:eastAsia="Arial Unicode MS"/>
                <w:bCs/>
                <w:sz w:val="18"/>
                <w:szCs w:val="18"/>
                <w:lang w:eastAsia="de-DE"/>
              </w:rPr>
            </w:pPr>
            <w:r w:rsidRPr="008E28A6">
              <w:rPr>
                <w:rFonts w:eastAsia="Arial Unicode MS"/>
                <w:bCs/>
                <w:sz w:val="18"/>
                <w:szCs w:val="18"/>
                <w:lang w:eastAsia="de-DE"/>
              </w:rPr>
              <w:t>766 938</w:t>
            </w:r>
          </w:p>
        </w:tc>
        <w:tc>
          <w:tcPr>
            <w:tcW w:w="1456" w:type="dxa"/>
            <w:vAlign w:val="center"/>
          </w:tcPr>
          <w:p w14:paraId="408F19FF" w14:textId="77777777" w:rsidR="00173478" w:rsidRPr="008E28A6" w:rsidRDefault="00173478" w:rsidP="00173478">
            <w:pPr>
              <w:suppressAutoHyphens w:val="0"/>
              <w:spacing w:line="220" w:lineRule="exact"/>
              <w:jc w:val="right"/>
              <w:rPr>
                <w:rFonts w:eastAsia="MS Mincho"/>
                <w:bCs/>
                <w:sz w:val="18"/>
                <w:szCs w:val="18"/>
                <w:lang w:eastAsia="de-DE"/>
              </w:rPr>
            </w:pPr>
            <w:r w:rsidRPr="008E28A6">
              <w:rPr>
                <w:rFonts w:eastAsia="MS Mincho"/>
                <w:bCs/>
                <w:sz w:val="18"/>
                <w:szCs w:val="18"/>
                <w:lang w:eastAsia="de-DE"/>
              </w:rPr>
              <w:t>766 938</w:t>
            </w:r>
          </w:p>
        </w:tc>
        <w:tc>
          <w:tcPr>
            <w:tcW w:w="1448" w:type="dxa"/>
            <w:vAlign w:val="center"/>
          </w:tcPr>
          <w:p w14:paraId="4CE53549" w14:textId="77777777" w:rsidR="00173478" w:rsidRPr="008E28A6" w:rsidRDefault="00173478" w:rsidP="00173478">
            <w:pPr>
              <w:suppressAutoHyphens w:val="0"/>
              <w:spacing w:line="220" w:lineRule="exact"/>
              <w:jc w:val="right"/>
              <w:rPr>
                <w:rFonts w:eastAsia="MS Mincho"/>
                <w:bCs/>
                <w:sz w:val="18"/>
                <w:szCs w:val="18"/>
                <w:lang w:eastAsia="de-DE"/>
              </w:rPr>
            </w:pPr>
            <w:r w:rsidRPr="008E28A6">
              <w:rPr>
                <w:rFonts w:eastAsia="MS Mincho"/>
                <w:bCs/>
                <w:sz w:val="18"/>
                <w:szCs w:val="18"/>
                <w:lang w:eastAsia="de-DE"/>
              </w:rPr>
              <w:t>1 533 876</w:t>
            </w:r>
          </w:p>
        </w:tc>
      </w:tr>
      <w:tr w:rsidR="00173478" w:rsidRPr="008E28A6" w14:paraId="7F2331D2" w14:textId="77777777" w:rsidTr="00173478">
        <w:trPr>
          <w:trHeight w:val="240"/>
        </w:trPr>
        <w:tc>
          <w:tcPr>
            <w:tcW w:w="5103" w:type="dxa"/>
            <w:tcBorders>
              <w:bottom w:val="single" w:sz="4" w:space="0" w:color="auto"/>
            </w:tcBorders>
          </w:tcPr>
          <w:p w14:paraId="1E795298"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sz w:val="18"/>
                <w:szCs w:val="18"/>
                <w:lang w:eastAsia="de-DE"/>
              </w:rPr>
            </w:pPr>
            <w:r w:rsidRPr="008E28A6">
              <w:rPr>
                <w:rFonts w:eastAsia="MS Mincho"/>
                <w:sz w:val="18"/>
                <w:szCs w:val="18"/>
                <w:lang w:eastAsia="de-DE"/>
              </w:rPr>
              <w:t>Indicative contributions</w:t>
            </w:r>
          </w:p>
        </w:tc>
        <w:tc>
          <w:tcPr>
            <w:tcW w:w="1632" w:type="dxa"/>
            <w:tcBorders>
              <w:bottom w:val="single" w:sz="4" w:space="0" w:color="auto"/>
            </w:tcBorders>
            <w:vAlign w:val="center"/>
          </w:tcPr>
          <w:p w14:paraId="2F6261C5"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27 921 356</w:t>
            </w:r>
          </w:p>
        </w:tc>
        <w:tc>
          <w:tcPr>
            <w:tcW w:w="1456" w:type="dxa"/>
            <w:tcBorders>
              <w:bottom w:val="single" w:sz="4" w:space="0" w:color="auto"/>
            </w:tcBorders>
            <w:vAlign w:val="center"/>
          </w:tcPr>
          <w:p w14:paraId="6C4D8028"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27 433 860</w:t>
            </w:r>
          </w:p>
        </w:tc>
        <w:tc>
          <w:tcPr>
            <w:tcW w:w="1448" w:type="dxa"/>
            <w:tcBorders>
              <w:bottom w:val="single" w:sz="4" w:space="0" w:color="auto"/>
            </w:tcBorders>
            <w:vAlign w:val="center"/>
          </w:tcPr>
          <w:p w14:paraId="743A6435"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55 355 216</w:t>
            </w:r>
          </w:p>
        </w:tc>
      </w:tr>
      <w:tr w:rsidR="00173478" w:rsidRPr="008E28A6" w14:paraId="53CFDC68" w14:textId="77777777" w:rsidTr="00173478">
        <w:trPr>
          <w:trHeight w:val="240"/>
        </w:trPr>
        <w:tc>
          <w:tcPr>
            <w:tcW w:w="5103" w:type="dxa"/>
            <w:tcBorders>
              <w:top w:val="single" w:sz="4" w:space="0" w:color="auto"/>
              <w:bottom w:val="single" w:sz="12" w:space="0" w:color="auto"/>
            </w:tcBorders>
          </w:tcPr>
          <w:p w14:paraId="043B4D23" w14:textId="77777777" w:rsidR="00173478" w:rsidRPr="008E28A6" w:rsidRDefault="00173478" w:rsidP="00173478">
            <w:pPr>
              <w:suppressAutoHyphens w:val="0"/>
              <w:autoSpaceDE w:val="0"/>
              <w:autoSpaceDN w:val="0"/>
              <w:adjustRightInd w:val="0"/>
              <w:spacing w:before="40" w:after="40" w:line="220" w:lineRule="exact"/>
              <w:ind w:left="426" w:right="38" w:firstLine="284"/>
              <w:rPr>
                <w:rFonts w:eastAsia="MS Mincho"/>
                <w:bCs/>
                <w:sz w:val="18"/>
                <w:szCs w:val="18"/>
                <w:lang w:eastAsia="de-DE"/>
              </w:rPr>
            </w:pPr>
            <w:r w:rsidRPr="008E28A6">
              <w:rPr>
                <w:rFonts w:eastAsia="MS Mincho"/>
                <w:b/>
                <w:bCs/>
                <w:sz w:val="18"/>
                <w:szCs w:val="18"/>
                <w:lang w:eastAsia="de-DE"/>
              </w:rPr>
              <w:t>Total income</w:t>
            </w:r>
          </w:p>
        </w:tc>
        <w:tc>
          <w:tcPr>
            <w:tcW w:w="1632" w:type="dxa"/>
            <w:tcBorders>
              <w:top w:val="single" w:sz="4" w:space="0" w:color="auto"/>
              <w:bottom w:val="single" w:sz="12" w:space="0" w:color="auto"/>
            </w:tcBorders>
            <w:vAlign w:val="center"/>
          </w:tcPr>
          <w:p w14:paraId="720AF754"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bCs/>
                <w:sz w:val="18"/>
                <w:szCs w:val="18"/>
                <w:lang w:eastAsia="de-DE"/>
              </w:rPr>
              <w:t>28 688 294</w:t>
            </w:r>
          </w:p>
        </w:tc>
        <w:tc>
          <w:tcPr>
            <w:tcW w:w="1456" w:type="dxa"/>
            <w:tcBorders>
              <w:top w:val="single" w:sz="4" w:space="0" w:color="auto"/>
              <w:bottom w:val="single" w:sz="12" w:space="0" w:color="auto"/>
            </w:tcBorders>
            <w:vAlign w:val="center"/>
          </w:tcPr>
          <w:p w14:paraId="29BF3386"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28 200 798</w:t>
            </w:r>
          </w:p>
        </w:tc>
        <w:tc>
          <w:tcPr>
            <w:tcW w:w="1448" w:type="dxa"/>
            <w:tcBorders>
              <w:top w:val="single" w:sz="4" w:space="0" w:color="auto"/>
              <w:bottom w:val="single" w:sz="12" w:space="0" w:color="auto"/>
            </w:tcBorders>
            <w:vAlign w:val="center"/>
          </w:tcPr>
          <w:p w14:paraId="272865A3" w14:textId="77777777" w:rsidR="00173478" w:rsidRPr="008E28A6" w:rsidRDefault="00173478" w:rsidP="00173478">
            <w:pPr>
              <w:suppressAutoHyphens w:val="0"/>
              <w:spacing w:line="240" w:lineRule="auto"/>
              <w:jc w:val="right"/>
              <w:rPr>
                <w:rFonts w:eastAsia="MS Mincho"/>
                <w:b/>
                <w:bCs/>
                <w:sz w:val="18"/>
                <w:szCs w:val="18"/>
                <w:lang w:eastAsia="de-DE"/>
              </w:rPr>
            </w:pPr>
            <w:r w:rsidRPr="008E28A6">
              <w:rPr>
                <w:rFonts w:eastAsia="MS Mincho"/>
                <w:b/>
                <w:sz w:val="18"/>
                <w:szCs w:val="18"/>
                <w:lang w:eastAsia="de-DE"/>
              </w:rPr>
              <w:t>56 889 092</w:t>
            </w:r>
          </w:p>
        </w:tc>
      </w:tr>
    </w:tbl>
    <w:p w14:paraId="6847527A" w14:textId="1AD6BA86" w:rsidR="00173478" w:rsidRPr="008E28A6" w:rsidRDefault="000F209A" w:rsidP="000F209A">
      <w:pPr>
        <w:tabs>
          <w:tab w:val="left" w:pos="721"/>
        </w:tabs>
        <w:suppressAutoHyphens w:val="0"/>
        <w:spacing w:before="60" w:line="240" w:lineRule="auto"/>
        <w:ind w:left="113" w:firstLine="170"/>
        <w:rPr>
          <w:rFonts w:eastAsia="MS Mincho"/>
          <w:sz w:val="16"/>
          <w:szCs w:val="16"/>
          <w:lang w:eastAsia="de-DE"/>
        </w:rPr>
      </w:pPr>
      <w:r w:rsidRPr="008E28A6">
        <w:rPr>
          <w:rFonts w:eastAsia="MS Mincho"/>
          <w:i/>
          <w:sz w:val="18"/>
          <w:szCs w:val="16"/>
          <w:vertAlign w:val="superscript"/>
          <w:lang w:eastAsia="de-DE"/>
        </w:rPr>
        <w:t xml:space="preserve">a   </w:t>
      </w:r>
      <w:r w:rsidR="00173478" w:rsidRPr="008E28A6">
        <w:rPr>
          <w:rFonts w:eastAsia="MS Mincho"/>
          <w:sz w:val="18"/>
          <w:szCs w:val="18"/>
          <w:lang w:eastAsia="de-DE"/>
        </w:rPr>
        <w:t>The appropriation for the Executive Direction and Management programme includes a provision for an annual grant of EUR 244,755 to the Intergovernmental Panel on Climate Change.</w:t>
      </w:r>
    </w:p>
    <w:p w14:paraId="13340437" w14:textId="3AB3B294" w:rsidR="00173478" w:rsidRPr="008E28A6" w:rsidRDefault="000F209A" w:rsidP="000F209A">
      <w:pPr>
        <w:tabs>
          <w:tab w:val="left" w:pos="721"/>
        </w:tabs>
        <w:suppressAutoHyphens w:val="0"/>
        <w:spacing w:line="240" w:lineRule="auto"/>
        <w:ind w:left="113" w:firstLine="170"/>
        <w:rPr>
          <w:rFonts w:eastAsia="MS Mincho"/>
          <w:sz w:val="16"/>
          <w:szCs w:val="16"/>
          <w:lang w:eastAsia="de-DE"/>
        </w:rPr>
      </w:pPr>
      <w:r w:rsidRPr="008E28A6">
        <w:rPr>
          <w:rFonts w:eastAsia="MS Mincho"/>
          <w:i/>
          <w:sz w:val="18"/>
          <w:szCs w:val="16"/>
          <w:vertAlign w:val="superscript"/>
          <w:lang w:eastAsia="de-DE"/>
        </w:rPr>
        <w:t xml:space="preserve">b   </w:t>
      </w:r>
      <w:r w:rsidR="00173478" w:rsidRPr="008E28A6">
        <w:rPr>
          <w:rFonts w:eastAsia="MS Mincho"/>
          <w:sz w:val="18"/>
          <w:szCs w:val="18"/>
          <w:lang w:eastAsia="de-DE"/>
        </w:rPr>
        <w:t xml:space="preserve">Administrative Services is funded from programme support costs (overheads). </w:t>
      </w:r>
    </w:p>
    <w:p w14:paraId="4D92690D" w14:textId="6A402AB8" w:rsidR="00173478" w:rsidRPr="008E28A6" w:rsidRDefault="000F209A" w:rsidP="000F209A">
      <w:pPr>
        <w:tabs>
          <w:tab w:val="left" w:pos="721"/>
        </w:tabs>
        <w:suppressAutoHyphens w:val="0"/>
        <w:spacing w:line="240" w:lineRule="auto"/>
        <w:ind w:left="113" w:firstLine="170"/>
        <w:rPr>
          <w:rFonts w:eastAsia="MS Mincho"/>
          <w:sz w:val="18"/>
          <w:szCs w:val="18"/>
          <w:lang w:eastAsia="de-DE"/>
        </w:rPr>
      </w:pPr>
      <w:r w:rsidRPr="008E28A6">
        <w:rPr>
          <w:rFonts w:eastAsia="MS Mincho"/>
          <w:i/>
          <w:sz w:val="18"/>
          <w:szCs w:val="18"/>
          <w:vertAlign w:val="superscript"/>
          <w:lang w:eastAsia="de-DE"/>
        </w:rPr>
        <w:t xml:space="preserve">c   </w:t>
      </w:r>
      <w:r w:rsidR="00173478" w:rsidRPr="008E28A6">
        <w:rPr>
          <w:rFonts w:eastAsia="MS Mincho"/>
          <w:sz w:val="18"/>
          <w:szCs w:val="18"/>
          <w:lang w:eastAsia="de-DE"/>
        </w:rPr>
        <w:t>Secretariat-wide operating costs are managed by Administrative Services.</w:t>
      </w:r>
    </w:p>
    <w:p w14:paraId="04D504F9" w14:textId="3F102AA1" w:rsidR="00173478" w:rsidRPr="008E28A6" w:rsidRDefault="000F209A" w:rsidP="000F209A">
      <w:pPr>
        <w:tabs>
          <w:tab w:val="left" w:pos="721"/>
        </w:tabs>
        <w:suppressAutoHyphens w:val="0"/>
        <w:spacing w:line="240" w:lineRule="auto"/>
        <w:ind w:left="113" w:firstLine="170"/>
        <w:rPr>
          <w:rFonts w:eastAsia="MS Mincho"/>
          <w:sz w:val="16"/>
          <w:szCs w:val="16"/>
          <w:lang w:eastAsia="de-DE"/>
        </w:rPr>
      </w:pPr>
      <w:r w:rsidRPr="008E28A6">
        <w:rPr>
          <w:rFonts w:eastAsia="MS Mincho"/>
          <w:i/>
          <w:sz w:val="18"/>
          <w:szCs w:val="16"/>
          <w:vertAlign w:val="superscript"/>
          <w:lang w:eastAsia="de-DE"/>
        </w:rPr>
        <w:t xml:space="preserve">d   </w:t>
      </w:r>
      <w:r w:rsidR="00173478" w:rsidRPr="008E28A6">
        <w:rPr>
          <w:rFonts w:eastAsia="MS Mincho"/>
          <w:sz w:val="18"/>
          <w:szCs w:val="18"/>
          <w:lang w:eastAsia="de-DE"/>
        </w:rPr>
        <w:t>Standard</w:t>
      </w:r>
      <w:r w:rsidR="00173478" w:rsidRPr="008E28A6">
        <w:rPr>
          <w:rFonts w:eastAsia="MS Mincho"/>
          <w:sz w:val="18"/>
          <w:szCs w:val="16"/>
          <w:lang w:eastAsia="de-DE"/>
        </w:rPr>
        <w:t xml:space="preserve"> 13 per cent applied for administrative support.</w:t>
      </w:r>
    </w:p>
    <w:p w14:paraId="7B2C717C" w14:textId="04D01DB4" w:rsidR="00173478" w:rsidRPr="008E28A6" w:rsidRDefault="000F209A" w:rsidP="000F209A">
      <w:pPr>
        <w:tabs>
          <w:tab w:val="left" w:pos="721"/>
        </w:tabs>
        <w:suppressAutoHyphens w:val="0"/>
        <w:spacing w:line="240" w:lineRule="auto"/>
        <w:ind w:left="113" w:firstLine="170"/>
        <w:rPr>
          <w:rFonts w:eastAsia="MS Mincho"/>
          <w:sz w:val="16"/>
          <w:szCs w:val="16"/>
          <w:lang w:eastAsia="de-DE"/>
        </w:rPr>
      </w:pPr>
      <w:r w:rsidRPr="008E28A6">
        <w:rPr>
          <w:rFonts w:eastAsia="MS Mincho"/>
          <w:i/>
          <w:sz w:val="18"/>
          <w:szCs w:val="16"/>
          <w:vertAlign w:val="superscript"/>
          <w:lang w:eastAsia="de-DE"/>
        </w:rPr>
        <w:t xml:space="preserve">e   </w:t>
      </w:r>
      <w:r w:rsidR="00173478" w:rsidRPr="008E28A6">
        <w:rPr>
          <w:rFonts w:eastAsia="MS Mincho"/>
          <w:sz w:val="18"/>
          <w:szCs w:val="16"/>
          <w:lang w:eastAsia="de-DE"/>
        </w:rPr>
        <w:t>In accordance with the financial procedures (decision 15/CP.1), the core budget is required to maintain a working capital reserve of 8.3 per cent (one month of operating requirements)</w:t>
      </w:r>
      <w:r w:rsidR="00892E16">
        <w:rPr>
          <w:rFonts w:eastAsia="MS Mincho"/>
          <w:sz w:val="18"/>
          <w:szCs w:val="16"/>
          <w:lang w:eastAsia="de-DE"/>
        </w:rPr>
        <w:t>,</w:t>
      </w:r>
      <w:r w:rsidR="00173478" w:rsidRPr="008E28A6">
        <w:rPr>
          <w:rFonts w:eastAsia="MS Mincho"/>
          <w:sz w:val="18"/>
          <w:szCs w:val="16"/>
          <w:lang w:eastAsia="de-DE"/>
        </w:rPr>
        <w:t xml:space="preserve"> amounting to EUR 2,372,575 in 2018, which will be maintained at that level in 2019. </w:t>
      </w:r>
    </w:p>
    <w:p w14:paraId="730AA89E" w14:textId="77777777" w:rsidR="00173478" w:rsidRPr="00E63A73" w:rsidRDefault="00173478" w:rsidP="00173478">
      <w:pPr>
        <w:suppressAutoHyphens w:val="0"/>
        <w:spacing w:before="120" w:line="240" w:lineRule="auto"/>
        <w:ind w:left="1134" w:right="1134"/>
        <w:jc w:val="both"/>
        <w:rPr>
          <w:rFonts w:eastAsia="Times New Roman"/>
          <w:lang w:eastAsia="en-US"/>
        </w:rPr>
      </w:pPr>
      <w:r w:rsidRPr="00E63A73">
        <w:rPr>
          <w:rFonts w:eastAsia="Times New Roman"/>
          <w:lang w:eastAsia="en-US"/>
        </w:rPr>
        <w:t xml:space="preserve">Table 2 </w:t>
      </w:r>
    </w:p>
    <w:p w14:paraId="7AF397ED" w14:textId="77777777" w:rsidR="00173478" w:rsidRPr="00E63A73" w:rsidRDefault="00173478" w:rsidP="00173478">
      <w:pPr>
        <w:suppressAutoHyphens w:val="0"/>
        <w:spacing w:after="120" w:line="240" w:lineRule="auto"/>
        <w:ind w:left="1134" w:right="1134"/>
        <w:jc w:val="both"/>
        <w:rPr>
          <w:rFonts w:eastAsia="Times New Roman"/>
          <w:b/>
          <w:lang w:eastAsia="en-US"/>
        </w:rPr>
      </w:pPr>
      <w:r w:rsidRPr="00E63A73">
        <w:rPr>
          <w:rFonts w:eastAsia="Times New Roman"/>
          <w:b/>
          <w:lang w:eastAsia="en-US"/>
        </w:rPr>
        <w:t>Secretariat-wide staffing from the core budget</w:t>
      </w:r>
      <w:bookmarkEnd w:id="2"/>
      <w:bookmarkEnd w:id="3"/>
      <w:r w:rsidRPr="00E63A73">
        <w:rPr>
          <w:rFonts w:eastAsia="Times New Roman"/>
          <w:b/>
          <w:lang w:eastAsia="en-US"/>
        </w:rPr>
        <w:t xml:space="preserve"> </w:t>
      </w:r>
    </w:p>
    <w:tbl>
      <w:tblPr>
        <w:tblW w:w="8505" w:type="dxa"/>
        <w:tblInd w:w="1134" w:type="dxa"/>
        <w:tblBorders>
          <w:top w:val="single" w:sz="4" w:space="0" w:color="auto"/>
        </w:tblBorders>
        <w:tblCellMar>
          <w:left w:w="0" w:type="dxa"/>
          <w:right w:w="113" w:type="dxa"/>
        </w:tblCellMar>
        <w:tblLook w:val="0000" w:firstRow="0" w:lastRow="0" w:firstColumn="0" w:lastColumn="0" w:noHBand="0" w:noVBand="0"/>
      </w:tblPr>
      <w:tblGrid>
        <w:gridCol w:w="3487"/>
        <w:gridCol w:w="1674"/>
        <w:gridCol w:w="1672"/>
        <w:gridCol w:w="1672"/>
      </w:tblGrid>
      <w:tr w:rsidR="00173478" w:rsidRPr="008E28A6" w14:paraId="2D083F17" w14:textId="77777777" w:rsidTr="00173478">
        <w:trPr>
          <w:trHeight w:val="284"/>
        </w:trPr>
        <w:tc>
          <w:tcPr>
            <w:tcW w:w="3487" w:type="dxa"/>
            <w:tcBorders>
              <w:top w:val="single" w:sz="4" w:space="0" w:color="auto"/>
              <w:bottom w:val="single" w:sz="12" w:space="0" w:color="auto"/>
            </w:tcBorders>
          </w:tcPr>
          <w:p w14:paraId="6E1859E7" w14:textId="77777777" w:rsidR="00173478" w:rsidRPr="008E28A6" w:rsidRDefault="00173478" w:rsidP="00173478">
            <w:pPr>
              <w:suppressAutoHyphens w:val="0"/>
              <w:spacing w:before="40" w:after="40" w:line="220" w:lineRule="exact"/>
              <w:ind w:right="38"/>
              <w:rPr>
                <w:rFonts w:eastAsia="Times New Roman"/>
                <w:bCs/>
                <w:sz w:val="18"/>
                <w:szCs w:val="24"/>
                <w:lang w:eastAsia="de-DE"/>
              </w:rPr>
            </w:pPr>
          </w:p>
        </w:tc>
        <w:tc>
          <w:tcPr>
            <w:tcW w:w="1674" w:type="dxa"/>
            <w:tcBorders>
              <w:top w:val="single" w:sz="4" w:space="0" w:color="auto"/>
              <w:bottom w:val="single" w:sz="12" w:space="0" w:color="auto"/>
            </w:tcBorders>
            <w:vAlign w:val="bottom"/>
          </w:tcPr>
          <w:p w14:paraId="373DE808" w14:textId="77777777" w:rsidR="00173478" w:rsidRPr="008E28A6" w:rsidRDefault="00173478" w:rsidP="00173478">
            <w:pPr>
              <w:suppressAutoHyphens w:val="0"/>
              <w:spacing w:before="40" w:after="40" w:line="220" w:lineRule="exact"/>
              <w:ind w:left="113" w:right="38"/>
              <w:jc w:val="right"/>
              <w:rPr>
                <w:rFonts w:eastAsia="MS Mincho"/>
                <w:i/>
                <w:sz w:val="16"/>
                <w:szCs w:val="16"/>
                <w:lang w:eastAsia="de-DE"/>
              </w:rPr>
            </w:pPr>
            <w:r w:rsidRPr="008E28A6">
              <w:rPr>
                <w:rFonts w:eastAsia="MS Mincho"/>
                <w:i/>
                <w:sz w:val="16"/>
                <w:szCs w:val="16"/>
                <w:lang w:eastAsia="de-DE"/>
              </w:rPr>
              <w:t>2017</w:t>
            </w:r>
          </w:p>
        </w:tc>
        <w:tc>
          <w:tcPr>
            <w:tcW w:w="1672" w:type="dxa"/>
            <w:tcBorders>
              <w:top w:val="single" w:sz="4" w:space="0" w:color="auto"/>
              <w:bottom w:val="single" w:sz="12" w:space="0" w:color="auto"/>
            </w:tcBorders>
            <w:vAlign w:val="center"/>
          </w:tcPr>
          <w:p w14:paraId="5CFB5126" w14:textId="77777777" w:rsidR="00173478" w:rsidRPr="008E28A6" w:rsidRDefault="00173478" w:rsidP="00173478">
            <w:pPr>
              <w:suppressAutoHyphens w:val="0"/>
              <w:spacing w:before="40" w:after="40" w:line="220" w:lineRule="exact"/>
              <w:ind w:left="113" w:right="38"/>
              <w:jc w:val="right"/>
              <w:rPr>
                <w:rFonts w:eastAsia="MS Mincho"/>
                <w:i/>
                <w:sz w:val="16"/>
                <w:szCs w:val="16"/>
                <w:lang w:eastAsia="de-DE"/>
              </w:rPr>
            </w:pPr>
            <w:r w:rsidRPr="008E28A6">
              <w:rPr>
                <w:rFonts w:eastAsia="Arial Unicode MS"/>
                <w:i/>
                <w:sz w:val="16"/>
                <w:szCs w:val="16"/>
                <w:lang w:eastAsia="de-DE"/>
              </w:rPr>
              <w:t>2018</w:t>
            </w:r>
          </w:p>
        </w:tc>
        <w:tc>
          <w:tcPr>
            <w:tcW w:w="1672" w:type="dxa"/>
            <w:tcBorders>
              <w:top w:val="single" w:sz="4" w:space="0" w:color="auto"/>
              <w:bottom w:val="single" w:sz="12" w:space="0" w:color="auto"/>
            </w:tcBorders>
            <w:vAlign w:val="center"/>
          </w:tcPr>
          <w:p w14:paraId="3064FB44" w14:textId="77777777" w:rsidR="00173478" w:rsidRPr="008E28A6" w:rsidRDefault="00173478" w:rsidP="00173478">
            <w:pPr>
              <w:suppressAutoHyphens w:val="0"/>
              <w:spacing w:before="40" w:after="40" w:line="220" w:lineRule="exact"/>
              <w:ind w:left="113" w:right="38"/>
              <w:jc w:val="right"/>
              <w:rPr>
                <w:rFonts w:eastAsia="Arial Unicode MS"/>
                <w:i/>
                <w:sz w:val="16"/>
                <w:szCs w:val="16"/>
                <w:lang w:eastAsia="de-DE"/>
              </w:rPr>
            </w:pPr>
            <w:r w:rsidRPr="008E28A6">
              <w:rPr>
                <w:rFonts w:eastAsia="Arial Unicode MS"/>
                <w:i/>
                <w:sz w:val="16"/>
                <w:szCs w:val="16"/>
                <w:lang w:eastAsia="de-DE"/>
              </w:rPr>
              <w:t>2019</w:t>
            </w:r>
          </w:p>
        </w:tc>
      </w:tr>
      <w:tr w:rsidR="00173478" w:rsidRPr="008E28A6" w14:paraId="6D44A5C3" w14:textId="77777777" w:rsidTr="00173478">
        <w:trPr>
          <w:trHeight w:val="284"/>
        </w:trPr>
        <w:tc>
          <w:tcPr>
            <w:tcW w:w="3487" w:type="dxa"/>
            <w:tcBorders>
              <w:top w:val="single" w:sz="12" w:space="0" w:color="auto"/>
              <w:bottom w:val="nil"/>
            </w:tcBorders>
          </w:tcPr>
          <w:p w14:paraId="30691199" w14:textId="43C7DD32" w:rsidR="00173478" w:rsidRPr="008E28A6" w:rsidRDefault="00173478" w:rsidP="00173478">
            <w:pPr>
              <w:suppressAutoHyphens w:val="0"/>
              <w:spacing w:before="40" w:after="40" w:line="220" w:lineRule="exact"/>
              <w:ind w:left="170" w:right="38" w:hanging="170"/>
              <w:rPr>
                <w:rFonts w:eastAsia="Times New Roman"/>
                <w:b/>
                <w:bCs/>
                <w:sz w:val="18"/>
                <w:szCs w:val="24"/>
                <w:lang w:eastAsia="de-DE"/>
              </w:rPr>
            </w:pPr>
            <w:r w:rsidRPr="008E28A6">
              <w:rPr>
                <w:rFonts w:eastAsia="Times New Roman"/>
                <w:sz w:val="18"/>
                <w:szCs w:val="24"/>
                <w:lang w:val="en-US" w:eastAsia="de-DE"/>
              </w:rPr>
              <w:t>Professional category and above</w:t>
            </w:r>
          </w:p>
        </w:tc>
        <w:tc>
          <w:tcPr>
            <w:tcW w:w="1674" w:type="dxa"/>
            <w:tcBorders>
              <w:top w:val="single" w:sz="12" w:space="0" w:color="auto"/>
              <w:bottom w:val="nil"/>
            </w:tcBorders>
            <w:vAlign w:val="center"/>
          </w:tcPr>
          <w:p w14:paraId="49D4F5EB"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p>
        </w:tc>
        <w:tc>
          <w:tcPr>
            <w:tcW w:w="1672" w:type="dxa"/>
            <w:tcBorders>
              <w:top w:val="single" w:sz="12" w:space="0" w:color="auto"/>
              <w:bottom w:val="nil"/>
            </w:tcBorders>
            <w:vAlign w:val="center"/>
          </w:tcPr>
          <w:p w14:paraId="09EB2253"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p>
        </w:tc>
        <w:tc>
          <w:tcPr>
            <w:tcW w:w="1672" w:type="dxa"/>
            <w:tcBorders>
              <w:top w:val="single" w:sz="12" w:space="0" w:color="auto"/>
              <w:bottom w:val="nil"/>
            </w:tcBorders>
            <w:vAlign w:val="center"/>
          </w:tcPr>
          <w:p w14:paraId="1C90777D"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p>
        </w:tc>
      </w:tr>
      <w:tr w:rsidR="00173478" w:rsidRPr="008E28A6" w14:paraId="71944A65" w14:textId="77777777" w:rsidTr="00173478">
        <w:trPr>
          <w:trHeight w:val="284"/>
        </w:trPr>
        <w:tc>
          <w:tcPr>
            <w:tcW w:w="3487" w:type="dxa"/>
            <w:tcBorders>
              <w:top w:val="nil"/>
            </w:tcBorders>
          </w:tcPr>
          <w:p w14:paraId="7D98223F" w14:textId="77777777" w:rsidR="00173478" w:rsidRPr="008E28A6" w:rsidRDefault="00173478" w:rsidP="00173478">
            <w:pPr>
              <w:suppressAutoHyphens w:val="0"/>
              <w:spacing w:before="40" w:after="40" w:line="220" w:lineRule="exact"/>
              <w:ind w:left="170" w:right="38" w:firstLine="114"/>
              <w:rPr>
                <w:rFonts w:eastAsia="Times New Roman"/>
                <w:bCs/>
                <w:sz w:val="18"/>
                <w:szCs w:val="24"/>
                <w:lang w:eastAsia="de-DE"/>
              </w:rPr>
            </w:pPr>
            <w:r w:rsidRPr="008E28A6">
              <w:rPr>
                <w:rFonts w:eastAsia="Times New Roman"/>
                <w:bCs/>
                <w:sz w:val="18"/>
                <w:szCs w:val="24"/>
                <w:lang w:eastAsia="de-DE"/>
              </w:rPr>
              <w:t>USG</w:t>
            </w:r>
          </w:p>
        </w:tc>
        <w:tc>
          <w:tcPr>
            <w:tcW w:w="1674" w:type="dxa"/>
            <w:tcBorders>
              <w:top w:val="nil"/>
            </w:tcBorders>
            <w:vAlign w:val="center"/>
          </w:tcPr>
          <w:p w14:paraId="5066C731"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MS Mincho"/>
                <w:sz w:val="18"/>
                <w:szCs w:val="18"/>
                <w:lang w:eastAsia="de-DE"/>
              </w:rPr>
              <w:t>1</w:t>
            </w:r>
          </w:p>
        </w:tc>
        <w:tc>
          <w:tcPr>
            <w:tcW w:w="1672" w:type="dxa"/>
            <w:tcBorders>
              <w:top w:val="nil"/>
            </w:tcBorders>
            <w:vAlign w:val="center"/>
          </w:tcPr>
          <w:p w14:paraId="11F489D5"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MS Mincho"/>
                <w:sz w:val="18"/>
                <w:szCs w:val="18"/>
                <w:lang w:eastAsia="de-DE"/>
              </w:rPr>
              <w:t>1</w:t>
            </w:r>
          </w:p>
        </w:tc>
        <w:tc>
          <w:tcPr>
            <w:tcW w:w="1672" w:type="dxa"/>
            <w:tcBorders>
              <w:top w:val="nil"/>
            </w:tcBorders>
            <w:vAlign w:val="center"/>
          </w:tcPr>
          <w:p w14:paraId="6D585A7C"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MS Mincho"/>
                <w:sz w:val="18"/>
                <w:szCs w:val="18"/>
                <w:lang w:eastAsia="de-DE"/>
              </w:rPr>
              <w:t>1</w:t>
            </w:r>
          </w:p>
        </w:tc>
      </w:tr>
      <w:tr w:rsidR="00173478" w:rsidRPr="008E28A6" w14:paraId="00290CE7" w14:textId="77777777" w:rsidTr="00173478">
        <w:trPr>
          <w:trHeight w:val="284"/>
        </w:trPr>
        <w:tc>
          <w:tcPr>
            <w:tcW w:w="3487" w:type="dxa"/>
            <w:tcBorders>
              <w:top w:val="nil"/>
            </w:tcBorders>
          </w:tcPr>
          <w:p w14:paraId="60F6EE90" w14:textId="77777777" w:rsidR="00173478" w:rsidRPr="008E28A6" w:rsidRDefault="00173478" w:rsidP="00173478">
            <w:pPr>
              <w:suppressAutoHyphens w:val="0"/>
              <w:spacing w:before="40" w:after="40" w:line="220" w:lineRule="exact"/>
              <w:ind w:left="170" w:right="38" w:firstLine="114"/>
              <w:rPr>
                <w:rFonts w:eastAsia="Times New Roman"/>
                <w:bCs/>
                <w:sz w:val="18"/>
                <w:szCs w:val="24"/>
                <w:lang w:eastAsia="de-DE"/>
              </w:rPr>
            </w:pPr>
            <w:r w:rsidRPr="008E28A6">
              <w:rPr>
                <w:rFonts w:eastAsia="Times New Roman"/>
                <w:bCs/>
                <w:sz w:val="18"/>
                <w:szCs w:val="24"/>
                <w:lang w:eastAsia="de-DE"/>
              </w:rPr>
              <w:t>ASG</w:t>
            </w:r>
          </w:p>
        </w:tc>
        <w:tc>
          <w:tcPr>
            <w:tcW w:w="1674" w:type="dxa"/>
            <w:tcBorders>
              <w:top w:val="nil"/>
            </w:tcBorders>
            <w:vAlign w:val="center"/>
          </w:tcPr>
          <w:p w14:paraId="7C2AFD79"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MS Mincho"/>
                <w:sz w:val="18"/>
                <w:szCs w:val="18"/>
                <w:lang w:eastAsia="de-DE"/>
              </w:rPr>
              <w:t>1</w:t>
            </w:r>
          </w:p>
        </w:tc>
        <w:tc>
          <w:tcPr>
            <w:tcW w:w="1672" w:type="dxa"/>
            <w:tcBorders>
              <w:top w:val="nil"/>
            </w:tcBorders>
            <w:vAlign w:val="center"/>
          </w:tcPr>
          <w:p w14:paraId="184B1221"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MS Mincho"/>
                <w:sz w:val="18"/>
                <w:szCs w:val="18"/>
                <w:lang w:eastAsia="de-DE"/>
              </w:rPr>
              <w:t>1</w:t>
            </w:r>
          </w:p>
        </w:tc>
        <w:tc>
          <w:tcPr>
            <w:tcW w:w="1672" w:type="dxa"/>
            <w:tcBorders>
              <w:top w:val="nil"/>
            </w:tcBorders>
            <w:vAlign w:val="center"/>
          </w:tcPr>
          <w:p w14:paraId="1303498B"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MS Mincho"/>
                <w:sz w:val="18"/>
                <w:szCs w:val="18"/>
                <w:lang w:eastAsia="de-DE"/>
              </w:rPr>
              <w:t>1</w:t>
            </w:r>
          </w:p>
        </w:tc>
      </w:tr>
      <w:tr w:rsidR="00173478" w:rsidRPr="008E28A6" w14:paraId="1F8AFBA1" w14:textId="77777777" w:rsidTr="00173478">
        <w:trPr>
          <w:trHeight w:val="284"/>
        </w:trPr>
        <w:tc>
          <w:tcPr>
            <w:tcW w:w="3487" w:type="dxa"/>
          </w:tcPr>
          <w:p w14:paraId="41E09E42" w14:textId="77777777" w:rsidR="00173478" w:rsidRPr="008E28A6" w:rsidRDefault="00173478" w:rsidP="00173478">
            <w:pPr>
              <w:suppressAutoHyphens w:val="0"/>
              <w:spacing w:before="40" w:after="40" w:line="220" w:lineRule="exact"/>
              <w:ind w:left="170" w:right="38" w:firstLine="114"/>
              <w:rPr>
                <w:rFonts w:eastAsia="Times New Roman"/>
                <w:bCs/>
                <w:sz w:val="18"/>
                <w:szCs w:val="24"/>
                <w:lang w:eastAsia="de-DE"/>
              </w:rPr>
            </w:pPr>
            <w:r w:rsidRPr="008E28A6">
              <w:rPr>
                <w:rFonts w:eastAsia="Times New Roman"/>
                <w:bCs/>
                <w:sz w:val="18"/>
                <w:szCs w:val="24"/>
                <w:lang w:eastAsia="de-DE"/>
              </w:rPr>
              <w:t>D-</w:t>
            </w:r>
            <w:r w:rsidRPr="008E28A6">
              <w:rPr>
                <w:rFonts w:eastAsia="Times New Roman"/>
                <w:bCs/>
                <w:sz w:val="18"/>
                <w:lang w:eastAsia="de-DE"/>
              </w:rPr>
              <w:t>2</w:t>
            </w:r>
          </w:p>
        </w:tc>
        <w:tc>
          <w:tcPr>
            <w:tcW w:w="1674" w:type="dxa"/>
            <w:vAlign w:val="center"/>
          </w:tcPr>
          <w:p w14:paraId="6124277D"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MS Mincho"/>
                <w:sz w:val="18"/>
                <w:szCs w:val="18"/>
                <w:lang w:eastAsia="de-DE"/>
              </w:rPr>
              <w:t>2</w:t>
            </w:r>
          </w:p>
        </w:tc>
        <w:tc>
          <w:tcPr>
            <w:tcW w:w="1672" w:type="dxa"/>
            <w:vAlign w:val="center"/>
          </w:tcPr>
          <w:p w14:paraId="430BC2A6"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MS Mincho"/>
                <w:sz w:val="18"/>
                <w:szCs w:val="18"/>
                <w:lang w:eastAsia="de-DE"/>
              </w:rPr>
              <w:t>2</w:t>
            </w:r>
          </w:p>
        </w:tc>
        <w:tc>
          <w:tcPr>
            <w:tcW w:w="1672" w:type="dxa"/>
            <w:vAlign w:val="center"/>
          </w:tcPr>
          <w:p w14:paraId="353724C9"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MS Mincho"/>
                <w:sz w:val="18"/>
                <w:szCs w:val="18"/>
                <w:lang w:eastAsia="de-DE"/>
              </w:rPr>
              <w:t>2</w:t>
            </w:r>
          </w:p>
        </w:tc>
      </w:tr>
      <w:tr w:rsidR="00173478" w:rsidRPr="008E28A6" w14:paraId="3C305032" w14:textId="77777777" w:rsidTr="00173478">
        <w:trPr>
          <w:trHeight w:val="284"/>
        </w:trPr>
        <w:tc>
          <w:tcPr>
            <w:tcW w:w="3487" w:type="dxa"/>
          </w:tcPr>
          <w:p w14:paraId="31E40357" w14:textId="77777777" w:rsidR="00173478" w:rsidRPr="008E28A6" w:rsidRDefault="00173478" w:rsidP="00173478">
            <w:pPr>
              <w:suppressAutoHyphens w:val="0"/>
              <w:spacing w:before="40" w:after="40" w:line="220" w:lineRule="exact"/>
              <w:ind w:left="170" w:right="38" w:firstLine="114"/>
              <w:rPr>
                <w:rFonts w:eastAsia="Times New Roman"/>
                <w:bCs/>
                <w:sz w:val="18"/>
                <w:szCs w:val="24"/>
                <w:lang w:eastAsia="de-DE"/>
              </w:rPr>
            </w:pPr>
            <w:r w:rsidRPr="008E28A6">
              <w:rPr>
                <w:rFonts w:eastAsia="Times New Roman"/>
                <w:bCs/>
                <w:sz w:val="18"/>
                <w:szCs w:val="24"/>
                <w:lang w:eastAsia="de-DE"/>
              </w:rPr>
              <w:t>D-1</w:t>
            </w:r>
          </w:p>
        </w:tc>
        <w:tc>
          <w:tcPr>
            <w:tcW w:w="1674" w:type="dxa"/>
            <w:vAlign w:val="center"/>
          </w:tcPr>
          <w:p w14:paraId="1360EEC2"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Arial Unicode MS"/>
                <w:sz w:val="18"/>
                <w:szCs w:val="18"/>
                <w:lang w:eastAsia="de-DE"/>
              </w:rPr>
              <w:t>7</w:t>
            </w:r>
          </w:p>
        </w:tc>
        <w:tc>
          <w:tcPr>
            <w:tcW w:w="1672" w:type="dxa"/>
            <w:vAlign w:val="center"/>
          </w:tcPr>
          <w:p w14:paraId="08B44D44"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Arial Unicode MS"/>
                <w:sz w:val="18"/>
                <w:szCs w:val="18"/>
                <w:lang w:eastAsia="de-DE"/>
              </w:rPr>
              <w:t>7</w:t>
            </w:r>
          </w:p>
        </w:tc>
        <w:tc>
          <w:tcPr>
            <w:tcW w:w="1672" w:type="dxa"/>
            <w:vAlign w:val="center"/>
          </w:tcPr>
          <w:p w14:paraId="0804D371"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Arial Unicode MS"/>
                <w:sz w:val="18"/>
                <w:szCs w:val="18"/>
                <w:lang w:eastAsia="de-DE"/>
              </w:rPr>
              <w:t>7</w:t>
            </w:r>
          </w:p>
        </w:tc>
      </w:tr>
      <w:tr w:rsidR="00173478" w:rsidRPr="008E28A6" w14:paraId="785E6DA8" w14:textId="77777777" w:rsidTr="00173478">
        <w:trPr>
          <w:trHeight w:val="284"/>
        </w:trPr>
        <w:tc>
          <w:tcPr>
            <w:tcW w:w="3487" w:type="dxa"/>
          </w:tcPr>
          <w:p w14:paraId="24816635" w14:textId="77777777" w:rsidR="00173478" w:rsidRPr="008E28A6" w:rsidRDefault="00173478" w:rsidP="00173478">
            <w:pPr>
              <w:suppressAutoHyphens w:val="0"/>
              <w:spacing w:before="40" w:after="40" w:line="220" w:lineRule="exact"/>
              <w:ind w:left="170" w:right="38" w:firstLine="114"/>
              <w:rPr>
                <w:rFonts w:eastAsia="Times New Roman"/>
                <w:bCs/>
                <w:sz w:val="18"/>
                <w:szCs w:val="24"/>
                <w:lang w:eastAsia="de-DE"/>
              </w:rPr>
            </w:pPr>
            <w:r w:rsidRPr="008E28A6">
              <w:rPr>
                <w:rFonts w:eastAsia="Times New Roman"/>
                <w:bCs/>
                <w:sz w:val="18"/>
                <w:szCs w:val="24"/>
                <w:lang w:eastAsia="de-DE"/>
              </w:rPr>
              <w:t>P-5</w:t>
            </w:r>
          </w:p>
        </w:tc>
        <w:tc>
          <w:tcPr>
            <w:tcW w:w="1674" w:type="dxa"/>
            <w:vAlign w:val="center"/>
          </w:tcPr>
          <w:p w14:paraId="133AC324"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Arial Unicode MS"/>
                <w:sz w:val="18"/>
                <w:szCs w:val="18"/>
                <w:lang w:eastAsia="de-DE"/>
              </w:rPr>
              <w:t>15</w:t>
            </w:r>
          </w:p>
        </w:tc>
        <w:tc>
          <w:tcPr>
            <w:tcW w:w="1672" w:type="dxa"/>
            <w:vAlign w:val="center"/>
          </w:tcPr>
          <w:p w14:paraId="505D0548"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Arial Unicode MS"/>
                <w:sz w:val="18"/>
                <w:szCs w:val="18"/>
                <w:lang w:eastAsia="de-DE"/>
              </w:rPr>
              <w:t>15</w:t>
            </w:r>
          </w:p>
        </w:tc>
        <w:tc>
          <w:tcPr>
            <w:tcW w:w="1672" w:type="dxa"/>
            <w:vAlign w:val="center"/>
          </w:tcPr>
          <w:p w14:paraId="1BA086C1"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Arial Unicode MS"/>
                <w:sz w:val="18"/>
                <w:szCs w:val="18"/>
                <w:lang w:eastAsia="de-DE"/>
              </w:rPr>
              <w:t>15</w:t>
            </w:r>
          </w:p>
        </w:tc>
      </w:tr>
      <w:tr w:rsidR="00173478" w:rsidRPr="008E28A6" w14:paraId="32D72A29" w14:textId="77777777" w:rsidTr="00173478">
        <w:trPr>
          <w:trHeight w:val="284"/>
        </w:trPr>
        <w:tc>
          <w:tcPr>
            <w:tcW w:w="3487" w:type="dxa"/>
          </w:tcPr>
          <w:p w14:paraId="59A1B42D" w14:textId="77777777" w:rsidR="00173478" w:rsidRPr="008E28A6" w:rsidRDefault="00173478" w:rsidP="00173478">
            <w:pPr>
              <w:suppressAutoHyphens w:val="0"/>
              <w:spacing w:before="40" w:after="40" w:line="220" w:lineRule="exact"/>
              <w:ind w:left="170" w:right="38" w:firstLine="114"/>
              <w:rPr>
                <w:rFonts w:eastAsia="Times New Roman"/>
                <w:bCs/>
                <w:sz w:val="18"/>
                <w:szCs w:val="24"/>
                <w:lang w:eastAsia="de-DE"/>
              </w:rPr>
            </w:pPr>
            <w:r w:rsidRPr="008E28A6">
              <w:rPr>
                <w:rFonts w:eastAsia="Times New Roman"/>
                <w:bCs/>
                <w:sz w:val="18"/>
                <w:szCs w:val="24"/>
                <w:lang w:eastAsia="de-DE"/>
              </w:rPr>
              <w:t>P-4</w:t>
            </w:r>
          </w:p>
        </w:tc>
        <w:tc>
          <w:tcPr>
            <w:tcW w:w="1674" w:type="dxa"/>
            <w:vAlign w:val="center"/>
          </w:tcPr>
          <w:p w14:paraId="2B89FCCA"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Arial Unicode MS"/>
                <w:sz w:val="18"/>
                <w:szCs w:val="18"/>
                <w:lang w:eastAsia="de-DE"/>
              </w:rPr>
              <w:t>35</w:t>
            </w:r>
          </w:p>
        </w:tc>
        <w:tc>
          <w:tcPr>
            <w:tcW w:w="1672" w:type="dxa"/>
            <w:vAlign w:val="center"/>
          </w:tcPr>
          <w:p w14:paraId="67B38E13"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Arial Unicode MS"/>
                <w:sz w:val="18"/>
                <w:szCs w:val="18"/>
                <w:lang w:eastAsia="de-DE"/>
              </w:rPr>
              <w:t>35</w:t>
            </w:r>
          </w:p>
        </w:tc>
        <w:tc>
          <w:tcPr>
            <w:tcW w:w="1672" w:type="dxa"/>
            <w:vAlign w:val="center"/>
          </w:tcPr>
          <w:p w14:paraId="6E5E4DAF"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Arial Unicode MS"/>
                <w:sz w:val="18"/>
                <w:szCs w:val="18"/>
                <w:lang w:eastAsia="de-DE"/>
              </w:rPr>
              <w:t>35</w:t>
            </w:r>
          </w:p>
        </w:tc>
      </w:tr>
      <w:tr w:rsidR="00173478" w:rsidRPr="008E28A6" w14:paraId="7C320CFE" w14:textId="77777777" w:rsidTr="00173478">
        <w:trPr>
          <w:trHeight w:val="284"/>
        </w:trPr>
        <w:tc>
          <w:tcPr>
            <w:tcW w:w="3487" w:type="dxa"/>
            <w:tcBorders>
              <w:bottom w:val="nil"/>
            </w:tcBorders>
          </w:tcPr>
          <w:p w14:paraId="03793CD7" w14:textId="77777777" w:rsidR="00173478" w:rsidRPr="008E28A6" w:rsidRDefault="00173478" w:rsidP="00173478">
            <w:pPr>
              <w:suppressAutoHyphens w:val="0"/>
              <w:spacing w:before="40" w:after="40" w:line="220" w:lineRule="exact"/>
              <w:ind w:left="170" w:right="38" w:firstLine="114"/>
              <w:rPr>
                <w:rFonts w:eastAsia="Times New Roman"/>
                <w:bCs/>
                <w:sz w:val="18"/>
                <w:szCs w:val="24"/>
                <w:lang w:eastAsia="de-DE"/>
              </w:rPr>
            </w:pPr>
            <w:r w:rsidRPr="008E28A6">
              <w:rPr>
                <w:rFonts w:eastAsia="Times New Roman"/>
                <w:bCs/>
                <w:sz w:val="18"/>
                <w:szCs w:val="24"/>
                <w:lang w:eastAsia="de-DE"/>
              </w:rPr>
              <w:t>P-3</w:t>
            </w:r>
          </w:p>
        </w:tc>
        <w:tc>
          <w:tcPr>
            <w:tcW w:w="1674" w:type="dxa"/>
            <w:tcBorders>
              <w:bottom w:val="nil"/>
            </w:tcBorders>
            <w:vAlign w:val="center"/>
          </w:tcPr>
          <w:p w14:paraId="5D1FC4B1"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Arial Unicode MS"/>
                <w:sz w:val="18"/>
                <w:szCs w:val="18"/>
                <w:lang w:eastAsia="de-DE"/>
              </w:rPr>
              <w:t>43</w:t>
            </w:r>
          </w:p>
        </w:tc>
        <w:tc>
          <w:tcPr>
            <w:tcW w:w="1672" w:type="dxa"/>
            <w:tcBorders>
              <w:bottom w:val="nil"/>
            </w:tcBorders>
            <w:vAlign w:val="center"/>
          </w:tcPr>
          <w:p w14:paraId="26C9AA2C"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Arial Unicode MS"/>
                <w:sz w:val="18"/>
                <w:szCs w:val="18"/>
                <w:lang w:eastAsia="de-DE"/>
              </w:rPr>
              <w:t>43</w:t>
            </w:r>
          </w:p>
        </w:tc>
        <w:tc>
          <w:tcPr>
            <w:tcW w:w="1672" w:type="dxa"/>
            <w:tcBorders>
              <w:bottom w:val="nil"/>
            </w:tcBorders>
            <w:vAlign w:val="center"/>
          </w:tcPr>
          <w:p w14:paraId="219214BB"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Arial Unicode MS"/>
                <w:sz w:val="18"/>
                <w:szCs w:val="18"/>
                <w:lang w:eastAsia="de-DE"/>
              </w:rPr>
              <w:t>43</w:t>
            </w:r>
          </w:p>
        </w:tc>
      </w:tr>
      <w:tr w:rsidR="00173478" w:rsidRPr="008E28A6" w14:paraId="4DCF67E6" w14:textId="77777777" w:rsidTr="00173478">
        <w:trPr>
          <w:trHeight w:val="284"/>
        </w:trPr>
        <w:tc>
          <w:tcPr>
            <w:tcW w:w="3487" w:type="dxa"/>
            <w:tcBorders>
              <w:top w:val="nil"/>
              <w:bottom w:val="single" w:sz="4" w:space="0" w:color="auto"/>
            </w:tcBorders>
          </w:tcPr>
          <w:p w14:paraId="27295BEB" w14:textId="77777777" w:rsidR="00173478" w:rsidRPr="008E28A6" w:rsidRDefault="00173478" w:rsidP="00173478">
            <w:pPr>
              <w:suppressAutoHyphens w:val="0"/>
              <w:spacing w:before="40" w:after="40" w:line="220" w:lineRule="exact"/>
              <w:ind w:left="170" w:right="38" w:firstLine="114"/>
              <w:rPr>
                <w:rFonts w:eastAsia="Times New Roman"/>
                <w:bCs/>
                <w:sz w:val="18"/>
                <w:szCs w:val="24"/>
                <w:lang w:eastAsia="de-DE"/>
              </w:rPr>
            </w:pPr>
            <w:r w:rsidRPr="008E28A6">
              <w:rPr>
                <w:rFonts w:eastAsia="Times New Roman"/>
                <w:bCs/>
                <w:sz w:val="18"/>
                <w:szCs w:val="24"/>
                <w:lang w:eastAsia="de-DE"/>
              </w:rPr>
              <w:t>P-2</w:t>
            </w:r>
          </w:p>
        </w:tc>
        <w:tc>
          <w:tcPr>
            <w:tcW w:w="1674" w:type="dxa"/>
            <w:tcBorders>
              <w:top w:val="nil"/>
              <w:bottom w:val="single" w:sz="4" w:space="0" w:color="auto"/>
            </w:tcBorders>
            <w:vAlign w:val="center"/>
          </w:tcPr>
          <w:p w14:paraId="78B812B8" w14:textId="77777777" w:rsidR="00173478" w:rsidRPr="008E28A6" w:rsidRDefault="00173478" w:rsidP="00173478">
            <w:pPr>
              <w:suppressAutoHyphens w:val="0"/>
              <w:spacing w:before="40" w:after="40" w:line="220" w:lineRule="exact"/>
              <w:ind w:left="113" w:right="38"/>
              <w:jc w:val="right"/>
              <w:rPr>
                <w:rFonts w:eastAsia="Arial Unicode MS"/>
                <w:sz w:val="18"/>
                <w:szCs w:val="18"/>
                <w:lang w:eastAsia="de-DE"/>
              </w:rPr>
            </w:pPr>
            <w:r w:rsidRPr="008E28A6">
              <w:rPr>
                <w:rFonts w:eastAsia="Arial Unicode MS"/>
                <w:sz w:val="18"/>
                <w:szCs w:val="18"/>
                <w:lang w:eastAsia="de-DE"/>
              </w:rPr>
              <w:t>16</w:t>
            </w:r>
          </w:p>
        </w:tc>
        <w:tc>
          <w:tcPr>
            <w:tcW w:w="1672" w:type="dxa"/>
            <w:tcBorders>
              <w:top w:val="nil"/>
              <w:bottom w:val="single" w:sz="4" w:space="0" w:color="auto"/>
            </w:tcBorders>
            <w:vAlign w:val="center"/>
          </w:tcPr>
          <w:p w14:paraId="48B32091" w14:textId="77777777" w:rsidR="00173478" w:rsidRPr="008E28A6" w:rsidRDefault="00173478" w:rsidP="00173478">
            <w:pPr>
              <w:suppressAutoHyphens w:val="0"/>
              <w:spacing w:before="40" w:after="40" w:line="220" w:lineRule="exact"/>
              <w:ind w:left="113" w:right="38"/>
              <w:jc w:val="right"/>
              <w:rPr>
                <w:rFonts w:eastAsia="MS Mincho"/>
                <w:sz w:val="18"/>
                <w:szCs w:val="18"/>
                <w:lang w:eastAsia="de-DE"/>
              </w:rPr>
            </w:pPr>
            <w:r w:rsidRPr="008E28A6">
              <w:rPr>
                <w:rFonts w:eastAsia="Arial Unicode MS"/>
                <w:sz w:val="18"/>
                <w:szCs w:val="18"/>
                <w:lang w:eastAsia="de-DE"/>
              </w:rPr>
              <w:t>16</w:t>
            </w:r>
          </w:p>
        </w:tc>
        <w:tc>
          <w:tcPr>
            <w:tcW w:w="1672" w:type="dxa"/>
            <w:tcBorders>
              <w:top w:val="nil"/>
              <w:bottom w:val="single" w:sz="4" w:space="0" w:color="auto"/>
            </w:tcBorders>
            <w:vAlign w:val="center"/>
          </w:tcPr>
          <w:p w14:paraId="1AF5411B"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Arial Unicode MS"/>
                <w:sz w:val="18"/>
                <w:szCs w:val="18"/>
                <w:lang w:eastAsia="de-DE"/>
              </w:rPr>
              <w:t>16</w:t>
            </w:r>
          </w:p>
        </w:tc>
      </w:tr>
      <w:tr w:rsidR="00173478" w:rsidRPr="008E28A6" w14:paraId="46A28316" w14:textId="77777777" w:rsidTr="00173478">
        <w:trPr>
          <w:trHeight w:val="284"/>
        </w:trPr>
        <w:tc>
          <w:tcPr>
            <w:tcW w:w="3487" w:type="dxa"/>
            <w:tcBorders>
              <w:top w:val="single" w:sz="4" w:space="0" w:color="auto"/>
              <w:bottom w:val="single" w:sz="4" w:space="0" w:color="auto"/>
            </w:tcBorders>
          </w:tcPr>
          <w:p w14:paraId="28D1BA26" w14:textId="77777777" w:rsidR="00173478" w:rsidRPr="008E28A6" w:rsidRDefault="00173478" w:rsidP="00173478">
            <w:pPr>
              <w:suppressAutoHyphens w:val="0"/>
              <w:spacing w:before="40" w:after="40" w:line="220" w:lineRule="exact"/>
              <w:ind w:left="284" w:right="38"/>
              <w:rPr>
                <w:rFonts w:eastAsia="Times New Roman"/>
                <w:b/>
                <w:sz w:val="18"/>
                <w:szCs w:val="24"/>
                <w:lang w:eastAsia="de-DE"/>
              </w:rPr>
            </w:pPr>
            <w:r w:rsidRPr="008E28A6">
              <w:rPr>
                <w:rFonts w:eastAsia="Times New Roman"/>
                <w:b/>
                <w:sz w:val="18"/>
                <w:szCs w:val="24"/>
                <w:lang w:eastAsia="de-DE"/>
              </w:rPr>
              <w:lastRenderedPageBreak/>
              <w:t>Subtotal Professional category and above</w:t>
            </w:r>
          </w:p>
        </w:tc>
        <w:tc>
          <w:tcPr>
            <w:tcW w:w="1674" w:type="dxa"/>
            <w:tcBorders>
              <w:top w:val="single" w:sz="4" w:space="0" w:color="auto"/>
              <w:bottom w:val="single" w:sz="4" w:space="0" w:color="auto"/>
            </w:tcBorders>
            <w:vAlign w:val="center"/>
          </w:tcPr>
          <w:p w14:paraId="10DF043F" w14:textId="77777777" w:rsidR="00173478" w:rsidRPr="008E28A6" w:rsidRDefault="00173478" w:rsidP="00173478">
            <w:pPr>
              <w:suppressAutoHyphens w:val="0"/>
              <w:spacing w:before="40" w:after="40" w:line="220" w:lineRule="exact"/>
              <w:ind w:left="113" w:right="38"/>
              <w:jc w:val="right"/>
              <w:rPr>
                <w:rFonts w:eastAsia="Arial Unicode MS"/>
                <w:b/>
                <w:bCs/>
                <w:sz w:val="18"/>
                <w:szCs w:val="18"/>
                <w:lang w:eastAsia="de-DE"/>
              </w:rPr>
            </w:pPr>
            <w:r w:rsidRPr="008E28A6">
              <w:rPr>
                <w:rFonts w:eastAsia="Arial Unicode MS"/>
                <w:b/>
                <w:bCs/>
                <w:sz w:val="18"/>
                <w:szCs w:val="18"/>
                <w:lang w:eastAsia="de-DE"/>
              </w:rPr>
              <w:t>120</w:t>
            </w:r>
          </w:p>
        </w:tc>
        <w:tc>
          <w:tcPr>
            <w:tcW w:w="1672" w:type="dxa"/>
            <w:tcBorders>
              <w:top w:val="single" w:sz="4" w:space="0" w:color="auto"/>
              <w:bottom w:val="single" w:sz="4" w:space="0" w:color="auto"/>
            </w:tcBorders>
            <w:vAlign w:val="center"/>
          </w:tcPr>
          <w:p w14:paraId="56B2A074" w14:textId="77777777" w:rsidR="00173478" w:rsidRPr="008E28A6" w:rsidRDefault="00173478" w:rsidP="00173478">
            <w:pPr>
              <w:suppressAutoHyphens w:val="0"/>
              <w:spacing w:before="40" w:after="40" w:line="220" w:lineRule="exact"/>
              <w:ind w:left="113" w:right="38"/>
              <w:jc w:val="right"/>
              <w:rPr>
                <w:rFonts w:eastAsia="MS Mincho"/>
                <w:b/>
                <w:bCs/>
                <w:sz w:val="18"/>
                <w:szCs w:val="18"/>
                <w:lang w:eastAsia="de-DE"/>
              </w:rPr>
            </w:pPr>
            <w:r w:rsidRPr="008E28A6">
              <w:rPr>
                <w:rFonts w:eastAsia="Arial Unicode MS"/>
                <w:b/>
                <w:bCs/>
                <w:sz w:val="18"/>
                <w:szCs w:val="18"/>
                <w:lang w:eastAsia="de-DE"/>
              </w:rPr>
              <w:t>120</w:t>
            </w:r>
          </w:p>
        </w:tc>
        <w:tc>
          <w:tcPr>
            <w:tcW w:w="1672" w:type="dxa"/>
            <w:tcBorders>
              <w:top w:val="single" w:sz="4" w:space="0" w:color="auto"/>
              <w:bottom w:val="single" w:sz="4" w:space="0" w:color="auto"/>
            </w:tcBorders>
            <w:vAlign w:val="center"/>
          </w:tcPr>
          <w:p w14:paraId="1DC26B7E" w14:textId="77777777" w:rsidR="00173478" w:rsidRPr="008E28A6" w:rsidRDefault="00173478" w:rsidP="00173478">
            <w:pPr>
              <w:suppressAutoHyphens w:val="0"/>
              <w:spacing w:line="240" w:lineRule="auto"/>
              <w:ind w:right="38"/>
              <w:jc w:val="right"/>
              <w:rPr>
                <w:rFonts w:eastAsia="MS Mincho"/>
                <w:b/>
                <w:bCs/>
                <w:sz w:val="18"/>
                <w:szCs w:val="18"/>
                <w:lang w:eastAsia="de-DE"/>
              </w:rPr>
            </w:pPr>
            <w:r w:rsidRPr="008E28A6">
              <w:rPr>
                <w:rFonts w:eastAsia="Arial Unicode MS"/>
                <w:b/>
                <w:bCs/>
                <w:sz w:val="18"/>
                <w:szCs w:val="18"/>
                <w:lang w:eastAsia="de-DE"/>
              </w:rPr>
              <w:t>120</w:t>
            </w:r>
          </w:p>
        </w:tc>
      </w:tr>
      <w:tr w:rsidR="00173478" w:rsidRPr="008E28A6" w14:paraId="51B85F58" w14:textId="77777777" w:rsidTr="00173478">
        <w:trPr>
          <w:trHeight w:val="284"/>
        </w:trPr>
        <w:tc>
          <w:tcPr>
            <w:tcW w:w="3487" w:type="dxa"/>
            <w:tcBorders>
              <w:top w:val="single" w:sz="4" w:space="0" w:color="auto"/>
              <w:bottom w:val="single" w:sz="4" w:space="0" w:color="auto"/>
            </w:tcBorders>
          </w:tcPr>
          <w:p w14:paraId="638BB350" w14:textId="77777777" w:rsidR="00173478" w:rsidRPr="008E28A6" w:rsidRDefault="00173478" w:rsidP="00173478">
            <w:pPr>
              <w:suppressAutoHyphens w:val="0"/>
              <w:spacing w:before="40" w:after="40" w:line="220" w:lineRule="exact"/>
              <w:ind w:left="284" w:right="38"/>
              <w:rPr>
                <w:rFonts w:eastAsia="Times New Roman"/>
                <w:b/>
                <w:sz w:val="18"/>
                <w:szCs w:val="24"/>
                <w:lang w:eastAsia="de-DE"/>
              </w:rPr>
            </w:pPr>
            <w:r w:rsidRPr="008E28A6">
              <w:rPr>
                <w:rFonts w:eastAsia="Times New Roman"/>
                <w:b/>
                <w:sz w:val="18"/>
                <w:szCs w:val="24"/>
                <w:lang w:eastAsia="de-DE"/>
              </w:rPr>
              <w:t>Subtotal General Service category</w:t>
            </w:r>
          </w:p>
        </w:tc>
        <w:tc>
          <w:tcPr>
            <w:tcW w:w="1674" w:type="dxa"/>
            <w:tcBorders>
              <w:top w:val="single" w:sz="4" w:space="0" w:color="auto"/>
              <w:bottom w:val="single" w:sz="4" w:space="0" w:color="auto"/>
            </w:tcBorders>
            <w:vAlign w:val="center"/>
          </w:tcPr>
          <w:p w14:paraId="016AF97B" w14:textId="77777777" w:rsidR="00173478" w:rsidRPr="008E28A6" w:rsidRDefault="00173478" w:rsidP="00173478">
            <w:pPr>
              <w:suppressAutoHyphens w:val="0"/>
              <w:spacing w:before="40" w:after="40" w:line="220" w:lineRule="exact"/>
              <w:ind w:left="113" w:right="38"/>
              <w:jc w:val="right"/>
              <w:rPr>
                <w:rFonts w:eastAsia="Arial Unicode MS"/>
                <w:b/>
                <w:sz w:val="18"/>
                <w:szCs w:val="18"/>
                <w:lang w:eastAsia="de-DE"/>
              </w:rPr>
            </w:pPr>
            <w:r w:rsidRPr="008E28A6">
              <w:rPr>
                <w:rFonts w:eastAsia="Arial Unicode MS"/>
                <w:b/>
                <w:sz w:val="18"/>
                <w:szCs w:val="18"/>
                <w:lang w:eastAsia="de-DE"/>
              </w:rPr>
              <w:t>53.5</w:t>
            </w:r>
          </w:p>
        </w:tc>
        <w:tc>
          <w:tcPr>
            <w:tcW w:w="1672" w:type="dxa"/>
            <w:tcBorders>
              <w:top w:val="single" w:sz="4" w:space="0" w:color="auto"/>
              <w:bottom w:val="single" w:sz="4" w:space="0" w:color="auto"/>
            </w:tcBorders>
            <w:vAlign w:val="center"/>
          </w:tcPr>
          <w:p w14:paraId="7FF188FF" w14:textId="77777777" w:rsidR="00173478" w:rsidRPr="008E28A6" w:rsidRDefault="00173478" w:rsidP="00173478">
            <w:pPr>
              <w:suppressAutoHyphens w:val="0"/>
              <w:spacing w:before="40" w:after="40" w:line="220" w:lineRule="exact"/>
              <w:ind w:left="113" w:right="38"/>
              <w:jc w:val="right"/>
              <w:rPr>
                <w:rFonts w:eastAsia="Arial Unicode MS"/>
                <w:b/>
                <w:sz w:val="18"/>
                <w:szCs w:val="18"/>
                <w:lang w:eastAsia="de-DE"/>
              </w:rPr>
            </w:pPr>
            <w:r w:rsidRPr="008E28A6">
              <w:rPr>
                <w:rFonts w:eastAsia="Arial Unicode MS"/>
                <w:b/>
                <w:sz w:val="18"/>
                <w:szCs w:val="18"/>
                <w:lang w:eastAsia="de-DE"/>
              </w:rPr>
              <w:t>53.5</w:t>
            </w:r>
          </w:p>
        </w:tc>
        <w:tc>
          <w:tcPr>
            <w:tcW w:w="1672" w:type="dxa"/>
            <w:tcBorders>
              <w:top w:val="single" w:sz="4" w:space="0" w:color="auto"/>
              <w:bottom w:val="single" w:sz="4" w:space="0" w:color="auto"/>
            </w:tcBorders>
            <w:vAlign w:val="center"/>
          </w:tcPr>
          <w:p w14:paraId="70218A02" w14:textId="77777777" w:rsidR="00173478" w:rsidRPr="008E28A6" w:rsidRDefault="00173478" w:rsidP="00173478">
            <w:pPr>
              <w:suppressAutoHyphens w:val="0"/>
              <w:spacing w:line="240" w:lineRule="auto"/>
              <w:ind w:right="38"/>
              <w:jc w:val="right"/>
              <w:rPr>
                <w:rFonts w:eastAsia="MS Mincho"/>
                <w:b/>
                <w:sz w:val="18"/>
                <w:szCs w:val="18"/>
                <w:lang w:eastAsia="de-DE"/>
              </w:rPr>
            </w:pPr>
            <w:r w:rsidRPr="008E28A6">
              <w:rPr>
                <w:rFonts w:eastAsia="Arial Unicode MS"/>
                <w:b/>
                <w:sz w:val="18"/>
                <w:szCs w:val="18"/>
                <w:lang w:eastAsia="de-DE"/>
              </w:rPr>
              <w:t>53.5</w:t>
            </w:r>
          </w:p>
        </w:tc>
      </w:tr>
      <w:tr w:rsidR="00173478" w:rsidRPr="008E28A6" w14:paraId="7DE2CA0A" w14:textId="77777777" w:rsidTr="00FA3D25">
        <w:trPr>
          <w:trHeight w:val="284"/>
        </w:trPr>
        <w:tc>
          <w:tcPr>
            <w:tcW w:w="3487" w:type="dxa"/>
            <w:tcBorders>
              <w:top w:val="single" w:sz="4" w:space="0" w:color="auto"/>
              <w:bottom w:val="single" w:sz="12" w:space="0" w:color="auto"/>
            </w:tcBorders>
          </w:tcPr>
          <w:p w14:paraId="292E8D1C" w14:textId="77777777" w:rsidR="00173478" w:rsidRPr="008E28A6" w:rsidRDefault="00173478" w:rsidP="00173478">
            <w:pPr>
              <w:suppressAutoHyphens w:val="0"/>
              <w:spacing w:before="40" w:after="40" w:line="220" w:lineRule="exact"/>
              <w:ind w:right="38" w:firstLine="284"/>
              <w:rPr>
                <w:rFonts w:eastAsia="Times New Roman"/>
                <w:b/>
                <w:sz w:val="18"/>
                <w:szCs w:val="24"/>
                <w:lang w:eastAsia="de-DE"/>
              </w:rPr>
            </w:pPr>
            <w:r w:rsidRPr="008E28A6">
              <w:rPr>
                <w:rFonts w:eastAsia="Times New Roman"/>
                <w:b/>
                <w:sz w:val="18"/>
                <w:szCs w:val="24"/>
                <w:lang w:eastAsia="de-DE"/>
              </w:rPr>
              <w:t>Total</w:t>
            </w:r>
          </w:p>
        </w:tc>
        <w:tc>
          <w:tcPr>
            <w:tcW w:w="1674" w:type="dxa"/>
            <w:tcBorders>
              <w:top w:val="single" w:sz="4" w:space="0" w:color="auto"/>
              <w:bottom w:val="single" w:sz="12" w:space="0" w:color="auto"/>
            </w:tcBorders>
            <w:vAlign w:val="center"/>
          </w:tcPr>
          <w:p w14:paraId="79E8325A" w14:textId="2A5734A0" w:rsidR="00173478" w:rsidRPr="008E28A6" w:rsidRDefault="00173478" w:rsidP="00173478">
            <w:pPr>
              <w:suppressAutoHyphens w:val="0"/>
              <w:spacing w:before="40" w:after="40" w:line="220" w:lineRule="exact"/>
              <w:ind w:left="113" w:right="38"/>
              <w:jc w:val="right"/>
              <w:rPr>
                <w:rFonts w:eastAsia="Arial Unicode MS"/>
                <w:b/>
                <w:bCs/>
                <w:sz w:val="18"/>
                <w:szCs w:val="18"/>
                <w:lang w:eastAsia="de-DE"/>
              </w:rPr>
            </w:pPr>
            <w:r w:rsidRPr="008E28A6">
              <w:rPr>
                <w:rFonts w:eastAsia="MS Mincho"/>
                <w:b/>
                <w:bCs/>
                <w:sz w:val="18"/>
                <w:szCs w:val="18"/>
                <w:lang w:eastAsia="de-DE"/>
              </w:rPr>
              <w:t>173.5</w:t>
            </w:r>
          </w:p>
        </w:tc>
        <w:tc>
          <w:tcPr>
            <w:tcW w:w="1672" w:type="dxa"/>
            <w:tcBorders>
              <w:top w:val="single" w:sz="4" w:space="0" w:color="auto"/>
              <w:bottom w:val="single" w:sz="12" w:space="0" w:color="auto"/>
            </w:tcBorders>
            <w:vAlign w:val="center"/>
          </w:tcPr>
          <w:p w14:paraId="5BE095F6" w14:textId="3E243D3E" w:rsidR="00173478" w:rsidRPr="008E28A6" w:rsidRDefault="00173478" w:rsidP="00173478">
            <w:pPr>
              <w:suppressAutoHyphens w:val="0"/>
              <w:spacing w:before="40" w:after="40" w:line="220" w:lineRule="exact"/>
              <w:ind w:left="113" w:right="38"/>
              <w:jc w:val="right"/>
              <w:rPr>
                <w:rFonts w:eastAsia="Arial Unicode MS"/>
                <w:b/>
                <w:bCs/>
                <w:sz w:val="18"/>
                <w:szCs w:val="18"/>
                <w:lang w:eastAsia="de-DE"/>
              </w:rPr>
            </w:pPr>
            <w:r w:rsidRPr="008E28A6">
              <w:rPr>
                <w:rFonts w:eastAsia="MS Mincho"/>
                <w:b/>
                <w:bCs/>
                <w:sz w:val="18"/>
                <w:szCs w:val="18"/>
                <w:lang w:eastAsia="de-DE"/>
              </w:rPr>
              <w:t>173.5</w:t>
            </w:r>
          </w:p>
        </w:tc>
        <w:tc>
          <w:tcPr>
            <w:tcW w:w="1672" w:type="dxa"/>
            <w:tcBorders>
              <w:top w:val="single" w:sz="4" w:space="0" w:color="auto"/>
              <w:bottom w:val="single" w:sz="12" w:space="0" w:color="auto"/>
            </w:tcBorders>
            <w:vAlign w:val="center"/>
          </w:tcPr>
          <w:p w14:paraId="51E5F487" w14:textId="4EE85B80" w:rsidR="00173478" w:rsidRPr="008E28A6" w:rsidRDefault="00FA3D25" w:rsidP="00FA3D25">
            <w:pPr>
              <w:suppressAutoHyphens w:val="0"/>
              <w:spacing w:before="40" w:after="40" w:line="220" w:lineRule="exact"/>
              <w:ind w:left="113" w:right="38"/>
              <w:jc w:val="right"/>
              <w:rPr>
                <w:rFonts w:eastAsia="MS Mincho"/>
                <w:b/>
                <w:bCs/>
                <w:sz w:val="18"/>
                <w:szCs w:val="18"/>
                <w:lang w:eastAsia="de-DE"/>
              </w:rPr>
            </w:pPr>
            <w:r>
              <w:rPr>
                <w:rFonts w:eastAsia="MS Mincho"/>
                <w:b/>
                <w:bCs/>
                <w:sz w:val="18"/>
                <w:szCs w:val="18"/>
                <w:lang w:eastAsia="de-DE"/>
              </w:rPr>
              <w:t>173.5</w:t>
            </w:r>
          </w:p>
        </w:tc>
      </w:tr>
    </w:tbl>
    <w:p w14:paraId="006DCA29" w14:textId="0DDD093B" w:rsidR="00173478" w:rsidRPr="008E28A6" w:rsidRDefault="00892E16" w:rsidP="00AE665C">
      <w:pPr>
        <w:suppressAutoHyphens w:val="0"/>
        <w:spacing w:before="60" w:line="240" w:lineRule="auto"/>
        <w:ind w:left="1162" w:right="142" w:firstLine="170"/>
        <w:rPr>
          <w:rFonts w:eastAsia="MS Mincho"/>
          <w:sz w:val="18"/>
          <w:szCs w:val="18"/>
          <w:lang w:eastAsia="de-DE"/>
        </w:rPr>
      </w:pPr>
      <w:bookmarkStart w:id="4" w:name="_Toc288663197"/>
      <w:r w:rsidRPr="00FA3D25">
        <w:rPr>
          <w:rFonts w:eastAsia="MS Mincho"/>
          <w:i/>
          <w:sz w:val="18"/>
          <w:szCs w:val="18"/>
          <w:lang w:eastAsia="de-DE"/>
        </w:rPr>
        <w:t>Abbreviations</w:t>
      </w:r>
      <w:r>
        <w:rPr>
          <w:rFonts w:eastAsia="MS Mincho"/>
          <w:sz w:val="18"/>
          <w:szCs w:val="18"/>
          <w:lang w:eastAsia="de-DE"/>
        </w:rPr>
        <w:t xml:space="preserve">: USG = </w:t>
      </w:r>
      <w:r w:rsidR="00173478" w:rsidRPr="00AE665C">
        <w:rPr>
          <w:rFonts w:eastAsia="MS Mincho"/>
          <w:sz w:val="18"/>
          <w:lang w:eastAsia="de-DE"/>
        </w:rPr>
        <w:t>Under</w:t>
      </w:r>
      <w:r w:rsidR="00173478" w:rsidRPr="008E28A6">
        <w:rPr>
          <w:rFonts w:eastAsia="MS Mincho"/>
          <w:sz w:val="18"/>
          <w:szCs w:val="18"/>
          <w:lang w:eastAsia="de-DE"/>
        </w:rPr>
        <w:t xml:space="preserve">-Secretary-General, </w:t>
      </w:r>
      <w:r>
        <w:rPr>
          <w:rFonts w:eastAsia="MS Mincho"/>
          <w:sz w:val="18"/>
          <w:szCs w:val="18"/>
          <w:lang w:eastAsia="de-DE"/>
        </w:rPr>
        <w:t xml:space="preserve">ASG = </w:t>
      </w:r>
      <w:r w:rsidR="00173478" w:rsidRPr="008E28A6">
        <w:rPr>
          <w:rFonts w:eastAsia="MS Mincho"/>
          <w:sz w:val="18"/>
          <w:szCs w:val="18"/>
          <w:lang w:eastAsia="de-DE"/>
        </w:rPr>
        <w:t xml:space="preserve">Assistant Secretary-General, </w:t>
      </w:r>
      <w:r>
        <w:rPr>
          <w:rFonts w:eastAsia="MS Mincho"/>
          <w:sz w:val="18"/>
          <w:szCs w:val="18"/>
          <w:lang w:eastAsia="de-DE"/>
        </w:rPr>
        <w:t xml:space="preserve">D = </w:t>
      </w:r>
      <w:r w:rsidR="00173478" w:rsidRPr="008E28A6">
        <w:rPr>
          <w:rFonts w:eastAsia="MS Mincho"/>
          <w:sz w:val="18"/>
          <w:szCs w:val="18"/>
          <w:lang w:eastAsia="de-DE"/>
        </w:rPr>
        <w:t>Director</w:t>
      </w:r>
      <w:r>
        <w:rPr>
          <w:rFonts w:eastAsia="MS Mincho"/>
          <w:sz w:val="18"/>
          <w:szCs w:val="18"/>
          <w:lang w:eastAsia="de-DE"/>
        </w:rPr>
        <w:t>,</w:t>
      </w:r>
      <w:r w:rsidR="00F522C2">
        <w:rPr>
          <w:rFonts w:eastAsia="MS Mincho"/>
          <w:sz w:val="18"/>
          <w:szCs w:val="18"/>
          <w:lang w:eastAsia="de-DE"/>
        </w:rPr>
        <w:t xml:space="preserve"> </w:t>
      </w:r>
      <w:r>
        <w:rPr>
          <w:rFonts w:eastAsia="MS Mincho"/>
          <w:sz w:val="18"/>
          <w:szCs w:val="18"/>
          <w:lang w:eastAsia="de-DE"/>
        </w:rPr>
        <w:t>P =</w:t>
      </w:r>
      <w:r w:rsidR="00173478" w:rsidRPr="008E28A6">
        <w:rPr>
          <w:rFonts w:eastAsia="MS Mincho"/>
          <w:sz w:val="18"/>
          <w:szCs w:val="18"/>
          <w:lang w:eastAsia="de-DE"/>
        </w:rPr>
        <w:t xml:space="preserve"> Professional.</w:t>
      </w:r>
      <w:bookmarkEnd w:id="4"/>
    </w:p>
    <w:p w14:paraId="0EF1495C" w14:textId="77777777" w:rsidR="00173478" w:rsidRPr="00E63A73" w:rsidRDefault="00173478" w:rsidP="00173478">
      <w:pPr>
        <w:suppressAutoHyphens w:val="0"/>
        <w:spacing w:before="120" w:line="240" w:lineRule="auto"/>
        <w:ind w:left="1100" w:right="40" w:firstLine="34"/>
        <w:outlineLvl w:val="0"/>
        <w:rPr>
          <w:rFonts w:eastAsia="MS Mincho"/>
          <w:lang w:eastAsia="de-DE"/>
        </w:rPr>
      </w:pPr>
      <w:bookmarkStart w:id="5" w:name="_Toc318462684"/>
      <w:bookmarkStart w:id="6" w:name="_Toc318462727"/>
      <w:bookmarkStart w:id="7" w:name="_Toc318462919"/>
      <w:bookmarkStart w:id="8" w:name="_Toc318463365"/>
      <w:bookmarkStart w:id="9" w:name="_Toc285200583"/>
      <w:bookmarkStart w:id="10" w:name="_Toc288663224"/>
      <w:r w:rsidRPr="00E63A73">
        <w:rPr>
          <w:rFonts w:eastAsia="MS Mincho"/>
          <w:lang w:eastAsia="de-DE"/>
        </w:rPr>
        <w:t>Table 3</w:t>
      </w:r>
      <w:bookmarkEnd w:id="5"/>
      <w:bookmarkEnd w:id="6"/>
      <w:bookmarkEnd w:id="7"/>
      <w:bookmarkEnd w:id="8"/>
    </w:p>
    <w:p w14:paraId="59980651" w14:textId="77777777" w:rsidR="00173478" w:rsidRPr="00E63A73" w:rsidRDefault="00173478" w:rsidP="00173478">
      <w:pPr>
        <w:suppressAutoHyphens w:val="0"/>
        <w:spacing w:after="120" w:line="240" w:lineRule="auto"/>
        <w:ind w:left="1100" w:right="38" w:firstLine="34"/>
        <w:outlineLvl w:val="0"/>
        <w:rPr>
          <w:rFonts w:eastAsia="MS Mincho"/>
          <w:b/>
          <w:bCs/>
          <w:lang w:eastAsia="de-DE"/>
        </w:rPr>
      </w:pPr>
      <w:bookmarkStart w:id="11" w:name="_Toc318462685"/>
      <w:bookmarkStart w:id="12" w:name="_Toc318462728"/>
      <w:bookmarkStart w:id="13" w:name="_Toc318462920"/>
      <w:bookmarkStart w:id="14" w:name="_Toc318463366"/>
      <w:r w:rsidRPr="00E63A73">
        <w:rPr>
          <w:rFonts w:eastAsia="MS Mincho"/>
          <w:b/>
          <w:lang w:eastAsia="de-DE"/>
        </w:rPr>
        <w:t>Resource requirements for the conference services contingency</w:t>
      </w:r>
      <w:bookmarkEnd w:id="9"/>
      <w:bookmarkEnd w:id="10"/>
      <w:bookmarkEnd w:id="11"/>
      <w:bookmarkEnd w:id="12"/>
      <w:bookmarkEnd w:id="13"/>
      <w:bookmarkEnd w:id="14"/>
    </w:p>
    <w:tbl>
      <w:tblPr>
        <w:tblW w:w="8504" w:type="dxa"/>
        <w:tblInd w:w="1134" w:type="dxa"/>
        <w:tblBorders>
          <w:top w:val="single" w:sz="4" w:space="0" w:color="auto"/>
        </w:tblBorders>
        <w:tblCellMar>
          <w:left w:w="0" w:type="dxa"/>
          <w:right w:w="113" w:type="dxa"/>
        </w:tblCellMar>
        <w:tblLook w:val="00A0" w:firstRow="1" w:lastRow="0" w:firstColumn="1" w:lastColumn="0" w:noHBand="0" w:noVBand="0"/>
      </w:tblPr>
      <w:tblGrid>
        <w:gridCol w:w="3544"/>
        <w:gridCol w:w="1653"/>
        <w:gridCol w:w="1653"/>
        <w:gridCol w:w="1654"/>
      </w:tblGrid>
      <w:tr w:rsidR="00173478" w:rsidRPr="008E28A6" w14:paraId="0B7755A9" w14:textId="77777777" w:rsidTr="00173478">
        <w:trPr>
          <w:trHeight w:val="284"/>
          <w:tblHeader/>
        </w:trPr>
        <w:tc>
          <w:tcPr>
            <w:tcW w:w="3544" w:type="dxa"/>
            <w:tcBorders>
              <w:top w:val="single" w:sz="4" w:space="0" w:color="auto"/>
              <w:bottom w:val="single" w:sz="12" w:space="0" w:color="auto"/>
            </w:tcBorders>
            <w:vAlign w:val="bottom"/>
          </w:tcPr>
          <w:p w14:paraId="38374A19" w14:textId="77777777" w:rsidR="00173478" w:rsidRPr="008E28A6" w:rsidRDefault="00173478" w:rsidP="00173478">
            <w:pPr>
              <w:suppressAutoHyphens w:val="0"/>
              <w:spacing w:before="80" w:after="80" w:line="200" w:lineRule="exact"/>
              <w:ind w:right="38"/>
              <w:rPr>
                <w:rFonts w:eastAsia="Arial Unicode MS"/>
                <w:bCs/>
                <w:i/>
                <w:sz w:val="16"/>
                <w:lang w:eastAsia="de-DE"/>
              </w:rPr>
            </w:pPr>
          </w:p>
        </w:tc>
        <w:tc>
          <w:tcPr>
            <w:tcW w:w="1653" w:type="dxa"/>
            <w:tcBorders>
              <w:top w:val="single" w:sz="4" w:space="0" w:color="auto"/>
              <w:bottom w:val="single" w:sz="12" w:space="0" w:color="auto"/>
            </w:tcBorders>
            <w:vAlign w:val="bottom"/>
          </w:tcPr>
          <w:p w14:paraId="3C227C32" w14:textId="77777777" w:rsidR="00173478" w:rsidRPr="008E28A6" w:rsidRDefault="00173478" w:rsidP="00173478">
            <w:pPr>
              <w:suppressAutoHyphens w:val="0"/>
              <w:autoSpaceDE w:val="0"/>
              <w:autoSpaceDN w:val="0"/>
              <w:adjustRightInd w:val="0"/>
              <w:spacing w:before="80" w:after="80" w:line="200" w:lineRule="exact"/>
              <w:ind w:left="113" w:right="38"/>
              <w:jc w:val="right"/>
              <w:rPr>
                <w:rFonts w:eastAsia="MS Mincho"/>
                <w:bCs/>
                <w:i/>
                <w:sz w:val="16"/>
                <w:lang w:eastAsia="de-DE"/>
              </w:rPr>
            </w:pPr>
            <w:r w:rsidRPr="008E28A6">
              <w:rPr>
                <w:rFonts w:eastAsia="MS Mincho"/>
                <w:bCs/>
                <w:i/>
                <w:sz w:val="16"/>
                <w:lang w:eastAsia="de-DE"/>
              </w:rPr>
              <w:t>2018 (EUR)</w:t>
            </w:r>
          </w:p>
        </w:tc>
        <w:tc>
          <w:tcPr>
            <w:tcW w:w="1653" w:type="dxa"/>
            <w:tcBorders>
              <w:top w:val="single" w:sz="4" w:space="0" w:color="auto"/>
              <w:bottom w:val="single" w:sz="12" w:space="0" w:color="auto"/>
            </w:tcBorders>
            <w:vAlign w:val="bottom"/>
          </w:tcPr>
          <w:p w14:paraId="12035F36" w14:textId="77777777" w:rsidR="00173478" w:rsidRPr="008E28A6" w:rsidRDefault="00173478" w:rsidP="00173478">
            <w:pPr>
              <w:suppressAutoHyphens w:val="0"/>
              <w:autoSpaceDE w:val="0"/>
              <w:autoSpaceDN w:val="0"/>
              <w:adjustRightInd w:val="0"/>
              <w:spacing w:before="80" w:after="80" w:line="200" w:lineRule="exact"/>
              <w:ind w:left="113" w:right="38"/>
              <w:jc w:val="right"/>
              <w:rPr>
                <w:rFonts w:eastAsia="MS Mincho"/>
                <w:bCs/>
                <w:i/>
                <w:sz w:val="16"/>
                <w:lang w:eastAsia="de-DE"/>
              </w:rPr>
            </w:pPr>
            <w:r w:rsidRPr="008E28A6">
              <w:rPr>
                <w:rFonts w:eastAsia="MS Mincho"/>
                <w:bCs/>
                <w:i/>
                <w:sz w:val="16"/>
                <w:lang w:eastAsia="de-DE"/>
              </w:rPr>
              <w:t>2019 (EUR)</w:t>
            </w:r>
          </w:p>
        </w:tc>
        <w:tc>
          <w:tcPr>
            <w:tcW w:w="1654" w:type="dxa"/>
            <w:tcBorders>
              <w:top w:val="single" w:sz="4" w:space="0" w:color="auto"/>
              <w:bottom w:val="single" w:sz="12" w:space="0" w:color="auto"/>
            </w:tcBorders>
            <w:vAlign w:val="bottom"/>
          </w:tcPr>
          <w:p w14:paraId="26685450" w14:textId="77777777" w:rsidR="00173478" w:rsidRPr="008E28A6" w:rsidRDefault="00173478" w:rsidP="00173478">
            <w:pPr>
              <w:suppressAutoHyphens w:val="0"/>
              <w:autoSpaceDE w:val="0"/>
              <w:autoSpaceDN w:val="0"/>
              <w:adjustRightInd w:val="0"/>
              <w:spacing w:before="80" w:after="80" w:line="200" w:lineRule="exact"/>
              <w:ind w:left="113" w:right="38"/>
              <w:jc w:val="right"/>
              <w:rPr>
                <w:rFonts w:eastAsia="MS Mincho"/>
                <w:bCs/>
                <w:i/>
                <w:sz w:val="16"/>
                <w:lang w:eastAsia="de-DE"/>
              </w:rPr>
            </w:pPr>
            <w:r w:rsidRPr="008E28A6">
              <w:rPr>
                <w:rFonts w:eastAsia="MS Mincho"/>
                <w:bCs/>
                <w:i/>
                <w:sz w:val="16"/>
                <w:lang w:eastAsia="de-DE"/>
              </w:rPr>
              <w:t>2018–2019 (EUR)</w:t>
            </w:r>
          </w:p>
        </w:tc>
      </w:tr>
      <w:tr w:rsidR="00173478" w:rsidRPr="008E28A6" w14:paraId="33EEDF4D" w14:textId="77777777" w:rsidTr="00173478">
        <w:trPr>
          <w:trHeight w:val="284"/>
        </w:trPr>
        <w:tc>
          <w:tcPr>
            <w:tcW w:w="3544" w:type="dxa"/>
            <w:tcBorders>
              <w:top w:val="single" w:sz="12" w:space="0" w:color="auto"/>
            </w:tcBorders>
          </w:tcPr>
          <w:p w14:paraId="7C1DEAA4" w14:textId="77777777" w:rsidR="00173478" w:rsidRPr="008E28A6" w:rsidRDefault="00173478" w:rsidP="00173478">
            <w:pPr>
              <w:suppressAutoHyphens w:val="0"/>
              <w:spacing w:before="40" w:after="40" w:line="220" w:lineRule="exact"/>
              <w:ind w:right="38"/>
              <w:rPr>
                <w:rFonts w:eastAsia="Arial Unicode MS"/>
                <w:i/>
                <w:sz w:val="18"/>
                <w:lang w:eastAsia="de-DE"/>
              </w:rPr>
            </w:pPr>
            <w:r w:rsidRPr="008E28A6">
              <w:rPr>
                <w:rFonts w:eastAsia="MS Mincho"/>
                <w:i/>
                <w:sz w:val="18"/>
                <w:lang w:eastAsia="de-DE"/>
              </w:rPr>
              <w:t>Object of expenditure</w:t>
            </w:r>
          </w:p>
        </w:tc>
        <w:tc>
          <w:tcPr>
            <w:tcW w:w="1653" w:type="dxa"/>
            <w:tcBorders>
              <w:top w:val="single" w:sz="12" w:space="0" w:color="auto"/>
            </w:tcBorders>
            <w:vAlign w:val="bottom"/>
          </w:tcPr>
          <w:p w14:paraId="22BF82E7" w14:textId="77777777" w:rsidR="00173478" w:rsidRPr="008E28A6" w:rsidRDefault="00173478" w:rsidP="00173478">
            <w:pPr>
              <w:suppressAutoHyphens w:val="0"/>
              <w:spacing w:before="40" w:after="40" w:line="220" w:lineRule="exact"/>
              <w:ind w:left="113" w:right="38"/>
              <w:jc w:val="right"/>
              <w:rPr>
                <w:rFonts w:eastAsia="MS Mincho"/>
                <w:sz w:val="18"/>
                <w:lang w:eastAsia="de-DE"/>
              </w:rPr>
            </w:pPr>
          </w:p>
        </w:tc>
        <w:tc>
          <w:tcPr>
            <w:tcW w:w="1653" w:type="dxa"/>
            <w:tcBorders>
              <w:top w:val="single" w:sz="12" w:space="0" w:color="auto"/>
            </w:tcBorders>
            <w:vAlign w:val="bottom"/>
          </w:tcPr>
          <w:p w14:paraId="280D8BFF" w14:textId="77777777" w:rsidR="00173478" w:rsidRPr="008E28A6" w:rsidRDefault="00173478" w:rsidP="00173478">
            <w:pPr>
              <w:suppressAutoHyphens w:val="0"/>
              <w:spacing w:before="40" w:after="40" w:line="220" w:lineRule="exact"/>
              <w:ind w:left="113" w:right="38"/>
              <w:jc w:val="right"/>
              <w:rPr>
                <w:rFonts w:eastAsia="MS Mincho"/>
                <w:sz w:val="18"/>
                <w:lang w:eastAsia="de-DE"/>
              </w:rPr>
            </w:pPr>
          </w:p>
        </w:tc>
        <w:tc>
          <w:tcPr>
            <w:tcW w:w="1654" w:type="dxa"/>
            <w:tcBorders>
              <w:top w:val="single" w:sz="12" w:space="0" w:color="auto"/>
            </w:tcBorders>
            <w:vAlign w:val="bottom"/>
          </w:tcPr>
          <w:p w14:paraId="2AC07255" w14:textId="77777777" w:rsidR="00173478" w:rsidRPr="008E28A6" w:rsidRDefault="00173478" w:rsidP="00173478">
            <w:pPr>
              <w:suppressAutoHyphens w:val="0"/>
              <w:spacing w:before="40" w:after="40" w:line="220" w:lineRule="exact"/>
              <w:ind w:left="113" w:right="38"/>
              <w:jc w:val="right"/>
              <w:rPr>
                <w:rFonts w:eastAsia="MS Mincho"/>
                <w:sz w:val="18"/>
                <w:lang w:eastAsia="de-DE"/>
              </w:rPr>
            </w:pPr>
          </w:p>
        </w:tc>
      </w:tr>
      <w:tr w:rsidR="00173478" w:rsidRPr="008E28A6" w14:paraId="775498F7" w14:textId="77777777" w:rsidTr="00173478">
        <w:trPr>
          <w:trHeight w:val="284"/>
        </w:trPr>
        <w:tc>
          <w:tcPr>
            <w:tcW w:w="3544" w:type="dxa"/>
          </w:tcPr>
          <w:p w14:paraId="6DF95E31" w14:textId="77777777" w:rsidR="00173478" w:rsidRPr="008E28A6" w:rsidRDefault="00173478" w:rsidP="00173478">
            <w:pPr>
              <w:suppressAutoHyphens w:val="0"/>
              <w:spacing w:before="40" w:after="40" w:line="220" w:lineRule="exact"/>
              <w:ind w:right="38"/>
              <w:rPr>
                <w:rFonts w:eastAsia="Arial Unicode MS"/>
                <w:sz w:val="18"/>
                <w:lang w:eastAsia="de-DE"/>
              </w:rPr>
            </w:pPr>
            <w:r w:rsidRPr="008E28A6">
              <w:rPr>
                <w:rFonts w:eastAsia="MS Mincho"/>
                <w:sz w:val="18"/>
                <w:lang w:eastAsia="de-DE"/>
              </w:rPr>
              <w:t>Interpretation</w:t>
            </w:r>
            <w:r w:rsidRPr="008E28A6">
              <w:rPr>
                <w:rFonts w:eastAsia="MS Mincho"/>
                <w:i/>
                <w:sz w:val="18"/>
                <w:vertAlign w:val="superscript"/>
                <w:lang w:eastAsia="de-DE"/>
              </w:rPr>
              <w:t>a</w:t>
            </w:r>
          </w:p>
        </w:tc>
        <w:tc>
          <w:tcPr>
            <w:tcW w:w="1653" w:type="dxa"/>
            <w:vAlign w:val="center"/>
          </w:tcPr>
          <w:p w14:paraId="129F7A1C"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1 175 300</w:t>
            </w:r>
          </w:p>
        </w:tc>
        <w:tc>
          <w:tcPr>
            <w:tcW w:w="1653" w:type="dxa"/>
            <w:vAlign w:val="center"/>
          </w:tcPr>
          <w:p w14:paraId="0B1C44D7"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1 210 600</w:t>
            </w:r>
          </w:p>
        </w:tc>
        <w:tc>
          <w:tcPr>
            <w:tcW w:w="1654" w:type="dxa"/>
            <w:vAlign w:val="center"/>
          </w:tcPr>
          <w:p w14:paraId="56899637"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2 385 900</w:t>
            </w:r>
          </w:p>
        </w:tc>
      </w:tr>
      <w:tr w:rsidR="00173478" w:rsidRPr="008E28A6" w14:paraId="7C399A3A" w14:textId="77777777" w:rsidTr="00173478">
        <w:trPr>
          <w:trHeight w:val="284"/>
        </w:trPr>
        <w:tc>
          <w:tcPr>
            <w:tcW w:w="3544" w:type="dxa"/>
          </w:tcPr>
          <w:p w14:paraId="037D2589" w14:textId="77777777" w:rsidR="00173478" w:rsidRPr="008E28A6" w:rsidRDefault="00173478" w:rsidP="00173478">
            <w:pPr>
              <w:suppressAutoHyphens w:val="0"/>
              <w:spacing w:before="40" w:after="40" w:line="220" w:lineRule="exact"/>
              <w:ind w:right="38"/>
              <w:rPr>
                <w:rFonts w:eastAsia="Arial Unicode MS"/>
                <w:bCs/>
                <w:sz w:val="18"/>
                <w:lang w:eastAsia="de-DE"/>
              </w:rPr>
            </w:pPr>
            <w:r w:rsidRPr="008E28A6">
              <w:rPr>
                <w:rFonts w:eastAsia="MS Mincho"/>
                <w:sz w:val="18"/>
                <w:lang w:eastAsia="de-DE"/>
              </w:rPr>
              <w:t>Documentation</w:t>
            </w:r>
            <w:r w:rsidRPr="008E28A6">
              <w:rPr>
                <w:rFonts w:eastAsia="MS Mincho"/>
                <w:i/>
                <w:sz w:val="18"/>
                <w:vertAlign w:val="superscript"/>
                <w:lang w:eastAsia="de-DE"/>
              </w:rPr>
              <w:t>b</w:t>
            </w:r>
          </w:p>
        </w:tc>
        <w:tc>
          <w:tcPr>
            <w:tcW w:w="1653" w:type="dxa"/>
            <w:vAlign w:val="center"/>
          </w:tcPr>
          <w:p w14:paraId="73159829" w14:textId="77777777" w:rsidR="00173478" w:rsidRPr="008E28A6" w:rsidRDefault="00173478" w:rsidP="00173478">
            <w:pPr>
              <w:suppressAutoHyphens w:val="0"/>
              <w:spacing w:line="240" w:lineRule="auto"/>
              <w:ind w:right="38"/>
              <w:jc w:val="right"/>
              <w:rPr>
                <w:rFonts w:eastAsia="MS Mincho"/>
                <w:sz w:val="18"/>
                <w:szCs w:val="18"/>
                <w:lang w:eastAsia="de-DE"/>
              </w:rPr>
            </w:pPr>
          </w:p>
        </w:tc>
        <w:tc>
          <w:tcPr>
            <w:tcW w:w="1653" w:type="dxa"/>
            <w:vAlign w:val="center"/>
          </w:tcPr>
          <w:p w14:paraId="1E7B6138" w14:textId="77777777" w:rsidR="00173478" w:rsidRPr="008E28A6" w:rsidRDefault="00173478" w:rsidP="00173478">
            <w:pPr>
              <w:suppressAutoHyphens w:val="0"/>
              <w:spacing w:line="240" w:lineRule="auto"/>
              <w:ind w:right="38"/>
              <w:jc w:val="right"/>
              <w:rPr>
                <w:rFonts w:eastAsia="MS Mincho"/>
                <w:sz w:val="18"/>
                <w:szCs w:val="18"/>
                <w:lang w:eastAsia="de-DE"/>
              </w:rPr>
            </w:pPr>
          </w:p>
        </w:tc>
        <w:tc>
          <w:tcPr>
            <w:tcW w:w="1654" w:type="dxa"/>
            <w:vAlign w:val="center"/>
          </w:tcPr>
          <w:p w14:paraId="7E4D72CA" w14:textId="77777777" w:rsidR="00173478" w:rsidRPr="008E28A6" w:rsidRDefault="00173478" w:rsidP="00173478">
            <w:pPr>
              <w:suppressAutoHyphens w:val="0"/>
              <w:spacing w:line="240" w:lineRule="auto"/>
              <w:ind w:right="38"/>
              <w:jc w:val="right"/>
              <w:rPr>
                <w:rFonts w:eastAsia="MS Mincho"/>
                <w:sz w:val="18"/>
                <w:szCs w:val="18"/>
                <w:lang w:eastAsia="de-DE"/>
              </w:rPr>
            </w:pPr>
          </w:p>
        </w:tc>
      </w:tr>
      <w:tr w:rsidR="00173478" w:rsidRPr="008E28A6" w14:paraId="205F2D7B" w14:textId="77777777" w:rsidTr="00173478">
        <w:trPr>
          <w:trHeight w:val="284"/>
        </w:trPr>
        <w:tc>
          <w:tcPr>
            <w:tcW w:w="3544" w:type="dxa"/>
          </w:tcPr>
          <w:p w14:paraId="48DEA42C" w14:textId="77777777" w:rsidR="00173478" w:rsidRPr="008E28A6" w:rsidRDefault="00173478" w:rsidP="00173478">
            <w:pPr>
              <w:suppressAutoHyphens w:val="0"/>
              <w:spacing w:before="40" w:after="40" w:line="220" w:lineRule="exact"/>
              <w:ind w:left="266" w:right="38"/>
              <w:rPr>
                <w:rFonts w:eastAsia="Arial Unicode MS"/>
                <w:sz w:val="18"/>
                <w:lang w:eastAsia="de-DE"/>
              </w:rPr>
            </w:pPr>
            <w:r w:rsidRPr="008E28A6">
              <w:rPr>
                <w:rFonts w:eastAsia="MS Mincho"/>
                <w:sz w:val="18"/>
                <w:lang w:eastAsia="de-DE"/>
              </w:rPr>
              <w:t>Translation</w:t>
            </w:r>
          </w:p>
        </w:tc>
        <w:tc>
          <w:tcPr>
            <w:tcW w:w="1653" w:type="dxa"/>
            <w:tcBorders>
              <w:bottom w:val="nil"/>
            </w:tcBorders>
            <w:vAlign w:val="center"/>
          </w:tcPr>
          <w:p w14:paraId="204D04A0"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1 944 800</w:t>
            </w:r>
          </w:p>
        </w:tc>
        <w:tc>
          <w:tcPr>
            <w:tcW w:w="1653" w:type="dxa"/>
            <w:tcBorders>
              <w:bottom w:val="nil"/>
            </w:tcBorders>
            <w:vAlign w:val="center"/>
          </w:tcPr>
          <w:p w14:paraId="45B74365"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2 003 100</w:t>
            </w:r>
          </w:p>
        </w:tc>
        <w:tc>
          <w:tcPr>
            <w:tcW w:w="1654" w:type="dxa"/>
            <w:tcBorders>
              <w:bottom w:val="nil"/>
            </w:tcBorders>
            <w:vAlign w:val="center"/>
          </w:tcPr>
          <w:p w14:paraId="22A1484B" w14:textId="6F2F0CF4" w:rsidR="00173478" w:rsidRPr="008E28A6" w:rsidRDefault="0051664A" w:rsidP="00173478">
            <w:pPr>
              <w:suppressAutoHyphens w:val="0"/>
              <w:spacing w:line="240" w:lineRule="auto"/>
              <w:ind w:right="38"/>
              <w:jc w:val="right"/>
              <w:rPr>
                <w:rFonts w:eastAsia="MS Mincho"/>
                <w:sz w:val="18"/>
                <w:szCs w:val="18"/>
                <w:lang w:eastAsia="de-DE"/>
              </w:rPr>
            </w:pPr>
            <w:r>
              <w:rPr>
                <w:rFonts w:eastAsia="MS Mincho"/>
                <w:sz w:val="18"/>
                <w:szCs w:val="18"/>
                <w:lang w:eastAsia="de-DE"/>
              </w:rPr>
              <w:t xml:space="preserve"> </w:t>
            </w:r>
            <w:r w:rsidR="00173478" w:rsidRPr="008E28A6">
              <w:rPr>
                <w:rFonts w:eastAsia="MS Mincho"/>
                <w:sz w:val="18"/>
                <w:szCs w:val="18"/>
                <w:lang w:eastAsia="de-DE"/>
              </w:rPr>
              <w:t>3 947 900</w:t>
            </w:r>
          </w:p>
        </w:tc>
      </w:tr>
      <w:tr w:rsidR="00173478" w:rsidRPr="008E28A6" w14:paraId="257EED24" w14:textId="77777777" w:rsidTr="00173478">
        <w:trPr>
          <w:trHeight w:val="284"/>
        </w:trPr>
        <w:tc>
          <w:tcPr>
            <w:tcW w:w="3544" w:type="dxa"/>
            <w:tcBorders>
              <w:bottom w:val="nil"/>
            </w:tcBorders>
          </w:tcPr>
          <w:p w14:paraId="7E607F0D" w14:textId="77777777" w:rsidR="00173478" w:rsidRPr="008E28A6" w:rsidRDefault="00173478" w:rsidP="00173478">
            <w:pPr>
              <w:suppressAutoHyphens w:val="0"/>
              <w:spacing w:before="40" w:after="40" w:line="220" w:lineRule="exact"/>
              <w:ind w:left="266" w:right="38"/>
              <w:rPr>
                <w:rFonts w:eastAsia="Arial Unicode MS"/>
                <w:sz w:val="18"/>
                <w:lang w:eastAsia="de-DE"/>
              </w:rPr>
            </w:pPr>
            <w:r w:rsidRPr="008E28A6">
              <w:rPr>
                <w:rFonts w:eastAsia="MS Mincho"/>
                <w:sz w:val="18"/>
                <w:lang w:eastAsia="de-DE"/>
              </w:rPr>
              <w:t>Reproduction and distribution</w:t>
            </w:r>
          </w:p>
        </w:tc>
        <w:tc>
          <w:tcPr>
            <w:tcW w:w="1653" w:type="dxa"/>
            <w:tcBorders>
              <w:top w:val="nil"/>
              <w:bottom w:val="nil"/>
            </w:tcBorders>
            <w:vAlign w:val="center"/>
          </w:tcPr>
          <w:p w14:paraId="56F71ED7"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668 300</w:t>
            </w:r>
          </w:p>
        </w:tc>
        <w:tc>
          <w:tcPr>
            <w:tcW w:w="1653" w:type="dxa"/>
            <w:tcBorders>
              <w:top w:val="nil"/>
              <w:bottom w:val="nil"/>
            </w:tcBorders>
            <w:vAlign w:val="center"/>
          </w:tcPr>
          <w:p w14:paraId="61670787"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668 400</w:t>
            </w:r>
          </w:p>
        </w:tc>
        <w:tc>
          <w:tcPr>
            <w:tcW w:w="1654" w:type="dxa"/>
            <w:tcBorders>
              <w:top w:val="nil"/>
              <w:bottom w:val="nil"/>
            </w:tcBorders>
            <w:vAlign w:val="center"/>
          </w:tcPr>
          <w:p w14:paraId="4898B5B0"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1 336 700</w:t>
            </w:r>
          </w:p>
        </w:tc>
      </w:tr>
      <w:tr w:rsidR="00173478" w:rsidRPr="008E28A6" w14:paraId="55A2B256" w14:textId="77777777" w:rsidTr="00173478">
        <w:trPr>
          <w:trHeight w:val="284"/>
        </w:trPr>
        <w:tc>
          <w:tcPr>
            <w:tcW w:w="3544" w:type="dxa"/>
            <w:tcBorders>
              <w:top w:val="nil"/>
              <w:bottom w:val="nil"/>
            </w:tcBorders>
          </w:tcPr>
          <w:p w14:paraId="115C4D81" w14:textId="77777777" w:rsidR="00173478" w:rsidRPr="008E28A6" w:rsidRDefault="00173478" w:rsidP="00173478">
            <w:pPr>
              <w:suppressAutoHyphens w:val="0"/>
              <w:spacing w:before="40" w:after="40" w:line="220" w:lineRule="exact"/>
              <w:ind w:right="38"/>
              <w:rPr>
                <w:rFonts w:eastAsia="Arial Unicode MS"/>
                <w:sz w:val="18"/>
                <w:lang w:eastAsia="de-DE"/>
              </w:rPr>
            </w:pPr>
            <w:r w:rsidRPr="008E28A6">
              <w:rPr>
                <w:rFonts w:eastAsia="MS Mincho"/>
                <w:sz w:val="18"/>
                <w:lang w:eastAsia="de-DE"/>
              </w:rPr>
              <w:t>Meetings services support</w:t>
            </w:r>
            <w:r w:rsidRPr="008E28A6">
              <w:rPr>
                <w:rFonts w:eastAsia="MS Mincho"/>
                <w:i/>
                <w:sz w:val="18"/>
                <w:vertAlign w:val="superscript"/>
                <w:lang w:eastAsia="de-DE"/>
              </w:rPr>
              <w:t>c</w:t>
            </w:r>
          </w:p>
        </w:tc>
        <w:tc>
          <w:tcPr>
            <w:tcW w:w="1653" w:type="dxa"/>
            <w:tcBorders>
              <w:top w:val="nil"/>
              <w:bottom w:val="nil"/>
            </w:tcBorders>
            <w:vAlign w:val="center"/>
          </w:tcPr>
          <w:p w14:paraId="1D161606"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249 000</w:t>
            </w:r>
          </w:p>
        </w:tc>
        <w:tc>
          <w:tcPr>
            <w:tcW w:w="1653" w:type="dxa"/>
            <w:tcBorders>
              <w:top w:val="nil"/>
              <w:bottom w:val="nil"/>
            </w:tcBorders>
            <w:vAlign w:val="center"/>
          </w:tcPr>
          <w:p w14:paraId="73579495"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276 400</w:t>
            </w:r>
          </w:p>
        </w:tc>
        <w:tc>
          <w:tcPr>
            <w:tcW w:w="1654" w:type="dxa"/>
            <w:tcBorders>
              <w:top w:val="nil"/>
              <w:bottom w:val="nil"/>
            </w:tcBorders>
            <w:vAlign w:val="center"/>
          </w:tcPr>
          <w:p w14:paraId="01EBFF02"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525 400</w:t>
            </w:r>
          </w:p>
        </w:tc>
      </w:tr>
      <w:tr w:rsidR="00173478" w:rsidRPr="008E28A6" w14:paraId="4B57155E" w14:textId="77777777" w:rsidTr="00173478">
        <w:trPr>
          <w:trHeight w:val="284"/>
        </w:trPr>
        <w:tc>
          <w:tcPr>
            <w:tcW w:w="3544" w:type="dxa"/>
            <w:tcBorders>
              <w:top w:val="nil"/>
              <w:bottom w:val="single" w:sz="4" w:space="0" w:color="auto"/>
            </w:tcBorders>
          </w:tcPr>
          <w:p w14:paraId="5DA07971" w14:textId="77777777" w:rsidR="00173478" w:rsidRPr="008E28A6" w:rsidRDefault="00173478" w:rsidP="00173478">
            <w:pPr>
              <w:suppressAutoHyphens w:val="0"/>
              <w:spacing w:before="40" w:after="40" w:line="220" w:lineRule="exact"/>
              <w:ind w:left="266" w:right="38"/>
              <w:rPr>
                <w:rFonts w:eastAsia="Arial Unicode MS"/>
                <w:b/>
                <w:bCs/>
                <w:sz w:val="18"/>
                <w:lang w:eastAsia="de-DE"/>
              </w:rPr>
            </w:pPr>
            <w:r w:rsidRPr="008E28A6">
              <w:rPr>
                <w:rFonts w:eastAsia="MS Mincho"/>
                <w:b/>
                <w:bCs/>
                <w:sz w:val="18"/>
                <w:lang w:eastAsia="de-DE"/>
              </w:rPr>
              <w:t>Subtotal</w:t>
            </w:r>
          </w:p>
        </w:tc>
        <w:tc>
          <w:tcPr>
            <w:tcW w:w="1653" w:type="dxa"/>
            <w:tcBorders>
              <w:top w:val="nil"/>
              <w:bottom w:val="single" w:sz="4" w:space="0" w:color="auto"/>
            </w:tcBorders>
            <w:vAlign w:val="center"/>
          </w:tcPr>
          <w:p w14:paraId="705FB99E" w14:textId="77777777" w:rsidR="00173478" w:rsidRPr="008E28A6" w:rsidRDefault="00173478" w:rsidP="00173478">
            <w:pPr>
              <w:suppressAutoHyphens w:val="0"/>
              <w:spacing w:line="240" w:lineRule="auto"/>
              <w:ind w:right="38"/>
              <w:jc w:val="right"/>
              <w:rPr>
                <w:rFonts w:eastAsia="MS Mincho"/>
                <w:b/>
                <w:bCs/>
                <w:sz w:val="18"/>
                <w:szCs w:val="18"/>
                <w:lang w:eastAsia="de-DE"/>
              </w:rPr>
            </w:pPr>
            <w:r w:rsidRPr="008E28A6">
              <w:rPr>
                <w:rFonts w:eastAsia="MS Mincho"/>
                <w:b/>
                <w:bCs/>
                <w:sz w:val="18"/>
                <w:szCs w:val="18"/>
                <w:lang w:eastAsia="de-DE"/>
              </w:rPr>
              <w:t xml:space="preserve"> 4 037 400</w:t>
            </w:r>
          </w:p>
        </w:tc>
        <w:tc>
          <w:tcPr>
            <w:tcW w:w="1653" w:type="dxa"/>
            <w:tcBorders>
              <w:top w:val="nil"/>
              <w:bottom w:val="single" w:sz="4" w:space="0" w:color="auto"/>
            </w:tcBorders>
            <w:vAlign w:val="center"/>
          </w:tcPr>
          <w:p w14:paraId="2360CCE0" w14:textId="77777777" w:rsidR="00173478" w:rsidRPr="008E28A6" w:rsidRDefault="00173478" w:rsidP="00173478">
            <w:pPr>
              <w:suppressAutoHyphens w:val="0"/>
              <w:spacing w:line="240" w:lineRule="auto"/>
              <w:ind w:right="38"/>
              <w:jc w:val="right"/>
              <w:rPr>
                <w:rFonts w:eastAsia="MS Mincho"/>
                <w:b/>
                <w:bCs/>
                <w:sz w:val="18"/>
                <w:szCs w:val="18"/>
                <w:lang w:eastAsia="de-DE"/>
              </w:rPr>
            </w:pPr>
            <w:r w:rsidRPr="008E28A6">
              <w:rPr>
                <w:rFonts w:eastAsia="MS Mincho"/>
                <w:b/>
                <w:bCs/>
                <w:sz w:val="18"/>
                <w:szCs w:val="18"/>
                <w:lang w:eastAsia="de-DE"/>
              </w:rPr>
              <w:t xml:space="preserve"> 4 158 500</w:t>
            </w:r>
          </w:p>
        </w:tc>
        <w:tc>
          <w:tcPr>
            <w:tcW w:w="1654" w:type="dxa"/>
            <w:tcBorders>
              <w:top w:val="nil"/>
              <w:bottom w:val="single" w:sz="4" w:space="0" w:color="auto"/>
            </w:tcBorders>
            <w:vAlign w:val="center"/>
          </w:tcPr>
          <w:p w14:paraId="53A06532" w14:textId="77777777" w:rsidR="00173478" w:rsidRPr="008E28A6" w:rsidRDefault="00173478" w:rsidP="00173478">
            <w:pPr>
              <w:suppressAutoHyphens w:val="0"/>
              <w:spacing w:line="240" w:lineRule="auto"/>
              <w:ind w:right="38"/>
              <w:jc w:val="right"/>
              <w:rPr>
                <w:rFonts w:eastAsia="MS Mincho"/>
                <w:b/>
                <w:bCs/>
                <w:sz w:val="18"/>
                <w:szCs w:val="18"/>
                <w:lang w:eastAsia="de-DE"/>
              </w:rPr>
            </w:pPr>
            <w:r w:rsidRPr="008E28A6">
              <w:rPr>
                <w:rFonts w:eastAsia="MS Mincho"/>
                <w:b/>
                <w:bCs/>
                <w:sz w:val="18"/>
                <w:szCs w:val="18"/>
                <w:lang w:eastAsia="de-DE"/>
              </w:rPr>
              <w:t xml:space="preserve"> 8 195 900</w:t>
            </w:r>
          </w:p>
        </w:tc>
      </w:tr>
      <w:tr w:rsidR="00173478" w:rsidRPr="008E28A6" w14:paraId="1123267F" w14:textId="77777777" w:rsidTr="00173478">
        <w:trPr>
          <w:trHeight w:val="284"/>
        </w:trPr>
        <w:tc>
          <w:tcPr>
            <w:tcW w:w="3544" w:type="dxa"/>
            <w:tcBorders>
              <w:top w:val="single" w:sz="4" w:space="0" w:color="auto"/>
              <w:bottom w:val="nil"/>
            </w:tcBorders>
          </w:tcPr>
          <w:p w14:paraId="66DB87B2" w14:textId="77777777" w:rsidR="00173478" w:rsidRPr="008E28A6" w:rsidRDefault="00173478" w:rsidP="00173478">
            <w:pPr>
              <w:suppressAutoHyphens w:val="0"/>
              <w:spacing w:before="40" w:after="40" w:line="220" w:lineRule="exact"/>
              <w:ind w:right="38"/>
              <w:rPr>
                <w:rFonts w:eastAsia="Arial Unicode MS"/>
                <w:sz w:val="18"/>
                <w:lang w:eastAsia="de-DE"/>
              </w:rPr>
            </w:pPr>
            <w:r w:rsidRPr="008E28A6">
              <w:rPr>
                <w:rFonts w:eastAsia="MS Mincho"/>
                <w:sz w:val="18"/>
                <w:lang w:eastAsia="de-DE"/>
              </w:rPr>
              <w:t>Programme support costs</w:t>
            </w:r>
          </w:p>
        </w:tc>
        <w:tc>
          <w:tcPr>
            <w:tcW w:w="1653" w:type="dxa"/>
            <w:tcBorders>
              <w:top w:val="single" w:sz="4" w:space="0" w:color="auto"/>
              <w:bottom w:val="nil"/>
            </w:tcBorders>
            <w:vAlign w:val="center"/>
          </w:tcPr>
          <w:p w14:paraId="0EF19B9F"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524 900</w:t>
            </w:r>
          </w:p>
        </w:tc>
        <w:tc>
          <w:tcPr>
            <w:tcW w:w="1653" w:type="dxa"/>
            <w:tcBorders>
              <w:top w:val="single" w:sz="4" w:space="0" w:color="auto"/>
              <w:bottom w:val="nil"/>
            </w:tcBorders>
            <w:vAlign w:val="center"/>
          </w:tcPr>
          <w:p w14:paraId="65EBE213"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540 600</w:t>
            </w:r>
          </w:p>
        </w:tc>
        <w:tc>
          <w:tcPr>
            <w:tcW w:w="1654" w:type="dxa"/>
            <w:tcBorders>
              <w:top w:val="single" w:sz="4" w:space="0" w:color="auto"/>
              <w:bottom w:val="nil"/>
            </w:tcBorders>
            <w:vAlign w:val="center"/>
          </w:tcPr>
          <w:p w14:paraId="254CDF67"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1 065 500</w:t>
            </w:r>
          </w:p>
        </w:tc>
      </w:tr>
      <w:tr w:rsidR="00173478" w:rsidRPr="008E28A6" w14:paraId="34924D43" w14:textId="77777777" w:rsidTr="00173478">
        <w:trPr>
          <w:trHeight w:val="284"/>
        </w:trPr>
        <w:tc>
          <w:tcPr>
            <w:tcW w:w="3544" w:type="dxa"/>
            <w:tcBorders>
              <w:top w:val="nil"/>
              <w:bottom w:val="single" w:sz="4" w:space="0" w:color="auto"/>
            </w:tcBorders>
          </w:tcPr>
          <w:p w14:paraId="0C8892D5" w14:textId="77777777" w:rsidR="00173478" w:rsidRPr="008E28A6" w:rsidRDefault="00173478" w:rsidP="00173478">
            <w:pPr>
              <w:suppressAutoHyphens w:val="0"/>
              <w:spacing w:before="40" w:after="40" w:line="220" w:lineRule="exact"/>
              <w:ind w:right="38"/>
              <w:rPr>
                <w:rFonts w:eastAsia="Arial Unicode MS"/>
                <w:sz w:val="18"/>
                <w:lang w:eastAsia="de-DE"/>
              </w:rPr>
            </w:pPr>
            <w:r w:rsidRPr="008E28A6">
              <w:rPr>
                <w:rFonts w:eastAsia="MS Mincho"/>
                <w:sz w:val="18"/>
                <w:lang w:eastAsia="de-DE"/>
              </w:rPr>
              <w:t>Working capital reserve</w:t>
            </w:r>
          </w:p>
        </w:tc>
        <w:tc>
          <w:tcPr>
            <w:tcW w:w="1653" w:type="dxa"/>
            <w:tcBorders>
              <w:top w:val="nil"/>
              <w:bottom w:val="single" w:sz="4" w:space="0" w:color="auto"/>
            </w:tcBorders>
            <w:vAlign w:val="center"/>
          </w:tcPr>
          <w:p w14:paraId="6E75ADCC"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378 700</w:t>
            </w:r>
          </w:p>
        </w:tc>
        <w:tc>
          <w:tcPr>
            <w:tcW w:w="1653" w:type="dxa"/>
            <w:tcBorders>
              <w:top w:val="nil"/>
              <w:bottom w:val="single" w:sz="4" w:space="0" w:color="auto"/>
            </w:tcBorders>
            <w:vAlign w:val="center"/>
          </w:tcPr>
          <w:p w14:paraId="339962B2"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11 300</w:t>
            </w:r>
          </w:p>
        </w:tc>
        <w:tc>
          <w:tcPr>
            <w:tcW w:w="1654" w:type="dxa"/>
            <w:tcBorders>
              <w:top w:val="nil"/>
              <w:bottom w:val="single" w:sz="4" w:space="0" w:color="auto"/>
            </w:tcBorders>
            <w:vAlign w:val="center"/>
          </w:tcPr>
          <w:p w14:paraId="1E6C1C9C" w14:textId="77777777" w:rsidR="00173478" w:rsidRPr="008E28A6" w:rsidRDefault="00173478" w:rsidP="00173478">
            <w:pPr>
              <w:suppressAutoHyphens w:val="0"/>
              <w:spacing w:line="240" w:lineRule="auto"/>
              <w:ind w:right="38"/>
              <w:jc w:val="right"/>
              <w:rPr>
                <w:rFonts w:eastAsia="MS Mincho"/>
                <w:sz w:val="18"/>
                <w:szCs w:val="18"/>
                <w:lang w:eastAsia="de-DE"/>
              </w:rPr>
            </w:pPr>
            <w:r w:rsidRPr="008E28A6">
              <w:rPr>
                <w:rFonts w:eastAsia="MS Mincho"/>
                <w:sz w:val="18"/>
                <w:szCs w:val="18"/>
                <w:lang w:eastAsia="de-DE"/>
              </w:rPr>
              <w:t xml:space="preserve"> 390 000</w:t>
            </w:r>
          </w:p>
        </w:tc>
      </w:tr>
      <w:tr w:rsidR="00173478" w:rsidRPr="008E28A6" w14:paraId="2D98FCD0" w14:textId="77777777" w:rsidTr="00173478">
        <w:trPr>
          <w:trHeight w:val="80"/>
        </w:trPr>
        <w:tc>
          <w:tcPr>
            <w:tcW w:w="3544" w:type="dxa"/>
            <w:tcBorders>
              <w:top w:val="single" w:sz="4" w:space="0" w:color="auto"/>
              <w:bottom w:val="single" w:sz="12" w:space="0" w:color="auto"/>
            </w:tcBorders>
          </w:tcPr>
          <w:p w14:paraId="6BAACCD8" w14:textId="77777777" w:rsidR="00173478" w:rsidRPr="008E28A6" w:rsidRDefault="00173478" w:rsidP="00173478">
            <w:pPr>
              <w:tabs>
                <w:tab w:val="center" w:pos="1189"/>
              </w:tabs>
              <w:suppressAutoHyphens w:val="0"/>
              <w:spacing w:before="40" w:after="40" w:line="220" w:lineRule="exact"/>
              <w:ind w:left="266" w:right="38"/>
              <w:rPr>
                <w:rFonts w:eastAsia="Arial Unicode MS"/>
                <w:b/>
                <w:bCs/>
                <w:sz w:val="18"/>
                <w:lang w:eastAsia="de-DE"/>
              </w:rPr>
            </w:pPr>
            <w:r w:rsidRPr="008E28A6">
              <w:rPr>
                <w:rFonts w:eastAsia="MS Mincho"/>
                <w:b/>
                <w:bCs/>
                <w:sz w:val="18"/>
                <w:lang w:eastAsia="de-DE"/>
              </w:rPr>
              <w:t>Total</w:t>
            </w:r>
          </w:p>
        </w:tc>
        <w:tc>
          <w:tcPr>
            <w:tcW w:w="1653" w:type="dxa"/>
            <w:tcBorders>
              <w:top w:val="single" w:sz="4" w:space="0" w:color="auto"/>
              <w:bottom w:val="single" w:sz="12" w:space="0" w:color="auto"/>
            </w:tcBorders>
            <w:vAlign w:val="center"/>
          </w:tcPr>
          <w:p w14:paraId="12815B94" w14:textId="77777777" w:rsidR="00173478" w:rsidRPr="008E28A6" w:rsidRDefault="00173478" w:rsidP="00173478">
            <w:pPr>
              <w:suppressAutoHyphens w:val="0"/>
              <w:spacing w:line="240" w:lineRule="auto"/>
              <w:ind w:right="38"/>
              <w:jc w:val="right"/>
              <w:rPr>
                <w:rFonts w:eastAsia="MS Mincho"/>
                <w:b/>
                <w:bCs/>
                <w:sz w:val="18"/>
                <w:szCs w:val="18"/>
                <w:lang w:eastAsia="de-DE"/>
              </w:rPr>
            </w:pPr>
            <w:r w:rsidRPr="008E28A6">
              <w:rPr>
                <w:rFonts w:eastAsia="MS Mincho"/>
                <w:b/>
                <w:bCs/>
                <w:sz w:val="18"/>
                <w:szCs w:val="18"/>
                <w:lang w:eastAsia="de-DE"/>
              </w:rPr>
              <w:t xml:space="preserve"> 4 941 000</w:t>
            </w:r>
          </w:p>
        </w:tc>
        <w:tc>
          <w:tcPr>
            <w:tcW w:w="1653" w:type="dxa"/>
            <w:tcBorders>
              <w:top w:val="single" w:sz="4" w:space="0" w:color="auto"/>
              <w:bottom w:val="single" w:sz="12" w:space="0" w:color="auto"/>
            </w:tcBorders>
            <w:vAlign w:val="center"/>
          </w:tcPr>
          <w:p w14:paraId="07A2FFD5" w14:textId="77777777" w:rsidR="00173478" w:rsidRPr="008E28A6" w:rsidRDefault="00173478" w:rsidP="00173478">
            <w:pPr>
              <w:suppressAutoHyphens w:val="0"/>
              <w:spacing w:line="240" w:lineRule="auto"/>
              <w:ind w:right="38"/>
              <w:jc w:val="right"/>
              <w:rPr>
                <w:rFonts w:eastAsia="MS Mincho"/>
                <w:b/>
                <w:bCs/>
                <w:sz w:val="18"/>
                <w:szCs w:val="18"/>
                <w:lang w:eastAsia="de-DE"/>
              </w:rPr>
            </w:pPr>
            <w:r w:rsidRPr="008E28A6">
              <w:rPr>
                <w:rFonts w:eastAsia="MS Mincho"/>
                <w:b/>
                <w:bCs/>
                <w:sz w:val="18"/>
                <w:szCs w:val="18"/>
                <w:lang w:eastAsia="de-DE"/>
              </w:rPr>
              <w:t xml:space="preserve"> 4 710 400</w:t>
            </w:r>
          </w:p>
        </w:tc>
        <w:tc>
          <w:tcPr>
            <w:tcW w:w="1654" w:type="dxa"/>
            <w:tcBorders>
              <w:top w:val="single" w:sz="4" w:space="0" w:color="auto"/>
              <w:bottom w:val="single" w:sz="12" w:space="0" w:color="auto"/>
            </w:tcBorders>
            <w:vAlign w:val="center"/>
          </w:tcPr>
          <w:p w14:paraId="133D314C" w14:textId="77777777" w:rsidR="00173478" w:rsidRPr="008E28A6" w:rsidRDefault="00173478" w:rsidP="00173478">
            <w:pPr>
              <w:suppressAutoHyphens w:val="0"/>
              <w:spacing w:line="240" w:lineRule="auto"/>
              <w:ind w:right="38"/>
              <w:jc w:val="right"/>
              <w:rPr>
                <w:rFonts w:eastAsia="MS Mincho"/>
                <w:b/>
                <w:bCs/>
                <w:sz w:val="18"/>
                <w:szCs w:val="18"/>
                <w:lang w:eastAsia="de-DE"/>
              </w:rPr>
            </w:pPr>
            <w:r w:rsidRPr="008E28A6">
              <w:rPr>
                <w:rFonts w:eastAsia="MS Mincho"/>
                <w:b/>
                <w:bCs/>
                <w:sz w:val="18"/>
                <w:szCs w:val="18"/>
                <w:lang w:eastAsia="de-DE"/>
              </w:rPr>
              <w:t xml:space="preserve"> 9 651 400</w:t>
            </w:r>
          </w:p>
        </w:tc>
      </w:tr>
    </w:tbl>
    <w:p w14:paraId="612786FC" w14:textId="20194746" w:rsidR="00173478" w:rsidRPr="008E28A6" w:rsidRDefault="000F209A" w:rsidP="000F209A">
      <w:pPr>
        <w:tabs>
          <w:tab w:val="left" w:pos="721"/>
        </w:tabs>
        <w:suppressAutoHyphens w:val="0"/>
        <w:spacing w:before="60" w:line="240" w:lineRule="auto"/>
        <w:ind w:left="1134" w:right="40" w:firstLine="170"/>
        <w:rPr>
          <w:rFonts w:eastAsia="MS Mincho"/>
          <w:sz w:val="18"/>
          <w:lang w:eastAsia="de-DE"/>
        </w:rPr>
      </w:pPr>
      <w:r w:rsidRPr="008E28A6">
        <w:rPr>
          <w:rFonts w:eastAsia="MS Mincho"/>
          <w:i/>
          <w:sz w:val="18"/>
          <w:vertAlign w:val="superscript"/>
          <w:lang w:eastAsia="de-DE"/>
        </w:rPr>
        <w:t xml:space="preserve">a   </w:t>
      </w:r>
      <w:r w:rsidR="00173478" w:rsidRPr="008E28A6">
        <w:rPr>
          <w:rFonts w:eastAsia="MS Mincho"/>
          <w:sz w:val="18"/>
          <w:lang w:eastAsia="de-DE"/>
        </w:rPr>
        <w:t>Includes salaries, travel and daily subsistence allowance for interpreters.</w:t>
      </w:r>
    </w:p>
    <w:p w14:paraId="44726011" w14:textId="52C9BB0A" w:rsidR="00173478" w:rsidRPr="008E28A6" w:rsidRDefault="000F209A" w:rsidP="000F209A">
      <w:pPr>
        <w:tabs>
          <w:tab w:val="left" w:pos="721"/>
        </w:tabs>
        <w:suppressAutoHyphens w:val="0"/>
        <w:spacing w:line="240" w:lineRule="auto"/>
        <w:ind w:left="1134" w:right="1134" w:firstLine="171"/>
        <w:rPr>
          <w:rFonts w:eastAsia="MS Mincho"/>
          <w:sz w:val="18"/>
          <w:lang w:eastAsia="de-DE"/>
        </w:rPr>
      </w:pPr>
      <w:r w:rsidRPr="008E28A6">
        <w:rPr>
          <w:rFonts w:eastAsia="MS Mincho"/>
          <w:i/>
          <w:sz w:val="18"/>
          <w:vertAlign w:val="superscript"/>
          <w:lang w:eastAsia="de-DE"/>
        </w:rPr>
        <w:t xml:space="preserve">b   </w:t>
      </w:r>
      <w:r w:rsidR="00173478" w:rsidRPr="008E28A6">
        <w:rPr>
          <w:rFonts w:eastAsia="MS Mincho"/>
          <w:sz w:val="18"/>
          <w:lang w:eastAsia="de-DE"/>
        </w:rPr>
        <w:t>Includes all costs related to the processing of pre-, in- and post-session documentation; translation costs include revision and typing of documents.</w:t>
      </w:r>
    </w:p>
    <w:p w14:paraId="72DC42F1" w14:textId="233C13A1" w:rsidR="00173478" w:rsidRPr="008E28A6" w:rsidRDefault="000F209A" w:rsidP="000F209A">
      <w:pPr>
        <w:tabs>
          <w:tab w:val="left" w:pos="721"/>
        </w:tabs>
        <w:suppressAutoHyphens w:val="0"/>
        <w:spacing w:line="240" w:lineRule="auto"/>
        <w:ind w:left="1134" w:right="1134" w:firstLine="171"/>
        <w:rPr>
          <w:rFonts w:eastAsia="MS Mincho"/>
          <w:sz w:val="18"/>
          <w:lang w:eastAsia="de-DE"/>
        </w:rPr>
      </w:pPr>
      <w:r w:rsidRPr="008E28A6">
        <w:rPr>
          <w:rFonts w:eastAsia="MS Mincho"/>
          <w:i/>
          <w:sz w:val="18"/>
          <w:vertAlign w:val="superscript"/>
          <w:lang w:eastAsia="de-DE"/>
        </w:rPr>
        <w:t xml:space="preserve">c   </w:t>
      </w:r>
      <w:r w:rsidR="00173478" w:rsidRPr="008E28A6">
        <w:rPr>
          <w:rFonts w:eastAsia="MS Mincho"/>
          <w:sz w:val="18"/>
          <w:lang w:eastAsia="de-DE"/>
        </w:rPr>
        <w:t>Includes salaries, travel and daily subsistence allowance for meetings services support staff and costs of shipment and telecommunications.</w:t>
      </w:r>
    </w:p>
    <w:p w14:paraId="0700FE6E" w14:textId="77777777" w:rsidR="00173478" w:rsidRPr="00E63A73" w:rsidRDefault="00173478" w:rsidP="00173478">
      <w:pPr>
        <w:suppressAutoHyphens w:val="0"/>
        <w:spacing w:before="120" w:line="240" w:lineRule="auto"/>
        <w:ind w:left="1134" w:right="40"/>
        <w:outlineLvl w:val="0"/>
        <w:rPr>
          <w:rFonts w:eastAsia="MS Mincho"/>
          <w:lang w:eastAsia="de-DE"/>
        </w:rPr>
      </w:pPr>
      <w:bookmarkStart w:id="15" w:name="_Toc318462686"/>
      <w:bookmarkStart w:id="16" w:name="_Toc318462729"/>
      <w:bookmarkStart w:id="17" w:name="_Toc318462921"/>
      <w:bookmarkStart w:id="18" w:name="_Toc318463367"/>
      <w:r w:rsidRPr="00E63A73">
        <w:rPr>
          <w:rFonts w:eastAsia="MS Mincho"/>
          <w:lang w:eastAsia="de-DE"/>
        </w:rPr>
        <w:t xml:space="preserve">Table 4 </w:t>
      </w:r>
      <w:bookmarkEnd w:id="15"/>
      <w:bookmarkEnd w:id="16"/>
      <w:bookmarkEnd w:id="17"/>
      <w:bookmarkEnd w:id="18"/>
    </w:p>
    <w:p w14:paraId="4C2D8492" w14:textId="77777777" w:rsidR="00173478" w:rsidRPr="00E63A73" w:rsidRDefault="00173478" w:rsidP="00173478">
      <w:pPr>
        <w:suppressAutoHyphens w:val="0"/>
        <w:spacing w:after="120" w:line="240" w:lineRule="auto"/>
        <w:ind w:left="1134" w:right="1134"/>
        <w:outlineLvl w:val="0"/>
        <w:rPr>
          <w:rFonts w:eastAsia="MS Mincho"/>
          <w:bCs/>
          <w:lang w:eastAsia="de-DE"/>
        </w:rPr>
      </w:pPr>
      <w:bookmarkStart w:id="19" w:name="_Toc318462687"/>
      <w:bookmarkStart w:id="20" w:name="_Toc318462730"/>
      <w:bookmarkStart w:id="21" w:name="_Toc318462922"/>
      <w:bookmarkStart w:id="22" w:name="_Toc318463368"/>
      <w:r w:rsidRPr="00E63A73">
        <w:rPr>
          <w:rFonts w:eastAsia="MS Mincho"/>
          <w:b/>
          <w:lang w:eastAsia="de-DE"/>
        </w:rPr>
        <w:t xml:space="preserve">Resource requirements for the Trust Fund for Participation in the UNFCCC process in the biennium </w:t>
      </w:r>
      <w:bookmarkStart w:id="23" w:name="_Toc318462688"/>
      <w:bookmarkStart w:id="24" w:name="_Toc318462731"/>
      <w:bookmarkStart w:id="25" w:name="_Toc318462923"/>
      <w:bookmarkStart w:id="26" w:name="_Toc318463369"/>
      <w:bookmarkStart w:id="27" w:name="_Toc290446100"/>
      <w:bookmarkEnd w:id="19"/>
      <w:bookmarkEnd w:id="20"/>
      <w:bookmarkEnd w:id="21"/>
      <w:bookmarkEnd w:id="22"/>
      <w:r w:rsidRPr="00E63A73">
        <w:rPr>
          <w:rFonts w:eastAsia="MS Mincho"/>
          <w:b/>
          <w:lang w:eastAsia="de-DE"/>
        </w:rPr>
        <w:t>2018–2019</w:t>
      </w:r>
    </w:p>
    <w:tbl>
      <w:tblPr>
        <w:tblW w:w="8503" w:type="dxa"/>
        <w:tblInd w:w="1134" w:type="dxa"/>
        <w:tblBorders>
          <w:top w:val="single" w:sz="4" w:space="0" w:color="auto"/>
        </w:tblBorders>
        <w:tblCellMar>
          <w:left w:w="0" w:type="dxa"/>
          <w:right w:w="113" w:type="dxa"/>
        </w:tblCellMar>
        <w:tblLook w:val="0000" w:firstRow="0" w:lastRow="0" w:firstColumn="0" w:lastColumn="0" w:noHBand="0" w:noVBand="0"/>
      </w:tblPr>
      <w:tblGrid>
        <w:gridCol w:w="6514"/>
        <w:gridCol w:w="1989"/>
      </w:tblGrid>
      <w:tr w:rsidR="00173478" w:rsidRPr="008E28A6" w14:paraId="7C574FBE" w14:textId="77777777" w:rsidTr="00173478">
        <w:trPr>
          <w:trHeight w:val="240"/>
          <w:tblHeader/>
        </w:trPr>
        <w:tc>
          <w:tcPr>
            <w:tcW w:w="6514" w:type="dxa"/>
            <w:tcBorders>
              <w:top w:val="single" w:sz="4" w:space="0" w:color="auto"/>
              <w:bottom w:val="single" w:sz="12" w:space="0" w:color="auto"/>
            </w:tcBorders>
            <w:vAlign w:val="bottom"/>
          </w:tcPr>
          <w:p w14:paraId="0943C13D" w14:textId="77777777" w:rsidR="00173478" w:rsidRPr="008E28A6" w:rsidRDefault="00173478" w:rsidP="00173478">
            <w:pPr>
              <w:suppressAutoHyphens w:val="0"/>
              <w:spacing w:before="80" w:after="80" w:line="200" w:lineRule="exact"/>
              <w:ind w:right="38"/>
              <w:rPr>
                <w:rFonts w:eastAsia="MS Mincho"/>
                <w:i/>
                <w:sz w:val="16"/>
                <w:lang w:eastAsia="de-DE"/>
              </w:rPr>
            </w:pPr>
            <w:r w:rsidRPr="008E28A6">
              <w:rPr>
                <w:rFonts w:eastAsia="MS Mincho"/>
                <w:i/>
                <w:sz w:val="16"/>
                <w:lang w:eastAsia="de-DE"/>
              </w:rPr>
              <w:t xml:space="preserve">Sessional options </w:t>
            </w:r>
          </w:p>
        </w:tc>
        <w:tc>
          <w:tcPr>
            <w:tcW w:w="1989" w:type="dxa"/>
            <w:tcBorders>
              <w:top w:val="single" w:sz="4" w:space="0" w:color="auto"/>
              <w:bottom w:val="single" w:sz="12" w:space="0" w:color="auto"/>
            </w:tcBorders>
            <w:vAlign w:val="bottom"/>
          </w:tcPr>
          <w:p w14:paraId="0758FFBB" w14:textId="77777777" w:rsidR="00173478" w:rsidRPr="008E28A6" w:rsidRDefault="00173478" w:rsidP="00173478">
            <w:pPr>
              <w:suppressAutoHyphens w:val="0"/>
              <w:spacing w:before="80" w:after="80" w:line="200" w:lineRule="exact"/>
              <w:ind w:left="113" w:right="38"/>
              <w:jc w:val="right"/>
              <w:rPr>
                <w:rFonts w:eastAsia="MS Mincho"/>
                <w:i/>
                <w:sz w:val="16"/>
                <w:lang w:eastAsia="de-DE"/>
              </w:rPr>
            </w:pPr>
            <w:r w:rsidRPr="008E28A6">
              <w:rPr>
                <w:rFonts w:eastAsia="MS Mincho"/>
                <w:i/>
                <w:sz w:val="16"/>
                <w:lang w:eastAsia="de-DE"/>
              </w:rPr>
              <w:t>Estimated cost (EUR)</w:t>
            </w:r>
          </w:p>
        </w:tc>
      </w:tr>
      <w:tr w:rsidR="00173478" w:rsidRPr="008E28A6" w14:paraId="6D40FF40" w14:textId="77777777" w:rsidTr="00173478">
        <w:trPr>
          <w:trHeight w:val="240"/>
        </w:trPr>
        <w:tc>
          <w:tcPr>
            <w:tcW w:w="6514" w:type="dxa"/>
            <w:tcBorders>
              <w:top w:val="single" w:sz="12" w:space="0" w:color="auto"/>
            </w:tcBorders>
          </w:tcPr>
          <w:p w14:paraId="3C9B2FAC" w14:textId="77777777" w:rsidR="00173478" w:rsidRPr="008E28A6" w:rsidRDefault="00173478" w:rsidP="00173478">
            <w:pPr>
              <w:suppressAutoHyphens w:val="0"/>
              <w:spacing w:before="40" w:after="40" w:line="220" w:lineRule="exact"/>
              <w:ind w:right="38"/>
              <w:rPr>
                <w:rFonts w:eastAsia="MS Mincho"/>
                <w:sz w:val="18"/>
                <w:lang w:eastAsia="de-DE"/>
              </w:rPr>
            </w:pPr>
            <w:r w:rsidRPr="008E28A6">
              <w:rPr>
                <w:rFonts w:eastAsia="MS Mincho"/>
                <w:sz w:val="18"/>
                <w:lang w:eastAsia="en-GB"/>
              </w:rPr>
              <w:t>Option 1: Support for one delegate from each eligible Party to participate in a two-week session organized in Bonn, Germany</w:t>
            </w:r>
          </w:p>
        </w:tc>
        <w:tc>
          <w:tcPr>
            <w:tcW w:w="1989" w:type="dxa"/>
            <w:tcBorders>
              <w:top w:val="single" w:sz="12" w:space="0" w:color="auto"/>
            </w:tcBorders>
            <w:vAlign w:val="bottom"/>
          </w:tcPr>
          <w:p w14:paraId="2880B8DF" w14:textId="77777777" w:rsidR="00173478" w:rsidRPr="008E28A6" w:rsidRDefault="00173478" w:rsidP="00173478">
            <w:pPr>
              <w:suppressAutoHyphens w:val="0"/>
              <w:spacing w:before="40" w:after="40" w:line="220" w:lineRule="exact"/>
              <w:ind w:left="113" w:right="38"/>
              <w:jc w:val="right"/>
              <w:rPr>
                <w:rFonts w:eastAsia="MS Mincho"/>
                <w:sz w:val="18"/>
                <w:lang w:eastAsia="de-DE"/>
              </w:rPr>
            </w:pPr>
            <w:r w:rsidRPr="008E28A6">
              <w:rPr>
                <w:rFonts w:eastAsia="MS Mincho"/>
                <w:sz w:val="18"/>
                <w:lang w:eastAsia="de-DE"/>
              </w:rPr>
              <w:t>1 017 582</w:t>
            </w:r>
          </w:p>
        </w:tc>
      </w:tr>
      <w:tr w:rsidR="00173478" w:rsidRPr="008E28A6" w14:paraId="3FEE3BB6" w14:textId="77777777" w:rsidTr="00173478">
        <w:trPr>
          <w:trHeight w:val="240"/>
        </w:trPr>
        <w:tc>
          <w:tcPr>
            <w:tcW w:w="6514" w:type="dxa"/>
          </w:tcPr>
          <w:p w14:paraId="718D3BF3" w14:textId="77777777" w:rsidR="00173478" w:rsidRPr="008E28A6" w:rsidRDefault="00173478" w:rsidP="00173478">
            <w:pPr>
              <w:suppressAutoHyphens w:val="0"/>
              <w:spacing w:before="40" w:after="40" w:line="220" w:lineRule="exact"/>
              <w:ind w:right="38"/>
              <w:rPr>
                <w:rFonts w:eastAsia="Times New Roman"/>
                <w:color w:val="000000"/>
                <w:sz w:val="18"/>
                <w:szCs w:val="18"/>
                <w:lang w:eastAsia="en-GB"/>
              </w:rPr>
            </w:pPr>
            <w:r w:rsidRPr="008E28A6">
              <w:rPr>
                <w:rFonts w:eastAsia="Times New Roman"/>
                <w:color w:val="000000"/>
                <w:sz w:val="18"/>
                <w:szCs w:val="18"/>
                <w:lang w:eastAsia="en-GB"/>
              </w:rPr>
              <w:t>Option 2: Support for one delegate from each eligible Party plus a second delegate from each of the least developed countries and each small island developing State to participate in a two-week session organized in Bonn</w:t>
            </w:r>
          </w:p>
        </w:tc>
        <w:tc>
          <w:tcPr>
            <w:tcW w:w="1989" w:type="dxa"/>
            <w:vAlign w:val="bottom"/>
          </w:tcPr>
          <w:p w14:paraId="5241C34D" w14:textId="77777777" w:rsidR="00173478" w:rsidRPr="008E28A6" w:rsidRDefault="00173478" w:rsidP="00173478">
            <w:pPr>
              <w:suppressAutoHyphens w:val="0"/>
              <w:spacing w:before="40" w:after="40" w:line="220" w:lineRule="exact"/>
              <w:ind w:left="113" w:right="38"/>
              <w:jc w:val="right"/>
              <w:rPr>
                <w:rFonts w:eastAsia="MS Mincho"/>
                <w:sz w:val="18"/>
                <w:lang w:eastAsia="de-DE"/>
              </w:rPr>
            </w:pPr>
            <w:r w:rsidRPr="008E28A6">
              <w:rPr>
                <w:rFonts w:eastAsia="MS Mincho"/>
                <w:sz w:val="18"/>
                <w:lang w:eastAsia="de-DE"/>
              </w:rPr>
              <w:t>1 561 042</w:t>
            </w:r>
          </w:p>
        </w:tc>
      </w:tr>
      <w:tr w:rsidR="00173478" w:rsidRPr="008E28A6" w14:paraId="14CAA419" w14:textId="77777777" w:rsidTr="00173478">
        <w:trPr>
          <w:trHeight w:val="240"/>
        </w:trPr>
        <w:tc>
          <w:tcPr>
            <w:tcW w:w="6514" w:type="dxa"/>
          </w:tcPr>
          <w:p w14:paraId="31758DAF" w14:textId="77777777" w:rsidR="00173478" w:rsidRPr="008E28A6" w:rsidRDefault="00173478" w:rsidP="00173478">
            <w:pPr>
              <w:suppressAutoHyphens w:val="0"/>
              <w:spacing w:before="40" w:after="40" w:line="220" w:lineRule="exact"/>
              <w:ind w:right="38"/>
              <w:rPr>
                <w:rFonts w:eastAsia="Times New Roman"/>
                <w:color w:val="000000"/>
                <w:sz w:val="18"/>
                <w:szCs w:val="18"/>
                <w:lang w:eastAsia="en-GB"/>
              </w:rPr>
            </w:pPr>
            <w:r w:rsidRPr="008E28A6">
              <w:rPr>
                <w:rFonts w:eastAsia="Times New Roman"/>
                <w:color w:val="000000"/>
                <w:sz w:val="18"/>
                <w:szCs w:val="18"/>
                <w:lang w:eastAsia="en-GB"/>
              </w:rPr>
              <w:t>Option 3: Support for two delegates from each eligible Party to participate in a two-week session organized in Bonn</w:t>
            </w:r>
          </w:p>
        </w:tc>
        <w:tc>
          <w:tcPr>
            <w:tcW w:w="1989" w:type="dxa"/>
            <w:vAlign w:val="bottom"/>
          </w:tcPr>
          <w:p w14:paraId="05C940E1" w14:textId="77777777" w:rsidR="00173478" w:rsidRPr="008E28A6" w:rsidRDefault="00173478" w:rsidP="00173478">
            <w:pPr>
              <w:suppressAutoHyphens w:val="0"/>
              <w:spacing w:before="40" w:after="40" w:line="220" w:lineRule="exact"/>
              <w:ind w:left="113" w:right="38"/>
              <w:jc w:val="right"/>
              <w:rPr>
                <w:rFonts w:eastAsia="MS Mincho"/>
                <w:sz w:val="18"/>
                <w:lang w:eastAsia="de-DE"/>
              </w:rPr>
            </w:pPr>
            <w:r w:rsidRPr="008E28A6">
              <w:rPr>
                <w:rFonts w:eastAsia="MS Mincho"/>
                <w:sz w:val="18"/>
                <w:lang w:eastAsia="de-DE"/>
              </w:rPr>
              <w:t>2 035 164</w:t>
            </w:r>
          </w:p>
        </w:tc>
      </w:tr>
      <w:tr w:rsidR="00173478" w:rsidRPr="008E28A6" w14:paraId="0CE8C86A" w14:textId="77777777" w:rsidTr="00173478">
        <w:trPr>
          <w:trHeight w:val="240"/>
        </w:trPr>
        <w:tc>
          <w:tcPr>
            <w:tcW w:w="6514" w:type="dxa"/>
            <w:tcBorders>
              <w:bottom w:val="single" w:sz="12" w:space="0" w:color="auto"/>
            </w:tcBorders>
          </w:tcPr>
          <w:p w14:paraId="3D061AF0" w14:textId="77777777" w:rsidR="00173478" w:rsidRPr="008E28A6" w:rsidRDefault="00173478" w:rsidP="00173478">
            <w:pPr>
              <w:suppressAutoHyphens w:val="0"/>
              <w:spacing w:before="40" w:after="40" w:line="220" w:lineRule="exact"/>
              <w:ind w:right="38"/>
              <w:rPr>
                <w:rFonts w:eastAsia="Times New Roman"/>
                <w:color w:val="000000"/>
                <w:sz w:val="18"/>
                <w:szCs w:val="18"/>
                <w:lang w:eastAsia="en-GB"/>
              </w:rPr>
            </w:pPr>
            <w:r w:rsidRPr="008E28A6">
              <w:rPr>
                <w:rFonts w:eastAsia="Times New Roman"/>
                <w:color w:val="000000"/>
                <w:sz w:val="18"/>
                <w:szCs w:val="18"/>
                <w:lang w:eastAsia="en-GB"/>
              </w:rPr>
              <w:t xml:space="preserve">Option 4: Support for two delegates from each eligible Party plus a third delegate from each of the least developed countries and each small island developing State to participate in a two-week session organized in </w:t>
            </w:r>
            <w:r w:rsidRPr="008E28A6">
              <w:rPr>
                <w:rFonts w:eastAsia="Times New Roman"/>
                <w:sz w:val="18"/>
                <w:lang w:eastAsia="en-GB"/>
              </w:rPr>
              <w:t>Poland</w:t>
            </w:r>
          </w:p>
        </w:tc>
        <w:tc>
          <w:tcPr>
            <w:tcW w:w="1989" w:type="dxa"/>
            <w:tcBorders>
              <w:bottom w:val="single" w:sz="12" w:space="0" w:color="auto"/>
            </w:tcBorders>
            <w:vAlign w:val="bottom"/>
          </w:tcPr>
          <w:p w14:paraId="2E444A72" w14:textId="36C5E3F6" w:rsidR="00173478" w:rsidRPr="00176FBF" w:rsidRDefault="009B0809" w:rsidP="00F20F00">
            <w:pPr>
              <w:pStyle w:val="ListParagraph"/>
              <w:suppressAutoHyphens w:val="0"/>
              <w:spacing w:before="40" w:after="40" w:line="220" w:lineRule="exact"/>
              <w:ind w:left="113" w:right="38"/>
              <w:jc w:val="right"/>
              <w:rPr>
                <w:rFonts w:eastAsia="MS Mincho"/>
                <w:sz w:val="18"/>
                <w:lang w:eastAsia="de-DE"/>
              </w:rPr>
            </w:pPr>
            <w:r>
              <w:rPr>
                <w:rFonts w:eastAsia="MS Mincho"/>
                <w:sz w:val="18"/>
                <w:lang w:eastAsia="de-DE"/>
              </w:rPr>
              <w:t xml:space="preserve">2 </w:t>
            </w:r>
            <w:r w:rsidR="00173478" w:rsidRPr="00176FBF">
              <w:rPr>
                <w:rFonts w:eastAsia="MS Mincho"/>
                <w:sz w:val="18"/>
                <w:lang w:eastAsia="de-DE"/>
              </w:rPr>
              <w:t>880 338</w:t>
            </w:r>
          </w:p>
        </w:tc>
      </w:tr>
    </w:tbl>
    <w:p w14:paraId="595D4B8B" w14:textId="264B753D" w:rsidR="00173478" w:rsidRDefault="00173478" w:rsidP="00AE665C">
      <w:pPr>
        <w:suppressAutoHyphens w:val="0"/>
        <w:spacing w:before="60" w:line="240" w:lineRule="auto"/>
        <w:ind w:left="1162" w:right="142" w:firstLine="170"/>
        <w:rPr>
          <w:rFonts w:eastAsia="MS Mincho"/>
          <w:sz w:val="18"/>
          <w:lang w:eastAsia="de-DE"/>
        </w:rPr>
      </w:pPr>
      <w:r w:rsidRPr="00FA3D25">
        <w:rPr>
          <w:rFonts w:eastAsia="MS Mincho"/>
          <w:i/>
          <w:sz w:val="18"/>
          <w:szCs w:val="18"/>
          <w:lang w:eastAsia="de-DE"/>
        </w:rPr>
        <w:t>Note</w:t>
      </w:r>
      <w:r>
        <w:rPr>
          <w:rFonts w:eastAsia="MS Mincho"/>
          <w:sz w:val="18"/>
          <w:lang w:eastAsia="de-DE"/>
        </w:rPr>
        <w:t>:</w:t>
      </w:r>
      <w:r w:rsidR="00F20F00">
        <w:rPr>
          <w:rFonts w:eastAsia="MS Mincho"/>
          <w:sz w:val="18"/>
          <w:lang w:eastAsia="de-DE"/>
        </w:rPr>
        <w:t xml:space="preserve"> </w:t>
      </w:r>
      <w:r w:rsidRPr="008E28A6">
        <w:rPr>
          <w:rFonts w:eastAsia="MS Mincho"/>
          <w:sz w:val="18"/>
          <w:lang w:eastAsia="de-DE"/>
        </w:rPr>
        <w:t>Report of the Conference of the Parties on its nineteenth session, paragraph 145 (FCCC/CP/2013/10): “At the resumed 10</w:t>
      </w:r>
      <w:r w:rsidRPr="00FA3D25">
        <w:rPr>
          <w:rFonts w:eastAsia="MS Mincho"/>
          <w:sz w:val="18"/>
          <w:vertAlign w:val="superscript"/>
          <w:lang w:eastAsia="de-DE"/>
        </w:rPr>
        <w:t>th</w:t>
      </w:r>
      <w:r w:rsidRPr="008E28A6">
        <w:rPr>
          <w:rFonts w:eastAsia="MS Mincho"/>
          <w:sz w:val="18"/>
          <w:lang w:eastAsia="de-DE"/>
        </w:rPr>
        <w:t xml:space="preserve"> meeting, the Executive Secretary requested that the following statement be reflected in the report of the session: ‘Since its inception, the secretariat has applied a consistent policy for the funding of representatives from developing country Parties across all relevant trust funds. In light of decisions taken in Cancun and Doha, it has been decided to adjust the policy as follows: representatives from developing country Parties designated by their respective regional groups to participate in meetings of the constituted bodies established under the Convention, and elected by parent bodies, will be eligible for funding under the Trust Fund for the UNFCCC Core Budget and the Trust Fund for Supplementary Activities’”.</w:t>
      </w:r>
    </w:p>
    <w:p w14:paraId="6B2806CF" w14:textId="77777777" w:rsidR="00173478" w:rsidRPr="00FC19F6" w:rsidRDefault="00173478" w:rsidP="00173478">
      <w:pPr>
        <w:suppressAutoHyphens w:val="0"/>
        <w:spacing w:before="60" w:line="240" w:lineRule="auto"/>
        <w:ind w:right="140"/>
        <w:rPr>
          <w:rFonts w:eastAsia="MS Mincho"/>
          <w:bCs/>
          <w:lang w:eastAsia="de-DE"/>
        </w:rPr>
      </w:pPr>
      <w:r>
        <w:rPr>
          <w:rFonts w:eastAsia="MS Mincho"/>
          <w:sz w:val="18"/>
          <w:lang w:eastAsia="de-DE"/>
        </w:rPr>
        <w:br w:type="page"/>
      </w:r>
      <w:r w:rsidRPr="00FC19F6">
        <w:rPr>
          <w:rFonts w:eastAsia="MS Mincho"/>
          <w:bCs/>
          <w:lang w:eastAsia="de-DE"/>
        </w:rPr>
        <w:lastRenderedPageBreak/>
        <w:t>Table 5</w:t>
      </w:r>
      <w:bookmarkEnd w:id="23"/>
      <w:bookmarkEnd w:id="24"/>
      <w:bookmarkEnd w:id="25"/>
      <w:bookmarkEnd w:id="26"/>
      <w:r w:rsidRPr="00FC19F6">
        <w:rPr>
          <w:rFonts w:eastAsia="MS Mincho"/>
          <w:bCs/>
          <w:lang w:eastAsia="de-DE"/>
        </w:rPr>
        <w:t xml:space="preserve"> </w:t>
      </w:r>
    </w:p>
    <w:p w14:paraId="799A21F1" w14:textId="77777777" w:rsidR="00173478" w:rsidRPr="00FC19F6" w:rsidRDefault="00173478" w:rsidP="00173478">
      <w:pPr>
        <w:suppressAutoHyphens w:val="0"/>
        <w:spacing w:after="120" w:line="240" w:lineRule="auto"/>
        <w:outlineLvl w:val="0"/>
        <w:rPr>
          <w:rFonts w:eastAsia="MS Mincho"/>
          <w:b/>
          <w:bCs/>
          <w:lang w:eastAsia="de-DE"/>
        </w:rPr>
      </w:pPr>
      <w:bookmarkStart w:id="28" w:name="_Toc318462689"/>
      <w:bookmarkStart w:id="29" w:name="_Toc318462732"/>
      <w:bookmarkStart w:id="30" w:name="_Toc318462924"/>
      <w:bookmarkStart w:id="31" w:name="_Toc318463370"/>
      <w:r w:rsidRPr="00FC19F6">
        <w:rPr>
          <w:rFonts w:eastAsia="MS Mincho"/>
          <w:b/>
          <w:bCs/>
          <w:lang w:eastAsia="de-DE"/>
        </w:rPr>
        <w:t>Resource requirements for the Trust Fund for Supplementary Activities</w:t>
      </w:r>
      <w:bookmarkEnd w:id="27"/>
      <w:r w:rsidRPr="00FC19F6">
        <w:rPr>
          <w:rFonts w:eastAsia="MS Mincho"/>
          <w:b/>
          <w:bCs/>
          <w:lang w:eastAsia="de-DE"/>
        </w:rPr>
        <w:t xml:space="preserve"> in the biennium </w:t>
      </w:r>
      <w:bookmarkEnd w:id="28"/>
      <w:bookmarkEnd w:id="29"/>
      <w:bookmarkEnd w:id="30"/>
      <w:bookmarkEnd w:id="31"/>
      <w:r w:rsidRPr="00FC19F6">
        <w:rPr>
          <w:rFonts w:eastAsia="MS Mincho"/>
          <w:b/>
          <w:bCs/>
          <w:lang w:eastAsia="de-DE"/>
        </w:rPr>
        <w:t>2018–2019</w:t>
      </w:r>
    </w:p>
    <w:tbl>
      <w:tblPr>
        <w:tblW w:w="9639" w:type="dxa"/>
        <w:tblBorders>
          <w:top w:val="single" w:sz="4" w:space="0" w:color="auto"/>
        </w:tblBorders>
        <w:tblCellMar>
          <w:left w:w="0" w:type="dxa"/>
        </w:tblCellMar>
        <w:tblLook w:val="04A0" w:firstRow="1" w:lastRow="0" w:firstColumn="1" w:lastColumn="0" w:noHBand="0" w:noVBand="1"/>
      </w:tblPr>
      <w:tblGrid>
        <w:gridCol w:w="681"/>
        <w:gridCol w:w="7688"/>
        <w:gridCol w:w="1270"/>
      </w:tblGrid>
      <w:tr w:rsidR="00173478" w:rsidRPr="008E28A6" w14:paraId="715A4919" w14:textId="77777777" w:rsidTr="001E40E2">
        <w:trPr>
          <w:trHeight w:val="240"/>
          <w:tblHeader/>
        </w:trPr>
        <w:tc>
          <w:tcPr>
            <w:tcW w:w="684" w:type="dxa"/>
            <w:tcBorders>
              <w:top w:val="single" w:sz="4" w:space="0" w:color="auto"/>
              <w:bottom w:val="single" w:sz="12" w:space="0" w:color="auto"/>
            </w:tcBorders>
            <w:shd w:val="clear" w:color="auto" w:fill="auto"/>
            <w:vAlign w:val="bottom"/>
            <w:hideMark/>
          </w:tcPr>
          <w:p w14:paraId="29150660" w14:textId="77777777" w:rsidR="00173478" w:rsidRPr="00BE6844" w:rsidRDefault="00173478" w:rsidP="00BE6844">
            <w:pPr>
              <w:suppressAutoHyphens w:val="0"/>
              <w:spacing w:before="80" w:after="80" w:line="200" w:lineRule="exact"/>
              <w:rPr>
                <w:rFonts w:eastAsia="MS Mincho"/>
                <w:i/>
                <w:sz w:val="16"/>
                <w:lang w:eastAsia="de-DE"/>
              </w:rPr>
            </w:pPr>
            <w:r w:rsidRPr="00BE6844">
              <w:rPr>
                <w:rFonts w:eastAsia="MS Mincho"/>
                <w:i/>
                <w:sz w:val="16"/>
                <w:lang w:eastAsia="de-DE"/>
              </w:rPr>
              <w:t>Project no.</w:t>
            </w:r>
          </w:p>
        </w:tc>
        <w:tc>
          <w:tcPr>
            <w:tcW w:w="7680" w:type="dxa"/>
            <w:tcBorders>
              <w:top w:val="single" w:sz="4" w:space="0" w:color="auto"/>
              <w:bottom w:val="single" w:sz="12" w:space="0" w:color="auto"/>
            </w:tcBorders>
            <w:shd w:val="clear" w:color="auto" w:fill="auto"/>
            <w:noWrap/>
            <w:vAlign w:val="bottom"/>
            <w:hideMark/>
          </w:tcPr>
          <w:p w14:paraId="26A2530A" w14:textId="77777777" w:rsidR="00173478" w:rsidRPr="00BE6844" w:rsidRDefault="00173478" w:rsidP="00BE6844">
            <w:pPr>
              <w:suppressAutoHyphens w:val="0"/>
              <w:spacing w:before="80" w:after="80" w:line="200" w:lineRule="exact"/>
              <w:rPr>
                <w:rFonts w:eastAsia="MS Mincho"/>
                <w:bCs/>
                <w:i/>
                <w:sz w:val="16"/>
                <w:lang w:eastAsia="de-DE"/>
              </w:rPr>
            </w:pPr>
            <w:r w:rsidRPr="00BE6844">
              <w:rPr>
                <w:rFonts w:eastAsia="MS Mincho"/>
                <w:bCs/>
                <w:i/>
                <w:sz w:val="16"/>
                <w:lang w:eastAsia="de-DE"/>
              </w:rPr>
              <w:t>Activities to be undertaken by the secretariat</w:t>
            </w:r>
          </w:p>
        </w:tc>
        <w:tc>
          <w:tcPr>
            <w:tcW w:w="1275" w:type="dxa"/>
            <w:tcBorders>
              <w:top w:val="single" w:sz="4" w:space="0" w:color="auto"/>
              <w:bottom w:val="single" w:sz="12" w:space="0" w:color="auto"/>
            </w:tcBorders>
            <w:shd w:val="clear" w:color="auto" w:fill="auto"/>
            <w:vAlign w:val="bottom"/>
            <w:hideMark/>
          </w:tcPr>
          <w:p w14:paraId="26C1BC1C" w14:textId="3642C553" w:rsidR="00173478" w:rsidRPr="00BE6844" w:rsidRDefault="00173478" w:rsidP="00BE6844">
            <w:pPr>
              <w:suppressAutoHyphens w:val="0"/>
              <w:spacing w:before="80" w:after="80" w:line="200" w:lineRule="exact"/>
              <w:jc w:val="right"/>
              <w:rPr>
                <w:rFonts w:eastAsia="MS Mincho"/>
                <w:bCs/>
                <w:i/>
                <w:sz w:val="16"/>
                <w:lang w:eastAsia="de-DE"/>
              </w:rPr>
            </w:pPr>
            <w:r w:rsidRPr="00BE6844">
              <w:rPr>
                <w:rFonts w:eastAsia="MS Mincho"/>
                <w:bCs/>
                <w:i/>
                <w:sz w:val="16"/>
                <w:lang w:eastAsia="de-DE"/>
              </w:rPr>
              <w:t>Supplementary requirements</w:t>
            </w:r>
            <w:r w:rsidR="0051664A">
              <w:rPr>
                <w:rFonts w:eastAsia="MS Mincho"/>
                <w:bCs/>
                <w:i/>
                <w:sz w:val="16"/>
                <w:lang w:eastAsia="de-DE"/>
              </w:rPr>
              <w:br/>
            </w:r>
            <w:r w:rsidRPr="00BE6844">
              <w:rPr>
                <w:rFonts w:eastAsia="MS Mincho"/>
                <w:bCs/>
                <w:i/>
                <w:sz w:val="16"/>
                <w:lang w:eastAsia="de-DE"/>
              </w:rPr>
              <w:t>EUR</w:t>
            </w:r>
          </w:p>
        </w:tc>
      </w:tr>
      <w:tr w:rsidR="00173478" w:rsidRPr="008E28A6" w14:paraId="159E5D9C" w14:textId="77777777" w:rsidTr="001E40E2">
        <w:trPr>
          <w:trHeight w:val="240"/>
        </w:trPr>
        <w:tc>
          <w:tcPr>
            <w:tcW w:w="684" w:type="dxa"/>
            <w:tcBorders>
              <w:top w:val="single" w:sz="12" w:space="0" w:color="auto"/>
            </w:tcBorders>
            <w:shd w:val="clear" w:color="auto" w:fill="auto"/>
            <w:hideMark/>
          </w:tcPr>
          <w:p w14:paraId="2FB33680" w14:textId="77777777" w:rsidR="00173478" w:rsidRPr="00BE6844" w:rsidRDefault="00173478" w:rsidP="001E40E2">
            <w:pPr>
              <w:suppressAutoHyphens w:val="0"/>
              <w:spacing w:before="40" w:after="80" w:line="220" w:lineRule="exact"/>
              <w:jc w:val="center"/>
              <w:rPr>
                <w:rFonts w:eastAsia="MS Mincho"/>
                <w:bCs/>
                <w:sz w:val="22"/>
                <w:lang w:eastAsia="de-DE"/>
              </w:rPr>
            </w:pPr>
          </w:p>
        </w:tc>
        <w:tc>
          <w:tcPr>
            <w:tcW w:w="7680" w:type="dxa"/>
            <w:tcBorders>
              <w:top w:val="single" w:sz="12" w:space="0" w:color="auto"/>
            </w:tcBorders>
            <w:shd w:val="clear" w:color="auto" w:fill="auto"/>
            <w:noWrap/>
            <w:hideMark/>
          </w:tcPr>
          <w:p w14:paraId="093E8E11" w14:textId="77777777" w:rsidR="00173478" w:rsidRPr="00BE6844" w:rsidRDefault="00173478" w:rsidP="001E40E2">
            <w:pPr>
              <w:suppressAutoHyphens w:val="0"/>
              <w:spacing w:before="40" w:after="80" w:line="220" w:lineRule="exact"/>
              <w:rPr>
                <w:rFonts w:eastAsia="MS Mincho"/>
                <w:b/>
                <w:sz w:val="18"/>
                <w:szCs w:val="18"/>
                <w:lang w:eastAsia="de-DE"/>
              </w:rPr>
            </w:pPr>
            <w:r w:rsidRPr="00BE6844">
              <w:rPr>
                <w:rFonts w:eastAsia="MS Mincho"/>
                <w:b/>
                <w:sz w:val="18"/>
                <w:szCs w:val="18"/>
                <w:lang w:eastAsia="de-DE"/>
              </w:rPr>
              <w:t>Support to implementation</w:t>
            </w:r>
          </w:p>
        </w:tc>
        <w:tc>
          <w:tcPr>
            <w:tcW w:w="1275" w:type="dxa"/>
            <w:tcBorders>
              <w:top w:val="single" w:sz="12" w:space="0" w:color="auto"/>
            </w:tcBorders>
            <w:shd w:val="clear" w:color="auto" w:fill="auto"/>
            <w:hideMark/>
          </w:tcPr>
          <w:p w14:paraId="3FDCD32E"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 </w:t>
            </w:r>
          </w:p>
        </w:tc>
      </w:tr>
      <w:tr w:rsidR="00173478" w:rsidRPr="008E28A6" w14:paraId="730AA491" w14:textId="77777777" w:rsidTr="001E40E2">
        <w:trPr>
          <w:trHeight w:val="240"/>
        </w:trPr>
        <w:tc>
          <w:tcPr>
            <w:tcW w:w="684" w:type="dxa"/>
            <w:shd w:val="clear" w:color="auto" w:fill="auto"/>
            <w:hideMark/>
          </w:tcPr>
          <w:p w14:paraId="7779F19A" w14:textId="77777777" w:rsidR="00173478" w:rsidRPr="00BE6844" w:rsidRDefault="00173478" w:rsidP="001E40E2">
            <w:pPr>
              <w:suppressAutoHyphens w:val="0"/>
              <w:spacing w:before="40" w:after="80" w:line="220" w:lineRule="exact"/>
              <w:jc w:val="center"/>
              <w:rPr>
                <w:rFonts w:eastAsia="MS Mincho"/>
                <w:bCs/>
                <w:sz w:val="22"/>
                <w:lang w:eastAsia="de-DE"/>
              </w:rPr>
            </w:pPr>
          </w:p>
        </w:tc>
        <w:tc>
          <w:tcPr>
            <w:tcW w:w="7680" w:type="dxa"/>
            <w:shd w:val="clear" w:color="auto" w:fill="auto"/>
            <w:noWrap/>
            <w:hideMark/>
          </w:tcPr>
          <w:p w14:paraId="1C36892C" w14:textId="77777777" w:rsidR="00173478" w:rsidRPr="00BE6844" w:rsidRDefault="00173478" w:rsidP="001E40E2">
            <w:pPr>
              <w:suppressAutoHyphens w:val="0"/>
              <w:spacing w:before="40" w:after="80" w:line="220" w:lineRule="exact"/>
              <w:rPr>
                <w:rFonts w:eastAsia="MS Mincho"/>
                <w:i/>
                <w:sz w:val="18"/>
                <w:szCs w:val="18"/>
                <w:lang w:eastAsia="de-DE"/>
              </w:rPr>
            </w:pPr>
            <w:r w:rsidRPr="00BE6844">
              <w:rPr>
                <w:rFonts w:eastAsia="MS Mincho"/>
                <w:i/>
                <w:sz w:val="18"/>
                <w:szCs w:val="18"/>
                <w:lang w:eastAsia="de-DE"/>
              </w:rPr>
              <w:t>Adaptation</w:t>
            </w:r>
          </w:p>
        </w:tc>
        <w:tc>
          <w:tcPr>
            <w:tcW w:w="1275" w:type="dxa"/>
            <w:shd w:val="clear" w:color="auto" w:fill="auto"/>
            <w:hideMark/>
          </w:tcPr>
          <w:p w14:paraId="733929EF"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 </w:t>
            </w:r>
          </w:p>
        </w:tc>
      </w:tr>
      <w:tr w:rsidR="00173478" w:rsidRPr="008E28A6" w14:paraId="342DA09B" w14:textId="77777777" w:rsidTr="001E40E2">
        <w:trPr>
          <w:trHeight w:val="240"/>
        </w:trPr>
        <w:tc>
          <w:tcPr>
            <w:tcW w:w="684" w:type="dxa"/>
            <w:shd w:val="clear" w:color="auto" w:fill="auto"/>
            <w:hideMark/>
          </w:tcPr>
          <w:p w14:paraId="7A583A7F"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w:t>
            </w:r>
          </w:p>
        </w:tc>
        <w:tc>
          <w:tcPr>
            <w:tcW w:w="7680" w:type="dxa"/>
            <w:shd w:val="clear" w:color="auto" w:fill="auto"/>
            <w:noWrap/>
            <w:vAlign w:val="center"/>
            <w:hideMark/>
          </w:tcPr>
          <w:p w14:paraId="25C902AA"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 xml:space="preserve">Promoting transparency and assessment of adaptation action, stakeholder engagement and outreach </w:t>
            </w:r>
          </w:p>
        </w:tc>
        <w:tc>
          <w:tcPr>
            <w:tcW w:w="1275" w:type="dxa"/>
            <w:shd w:val="clear" w:color="auto" w:fill="auto"/>
          </w:tcPr>
          <w:p w14:paraId="2B77F639"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1 680 647</w:t>
            </w:r>
          </w:p>
        </w:tc>
      </w:tr>
      <w:tr w:rsidR="00173478" w:rsidRPr="008E28A6" w14:paraId="1FD95CD8" w14:textId="77777777" w:rsidTr="001E40E2">
        <w:trPr>
          <w:trHeight w:val="240"/>
        </w:trPr>
        <w:tc>
          <w:tcPr>
            <w:tcW w:w="684" w:type="dxa"/>
            <w:shd w:val="clear" w:color="auto" w:fill="auto"/>
            <w:hideMark/>
          </w:tcPr>
          <w:p w14:paraId="5577211D"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w:t>
            </w:r>
          </w:p>
        </w:tc>
        <w:tc>
          <w:tcPr>
            <w:tcW w:w="7680" w:type="dxa"/>
            <w:shd w:val="clear" w:color="auto" w:fill="auto"/>
            <w:noWrap/>
            <w:vAlign w:val="center"/>
            <w:hideMark/>
          </w:tcPr>
          <w:p w14:paraId="563E4853"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national adaptation planning</w:t>
            </w:r>
          </w:p>
        </w:tc>
        <w:tc>
          <w:tcPr>
            <w:tcW w:w="1275" w:type="dxa"/>
            <w:shd w:val="clear" w:color="auto" w:fill="auto"/>
            <w:vAlign w:val="center"/>
          </w:tcPr>
          <w:p w14:paraId="2E697C7C"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4 132 975</w:t>
            </w:r>
          </w:p>
        </w:tc>
      </w:tr>
      <w:tr w:rsidR="00173478" w:rsidRPr="008E28A6" w14:paraId="55419C0E" w14:textId="77777777" w:rsidTr="001E40E2">
        <w:trPr>
          <w:trHeight w:val="240"/>
        </w:trPr>
        <w:tc>
          <w:tcPr>
            <w:tcW w:w="684" w:type="dxa"/>
            <w:shd w:val="clear" w:color="auto" w:fill="auto"/>
            <w:hideMark/>
          </w:tcPr>
          <w:p w14:paraId="70CB7BFE"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w:t>
            </w:r>
          </w:p>
        </w:tc>
        <w:tc>
          <w:tcPr>
            <w:tcW w:w="7680" w:type="dxa"/>
            <w:shd w:val="clear" w:color="auto" w:fill="auto"/>
            <w:noWrap/>
            <w:vAlign w:val="center"/>
            <w:hideMark/>
          </w:tcPr>
          <w:p w14:paraId="4960C1F3"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Facilitating coherent adaptation action through the AC and the NWP</w:t>
            </w:r>
          </w:p>
        </w:tc>
        <w:tc>
          <w:tcPr>
            <w:tcW w:w="1275" w:type="dxa"/>
            <w:shd w:val="clear" w:color="auto" w:fill="auto"/>
          </w:tcPr>
          <w:p w14:paraId="1FFD58BA"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2 391 607</w:t>
            </w:r>
          </w:p>
        </w:tc>
      </w:tr>
      <w:tr w:rsidR="00173478" w:rsidRPr="008E28A6" w14:paraId="01E7A056" w14:textId="77777777" w:rsidTr="001E40E2">
        <w:trPr>
          <w:trHeight w:val="240"/>
        </w:trPr>
        <w:tc>
          <w:tcPr>
            <w:tcW w:w="684" w:type="dxa"/>
            <w:shd w:val="clear" w:color="auto" w:fill="auto"/>
            <w:hideMark/>
          </w:tcPr>
          <w:p w14:paraId="510C9FAC"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4</w:t>
            </w:r>
          </w:p>
        </w:tc>
        <w:tc>
          <w:tcPr>
            <w:tcW w:w="7680" w:type="dxa"/>
            <w:shd w:val="clear" w:color="auto" w:fill="auto"/>
            <w:noWrap/>
            <w:vAlign w:val="center"/>
            <w:hideMark/>
          </w:tcPr>
          <w:p w14:paraId="6C567A79"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Addressing loss and damage associated with climate change impacts</w:t>
            </w:r>
          </w:p>
        </w:tc>
        <w:tc>
          <w:tcPr>
            <w:tcW w:w="1275" w:type="dxa"/>
            <w:shd w:val="clear" w:color="auto" w:fill="auto"/>
          </w:tcPr>
          <w:p w14:paraId="4CA570DD"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1 853 299</w:t>
            </w:r>
          </w:p>
        </w:tc>
      </w:tr>
      <w:tr w:rsidR="00173478" w:rsidRPr="008E28A6" w14:paraId="49346ABE" w14:textId="77777777" w:rsidTr="001E40E2">
        <w:trPr>
          <w:trHeight w:val="240"/>
        </w:trPr>
        <w:tc>
          <w:tcPr>
            <w:tcW w:w="684" w:type="dxa"/>
            <w:shd w:val="clear" w:color="auto" w:fill="auto"/>
            <w:hideMark/>
          </w:tcPr>
          <w:p w14:paraId="2DFEB2C0" w14:textId="77777777" w:rsidR="00173478" w:rsidRPr="00BE6844" w:rsidRDefault="00173478" w:rsidP="001E40E2">
            <w:pPr>
              <w:suppressAutoHyphens w:val="0"/>
              <w:spacing w:before="40" w:after="80" w:line="220" w:lineRule="exact"/>
              <w:jc w:val="center"/>
              <w:rPr>
                <w:rFonts w:eastAsia="MS Mincho"/>
                <w:sz w:val="18"/>
                <w:szCs w:val="18"/>
                <w:lang w:eastAsia="de-DE"/>
              </w:rPr>
            </w:pPr>
          </w:p>
        </w:tc>
        <w:tc>
          <w:tcPr>
            <w:tcW w:w="7680" w:type="dxa"/>
            <w:shd w:val="clear" w:color="auto" w:fill="auto"/>
            <w:noWrap/>
            <w:vAlign w:val="center"/>
            <w:hideMark/>
          </w:tcPr>
          <w:p w14:paraId="1F1C2960" w14:textId="77777777" w:rsidR="00173478" w:rsidRPr="00BE6844" w:rsidRDefault="00173478" w:rsidP="001E40E2">
            <w:pPr>
              <w:suppressAutoHyphens w:val="0"/>
              <w:spacing w:before="40" w:after="80" w:line="220" w:lineRule="exact"/>
              <w:rPr>
                <w:rFonts w:eastAsia="MS Mincho"/>
                <w:i/>
                <w:sz w:val="18"/>
                <w:szCs w:val="18"/>
                <w:lang w:eastAsia="de-DE"/>
              </w:rPr>
            </w:pPr>
            <w:r w:rsidRPr="00BE6844">
              <w:rPr>
                <w:rFonts w:eastAsia="MS Mincho"/>
                <w:i/>
                <w:sz w:val="18"/>
                <w:szCs w:val="18"/>
                <w:lang w:eastAsia="de-DE"/>
              </w:rPr>
              <w:t>Nationally determined contributions/supporting implementation by Parties</w:t>
            </w:r>
          </w:p>
        </w:tc>
        <w:tc>
          <w:tcPr>
            <w:tcW w:w="1275" w:type="dxa"/>
            <w:shd w:val="clear" w:color="auto" w:fill="auto"/>
          </w:tcPr>
          <w:p w14:paraId="166C0625" w14:textId="77777777" w:rsidR="00173478" w:rsidRPr="00BE6844" w:rsidRDefault="00173478" w:rsidP="001E40E2">
            <w:pPr>
              <w:suppressAutoHyphens w:val="0"/>
              <w:spacing w:before="40" w:after="80" w:line="220" w:lineRule="exact"/>
              <w:jc w:val="right"/>
              <w:rPr>
                <w:rFonts w:eastAsia="MS Mincho"/>
                <w:sz w:val="18"/>
                <w:szCs w:val="18"/>
                <w:lang w:eastAsia="de-DE"/>
              </w:rPr>
            </w:pPr>
          </w:p>
        </w:tc>
      </w:tr>
      <w:tr w:rsidR="00173478" w:rsidRPr="008E28A6" w14:paraId="569B61DA" w14:textId="77777777" w:rsidTr="001E40E2">
        <w:trPr>
          <w:trHeight w:val="240"/>
        </w:trPr>
        <w:tc>
          <w:tcPr>
            <w:tcW w:w="684" w:type="dxa"/>
            <w:shd w:val="clear" w:color="auto" w:fill="auto"/>
            <w:hideMark/>
          </w:tcPr>
          <w:p w14:paraId="7AEFE8CA"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5</w:t>
            </w:r>
          </w:p>
        </w:tc>
        <w:tc>
          <w:tcPr>
            <w:tcW w:w="7680" w:type="dxa"/>
            <w:shd w:val="clear" w:color="auto" w:fill="auto"/>
            <w:noWrap/>
            <w:vAlign w:val="center"/>
            <w:hideMark/>
          </w:tcPr>
          <w:p w14:paraId="60C2918E"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implementation of activities relating to INDCs and NDCs</w:t>
            </w:r>
          </w:p>
        </w:tc>
        <w:tc>
          <w:tcPr>
            <w:tcW w:w="1275" w:type="dxa"/>
            <w:shd w:val="clear" w:color="auto" w:fill="auto"/>
          </w:tcPr>
          <w:p w14:paraId="2356DE50"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2 358 089</w:t>
            </w:r>
          </w:p>
        </w:tc>
      </w:tr>
      <w:tr w:rsidR="00173478" w:rsidRPr="008E28A6" w14:paraId="44168415" w14:textId="77777777" w:rsidTr="001E40E2">
        <w:trPr>
          <w:trHeight w:val="240"/>
        </w:trPr>
        <w:tc>
          <w:tcPr>
            <w:tcW w:w="684" w:type="dxa"/>
            <w:shd w:val="clear" w:color="auto" w:fill="auto"/>
            <w:hideMark/>
          </w:tcPr>
          <w:p w14:paraId="2205CA47"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6</w:t>
            </w:r>
          </w:p>
        </w:tc>
        <w:tc>
          <w:tcPr>
            <w:tcW w:w="7680" w:type="dxa"/>
            <w:shd w:val="clear" w:color="auto" w:fill="auto"/>
            <w:noWrap/>
            <w:vAlign w:val="center"/>
            <w:hideMark/>
          </w:tcPr>
          <w:p w14:paraId="532DD6B7"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Organizing the technical dialogue on NDCs</w:t>
            </w:r>
          </w:p>
        </w:tc>
        <w:tc>
          <w:tcPr>
            <w:tcW w:w="1275" w:type="dxa"/>
            <w:shd w:val="clear" w:color="auto" w:fill="auto"/>
          </w:tcPr>
          <w:p w14:paraId="20930AEA"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2 798 219</w:t>
            </w:r>
          </w:p>
        </w:tc>
      </w:tr>
      <w:tr w:rsidR="00173478" w:rsidRPr="008E28A6" w14:paraId="21862CB0" w14:textId="77777777" w:rsidTr="001E40E2">
        <w:trPr>
          <w:trHeight w:val="240"/>
        </w:trPr>
        <w:tc>
          <w:tcPr>
            <w:tcW w:w="684" w:type="dxa"/>
            <w:shd w:val="clear" w:color="auto" w:fill="auto"/>
            <w:hideMark/>
          </w:tcPr>
          <w:p w14:paraId="2ED5E1A3"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7</w:t>
            </w:r>
          </w:p>
        </w:tc>
        <w:tc>
          <w:tcPr>
            <w:tcW w:w="7680" w:type="dxa"/>
            <w:shd w:val="clear" w:color="auto" w:fill="auto"/>
            <w:noWrap/>
            <w:vAlign w:val="center"/>
            <w:hideMark/>
          </w:tcPr>
          <w:p w14:paraId="5E3DF30B"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and facilitating the work of the TEC and the implementation of the Paris Agreement on technology-related matters</w:t>
            </w:r>
          </w:p>
        </w:tc>
        <w:tc>
          <w:tcPr>
            <w:tcW w:w="1275" w:type="dxa"/>
            <w:shd w:val="clear" w:color="auto" w:fill="auto"/>
          </w:tcPr>
          <w:p w14:paraId="09A1DC1E"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987 982</w:t>
            </w:r>
          </w:p>
        </w:tc>
      </w:tr>
      <w:tr w:rsidR="00173478" w:rsidRPr="008E28A6" w14:paraId="630C6AA0" w14:textId="77777777" w:rsidTr="001E40E2">
        <w:trPr>
          <w:trHeight w:val="240"/>
        </w:trPr>
        <w:tc>
          <w:tcPr>
            <w:tcW w:w="684" w:type="dxa"/>
            <w:shd w:val="clear" w:color="auto" w:fill="auto"/>
            <w:hideMark/>
          </w:tcPr>
          <w:p w14:paraId="336D21D9"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8</w:t>
            </w:r>
          </w:p>
        </w:tc>
        <w:tc>
          <w:tcPr>
            <w:tcW w:w="7680" w:type="dxa"/>
            <w:shd w:val="clear" w:color="auto" w:fill="auto"/>
            <w:noWrap/>
            <w:vAlign w:val="center"/>
            <w:hideMark/>
          </w:tcPr>
          <w:p w14:paraId="7CB8475D"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work of the PCCB and other capacity-building mandated activities, including the collaboration with relevant stakeholders within and outside the Convention</w:t>
            </w:r>
          </w:p>
        </w:tc>
        <w:tc>
          <w:tcPr>
            <w:tcW w:w="1275" w:type="dxa"/>
            <w:shd w:val="clear" w:color="auto" w:fill="auto"/>
          </w:tcPr>
          <w:p w14:paraId="4496AA34"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388 833</w:t>
            </w:r>
          </w:p>
        </w:tc>
      </w:tr>
      <w:tr w:rsidR="00173478" w:rsidRPr="008E28A6" w14:paraId="10580981" w14:textId="77777777" w:rsidTr="001E40E2">
        <w:trPr>
          <w:trHeight w:val="240"/>
        </w:trPr>
        <w:tc>
          <w:tcPr>
            <w:tcW w:w="684" w:type="dxa"/>
            <w:shd w:val="clear" w:color="auto" w:fill="auto"/>
            <w:hideMark/>
          </w:tcPr>
          <w:p w14:paraId="6E635EE1"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9</w:t>
            </w:r>
          </w:p>
        </w:tc>
        <w:tc>
          <w:tcPr>
            <w:tcW w:w="7680" w:type="dxa"/>
            <w:shd w:val="clear" w:color="auto" w:fill="auto"/>
            <w:noWrap/>
            <w:vAlign w:val="center"/>
            <w:hideMark/>
          </w:tcPr>
          <w:p w14:paraId="753BC702"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Providing support upon request to Parties to strengthen national climate change legislation</w:t>
            </w:r>
          </w:p>
        </w:tc>
        <w:tc>
          <w:tcPr>
            <w:tcW w:w="1275" w:type="dxa"/>
            <w:shd w:val="clear" w:color="auto" w:fill="auto"/>
          </w:tcPr>
          <w:p w14:paraId="114E9FE0"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90 400</w:t>
            </w:r>
          </w:p>
        </w:tc>
      </w:tr>
      <w:tr w:rsidR="00173478" w:rsidRPr="008E28A6" w14:paraId="4D6DEFCB" w14:textId="77777777" w:rsidTr="001E40E2">
        <w:trPr>
          <w:trHeight w:val="240"/>
        </w:trPr>
        <w:tc>
          <w:tcPr>
            <w:tcW w:w="684" w:type="dxa"/>
            <w:shd w:val="clear" w:color="auto" w:fill="auto"/>
            <w:hideMark/>
          </w:tcPr>
          <w:p w14:paraId="1C714506"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10</w:t>
            </w:r>
          </w:p>
        </w:tc>
        <w:tc>
          <w:tcPr>
            <w:tcW w:w="7680" w:type="dxa"/>
            <w:shd w:val="clear" w:color="auto" w:fill="auto"/>
            <w:noWrap/>
            <w:vAlign w:val="center"/>
            <w:hideMark/>
          </w:tcPr>
          <w:p w14:paraId="4071C2A2"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implementation of the Paris Agreement through regional collaboration centres</w:t>
            </w:r>
          </w:p>
        </w:tc>
        <w:tc>
          <w:tcPr>
            <w:tcW w:w="1275" w:type="dxa"/>
            <w:shd w:val="clear" w:color="auto" w:fill="auto"/>
          </w:tcPr>
          <w:p w14:paraId="67449751"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w:t>
            </w:r>
          </w:p>
        </w:tc>
      </w:tr>
      <w:tr w:rsidR="00173478" w:rsidRPr="008E28A6" w14:paraId="34CD6414" w14:textId="77777777" w:rsidTr="001E40E2">
        <w:trPr>
          <w:trHeight w:val="240"/>
        </w:trPr>
        <w:tc>
          <w:tcPr>
            <w:tcW w:w="684" w:type="dxa"/>
            <w:shd w:val="clear" w:color="auto" w:fill="auto"/>
            <w:hideMark/>
          </w:tcPr>
          <w:p w14:paraId="0D9511C5"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11</w:t>
            </w:r>
          </w:p>
        </w:tc>
        <w:tc>
          <w:tcPr>
            <w:tcW w:w="7680" w:type="dxa"/>
            <w:shd w:val="clear" w:color="auto" w:fill="auto"/>
            <w:noWrap/>
            <w:vAlign w:val="center"/>
            <w:hideMark/>
          </w:tcPr>
          <w:p w14:paraId="2AD76FEF"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and catalysing climate finance implementation</w:t>
            </w:r>
          </w:p>
        </w:tc>
        <w:tc>
          <w:tcPr>
            <w:tcW w:w="1275" w:type="dxa"/>
            <w:shd w:val="clear" w:color="auto" w:fill="auto"/>
          </w:tcPr>
          <w:p w14:paraId="25EDF499"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w:t>
            </w:r>
          </w:p>
        </w:tc>
      </w:tr>
      <w:tr w:rsidR="00173478" w:rsidRPr="008E28A6" w14:paraId="1C2F03DC" w14:textId="77777777" w:rsidTr="001E40E2">
        <w:trPr>
          <w:trHeight w:val="240"/>
        </w:trPr>
        <w:tc>
          <w:tcPr>
            <w:tcW w:w="684" w:type="dxa"/>
            <w:shd w:val="clear" w:color="auto" w:fill="auto"/>
            <w:hideMark/>
          </w:tcPr>
          <w:p w14:paraId="46852C94"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12</w:t>
            </w:r>
          </w:p>
        </w:tc>
        <w:tc>
          <w:tcPr>
            <w:tcW w:w="7680" w:type="dxa"/>
            <w:shd w:val="clear" w:color="auto" w:fill="auto"/>
            <w:noWrap/>
            <w:vAlign w:val="center"/>
            <w:hideMark/>
          </w:tcPr>
          <w:p w14:paraId="7E0C1762"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Implementing activities of the Support Unit of the NDC Partnership</w:t>
            </w:r>
            <w:r w:rsidRPr="00BE6844">
              <w:rPr>
                <w:rFonts w:eastAsia="MS Mincho"/>
                <w:i/>
                <w:sz w:val="18"/>
                <w:szCs w:val="18"/>
                <w:vertAlign w:val="superscript"/>
                <w:lang w:eastAsia="de-DE"/>
              </w:rPr>
              <w:t>a</w:t>
            </w:r>
          </w:p>
        </w:tc>
        <w:tc>
          <w:tcPr>
            <w:tcW w:w="1275" w:type="dxa"/>
            <w:shd w:val="clear" w:color="auto" w:fill="auto"/>
          </w:tcPr>
          <w:p w14:paraId="30EA00D7"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1 000 000</w:t>
            </w:r>
          </w:p>
        </w:tc>
      </w:tr>
      <w:tr w:rsidR="00173478" w:rsidRPr="008E28A6" w14:paraId="1C1C29E6" w14:textId="77777777" w:rsidTr="001E40E2">
        <w:trPr>
          <w:trHeight w:val="240"/>
        </w:trPr>
        <w:tc>
          <w:tcPr>
            <w:tcW w:w="684" w:type="dxa"/>
            <w:shd w:val="clear" w:color="auto" w:fill="auto"/>
            <w:hideMark/>
          </w:tcPr>
          <w:p w14:paraId="52B3DAE6" w14:textId="77777777" w:rsidR="00173478" w:rsidRPr="00BE6844" w:rsidRDefault="00173478" w:rsidP="001E40E2">
            <w:pPr>
              <w:suppressAutoHyphens w:val="0"/>
              <w:spacing w:before="40" w:after="80" w:line="220" w:lineRule="exact"/>
              <w:jc w:val="center"/>
              <w:rPr>
                <w:rFonts w:eastAsia="MS Mincho"/>
                <w:sz w:val="18"/>
                <w:szCs w:val="18"/>
                <w:lang w:eastAsia="de-DE"/>
              </w:rPr>
            </w:pPr>
          </w:p>
        </w:tc>
        <w:tc>
          <w:tcPr>
            <w:tcW w:w="7680" w:type="dxa"/>
            <w:shd w:val="clear" w:color="auto" w:fill="auto"/>
            <w:noWrap/>
            <w:vAlign w:val="center"/>
            <w:hideMark/>
          </w:tcPr>
          <w:p w14:paraId="58E18A70" w14:textId="77777777" w:rsidR="00173478" w:rsidRPr="00BE6844" w:rsidRDefault="00173478" w:rsidP="001E40E2">
            <w:pPr>
              <w:suppressAutoHyphens w:val="0"/>
              <w:spacing w:before="40" w:after="80" w:line="220" w:lineRule="exact"/>
              <w:rPr>
                <w:rFonts w:eastAsia="MS Mincho"/>
                <w:i/>
                <w:sz w:val="18"/>
                <w:szCs w:val="18"/>
                <w:lang w:eastAsia="de-DE"/>
              </w:rPr>
            </w:pPr>
            <w:r w:rsidRPr="00BE6844">
              <w:rPr>
                <w:rFonts w:eastAsia="MS Mincho"/>
                <w:i/>
                <w:sz w:val="18"/>
                <w:szCs w:val="18"/>
                <w:lang w:eastAsia="de-DE"/>
              </w:rPr>
              <w:t>Measurement, reporting and verification/transparency regime</w:t>
            </w:r>
          </w:p>
        </w:tc>
        <w:tc>
          <w:tcPr>
            <w:tcW w:w="1275" w:type="dxa"/>
            <w:shd w:val="clear" w:color="auto" w:fill="auto"/>
          </w:tcPr>
          <w:p w14:paraId="5F88BF34" w14:textId="77777777" w:rsidR="00173478" w:rsidRPr="00BE6844" w:rsidRDefault="00173478" w:rsidP="001E40E2">
            <w:pPr>
              <w:suppressAutoHyphens w:val="0"/>
              <w:spacing w:before="40" w:after="80" w:line="220" w:lineRule="exact"/>
              <w:jc w:val="right"/>
              <w:rPr>
                <w:rFonts w:eastAsia="MS Mincho"/>
                <w:sz w:val="18"/>
                <w:szCs w:val="18"/>
                <w:lang w:eastAsia="de-DE"/>
              </w:rPr>
            </w:pPr>
          </w:p>
        </w:tc>
      </w:tr>
      <w:tr w:rsidR="00173478" w:rsidRPr="008E28A6" w14:paraId="05B55B94" w14:textId="77777777" w:rsidTr="001E40E2">
        <w:trPr>
          <w:trHeight w:val="240"/>
        </w:trPr>
        <w:tc>
          <w:tcPr>
            <w:tcW w:w="684" w:type="dxa"/>
            <w:shd w:val="clear" w:color="auto" w:fill="auto"/>
            <w:hideMark/>
          </w:tcPr>
          <w:p w14:paraId="7F8027A1"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13</w:t>
            </w:r>
          </w:p>
        </w:tc>
        <w:tc>
          <w:tcPr>
            <w:tcW w:w="7680" w:type="dxa"/>
            <w:shd w:val="clear" w:color="auto" w:fill="auto"/>
            <w:noWrap/>
            <w:vAlign w:val="center"/>
            <w:hideMark/>
          </w:tcPr>
          <w:p w14:paraId="727D4BD6"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activities relating to LULUCF: reducing emissions from deforestation and forest degradation, enhancement of forest carbon sinks, and the role of sinks in future mitigation actions</w:t>
            </w:r>
          </w:p>
        </w:tc>
        <w:tc>
          <w:tcPr>
            <w:tcW w:w="1275" w:type="dxa"/>
            <w:shd w:val="clear" w:color="auto" w:fill="auto"/>
          </w:tcPr>
          <w:p w14:paraId="4BD356CA"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865 603</w:t>
            </w:r>
          </w:p>
        </w:tc>
      </w:tr>
      <w:tr w:rsidR="00173478" w:rsidRPr="008E28A6" w14:paraId="4BB4D71D" w14:textId="77777777" w:rsidTr="001E40E2">
        <w:trPr>
          <w:trHeight w:val="240"/>
        </w:trPr>
        <w:tc>
          <w:tcPr>
            <w:tcW w:w="684" w:type="dxa"/>
            <w:shd w:val="clear" w:color="auto" w:fill="auto"/>
            <w:hideMark/>
          </w:tcPr>
          <w:p w14:paraId="1986E83A"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14</w:t>
            </w:r>
          </w:p>
        </w:tc>
        <w:tc>
          <w:tcPr>
            <w:tcW w:w="7680" w:type="dxa"/>
            <w:shd w:val="clear" w:color="auto" w:fill="auto"/>
            <w:noWrap/>
            <w:vAlign w:val="center"/>
            <w:hideMark/>
          </w:tcPr>
          <w:p w14:paraId="6787BA08"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Maintaining and enhancing UNFCCC reporting and information systems to enable Party submissions, delivery of data-based reports, operation of tools used in the MRV process, and the warehousing and management of GHG data</w:t>
            </w:r>
          </w:p>
        </w:tc>
        <w:tc>
          <w:tcPr>
            <w:tcW w:w="1275" w:type="dxa"/>
            <w:shd w:val="clear" w:color="auto" w:fill="auto"/>
          </w:tcPr>
          <w:p w14:paraId="5CF8B140"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2 446 347</w:t>
            </w:r>
          </w:p>
        </w:tc>
      </w:tr>
      <w:tr w:rsidR="00173478" w:rsidRPr="008E28A6" w14:paraId="439A9D97" w14:textId="77777777" w:rsidTr="001E40E2">
        <w:trPr>
          <w:trHeight w:val="240"/>
        </w:trPr>
        <w:tc>
          <w:tcPr>
            <w:tcW w:w="684" w:type="dxa"/>
            <w:shd w:val="clear" w:color="auto" w:fill="auto"/>
            <w:hideMark/>
          </w:tcPr>
          <w:p w14:paraId="73AD5ED4"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15</w:t>
            </w:r>
          </w:p>
        </w:tc>
        <w:tc>
          <w:tcPr>
            <w:tcW w:w="7680" w:type="dxa"/>
            <w:shd w:val="clear" w:color="auto" w:fill="auto"/>
            <w:noWrap/>
            <w:vAlign w:val="center"/>
            <w:hideMark/>
          </w:tcPr>
          <w:p w14:paraId="5D1BEF6A"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Strengthening the capacity of developing countries to participate in the MRV arrangements under the Convention and the transparency framework under the Paris Agreement</w:t>
            </w:r>
          </w:p>
        </w:tc>
        <w:tc>
          <w:tcPr>
            <w:tcW w:w="1275" w:type="dxa"/>
            <w:shd w:val="clear" w:color="auto" w:fill="auto"/>
          </w:tcPr>
          <w:p w14:paraId="13BC8DDA"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733 442</w:t>
            </w:r>
          </w:p>
        </w:tc>
      </w:tr>
      <w:tr w:rsidR="00173478" w:rsidRPr="008E28A6" w14:paraId="7BB2CC44" w14:textId="77777777" w:rsidTr="001E40E2">
        <w:trPr>
          <w:trHeight w:val="240"/>
        </w:trPr>
        <w:tc>
          <w:tcPr>
            <w:tcW w:w="684" w:type="dxa"/>
            <w:shd w:val="clear" w:color="auto" w:fill="auto"/>
            <w:hideMark/>
          </w:tcPr>
          <w:p w14:paraId="1D9C88F1"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16</w:t>
            </w:r>
          </w:p>
        </w:tc>
        <w:tc>
          <w:tcPr>
            <w:tcW w:w="7680" w:type="dxa"/>
            <w:shd w:val="clear" w:color="auto" w:fill="auto"/>
            <w:noWrap/>
            <w:vAlign w:val="center"/>
            <w:hideMark/>
          </w:tcPr>
          <w:p w14:paraId="193E4C49"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activities relating to training of experts for technical reviews of developed country Parties’ submissions and technical analysis of developing country Parties’ submissions, roster of experts and meeting of lead reviewers</w:t>
            </w:r>
          </w:p>
        </w:tc>
        <w:tc>
          <w:tcPr>
            <w:tcW w:w="1275" w:type="dxa"/>
            <w:shd w:val="clear" w:color="auto" w:fill="auto"/>
          </w:tcPr>
          <w:p w14:paraId="060151FB"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2 006 000</w:t>
            </w:r>
          </w:p>
        </w:tc>
      </w:tr>
      <w:tr w:rsidR="00173478" w:rsidRPr="008E28A6" w14:paraId="63FA9B83" w14:textId="77777777" w:rsidTr="001E40E2">
        <w:trPr>
          <w:trHeight w:val="240"/>
        </w:trPr>
        <w:tc>
          <w:tcPr>
            <w:tcW w:w="684" w:type="dxa"/>
            <w:shd w:val="clear" w:color="auto" w:fill="auto"/>
            <w:hideMark/>
          </w:tcPr>
          <w:p w14:paraId="155354DA"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17</w:t>
            </w:r>
          </w:p>
        </w:tc>
        <w:tc>
          <w:tcPr>
            <w:tcW w:w="7680" w:type="dxa"/>
            <w:shd w:val="clear" w:color="auto" w:fill="auto"/>
            <w:noWrap/>
            <w:vAlign w:val="center"/>
            <w:hideMark/>
          </w:tcPr>
          <w:p w14:paraId="38EAE452"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implementation of technical reviews of GHG inventories from Annex I Parties</w:t>
            </w:r>
          </w:p>
        </w:tc>
        <w:tc>
          <w:tcPr>
            <w:tcW w:w="1275" w:type="dxa"/>
            <w:shd w:val="clear" w:color="auto" w:fill="auto"/>
          </w:tcPr>
          <w:p w14:paraId="2645EF50"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1 095 580</w:t>
            </w:r>
          </w:p>
        </w:tc>
      </w:tr>
      <w:tr w:rsidR="00173478" w:rsidRPr="008E28A6" w14:paraId="7A136E70" w14:textId="77777777" w:rsidTr="001E40E2">
        <w:trPr>
          <w:trHeight w:val="240"/>
        </w:trPr>
        <w:tc>
          <w:tcPr>
            <w:tcW w:w="684" w:type="dxa"/>
            <w:shd w:val="clear" w:color="auto" w:fill="auto"/>
            <w:hideMark/>
          </w:tcPr>
          <w:p w14:paraId="202CED6C"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18</w:t>
            </w:r>
          </w:p>
        </w:tc>
        <w:tc>
          <w:tcPr>
            <w:tcW w:w="7680" w:type="dxa"/>
            <w:shd w:val="clear" w:color="auto" w:fill="auto"/>
            <w:noWrap/>
            <w:vAlign w:val="center"/>
            <w:hideMark/>
          </w:tcPr>
          <w:p w14:paraId="769D133C"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implementation of the work programme of the SCF and climate finance mandated activities</w:t>
            </w:r>
          </w:p>
        </w:tc>
        <w:tc>
          <w:tcPr>
            <w:tcW w:w="1275" w:type="dxa"/>
            <w:shd w:val="clear" w:color="auto" w:fill="auto"/>
          </w:tcPr>
          <w:p w14:paraId="02F7DE2F"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1 516 799</w:t>
            </w:r>
          </w:p>
        </w:tc>
      </w:tr>
      <w:tr w:rsidR="00173478" w:rsidRPr="008E28A6" w14:paraId="3F6493D8" w14:textId="77777777" w:rsidTr="001E40E2">
        <w:trPr>
          <w:trHeight w:val="240"/>
        </w:trPr>
        <w:tc>
          <w:tcPr>
            <w:tcW w:w="684" w:type="dxa"/>
            <w:shd w:val="clear" w:color="auto" w:fill="auto"/>
            <w:hideMark/>
          </w:tcPr>
          <w:p w14:paraId="5680B5D3"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19</w:t>
            </w:r>
          </w:p>
        </w:tc>
        <w:tc>
          <w:tcPr>
            <w:tcW w:w="7680" w:type="dxa"/>
            <w:shd w:val="clear" w:color="auto" w:fill="auto"/>
            <w:noWrap/>
            <w:vAlign w:val="center"/>
            <w:hideMark/>
          </w:tcPr>
          <w:p w14:paraId="22CC493A"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tracking and transparency of support, including the preparation of the biennial assessment and overview of climate finance flows</w:t>
            </w:r>
          </w:p>
        </w:tc>
        <w:tc>
          <w:tcPr>
            <w:tcW w:w="1275" w:type="dxa"/>
            <w:shd w:val="clear" w:color="auto" w:fill="auto"/>
          </w:tcPr>
          <w:p w14:paraId="12220D4A"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192 100</w:t>
            </w:r>
          </w:p>
        </w:tc>
      </w:tr>
      <w:tr w:rsidR="00173478" w:rsidRPr="008E28A6" w14:paraId="3DF6A5FD" w14:textId="77777777" w:rsidTr="001E40E2">
        <w:trPr>
          <w:trHeight w:val="240"/>
        </w:trPr>
        <w:tc>
          <w:tcPr>
            <w:tcW w:w="684" w:type="dxa"/>
            <w:shd w:val="clear" w:color="auto" w:fill="auto"/>
            <w:hideMark/>
          </w:tcPr>
          <w:p w14:paraId="108895A5"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20</w:t>
            </w:r>
          </w:p>
        </w:tc>
        <w:tc>
          <w:tcPr>
            <w:tcW w:w="7680" w:type="dxa"/>
            <w:shd w:val="clear" w:color="auto" w:fill="auto"/>
            <w:noWrap/>
            <w:vAlign w:val="center"/>
            <w:hideMark/>
          </w:tcPr>
          <w:p w14:paraId="62E19C0D"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implementation of the IAR process for developed country Parties and the ICA process for developing country Parties</w:t>
            </w:r>
          </w:p>
        </w:tc>
        <w:tc>
          <w:tcPr>
            <w:tcW w:w="1275" w:type="dxa"/>
            <w:shd w:val="clear" w:color="auto" w:fill="auto"/>
          </w:tcPr>
          <w:p w14:paraId="042C9902"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2 400 295</w:t>
            </w:r>
          </w:p>
        </w:tc>
      </w:tr>
      <w:tr w:rsidR="00173478" w:rsidRPr="008E28A6" w14:paraId="59E87CCE" w14:textId="77777777" w:rsidTr="001E40E2">
        <w:trPr>
          <w:trHeight w:val="240"/>
        </w:trPr>
        <w:tc>
          <w:tcPr>
            <w:tcW w:w="684" w:type="dxa"/>
            <w:shd w:val="clear" w:color="auto" w:fill="auto"/>
            <w:hideMark/>
          </w:tcPr>
          <w:p w14:paraId="3A4AA098"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21</w:t>
            </w:r>
          </w:p>
        </w:tc>
        <w:tc>
          <w:tcPr>
            <w:tcW w:w="7680" w:type="dxa"/>
            <w:shd w:val="clear" w:color="auto" w:fill="auto"/>
            <w:noWrap/>
            <w:vAlign w:val="center"/>
            <w:hideMark/>
          </w:tcPr>
          <w:p w14:paraId="5BFFBE36"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work of the CGE in assisting developing countries with the implementation of the MRV/transparency frameworks</w:t>
            </w:r>
          </w:p>
        </w:tc>
        <w:tc>
          <w:tcPr>
            <w:tcW w:w="1275" w:type="dxa"/>
            <w:shd w:val="clear" w:color="auto" w:fill="auto"/>
          </w:tcPr>
          <w:p w14:paraId="7D30F308"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3 018 050</w:t>
            </w:r>
          </w:p>
        </w:tc>
      </w:tr>
      <w:tr w:rsidR="00173478" w:rsidRPr="008E28A6" w14:paraId="73ABDD0A" w14:textId="77777777" w:rsidTr="001E40E2">
        <w:trPr>
          <w:trHeight w:val="240"/>
        </w:trPr>
        <w:tc>
          <w:tcPr>
            <w:tcW w:w="684" w:type="dxa"/>
            <w:shd w:val="clear" w:color="auto" w:fill="auto"/>
            <w:hideMark/>
          </w:tcPr>
          <w:p w14:paraId="4708D143" w14:textId="77777777" w:rsidR="00173478" w:rsidRPr="00BE6844" w:rsidRDefault="00173478" w:rsidP="001E40E2">
            <w:pPr>
              <w:suppressAutoHyphens w:val="0"/>
              <w:spacing w:before="40" w:after="80" w:line="220" w:lineRule="exact"/>
              <w:jc w:val="center"/>
              <w:rPr>
                <w:rFonts w:eastAsia="MS Mincho"/>
                <w:sz w:val="18"/>
                <w:szCs w:val="18"/>
                <w:lang w:eastAsia="de-DE"/>
              </w:rPr>
            </w:pPr>
          </w:p>
        </w:tc>
        <w:tc>
          <w:tcPr>
            <w:tcW w:w="7680" w:type="dxa"/>
            <w:shd w:val="clear" w:color="auto" w:fill="auto"/>
            <w:noWrap/>
            <w:vAlign w:val="center"/>
            <w:hideMark/>
          </w:tcPr>
          <w:p w14:paraId="3850DCCB" w14:textId="77777777" w:rsidR="00173478" w:rsidRPr="00BE6844" w:rsidRDefault="00173478" w:rsidP="001E40E2">
            <w:pPr>
              <w:suppressAutoHyphens w:val="0"/>
              <w:spacing w:before="40" w:after="80" w:line="220" w:lineRule="exact"/>
              <w:rPr>
                <w:rFonts w:eastAsia="MS Mincho"/>
                <w:i/>
                <w:sz w:val="18"/>
                <w:szCs w:val="18"/>
                <w:lang w:eastAsia="de-DE"/>
              </w:rPr>
            </w:pPr>
            <w:r w:rsidRPr="00BE6844">
              <w:rPr>
                <w:rFonts w:eastAsia="MS Mincho"/>
                <w:i/>
                <w:sz w:val="18"/>
                <w:szCs w:val="18"/>
                <w:lang w:eastAsia="de-DE"/>
              </w:rPr>
              <w:t>Infrastructure support to implementation</w:t>
            </w:r>
          </w:p>
        </w:tc>
        <w:tc>
          <w:tcPr>
            <w:tcW w:w="1275" w:type="dxa"/>
            <w:shd w:val="clear" w:color="auto" w:fill="auto"/>
          </w:tcPr>
          <w:p w14:paraId="11332F57" w14:textId="77777777" w:rsidR="00173478" w:rsidRPr="00BE6844" w:rsidRDefault="00173478" w:rsidP="001E40E2">
            <w:pPr>
              <w:suppressAutoHyphens w:val="0"/>
              <w:spacing w:before="40" w:after="80" w:line="220" w:lineRule="exact"/>
              <w:jc w:val="right"/>
              <w:rPr>
                <w:rFonts w:eastAsia="MS Mincho"/>
                <w:sz w:val="18"/>
                <w:szCs w:val="18"/>
                <w:lang w:eastAsia="de-DE"/>
              </w:rPr>
            </w:pPr>
          </w:p>
        </w:tc>
      </w:tr>
      <w:tr w:rsidR="00173478" w:rsidRPr="008E28A6" w14:paraId="1E699792" w14:textId="77777777" w:rsidTr="001E40E2">
        <w:trPr>
          <w:trHeight w:val="240"/>
        </w:trPr>
        <w:tc>
          <w:tcPr>
            <w:tcW w:w="684" w:type="dxa"/>
            <w:shd w:val="clear" w:color="auto" w:fill="auto"/>
            <w:hideMark/>
          </w:tcPr>
          <w:p w14:paraId="234BD0EE"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22</w:t>
            </w:r>
          </w:p>
        </w:tc>
        <w:tc>
          <w:tcPr>
            <w:tcW w:w="7680" w:type="dxa"/>
            <w:shd w:val="clear" w:color="auto" w:fill="auto"/>
            <w:noWrap/>
            <w:vAlign w:val="center"/>
            <w:hideMark/>
          </w:tcPr>
          <w:p w14:paraId="2E9AFD86"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Connecting stakeholders</w:t>
            </w:r>
          </w:p>
        </w:tc>
        <w:tc>
          <w:tcPr>
            <w:tcW w:w="1275" w:type="dxa"/>
            <w:shd w:val="clear" w:color="auto" w:fill="auto"/>
          </w:tcPr>
          <w:p w14:paraId="0AFCC6F7"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390 980</w:t>
            </w:r>
          </w:p>
        </w:tc>
      </w:tr>
      <w:tr w:rsidR="00173478" w:rsidRPr="008E28A6" w14:paraId="78D364CF" w14:textId="77777777" w:rsidTr="001E40E2">
        <w:trPr>
          <w:trHeight w:val="240"/>
        </w:trPr>
        <w:tc>
          <w:tcPr>
            <w:tcW w:w="684" w:type="dxa"/>
            <w:shd w:val="clear" w:color="auto" w:fill="auto"/>
            <w:hideMark/>
          </w:tcPr>
          <w:p w14:paraId="53E88B76"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23</w:t>
            </w:r>
          </w:p>
        </w:tc>
        <w:tc>
          <w:tcPr>
            <w:tcW w:w="7680" w:type="dxa"/>
            <w:shd w:val="clear" w:color="auto" w:fill="auto"/>
            <w:noWrap/>
            <w:vAlign w:val="center"/>
            <w:hideMark/>
          </w:tcPr>
          <w:p w14:paraId="1B3B1C64"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Enhancing the value of UNFCCC data and reports for use by Parties</w:t>
            </w:r>
          </w:p>
        </w:tc>
        <w:tc>
          <w:tcPr>
            <w:tcW w:w="1275" w:type="dxa"/>
            <w:shd w:val="clear" w:color="auto" w:fill="auto"/>
          </w:tcPr>
          <w:p w14:paraId="45BCD8BB"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846 370</w:t>
            </w:r>
          </w:p>
        </w:tc>
      </w:tr>
      <w:tr w:rsidR="00173478" w:rsidRPr="008E28A6" w14:paraId="3A42038D" w14:textId="77777777" w:rsidTr="001E40E2">
        <w:trPr>
          <w:trHeight w:val="240"/>
        </w:trPr>
        <w:tc>
          <w:tcPr>
            <w:tcW w:w="684" w:type="dxa"/>
            <w:shd w:val="clear" w:color="auto" w:fill="auto"/>
            <w:hideMark/>
          </w:tcPr>
          <w:p w14:paraId="60CF4219" w14:textId="77777777" w:rsidR="00173478" w:rsidRPr="00BE6844" w:rsidRDefault="00173478" w:rsidP="001E40E2">
            <w:pPr>
              <w:suppressAutoHyphens w:val="0"/>
              <w:spacing w:before="40" w:after="80" w:line="220" w:lineRule="exact"/>
              <w:jc w:val="center"/>
              <w:rPr>
                <w:rFonts w:eastAsia="MS Mincho"/>
                <w:sz w:val="18"/>
                <w:szCs w:val="18"/>
                <w:lang w:eastAsia="de-DE"/>
              </w:rPr>
            </w:pPr>
          </w:p>
        </w:tc>
        <w:tc>
          <w:tcPr>
            <w:tcW w:w="7680" w:type="dxa"/>
            <w:shd w:val="clear" w:color="auto" w:fill="auto"/>
            <w:noWrap/>
            <w:vAlign w:val="center"/>
            <w:hideMark/>
          </w:tcPr>
          <w:p w14:paraId="0A279E50" w14:textId="77777777" w:rsidR="00173478" w:rsidRPr="00BE6844" w:rsidRDefault="00173478" w:rsidP="001E40E2">
            <w:pPr>
              <w:suppressAutoHyphens w:val="0"/>
              <w:spacing w:before="40" w:after="80" w:line="220" w:lineRule="exact"/>
              <w:rPr>
                <w:rFonts w:eastAsia="MS Mincho"/>
                <w:i/>
                <w:sz w:val="18"/>
                <w:szCs w:val="18"/>
                <w:lang w:eastAsia="de-DE"/>
              </w:rPr>
            </w:pPr>
            <w:r w:rsidRPr="00BE6844">
              <w:rPr>
                <w:rFonts w:eastAsia="MS Mincho"/>
                <w:i/>
                <w:sz w:val="18"/>
                <w:szCs w:val="18"/>
                <w:lang w:eastAsia="de-DE"/>
              </w:rPr>
              <w:t>Kyoto Protocol</w:t>
            </w:r>
          </w:p>
        </w:tc>
        <w:tc>
          <w:tcPr>
            <w:tcW w:w="1275" w:type="dxa"/>
            <w:shd w:val="clear" w:color="auto" w:fill="auto"/>
          </w:tcPr>
          <w:p w14:paraId="2CF125C0" w14:textId="77777777" w:rsidR="00173478" w:rsidRPr="00BE6844" w:rsidRDefault="00173478" w:rsidP="001E40E2">
            <w:pPr>
              <w:suppressAutoHyphens w:val="0"/>
              <w:spacing w:before="40" w:after="80" w:line="220" w:lineRule="exact"/>
              <w:jc w:val="right"/>
              <w:rPr>
                <w:rFonts w:eastAsia="MS Mincho"/>
                <w:sz w:val="18"/>
                <w:szCs w:val="18"/>
                <w:lang w:eastAsia="de-DE"/>
              </w:rPr>
            </w:pPr>
          </w:p>
        </w:tc>
      </w:tr>
      <w:tr w:rsidR="00173478" w:rsidRPr="008E28A6" w14:paraId="49FE38C5" w14:textId="77777777" w:rsidTr="001E40E2">
        <w:trPr>
          <w:trHeight w:val="240"/>
        </w:trPr>
        <w:tc>
          <w:tcPr>
            <w:tcW w:w="684" w:type="dxa"/>
            <w:shd w:val="clear" w:color="auto" w:fill="auto"/>
            <w:hideMark/>
          </w:tcPr>
          <w:p w14:paraId="118F1908"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24</w:t>
            </w:r>
          </w:p>
        </w:tc>
        <w:tc>
          <w:tcPr>
            <w:tcW w:w="7680" w:type="dxa"/>
            <w:shd w:val="clear" w:color="auto" w:fill="auto"/>
            <w:noWrap/>
            <w:vAlign w:val="center"/>
            <w:hideMark/>
          </w:tcPr>
          <w:p w14:paraId="39C01575"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activities of the Compliance Committee</w:t>
            </w:r>
          </w:p>
        </w:tc>
        <w:tc>
          <w:tcPr>
            <w:tcW w:w="1275" w:type="dxa"/>
            <w:shd w:val="clear" w:color="auto" w:fill="auto"/>
          </w:tcPr>
          <w:p w14:paraId="19040345"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447 480</w:t>
            </w:r>
          </w:p>
        </w:tc>
      </w:tr>
      <w:tr w:rsidR="00173478" w:rsidRPr="008E28A6" w14:paraId="4DF16A91" w14:textId="77777777" w:rsidTr="001E40E2">
        <w:trPr>
          <w:trHeight w:val="240"/>
        </w:trPr>
        <w:tc>
          <w:tcPr>
            <w:tcW w:w="684" w:type="dxa"/>
            <w:tcBorders>
              <w:bottom w:val="nil"/>
            </w:tcBorders>
            <w:shd w:val="clear" w:color="auto" w:fill="auto"/>
            <w:hideMark/>
          </w:tcPr>
          <w:p w14:paraId="38D4BB14"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lastRenderedPageBreak/>
              <w:t>25</w:t>
            </w:r>
          </w:p>
        </w:tc>
        <w:tc>
          <w:tcPr>
            <w:tcW w:w="7680" w:type="dxa"/>
            <w:tcBorders>
              <w:bottom w:val="nil"/>
            </w:tcBorders>
            <w:shd w:val="clear" w:color="auto" w:fill="auto"/>
            <w:noWrap/>
            <w:vAlign w:val="center"/>
            <w:hideMark/>
          </w:tcPr>
          <w:p w14:paraId="5419BC1D"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Maintaining and enhancing the compilation and accounting database under the Kyoto Protocol</w:t>
            </w:r>
          </w:p>
        </w:tc>
        <w:tc>
          <w:tcPr>
            <w:tcW w:w="1275" w:type="dxa"/>
            <w:tcBorders>
              <w:bottom w:val="nil"/>
            </w:tcBorders>
            <w:shd w:val="clear" w:color="auto" w:fill="auto"/>
          </w:tcPr>
          <w:p w14:paraId="7A529A2B"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238 859</w:t>
            </w:r>
          </w:p>
        </w:tc>
      </w:tr>
      <w:tr w:rsidR="00173478" w:rsidRPr="008E28A6" w14:paraId="6548BA5F" w14:textId="77777777" w:rsidTr="001E40E2">
        <w:trPr>
          <w:trHeight w:val="240"/>
        </w:trPr>
        <w:tc>
          <w:tcPr>
            <w:tcW w:w="684" w:type="dxa"/>
            <w:tcBorders>
              <w:bottom w:val="single" w:sz="4" w:space="0" w:color="auto"/>
            </w:tcBorders>
            <w:shd w:val="clear" w:color="auto" w:fill="auto"/>
          </w:tcPr>
          <w:p w14:paraId="41921BC3"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26</w:t>
            </w:r>
          </w:p>
        </w:tc>
        <w:tc>
          <w:tcPr>
            <w:tcW w:w="7680" w:type="dxa"/>
            <w:tcBorders>
              <w:bottom w:val="single" w:sz="4" w:space="0" w:color="auto"/>
            </w:tcBorders>
            <w:shd w:val="clear" w:color="auto" w:fill="auto"/>
            <w:noWrap/>
            <w:vAlign w:val="center"/>
          </w:tcPr>
          <w:p w14:paraId="1D3FCE93"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and optimizing the operation of joint implementation</w:t>
            </w:r>
          </w:p>
        </w:tc>
        <w:tc>
          <w:tcPr>
            <w:tcW w:w="1275" w:type="dxa"/>
            <w:tcBorders>
              <w:bottom w:val="single" w:sz="4" w:space="0" w:color="auto"/>
            </w:tcBorders>
            <w:shd w:val="clear" w:color="auto" w:fill="auto"/>
          </w:tcPr>
          <w:p w14:paraId="33E4A2DD"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1 549 794</w:t>
            </w:r>
          </w:p>
        </w:tc>
      </w:tr>
      <w:tr w:rsidR="00173478" w:rsidRPr="008E28A6" w14:paraId="3C280AED" w14:textId="77777777" w:rsidTr="001E40E2">
        <w:trPr>
          <w:trHeight w:val="240"/>
        </w:trPr>
        <w:tc>
          <w:tcPr>
            <w:tcW w:w="684" w:type="dxa"/>
            <w:tcBorders>
              <w:top w:val="single" w:sz="4" w:space="0" w:color="auto"/>
            </w:tcBorders>
            <w:shd w:val="clear" w:color="auto" w:fill="auto"/>
            <w:hideMark/>
          </w:tcPr>
          <w:p w14:paraId="3222B04B" w14:textId="77777777" w:rsidR="00173478" w:rsidRPr="00BE6844" w:rsidRDefault="00173478" w:rsidP="001E40E2">
            <w:pPr>
              <w:suppressAutoHyphens w:val="0"/>
              <w:spacing w:before="40" w:after="80" w:line="220" w:lineRule="exact"/>
              <w:jc w:val="center"/>
              <w:rPr>
                <w:rFonts w:eastAsia="MS Mincho"/>
                <w:sz w:val="18"/>
                <w:szCs w:val="18"/>
                <w:lang w:eastAsia="de-DE"/>
              </w:rPr>
            </w:pPr>
          </w:p>
        </w:tc>
        <w:tc>
          <w:tcPr>
            <w:tcW w:w="7680" w:type="dxa"/>
            <w:tcBorders>
              <w:top w:val="single" w:sz="4" w:space="0" w:color="auto"/>
            </w:tcBorders>
            <w:shd w:val="clear" w:color="auto" w:fill="auto"/>
            <w:noWrap/>
            <w:vAlign w:val="center"/>
            <w:hideMark/>
          </w:tcPr>
          <w:p w14:paraId="77D208A8" w14:textId="77777777" w:rsidR="00173478" w:rsidRPr="00BE6844" w:rsidRDefault="00173478" w:rsidP="001E40E2">
            <w:pPr>
              <w:suppressAutoHyphens w:val="0"/>
              <w:spacing w:before="40" w:after="80" w:line="220" w:lineRule="exact"/>
              <w:rPr>
                <w:rFonts w:eastAsia="MS Mincho"/>
                <w:b/>
                <w:sz w:val="18"/>
                <w:szCs w:val="18"/>
                <w:lang w:eastAsia="de-DE"/>
              </w:rPr>
            </w:pPr>
            <w:r w:rsidRPr="00BE6844">
              <w:rPr>
                <w:rFonts w:eastAsia="MS Mincho"/>
                <w:b/>
                <w:sz w:val="18"/>
                <w:szCs w:val="18"/>
                <w:lang w:eastAsia="de-DE"/>
              </w:rPr>
              <w:t>Catalysing climate action (Party and non-Party stakeholders)</w:t>
            </w:r>
          </w:p>
        </w:tc>
        <w:tc>
          <w:tcPr>
            <w:tcW w:w="1275" w:type="dxa"/>
            <w:tcBorders>
              <w:top w:val="single" w:sz="4" w:space="0" w:color="auto"/>
            </w:tcBorders>
            <w:shd w:val="clear" w:color="auto" w:fill="auto"/>
          </w:tcPr>
          <w:p w14:paraId="4FA305F3" w14:textId="77777777" w:rsidR="00173478" w:rsidRPr="00BE6844" w:rsidRDefault="00173478" w:rsidP="001E40E2">
            <w:pPr>
              <w:suppressAutoHyphens w:val="0"/>
              <w:spacing w:before="40" w:after="80" w:line="220" w:lineRule="exact"/>
              <w:jc w:val="right"/>
              <w:rPr>
                <w:rFonts w:eastAsia="MS Mincho"/>
                <w:sz w:val="18"/>
                <w:szCs w:val="18"/>
                <w:lang w:eastAsia="de-DE"/>
              </w:rPr>
            </w:pPr>
          </w:p>
        </w:tc>
      </w:tr>
      <w:tr w:rsidR="00173478" w:rsidRPr="008E28A6" w14:paraId="5ADA3401" w14:textId="77777777" w:rsidTr="001E40E2">
        <w:trPr>
          <w:trHeight w:val="240"/>
        </w:trPr>
        <w:tc>
          <w:tcPr>
            <w:tcW w:w="684" w:type="dxa"/>
            <w:shd w:val="clear" w:color="auto" w:fill="auto"/>
            <w:hideMark/>
          </w:tcPr>
          <w:p w14:paraId="67380328"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27</w:t>
            </w:r>
          </w:p>
        </w:tc>
        <w:tc>
          <w:tcPr>
            <w:tcW w:w="7680" w:type="dxa"/>
            <w:shd w:val="clear" w:color="auto" w:fill="auto"/>
            <w:noWrap/>
            <w:vAlign w:val="center"/>
            <w:hideMark/>
          </w:tcPr>
          <w:p w14:paraId="6ADE064C"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Boosting climate engagement via online media services</w:t>
            </w:r>
            <w:r w:rsidRPr="00BE6844">
              <w:rPr>
                <w:rFonts w:eastAsia="MS Mincho"/>
                <w:i/>
                <w:sz w:val="18"/>
                <w:szCs w:val="18"/>
                <w:vertAlign w:val="superscript"/>
                <w:lang w:eastAsia="de-DE"/>
              </w:rPr>
              <w:t>b</w:t>
            </w:r>
          </w:p>
        </w:tc>
        <w:tc>
          <w:tcPr>
            <w:tcW w:w="1275" w:type="dxa"/>
            <w:shd w:val="clear" w:color="auto" w:fill="auto"/>
          </w:tcPr>
          <w:p w14:paraId="62A4799C"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2 464 638</w:t>
            </w:r>
          </w:p>
        </w:tc>
      </w:tr>
      <w:tr w:rsidR="00173478" w:rsidRPr="008E28A6" w14:paraId="1D255572" w14:textId="77777777" w:rsidTr="001E40E2">
        <w:trPr>
          <w:trHeight w:val="240"/>
        </w:trPr>
        <w:tc>
          <w:tcPr>
            <w:tcW w:w="684" w:type="dxa"/>
            <w:shd w:val="clear" w:color="auto" w:fill="auto"/>
            <w:hideMark/>
          </w:tcPr>
          <w:p w14:paraId="0009FE82"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28</w:t>
            </w:r>
          </w:p>
        </w:tc>
        <w:tc>
          <w:tcPr>
            <w:tcW w:w="7680" w:type="dxa"/>
            <w:shd w:val="clear" w:color="auto" w:fill="auto"/>
            <w:noWrap/>
            <w:vAlign w:val="center"/>
            <w:hideMark/>
          </w:tcPr>
          <w:p w14:paraId="1A75632C"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Cross-cutting communications and events management of non-Party stakeholder/climate action agenda</w:t>
            </w:r>
          </w:p>
        </w:tc>
        <w:tc>
          <w:tcPr>
            <w:tcW w:w="1275" w:type="dxa"/>
            <w:shd w:val="clear" w:color="auto" w:fill="auto"/>
          </w:tcPr>
          <w:p w14:paraId="246A4D54"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867 185</w:t>
            </w:r>
          </w:p>
        </w:tc>
      </w:tr>
      <w:tr w:rsidR="00173478" w:rsidRPr="008E28A6" w14:paraId="17D848A2" w14:textId="77777777" w:rsidTr="001E40E2">
        <w:trPr>
          <w:trHeight w:val="240"/>
        </w:trPr>
        <w:tc>
          <w:tcPr>
            <w:tcW w:w="684" w:type="dxa"/>
            <w:shd w:val="clear" w:color="auto" w:fill="auto"/>
            <w:hideMark/>
          </w:tcPr>
          <w:p w14:paraId="3C4BB415"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29</w:t>
            </w:r>
          </w:p>
        </w:tc>
        <w:tc>
          <w:tcPr>
            <w:tcW w:w="7680" w:type="dxa"/>
            <w:shd w:val="clear" w:color="auto" w:fill="auto"/>
            <w:noWrap/>
            <w:vAlign w:val="center"/>
            <w:hideMark/>
          </w:tcPr>
          <w:p w14:paraId="3F484FE9"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 xml:space="preserve">Education and youth engagement – Action for Climate Empowerment </w:t>
            </w:r>
          </w:p>
        </w:tc>
        <w:tc>
          <w:tcPr>
            <w:tcW w:w="1275" w:type="dxa"/>
            <w:shd w:val="clear" w:color="auto" w:fill="auto"/>
          </w:tcPr>
          <w:p w14:paraId="542E8605"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538 106</w:t>
            </w:r>
          </w:p>
        </w:tc>
      </w:tr>
      <w:tr w:rsidR="00173478" w:rsidRPr="008E28A6" w14:paraId="7BE656A6" w14:textId="77777777" w:rsidTr="001E40E2">
        <w:trPr>
          <w:trHeight w:val="240"/>
        </w:trPr>
        <w:tc>
          <w:tcPr>
            <w:tcW w:w="684" w:type="dxa"/>
            <w:shd w:val="clear" w:color="auto" w:fill="auto"/>
            <w:hideMark/>
          </w:tcPr>
          <w:p w14:paraId="5F672805"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30</w:t>
            </w:r>
          </w:p>
        </w:tc>
        <w:tc>
          <w:tcPr>
            <w:tcW w:w="7680" w:type="dxa"/>
            <w:shd w:val="clear" w:color="auto" w:fill="auto"/>
            <w:noWrap/>
            <w:vAlign w:val="center"/>
            <w:hideMark/>
          </w:tcPr>
          <w:p w14:paraId="1377385D"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Momentum for Change – global awards for accelerated climate ambition</w:t>
            </w:r>
            <w:r w:rsidRPr="00BE6844">
              <w:rPr>
                <w:rFonts w:eastAsia="MS Mincho"/>
                <w:i/>
                <w:sz w:val="18"/>
                <w:szCs w:val="18"/>
                <w:vertAlign w:val="superscript"/>
                <w:lang w:eastAsia="de-DE"/>
              </w:rPr>
              <w:t>c</w:t>
            </w:r>
          </w:p>
        </w:tc>
        <w:tc>
          <w:tcPr>
            <w:tcW w:w="1275" w:type="dxa"/>
            <w:shd w:val="clear" w:color="auto" w:fill="auto"/>
          </w:tcPr>
          <w:p w14:paraId="5FB9F484"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2 753 833</w:t>
            </w:r>
          </w:p>
        </w:tc>
      </w:tr>
      <w:tr w:rsidR="00173478" w:rsidRPr="008E28A6" w14:paraId="55EBAA58" w14:textId="77777777" w:rsidTr="001E40E2">
        <w:trPr>
          <w:trHeight w:val="240"/>
        </w:trPr>
        <w:tc>
          <w:tcPr>
            <w:tcW w:w="684" w:type="dxa"/>
            <w:shd w:val="clear" w:color="auto" w:fill="auto"/>
            <w:hideMark/>
          </w:tcPr>
          <w:p w14:paraId="4E971152"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31</w:t>
            </w:r>
          </w:p>
        </w:tc>
        <w:tc>
          <w:tcPr>
            <w:tcW w:w="7680" w:type="dxa"/>
            <w:shd w:val="clear" w:color="auto" w:fill="auto"/>
            <w:noWrap/>
            <w:vAlign w:val="center"/>
            <w:hideMark/>
          </w:tcPr>
          <w:p w14:paraId="148049BD"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Strengthening the technical examination process on mitigation: supporting the implementation of pre-2020 mitigation-related activities stemming from decision 1/CP.21</w:t>
            </w:r>
          </w:p>
        </w:tc>
        <w:tc>
          <w:tcPr>
            <w:tcW w:w="1275" w:type="dxa"/>
            <w:shd w:val="clear" w:color="auto" w:fill="auto"/>
          </w:tcPr>
          <w:p w14:paraId="18998E10"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920 064</w:t>
            </w:r>
          </w:p>
        </w:tc>
      </w:tr>
      <w:tr w:rsidR="00173478" w:rsidRPr="008E28A6" w14:paraId="620DA9C2" w14:textId="77777777" w:rsidTr="001E40E2">
        <w:trPr>
          <w:trHeight w:val="240"/>
        </w:trPr>
        <w:tc>
          <w:tcPr>
            <w:tcW w:w="684" w:type="dxa"/>
            <w:shd w:val="clear" w:color="auto" w:fill="auto"/>
            <w:hideMark/>
          </w:tcPr>
          <w:p w14:paraId="4CF2C417"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32</w:t>
            </w:r>
          </w:p>
        </w:tc>
        <w:tc>
          <w:tcPr>
            <w:tcW w:w="7680" w:type="dxa"/>
            <w:shd w:val="clear" w:color="auto" w:fill="auto"/>
            <w:noWrap/>
            <w:vAlign w:val="center"/>
            <w:hideMark/>
          </w:tcPr>
          <w:p w14:paraId="18598332"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climate action</w:t>
            </w:r>
            <w:r w:rsidRPr="00BE6844">
              <w:rPr>
                <w:rFonts w:eastAsia="MS Mincho"/>
                <w:i/>
                <w:sz w:val="18"/>
                <w:szCs w:val="18"/>
                <w:vertAlign w:val="superscript"/>
                <w:lang w:eastAsia="de-DE"/>
              </w:rPr>
              <w:t>b</w:t>
            </w:r>
          </w:p>
        </w:tc>
        <w:tc>
          <w:tcPr>
            <w:tcW w:w="1275" w:type="dxa"/>
            <w:shd w:val="clear" w:color="auto" w:fill="auto"/>
          </w:tcPr>
          <w:p w14:paraId="3D0ACAAA"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2 879 059</w:t>
            </w:r>
          </w:p>
        </w:tc>
      </w:tr>
      <w:tr w:rsidR="00173478" w:rsidRPr="008E28A6" w14:paraId="71F1334E" w14:textId="77777777" w:rsidTr="001E40E2">
        <w:trPr>
          <w:trHeight w:val="240"/>
        </w:trPr>
        <w:tc>
          <w:tcPr>
            <w:tcW w:w="684" w:type="dxa"/>
            <w:tcBorders>
              <w:bottom w:val="single" w:sz="4" w:space="0" w:color="auto"/>
            </w:tcBorders>
            <w:shd w:val="clear" w:color="auto" w:fill="auto"/>
            <w:hideMark/>
          </w:tcPr>
          <w:p w14:paraId="413654B0"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33</w:t>
            </w:r>
          </w:p>
        </w:tc>
        <w:tc>
          <w:tcPr>
            <w:tcW w:w="7680" w:type="dxa"/>
            <w:tcBorders>
              <w:bottom w:val="single" w:sz="4" w:space="0" w:color="auto"/>
            </w:tcBorders>
            <w:shd w:val="clear" w:color="auto" w:fill="auto"/>
            <w:noWrap/>
            <w:vAlign w:val="center"/>
            <w:hideMark/>
          </w:tcPr>
          <w:p w14:paraId="5C5BBC47"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stakeholder engagement in the UNFCCC process</w:t>
            </w:r>
          </w:p>
        </w:tc>
        <w:tc>
          <w:tcPr>
            <w:tcW w:w="1275" w:type="dxa"/>
            <w:tcBorders>
              <w:bottom w:val="single" w:sz="4" w:space="0" w:color="auto"/>
            </w:tcBorders>
            <w:shd w:val="clear" w:color="auto" w:fill="auto"/>
          </w:tcPr>
          <w:p w14:paraId="4652CF8D"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1 127 833</w:t>
            </w:r>
          </w:p>
        </w:tc>
      </w:tr>
      <w:tr w:rsidR="00173478" w:rsidRPr="008E28A6" w14:paraId="49BE3D97" w14:textId="77777777" w:rsidTr="001E40E2">
        <w:trPr>
          <w:trHeight w:val="240"/>
        </w:trPr>
        <w:tc>
          <w:tcPr>
            <w:tcW w:w="684" w:type="dxa"/>
            <w:tcBorders>
              <w:top w:val="single" w:sz="4" w:space="0" w:color="auto"/>
            </w:tcBorders>
            <w:shd w:val="clear" w:color="auto" w:fill="auto"/>
            <w:hideMark/>
          </w:tcPr>
          <w:p w14:paraId="4D4A246E" w14:textId="77777777" w:rsidR="00173478" w:rsidRPr="00BE6844" w:rsidRDefault="00173478" w:rsidP="001E40E2">
            <w:pPr>
              <w:suppressAutoHyphens w:val="0"/>
              <w:spacing w:before="40" w:after="80" w:line="220" w:lineRule="exact"/>
              <w:jc w:val="center"/>
              <w:rPr>
                <w:rFonts w:eastAsia="MS Mincho"/>
                <w:sz w:val="18"/>
                <w:szCs w:val="18"/>
                <w:lang w:eastAsia="de-DE"/>
              </w:rPr>
            </w:pPr>
          </w:p>
        </w:tc>
        <w:tc>
          <w:tcPr>
            <w:tcW w:w="7680" w:type="dxa"/>
            <w:tcBorders>
              <w:top w:val="single" w:sz="4" w:space="0" w:color="auto"/>
            </w:tcBorders>
            <w:shd w:val="clear" w:color="auto" w:fill="auto"/>
            <w:noWrap/>
            <w:vAlign w:val="center"/>
            <w:hideMark/>
          </w:tcPr>
          <w:p w14:paraId="30647BC9" w14:textId="77777777" w:rsidR="00173478" w:rsidRPr="00BE6844" w:rsidRDefault="00173478" w:rsidP="001E40E2">
            <w:pPr>
              <w:suppressAutoHyphens w:val="0"/>
              <w:spacing w:before="40" w:after="80" w:line="220" w:lineRule="exact"/>
              <w:rPr>
                <w:rFonts w:eastAsia="MS Mincho"/>
                <w:b/>
                <w:sz w:val="18"/>
                <w:szCs w:val="18"/>
                <w:lang w:eastAsia="de-DE"/>
              </w:rPr>
            </w:pPr>
            <w:r w:rsidRPr="00BE6844">
              <w:rPr>
                <w:rFonts w:eastAsia="MS Mincho"/>
                <w:b/>
                <w:sz w:val="18"/>
                <w:szCs w:val="18"/>
                <w:lang w:eastAsia="de-DE"/>
              </w:rPr>
              <w:t>Supporting the UNFCCC process</w:t>
            </w:r>
          </w:p>
        </w:tc>
        <w:tc>
          <w:tcPr>
            <w:tcW w:w="1275" w:type="dxa"/>
            <w:tcBorders>
              <w:top w:val="single" w:sz="4" w:space="0" w:color="auto"/>
            </w:tcBorders>
            <w:shd w:val="clear" w:color="auto" w:fill="auto"/>
          </w:tcPr>
          <w:p w14:paraId="19ED901C" w14:textId="77777777" w:rsidR="00173478" w:rsidRPr="00BE6844" w:rsidRDefault="00173478" w:rsidP="001E40E2">
            <w:pPr>
              <w:suppressAutoHyphens w:val="0"/>
              <w:spacing w:before="40" w:after="80" w:line="220" w:lineRule="exact"/>
              <w:jc w:val="right"/>
              <w:rPr>
                <w:rFonts w:eastAsia="MS Mincho"/>
                <w:sz w:val="18"/>
                <w:szCs w:val="18"/>
                <w:lang w:eastAsia="de-DE"/>
              </w:rPr>
            </w:pPr>
          </w:p>
        </w:tc>
      </w:tr>
      <w:tr w:rsidR="00173478" w:rsidRPr="008E28A6" w14:paraId="328D1256" w14:textId="77777777" w:rsidTr="001E40E2">
        <w:trPr>
          <w:trHeight w:val="240"/>
        </w:trPr>
        <w:tc>
          <w:tcPr>
            <w:tcW w:w="684" w:type="dxa"/>
            <w:shd w:val="clear" w:color="auto" w:fill="auto"/>
            <w:hideMark/>
          </w:tcPr>
          <w:p w14:paraId="224DA545"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34</w:t>
            </w:r>
          </w:p>
        </w:tc>
        <w:tc>
          <w:tcPr>
            <w:tcW w:w="7680" w:type="dxa"/>
            <w:shd w:val="clear" w:color="auto" w:fill="auto"/>
            <w:noWrap/>
            <w:vAlign w:val="center"/>
            <w:hideMark/>
          </w:tcPr>
          <w:p w14:paraId="17CA129F"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activities relating to the impact of the implementation of response measures</w:t>
            </w:r>
          </w:p>
        </w:tc>
        <w:tc>
          <w:tcPr>
            <w:tcW w:w="1275" w:type="dxa"/>
            <w:shd w:val="clear" w:color="auto" w:fill="auto"/>
          </w:tcPr>
          <w:p w14:paraId="3E392D56"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909 300</w:t>
            </w:r>
          </w:p>
        </w:tc>
      </w:tr>
      <w:tr w:rsidR="00173478" w:rsidRPr="008E28A6" w14:paraId="231BB865" w14:textId="77777777" w:rsidTr="001E40E2">
        <w:trPr>
          <w:trHeight w:val="240"/>
        </w:trPr>
        <w:tc>
          <w:tcPr>
            <w:tcW w:w="684" w:type="dxa"/>
            <w:shd w:val="clear" w:color="auto" w:fill="auto"/>
            <w:hideMark/>
          </w:tcPr>
          <w:p w14:paraId="69053BC4"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35</w:t>
            </w:r>
          </w:p>
        </w:tc>
        <w:tc>
          <w:tcPr>
            <w:tcW w:w="7680" w:type="dxa"/>
            <w:shd w:val="clear" w:color="auto" w:fill="auto"/>
            <w:noWrap/>
            <w:vAlign w:val="center"/>
            <w:hideMark/>
          </w:tcPr>
          <w:p w14:paraId="08D2B5D5"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Assessing progress towards achieving the long-term goals of the Paris Agreement</w:t>
            </w:r>
          </w:p>
        </w:tc>
        <w:tc>
          <w:tcPr>
            <w:tcW w:w="1275" w:type="dxa"/>
            <w:shd w:val="clear" w:color="auto" w:fill="auto"/>
          </w:tcPr>
          <w:p w14:paraId="169667E0"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633 137</w:t>
            </w:r>
          </w:p>
        </w:tc>
      </w:tr>
      <w:tr w:rsidR="00173478" w:rsidRPr="008E28A6" w14:paraId="39925D9C" w14:textId="77777777" w:rsidTr="001E40E2">
        <w:trPr>
          <w:trHeight w:val="240"/>
        </w:trPr>
        <w:tc>
          <w:tcPr>
            <w:tcW w:w="684" w:type="dxa"/>
            <w:shd w:val="clear" w:color="auto" w:fill="auto"/>
            <w:hideMark/>
          </w:tcPr>
          <w:p w14:paraId="797DC11F"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36</w:t>
            </w:r>
          </w:p>
        </w:tc>
        <w:tc>
          <w:tcPr>
            <w:tcW w:w="7680" w:type="dxa"/>
            <w:shd w:val="clear" w:color="auto" w:fill="auto"/>
            <w:noWrap/>
            <w:vAlign w:val="center"/>
            <w:hideMark/>
          </w:tcPr>
          <w:p w14:paraId="6866B892"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Strengthening gender mainstreaming in climate change action and the UNFCCC process and the secretariat through coordination, collaboration, advocacy and capacity-building</w:t>
            </w:r>
          </w:p>
        </w:tc>
        <w:tc>
          <w:tcPr>
            <w:tcW w:w="1275" w:type="dxa"/>
            <w:shd w:val="clear" w:color="auto" w:fill="auto"/>
          </w:tcPr>
          <w:p w14:paraId="47C3B20C"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797 916</w:t>
            </w:r>
          </w:p>
        </w:tc>
      </w:tr>
      <w:tr w:rsidR="00173478" w:rsidRPr="008E28A6" w14:paraId="0962E477" w14:textId="77777777" w:rsidTr="001E40E2">
        <w:trPr>
          <w:trHeight w:val="240"/>
        </w:trPr>
        <w:tc>
          <w:tcPr>
            <w:tcW w:w="684" w:type="dxa"/>
            <w:shd w:val="clear" w:color="auto" w:fill="auto"/>
            <w:hideMark/>
          </w:tcPr>
          <w:p w14:paraId="3F1E0F0D"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37</w:t>
            </w:r>
          </w:p>
        </w:tc>
        <w:tc>
          <w:tcPr>
            <w:tcW w:w="7680" w:type="dxa"/>
            <w:shd w:val="clear" w:color="auto" w:fill="auto"/>
            <w:noWrap/>
            <w:vAlign w:val="center"/>
            <w:hideMark/>
          </w:tcPr>
          <w:p w14:paraId="7F343658"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 xml:space="preserve">Strengthening the science–policy interface </w:t>
            </w:r>
          </w:p>
        </w:tc>
        <w:tc>
          <w:tcPr>
            <w:tcW w:w="1275" w:type="dxa"/>
            <w:shd w:val="clear" w:color="auto" w:fill="auto"/>
          </w:tcPr>
          <w:p w14:paraId="1115B8E5"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323 180</w:t>
            </w:r>
          </w:p>
        </w:tc>
      </w:tr>
      <w:tr w:rsidR="00173478" w:rsidRPr="008E28A6" w14:paraId="350AC1AE" w14:textId="77777777" w:rsidTr="001E40E2">
        <w:trPr>
          <w:trHeight w:val="240"/>
        </w:trPr>
        <w:tc>
          <w:tcPr>
            <w:tcW w:w="684" w:type="dxa"/>
            <w:tcBorders>
              <w:bottom w:val="single" w:sz="4" w:space="0" w:color="auto"/>
            </w:tcBorders>
            <w:shd w:val="clear" w:color="auto" w:fill="auto"/>
            <w:hideMark/>
          </w:tcPr>
          <w:p w14:paraId="31E35058"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38</w:t>
            </w:r>
          </w:p>
        </w:tc>
        <w:tc>
          <w:tcPr>
            <w:tcW w:w="7680" w:type="dxa"/>
            <w:tcBorders>
              <w:bottom w:val="single" w:sz="4" w:space="0" w:color="auto"/>
            </w:tcBorders>
            <w:shd w:val="clear" w:color="auto" w:fill="auto"/>
            <w:noWrap/>
            <w:vAlign w:val="center"/>
            <w:hideMark/>
          </w:tcPr>
          <w:p w14:paraId="788E12C3"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Supporting the intergovernmental negotiation processes on the development of modalities, procedures and guidelines for the transparency framework under the Paris Agreement</w:t>
            </w:r>
          </w:p>
        </w:tc>
        <w:tc>
          <w:tcPr>
            <w:tcW w:w="1275" w:type="dxa"/>
            <w:tcBorders>
              <w:bottom w:val="single" w:sz="4" w:space="0" w:color="auto"/>
            </w:tcBorders>
            <w:shd w:val="clear" w:color="auto" w:fill="auto"/>
          </w:tcPr>
          <w:p w14:paraId="7D72B806"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450 870</w:t>
            </w:r>
          </w:p>
        </w:tc>
      </w:tr>
      <w:tr w:rsidR="00173478" w:rsidRPr="008E28A6" w14:paraId="7454E1E5" w14:textId="77777777" w:rsidTr="001E40E2">
        <w:trPr>
          <w:trHeight w:val="240"/>
        </w:trPr>
        <w:tc>
          <w:tcPr>
            <w:tcW w:w="684" w:type="dxa"/>
            <w:tcBorders>
              <w:top w:val="nil"/>
            </w:tcBorders>
            <w:shd w:val="clear" w:color="auto" w:fill="auto"/>
            <w:hideMark/>
          </w:tcPr>
          <w:p w14:paraId="797B58C3" w14:textId="77777777" w:rsidR="00173478" w:rsidRPr="00BE6844" w:rsidRDefault="00173478" w:rsidP="001E40E2">
            <w:pPr>
              <w:suppressAutoHyphens w:val="0"/>
              <w:spacing w:before="40" w:after="80" w:line="220" w:lineRule="exact"/>
              <w:jc w:val="center"/>
              <w:rPr>
                <w:rFonts w:eastAsia="MS Mincho"/>
                <w:sz w:val="18"/>
                <w:szCs w:val="18"/>
                <w:lang w:eastAsia="de-DE"/>
              </w:rPr>
            </w:pPr>
          </w:p>
        </w:tc>
        <w:tc>
          <w:tcPr>
            <w:tcW w:w="7680" w:type="dxa"/>
            <w:tcBorders>
              <w:top w:val="nil"/>
            </w:tcBorders>
            <w:shd w:val="clear" w:color="auto" w:fill="auto"/>
            <w:noWrap/>
            <w:vAlign w:val="center"/>
            <w:hideMark/>
          </w:tcPr>
          <w:p w14:paraId="0C0929ED" w14:textId="77777777" w:rsidR="00173478" w:rsidRPr="00BE6844" w:rsidRDefault="00173478" w:rsidP="001E40E2">
            <w:pPr>
              <w:keepNext/>
              <w:keepLines/>
              <w:suppressAutoHyphens w:val="0"/>
              <w:spacing w:before="40" w:after="80" w:line="220" w:lineRule="exact"/>
              <w:rPr>
                <w:rFonts w:eastAsia="MS Mincho"/>
                <w:b/>
                <w:sz w:val="18"/>
                <w:szCs w:val="18"/>
                <w:lang w:eastAsia="de-DE"/>
              </w:rPr>
            </w:pPr>
            <w:r w:rsidRPr="00BE6844">
              <w:rPr>
                <w:rFonts w:eastAsia="MS Mincho"/>
                <w:b/>
                <w:sz w:val="18"/>
                <w:szCs w:val="18"/>
                <w:lang w:eastAsia="de-DE"/>
              </w:rPr>
              <w:t>Modernizing information and communication technology infrastructure</w:t>
            </w:r>
          </w:p>
        </w:tc>
        <w:tc>
          <w:tcPr>
            <w:tcW w:w="1275" w:type="dxa"/>
            <w:tcBorders>
              <w:top w:val="nil"/>
            </w:tcBorders>
            <w:shd w:val="clear" w:color="auto" w:fill="auto"/>
          </w:tcPr>
          <w:p w14:paraId="569A30F4" w14:textId="77777777" w:rsidR="00173478" w:rsidRPr="00BE6844" w:rsidRDefault="00173478" w:rsidP="001E40E2">
            <w:pPr>
              <w:suppressAutoHyphens w:val="0"/>
              <w:spacing w:before="40" w:after="80" w:line="220" w:lineRule="exact"/>
              <w:jc w:val="right"/>
              <w:rPr>
                <w:rFonts w:eastAsia="MS Mincho"/>
                <w:sz w:val="18"/>
                <w:szCs w:val="18"/>
                <w:lang w:eastAsia="de-DE"/>
              </w:rPr>
            </w:pPr>
          </w:p>
        </w:tc>
      </w:tr>
      <w:tr w:rsidR="00173478" w:rsidRPr="008E28A6" w14:paraId="50DEBD68" w14:textId="77777777" w:rsidTr="001E40E2">
        <w:trPr>
          <w:trHeight w:val="240"/>
        </w:trPr>
        <w:tc>
          <w:tcPr>
            <w:tcW w:w="684" w:type="dxa"/>
            <w:shd w:val="clear" w:color="auto" w:fill="auto"/>
            <w:hideMark/>
          </w:tcPr>
          <w:p w14:paraId="776B058D"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39</w:t>
            </w:r>
          </w:p>
        </w:tc>
        <w:tc>
          <w:tcPr>
            <w:tcW w:w="7680" w:type="dxa"/>
            <w:shd w:val="clear" w:color="auto" w:fill="auto"/>
            <w:noWrap/>
            <w:vAlign w:val="center"/>
            <w:hideMark/>
          </w:tcPr>
          <w:p w14:paraId="5FC0D9B2"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Strengthening UNFCCC cyber security</w:t>
            </w:r>
          </w:p>
        </w:tc>
        <w:tc>
          <w:tcPr>
            <w:tcW w:w="1275" w:type="dxa"/>
            <w:shd w:val="clear" w:color="auto" w:fill="auto"/>
          </w:tcPr>
          <w:p w14:paraId="046C7C07"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359 905</w:t>
            </w:r>
          </w:p>
        </w:tc>
      </w:tr>
      <w:tr w:rsidR="00173478" w:rsidRPr="008E28A6" w14:paraId="38EAD4D4" w14:textId="77777777" w:rsidTr="001E40E2">
        <w:trPr>
          <w:trHeight w:val="240"/>
        </w:trPr>
        <w:tc>
          <w:tcPr>
            <w:tcW w:w="684" w:type="dxa"/>
            <w:shd w:val="clear" w:color="auto" w:fill="auto"/>
            <w:hideMark/>
          </w:tcPr>
          <w:p w14:paraId="0C1526B6"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40</w:t>
            </w:r>
          </w:p>
        </w:tc>
        <w:tc>
          <w:tcPr>
            <w:tcW w:w="7680" w:type="dxa"/>
            <w:shd w:val="clear" w:color="auto" w:fill="auto"/>
            <w:noWrap/>
            <w:vAlign w:val="center"/>
            <w:hideMark/>
          </w:tcPr>
          <w:p w14:paraId="227AC51F"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Streamlining the production of UNFCCC documents</w:t>
            </w:r>
          </w:p>
        </w:tc>
        <w:tc>
          <w:tcPr>
            <w:tcW w:w="1275" w:type="dxa"/>
            <w:shd w:val="clear" w:color="auto" w:fill="auto"/>
          </w:tcPr>
          <w:p w14:paraId="5AE90828"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678 000</w:t>
            </w:r>
          </w:p>
        </w:tc>
      </w:tr>
      <w:tr w:rsidR="00173478" w:rsidRPr="008E28A6" w14:paraId="404740FE" w14:textId="77777777" w:rsidTr="001E40E2">
        <w:trPr>
          <w:trHeight w:val="240"/>
        </w:trPr>
        <w:tc>
          <w:tcPr>
            <w:tcW w:w="684" w:type="dxa"/>
            <w:shd w:val="clear" w:color="auto" w:fill="auto"/>
            <w:hideMark/>
          </w:tcPr>
          <w:p w14:paraId="23F38AE1"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41</w:t>
            </w:r>
          </w:p>
        </w:tc>
        <w:tc>
          <w:tcPr>
            <w:tcW w:w="7680" w:type="dxa"/>
            <w:shd w:val="clear" w:color="auto" w:fill="auto"/>
            <w:noWrap/>
            <w:vAlign w:val="center"/>
            <w:hideMark/>
          </w:tcPr>
          <w:p w14:paraId="5123A69D"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Providing virtual meeting/workshop participation to UNFCCC stakeholders</w:t>
            </w:r>
          </w:p>
        </w:tc>
        <w:tc>
          <w:tcPr>
            <w:tcW w:w="1275" w:type="dxa"/>
            <w:shd w:val="clear" w:color="auto" w:fill="auto"/>
          </w:tcPr>
          <w:p w14:paraId="5FBBBCCF"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787 610</w:t>
            </w:r>
          </w:p>
        </w:tc>
      </w:tr>
      <w:tr w:rsidR="00173478" w:rsidRPr="008E28A6" w14:paraId="2915F6FB" w14:textId="77777777" w:rsidTr="001E40E2">
        <w:trPr>
          <w:trHeight w:val="240"/>
        </w:trPr>
        <w:tc>
          <w:tcPr>
            <w:tcW w:w="684" w:type="dxa"/>
            <w:shd w:val="clear" w:color="auto" w:fill="auto"/>
            <w:hideMark/>
          </w:tcPr>
          <w:p w14:paraId="08952A6A"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42</w:t>
            </w:r>
          </w:p>
        </w:tc>
        <w:tc>
          <w:tcPr>
            <w:tcW w:w="7680" w:type="dxa"/>
            <w:shd w:val="clear" w:color="auto" w:fill="auto"/>
            <w:noWrap/>
            <w:vAlign w:val="center"/>
            <w:hideMark/>
          </w:tcPr>
          <w:p w14:paraId="5D88EBB0"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Providing a scalable, robust and secure cloud infrastructure for UNFCCC systems and data</w:t>
            </w:r>
          </w:p>
        </w:tc>
        <w:tc>
          <w:tcPr>
            <w:tcW w:w="1275" w:type="dxa"/>
            <w:shd w:val="clear" w:color="auto" w:fill="auto"/>
          </w:tcPr>
          <w:p w14:paraId="68C6AE34"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751 450</w:t>
            </w:r>
          </w:p>
        </w:tc>
      </w:tr>
      <w:tr w:rsidR="00173478" w:rsidRPr="008E28A6" w14:paraId="75EA488D" w14:textId="77777777" w:rsidTr="001E40E2">
        <w:trPr>
          <w:trHeight w:val="240"/>
        </w:trPr>
        <w:tc>
          <w:tcPr>
            <w:tcW w:w="684" w:type="dxa"/>
            <w:shd w:val="clear" w:color="auto" w:fill="auto"/>
            <w:hideMark/>
          </w:tcPr>
          <w:p w14:paraId="4AB0B8D9"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43</w:t>
            </w:r>
          </w:p>
        </w:tc>
        <w:tc>
          <w:tcPr>
            <w:tcW w:w="7680" w:type="dxa"/>
            <w:shd w:val="clear" w:color="auto" w:fill="auto"/>
            <w:noWrap/>
            <w:vAlign w:val="center"/>
            <w:hideMark/>
          </w:tcPr>
          <w:p w14:paraId="78B0497A"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 xml:space="preserve">Empowering stakeholders to work remotely </w:t>
            </w:r>
          </w:p>
        </w:tc>
        <w:tc>
          <w:tcPr>
            <w:tcW w:w="1275" w:type="dxa"/>
            <w:shd w:val="clear" w:color="auto" w:fill="auto"/>
          </w:tcPr>
          <w:p w14:paraId="1DFFB5B3"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570 650</w:t>
            </w:r>
          </w:p>
        </w:tc>
      </w:tr>
      <w:tr w:rsidR="00173478" w:rsidRPr="008E28A6" w14:paraId="4CC95D2E" w14:textId="77777777" w:rsidTr="001E40E2">
        <w:trPr>
          <w:trHeight w:val="240"/>
        </w:trPr>
        <w:tc>
          <w:tcPr>
            <w:tcW w:w="684" w:type="dxa"/>
            <w:tcBorders>
              <w:bottom w:val="single" w:sz="4" w:space="0" w:color="auto"/>
            </w:tcBorders>
            <w:shd w:val="clear" w:color="auto" w:fill="auto"/>
            <w:hideMark/>
          </w:tcPr>
          <w:p w14:paraId="37EE2FBA" w14:textId="77777777" w:rsidR="00173478" w:rsidRPr="00BE6844" w:rsidRDefault="00173478" w:rsidP="001E40E2">
            <w:pPr>
              <w:suppressAutoHyphens w:val="0"/>
              <w:spacing w:before="40" w:after="80" w:line="220" w:lineRule="exact"/>
              <w:jc w:val="center"/>
              <w:rPr>
                <w:rFonts w:eastAsia="MS Mincho"/>
                <w:sz w:val="18"/>
                <w:szCs w:val="18"/>
                <w:lang w:eastAsia="de-DE"/>
              </w:rPr>
            </w:pPr>
            <w:r w:rsidRPr="00BE6844">
              <w:rPr>
                <w:rFonts w:eastAsia="MS Mincho"/>
                <w:sz w:val="18"/>
                <w:szCs w:val="18"/>
                <w:lang w:eastAsia="de-DE"/>
              </w:rPr>
              <w:t>44</w:t>
            </w:r>
          </w:p>
        </w:tc>
        <w:tc>
          <w:tcPr>
            <w:tcW w:w="7680" w:type="dxa"/>
            <w:tcBorders>
              <w:bottom w:val="single" w:sz="4" w:space="0" w:color="auto"/>
            </w:tcBorders>
            <w:shd w:val="clear" w:color="auto" w:fill="auto"/>
            <w:noWrap/>
            <w:vAlign w:val="center"/>
            <w:hideMark/>
          </w:tcPr>
          <w:p w14:paraId="47A9B8A1" w14:textId="77777777" w:rsidR="00173478" w:rsidRPr="00BE6844" w:rsidRDefault="00173478" w:rsidP="001E40E2">
            <w:pPr>
              <w:suppressAutoHyphens w:val="0"/>
              <w:spacing w:before="40" w:after="80" w:line="220" w:lineRule="exact"/>
              <w:rPr>
                <w:rFonts w:eastAsia="MS Mincho"/>
                <w:sz w:val="18"/>
                <w:szCs w:val="18"/>
                <w:lang w:eastAsia="de-DE"/>
              </w:rPr>
            </w:pPr>
            <w:r w:rsidRPr="00BE6844">
              <w:rPr>
                <w:rFonts w:eastAsia="MS Mincho"/>
                <w:sz w:val="18"/>
                <w:szCs w:val="18"/>
                <w:lang w:eastAsia="de-DE"/>
              </w:rPr>
              <w:t>Developing internal communication tools</w:t>
            </w:r>
          </w:p>
        </w:tc>
        <w:tc>
          <w:tcPr>
            <w:tcW w:w="1275" w:type="dxa"/>
            <w:tcBorders>
              <w:bottom w:val="single" w:sz="4" w:space="0" w:color="auto"/>
            </w:tcBorders>
            <w:shd w:val="clear" w:color="auto" w:fill="auto"/>
          </w:tcPr>
          <w:p w14:paraId="551CCBF5" w14:textId="77777777" w:rsidR="00173478" w:rsidRPr="00BE6844" w:rsidRDefault="00173478" w:rsidP="001E40E2">
            <w:pPr>
              <w:suppressAutoHyphens w:val="0"/>
              <w:spacing w:before="40" w:after="80" w:line="220" w:lineRule="exact"/>
              <w:jc w:val="right"/>
              <w:rPr>
                <w:rFonts w:eastAsia="MS Mincho"/>
                <w:sz w:val="18"/>
                <w:szCs w:val="18"/>
                <w:lang w:eastAsia="de-DE"/>
              </w:rPr>
            </w:pPr>
            <w:r w:rsidRPr="00BE6844">
              <w:rPr>
                <w:rFonts w:eastAsia="MS Mincho"/>
                <w:sz w:val="18"/>
                <w:szCs w:val="18"/>
                <w:lang w:eastAsia="de-DE"/>
              </w:rPr>
              <w:t>241 933</w:t>
            </w:r>
          </w:p>
        </w:tc>
      </w:tr>
      <w:tr w:rsidR="00173478" w:rsidRPr="008E28A6" w14:paraId="12A425BA" w14:textId="77777777" w:rsidTr="001E40E2">
        <w:trPr>
          <w:trHeight w:val="240"/>
        </w:trPr>
        <w:tc>
          <w:tcPr>
            <w:tcW w:w="684" w:type="dxa"/>
            <w:tcBorders>
              <w:top w:val="single" w:sz="4" w:space="0" w:color="auto"/>
              <w:bottom w:val="single" w:sz="12" w:space="0" w:color="auto"/>
            </w:tcBorders>
            <w:shd w:val="clear" w:color="auto" w:fill="auto"/>
            <w:hideMark/>
          </w:tcPr>
          <w:p w14:paraId="64088C1E" w14:textId="77777777" w:rsidR="00173478" w:rsidRPr="00BE6844" w:rsidRDefault="00173478" w:rsidP="001E40E2">
            <w:pPr>
              <w:suppressAutoHyphens w:val="0"/>
              <w:spacing w:before="40" w:after="80" w:line="220" w:lineRule="exact"/>
              <w:jc w:val="center"/>
              <w:rPr>
                <w:rFonts w:eastAsia="MS Mincho"/>
                <w:b/>
                <w:sz w:val="22"/>
                <w:lang w:eastAsia="de-DE"/>
              </w:rPr>
            </w:pPr>
          </w:p>
        </w:tc>
        <w:tc>
          <w:tcPr>
            <w:tcW w:w="7680" w:type="dxa"/>
            <w:tcBorders>
              <w:top w:val="single" w:sz="4" w:space="0" w:color="auto"/>
              <w:bottom w:val="single" w:sz="12" w:space="0" w:color="auto"/>
            </w:tcBorders>
            <w:shd w:val="clear" w:color="auto" w:fill="auto"/>
            <w:noWrap/>
            <w:vAlign w:val="center"/>
            <w:hideMark/>
          </w:tcPr>
          <w:p w14:paraId="36F45602" w14:textId="77777777" w:rsidR="00173478" w:rsidRPr="00BE6844" w:rsidRDefault="00173478" w:rsidP="001E40E2">
            <w:pPr>
              <w:suppressAutoHyphens w:val="0"/>
              <w:spacing w:before="40" w:after="80" w:line="220" w:lineRule="exact"/>
              <w:rPr>
                <w:rFonts w:eastAsia="MS Mincho"/>
                <w:b/>
                <w:sz w:val="18"/>
                <w:szCs w:val="18"/>
                <w:lang w:eastAsia="de-DE"/>
              </w:rPr>
            </w:pPr>
            <w:r w:rsidRPr="00BE6844">
              <w:rPr>
                <w:rFonts w:eastAsia="MS Mincho"/>
                <w:b/>
                <w:sz w:val="18"/>
                <w:szCs w:val="18"/>
                <w:lang w:eastAsia="de-DE"/>
              </w:rPr>
              <w:t>Total</w:t>
            </w:r>
          </w:p>
        </w:tc>
        <w:tc>
          <w:tcPr>
            <w:tcW w:w="1275" w:type="dxa"/>
            <w:tcBorders>
              <w:top w:val="single" w:sz="4" w:space="0" w:color="auto"/>
              <w:bottom w:val="single" w:sz="12" w:space="0" w:color="auto"/>
            </w:tcBorders>
            <w:shd w:val="clear" w:color="auto" w:fill="auto"/>
          </w:tcPr>
          <w:p w14:paraId="56944EE9" w14:textId="77777777" w:rsidR="00173478" w:rsidRPr="00BE6844" w:rsidRDefault="00173478" w:rsidP="001E40E2">
            <w:pPr>
              <w:suppressAutoHyphens w:val="0"/>
              <w:spacing w:before="40" w:after="80" w:line="220" w:lineRule="exact"/>
              <w:jc w:val="right"/>
              <w:rPr>
                <w:rFonts w:eastAsia="MS Mincho"/>
                <w:b/>
                <w:sz w:val="18"/>
                <w:szCs w:val="18"/>
                <w:lang w:eastAsia="de-DE"/>
              </w:rPr>
            </w:pPr>
            <w:r w:rsidRPr="00BE6844">
              <w:rPr>
                <w:rFonts w:eastAsia="MS Mincho"/>
                <w:b/>
                <w:sz w:val="18"/>
                <w:szCs w:val="18"/>
                <w:lang w:eastAsia="de-DE"/>
              </w:rPr>
              <w:t>53 484 419</w:t>
            </w:r>
          </w:p>
        </w:tc>
      </w:tr>
    </w:tbl>
    <w:p w14:paraId="3E480552" w14:textId="0F029E3F" w:rsidR="00173478" w:rsidRPr="00173478" w:rsidRDefault="00173478" w:rsidP="00173478">
      <w:pPr>
        <w:suppressAutoHyphens w:val="0"/>
        <w:spacing w:before="60" w:line="220" w:lineRule="exact"/>
        <w:ind w:firstLine="170"/>
        <w:rPr>
          <w:rFonts w:eastAsia="MS Mincho"/>
          <w:color w:val="000000"/>
          <w:sz w:val="18"/>
          <w:lang w:eastAsia="de-DE"/>
        </w:rPr>
      </w:pPr>
      <w:bookmarkStart w:id="32" w:name="_Hlk228844726"/>
      <w:r w:rsidRPr="008E28A6">
        <w:rPr>
          <w:rFonts w:eastAsia="MS Mincho"/>
          <w:i/>
          <w:sz w:val="18"/>
          <w:lang w:eastAsia="de-DE"/>
        </w:rPr>
        <w:t>Abbreviations</w:t>
      </w:r>
      <w:r w:rsidRPr="008E28A6">
        <w:rPr>
          <w:rFonts w:eastAsia="MS Mincho"/>
          <w:sz w:val="18"/>
          <w:lang w:eastAsia="de-DE"/>
        </w:rPr>
        <w:t>: AC = Adaptation Committee, CGE = Consultative Group of Experts on National Communications from Parties not included in Annex I to the Convention, GHG = greenhouse gas, ICA = international consultation and analysis, IAR = international assessment and review, INDC = intended nationally determined contribution, LULUCF = land use, land-use change and forestry, MRV = measurement, reporting and verification, NDC = nationally determined contribution, NWP = Nairobi work programme on impacts, vulnerability and adaptation to climate change, PCCB = Paris Committee on Capacity-building, SCF = Standing Committee on Finance, TEC = Technology Executive Committee.</w:t>
      </w:r>
    </w:p>
    <w:p w14:paraId="6C00EFD5" w14:textId="2E14F392" w:rsidR="00173478" w:rsidRPr="008E28A6" w:rsidRDefault="000F209A" w:rsidP="000F209A">
      <w:pPr>
        <w:suppressAutoHyphens w:val="0"/>
        <w:spacing w:line="240" w:lineRule="auto"/>
        <w:ind w:right="40" w:firstLine="170"/>
        <w:rPr>
          <w:rFonts w:eastAsia="MS Mincho"/>
          <w:sz w:val="18"/>
          <w:lang w:eastAsia="de-DE"/>
        </w:rPr>
      </w:pPr>
      <w:r w:rsidRPr="008E28A6">
        <w:rPr>
          <w:rFonts w:eastAsia="MS Mincho"/>
          <w:i/>
          <w:sz w:val="18"/>
          <w:vertAlign w:val="superscript"/>
          <w:lang w:eastAsia="de-DE"/>
        </w:rPr>
        <w:t xml:space="preserve">a   </w:t>
      </w:r>
      <w:r w:rsidR="00173478" w:rsidRPr="00173478">
        <w:rPr>
          <w:rFonts w:eastAsia="MS Mincho"/>
          <w:color w:val="000000"/>
          <w:sz w:val="18"/>
          <w:lang w:eastAsia="de-DE"/>
        </w:rPr>
        <w:t xml:space="preserve">This </w:t>
      </w:r>
      <w:r w:rsidR="00173478" w:rsidRPr="008E28A6">
        <w:rPr>
          <w:rFonts w:eastAsia="MS Mincho"/>
          <w:sz w:val="18"/>
          <w:lang w:eastAsia="de-DE"/>
        </w:rPr>
        <w:t>project is being implemented under the NDC Partnership for the period 2017–2018. Funding to cover the project’s activities in that period has already been made available to the secretariat.</w:t>
      </w:r>
    </w:p>
    <w:p w14:paraId="7AFD9E6F" w14:textId="0E5A023F" w:rsidR="00173478" w:rsidRPr="00173478" w:rsidRDefault="000F209A" w:rsidP="000F209A">
      <w:pPr>
        <w:suppressAutoHyphens w:val="0"/>
        <w:spacing w:line="240" w:lineRule="auto"/>
        <w:ind w:right="40" w:firstLine="170"/>
        <w:rPr>
          <w:rFonts w:eastAsia="MS Mincho"/>
          <w:color w:val="000000"/>
          <w:sz w:val="18"/>
          <w:lang w:eastAsia="de-DE"/>
        </w:rPr>
      </w:pPr>
      <w:r w:rsidRPr="00173478">
        <w:rPr>
          <w:rFonts w:eastAsia="MS Mincho"/>
          <w:i/>
          <w:color w:val="000000"/>
          <w:sz w:val="18"/>
          <w:vertAlign w:val="superscript"/>
          <w:lang w:eastAsia="de-DE"/>
        </w:rPr>
        <w:t xml:space="preserve">b   </w:t>
      </w:r>
      <w:r w:rsidR="00173478" w:rsidRPr="00173478">
        <w:rPr>
          <w:rFonts w:eastAsia="MS Mincho"/>
          <w:color w:val="000000"/>
          <w:sz w:val="18"/>
          <w:lang w:eastAsia="de-DE"/>
        </w:rPr>
        <w:t xml:space="preserve">A project for which approximately 75 per cent of funding will be sought from non-Party stakeholders. </w:t>
      </w:r>
    </w:p>
    <w:p w14:paraId="6EB4036E" w14:textId="34788383" w:rsidR="00173478" w:rsidRPr="00173478" w:rsidRDefault="000F209A" w:rsidP="000F209A">
      <w:pPr>
        <w:suppressAutoHyphens w:val="0"/>
        <w:spacing w:line="240" w:lineRule="auto"/>
        <w:ind w:right="40" w:firstLine="170"/>
        <w:rPr>
          <w:rFonts w:eastAsia="MS Mincho"/>
          <w:color w:val="000000"/>
          <w:sz w:val="18"/>
          <w:lang w:eastAsia="de-DE"/>
        </w:rPr>
      </w:pPr>
      <w:r w:rsidRPr="00173478">
        <w:rPr>
          <w:rFonts w:eastAsia="MS Mincho"/>
          <w:i/>
          <w:color w:val="000000"/>
          <w:sz w:val="18"/>
          <w:vertAlign w:val="superscript"/>
          <w:lang w:eastAsia="de-DE"/>
        </w:rPr>
        <w:t xml:space="preserve">c   </w:t>
      </w:r>
      <w:r w:rsidR="00173478" w:rsidRPr="00173478">
        <w:rPr>
          <w:rFonts w:eastAsia="MS Mincho"/>
          <w:color w:val="000000"/>
          <w:sz w:val="18"/>
          <w:lang w:eastAsia="de-DE"/>
        </w:rPr>
        <w:t>A project for which up to 100 per cent of funding will be sought from non-Party stakeholders.</w:t>
      </w:r>
    </w:p>
    <w:p w14:paraId="0AF47D96" w14:textId="77777777" w:rsidR="00173478" w:rsidRDefault="00173478" w:rsidP="00173478">
      <w:pPr>
        <w:keepNext/>
        <w:keepLines/>
        <w:suppressAutoHyphens w:val="0"/>
        <w:spacing w:before="360" w:after="240" w:line="300" w:lineRule="exact"/>
        <w:ind w:right="1134"/>
        <w:rPr>
          <w:rFonts w:eastAsia="MS Mincho"/>
          <w:b/>
          <w:sz w:val="28"/>
          <w:lang w:eastAsia="de-DE"/>
        </w:rPr>
      </w:pPr>
      <w:r w:rsidRPr="008E28A6">
        <w:rPr>
          <w:rFonts w:eastAsia="MS Mincho"/>
          <w:b/>
          <w:sz w:val="28"/>
          <w:lang w:eastAsia="de-DE"/>
        </w:rPr>
        <w:br w:type="page"/>
      </w:r>
      <w:bookmarkStart w:id="33" w:name="_Toc318463087"/>
      <w:bookmarkEnd w:id="32"/>
      <w:r w:rsidRPr="008E28A6">
        <w:rPr>
          <w:rFonts w:eastAsia="MS Mincho"/>
          <w:b/>
          <w:sz w:val="28"/>
          <w:lang w:eastAsia="de-DE"/>
        </w:rPr>
        <w:lastRenderedPageBreak/>
        <w:t>Annex</w:t>
      </w:r>
      <w:bookmarkEnd w:id="33"/>
    </w:p>
    <w:p w14:paraId="6082A940" w14:textId="77777777" w:rsidR="00173478" w:rsidRDefault="00173478" w:rsidP="00173478">
      <w:pPr>
        <w:jc w:val="right"/>
        <w:rPr>
          <w:lang w:eastAsia="de-DE"/>
        </w:rPr>
      </w:pPr>
      <w:r>
        <w:rPr>
          <w:lang w:eastAsia="de-DE"/>
        </w:rPr>
        <w:t>[English only]</w:t>
      </w:r>
    </w:p>
    <w:p w14:paraId="0FA3DA37" w14:textId="77777777" w:rsidR="00173478" w:rsidRDefault="00173478" w:rsidP="00173478">
      <w:pPr>
        <w:pStyle w:val="H1G"/>
        <w:ind w:firstLine="0"/>
        <w:rPr>
          <w:i/>
          <w:sz w:val="18"/>
          <w:szCs w:val="18"/>
          <w:lang w:eastAsia="de-DE"/>
        </w:rPr>
      </w:pPr>
      <w:bookmarkStart w:id="34" w:name="_Toc318463088"/>
      <w:r w:rsidRPr="008E28A6">
        <w:rPr>
          <w:lang w:eastAsia="de-DE"/>
        </w:rPr>
        <w:t xml:space="preserve">Indicative scale of contributions from Parties to the Convention for the biennium </w:t>
      </w:r>
      <w:bookmarkEnd w:id="34"/>
      <w:r w:rsidRPr="008E28A6">
        <w:rPr>
          <w:lang w:eastAsia="de-DE"/>
        </w:rPr>
        <w:t>2018–2019</w:t>
      </w:r>
      <w:r w:rsidRPr="00FA3D25">
        <w:rPr>
          <w:b w:val="0"/>
          <w:i/>
          <w:sz w:val="18"/>
          <w:szCs w:val="18"/>
          <w:vertAlign w:val="superscript"/>
          <w:lang w:eastAsia="de-DE"/>
        </w:rPr>
        <w:t>a</w:t>
      </w:r>
    </w:p>
    <w:tbl>
      <w:tblPr>
        <w:tblW w:w="96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30" w:type="dxa"/>
          <w:right w:w="30" w:type="dxa"/>
        </w:tblCellMar>
        <w:tblLook w:val="0000" w:firstRow="0" w:lastRow="0" w:firstColumn="0" w:lastColumn="0" w:noHBand="0" w:noVBand="0"/>
      </w:tblPr>
      <w:tblGrid>
        <w:gridCol w:w="3449"/>
        <w:gridCol w:w="2183"/>
        <w:gridCol w:w="1975"/>
        <w:gridCol w:w="2032"/>
      </w:tblGrid>
      <w:tr w:rsidR="00173478" w:rsidRPr="008E28A6" w14:paraId="11DF4C07" w14:textId="77777777" w:rsidTr="00FA3D25">
        <w:trPr>
          <w:trHeight w:val="586"/>
          <w:tblHeader/>
          <w:jc w:val="center"/>
        </w:trPr>
        <w:tc>
          <w:tcPr>
            <w:tcW w:w="3449" w:type="dxa"/>
            <w:tcBorders>
              <w:top w:val="single" w:sz="4" w:space="0" w:color="auto"/>
              <w:left w:val="nil"/>
              <w:bottom w:val="single" w:sz="12" w:space="0" w:color="auto"/>
              <w:right w:val="nil"/>
            </w:tcBorders>
            <w:vAlign w:val="bottom"/>
          </w:tcPr>
          <w:p w14:paraId="1BF71AEB" w14:textId="77777777" w:rsidR="00173478" w:rsidRPr="008E28A6" w:rsidRDefault="00173478" w:rsidP="00173478">
            <w:pPr>
              <w:suppressAutoHyphens w:val="0"/>
              <w:spacing w:before="80" w:after="80" w:line="200" w:lineRule="exact"/>
              <w:rPr>
                <w:rFonts w:eastAsia="MS Mincho"/>
                <w:bCs/>
                <w:i/>
                <w:color w:val="000000"/>
                <w:sz w:val="16"/>
                <w:szCs w:val="16"/>
                <w:lang w:eastAsia="de-DE"/>
              </w:rPr>
            </w:pPr>
            <w:r>
              <w:rPr>
                <w:rFonts w:eastAsia="MS Mincho"/>
                <w:bCs/>
                <w:i/>
                <w:color w:val="000000"/>
                <w:sz w:val="16"/>
                <w:szCs w:val="16"/>
                <w:lang w:eastAsia="de-DE"/>
              </w:rPr>
              <w:t>P</w:t>
            </w:r>
            <w:r w:rsidRPr="008E28A6">
              <w:rPr>
                <w:rFonts w:eastAsia="MS Mincho"/>
                <w:bCs/>
                <w:i/>
                <w:color w:val="000000"/>
                <w:sz w:val="16"/>
                <w:szCs w:val="16"/>
                <w:lang w:eastAsia="de-DE"/>
              </w:rPr>
              <w:t>arty</w:t>
            </w:r>
          </w:p>
        </w:tc>
        <w:tc>
          <w:tcPr>
            <w:tcW w:w="2183" w:type="dxa"/>
            <w:tcBorders>
              <w:top w:val="single" w:sz="4" w:space="0" w:color="auto"/>
              <w:left w:val="nil"/>
              <w:bottom w:val="single" w:sz="12" w:space="0" w:color="auto"/>
              <w:right w:val="nil"/>
            </w:tcBorders>
            <w:vAlign w:val="center"/>
          </w:tcPr>
          <w:p w14:paraId="71D05FEB" w14:textId="77777777" w:rsidR="00173478" w:rsidRPr="008E28A6" w:rsidRDefault="00173478" w:rsidP="00173478">
            <w:pPr>
              <w:suppressAutoHyphens w:val="0"/>
              <w:spacing w:line="200" w:lineRule="exact"/>
              <w:ind w:left="113" w:right="85"/>
              <w:jc w:val="right"/>
              <w:rPr>
                <w:rFonts w:eastAsia="MS Mincho"/>
                <w:bCs/>
                <w:i/>
                <w:color w:val="000000"/>
                <w:sz w:val="16"/>
                <w:szCs w:val="16"/>
                <w:lang w:eastAsia="de-DE"/>
              </w:rPr>
            </w:pPr>
            <w:r w:rsidRPr="008E28A6">
              <w:rPr>
                <w:rFonts w:eastAsia="MS Mincho"/>
                <w:bCs/>
                <w:i/>
                <w:sz w:val="16"/>
                <w:szCs w:val="18"/>
                <w:lang w:eastAsia="de-DE"/>
              </w:rPr>
              <w:t>United</w:t>
            </w:r>
            <w:r w:rsidRPr="008E28A6">
              <w:rPr>
                <w:rFonts w:eastAsia="MS Mincho"/>
                <w:bCs/>
                <w:i/>
                <w:color w:val="000000"/>
                <w:sz w:val="16"/>
                <w:szCs w:val="16"/>
                <w:lang w:eastAsia="de-DE"/>
              </w:rPr>
              <w:t xml:space="preserve"> </w:t>
            </w:r>
            <w:r w:rsidRPr="008E28A6">
              <w:rPr>
                <w:rFonts w:eastAsia="MS Mincho"/>
                <w:bCs/>
                <w:i/>
                <w:sz w:val="16"/>
                <w:szCs w:val="18"/>
                <w:lang w:eastAsia="de-DE"/>
              </w:rPr>
              <w:t>Nations</w:t>
            </w:r>
            <w:r w:rsidRPr="008E28A6">
              <w:rPr>
                <w:rFonts w:eastAsia="MS Mincho"/>
                <w:bCs/>
                <w:i/>
                <w:color w:val="000000"/>
                <w:sz w:val="16"/>
                <w:szCs w:val="16"/>
                <w:lang w:eastAsia="de-DE"/>
              </w:rPr>
              <w:t xml:space="preserve"> scale of assessments for 2018</w:t>
            </w:r>
          </w:p>
        </w:tc>
        <w:tc>
          <w:tcPr>
            <w:tcW w:w="1975" w:type="dxa"/>
            <w:tcBorders>
              <w:top w:val="single" w:sz="4" w:space="0" w:color="auto"/>
              <w:left w:val="nil"/>
              <w:bottom w:val="single" w:sz="12" w:space="0" w:color="auto"/>
              <w:right w:val="nil"/>
            </w:tcBorders>
            <w:vAlign w:val="center"/>
          </w:tcPr>
          <w:p w14:paraId="61FC9D33" w14:textId="77777777" w:rsidR="00173478" w:rsidRPr="008E28A6" w:rsidRDefault="00173478" w:rsidP="00173478">
            <w:pPr>
              <w:suppressAutoHyphens w:val="0"/>
              <w:spacing w:line="200" w:lineRule="exact"/>
              <w:ind w:left="113" w:right="85"/>
              <w:jc w:val="right"/>
              <w:rPr>
                <w:rFonts w:eastAsia="MS Mincho"/>
                <w:bCs/>
                <w:i/>
                <w:color w:val="000000"/>
                <w:sz w:val="16"/>
                <w:szCs w:val="16"/>
                <w:lang w:eastAsia="de-DE"/>
              </w:rPr>
            </w:pPr>
            <w:r w:rsidRPr="008E28A6">
              <w:rPr>
                <w:rFonts w:eastAsia="MS Mincho"/>
                <w:bCs/>
                <w:i/>
                <w:color w:val="000000"/>
                <w:sz w:val="16"/>
                <w:szCs w:val="16"/>
                <w:lang w:eastAsia="de-DE"/>
              </w:rPr>
              <w:t xml:space="preserve">UNFCCC </w:t>
            </w:r>
            <w:r w:rsidRPr="008E28A6">
              <w:rPr>
                <w:rFonts w:eastAsia="MS Mincho"/>
                <w:bCs/>
                <w:i/>
                <w:sz w:val="16"/>
                <w:szCs w:val="18"/>
                <w:lang w:eastAsia="de-DE"/>
              </w:rPr>
              <w:t>adjusted</w:t>
            </w:r>
            <w:r w:rsidRPr="008E28A6">
              <w:rPr>
                <w:rFonts w:eastAsia="MS Mincho"/>
                <w:bCs/>
                <w:i/>
                <w:color w:val="000000"/>
                <w:sz w:val="16"/>
                <w:szCs w:val="16"/>
                <w:lang w:eastAsia="de-DE"/>
              </w:rPr>
              <w:t xml:space="preserve"> scale of assessments for 2018</w:t>
            </w:r>
          </w:p>
        </w:tc>
        <w:tc>
          <w:tcPr>
            <w:tcW w:w="2032" w:type="dxa"/>
            <w:tcBorders>
              <w:top w:val="single" w:sz="4" w:space="0" w:color="auto"/>
              <w:left w:val="nil"/>
              <w:bottom w:val="single" w:sz="12" w:space="0" w:color="auto"/>
              <w:right w:val="nil"/>
            </w:tcBorders>
            <w:vAlign w:val="center"/>
          </w:tcPr>
          <w:p w14:paraId="33279DD9" w14:textId="77777777" w:rsidR="00173478" w:rsidRPr="008E28A6" w:rsidRDefault="00173478" w:rsidP="00173478">
            <w:pPr>
              <w:suppressAutoHyphens w:val="0"/>
              <w:spacing w:line="200" w:lineRule="exact"/>
              <w:ind w:left="113" w:right="85"/>
              <w:jc w:val="right"/>
              <w:rPr>
                <w:rFonts w:eastAsia="MS Mincho"/>
                <w:bCs/>
                <w:i/>
                <w:color w:val="000000"/>
                <w:sz w:val="16"/>
                <w:szCs w:val="16"/>
                <w:lang w:eastAsia="de-DE"/>
              </w:rPr>
            </w:pPr>
            <w:r w:rsidRPr="008E28A6">
              <w:rPr>
                <w:rFonts w:eastAsia="MS Mincho"/>
                <w:bCs/>
                <w:i/>
                <w:color w:val="000000"/>
                <w:sz w:val="16"/>
                <w:szCs w:val="16"/>
                <w:lang w:eastAsia="de-DE"/>
              </w:rPr>
              <w:t>UNFCCC adjusted scale of assessments for 2019</w:t>
            </w:r>
          </w:p>
        </w:tc>
      </w:tr>
      <w:tr w:rsidR="00173478" w:rsidRPr="008E28A6" w14:paraId="40D2CEEA" w14:textId="77777777" w:rsidTr="00FA3D25">
        <w:trPr>
          <w:trHeight w:val="248"/>
          <w:jc w:val="center"/>
        </w:trPr>
        <w:tc>
          <w:tcPr>
            <w:tcW w:w="3449" w:type="dxa"/>
            <w:tcBorders>
              <w:top w:val="single" w:sz="12" w:space="0" w:color="auto"/>
              <w:left w:val="nil"/>
              <w:bottom w:val="nil"/>
              <w:right w:val="nil"/>
            </w:tcBorders>
            <w:vAlign w:val="center"/>
          </w:tcPr>
          <w:p w14:paraId="3E7452E1" w14:textId="77777777" w:rsidR="00173478" w:rsidRPr="008E28A6" w:rsidRDefault="00173478" w:rsidP="00173478">
            <w:pPr>
              <w:suppressAutoHyphens w:val="0"/>
              <w:spacing w:line="240" w:lineRule="auto"/>
              <w:rPr>
                <w:rFonts w:eastAsia="Arial Unicode MS"/>
                <w:color w:val="000000"/>
                <w:sz w:val="18"/>
                <w:szCs w:val="18"/>
                <w:lang w:eastAsia="de-DE"/>
              </w:rPr>
            </w:pPr>
            <w:r w:rsidRPr="008E28A6">
              <w:rPr>
                <w:rFonts w:eastAsia="MS Mincho"/>
                <w:color w:val="000000"/>
                <w:sz w:val="18"/>
                <w:szCs w:val="18"/>
                <w:lang w:eastAsia="de-DE"/>
              </w:rPr>
              <w:t>Afghanistan</w:t>
            </w:r>
          </w:p>
        </w:tc>
        <w:tc>
          <w:tcPr>
            <w:tcW w:w="2183" w:type="dxa"/>
            <w:tcBorders>
              <w:top w:val="single" w:sz="12" w:space="0" w:color="auto"/>
              <w:left w:val="nil"/>
              <w:bottom w:val="nil"/>
              <w:right w:val="nil"/>
            </w:tcBorders>
            <w:vAlign w:val="center"/>
          </w:tcPr>
          <w:p w14:paraId="0F9C4D4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1975" w:type="dxa"/>
            <w:tcBorders>
              <w:top w:val="single" w:sz="12" w:space="0" w:color="auto"/>
              <w:left w:val="nil"/>
              <w:bottom w:val="nil"/>
              <w:right w:val="nil"/>
            </w:tcBorders>
            <w:vAlign w:val="center"/>
          </w:tcPr>
          <w:p w14:paraId="7A4D072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2032" w:type="dxa"/>
            <w:tcBorders>
              <w:top w:val="single" w:sz="12" w:space="0" w:color="auto"/>
              <w:left w:val="nil"/>
              <w:bottom w:val="nil"/>
              <w:right w:val="nil"/>
            </w:tcBorders>
            <w:vAlign w:val="center"/>
          </w:tcPr>
          <w:p w14:paraId="7817B6F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r>
      <w:tr w:rsidR="00173478" w:rsidRPr="008E28A6" w14:paraId="35C3FA15" w14:textId="77777777" w:rsidTr="00FA3D25">
        <w:trPr>
          <w:trHeight w:val="248"/>
          <w:jc w:val="center"/>
        </w:trPr>
        <w:tc>
          <w:tcPr>
            <w:tcW w:w="3449" w:type="dxa"/>
            <w:tcBorders>
              <w:top w:val="nil"/>
              <w:left w:val="nil"/>
              <w:bottom w:val="nil"/>
              <w:right w:val="nil"/>
            </w:tcBorders>
            <w:vAlign w:val="center"/>
          </w:tcPr>
          <w:p w14:paraId="7258AEDC" w14:textId="77777777" w:rsidR="00173478" w:rsidRPr="008E28A6" w:rsidRDefault="00173478" w:rsidP="00173478">
            <w:pPr>
              <w:suppressAutoHyphens w:val="0"/>
              <w:spacing w:line="240" w:lineRule="auto"/>
              <w:rPr>
                <w:rFonts w:eastAsia="Arial Unicode MS"/>
                <w:color w:val="000000"/>
                <w:sz w:val="18"/>
                <w:szCs w:val="18"/>
                <w:lang w:eastAsia="de-DE"/>
              </w:rPr>
            </w:pPr>
            <w:r w:rsidRPr="008E28A6">
              <w:rPr>
                <w:rFonts w:eastAsia="MS Mincho"/>
                <w:color w:val="000000"/>
                <w:sz w:val="18"/>
                <w:szCs w:val="18"/>
                <w:lang w:eastAsia="de-DE"/>
              </w:rPr>
              <w:t>Albania</w:t>
            </w:r>
          </w:p>
        </w:tc>
        <w:tc>
          <w:tcPr>
            <w:tcW w:w="2183" w:type="dxa"/>
            <w:tcBorders>
              <w:top w:val="nil"/>
              <w:left w:val="nil"/>
              <w:bottom w:val="nil"/>
              <w:right w:val="nil"/>
            </w:tcBorders>
            <w:vAlign w:val="center"/>
          </w:tcPr>
          <w:p w14:paraId="4F39358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c>
          <w:tcPr>
            <w:tcW w:w="1975" w:type="dxa"/>
            <w:tcBorders>
              <w:top w:val="nil"/>
              <w:left w:val="nil"/>
              <w:bottom w:val="nil"/>
              <w:right w:val="nil"/>
            </w:tcBorders>
            <w:vAlign w:val="center"/>
          </w:tcPr>
          <w:p w14:paraId="60C7E6A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c>
          <w:tcPr>
            <w:tcW w:w="2032" w:type="dxa"/>
            <w:tcBorders>
              <w:top w:val="nil"/>
              <w:left w:val="nil"/>
              <w:bottom w:val="nil"/>
              <w:right w:val="nil"/>
            </w:tcBorders>
            <w:vAlign w:val="center"/>
          </w:tcPr>
          <w:p w14:paraId="6FE816E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r>
      <w:tr w:rsidR="00173478" w:rsidRPr="008E28A6" w14:paraId="71B8D5E6" w14:textId="77777777" w:rsidTr="00FA3D25">
        <w:trPr>
          <w:trHeight w:val="248"/>
          <w:jc w:val="center"/>
        </w:trPr>
        <w:tc>
          <w:tcPr>
            <w:tcW w:w="3449" w:type="dxa"/>
            <w:tcBorders>
              <w:top w:val="nil"/>
              <w:left w:val="nil"/>
              <w:bottom w:val="nil"/>
              <w:right w:val="nil"/>
            </w:tcBorders>
            <w:vAlign w:val="center"/>
          </w:tcPr>
          <w:p w14:paraId="3A5DC0D6" w14:textId="77777777" w:rsidR="00173478" w:rsidRPr="008E28A6" w:rsidRDefault="00173478" w:rsidP="00173478">
            <w:pPr>
              <w:suppressAutoHyphens w:val="0"/>
              <w:spacing w:line="240" w:lineRule="auto"/>
              <w:rPr>
                <w:rFonts w:eastAsia="Arial Unicode MS"/>
                <w:color w:val="000000"/>
                <w:sz w:val="18"/>
                <w:szCs w:val="18"/>
                <w:lang w:eastAsia="de-DE"/>
              </w:rPr>
            </w:pPr>
            <w:r w:rsidRPr="008E28A6">
              <w:rPr>
                <w:rFonts w:eastAsia="MS Mincho"/>
                <w:color w:val="000000"/>
                <w:sz w:val="18"/>
                <w:szCs w:val="18"/>
                <w:lang w:eastAsia="de-DE"/>
              </w:rPr>
              <w:t>Algeria</w:t>
            </w:r>
          </w:p>
        </w:tc>
        <w:tc>
          <w:tcPr>
            <w:tcW w:w="2183" w:type="dxa"/>
            <w:tcBorders>
              <w:top w:val="nil"/>
              <w:left w:val="nil"/>
              <w:bottom w:val="nil"/>
              <w:right w:val="nil"/>
            </w:tcBorders>
            <w:vAlign w:val="center"/>
          </w:tcPr>
          <w:p w14:paraId="39BB96F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0.161</w:t>
            </w:r>
          </w:p>
        </w:tc>
        <w:tc>
          <w:tcPr>
            <w:tcW w:w="1975" w:type="dxa"/>
            <w:tcBorders>
              <w:top w:val="nil"/>
              <w:left w:val="nil"/>
              <w:bottom w:val="nil"/>
              <w:right w:val="nil"/>
            </w:tcBorders>
            <w:vAlign w:val="center"/>
          </w:tcPr>
          <w:p w14:paraId="6C9BC85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0.157</w:t>
            </w:r>
          </w:p>
        </w:tc>
        <w:tc>
          <w:tcPr>
            <w:tcW w:w="2032" w:type="dxa"/>
            <w:tcBorders>
              <w:top w:val="nil"/>
              <w:left w:val="nil"/>
              <w:bottom w:val="nil"/>
              <w:right w:val="nil"/>
            </w:tcBorders>
            <w:vAlign w:val="center"/>
          </w:tcPr>
          <w:p w14:paraId="2F6285E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0.157</w:t>
            </w:r>
          </w:p>
        </w:tc>
      </w:tr>
      <w:tr w:rsidR="00173478" w:rsidRPr="008E28A6" w14:paraId="333EB106" w14:textId="77777777" w:rsidTr="00FA3D25">
        <w:trPr>
          <w:trHeight w:val="248"/>
          <w:jc w:val="center"/>
        </w:trPr>
        <w:tc>
          <w:tcPr>
            <w:tcW w:w="3449" w:type="dxa"/>
            <w:tcBorders>
              <w:top w:val="nil"/>
              <w:left w:val="nil"/>
              <w:bottom w:val="nil"/>
              <w:right w:val="nil"/>
            </w:tcBorders>
            <w:vAlign w:val="center"/>
          </w:tcPr>
          <w:p w14:paraId="5AF2BB9C" w14:textId="77777777" w:rsidR="00173478" w:rsidRPr="008E28A6" w:rsidRDefault="00173478" w:rsidP="00173478">
            <w:pPr>
              <w:suppressAutoHyphens w:val="0"/>
              <w:spacing w:line="240" w:lineRule="auto"/>
              <w:rPr>
                <w:rFonts w:eastAsia="MS Mincho"/>
                <w:sz w:val="18"/>
                <w:szCs w:val="18"/>
                <w:lang w:eastAsia="de-DE"/>
              </w:rPr>
            </w:pPr>
            <w:r w:rsidRPr="008E28A6">
              <w:rPr>
                <w:rFonts w:eastAsia="MS Mincho"/>
                <w:sz w:val="18"/>
                <w:szCs w:val="18"/>
                <w:lang w:eastAsia="de-DE"/>
              </w:rPr>
              <w:t>Andorra</w:t>
            </w:r>
          </w:p>
        </w:tc>
        <w:tc>
          <w:tcPr>
            <w:tcW w:w="2183" w:type="dxa"/>
            <w:tcBorders>
              <w:top w:val="nil"/>
              <w:left w:val="nil"/>
              <w:bottom w:val="nil"/>
              <w:right w:val="nil"/>
            </w:tcBorders>
            <w:vAlign w:val="center"/>
          </w:tcPr>
          <w:p w14:paraId="2D142E9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1975" w:type="dxa"/>
            <w:tcBorders>
              <w:top w:val="nil"/>
              <w:left w:val="nil"/>
              <w:bottom w:val="nil"/>
              <w:right w:val="nil"/>
            </w:tcBorders>
            <w:vAlign w:val="center"/>
          </w:tcPr>
          <w:p w14:paraId="7A4CCF7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2032" w:type="dxa"/>
            <w:tcBorders>
              <w:top w:val="nil"/>
              <w:left w:val="nil"/>
              <w:bottom w:val="nil"/>
              <w:right w:val="nil"/>
            </w:tcBorders>
            <w:vAlign w:val="center"/>
          </w:tcPr>
          <w:p w14:paraId="6FBFFC4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r>
      <w:tr w:rsidR="00173478" w:rsidRPr="008E28A6" w14:paraId="5DFE8C56" w14:textId="77777777" w:rsidTr="00FA3D25">
        <w:trPr>
          <w:trHeight w:val="248"/>
          <w:jc w:val="center"/>
        </w:trPr>
        <w:tc>
          <w:tcPr>
            <w:tcW w:w="3449" w:type="dxa"/>
            <w:tcBorders>
              <w:top w:val="nil"/>
              <w:left w:val="nil"/>
              <w:bottom w:val="nil"/>
              <w:right w:val="nil"/>
            </w:tcBorders>
            <w:vAlign w:val="center"/>
          </w:tcPr>
          <w:p w14:paraId="0719FCB0" w14:textId="77777777" w:rsidR="00173478" w:rsidRPr="008E28A6" w:rsidRDefault="00173478" w:rsidP="00173478">
            <w:pPr>
              <w:suppressAutoHyphens w:val="0"/>
              <w:spacing w:line="240" w:lineRule="auto"/>
              <w:rPr>
                <w:rFonts w:eastAsia="Arial Unicode MS"/>
                <w:color w:val="000000"/>
                <w:sz w:val="18"/>
                <w:szCs w:val="18"/>
                <w:lang w:eastAsia="de-DE"/>
              </w:rPr>
            </w:pPr>
            <w:r w:rsidRPr="008E28A6">
              <w:rPr>
                <w:rFonts w:eastAsia="MS Mincho"/>
                <w:color w:val="000000"/>
                <w:sz w:val="18"/>
                <w:szCs w:val="18"/>
                <w:lang w:eastAsia="de-DE"/>
              </w:rPr>
              <w:t>Angola</w:t>
            </w:r>
          </w:p>
        </w:tc>
        <w:tc>
          <w:tcPr>
            <w:tcW w:w="2183" w:type="dxa"/>
            <w:tcBorders>
              <w:top w:val="nil"/>
              <w:left w:val="nil"/>
              <w:bottom w:val="nil"/>
              <w:right w:val="nil"/>
            </w:tcBorders>
            <w:vAlign w:val="center"/>
          </w:tcPr>
          <w:p w14:paraId="0AFFA6A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0CAA4AA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7BFE187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0B003FB9" w14:textId="77777777" w:rsidTr="00FA3D25">
        <w:trPr>
          <w:trHeight w:val="248"/>
          <w:jc w:val="center"/>
        </w:trPr>
        <w:tc>
          <w:tcPr>
            <w:tcW w:w="3449" w:type="dxa"/>
            <w:tcBorders>
              <w:top w:val="nil"/>
              <w:left w:val="nil"/>
              <w:bottom w:val="nil"/>
              <w:right w:val="nil"/>
            </w:tcBorders>
            <w:vAlign w:val="center"/>
          </w:tcPr>
          <w:p w14:paraId="095AB51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Antigua and Barbuda</w:t>
            </w:r>
          </w:p>
        </w:tc>
        <w:tc>
          <w:tcPr>
            <w:tcW w:w="2183" w:type="dxa"/>
            <w:tcBorders>
              <w:top w:val="nil"/>
              <w:left w:val="nil"/>
              <w:bottom w:val="nil"/>
              <w:right w:val="nil"/>
            </w:tcBorders>
            <w:vAlign w:val="center"/>
          </w:tcPr>
          <w:p w14:paraId="77E29BE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4B84F27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4656CCE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791805E2" w14:textId="77777777" w:rsidTr="00FA3D25">
        <w:trPr>
          <w:trHeight w:val="248"/>
          <w:jc w:val="center"/>
        </w:trPr>
        <w:tc>
          <w:tcPr>
            <w:tcW w:w="3449" w:type="dxa"/>
            <w:tcBorders>
              <w:top w:val="nil"/>
              <w:left w:val="nil"/>
              <w:bottom w:val="nil"/>
              <w:right w:val="nil"/>
            </w:tcBorders>
            <w:vAlign w:val="center"/>
          </w:tcPr>
          <w:p w14:paraId="2399425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Argentina</w:t>
            </w:r>
          </w:p>
        </w:tc>
        <w:tc>
          <w:tcPr>
            <w:tcW w:w="2183" w:type="dxa"/>
            <w:tcBorders>
              <w:top w:val="nil"/>
              <w:left w:val="nil"/>
              <w:bottom w:val="nil"/>
              <w:right w:val="nil"/>
            </w:tcBorders>
            <w:vAlign w:val="center"/>
          </w:tcPr>
          <w:p w14:paraId="4993154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0.892</w:t>
            </w:r>
          </w:p>
        </w:tc>
        <w:tc>
          <w:tcPr>
            <w:tcW w:w="1975" w:type="dxa"/>
            <w:tcBorders>
              <w:top w:val="nil"/>
              <w:left w:val="nil"/>
              <w:bottom w:val="nil"/>
              <w:right w:val="nil"/>
            </w:tcBorders>
            <w:vAlign w:val="center"/>
          </w:tcPr>
          <w:p w14:paraId="2AA3AFB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0.870</w:t>
            </w:r>
          </w:p>
        </w:tc>
        <w:tc>
          <w:tcPr>
            <w:tcW w:w="2032" w:type="dxa"/>
            <w:tcBorders>
              <w:top w:val="nil"/>
              <w:left w:val="nil"/>
              <w:bottom w:val="nil"/>
              <w:right w:val="nil"/>
            </w:tcBorders>
            <w:vAlign w:val="center"/>
          </w:tcPr>
          <w:p w14:paraId="6499BDE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0.870</w:t>
            </w:r>
          </w:p>
        </w:tc>
      </w:tr>
      <w:tr w:rsidR="00173478" w:rsidRPr="008E28A6" w14:paraId="4F40B83E" w14:textId="77777777" w:rsidTr="00FA3D25">
        <w:trPr>
          <w:trHeight w:val="248"/>
          <w:jc w:val="center"/>
        </w:trPr>
        <w:tc>
          <w:tcPr>
            <w:tcW w:w="3449" w:type="dxa"/>
            <w:tcBorders>
              <w:top w:val="nil"/>
              <w:left w:val="nil"/>
              <w:bottom w:val="nil"/>
              <w:right w:val="nil"/>
            </w:tcBorders>
            <w:vAlign w:val="center"/>
          </w:tcPr>
          <w:p w14:paraId="29A6B8A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Armenia</w:t>
            </w:r>
          </w:p>
        </w:tc>
        <w:tc>
          <w:tcPr>
            <w:tcW w:w="2183" w:type="dxa"/>
            <w:tcBorders>
              <w:top w:val="nil"/>
              <w:left w:val="nil"/>
              <w:bottom w:val="nil"/>
              <w:right w:val="nil"/>
            </w:tcBorders>
            <w:vAlign w:val="center"/>
          </w:tcPr>
          <w:p w14:paraId="7C0764D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1975" w:type="dxa"/>
            <w:tcBorders>
              <w:top w:val="nil"/>
              <w:left w:val="nil"/>
              <w:bottom w:val="nil"/>
              <w:right w:val="nil"/>
            </w:tcBorders>
            <w:vAlign w:val="center"/>
          </w:tcPr>
          <w:p w14:paraId="42B47B7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2032" w:type="dxa"/>
            <w:tcBorders>
              <w:top w:val="nil"/>
              <w:left w:val="nil"/>
              <w:bottom w:val="nil"/>
              <w:right w:val="nil"/>
            </w:tcBorders>
            <w:vAlign w:val="center"/>
          </w:tcPr>
          <w:p w14:paraId="20F0C19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r>
      <w:tr w:rsidR="00173478" w:rsidRPr="008E28A6" w14:paraId="57A7D1A5" w14:textId="77777777" w:rsidTr="00FA3D25">
        <w:trPr>
          <w:trHeight w:val="248"/>
          <w:jc w:val="center"/>
        </w:trPr>
        <w:tc>
          <w:tcPr>
            <w:tcW w:w="3449" w:type="dxa"/>
            <w:tcBorders>
              <w:top w:val="nil"/>
              <w:left w:val="nil"/>
              <w:bottom w:val="nil"/>
              <w:right w:val="nil"/>
            </w:tcBorders>
            <w:vAlign w:val="center"/>
          </w:tcPr>
          <w:p w14:paraId="00E9074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Australia</w:t>
            </w:r>
          </w:p>
        </w:tc>
        <w:tc>
          <w:tcPr>
            <w:tcW w:w="2183" w:type="dxa"/>
            <w:tcBorders>
              <w:top w:val="nil"/>
              <w:left w:val="nil"/>
              <w:bottom w:val="nil"/>
              <w:right w:val="nil"/>
            </w:tcBorders>
            <w:vAlign w:val="center"/>
          </w:tcPr>
          <w:p w14:paraId="06C9FA9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2.337</w:t>
            </w:r>
          </w:p>
        </w:tc>
        <w:tc>
          <w:tcPr>
            <w:tcW w:w="1975" w:type="dxa"/>
            <w:tcBorders>
              <w:top w:val="nil"/>
              <w:left w:val="nil"/>
              <w:bottom w:val="nil"/>
              <w:right w:val="nil"/>
            </w:tcBorders>
            <w:vAlign w:val="center"/>
          </w:tcPr>
          <w:p w14:paraId="0D9EBEE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2.278</w:t>
            </w:r>
          </w:p>
        </w:tc>
        <w:tc>
          <w:tcPr>
            <w:tcW w:w="2032" w:type="dxa"/>
            <w:tcBorders>
              <w:top w:val="nil"/>
              <w:left w:val="nil"/>
              <w:bottom w:val="nil"/>
              <w:right w:val="nil"/>
            </w:tcBorders>
            <w:vAlign w:val="center"/>
          </w:tcPr>
          <w:p w14:paraId="1E0F9A8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2.278</w:t>
            </w:r>
          </w:p>
        </w:tc>
      </w:tr>
      <w:tr w:rsidR="00173478" w:rsidRPr="008E28A6" w14:paraId="471D731B" w14:textId="77777777" w:rsidTr="00FA3D25">
        <w:trPr>
          <w:trHeight w:val="248"/>
          <w:jc w:val="center"/>
        </w:trPr>
        <w:tc>
          <w:tcPr>
            <w:tcW w:w="3449" w:type="dxa"/>
            <w:tcBorders>
              <w:top w:val="nil"/>
              <w:left w:val="nil"/>
              <w:bottom w:val="nil"/>
              <w:right w:val="nil"/>
            </w:tcBorders>
            <w:vAlign w:val="center"/>
          </w:tcPr>
          <w:p w14:paraId="5C2289A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Austria</w:t>
            </w:r>
          </w:p>
        </w:tc>
        <w:tc>
          <w:tcPr>
            <w:tcW w:w="2183" w:type="dxa"/>
            <w:tcBorders>
              <w:top w:val="nil"/>
              <w:left w:val="nil"/>
              <w:bottom w:val="nil"/>
              <w:right w:val="nil"/>
            </w:tcBorders>
            <w:vAlign w:val="center"/>
          </w:tcPr>
          <w:p w14:paraId="3407EAF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0.720</w:t>
            </w:r>
          </w:p>
        </w:tc>
        <w:tc>
          <w:tcPr>
            <w:tcW w:w="1975" w:type="dxa"/>
            <w:tcBorders>
              <w:top w:val="nil"/>
              <w:left w:val="nil"/>
              <w:bottom w:val="nil"/>
              <w:right w:val="nil"/>
            </w:tcBorders>
            <w:vAlign w:val="center"/>
          </w:tcPr>
          <w:p w14:paraId="2ECDE60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0.702</w:t>
            </w:r>
          </w:p>
        </w:tc>
        <w:tc>
          <w:tcPr>
            <w:tcW w:w="2032" w:type="dxa"/>
            <w:tcBorders>
              <w:top w:val="nil"/>
              <w:left w:val="nil"/>
              <w:bottom w:val="nil"/>
              <w:right w:val="nil"/>
            </w:tcBorders>
            <w:vAlign w:val="center"/>
          </w:tcPr>
          <w:p w14:paraId="2BFDEA9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0.702</w:t>
            </w:r>
          </w:p>
        </w:tc>
      </w:tr>
      <w:tr w:rsidR="00173478" w:rsidRPr="008E28A6" w14:paraId="1B15A9C6" w14:textId="77777777" w:rsidTr="00FA3D25">
        <w:trPr>
          <w:trHeight w:val="248"/>
          <w:jc w:val="center"/>
        </w:trPr>
        <w:tc>
          <w:tcPr>
            <w:tcW w:w="3449" w:type="dxa"/>
            <w:tcBorders>
              <w:top w:val="nil"/>
              <w:left w:val="nil"/>
              <w:bottom w:val="nil"/>
              <w:right w:val="nil"/>
            </w:tcBorders>
            <w:vAlign w:val="center"/>
          </w:tcPr>
          <w:p w14:paraId="4FD59AE4"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Azerbaijan</w:t>
            </w:r>
          </w:p>
        </w:tc>
        <w:tc>
          <w:tcPr>
            <w:tcW w:w="2183" w:type="dxa"/>
            <w:tcBorders>
              <w:top w:val="nil"/>
              <w:left w:val="nil"/>
              <w:bottom w:val="nil"/>
              <w:right w:val="nil"/>
            </w:tcBorders>
            <w:vAlign w:val="center"/>
          </w:tcPr>
          <w:p w14:paraId="50A3ECA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0.060</w:t>
            </w:r>
          </w:p>
        </w:tc>
        <w:tc>
          <w:tcPr>
            <w:tcW w:w="1975" w:type="dxa"/>
            <w:tcBorders>
              <w:top w:val="nil"/>
              <w:left w:val="nil"/>
              <w:bottom w:val="nil"/>
              <w:right w:val="nil"/>
            </w:tcBorders>
            <w:vAlign w:val="center"/>
          </w:tcPr>
          <w:p w14:paraId="3BB9A12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0.058</w:t>
            </w:r>
          </w:p>
        </w:tc>
        <w:tc>
          <w:tcPr>
            <w:tcW w:w="2032" w:type="dxa"/>
            <w:tcBorders>
              <w:top w:val="nil"/>
              <w:left w:val="nil"/>
              <w:bottom w:val="nil"/>
              <w:right w:val="nil"/>
            </w:tcBorders>
            <w:vAlign w:val="center"/>
          </w:tcPr>
          <w:p w14:paraId="5B670AC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0.058</w:t>
            </w:r>
          </w:p>
        </w:tc>
      </w:tr>
      <w:tr w:rsidR="00173478" w:rsidRPr="008E28A6" w14:paraId="331BE50F" w14:textId="77777777" w:rsidTr="00FA3D25">
        <w:trPr>
          <w:trHeight w:val="248"/>
          <w:jc w:val="center"/>
        </w:trPr>
        <w:tc>
          <w:tcPr>
            <w:tcW w:w="3449" w:type="dxa"/>
            <w:tcBorders>
              <w:top w:val="nil"/>
              <w:left w:val="nil"/>
              <w:bottom w:val="nil"/>
              <w:right w:val="nil"/>
            </w:tcBorders>
            <w:vAlign w:val="center"/>
          </w:tcPr>
          <w:p w14:paraId="291EC1D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Bahamas</w:t>
            </w:r>
          </w:p>
        </w:tc>
        <w:tc>
          <w:tcPr>
            <w:tcW w:w="2183" w:type="dxa"/>
            <w:tcBorders>
              <w:top w:val="nil"/>
              <w:left w:val="nil"/>
              <w:bottom w:val="nil"/>
              <w:right w:val="nil"/>
            </w:tcBorders>
            <w:vAlign w:val="center"/>
          </w:tcPr>
          <w:p w14:paraId="1BFFDFD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c>
          <w:tcPr>
            <w:tcW w:w="1975" w:type="dxa"/>
            <w:tcBorders>
              <w:top w:val="nil"/>
              <w:left w:val="nil"/>
              <w:bottom w:val="nil"/>
              <w:right w:val="nil"/>
            </w:tcBorders>
            <w:vAlign w:val="center"/>
          </w:tcPr>
          <w:p w14:paraId="423B7A3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c>
          <w:tcPr>
            <w:tcW w:w="2032" w:type="dxa"/>
            <w:tcBorders>
              <w:top w:val="nil"/>
              <w:left w:val="nil"/>
              <w:bottom w:val="nil"/>
              <w:right w:val="nil"/>
            </w:tcBorders>
            <w:vAlign w:val="center"/>
          </w:tcPr>
          <w:p w14:paraId="7ECDAAB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r>
      <w:tr w:rsidR="00173478" w:rsidRPr="008E28A6" w14:paraId="30A9AAAA" w14:textId="77777777" w:rsidTr="00FA3D25">
        <w:trPr>
          <w:trHeight w:val="248"/>
          <w:jc w:val="center"/>
        </w:trPr>
        <w:tc>
          <w:tcPr>
            <w:tcW w:w="3449" w:type="dxa"/>
            <w:tcBorders>
              <w:top w:val="nil"/>
              <w:left w:val="nil"/>
              <w:bottom w:val="nil"/>
              <w:right w:val="nil"/>
            </w:tcBorders>
            <w:vAlign w:val="center"/>
          </w:tcPr>
          <w:p w14:paraId="502F468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Bahrain</w:t>
            </w:r>
          </w:p>
        </w:tc>
        <w:tc>
          <w:tcPr>
            <w:tcW w:w="2183" w:type="dxa"/>
            <w:tcBorders>
              <w:top w:val="nil"/>
              <w:left w:val="nil"/>
              <w:bottom w:val="nil"/>
              <w:right w:val="nil"/>
            </w:tcBorders>
            <w:vAlign w:val="center"/>
          </w:tcPr>
          <w:p w14:paraId="40B2110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0.044</w:t>
            </w:r>
          </w:p>
        </w:tc>
        <w:tc>
          <w:tcPr>
            <w:tcW w:w="1975" w:type="dxa"/>
            <w:tcBorders>
              <w:top w:val="nil"/>
              <w:left w:val="nil"/>
              <w:bottom w:val="nil"/>
              <w:right w:val="nil"/>
            </w:tcBorders>
            <w:vAlign w:val="center"/>
          </w:tcPr>
          <w:p w14:paraId="0A43D47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0.043</w:t>
            </w:r>
          </w:p>
        </w:tc>
        <w:tc>
          <w:tcPr>
            <w:tcW w:w="2032" w:type="dxa"/>
            <w:tcBorders>
              <w:top w:val="nil"/>
              <w:left w:val="nil"/>
              <w:bottom w:val="nil"/>
              <w:right w:val="nil"/>
            </w:tcBorders>
            <w:vAlign w:val="center"/>
          </w:tcPr>
          <w:p w14:paraId="6739D4E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0.043</w:t>
            </w:r>
          </w:p>
        </w:tc>
      </w:tr>
      <w:tr w:rsidR="00173478" w:rsidRPr="008E28A6" w14:paraId="395AE4CD" w14:textId="77777777" w:rsidTr="00FA3D25">
        <w:trPr>
          <w:trHeight w:val="248"/>
          <w:jc w:val="center"/>
        </w:trPr>
        <w:tc>
          <w:tcPr>
            <w:tcW w:w="3449" w:type="dxa"/>
            <w:tcBorders>
              <w:top w:val="nil"/>
              <w:left w:val="nil"/>
              <w:bottom w:val="nil"/>
              <w:right w:val="nil"/>
            </w:tcBorders>
            <w:vAlign w:val="center"/>
          </w:tcPr>
          <w:p w14:paraId="7805023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Bangladesh</w:t>
            </w:r>
          </w:p>
        </w:tc>
        <w:tc>
          <w:tcPr>
            <w:tcW w:w="2183" w:type="dxa"/>
            <w:tcBorders>
              <w:top w:val="nil"/>
              <w:left w:val="nil"/>
              <w:bottom w:val="nil"/>
              <w:right w:val="nil"/>
            </w:tcBorders>
            <w:vAlign w:val="center"/>
          </w:tcPr>
          <w:p w14:paraId="7331E1B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5BAE556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4A0EEB0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7D84467A" w14:textId="77777777" w:rsidTr="00FA3D25">
        <w:trPr>
          <w:trHeight w:val="248"/>
          <w:jc w:val="center"/>
        </w:trPr>
        <w:tc>
          <w:tcPr>
            <w:tcW w:w="3449" w:type="dxa"/>
            <w:tcBorders>
              <w:top w:val="nil"/>
              <w:left w:val="nil"/>
              <w:bottom w:val="nil"/>
              <w:right w:val="nil"/>
            </w:tcBorders>
            <w:vAlign w:val="center"/>
          </w:tcPr>
          <w:p w14:paraId="6F0858F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Barbados</w:t>
            </w:r>
          </w:p>
        </w:tc>
        <w:tc>
          <w:tcPr>
            <w:tcW w:w="2183" w:type="dxa"/>
            <w:tcBorders>
              <w:top w:val="nil"/>
              <w:left w:val="nil"/>
              <w:bottom w:val="nil"/>
              <w:right w:val="nil"/>
            </w:tcBorders>
            <w:vAlign w:val="center"/>
          </w:tcPr>
          <w:p w14:paraId="2E4A33C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1975" w:type="dxa"/>
            <w:tcBorders>
              <w:top w:val="nil"/>
              <w:left w:val="nil"/>
              <w:bottom w:val="nil"/>
              <w:right w:val="nil"/>
            </w:tcBorders>
            <w:vAlign w:val="center"/>
          </w:tcPr>
          <w:p w14:paraId="6FB0512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2032" w:type="dxa"/>
            <w:tcBorders>
              <w:top w:val="nil"/>
              <w:left w:val="nil"/>
              <w:bottom w:val="nil"/>
              <w:right w:val="nil"/>
            </w:tcBorders>
            <w:vAlign w:val="center"/>
          </w:tcPr>
          <w:p w14:paraId="5A25F71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r>
      <w:tr w:rsidR="00173478" w:rsidRPr="008E28A6" w14:paraId="7BF8C355" w14:textId="77777777" w:rsidTr="00FA3D25">
        <w:trPr>
          <w:trHeight w:val="248"/>
          <w:jc w:val="center"/>
        </w:trPr>
        <w:tc>
          <w:tcPr>
            <w:tcW w:w="3449" w:type="dxa"/>
            <w:tcBorders>
              <w:top w:val="nil"/>
              <w:left w:val="nil"/>
              <w:bottom w:val="nil"/>
              <w:right w:val="nil"/>
            </w:tcBorders>
            <w:vAlign w:val="center"/>
          </w:tcPr>
          <w:p w14:paraId="5690A77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Belarus</w:t>
            </w:r>
          </w:p>
        </w:tc>
        <w:tc>
          <w:tcPr>
            <w:tcW w:w="2183" w:type="dxa"/>
            <w:tcBorders>
              <w:top w:val="nil"/>
              <w:left w:val="nil"/>
              <w:bottom w:val="nil"/>
              <w:right w:val="nil"/>
            </w:tcBorders>
            <w:vAlign w:val="center"/>
          </w:tcPr>
          <w:p w14:paraId="06753E8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0.056</w:t>
            </w:r>
          </w:p>
        </w:tc>
        <w:tc>
          <w:tcPr>
            <w:tcW w:w="1975" w:type="dxa"/>
            <w:tcBorders>
              <w:top w:val="nil"/>
              <w:left w:val="nil"/>
              <w:bottom w:val="nil"/>
              <w:right w:val="nil"/>
            </w:tcBorders>
            <w:vAlign w:val="center"/>
          </w:tcPr>
          <w:p w14:paraId="5AEB65C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0.055</w:t>
            </w:r>
          </w:p>
        </w:tc>
        <w:tc>
          <w:tcPr>
            <w:tcW w:w="2032" w:type="dxa"/>
            <w:tcBorders>
              <w:top w:val="nil"/>
              <w:left w:val="nil"/>
              <w:bottom w:val="nil"/>
              <w:right w:val="nil"/>
            </w:tcBorders>
            <w:vAlign w:val="center"/>
          </w:tcPr>
          <w:p w14:paraId="13AD573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0.055</w:t>
            </w:r>
          </w:p>
        </w:tc>
      </w:tr>
      <w:tr w:rsidR="00173478" w:rsidRPr="008E28A6" w14:paraId="7DDB9458" w14:textId="77777777" w:rsidTr="00FA3D25">
        <w:trPr>
          <w:trHeight w:val="248"/>
          <w:jc w:val="center"/>
        </w:trPr>
        <w:tc>
          <w:tcPr>
            <w:tcW w:w="3449" w:type="dxa"/>
            <w:tcBorders>
              <w:top w:val="nil"/>
              <w:left w:val="nil"/>
              <w:bottom w:val="nil"/>
              <w:right w:val="nil"/>
            </w:tcBorders>
            <w:vAlign w:val="center"/>
          </w:tcPr>
          <w:p w14:paraId="116A7D9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Belgium</w:t>
            </w:r>
          </w:p>
        </w:tc>
        <w:tc>
          <w:tcPr>
            <w:tcW w:w="2183" w:type="dxa"/>
            <w:tcBorders>
              <w:top w:val="nil"/>
              <w:left w:val="nil"/>
              <w:bottom w:val="nil"/>
              <w:right w:val="nil"/>
            </w:tcBorders>
            <w:vAlign w:val="center"/>
          </w:tcPr>
          <w:p w14:paraId="3D61622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0.885</w:t>
            </w:r>
          </w:p>
        </w:tc>
        <w:tc>
          <w:tcPr>
            <w:tcW w:w="1975" w:type="dxa"/>
            <w:tcBorders>
              <w:top w:val="nil"/>
              <w:left w:val="nil"/>
              <w:bottom w:val="nil"/>
              <w:right w:val="nil"/>
            </w:tcBorders>
            <w:vAlign w:val="center"/>
          </w:tcPr>
          <w:p w14:paraId="5C001B0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0.863</w:t>
            </w:r>
          </w:p>
        </w:tc>
        <w:tc>
          <w:tcPr>
            <w:tcW w:w="2032" w:type="dxa"/>
            <w:tcBorders>
              <w:top w:val="nil"/>
              <w:left w:val="nil"/>
              <w:bottom w:val="nil"/>
              <w:right w:val="nil"/>
            </w:tcBorders>
            <w:vAlign w:val="center"/>
          </w:tcPr>
          <w:p w14:paraId="0B19F51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0.863</w:t>
            </w:r>
          </w:p>
        </w:tc>
      </w:tr>
      <w:tr w:rsidR="00173478" w:rsidRPr="008E28A6" w14:paraId="15181C33" w14:textId="77777777" w:rsidTr="00FA3D25">
        <w:trPr>
          <w:trHeight w:val="248"/>
          <w:jc w:val="center"/>
        </w:trPr>
        <w:tc>
          <w:tcPr>
            <w:tcW w:w="3449" w:type="dxa"/>
            <w:tcBorders>
              <w:top w:val="nil"/>
              <w:left w:val="nil"/>
              <w:bottom w:val="nil"/>
              <w:right w:val="nil"/>
            </w:tcBorders>
            <w:vAlign w:val="center"/>
          </w:tcPr>
          <w:p w14:paraId="6BD6E7E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Belize</w:t>
            </w:r>
          </w:p>
        </w:tc>
        <w:tc>
          <w:tcPr>
            <w:tcW w:w="2183" w:type="dxa"/>
            <w:tcBorders>
              <w:top w:val="nil"/>
              <w:left w:val="nil"/>
              <w:bottom w:val="nil"/>
              <w:right w:val="nil"/>
            </w:tcBorders>
            <w:vAlign w:val="center"/>
          </w:tcPr>
          <w:p w14:paraId="2E8AA2F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1799C94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01CC48F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4113712A" w14:textId="77777777" w:rsidTr="00FA3D25">
        <w:trPr>
          <w:trHeight w:val="248"/>
          <w:jc w:val="center"/>
        </w:trPr>
        <w:tc>
          <w:tcPr>
            <w:tcW w:w="3449" w:type="dxa"/>
            <w:tcBorders>
              <w:top w:val="nil"/>
              <w:left w:val="nil"/>
              <w:bottom w:val="nil"/>
              <w:right w:val="nil"/>
            </w:tcBorders>
            <w:vAlign w:val="center"/>
          </w:tcPr>
          <w:p w14:paraId="58FE9CA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Benin</w:t>
            </w:r>
          </w:p>
        </w:tc>
        <w:tc>
          <w:tcPr>
            <w:tcW w:w="2183" w:type="dxa"/>
            <w:tcBorders>
              <w:top w:val="nil"/>
              <w:left w:val="nil"/>
              <w:bottom w:val="nil"/>
              <w:right w:val="nil"/>
            </w:tcBorders>
            <w:vAlign w:val="center"/>
          </w:tcPr>
          <w:p w14:paraId="3ACCB87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5ACE7CF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3E9DA6C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7371BD94" w14:textId="77777777" w:rsidTr="00FA3D25">
        <w:trPr>
          <w:trHeight w:val="248"/>
          <w:jc w:val="center"/>
        </w:trPr>
        <w:tc>
          <w:tcPr>
            <w:tcW w:w="3449" w:type="dxa"/>
            <w:tcBorders>
              <w:top w:val="nil"/>
              <w:left w:val="nil"/>
              <w:bottom w:val="nil"/>
              <w:right w:val="nil"/>
            </w:tcBorders>
            <w:vAlign w:val="center"/>
          </w:tcPr>
          <w:p w14:paraId="21E9286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Bhutan</w:t>
            </w:r>
          </w:p>
        </w:tc>
        <w:tc>
          <w:tcPr>
            <w:tcW w:w="2183" w:type="dxa"/>
            <w:tcBorders>
              <w:top w:val="nil"/>
              <w:left w:val="nil"/>
              <w:bottom w:val="nil"/>
              <w:right w:val="nil"/>
            </w:tcBorders>
            <w:vAlign w:val="center"/>
          </w:tcPr>
          <w:p w14:paraId="08C0EB7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6C14FB9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7C0553E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2C656DED" w14:textId="77777777" w:rsidTr="00FA3D25">
        <w:trPr>
          <w:trHeight w:val="248"/>
          <w:jc w:val="center"/>
        </w:trPr>
        <w:tc>
          <w:tcPr>
            <w:tcW w:w="3449" w:type="dxa"/>
            <w:tcBorders>
              <w:top w:val="nil"/>
              <w:left w:val="nil"/>
              <w:bottom w:val="nil"/>
              <w:right w:val="nil"/>
            </w:tcBorders>
            <w:vAlign w:val="center"/>
          </w:tcPr>
          <w:p w14:paraId="6D82DB2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Bolivia (Plurinational State of)</w:t>
            </w:r>
          </w:p>
        </w:tc>
        <w:tc>
          <w:tcPr>
            <w:tcW w:w="2183" w:type="dxa"/>
            <w:tcBorders>
              <w:top w:val="nil"/>
              <w:left w:val="nil"/>
              <w:bottom w:val="nil"/>
              <w:right w:val="nil"/>
            </w:tcBorders>
            <w:vAlign w:val="center"/>
          </w:tcPr>
          <w:p w14:paraId="501EB29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0.012</w:t>
            </w:r>
          </w:p>
        </w:tc>
        <w:tc>
          <w:tcPr>
            <w:tcW w:w="1975" w:type="dxa"/>
            <w:tcBorders>
              <w:top w:val="nil"/>
              <w:left w:val="nil"/>
              <w:bottom w:val="nil"/>
              <w:right w:val="nil"/>
            </w:tcBorders>
            <w:vAlign w:val="center"/>
          </w:tcPr>
          <w:p w14:paraId="44B6776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0.012</w:t>
            </w:r>
          </w:p>
        </w:tc>
        <w:tc>
          <w:tcPr>
            <w:tcW w:w="2032" w:type="dxa"/>
            <w:tcBorders>
              <w:top w:val="nil"/>
              <w:left w:val="nil"/>
              <w:bottom w:val="nil"/>
              <w:right w:val="nil"/>
            </w:tcBorders>
            <w:vAlign w:val="center"/>
          </w:tcPr>
          <w:p w14:paraId="2710039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0.012</w:t>
            </w:r>
          </w:p>
        </w:tc>
      </w:tr>
      <w:tr w:rsidR="00173478" w:rsidRPr="008E28A6" w14:paraId="40CDD91D" w14:textId="77777777" w:rsidTr="00FA3D25">
        <w:trPr>
          <w:trHeight w:val="248"/>
          <w:jc w:val="center"/>
        </w:trPr>
        <w:tc>
          <w:tcPr>
            <w:tcW w:w="3449" w:type="dxa"/>
            <w:tcBorders>
              <w:top w:val="nil"/>
              <w:left w:val="nil"/>
              <w:bottom w:val="nil"/>
              <w:right w:val="nil"/>
            </w:tcBorders>
            <w:vAlign w:val="center"/>
          </w:tcPr>
          <w:p w14:paraId="4A36E2E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Bosnia and Herzegovina</w:t>
            </w:r>
          </w:p>
        </w:tc>
        <w:tc>
          <w:tcPr>
            <w:tcW w:w="2183" w:type="dxa"/>
            <w:tcBorders>
              <w:top w:val="nil"/>
              <w:left w:val="nil"/>
              <w:bottom w:val="nil"/>
              <w:right w:val="nil"/>
            </w:tcBorders>
            <w:vAlign w:val="center"/>
          </w:tcPr>
          <w:p w14:paraId="36ACA96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0.013</w:t>
            </w:r>
          </w:p>
        </w:tc>
        <w:tc>
          <w:tcPr>
            <w:tcW w:w="1975" w:type="dxa"/>
            <w:tcBorders>
              <w:top w:val="nil"/>
              <w:left w:val="nil"/>
              <w:bottom w:val="nil"/>
              <w:right w:val="nil"/>
            </w:tcBorders>
            <w:vAlign w:val="center"/>
          </w:tcPr>
          <w:p w14:paraId="18EB2E8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0.013</w:t>
            </w:r>
          </w:p>
        </w:tc>
        <w:tc>
          <w:tcPr>
            <w:tcW w:w="2032" w:type="dxa"/>
            <w:tcBorders>
              <w:top w:val="nil"/>
              <w:left w:val="nil"/>
              <w:bottom w:val="nil"/>
              <w:right w:val="nil"/>
            </w:tcBorders>
            <w:vAlign w:val="center"/>
          </w:tcPr>
          <w:p w14:paraId="1163E82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0.013</w:t>
            </w:r>
          </w:p>
        </w:tc>
      </w:tr>
      <w:tr w:rsidR="00173478" w:rsidRPr="008E28A6" w14:paraId="67A524ED" w14:textId="77777777" w:rsidTr="00FA3D25">
        <w:trPr>
          <w:trHeight w:val="248"/>
          <w:jc w:val="center"/>
        </w:trPr>
        <w:tc>
          <w:tcPr>
            <w:tcW w:w="3449" w:type="dxa"/>
            <w:tcBorders>
              <w:top w:val="nil"/>
              <w:left w:val="nil"/>
              <w:bottom w:val="nil"/>
              <w:right w:val="nil"/>
            </w:tcBorders>
            <w:vAlign w:val="center"/>
          </w:tcPr>
          <w:p w14:paraId="340F092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Botswana</w:t>
            </w:r>
          </w:p>
        </w:tc>
        <w:tc>
          <w:tcPr>
            <w:tcW w:w="2183" w:type="dxa"/>
            <w:tcBorders>
              <w:top w:val="nil"/>
              <w:left w:val="nil"/>
              <w:bottom w:val="nil"/>
              <w:right w:val="nil"/>
            </w:tcBorders>
            <w:vAlign w:val="center"/>
          </w:tcPr>
          <w:p w14:paraId="3FDFBC7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c>
          <w:tcPr>
            <w:tcW w:w="1975" w:type="dxa"/>
            <w:tcBorders>
              <w:top w:val="nil"/>
              <w:left w:val="nil"/>
              <w:bottom w:val="nil"/>
              <w:right w:val="nil"/>
            </w:tcBorders>
            <w:vAlign w:val="center"/>
          </w:tcPr>
          <w:p w14:paraId="054D24A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c>
          <w:tcPr>
            <w:tcW w:w="2032" w:type="dxa"/>
            <w:tcBorders>
              <w:top w:val="nil"/>
              <w:left w:val="nil"/>
              <w:bottom w:val="nil"/>
              <w:right w:val="nil"/>
            </w:tcBorders>
            <w:vAlign w:val="center"/>
          </w:tcPr>
          <w:p w14:paraId="7B82E55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r>
      <w:tr w:rsidR="00173478" w:rsidRPr="008E28A6" w14:paraId="2231F155" w14:textId="77777777" w:rsidTr="00FA3D25">
        <w:trPr>
          <w:trHeight w:val="248"/>
          <w:jc w:val="center"/>
        </w:trPr>
        <w:tc>
          <w:tcPr>
            <w:tcW w:w="3449" w:type="dxa"/>
            <w:tcBorders>
              <w:top w:val="nil"/>
              <w:left w:val="nil"/>
              <w:bottom w:val="nil"/>
              <w:right w:val="nil"/>
            </w:tcBorders>
            <w:vAlign w:val="center"/>
          </w:tcPr>
          <w:p w14:paraId="45868EB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Brazil</w:t>
            </w:r>
          </w:p>
        </w:tc>
        <w:tc>
          <w:tcPr>
            <w:tcW w:w="2183" w:type="dxa"/>
            <w:tcBorders>
              <w:top w:val="nil"/>
              <w:left w:val="nil"/>
              <w:bottom w:val="nil"/>
              <w:right w:val="nil"/>
            </w:tcBorders>
            <w:vAlign w:val="center"/>
          </w:tcPr>
          <w:p w14:paraId="561DA43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3.823</w:t>
            </w:r>
          </w:p>
        </w:tc>
        <w:tc>
          <w:tcPr>
            <w:tcW w:w="1975" w:type="dxa"/>
            <w:tcBorders>
              <w:top w:val="nil"/>
              <w:left w:val="nil"/>
              <w:bottom w:val="nil"/>
              <w:right w:val="nil"/>
            </w:tcBorders>
            <w:vAlign w:val="center"/>
          </w:tcPr>
          <w:p w14:paraId="4A31085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3.727</w:t>
            </w:r>
          </w:p>
        </w:tc>
        <w:tc>
          <w:tcPr>
            <w:tcW w:w="2032" w:type="dxa"/>
            <w:tcBorders>
              <w:top w:val="nil"/>
              <w:left w:val="nil"/>
              <w:bottom w:val="nil"/>
              <w:right w:val="nil"/>
            </w:tcBorders>
            <w:vAlign w:val="center"/>
          </w:tcPr>
          <w:p w14:paraId="5619432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3.727</w:t>
            </w:r>
          </w:p>
        </w:tc>
      </w:tr>
      <w:tr w:rsidR="00173478" w:rsidRPr="008E28A6" w14:paraId="75B3974F" w14:textId="77777777" w:rsidTr="00FA3D25">
        <w:trPr>
          <w:trHeight w:val="248"/>
          <w:jc w:val="center"/>
        </w:trPr>
        <w:tc>
          <w:tcPr>
            <w:tcW w:w="3449" w:type="dxa"/>
            <w:tcBorders>
              <w:top w:val="nil"/>
              <w:left w:val="nil"/>
              <w:bottom w:val="nil"/>
              <w:right w:val="nil"/>
            </w:tcBorders>
            <w:vAlign w:val="center"/>
          </w:tcPr>
          <w:p w14:paraId="71040C43" w14:textId="77777777" w:rsidR="00173478" w:rsidRPr="008E28A6" w:rsidRDefault="00173478" w:rsidP="00173478">
            <w:pPr>
              <w:suppressAutoHyphens w:val="0"/>
              <w:spacing w:line="240" w:lineRule="auto"/>
              <w:ind w:left="360" w:hanging="360"/>
              <w:rPr>
                <w:rFonts w:eastAsia="MS Mincho"/>
                <w:color w:val="000000"/>
                <w:sz w:val="18"/>
                <w:szCs w:val="18"/>
                <w:lang w:eastAsia="de-DE"/>
              </w:rPr>
            </w:pPr>
            <w:r w:rsidRPr="008E28A6">
              <w:rPr>
                <w:rFonts w:eastAsia="MS Mincho"/>
                <w:color w:val="000000"/>
                <w:sz w:val="18"/>
                <w:szCs w:val="18"/>
                <w:lang w:eastAsia="de-DE"/>
              </w:rPr>
              <w:t>Brunei Darussalam</w:t>
            </w:r>
          </w:p>
        </w:tc>
        <w:tc>
          <w:tcPr>
            <w:tcW w:w="2183" w:type="dxa"/>
            <w:tcBorders>
              <w:top w:val="nil"/>
              <w:left w:val="nil"/>
              <w:bottom w:val="nil"/>
              <w:right w:val="nil"/>
            </w:tcBorders>
            <w:vAlign w:val="center"/>
          </w:tcPr>
          <w:p w14:paraId="435763F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0.029</w:t>
            </w:r>
          </w:p>
        </w:tc>
        <w:tc>
          <w:tcPr>
            <w:tcW w:w="1975" w:type="dxa"/>
            <w:tcBorders>
              <w:top w:val="nil"/>
              <w:left w:val="nil"/>
              <w:bottom w:val="nil"/>
              <w:right w:val="nil"/>
            </w:tcBorders>
            <w:vAlign w:val="center"/>
          </w:tcPr>
          <w:p w14:paraId="0AA3F8A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0.028</w:t>
            </w:r>
          </w:p>
        </w:tc>
        <w:tc>
          <w:tcPr>
            <w:tcW w:w="2032" w:type="dxa"/>
            <w:tcBorders>
              <w:top w:val="nil"/>
              <w:left w:val="nil"/>
              <w:bottom w:val="nil"/>
              <w:right w:val="nil"/>
            </w:tcBorders>
            <w:vAlign w:val="center"/>
          </w:tcPr>
          <w:p w14:paraId="4F867E9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0.028</w:t>
            </w:r>
          </w:p>
        </w:tc>
      </w:tr>
      <w:tr w:rsidR="00173478" w:rsidRPr="008E28A6" w14:paraId="172C520C" w14:textId="77777777" w:rsidTr="00FA3D25">
        <w:trPr>
          <w:trHeight w:val="248"/>
          <w:jc w:val="center"/>
        </w:trPr>
        <w:tc>
          <w:tcPr>
            <w:tcW w:w="3449" w:type="dxa"/>
            <w:tcBorders>
              <w:top w:val="nil"/>
              <w:left w:val="nil"/>
              <w:bottom w:val="nil"/>
              <w:right w:val="nil"/>
            </w:tcBorders>
            <w:vAlign w:val="center"/>
          </w:tcPr>
          <w:p w14:paraId="05C0A8D7"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Bulgaria</w:t>
            </w:r>
          </w:p>
        </w:tc>
        <w:tc>
          <w:tcPr>
            <w:tcW w:w="2183" w:type="dxa"/>
            <w:tcBorders>
              <w:top w:val="nil"/>
              <w:left w:val="nil"/>
              <w:bottom w:val="nil"/>
              <w:right w:val="nil"/>
            </w:tcBorders>
            <w:vAlign w:val="center"/>
          </w:tcPr>
          <w:p w14:paraId="4B19EC6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0.045</w:t>
            </w:r>
          </w:p>
        </w:tc>
        <w:tc>
          <w:tcPr>
            <w:tcW w:w="1975" w:type="dxa"/>
            <w:tcBorders>
              <w:top w:val="nil"/>
              <w:left w:val="nil"/>
              <w:bottom w:val="nil"/>
              <w:right w:val="nil"/>
            </w:tcBorders>
            <w:vAlign w:val="center"/>
          </w:tcPr>
          <w:p w14:paraId="3C8E793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0.044</w:t>
            </w:r>
          </w:p>
        </w:tc>
        <w:tc>
          <w:tcPr>
            <w:tcW w:w="2032" w:type="dxa"/>
            <w:tcBorders>
              <w:top w:val="nil"/>
              <w:left w:val="nil"/>
              <w:bottom w:val="nil"/>
              <w:right w:val="nil"/>
            </w:tcBorders>
            <w:vAlign w:val="center"/>
          </w:tcPr>
          <w:p w14:paraId="40CD185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0.044</w:t>
            </w:r>
          </w:p>
        </w:tc>
      </w:tr>
      <w:tr w:rsidR="00173478" w:rsidRPr="008E28A6" w14:paraId="25D9808B" w14:textId="77777777" w:rsidTr="00FA3D25">
        <w:trPr>
          <w:trHeight w:val="248"/>
          <w:jc w:val="center"/>
        </w:trPr>
        <w:tc>
          <w:tcPr>
            <w:tcW w:w="3449" w:type="dxa"/>
            <w:tcBorders>
              <w:top w:val="nil"/>
              <w:left w:val="nil"/>
              <w:bottom w:val="nil"/>
              <w:right w:val="nil"/>
            </w:tcBorders>
            <w:vAlign w:val="center"/>
          </w:tcPr>
          <w:p w14:paraId="1A545AE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Burkina Faso</w:t>
            </w:r>
          </w:p>
        </w:tc>
        <w:tc>
          <w:tcPr>
            <w:tcW w:w="2183" w:type="dxa"/>
            <w:tcBorders>
              <w:top w:val="nil"/>
              <w:left w:val="nil"/>
              <w:bottom w:val="nil"/>
              <w:right w:val="nil"/>
            </w:tcBorders>
            <w:vAlign w:val="center"/>
          </w:tcPr>
          <w:p w14:paraId="3130CAE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nil"/>
              <w:right w:val="nil"/>
            </w:tcBorders>
            <w:vAlign w:val="center"/>
          </w:tcPr>
          <w:p w14:paraId="37E5D2F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nil"/>
              <w:right w:val="nil"/>
            </w:tcBorders>
            <w:vAlign w:val="center"/>
          </w:tcPr>
          <w:p w14:paraId="06DB4B0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37918E90" w14:textId="77777777" w:rsidTr="00FA3D25">
        <w:trPr>
          <w:trHeight w:val="248"/>
          <w:jc w:val="center"/>
        </w:trPr>
        <w:tc>
          <w:tcPr>
            <w:tcW w:w="3449" w:type="dxa"/>
            <w:tcBorders>
              <w:top w:val="nil"/>
              <w:left w:val="nil"/>
              <w:bottom w:val="nil"/>
              <w:right w:val="nil"/>
            </w:tcBorders>
            <w:vAlign w:val="center"/>
          </w:tcPr>
          <w:p w14:paraId="24250EC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Burundi</w:t>
            </w:r>
          </w:p>
        </w:tc>
        <w:tc>
          <w:tcPr>
            <w:tcW w:w="2183" w:type="dxa"/>
            <w:tcBorders>
              <w:top w:val="nil"/>
              <w:left w:val="nil"/>
              <w:bottom w:val="nil"/>
              <w:right w:val="nil"/>
            </w:tcBorders>
            <w:vAlign w:val="center"/>
          </w:tcPr>
          <w:p w14:paraId="3CB5415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1099486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637C6DE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383C085" w14:textId="77777777" w:rsidTr="00FA3D25">
        <w:trPr>
          <w:trHeight w:val="248"/>
          <w:jc w:val="center"/>
        </w:trPr>
        <w:tc>
          <w:tcPr>
            <w:tcW w:w="3449" w:type="dxa"/>
            <w:tcBorders>
              <w:top w:val="nil"/>
              <w:left w:val="nil"/>
              <w:bottom w:val="nil"/>
              <w:right w:val="nil"/>
            </w:tcBorders>
            <w:vAlign w:val="center"/>
          </w:tcPr>
          <w:p w14:paraId="6616FB02" w14:textId="77777777" w:rsidR="00173478" w:rsidRPr="008E28A6" w:rsidRDefault="00173478" w:rsidP="00173478">
            <w:pPr>
              <w:suppressAutoHyphens w:val="0"/>
              <w:spacing w:line="240" w:lineRule="auto"/>
              <w:ind w:left="360" w:hanging="360"/>
              <w:rPr>
                <w:rFonts w:eastAsia="MS Mincho"/>
                <w:color w:val="000000"/>
                <w:sz w:val="18"/>
                <w:szCs w:val="18"/>
                <w:lang w:eastAsia="de-DE"/>
              </w:rPr>
            </w:pPr>
            <w:r w:rsidRPr="008E28A6">
              <w:rPr>
                <w:rFonts w:eastAsia="MS Mincho"/>
                <w:color w:val="000000"/>
                <w:sz w:val="18"/>
                <w:szCs w:val="18"/>
                <w:lang w:eastAsia="de-DE"/>
              </w:rPr>
              <w:t>Cabo Verde</w:t>
            </w:r>
          </w:p>
        </w:tc>
        <w:tc>
          <w:tcPr>
            <w:tcW w:w="2183" w:type="dxa"/>
            <w:tcBorders>
              <w:top w:val="nil"/>
              <w:left w:val="nil"/>
              <w:bottom w:val="nil"/>
              <w:right w:val="nil"/>
            </w:tcBorders>
            <w:vAlign w:val="center"/>
          </w:tcPr>
          <w:p w14:paraId="1AA86D9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4A8223D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7DA58F9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1D5E750B" w14:textId="77777777" w:rsidTr="00FA3D25">
        <w:trPr>
          <w:trHeight w:val="248"/>
          <w:jc w:val="center"/>
        </w:trPr>
        <w:tc>
          <w:tcPr>
            <w:tcW w:w="3449" w:type="dxa"/>
            <w:tcBorders>
              <w:top w:val="nil"/>
              <w:left w:val="nil"/>
              <w:bottom w:val="nil"/>
              <w:right w:val="nil"/>
            </w:tcBorders>
            <w:vAlign w:val="center"/>
          </w:tcPr>
          <w:p w14:paraId="007D8E9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Cambodia</w:t>
            </w:r>
          </w:p>
        </w:tc>
        <w:tc>
          <w:tcPr>
            <w:tcW w:w="2183" w:type="dxa"/>
            <w:tcBorders>
              <w:top w:val="nil"/>
              <w:left w:val="nil"/>
              <w:bottom w:val="nil"/>
              <w:right w:val="nil"/>
            </w:tcBorders>
            <w:vAlign w:val="center"/>
          </w:tcPr>
          <w:p w14:paraId="6BD46D1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nil"/>
              <w:right w:val="nil"/>
            </w:tcBorders>
            <w:vAlign w:val="center"/>
          </w:tcPr>
          <w:p w14:paraId="4F698EE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nil"/>
              <w:right w:val="nil"/>
            </w:tcBorders>
            <w:vAlign w:val="center"/>
          </w:tcPr>
          <w:p w14:paraId="1F9B216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65609908" w14:textId="77777777" w:rsidTr="00FA3D25">
        <w:trPr>
          <w:trHeight w:val="248"/>
          <w:jc w:val="center"/>
        </w:trPr>
        <w:tc>
          <w:tcPr>
            <w:tcW w:w="3449" w:type="dxa"/>
            <w:tcBorders>
              <w:top w:val="nil"/>
              <w:left w:val="nil"/>
              <w:bottom w:val="nil"/>
              <w:right w:val="nil"/>
            </w:tcBorders>
            <w:vAlign w:val="center"/>
          </w:tcPr>
          <w:p w14:paraId="4BBCF90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Cameroon</w:t>
            </w:r>
          </w:p>
        </w:tc>
        <w:tc>
          <w:tcPr>
            <w:tcW w:w="2183" w:type="dxa"/>
            <w:tcBorders>
              <w:top w:val="nil"/>
              <w:left w:val="nil"/>
              <w:bottom w:val="nil"/>
              <w:right w:val="nil"/>
            </w:tcBorders>
            <w:vAlign w:val="center"/>
          </w:tcPr>
          <w:p w14:paraId="2BAAF0D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57E72E4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5AE6DAB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204DBBBA" w14:textId="77777777" w:rsidTr="00FA3D25">
        <w:trPr>
          <w:trHeight w:val="248"/>
          <w:jc w:val="center"/>
        </w:trPr>
        <w:tc>
          <w:tcPr>
            <w:tcW w:w="3449" w:type="dxa"/>
            <w:tcBorders>
              <w:top w:val="nil"/>
              <w:left w:val="nil"/>
              <w:bottom w:val="nil"/>
              <w:right w:val="nil"/>
            </w:tcBorders>
            <w:vAlign w:val="center"/>
          </w:tcPr>
          <w:p w14:paraId="45DBB4D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Canada</w:t>
            </w:r>
          </w:p>
        </w:tc>
        <w:tc>
          <w:tcPr>
            <w:tcW w:w="2183" w:type="dxa"/>
            <w:tcBorders>
              <w:top w:val="nil"/>
              <w:left w:val="nil"/>
              <w:bottom w:val="nil"/>
              <w:right w:val="nil"/>
            </w:tcBorders>
            <w:vAlign w:val="center"/>
          </w:tcPr>
          <w:p w14:paraId="18B5ED1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2.921</w:t>
            </w:r>
          </w:p>
        </w:tc>
        <w:tc>
          <w:tcPr>
            <w:tcW w:w="1975" w:type="dxa"/>
            <w:tcBorders>
              <w:top w:val="nil"/>
              <w:left w:val="nil"/>
              <w:bottom w:val="nil"/>
              <w:right w:val="nil"/>
            </w:tcBorders>
            <w:vAlign w:val="center"/>
          </w:tcPr>
          <w:p w14:paraId="165508F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2.848</w:t>
            </w:r>
          </w:p>
        </w:tc>
        <w:tc>
          <w:tcPr>
            <w:tcW w:w="2032" w:type="dxa"/>
            <w:tcBorders>
              <w:top w:val="nil"/>
              <w:left w:val="nil"/>
              <w:bottom w:val="nil"/>
              <w:right w:val="nil"/>
            </w:tcBorders>
            <w:vAlign w:val="center"/>
          </w:tcPr>
          <w:p w14:paraId="5745800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2.848</w:t>
            </w:r>
          </w:p>
        </w:tc>
      </w:tr>
      <w:tr w:rsidR="00173478" w:rsidRPr="008E28A6" w14:paraId="33CB642B" w14:textId="77777777" w:rsidTr="00FA3D25">
        <w:trPr>
          <w:trHeight w:val="248"/>
          <w:jc w:val="center"/>
        </w:trPr>
        <w:tc>
          <w:tcPr>
            <w:tcW w:w="3449" w:type="dxa"/>
            <w:tcBorders>
              <w:top w:val="nil"/>
              <w:left w:val="nil"/>
              <w:bottom w:val="nil"/>
              <w:right w:val="nil"/>
            </w:tcBorders>
            <w:vAlign w:val="center"/>
          </w:tcPr>
          <w:p w14:paraId="61279BF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Central African Republic</w:t>
            </w:r>
          </w:p>
        </w:tc>
        <w:tc>
          <w:tcPr>
            <w:tcW w:w="2183" w:type="dxa"/>
            <w:tcBorders>
              <w:top w:val="nil"/>
              <w:left w:val="nil"/>
              <w:bottom w:val="nil"/>
              <w:right w:val="nil"/>
            </w:tcBorders>
            <w:vAlign w:val="center"/>
          </w:tcPr>
          <w:p w14:paraId="47976B4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16FBA27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4E948BF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6365107" w14:textId="77777777" w:rsidTr="00FA3D25">
        <w:trPr>
          <w:trHeight w:val="248"/>
          <w:jc w:val="center"/>
        </w:trPr>
        <w:tc>
          <w:tcPr>
            <w:tcW w:w="3449" w:type="dxa"/>
            <w:tcBorders>
              <w:top w:val="nil"/>
              <w:left w:val="nil"/>
              <w:bottom w:val="nil"/>
              <w:right w:val="nil"/>
            </w:tcBorders>
            <w:vAlign w:val="center"/>
          </w:tcPr>
          <w:p w14:paraId="1CCE97B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Chad</w:t>
            </w:r>
          </w:p>
        </w:tc>
        <w:tc>
          <w:tcPr>
            <w:tcW w:w="2183" w:type="dxa"/>
            <w:tcBorders>
              <w:top w:val="nil"/>
              <w:left w:val="nil"/>
              <w:bottom w:val="nil"/>
              <w:right w:val="nil"/>
            </w:tcBorders>
            <w:vAlign w:val="center"/>
          </w:tcPr>
          <w:p w14:paraId="3CA030D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c>
          <w:tcPr>
            <w:tcW w:w="1975" w:type="dxa"/>
            <w:tcBorders>
              <w:top w:val="nil"/>
              <w:left w:val="nil"/>
              <w:bottom w:val="nil"/>
              <w:right w:val="nil"/>
            </w:tcBorders>
            <w:vAlign w:val="center"/>
          </w:tcPr>
          <w:p w14:paraId="687F43C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c>
          <w:tcPr>
            <w:tcW w:w="2032" w:type="dxa"/>
            <w:tcBorders>
              <w:top w:val="nil"/>
              <w:left w:val="nil"/>
              <w:bottom w:val="nil"/>
              <w:right w:val="nil"/>
            </w:tcBorders>
            <w:vAlign w:val="center"/>
          </w:tcPr>
          <w:p w14:paraId="7558440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r>
      <w:tr w:rsidR="00173478" w:rsidRPr="008E28A6" w14:paraId="155FD01C" w14:textId="77777777" w:rsidTr="00FA3D25">
        <w:trPr>
          <w:trHeight w:val="248"/>
          <w:jc w:val="center"/>
        </w:trPr>
        <w:tc>
          <w:tcPr>
            <w:tcW w:w="3449" w:type="dxa"/>
            <w:tcBorders>
              <w:top w:val="nil"/>
              <w:left w:val="nil"/>
              <w:bottom w:val="nil"/>
              <w:right w:val="nil"/>
            </w:tcBorders>
            <w:vAlign w:val="center"/>
          </w:tcPr>
          <w:p w14:paraId="7CCF51E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Chile</w:t>
            </w:r>
          </w:p>
        </w:tc>
        <w:tc>
          <w:tcPr>
            <w:tcW w:w="2183" w:type="dxa"/>
            <w:tcBorders>
              <w:top w:val="nil"/>
              <w:left w:val="nil"/>
              <w:bottom w:val="nil"/>
              <w:right w:val="nil"/>
            </w:tcBorders>
            <w:vAlign w:val="center"/>
          </w:tcPr>
          <w:p w14:paraId="38852AD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0.399</w:t>
            </w:r>
          </w:p>
        </w:tc>
        <w:tc>
          <w:tcPr>
            <w:tcW w:w="1975" w:type="dxa"/>
            <w:tcBorders>
              <w:top w:val="nil"/>
              <w:left w:val="nil"/>
              <w:bottom w:val="nil"/>
              <w:right w:val="nil"/>
            </w:tcBorders>
            <w:vAlign w:val="center"/>
          </w:tcPr>
          <w:p w14:paraId="67CA192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0.389</w:t>
            </w:r>
          </w:p>
        </w:tc>
        <w:tc>
          <w:tcPr>
            <w:tcW w:w="2032" w:type="dxa"/>
            <w:tcBorders>
              <w:top w:val="nil"/>
              <w:left w:val="nil"/>
              <w:bottom w:val="nil"/>
              <w:right w:val="nil"/>
            </w:tcBorders>
            <w:vAlign w:val="center"/>
          </w:tcPr>
          <w:p w14:paraId="4F33E83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0.389</w:t>
            </w:r>
          </w:p>
        </w:tc>
      </w:tr>
      <w:tr w:rsidR="00173478" w:rsidRPr="008E28A6" w14:paraId="72859BDD" w14:textId="77777777" w:rsidTr="00FA3D25">
        <w:trPr>
          <w:trHeight w:val="248"/>
          <w:jc w:val="center"/>
        </w:trPr>
        <w:tc>
          <w:tcPr>
            <w:tcW w:w="3449" w:type="dxa"/>
            <w:tcBorders>
              <w:top w:val="nil"/>
              <w:left w:val="nil"/>
              <w:bottom w:val="nil"/>
              <w:right w:val="nil"/>
            </w:tcBorders>
            <w:vAlign w:val="center"/>
          </w:tcPr>
          <w:p w14:paraId="17BF850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China</w:t>
            </w:r>
          </w:p>
        </w:tc>
        <w:tc>
          <w:tcPr>
            <w:tcW w:w="2183" w:type="dxa"/>
            <w:tcBorders>
              <w:top w:val="nil"/>
              <w:left w:val="nil"/>
              <w:bottom w:val="nil"/>
              <w:right w:val="nil"/>
            </w:tcBorders>
            <w:vAlign w:val="center"/>
          </w:tcPr>
          <w:p w14:paraId="295E787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7.921</w:t>
            </w:r>
          </w:p>
        </w:tc>
        <w:tc>
          <w:tcPr>
            <w:tcW w:w="1975" w:type="dxa"/>
            <w:tcBorders>
              <w:top w:val="nil"/>
              <w:left w:val="nil"/>
              <w:bottom w:val="nil"/>
              <w:right w:val="nil"/>
            </w:tcBorders>
            <w:vAlign w:val="center"/>
          </w:tcPr>
          <w:p w14:paraId="284045C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7.722</w:t>
            </w:r>
          </w:p>
        </w:tc>
        <w:tc>
          <w:tcPr>
            <w:tcW w:w="2032" w:type="dxa"/>
            <w:tcBorders>
              <w:top w:val="nil"/>
              <w:left w:val="nil"/>
              <w:bottom w:val="nil"/>
              <w:right w:val="nil"/>
            </w:tcBorders>
            <w:vAlign w:val="center"/>
          </w:tcPr>
          <w:p w14:paraId="44C2716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7.722</w:t>
            </w:r>
          </w:p>
        </w:tc>
      </w:tr>
      <w:tr w:rsidR="00173478" w:rsidRPr="008E28A6" w14:paraId="6F666464" w14:textId="77777777" w:rsidTr="00FA3D25">
        <w:trPr>
          <w:trHeight w:val="248"/>
          <w:jc w:val="center"/>
        </w:trPr>
        <w:tc>
          <w:tcPr>
            <w:tcW w:w="3449" w:type="dxa"/>
            <w:tcBorders>
              <w:top w:val="nil"/>
              <w:left w:val="nil"/>
              <w:bottom w:val="nil"/>
              <w:right w:val="nil"/>
            </w:tcBorders>
            <w:vAlign w:val="center"/>
          </w:tcPr>
          <w:p w14:paraId="0AB95B82"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Colombia</w:t>
            </w:r>
          </w:p>
        </w:tc>
        <w:tc>
          <w:tcPr>
            <w:tcW w:w="2183" w:type="dxa"/>
            <w:tcBorders>
              <w:top w:val="nil"/>
              <w:left w:val="nil"/>
              <w:bottom w:val="nil"/>
              <w:right w:val="nil"/>
            </w:tcBorders>
            <w:vAlign w:val="center"/>
          </w:tcPr>
          <w:p w14:paraId="03F8453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0.322</w:t>
            </w:r>
          </w:p>
        </w:tc>
        <w:tc>
          <w:tcPr>
            <w:tcW w:w="1975" w:type="dxa"/>
            <w:tcBorders>
              <w:top w:val="nil"/>
              <w:left w:val="nil"/>
              <w:bottom w:val="nil"/>
              <w:right w:val="nil"/>
            </w:tcBorders>
            <w:vAlign w:val="center"/>
          </w:tcPr>
          <w:p w14:paraId="6683672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0.314</w:t>
            </w:r>
          </w:p>
        </w:tc>
        <w:tc>
          <w:tcPr>
            <w:tcW w:w="2032" w:type="dxa"/>
            <w:tcBorders>
              <w:top w:val="nil"/>
              <w:left w:val="nil"/>
              <w:bottom w:val="nil"/>
              <w:right w:val="nil"/>
            </w:tcBorders>
            <w:vAlign w:val="center"/>
          </w:tcPr>
          <w:p w14:paraId="5A18404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0.314</w:t>
            </w:r>
          </w:p>
        </w:tc>
      </w:tr>
      <w:tr w:rsidR="00173478" w:rsidRPr="008E28A6" w14:paraId="2863869D" w14:textId="77777777" w:rsidTr="00FA3D25">
        <w:trPr>
          <w:trHeight w:val="248"/>
          <w:jc w:val="center"/>
        </w:trPr>
        <w:tc>
          <w:tcPr>
            <w:tcW w:w="3449" w:type="dxa"/>
            <w:tcBorders>
              <w:top w:val="nil"/>
              <w:left w:val="nil"/>
              <w:bottom w:val="nil"/>
              <w:right w:val="nil"/>
            </w:tcBorders>
            <w:vAlign w:val="center"/>
          </w:tcPr>
          <w:p w14:paraId="46263B8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Comoros</w:t>
            </w:r>
          </w:p>
        </w:tc>
        <w:tc>
          <w:tcPr>
            <w:tcW w:w="2183" w:type="dxa"/>
            <w:tcBorders>
              <w:top w:val="nil"/>
              <w:left w:val="nil"/>
              <w:bottom w:val="nil"/>
              <w:right w:val="nil"/>
            </w:tcBorders>
            <w:vAlign w:val="center"/>
          </w:tcPr>
          <w:p w14:paraId="43C7675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53D53E2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36BDBF6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3271A7C4" w14:textId="77777777" w:rsidTr="00FA3D25">
        <w:trPr>
          <w:trHeight w:val="248"/>
          <w:jc w:val="center"/>
        </w:trPr>
        <w:tc>
          <w:tcPr>
            <w:tcW w:w="3449" w:type="dxa"/>
            <w:tcBorders>
              <w:top w:val="nil"/>
              <w:left w:val="nil"/>
              <w:bottom w:val="nil"/>
              <w:right w:val="nil"/>
            </w:tcBorders>
            <w:vAlign w:val="center"/>
          </w:tcPr>
          <w:p w14:paraId="0D300C7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Congo</w:t>
            </w:r>
          </w:p>
        </w:tc>
        <w:tc>
          <w:tcPr>
            <w:tcW w:w="2183" w:type="dxa"/>
            <w:tcBorders>
              <w:top w:val="nil"/>
              <w:left w:val="nil"/>
              <w:bottom w:val="nil"/>
              <w:right w:val="nil"/>
            </w:tcBorders>
            <w:vAlign w:val="center"/>
          </w:tcPr>
          <w:p w14:paraId="075B7D3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1975" w:type="dxa"/>
            <w:tcBorders>
              <w:top w:val="nil"/>
              <w:left w:val="nil"/>
              <w:bottom w:val="nil"/>
              <w:right w:val="nil"/>
            </w:tcBorders>
            <w:vAlign w:val="center"/>
          </w:tcPr>
          <w:p w14:paraId="5BDE5E3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2032" w:type="dxa"/>
            <w:tcBorders>
              <w:top w:val="nil"/>
              <w:left w:val="nil"/>
              <w:bottom w:val="nil"/>
              <w:right w:val="nil"/>
            </w:tcBorders>
            <w:vAlign w:val="center"/>
          </w:tcPr>
          <w:p w14:paraId="7CD27F7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r>
      <w:tr w:rsidR="00173478" w:rsidRPr="008E28A6" w14:paraId="5E31E035" w14:textId="77777777" w:rsidTr="00FA3D25">
        <w:trPr>
          <w:trHeight w:val="248"/>
          <w:jc w:val="center"/>
        </w:trPr>
        <w:tc>
          <w:tcPr>
            <w:tcW w:w="3449" w:type="dxa"/>
            <w:tcBorders>
              <w:top w:val="nil"/>
              <w:left w:val="nil"/>
              <w:bottom w:val="nil"/>
              <w:right w:val="nil"/>
            </w:tcBorders>
            <w:vAlign w:val="center"/>
          </w:tcPr>
          <w:p w14:paraId="4D3DDD7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Cook Islands</w:t>
            </w:r>
          </w:p>
        </w:tc>
        <w:tc>
          <w:tcPr>
            <w:tcW w:w="2183" w:type="dxa"/>
            <w:tcBorders>
              <w:top w:val="nil"/>
              <w:left w:val="nil"/>
              <w:bottom w:val="nil"/>
              <w:right w:val="nil"/>
            </w:tcBorders>
            <w:vAlign w:val="center"/>
          </w:tcPr>
          <w:p w14:paraId="5965570C" w14:textId="77777777" w:rsidR="00173478" w:rsidRPr="008E28A6" w:rsidRDefault="00173478" w:rsidP="00FA3D25">
            <w:pPr>
              <w:suppressAutoHyphens w:val="0"/>
              <w:spacing w:line="240" w:lineRule="auto"/>
              <w:jc w:val="right"/>
              <w:rPr>
                <w:rFonts w:eastAsia="MS Mincho"/>
                <w:color w:val="000000"/>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1FC9522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0960B5F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18E7EC37" w14:textId="77777777" w:rsidTr="00FA3D25">
        <w:trPr>
          <w:trHeight w:val="248"/>
          <w:jc w:val="center"/>
        </w:trPr>
        <w:tc>
          <w:tcPr>
            <w:tcW w:w="3449" w:type="dxa"/>
            <w:tcBorders>
              <w:top w:val="nil"/>
              <w:left w:val="nil"/>
              <w:bottom w:val="nil"/>
              <w:right w:val="nil"/>
            </w:tcBorders>
            <w:vAlign w:val="center"/>
          </w:tcPr>
          <w:p w14:paraId="3A73276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Costa Rica</w:t>
            </w:r>
          </w:p>
        </w:tc>
        <w:tc>
          <w:tcPr>
            <w:tcW w:w="2183" w:type="dxa"/>
            <w:tcBorders>
              <w:top w:val="nil"/>
              <w:left w:val="nil"/>
              <w:bottom w:val="nil"/>
              <w:right w:val="nil"/>
            </w:tcBorders>
            <w:vAlign w:val="center"/>
          </w:tcPr>
          <w:p w14:paraId="6EBC2FB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0.047</w:t>
            </w:r>
          </w:p>
        </w:tc>
        <w:tc>
          <w:tcPr>
            <w:tcW w:w="1975" w:type="dxa"/>
            <w:tcBorders>
              <w:top w:val="nil"/>
              <w:left w:val="nil"/>
              <w:bottom w:val="nil"/>
              <w:right w:val="nil"/>
            </w:tcBorders>
            <w:vAlign w:val="center"/>
          </w:tcPr>
          <w:p w14:paraId="447FD61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0.046</w:t>
            </w:r>
          </w:p>
        </w:tc>
        <w:tc>
          <w:tcPr>
            <w:tcW w:w="2032" w:type="dxa"/>
            <w:tcBorders>
              <w:top w:val="nil"/>
              <w:left w:val="nil"/>
              <w:bottom w:val="nil"/>
              <w:right w:val="nil"/>
            </w:tcBorders>
            <w:vAlign w:val="center"/>
          </w:tcPr>
          <w:p w14:paraId="7744792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0.046</w:t>
            </w:r>
          </w:p>
        </w:tc>
      </w:tr>
      <w:tr w:rsidR="00173478" w:rsidRPr="008E28A6" w14:paraId="4E282AD6" w14:textId="77777777" w:rsidTr="00FA3D25">
        <w:trPr>
          <w:trHeight w:val="248"/>
          <w:jc w:val="center"/>
        </w:trPr>
        <w:tc>
          <w:tcPr>
            <w:tcW w:w="3449" w:type="dxa"/>
            <w:tcBorders>
              <w:top w:val="nil"/>
              <w:left w:val="nil"/>
              <w:bottom w:val="nil"/>
              <w:right w:val="nil"/>
            </w:tcBorders>
            <w:vAlign w:val="center"/>
          </w:tcPr>
          <w:p w14:paraId="145DABF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Côte d’Ivoire</w:t>
            </w:r>
          </w:p>
        </w:tc>
        <w:tc>
          <w:tcPr>
            <w:tcW w:w="2183" w:type="dxa"/>
            <w:tcBorders>
              <w:top w:val="nil"/>
              <w:left w:val="nil"/>
              <w:bottom w:val="nil"/>
              <w:right w:val="nil"/>
            </w:tcBorders>
            <w:vAlign w:val="center"/>
          </w:tcPr>
          <w:p w14:paraId="689AB5C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c>
          <w:tcPr>
            <w:tcW w:w="1975" w:type="dxa"/>
            <w:tcBorders>
              <w:top w:val="nil"/>
              <w:left w:val="nil"/>
              <w:bottom w:val="nil"/>
              <w:right w:val="nil"/>
            </w:tcBorders>
            <w:vAlign w:val="center"/>
          </w:tcPr>
          <w:p w14:paraId="123BD8E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c>
          <w:tcPr>
            <w:tcW w:w="2032" w:type="dxa"/>
            <w:tcBorders>
              <w:top w:val="nil"/>
              <w:left w:val="nil"/>
              <w:bottom w:val="nil"/>
              <w:right w:val="nil"/>
            </w:tcBorders>
            <w:vAlign w:val="center"/>
          </w:tcPr>
          <w:p w14:paraId="1CFDC2D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r>
      <w:tr w:rsidR="00173478" w:rsidRPr="008E28A6" w14:paraId="78BB062D" w14:textId="77777777" w:rsidTr="00FA3D25">
        <w:trPr>
          <w:trHeight w:val="248"/>
          <w:jc w:val="center"/>
        </w:trPr>
        <w:tc>
          <w:tcPr>
            <w:tcW w:w="3449" w:type="dxa"/>
            <w:tcBorders>
              <w:top w:val="nil"/>
              <w:left w:val="nil"/>
              <w:bottom w:val="nil"/>
              <w:right w:val="nil"/>
            </w:tcBorders>
            <w:vAlign w:val="center"/>
          </w:tcPr>
          <w:p w14:paraId="76003C3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Croatia</w:t>
            </w:r>
          </w:p>
        </w:tc>
        <w:tc>
          <w:tcPr>
            <w:tcW w:w="2183" w:type="dxa"/>
            <w:tcBorders>
              <w:top w:val="nil"/>
              <w:left w:val="nil"/>
              <w:bottom w:val="nil"/>
              <w:right w:val="nil"/>
            </w:tcBorders>
            <w:vAlign w:val="center"/>
          </w:tcPr>
          <w:p w14:paraId="0212059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0.099</w:t>
            </w:r>
          </w:p>
        </w:tc>
        <w:tc>
          <w:tcPr>
            <w:tcW w:w="1975" w:type="dxa"/>
            <w:tcBorders>
              <w:top w:val="nil"/>
              <w:left w:val="nil"/>
              <w:bottom w:val="nil"/>
              <w:right w:val="nil"/>
            </w:tcBorders>
            <w:vAlign w:val="center"/>
          </w:tcPr>
          <w:p w14:paraId="086D009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0.097</w:t>
            </w:r>
          </w:p>
        </w:tc>
        <w:tc>
          <w:tcPr>
            <w:tcW w:w="2032" w:type="dxa"/>
            <w:tcBorders>
              <w:top w:val="nil"/>
              <w:left w:val="nil"/>
              <w:bottom w:val="nil"/>
              <w:right w:val="nil"/>
            </w:tcBorders>
            <w:vAlign w:val="center"/>
          </w:tcPr>
          <w:p w14:paraId="58BD7EE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0.097</w:t>
            </w:r>
          </w:p>
        </w:tc>
      </w:tr>
      <w:tr w:rsidR="00173478" w:rsidRPr="008E28A6" w14:paraId="5F4DEF69" w14:textId="77777777" w:rsidTr="00FA3D25">
        <w:trPr>
          <w:trHeight w:val="248"/>
          <w:jc w:val="center"/>
        </w:trPr>
        <w:tc>
          <w:tcPr>
            <w:tcW w:w="3449" w:type="dxa"/>
            <w:tcBorders>
              <w:top w:val="nil"/>
              <w:left w:val="nil"/>
              <w:bottom w:val="nil"/>
              <w:right w:val="nil"/>
            </w:tcBorders>
            <w:vAlign w:val="center"/>
          </w:tcPr>
          <w:p w14:paraId="39E8F73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Cuba</w:t>
            </w:r>
          </w:p>
        </w:tc>
        <w:tc>
          <w:tcPr>
            <w:tcW w:w="2183" w:type="dxa"/>
            <w:tcBorders>
              <w:top w:val="nil"/>
              <w:left w:val="nil"/>
              <w:bottom w:val="nil"/>
              <w:right w:val="nil"/>
            </w:tcBorders>
            <w:vAlign w:val="center"/>
          </w:tcPr>
          <w:p w14:paraId="395FDC9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0.065</w:t>
            </w:r>
          </w:p>
        </w:tc>
        <w:tc>
          <w:tcPr>
            <w:tcW w:w="1975" w:type="dxa"/>
            <w:tcBorders>
              <w:top w:val="nil"/>
              <w:left w:val="nil"/>
              <w:bottom w:val="nil"/>
              <w:right w:val="nil"/>
            </w:tcBorders>
            <w:vAlign w:val="center"/>
          </w:tcPr>
          <w:p w14:paraId="2D9EFCE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0.063</w:t>
            </w:r>
          </w:p>
        </w:tc>
        <w:tc>
          <w:tcPr>
            <w:tcW w:w="2032" w:type="dxa"/>
            <w:tcBorders>
              <w:top w:val="nil"/>
              <w:left w:val="nil"/>
              <w:bottom w:val="nil"/>
              <w:right w:val="nil"/>
            </w:tcBorders>
            <w:vAlign w:val="center"/>
          </w:tcPr>
          <w:p w14:paraId="4759E90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0.063</w:t>
            </w:r>
          </w:p>
        </w:tc>
      </w:tr>
      <w:tr w:rsidR="00173478" w:rsidRPr="008E28A6" w14:paraId="3664DEFB" w14:textId="77777777" w:rsidTr="00FA3D25">
        <w:trPr>
          <w:trHeight w:val="248"/>
          <w:jc w:val="center"/>
        </w:trPr>
        <w:tc>
          <w:tcPr>
            <w:tcW w:w="3449" w:type="dxa"/>
            <w:tcBorders>
              <w:top w:val="nil"/>
              <w:left w:val="nil"/>
              <w:bottom w:val="nil"/>
              <w:right w:val="nil"/>
            </w:tcBorders>
            <w:vAlign w:val="center"/>
          </w:tcPr>
          <w:p w14:paraId="4BE6739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Cyprus</w:t>
            </w:r>
          </w:p>
        </w:tc>
        <w:tc>
          <w:tcPr>
            <w:tcW w:w="2183" w:type="dxa"/>
            <w:tcBorders>
              <w:top w:val="nil"/>
              <w:left w:val="nil"/>
              <w:bottom w:val="nil"/>
              <w:right w:val="nil"/>
            </w:tcBorders>
            <w:vAlign w:val="center"/>
          </w:tcPr>
          <w:p w14:paraId="62EE8AD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0.043</w:t>
            </w:r>
          </w:p>
        </w:tc>
        <w:tc>
          <w:tcPr>
            <w:tcW w:w="1975" w:type="dxa"/>
            <w:tcBorders>
              <w:top w:val="nil"/>
              <w:left w:val="nil"/>
              <w:bottom w:val="nil"/>
              <w:right w:val="nil"/>
            </w:tcBorders>
            <w:vAlign w:val="center"/>
          </w:tcPr>
          <w:p w14:paraId="7451C33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0.042</w:t>
            </w:r>
          </w:p>
        </w:tc>
        <w:tc>
          <w:tcPr>
            <w:tcW w:w="2032" w:type="dxa"/>
            <w:tcBorders>
              <w:top w:val="nil"/>
              <w:left w:val="nil"/>
              <w:bottom w:val="nil"/>
              <w:right w:val="nil"/>
            </w:tcBorders>
            <w:vAlign w:val="center"/>
          </w:tcPr>
          <w:p w14:paraId="7FBAA55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0.042</w:t>
            </w:r>
          </w:p>
        </w:tc>
      </w:tr>
      <w:tr w:rsidR="00173478" w:rsidRPr="008E28A6" w14:paraId="63220069" w14:textId="77777777" w:rsidTr="00FA3D25">
        <w:trPr>
          <w:trHeight w:val="248"/>
          <w:jc w:val="center"/>
        </w:trPr>
        <w:tc>
          <w:tcPr>
            <w:tcW w:w="3449" w:type="dxa"/>
            <w:tcBorders>
              <w:top w:val="nil"/>
              <w:left w:val="nil"/>
              <w:bottom w:val="nil"/>
              <w:right w:val="nil"/>
            </w:tcBorders>
            <w:vAlign w:val="center"/>
          </w:tcPr>
          <w:p w14:paraId="56CB12D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lastRenderedPageBreak/>
              <w:t>Czechia</w:t>
            </w:r>
          </w:p>
        </w:tc>
        <w:tc>
          <w:tcPr>
            <w:tcW w:w="2183" w:type="dxa"/>
            <w:tcBorders>
              <w:top w:val="nil"/>
              <w:left w:val="nil"/>
              <w:bottom w:val="nil"/>
              <w:right w:val="nil"/>
            </w:tcBorders>
            <w:vAlign w:val="center"/>
          </w:tcPr>
          <w:p w14:paraId="479E527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0.344</w:t>
            </w:r>
          </w:p>
        </w:tc>
        <w:tc>
          <w:tcPr>
            <w:tcW w:w="1975" w:type="dxa"/>
            <w:tcBorders>
              <w:top w:val="nil"/>
              <w:left w:val="nil"/>
              <w:bottom w:val="nil"/>
              <w:right w:val="nil"/>
            </w:tcBorders>
            <w:vAlign w:val="center"/>
          </w:tcPr>
          <w:p w14:paraId="1FCD837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0.335</w:t>
            </w:r>
          </w:p>
        </w:tc>
        <w:tc>
          <w:tcPr>
            <w:tcW w:w="2032" w:type="dxa"/>
            <w:tcBorders>
              <w:top w:val="nil"/>
              <w:left w:val="nil"/>
              <w:bottom w:val="nil"/>
              <w:right w:val="nil"/>
            </w:tcBorders>
            <w:vAlign w:val="center"/>
          </w:tcPr>
          <w:p w14:paraId="2A38E12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0.335</w:t>
            </w:r>
          </w:p>
        </w:tc>
      </w:tr>
      <w:tr w:rsidR="00173478" w:rsidRPr="008E28A6" w14:paraId="75846FF2" w14:textId="77777777" w:rsidTr="00FA3D25">
        <w:trPr>
          <w:trHeight w:val="248"/>
          <w:jc w:val="center"/>
        </w:trPr>
        <w:tc>
          <w:tcPr>
            <w:tcW w:w="3449" w:type="dxa"/>
            <w:tcBorders>
              <w:top w:val="nil"/>
              <w:left w:val="nil"/>
              <w:bottom w:val="nil"/>
              <w:right w:val="nil"/>
            </w:tcBorders>
            <w:vAlign w:val="center"/>
          </w:tcPr>
          <w:p w14:paraId="2A76B04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Democratic People’s Republic of Korea</w:t>
            </w:r>
          </w:p>
        </w:tc>
        <w:tc>
          <w:tcPr>
            <w:tcW w:w="2183" w:type="dxa"/>
            <w:tcBorders>
              <w:top w:val="nil"/>
              <w:left w:val="nil"/>
              <w:bottom w:val="nil"/>
              <w:right w:val="nil"/>
            </w:tcBorders>
            <w:vAlign w:val="center"/>
          </w:tcPr>
          <w:p w14:paraId="2655A8D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c>
          <w:tcPr>
            <w:tcW w:w="1975" w:type="dxa"/>
            <w:tcBorders>
              <w:top w:val="nil"/>
              <w:left w:val="nil"/>
              <w:bottom w:val="nil"/>
              <w:right w:val="nil"/>
            </w:tcBorders>
            <w:vAlign w:val="center"/>
          </w:tcPr>
          <w:p w14:paraId="3F3A8B5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c>
          <w:tcPr>
            <w:tcW w:w="2032" w:type="dxa"/>
            <w:tcBorders>
              <w:top w:val="nil"/>
              <w:left w:val="nil"/>
              <w:bottom w:val="nil"/>
              <w:right w:val="nil"/>
            </w:tcBorders>
            <w:vAlign w:val="center"/>
          </w:tcPr>
          <w:p w14:paraId="440100B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r>
      <w:tr w:rsidR="00173478" w:rsidRPr="008E28A6" w14:paraId="79D745AF" w14:textId="77777777" w:rsidTr="00FA3D25">
        <w:trPr>
          <w:trHeight w:val="248"/>
          <w:jc w:val="center"/>
        </w:trPr>
        <w:tc>
          <w:tcPr>
            <w:tcW w:w="3449" w:type="dxa"/>
            <w:tcBorders>
              <w:top w:val="nil"/>
              <w:left w:val="nil"/>
              <w:bottom w:val="nil"/>
              <w:right w:val="nil"/>
            </w:tcBorders>
            <w:vAlign w:val="center"/>
          </w:tcPr>
          <w:p w14:paraId="74C79B7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Democratic Republic of the Congo</w:t>
            </w:r>
          </w:p>
        </w:tc>
        <w:tc>
          <w:tcPr>
            <w:tcW w:w="2183" w:type="dxa"/>
            <w:tcBorders>
              <w:top w:val="nil"/>
              <w:left w:val="nil"/>
              <w:bottom w:val="nil"/>
              <w:right w:val="nil"/>
            </w:tcBorders>
            <w:vAlign w:val="center"/>
          </w:tcPr>
          <w:p w14:paraId="28A3E42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c>
          <w:tcPr>
            <w:tcW w:w="1975" w:type="dxa"/>
            <w:tcBorders>
              <w:top w:val="nil"/>
              <w:left w:val="nil"/>
              <w:bottom w:val="nil"/>
              <w:right w:val="nil"/>
            </w:tcBorders>
            <w:vAlign w:val="center"/>
          </w:tcPr>
          <w:p w14:paraId="3274370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c>
          <w:tcPr>
            <w:tcW w:w="2032" w:type="dxa"/>
            <w:tcBorders>
              <w:top w:val="nil"/>
              <w:left w:val="nil"/>
              <w:bottom w:val="nil"/>
              <w:right w:val="nil"/>
            </w:tcBorders>
            <w:vAlign w:val="center"/>
          </w:tcPr>
          <w:p w14:paraId="2F7014B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r>
      <w:tr w:rsidR="00173478" w:rsidRPr="008E28A6" w14:paraId="41E87506" w14:textId="77777777" w:rsidTr="00FA3D25">
        <w:trPr>
          <w:trHeight w:val="248"/>
          <w:jc w:val="center"/>
        </w:trPr>
        <w:tc>
          <w:tcPr>
            <w:tcW w:w="3449" w:type="dxa"/>
            <w:tcBorders>
              <w:top w:val="nil"/>
              <w:left w:val="nil"/>
              <w:bottom w:val="nil"/>
              <w:right w:val="nil"/>
            </w:tcBorders>
            <w:vAlign w:val="center"/>
          </w:tcPr>
          <w:p w14:paraId="529933E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Denmark</w:t>
            </w:r>
          </w:p>
        </w:tc>
        <w:tc>
          <w:tcPr>
            <w:tcW w:w="2183" w:type="dxa"/>
            <w:tcBorders>
              <w:top w:val="nil"/>
              <w:left w:val="nil"/>
              <w:bottom w:val="nil"/>
              <w:right w:val="nil"/>
            </w:tcBorders>
            <w:vAlign w:val="center"/>
          </w:tcPr>
          <w:p w14:paraId="5A69CD8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0.584</w:t>
            </w:r>
          </w:p>
        </w:tc>
        <w:tc>
          <w:tcPr>
            <w:tcW w:w="1975" w:type="dxa"/>
            <w:tcBorders>
              <w:top w:val="nil"/>
              <w:left w:val="nil"/>
              <w:bottom w:val="nil"/>
              <w:right w:val="nil"/>
            </w:tcBorders>
            <w:vAlign w:val="center"/>
          </w:tcPr>
          <w:p w14:paraId="27FFC53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0.569</w:t>
            </w:r>
          </w:p>
        </w:tc>
        <w:tc>
          <w:tcPr>
            <w:tcW w:w="2032" w:type="dxa"/>
            <w:tcBorders>
              <w:top w:val="nil"/>
              <w:left w:val="nil"/>
              <w:bottom w:val="nil"/>
              <w:right w:val="nil"/>
            </w:tcBorders>
            <w:vAlign w:val="center"/>
          </w:tcPr>
          <w:p w14:paraId="1A3D6F6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0.569</w:t>
            </w:r>
          </w:p>
        </w:tc>
      </w:tr>
      <w:tr w:rsidR="00173478" w:rsidRPr="008E28A6" w14:paraId="1A062E71" w14:textId="77777777" w:rsidTr="00FA3D25">
        <w:trPr>
          <w:trHeight w:val="248"/>
          <w:jc w:val="center"/>
        </w:trPr>
        <w:tc>
          <w:tcPr>
            <w:tcW w:w="3449" w:type="dxa"/>
            <w:tcBorders>
              <w:top w:val="nil"/>
              <w:left w:val="nil"/>
              <w:bottom w:val="nil"/>
              <w:right w:val="nil"/>
            </w:tcBorders>
            <w:vAlign w:val="center"/>
          </w:tcPr>
          <w:p w14:paraId="0DDE4B8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Djibouti</w:t>
            </w:r>
          </w:p>
        </w:tc>
        <w:tc>
          <w:tcPr>
            <w:tcW w:w="2183" w:type="dxa"/>
            <w:tcBorders>
              <w:top w:val="nil"/>
              <w:left w:val="nil"/>
              <w:bottom w:val="nil"/>
              <w:right w:val="nil"/>
            </w:tcBorders>
            <w:vAlign w:val="center"/>
          </w:tcPr>
          <w:p w14:paraId="24039C6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3993337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5F2B451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20B04891" w14:textId="77777777" w:rsidTr="00FA3D25">
        <w:trPr>
          <w:trHeight w:val="248"/>
          <w:jc w:val="center"/>
        </w:trPr>
        <w:tc>
          <w:tcPr>
            <w:tcW w:w="3449" w:type="dxa"/>
            <w:tcBorders>
              <w:top w:val="nil"/>
              <w:left w:val="nil"/>
              <w:bottom w:val="nil"/>
              <w:right w:val="nil"/>
            </w:tcBorders>
            <w:vAlign w:val="center"/>
          </w:tcPr>
          <w:p w14:paraId="7A30698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Dominica</w:t>
            </w:r>
          </w:p>
        </w:tc>
        <w:tc>
          <w:tcPr>
            <w:tcW w:w="2183" w:type="dxa"/>
            <w:tcBorders>
              <w:top w:val="nil"/>
              <w:left w:val="nil"/>
              <w:bottom w:val="nil"/>
              <w:right w:val="nil"/>
            </w:tcBorders>
            <w:vAlign w:val="center"/>
          </w:tcPr>
          <w:p w14:paraId="2E4D875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6F4E9F1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363B6C2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654CB36F" w14:textId="77777777" w:rsidTr="00FA3D25">
        <w:trPr>
          <w:trHeight w:val="248"/>
          <w:jc w:val="center"/>
        </w:trPr>
        <w:tc>
          <w:tcPr>
            <w:tcW w:w="3449" w:type="dxa"/>
            <w:tcBorders>
              <w:top w:val="nil"/>
              <w:left w:val="nil"/>
              <w:bottom w:val="nil"/>
              <w:right w:val="nil"/>
            </w:tcBorders>
            <w:vAlign w:val="center"/>
          </w:tcPr>
          <w:p w14:paraId="25DCB1F4"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Dominican Republic</w:t>
            </w:r>
          </w:p>
        </w:tc>
        <w:tc>
          <w:tcPr>
            <w:tcW w:w="2183" w:type="dxa"/>
            <w:tcBorders>
              <w:top w:val="nil"/>
              <w:left w:val="nil"/>
              <w:bottom w:val="nil"/>
              <w:right w:val="nil"/>
            </w:tcBorders>
            <w:vAlign w:val="center"/>
          </w:tcPr>
          <w:p w14:paraId="1EA397D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0.046</w:t>
            </w:r>
          </w:p>
        </w:tc>
        <w:tc>
          <w:tcPr>
            <w:tcW w:w="1975" w:type="dxa"/>
            <w:tcBorders>
              <w:top w:val="nil"/>
              <w:left w:val="nil"/>
              <w:bottom w:val="nil"/>
              <w:right w:val="nil"/>
            </w:tcBorders>
            <w:vAlign w:val="center"/>
          </w:tcPr>
          <w:p w14:paraId="0505B1E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0.045</w:t>
            </w:r>
          </w:p>
        </w:tc>
        <w:tc>
          <w:tcPr>
            <w:tcW w:w="2032" w:type="dxa"/>
            <w:tcBorders>
              <w:top w:val="nil"/>
              <w:left w:val="nil"/>
              <w:bottom w:val="nil"/>
              <w:right w:val="nil"/>
            </w:tcBorders>
            <w:vAlign w:val="center"/>
          </w:tcPr>
          <w:p w14:paraId="4687DD9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0.045</w:t>
            </w:r>
          </w:p>
        </w:tc>
      </w:tr>
      <w:tr w:rsidR="00173478" w:rsidRPr="008E28A6" w14:paraId="5B712218" w14:textId="77777777" w:rsidTr="00FA3D25">
        <w:trPr>
          <w:trHeight w:val="248"/>
          <w:jc w:val="center"/>
        </w:trPr>
        <w:tc>
          <w:tcPr>
            <w:tcW w:w="3449" w:type="dxa"/>
            <w:tcBorders>
              <w:top w:val="nil"/>
              <w:left w:val="nil"/>
              <w:bottom w:val="nil"/>
              <w:right w:val="nil"/>
            </w:tcBorders>
            <w:vAlign w:val="center"/>
          </w:tcPr>
          <w:p w14:paraId="4A8C916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Ecuador</w:t>
            </w:r>
          </w:p>
        </w:tc>
        <w:tc>
          <w:tcPr>
            <w:tcW w:w="2183" w:type="dxa"/>
            <w:tcBorders>
              <w:top w:val="nil"/>
              <w:left w:val="nil"/>
              <w:bottom w:val="nil"/>
              <w:right w:val="nil"/>
            </w:tcBorders>
            <w:vAlign w:val="center"/>
          </w:tcPr>
          <w:p w14:paraId="0DB2DB5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0.067</w:t>
            </w:r>
          </w:p>
        </w:tc>
        <w:tc>
          <w:tcPr>
            <w:tcW w:w="1975" w:type="dxa"/>
            <w:tcBorders>
              <w:top w:val="nil"/>
              <w:left w:val="nil"/>
              <w:bottom w:val="nil"/>
              <w:right w:val="nil"/>
            </w:tcBorders>
            <w:vAlign w:val="center"/>
          </w:tcPr>
          <w:p w14:paraId="2196221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0.065</w:t>
            </w:r>
          </w:p>
        </w:tc>
        <w:tc>
          <w:tcPr>
            <w:tcW w:w="2032" w:type="dxa"/>
            <w:tcBorders>
              <w:top w:val="nil"/>
              <w:left w:val="nil"/>
              <w:bottom w:val="nil"/>
              <w:right w:val="nil"/>
            </w:tcBorders>
            <w:vAlign w:val="center"/>
          </w:tcPr>
          <w:p w14:paraId="17A621F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0.065</w:t>
            </w:r>
          </w:p>
        </w:tc>
      </w:tr>
      <w:tr w:rsidR="00173478" w:rsidRPr="008E28A6" w14:paraId="7C0B1282" w14:textId="77777777" w:rsidTr="00FA3D25">
        <w:trPr>
          <w:trHeight w:val="248"/>
          <w:jc w:val="center"/>
        </w:trPr>
        <w:tc>
          <w:tcPr>
            <w:tcW w:w="3449" w:type="dxa"/>
            <w:tcBorders>
              <w:top w:val="nil"/>
              <w:left w:val="nil"/>
              <w:bottom w:val="nil"/>
              <w:right w:val="nil"/>
            </w:tcBorders>
            <w:vAlign w:val="center"/>
          </w:tcPr>
          <w:p w14:paraId="1E35E31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Egypt</w:t>
            </w:r>
          </w:p>
        </w:tc>
        <w:tc>
          <w:tcPr>
            <w:tcW w:w="2183" w:type="dxa"/>
            <w:tcBorders>
              <w:top w:val="nil"/>
              <w:left w:val="nil"/>
              <w:bottom w:val="nil"/>
              <w:right w:val="nil"/>
            </w:tcBorders>
            <w:vAlign w:val="center"/>
          </w:tcPr>
          <w:p w14:paraId="145694B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0.152</w:t>
            </w:r>
          </w:p>
        </w:tc>
        <w:tc>
          <w:tcPr>
            <w:tcW w:w="1975" w:type="dxa"/>
            <w:tcBorders>
              <w:top w:val="nil"/>
              <w:left w:val="nil"/>
              <w:bottom w:val="nil"/>
              <w:right w:val="nil"/>
            </w:tcBorders>
            <w:vAlign w:val="center"/>
          </w:tcPr>
          <w:p w14:paraId="58933D3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0.148</w:t>
            </w:r>
          </w:p>
        </w:tc>
        <w:tc>
          <w:tcPr>
            <w:tcW w:w="2032" w:type="dxa"/>
            <w:tcBorders>
              <w:top w:val="nil"/>
              <w:left w:val="nil"/>
              <w:bottom w:val="nil"/>
              <w:right w:val="nil"/>
            </w:tcBorders>
            <w:vAlign w:val="center"/>
          </w:tcPr>
          <w:p w14:paraId="23A13F6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0.148</w:t>
            </w:r>
          </w:p>
        </w:tc>
      </w:tr>
      <w:tr w:rsidR="00173478" w:rsidRPr="008E28A6" w14:paraId="18F8D9CE" w14:textId="77777777" w:rsidTr="00FA3D25">
        <w:trPr>
          <w:trHeight w:val="248"/>
          <w:jc w:val="center"/>
        </w:trPr>
        <w:tc>
          <w:tcPr>
            <w:tcW w:w="3449" w:type="dxa"/>
            <w:tcBorders>
              <w:top w:val="nil"/>
              <w:left w:val="nil"/>
              <w:bottom w:val="nil"/>
              <w:right w:val="nil"/>
            </w:tcBorders>
            <w:vAlign w:val="center"/>
          </w:tcPr>
          <w:p w14:paraId="4FD2043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El Salvador</w:t>
            </w:r>
          </w:p>
        </w:tc>
        <w:tc>
          <w:tcPr>
            <w:tcW w:w="2183" w:type="dxa"/>
            <w:tcBorders>
              <w:top w:val="nil"/>
              <w:left w:val="nil"/>
              <w:bottom w:val="nil"/>
              <w:right w:val="nil"/>
            </w:tcBorders>
            <w:vAlign w:val="center"/>
          </w:tcPr>
          <w:p w14:paraId="46F920C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c>
          <w:tcPr>
            <w:tcW w:w="1975" w:type="dxa"/>
            <w:tcBorders>
              <w:top w:val="nil"/>
              <w:left w:val="nil"/>
              <w:bottom w:val="nil"/>
              <w:right w:val="nil"/>
            </w:tcBorders>
            <w:vAlign w:val="center"/>
          </w:tcPr>
          <w:p w14:paraId="5E6B47D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c>
          <w:tcPr>
            <w:tcW w:w="2032" w:type="dxa"/>
            <w:tcBorders>
              <w:top w:val="nil"/>
              <w:left w:val="nil"/>
              <w:bottom w:val="nil"/>
              <w:right w:val="nil"/>
            </w:tcBorders>
            <w:vAlign w:val="center"/>
          </w:tcPr>
          <w:p w14:paraId="54B0AD6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r>
      <w:tr w:rsidR="00173478" w:rsidRPr="008E28A6" w14:paraId="01BE6995" w14:textId="77777777" w:rsidTr="00FA3D25">
        <w:trPr>
          <w:trHeight w:val="248"/>
          <w:jc w:val="center"/>
        </w:trPr>
        <w:tc>
          <w:tcPr>
            <w:tcW w:w="3449" w:type="dxa"/>
            <w:tcBorders>
              <w:top w:val="nil"/>
              <w:left w:val="nil"/>
              <w:bottom w:val="nil"/>
              <w:right w:val="nil"/>
            </w:tcBorders>
            <w:vAlign w:val="center"/>
          </w:tcPr>
          <w:p w14:paraId="1DC86CB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Equatorial Guinea</w:t>
            </w:r>
          </w:p>
        </w:tc>
        <w:tc>
          <w:tcPr>
            <w:tcW w:w="2183" w:type="dxa"/>
            <w:tcBorders>
              <w:top w:val="nil"/>
              <w:left w:val="nil"/>
              <w:bottom w:val="nil"/>
              <w:right w:val="nil"/>
            </w:tcBorders>
            <w:vAlign w:val="center"/>
          </w:tcPr>
          <w:p w14:paraId="2CFF306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54F182D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50344EC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3E660898" w14:textId="77777777" w:rsidTr="00FA3D25">
        <w:trPr>
          <w:trHeight w:val="248"/>
          <w:jc w:val="center"/>
        </w:trPr>
        <w:tc>
          <w:tcPr>
            <w:tcW w:w="3449" w:type="dxa"/>
            <w:tcBorders>
              <w:top w:val="nil"/>
              <w:left w:val="nil"/>
              <w:bottom w:val="nil"/>
              <w:right w:val="nil"/>
            </w:tcBorders>
            <w:vAlign w:val="center"/>
          </w:tcPr>
          <w:p w14:paraId="00E52B5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Eritrea</w:t>
            </w:r>
          </w:p>
        </w:tc>
        <w:tc>
          <w:tcPr>
            <w:tcW w:w="2183" w:type="dxa"/>
            <w:tcBorders>
              <w:top w:val="nil"/>
              <w:left w:val="nil"/>
              <w:bottom w:val="nil"/>
              <w:right w:val="nil"/>
            </w:tcBorders>
            <w:vAlign w:val="center"/>
          </w:tcPr>
          <w:p w14:paraId="72BC2A2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37AB106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38A21E0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71723933" w14:textId="77777777" w:rsidTr="00FA3D25">
        <w:trPr>
          <w:trHeight w:val="248"/>
          <w:jc w:val="center"/>
        </w:trPr>
        <w:tc>
          <w:tcPr>
            <w:tcW w:w="3449" w:type="dxa"/>
            <w:tcBorders>
              <w:top w:val="nil"/>
              <w:left w:val="nil"/>
              <w:bottom w:val="nil"/>
              <w:right w:val="nil"/>
            </w:tcBorders>
            <w:vAlign w:val="center"/>
          </w:tcPr>
          <w:p w14:paraId="6B648F3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Estonia</w:t>
            </w:r>
          </w:p>
        </w:tc>
        <w:tc>
          <w:tcPr>
            <w:tcW w:w="2183" w:type="dxa"/>
            <w:tcBorders>
              <w:top w:val="nil"/>
              <w:left w:val="nil"/>
              <w:bottom w:val="nil"/>
              <w:right w:val="nil"/>
            </w:tcBorders>
            <w:vAlign w:val="center"/>
          </w:tcPr>
          <w:p w14:paraId="0BD68B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0.038</w:t>
            </w:r>
          </w:p>
        </w:tc>
        <w:tc>
          <w:tcPr>
            <w:tcW w:w="1975" w:type="dxa"/>
            <w:tcBorders>
              <w:top w:val="nil"/>
              <w:left w:val="nil"/>
              <w:bottom w:val="nil"/>
              <w:right w:val="nil"/>
            </w:tcBorders>
            <w:vAlign w:val="center"/>
          </w:tcPr>
          <w:p w14:paraId="40B327B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0.037</w:t>
            </w:r>
          </w:p>
        </w:tc>
        <w:tc>
          <w:tcPr>
            <w:tcW w:w="2032" w:type="dxa"/>
            <w:tcBorders>
              <w:top w:val="nil"/>
              <w:left w:val="nil"/>
              <w:bottom w:val="nil"/>
              <w:right w:val="nil"/>
            </w:tcBorders>
            <w:vAlign w:val="center"/>
          </w:tcPr>
          <w:p w14:paraId="340651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0.037</w:t>
            </w:r>
          </w:p>
        </w:tc>
      </w:tr>
      <w:tr w:rsidR="00173478" w:rsidRPr="008E28A6" w14:paraId="51E867B9" w14:textId="77777777" w:rsidTr="00FA3D25">
        <w:trPr>
          <w:trHeight w:val="248"/>
          <w:jc w:val="center"/>
        </w:trPr>
        <w:tc>
          <w:tcPr>
            <w:tcW w:w="3449" w:type="dxa"/>
            <w:tcBorders>
              <w:top w:val="nil"/>
              <w:left w:val="nil"/>
              <w:bottom w:val="nil"/>
              <w:right w:val="nil"/>
            </w:tcBorders>
            <w:vAlign w:val="center"/>
          </w:tcPr>
          <w:p w14:paraId="46094A3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Ethiopia</w:t>
            </w:r>
          </w:p>
        </w:tc>
        <w:tc>
          <w:tcPr>
            <w:tcW w:w="2183" w:type="dxa"/>
            <w:tcBorders>
              <w:top w:val="nil"/>
              <w:left w:val="nil"/>
              <w:bottom w:val="nil"/>
              <w:right w:val="nil"/>
            </w:tcBorders>
            <w:vAlign w:val="center"/>
          </w:tcPr>
          <w:p w14:paraId="6D71276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2900705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10E23A6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2FAE56E2" w14:textId="77777777" w:rsidTr="00FA3D25">
        <w:trPr>
          <w:trHeight w:val="248"/>
          <w:jc w:val="center"/>
        </w:trPr>
        <w:tc>
          <w:tcPr>
            <w:tcW w:w="3449" w:type="dxa"/>
            <w:tcBorders>
              <w:top w:val="nil"/>
              <w:left w:val="nil"/>
              <w:bottom w:val="nil"/>
              <w:right w:val="nil"/>
            </w:tcBorders>
            <w:vAlign w:val="center"/>
          </w:tcPr>
          <w:p w14:paraId="5BE0154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European Union</w:t>
            </w:r>
          </w:p>
        </w:tc>
        <w:tc>
          <w:tcPr>
            <w:tcW w:w="2183" w:type="dxa"/>
            <w:tcBorders>
              <w:top w:val="nil"/>
              <w:left w:val="nil"/>
              <w:bottom w:val="nil"/>
              <w:right w:val="nil"/>
            </w:tcBorders>
            <w:vAlign w:val="center"/>
          </w:tcPr>
          <w:p w14:paraId="3E9CFBF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2.500</w:t>
            </w:r>
          </w:p>
        </w:tc>
        <w:tc>
          <w:tcPr>
            <w:tcW w:w="1975" w:type="dxa"/>
            <w:tcBorders>
              <w:top w:val="nil"/>
              <w:left w:val="nil"/>
              <w:bottom w:val="nil"/>
              <w:right w:val="nil"/>
            </w:tcBorders>
            <w:vAlign w:val="center"/>
          </w:tcPr>
          <w:p w14:paraId="277A1A6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2.500</w:t>
            </w:r>
          </w:p>
        </w:tc>
        <w:tc>
          <w:tcPr>
            <w:tcW w:w="2032" w:type="dxa"/>
            <w:tcBorders>
              <w:top w:val="nil"/>
              <w:left w:val="nil"/>
              <w:bottom w:val="nil"/>
              <w:right w:val="nil"/>
            </w:tcBorders>
            <w:vAlign w:val="center"/>
          </w:tcPr>
          <w:p w14:paraId="1253B0B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2.500</w:t>
            </w:r>
          </w:p>
        </w:tc>
      </w:tr>
      <w:tr w:rsidR="00173478" w:rsidRPr="008E28A6" w14:paraId="15021BEA" w14:textId="77777777" w:rsidTr="00FA3D25">
        <w:trPr>
          <w:trHeight w:val="248"/>
          <w:jc w:val="center"/>
        </w:trPr>
        <w:tc>
          <w:tcPr>
            <w:tcW w:w="3449" w:type="dxa"/>
            <w:tcBorders>
              <w:top w:val="nil"/>
              <w:left w:val="nil"/>
              <w:bottom w:val="nil"/>
              <w:right w:val="nil"/>
            </w:tcBorders>
            <w:vAlign w:val="center"/>
          </w:tcPr>
          <w:p w14:paraId="4E47FB1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Fiji</w:t>
            </w:r>
          </w:p>
        </w:tc>
        <w:tc>
          <w:tcPr>
            <w:tcW w:w="2183" w:type="dxa"/>
            <w:tcBorders>
              <w:top w:val="nil"/>
              <w:left w:val="nil"/>
              <w:bottom w:val="nil"/>
              <w:right w:val="nil"/>
            </w:tcBorders>
            <w:vAlign w:val="center"/>
          </w:tcPr>
          <w:p w14:paraId="3A79474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59B11E8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7AEDEF4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7AA1A027" w14:textId="77777777" w:rsidTr="00FA3D25">
        <w:trPr>
          <w:trHeight w:val="248"/>
          <w:jc w:val="center"/>
        </w:trPr>
        <w:tc>
          <w:tcPr>
            <w:tcW w:w="3449" w:type="dxa"/>
            <w:tcBorders>
              <w:top w:val="nil"/>
              <w:left w:val="nil"/>
              <w:bottom w:val="nil"/>
              <w:right w:val="nil"/>
            </w:tcBorders>
            <w:vAlign w:val="center"/>
          </w:tcPr>
          <w:p w14:paraId="0CF5A9A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Finland</w:t>
            </w:r>
          </w:p>
        </w:tc>
        <w:tc>
          <w:tcPr>
            <w:tcW w:w="2183" w:type="dxa"/>
            <w:tcBorders>
              <w:top w:val="nil"/>
              <w:left w:val="nil"/>
              <w:bottom w:val="nil"/>
              <w:right w:val="nil"/>
            </w:tcBorders>
            <w:vAlign w:val="center"/>
          </w:tcPr>
          <w:p w14:paraId="477AA77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0.456</w:t>
            </w:r>
          </w:p>
        </w:tc>
        <w:tc>
          <w:tcPr>
            <w:tcW w:w="1975" w:type="dxa"/>
            <w:tcBorders>
              <w:top w:val="nil"/>
              <w:left w:val="nil"/>
              <w:bottom w:val="nil"/>
              <w:right w:val="nil"/>
            </w:tcBorders>
            <w:vAlign w:val="center"/>
          </w:tcPr>
          <w:p w14:paraId="477654D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0.445</w:t>
            </w:r>
          </w:p>
        </w:tc>
        <w:tc>
          <w:tcPr>
            <w:tcW w:w="2032" w:type="dxa"/>
            <w:tcBorders>
              <w:top w:val="nil"/>
              <w:left w:val="nil"/>
              <w:bottom w:val="nil"/>
              <w:right w:val="nil"/>
            </w:tcBorders>
            <w:vAlign w:val="center"/>
          </w:tcPr>
          <w:p w14:paraId="21A2B90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0.445</w:t>
            </w:r>
          </w:p>
        </w:tc>
      </w:tr>
      <w:tr w:rsidR="00173478" w:rsidRPr="008E28A6" w14:paraId="5DAA0559" w14:textId="77777777" w:rsidTr="00FA3D25">
        <w:trPr>
          <w:trHeight w:val="248"/>
          <w:jc w:val="center"/>
        </w:trPr>
        <w:tc>
          <w:tcPr>
            <w:tcW w:w="3449" w:type="dxa"/>
            <w:tcBorders>
              <w:top w:val="nil"/>
              <w:left w:val="nil"/>
              <w:bottom w:val="nil"/>
              <w:right w:val="nil"/>
            </w:tcBorders>
            <w:vAlign w:val="center"/>
          </w:tcPr>
          <w:p w14:paraId="2589EB1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France</w:t>
            </w:r>
          </w:p>
        </w:tc>
        <w:tc>
          <w:tcPr>
            <w:tcW w:w="2183" w:type="dxa"/>
            <w:tcBorders>
              <w:top w:val="nil"/>
              <w:left w:val="nil"/>
              <w:bottom w:val="nil"/>
              <w:right w:val="nil"/>
            </w:tcBorders>
            <w:vAlign w:val="center"/>
          </w:tcPr>
          <w:p w14:paraId="370D5D3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4.859</w:t>
            </w:r>
          </w:p>
        </w:tc>
        <w:tc>
          <w:tcPr>
            <w:tcW w:w="1975" w:type="dxa"/>
            <w:tcBorders>
              <w:top w:val="nil"/>
              <w:left w:val="nil"/>
              <w:bottom w:val="nil"/>
              <w:right w:val="nil"/>
            </w:tcBorders>
            <w:vAlign w:val="center"/>
          </w:tcPr>
          <w:p w14:paraId="16BE3B8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4.737</w:t>
            </w:r>
          </w:p>
        </w:tc>
        <w:tc>
          <w:tcPr>
            <w:tcW w:w="2032" w:type="dxa"/>
            <w:tcBorders>
              <w:top w:val="nil"/>
              <w:left w:val="nil"/>
              <w:bottom w:val="nil"/>
              <w:right w:val="nil"/>
            </w:tcBorders>
            <w:vAlign w:val="center"/>
          </w:tcPr>
          <w:p w14:paraId="1AFFAD5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4.737</w:t>
            </w:r>
          </w:p>
        </w:tc>
      </w:tr>
      <w:tr w:rsidR="00173478" w:rsidRPr="008E28A6" w14:paraId="6E0B6E82" w14:textId="77777777" w:rsidTr="00FA3D25">
        <w:trPr>
          <w:trHeight w:val="248"/>
          <w:jc w:val="center"/>
        </w:trPr>
        <w:tc>
          <w:tcPr>
            <w:tcW w:w="3449" w:type="dxa"/>
            <w:tcBorders>
              <w:top w:val="nil"/>
              <w:left w:val="nil"/>
              <w:bottom w:val="nil"/>
              <w:right w:val="nil"/>
            </w:tcBorders>
            <w:vAlign w:val="center"/>
          </w:tcPr>
          <w:p w14:paraId="5E9C154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Gabon</w:t>
            </w:r>
          </w:p>
        </w:tc>
        <w:tc>
          <w:tcPr>
            <w:tcW w:w="2183" w:type="dxa"/>
            <w:tcBorders>
              <w:top w:val="nil"/>
              <w:left w:val="nil"/>
              <w:bottom w:val="nil"/>
              <w:right w:val="nil"/>
            </w:tcBorders>
            <w:vAlign w:val="center"/>
          </w:tcPr>
          <w:p w14:paraId="24E8240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0.017</w:t>
            </w:r>
          </w:p>
        </w:tc>
        <w:tc>
          <w:tcPr>
            <w:tcW w:w="1975" w:type="dxa"/>
            <w:tcBorders>
              <w:top w:val="nil"/>
              <w:left w:val="nil"/>
              <w:bottom w:val="nil"/>
              <w:right w:val="nil"/>
            </w:tcBorders>
            <w:vAlign w:val="center"/>
          </w:tcPr>
          <w:p w14:paraId="78B9CF1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0.017</w:t>
            </w:r>
          </w:p>
        </w:tc>
        <w:tc>
          <w:tcPr>
            <w:tcW w:w="2032" w:type="dxa"/>
            <w:tcBorders>
              <w:top w:val="nil"/>
              <w:left w:val="nil"/>
              <w:bottom w:val="nil"/>
              <w:right w:val="nil"/>
            </w:tcBorders>
            <w:vAlign w:val="center"/>
          </w:tcPr>
          <w:p w14:paraId="0B4B97C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0.017</w:t>
            </w:r>
          </w:p>
        </w:tc>
      </w:tr>
      <w:tr w:rsidR="00173478" w:rsidRPr="008E28A6" w14:paraId="4B93B70D" w14:textId="77777777" w:rsidTr="00FA3D25">
        <w:trPr>
          <w:trHeight w:val="248"/>
          <w:jc w:val="center"/>
        </w:trPr>
        <w:tc>
          <w:tcPr>
            <w:tcW w:w="3449" w:type="dxa"/>
            <w:tcBorders>
              <w:top w:val="nil"/>
              <w:left w:val="nil"/>
              <w:bottom w:val="nil"/>
              <w:right w:val="nil"/>
            </w:tcBorders>
            <w:vAlign w:val="center"/>
          </w:tcPr>
          <w:p w14:paraId="479B65A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Gambia</w:t>
            </w:r>
          </w:p>
        </w:tc>
        <w:tc>
          <w:tcPr>
            <w:tcW w:w="2183" w:type="dxa"/>
            <w:tcBorders>
              <w:top w:val="nil"/>
              <w:left w:val="nil"/>
              <w:bottom w:val="nil"/>
              <w:right w:val="nil"/>
            </w:tcBorders>
            <w:vAlign w:val="center"/>
          </w:tcPr>
          <w:p w14:paraId="2F980F1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7787A12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293E06B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4A32194A" w14:textId="77777777" w:rsidTr="00FA3D25">
        <w:trPr>
          <w:trHeight w:val="248"/>
          <w:jc w:val="center"/>
        </w:trPr>
        <w:tc>
          <w:tcPr>
            <w:tcW w:w="3449" w:type="dxa"/>
            <w:tcBorders>
              <w:top w:val="nil"/>
              <w:left w:val="nil"/>
              <w:bottom w:val="nil"/>
              <w:right w:val="nil"/>
            </w:tcBorders>
            <w:vAlign w:val="center"/>
          </w:tcPr>
          <w:p w14:paraId="7CE24622"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Georgia</w:t>
            </w:r>
          </w:p>
        </w:tc>
        <w:tc>
          <w:tcPr>
            <w:tcW w:w="2183" w:type="dxa"/>
            <w:tcBorders>
              <w:top w:val="nil"/>
              <w:left w:val="nil"/>
              <w:bottom w:val="nil"/>
              <w:right w:val="nil"/>
            </w:tcBorders>
            <w:vAlign w:val="center"/>
          </w:tcPr>
          <w:p w14:paraId="0FA9937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c>
          <w:tcPr>
            <w:tcW w:w="1975" w:type="dxa"/>
            <w:tcBorders>
              <w:top w:val="nil"/>
              <w:left w:val="nil"/>
              <w:bottom w:val="nil"/>
              <w:right w:val="nil"/>
            </w:tcBorders>
            <w:vAlign w:val="center"/>
          </w:tcPr>
          <w:p w14:paraId="778A311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c>
          <w:tcPr>
            <w:tcW w:w="2032" w:type="dxa"/>
            <w:tcBorders>
              <w:top w:val="nil"/>
              <w:left w:val="nil"/>
              <w:bottom w:val="nil"/>
              <w:right w:val="nil"/>
            </w:tcBorders>
            <w:vAlign w:val="center"/>
          </w:tcPr>
          <w:p w14:paraId="0B8A0D6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r>
      <w:tr w:rsidR="00173478" w:rsidRPr="008E28A6" w14:paraId="731B3595" w14:textId="77777777" w:rsidTr="00FA3D25">
        <w:trPr>
          <w:trHeight w:val="248"/>
          <w:jc w:val="center"/>
        </w:trPr>
        <w:tc>
          <w:tcPr>
            <w:tcW w:w="3449" w:type="dxa"/>
            <w:tcBorders>
              <w:top w:val="nil"/>
              <w:left w:val="nil"/>
              <w:bottom w:val="nil"/>
              <w:right w:val="nil"/>
            </w:tcBorders>
            <w:vAlign w:val="center"/>
          </w:tcPr>
          <w:p w14:paraId="7F010E0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Germany</w:t>
            </w:r>
          </w:p>
        </w:tc>
        <w:tc>
          <w:tcPr>
            <w:tcW w:w="2183" w:type="dxa"/>
            <w:tcBorders>
              <w:top w:val="nil"/>
              <w:left w:val="nil"/>
              <w:bottom w:val="nil"/>
              <w:right w:val="nil"/>
            </w:tcBorders>
            <w:vAlign w:val="center"/>
          </w:tcPr>
          <w:p w14:paraId="66846D8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6.389</w:t>
            </w:r>
          </w:p>
        </w:tc>
        <w:tc>
          <w:tcPr>
            <w:tcW w:w="1975" w:type="dxa"/>
            <w:tcBorders>
              <w:top w:val="nil"/>
              <w:left w:val="nil"/>
              <w:bottom w:val="nil"/>
              <w:right w:val="nil"/>
            </w:tcBorders>
            <w:vAlign w:val="center"/>
          </w:tcPr>
          <w:p w14:paraId="016A8A1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6.229</w:t>
            </w:r>
          </w:p>
        </w:tc>
        <w:tc>
          <w:tcPr>
            <w:tcW w:w="2032" w:type="dxa"/>
            <w:tcBorders>
              <w:top w:val="nil"/>
              <w:left w:val="nil"/>
              <w:bottom w:val="nil"/>
              <w:right w:val="nil"/>
            </w:tcBorders>
            <w:vAlign w:val="center"/>
          </w:tcPr>
          <w:p w14:paraId="6F3F869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6.229</w:t>
            </w:r>
          </w:p>
        </w:tc>
      </w:tr>
      <w:tr w:rsidR="00173478" w:rsidRPr="008E28A6" w14:paraId="54096DFD" w14:textId="77777777" w:rsidTr="00FA3D25">
        <w:trPr>
          <w:trHeight w:val="248"/>
          <w:jc w:val="center"/>
        </w:trPr>
        <w:tc>
          <w:tcPr>
            <w:tcW w:w="3449" w:type="dxa"/>
            <w:tcBorders>
              <w:top w:val="nil"/>
              <w:left w:val="nil"/>
              <w:bottom w:val="nil"/>
              <w:right w:val="nil"/>
            </w:tcBorders>
            <w:vAlign w:val="center"/>
          </w:tcPr>
          <w:p w14:paraId="75E37BB4"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Ghana</w:t>
            </w:r>
          </w:p>
        </w:tc>
        <w:tc>
          <w:tcPr>
            <w:tcW w:w="2183" w:type="dxa"/>
            <w:tcBorders>
              <w:top w:val="nil"/>
              <w:left w:val="nil"/>
              <w:bottom w:val="nil"/>
              <w:right w:val="nil"/>
            </w:tcBorders>
            <w:vAlign w:val="center"/>
          </w:tcPr>
          <w:p w14:paraId="330D9BD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0.016</w:t>
            </w:r>
          </w:p>
        </w:tc>
        <w:tc>
          <w:tcPr>
            <w:tcW w:w="1975" w:type="dxa"/>
            <w:tcBorders>
              <w:top w:val="nil"/>
              <w:left w:val="nil"/>
              <w:bottom w:val="nil"/>
              <w:right w:val="nil"/>
            </w:tcBorders>
            <w:vAlign w:val="center"/>
          </w:tcPr>
          <w:p w14:paraId="2C20F6F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0.016</w:t>
            </w:r>
          </w:p>
        </w:tc>
        <w:tc>
          <w:tcPr>
            <w:tcW w:w="2032" w:type="dxa"/>
            <w:tcBorders>
              <w:top w:val="nil"/>
              <w:left w:val="nil"/>
              <w:bottom w:val="nil"/>
              <w:right w:val="nil"/>
            </w:tcBorders>
            <w:vAlign w:val="center"/>
          </w:tcPr>
          <w:p w14:paraId="07AEB2A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0.016</w:t>
            </w:r>
          </w:p>
        </w:tc>
      </w:tr>
      <w:tr w:rsidR="00173478" w:rsidRPr="008E28A6" w14:paraId="32191F50" w14:textId="77777777" w:rsidTr="00FA3D25">
        <w:trPr>
          <w:trHeight w:val="248"/>
          <w:jc w:val="center"/>
        </w:trPr>
        <w:tc>
          <w:tcPr>
            <w:tcW w:w="3449" w:type="dxa"/>
            <w:tcBorders>
              <w:top w:val="nil"/>
              <w:left w:val="nil"/>
              <w:bottom w:val="nil"/>
              <w:right w:val="nil"/>
            </w:tcBorders>
            <w:vAlign w:val="center"/>
          </w:tcPr>
          <w:p w14:paraId="08CD664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Greece</w:t>
            </w:r>
          </w:p>
        </w:tc>
        <w:tc>
          <w:tcPr>
            <w:tcW w:w="2183" w:type="dxa"/>
            <w:tcBorders>
              <w:top w:val="nil"/>
              <w:left w:val="nil"/>
              <w:bottom w:val="nil"/>
              <w:right w:val="nil"/>
            </w:tcBorders>
            <w:vAlign w:val="center"/>
          </w:tcPr>
          <w:p w14:paraId="4AD912F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0.471</w:t>
            </w:r>
          </w:p>
        </w:tc>
        <w:tc>
          <w:tcPr>
            <w:tcW w:w="1975" w:type="dxa"/>
            <w:tcBorders>
              <w:top w:val="nil"/>
              <w:left w:val="nil"/>
              <w:bottom w:val="nil"/>
              <w:right w:val="nil"/>
            </w:tcBorders>
            <w:vAlign w:val="center"/>
          </w:tcPr>
          <w:p w14:paraId="04BAA7B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0.459</w:t>
            </w:r>
          </w:p>
        </w:tc>
        <w:tc>
          <w:tcPr>
            <w:tcW w:w="2032" w:type="dxa"/>
            <w:tcBorders>
              <w:top w:val="nil"/>
              <w:left w:val="nil"/>
              <w:bottom w:val="nil"/>
              <w:right w:val="nil"/>
            </w:tcBorders>
            <w:vAlign w:val="center"/>
          </w:tcPr>
          <w:p w14:paraId="07C1D51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0.459</w:t>
            </w:r>
          </w:p>
        </w:tc>
      </w:tr>
      <w:tr w:rsidR="00173478" w:rsidRPr="008E28A6" w14:paraId="7FC10ECD" w14:textId="77777777" w:rsidTr="00FA3D25">
        <w:trPr>
          <w:trHeight w:val="248"/>
          <w:jc w:val="center"/>
        </w:trPr>
        <w:tc>
          <w:tcPr>
            <w:tcW w:w="3449" w:type="dxa"/>
            <w:tcBorders>
              <w:top w:val="nil"/>
              <w:left w:val="nil"/>
              <w:bottom w:val="nil"/>
              <w:right w:val="nil"/>
            </w:tcBorders>
            <w:vAlign w:val="center"/>
          </w:tcPr>
          <w:p w14:paraId="08D303E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Grenada</w:t>
            </w:r>
          </w:p>
        </w:tc>
        <w:tc>
          <w:tcPr>
            <w:tcW w:w="2183" w:type="dxa"/>
            <w:tcBorders>
              <w:top w:val="nil"/>
              <w:left w:val="nil"/>
              <w:bottom w:val="nil"/>
              <w:right w:val="nil"/>
            </w:tcBorders>
            <w:vAlign w:val="center"/>
          </w:tcPr>
          <w:p w14:paraId="22486A9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4F2ED26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524A197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1F534EC6" w14:textId="77777777" w:rsidTr="00FA3D25">
        <w:trPr>
          <w:trHeight w:val="248"/>
          <w:jc w:val="center"/>
        </w:trPr>
        <w:tc>
          <w:tcPr>
            <w:tcW w:w="3449" w:type="dxa"/>
            <w:tcBorders>
              <w:top w:val="nil"/>
              <w:left w:val="nil"/>
              <w:bottom w:val="nil"/>
              <w:right w:val="nil"/>
            </w:tcBorders>
            <w:vAlign w:val="center"/>
          </w:tcPr>
          <w:p w14:paraId="2C61BD5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Guatemala</w:t>
            </w:r>
          </w:p>
        </w:tc>
        <w:tc>
          <w:tcPr>
            <w:tcW w:w="2183" w:type="dxa"/>
            <w:tcBorders>
              <w:top w:val="nil"/>
              <w:left w:val="nil"/>
              <w:bottom w:val="nil"/>
              <w:right w:val="nil"/>
            </w:tcBorders>
            <w:vAlign w:val="center"/>
          </w:tcPr>
          <w:p w14:paraId="3CAA926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0.028</w:t>
            </w:r>
          </w:p>
        </w:tc>
        <w:tc>
          <w:tcPr>
            <w:tcW w:w="1975" w:type="dxa"/>
            <w:tcBorders>
              <w:top w:val="nil"/>
              <w:left w:val="nil"/>
              <w:bottom w:val="nil"/>
              <w:right w:val="nil"/>
            </w:tcBorders>
            <w:vAlign w:val="center"/>
          </w:tcPr>
          <w:p w14:paraId="76BEFEF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0.027</w:t>
            </w:r>
          </w:p>
        </w:tc>
        <w:tc>
          <w:tcPr>
            <w:tcW w:w="2032" w:type="dxa"/>
            <w:tcBorders>
              <w:top w:val="nil"/>
              <w:left w:val="nil"/>
              <w:bottom w:val="nil"/>
              <w:right w:val="nil"/>
            </w:tcBorders>
            <w:vAlign w:val="center"/>
          </w:tcPr>
          <w:p w14:paraId="18480E2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0.027</w:t>
            </w:r>
          </w:p>
        </w:tc>
      </w:tr>
      <w:tr w:rsidR="00173478" w:rsidRPr="008E28A6" w14:paraId="41D6B83D" w14:textId="77777777" w:rsidTr="00FA3D25">
        <w:trPr>
          <w:trHeight w:val="248"/>
          <w:jc w:val="center"/>
        </w:trPr>
        <w:tc>
          <w:tcPr>
            <w:tcW w:w="3449" w:type="dxa"/>
            <w:tcBorders>
              <w:top w:val="nil"/>
              <w:left w:val="nil"/>
              <w:bottom w:val="nil"/>
              <w:right w:val="nil"/>
            </w:tcBorders>
            <w:vAlign w:val="center"/>
          </w:tcPr>
          <w:p w14:paraId="5A01D7A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Guinea</w:t>
            </w:r>
          </w:p>
        </w:tc>
        <w:tc>
          <w:tcPr>
            <w:tcW w:w="2183" w:type="dxa"/>
            <w:tcBorders>
              <w:top w:val="nil"/>
              <w:left w:val="nil"/>
              <w:bottom w:val="nil"/>
              <w:right w:val="nil"/>
            </w:tcBorders>
            <w:vAlign w:val="center"/>
          </w:tcPr>
          <w:p w14:paraId="13BACD5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0064CB9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35E2334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22233492" w14:textId="77777777" w:rsidTr="00FA3D25">
        <w:trPr>
          <w:trHeight w:val="248"/>
          <w:jc w:val="center"/>
        </w:trPr>
        <w:tc>
          <w:tcPr>
            <w:tcW w:w="3449" w:type="dxa"/>
            <w:tcBorders>
              <w:top w:val="nil"/>
              <w:left w:val="nil"/>
              <w:bottom w:val="nil"/>
              <w:right w:val="nil"/>
            </w:tcBorders>
            <w:vAlign w:val="center"/>
          </w:tcPr>
          <w:p w14:paraId="6566C4E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Guinea-Bissau</w:t>
            </w:r>
          </w:p>
        </w:tc>
        <w:tc>
          <w:tcPr>
            <w:tcW w:w="2183" w:type="dxa"/>
            <w:tcBorders>
              <w:top w:val="nil"/>
              <w:left w:val="nil"/>
              <w:bottom w:val="nil"/>
              <w:right w:val="nil"/>
            </w:tcBorders>
            <w:vAlign w:val="center"/>
          </w:tcPr>
          <w:p w14:paraId="329D2D2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52DA43C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1A67FB5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02A2B649" w14:textId="77777777" w:rsidTr="00FA3D25">
        <w:trPr>
          <w:trHeight w:val="248"/>
          <w:jc w:val="center"/>
        </w:trPr>
        <w:tc>
          <w:tcPr>
            <w:tcW w:w="3449" w:type="dxa"/>
            <w:tcBorders>
              <w:top w:val="nil"/>
              <w:left w:val="nil"/>
              <w:bottom w:val="nil"/>
              <w:right w:val="nil"/>
            </w:tcBorders>
            <w:vAlign w:val="center"/>
          </w:tcPr>
          <w:p w14:paraId="3BA47C5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Guyana</w:t>
            </w:r>
          </w:p>
        </w:tc>
        <w:tc>
          <w:tcPr>
            <w:tcW w:w="2183" w:type="dxa"/>
            <w:tcBorders>
              <w:top w:val="nil"/>
              <w:left w:val="nil"/>
              <w:bottom w:val="nil"/>
              <w:right w:val="nil"/>
            </w:tcBorders>
            <w:vAlign w:val="center"/>
          </w:tcPr>
          <w:p w14:paraId="3042CB0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0D73B8F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2B8AB0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4CE8058D" w14:textId="77777777" w:rsidTr="00FA3D25">
        <w:trPr>
          <w:trHeight w:val="248"/>
          <w:jc w:val="center"/>
        </w:trPr>
        <w:tc>
          <w:tcPr>
            <w:tcW w:w="3449" w:type="dxa"/>
            <w:tcBorders>
              <w:top w:val="nil"/>
              <w:left w:val="nil"/>
              <w:bottom w:val="nil"/>
              <w:right w:val="nil"/>
            </w:tcBorders>
            <w:vAlign w:val="center"/>
          </w:tcPr>
          <w:p w14:paraId="3737CB7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Haiti</w:t>
            </w:r>
          </w:p>
        </w:tc>
        <w:tc>
          <w:tcPr>
            <w:tcW w:w="2183" w:type="dxa"/>
            <w:tcBorders>
              <w:top w:val="nil"/>
              <w:left w:val="nil"/>
              <w:bottom w:val="nil"/>
              <w:right w:val="nil"/>
            </w:tcBorders>
            <w:vAlign w:val="center"/>
          </w:tcPr>
          <w:p w14:paraId="7284550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59BE565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76022F9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65AF7C4F" w14:textId="77777777" w:rsidTr="00FA3D25">
        <w:trPr>
          <w:trHeight w:val="248"/>
          <w:jc w:val="center"/>
        </w:trPr>
        <w:tc>
          <w:tcPr>
            <w:tcW w:w="3449" w:type="dxa"/>
            <w:tcBorders>
              <w:top w:val="nil"/>
              <w:left w:val="nil"/>
              <w:bottom w:val="nil"/>
              <w:right w:val="nil"/>
            </w:tcBorders>
            <w:vAlign w:val="center"/>
          </w:tcPr>
          <w:p w14:paraId="7C29C27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Honduras</w:t>
            </w:r>
          </w:p>
        </w:tc>
        <w:tc>
          <w:tcPr>
            <w:tcW w:w="2183" w:type="dxa"/>
            <w:tcBorders>
              <w:top w:val="nil"/>
              <w:left w:val="nil"/>
              <w:bottom w:val="nil"/>
              <w:right w:val="nil"/>
            </w:tcBorders>
            <w:vAlign w:val="center"/>
          </w:tcPr>
          <w:p w14:paraId="6916640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c>
          <w:tcPr>
            <w:tcW w:w="1975" w:type="dxa"/>
            <w:tcBorders>
              <w:top w:val="nil"/>
              <w:left w:val="nil"/>
              <w:bottom w:val="nil"/>
              <w:right w:val="nil"/>
            </w:tcBorders>
            <w:vAlign w:val="center"/>
          </w:tcPr>
          <w:p w14:paraId="1B08A39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c>
          <w:tcPr>
            <w:tcW w:w="2032" w:type="dxa"/>
            <w:tcBorders>
              <w:top w:val="nil"/>
              <w:left w:val="nil"/>
              <w:bottom w:val="nil"/>
              <w:right w:val="nil"/>
            </w:tcBorders>
            <w:vAlign w:val="center"/>
          </w:tcPr>
          <w:p w14:paraId="35785DB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0.008</w:t>
            </w:r>
          </w:p>
        </w:tc>
      </w:tr>
      <w:tr w:rsidR="00173478" w:rsidRPr="008E28A6" w14:paraId="2899957C" w14:textId="77777777" w:rsidTr="00FA3D25">
        <w:trPr>
          <w:trHeight w:val="248"/>
          <w:jc w:val="center"/>
        </w:trPr>
        <w:tc>
          <w:tcPr>
            <w:tcW w:w="3449" w:type="dxa"/>
            <w:tcBorders>
              <w:top w:val="nil"/>
              <w:left w:val="nil"/>
              <w:bottom w:val="nil"/>
              <w:right w:val="nil"/>
            </w:tcBorders>
            <w:vAlign w:val="center"/>
          </w:tcPr>
          <w:p w14:paraId="1840CC3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Hungary</w:t>
            </w:r>
          </w:p>
        </w:tc>
        <w:tc>
          <w:tcPr>
            <w:tcW w:w="2183" w:type="dxa"/>
            <w:tcBorders>
              <w:top w:val="nil"/>
              <w:left w:val="nil"/>
              <w:bottom w:val="nil"/>
              <w:right w:val="nil"/>
            </w:tcBorders>
            <w:vAlign w:val="center"/>
          </w:tcPr>
          <w:p w14:paraId="08E690C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0.161</w:t>
            </w:r>
          </w:p>
        </w:tc>
        <w:tc>
          <w:tcPr>
            <w:tcW w:w="1975" w:type="dxa"/>
            <w:tcBorders>
              <w:top w:val="nil"/>
              <w:left w:val="nil"/>
              <w:bottom w:val="nil"/>
              <w:right w:val="nil"/>
            </w:tcBorders>
            <w:vAlign w:val="center"/>
          </w:tcPr>
          <w:p w14:paraId="104CEA6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0.157</w:t>
            </w:r>
          </w:p>
        </w:tc>
        <w:tc>
          <w:tcPr>
            <w:tcW w:w="2032" w:type="dxa"/>
            <w:tcBorders>
              <w:top w:val="nil"/>
              <w:left w:val="nil"/>
              <w:bottom w:val="nil"/>
              <w:right w:val="nil"/>
            </w:tcBorders>
            <w:vAlign w:val="center"/>
          </w:tcPr>
          <w:p w14:paraId="71C834A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0.157</w:t>
            </w:r>
          </w:p>
        </w:tc>
      </w:tr>
      <w:tr w:rsidR="00173478" w:rsidRPr="008E28A6" w14:paraId="778C436B" w14:textId="77777777" w:rsidTr="00FA3D25">
        <w:trPr>
          <w:trHeight w:val="248"/>
          <w:jc w:val="center"/>
        </w:trPr>
        <w:tc>
          <w:tcPr>
            <w:tcW w:w="3449" w:type="dxa"/>
            <w:tcBorders>
              <w:top w:val="nil"/>
              <w:left w:val="nil"/>
              <w:bottom w:val="nil"/>
              <w:right w:val="nil"/>
            </w:tcBorders>
            <w:vAlign w:val="center"/>
          </w:tcPr>
          <w:p w14:paraId="2708783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Iceland</w:t>
            </w:r>
          </w:p>
        </w:tc>
        <w:tc>
          <w:tcPr>
            <w:tcW w:w="2183" w:type="dxa"/>
            <w:tcBorders>
              <w:top w:val="nil"/>
              <w:left w:val="nil"/>
              <w:bottom w:val="nil"/>
              <w:right w:val="nil"/>
            </w:tcBorders>
            <w:vAlign w:val="center"/>
          </w:tcPr>
          <w:p w14:paraId="0AF8720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0.023</w:t>
            </w:r>
          </w:p>
        </w:tc>
        <w:tc>
          <w:tcPr>
            <w:tcW w:w="1975" w:type="dxa"/>
            <w:tcBorders>
              <w:top w:val="nil"/>
              <w:left w:val="nil"/>
              <w:bottom w:val="nil"/>
              <w:right w:val="nil"/>
            </w:tcBorders>
            <w:vAlign w:val="center"/>
          </w:tcPr>
          <w:p w14:paraId="783A67A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0.022</w:t>
            </w:r>
          </w:p>
        </w:tc>
        <w:tc>
          <w:tcPr>
            <w:tcW w:w="2032" w:type="dxa"/>
            <w:tcBorders>
              <w:top w:val="nil"/>
              <w:left w:val="nil"/>
              <w:bottom w:val="nil"/>
              <w:right w:val="nil"/>
            </w:tcBorders>
            <w:vAlign w:val="center"/>
          </w:tcPr>
          <w:p w14:paraId="73A762F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0.022</w:t>
            </w:r>
          </w:p>
        </w:tc>
      </w:tr>
      <w:tr w:rsidR="00173478" w:rsidRPr="008E28A6" w14:paraId="3D591FDC" w14:textId="77777777" w:rsidTr="00FA3D25">
        <w:trPr>
          <w:trHeight w:val="248"/>
          <w:jc w:val="center"/>
        </w:trPr>
        <w:tc>
          <w:tcPr>
            <w:tcW w:w="3449" w:type="dxa"/>
            <w:tcBorders>
              <w:top w:val="nil"/>
              <w:left w:val="nil"/>
              <w:bottom w:val="nil"/>
              <w:right w:val="nil"/>
            </w:tcBorders>
            <w:vAlign w:val="center"/>
          </w:tcPr>
          <w:p w14:paraId="5B0347C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India</w:t>
            </w:r>
          </w:p>
        </w:tc>
        <w:tc>
          <w:tcPr>
            <w:tcW w:w="2183" w:type="dxa"/>
            <w:tcBorders>
              <w:top w:val="nil"/>
              <w:left w:val="nil"/>
              <w:bottom w:val="nil"/>
              <w:right w:val="nil"/>
            </w:tcBorders>
            <w:vAlign w:val="center"/>
          </w:tcPr>
          <w:p w14:paraId="27E6348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0.737</w:t>
            </w:r>
          </w:p>
        </w:tc>
        <w:tc>
          <w:tcPr>
            <w:tcW w:w="1975" w:type="dxa"/>
            <w:tcBorders>
              <w:top w:val="nil"/>
              <w:left w:val="nil"/>
              <w:bottom w:val="nil"/>
              <w:right w:val="nil"/>
            </w:tcBorders>
            <w:vAlign w:val="center"/>
          </w:tcPr>
          <w:p w14:paraId="457ADE1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0.719</w:t>
            </w:r>
          </w:p>
        </w:tc>
        <w:tc>
          <w:tcPr>
            <w:tcW w:w="2032" w:type="dxa"/>
            <w:tcBorders>
              <w:top w:val="nil"/>
              <w:left w:val="nil"/>
              <w:bottom w:val="nil"/>
              <w:right w:val="nil"/>
            </w:tcBorders>
            <w:vAlign w:val="center"/>
          </w:tcPr>
          <w:p w14:paraId="15A6DC2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0.719</w:t>
            </w:r>
          </w:p>
        </w:tc>
      </w:tr>
      <w:tr w:rsidR="00173478" w:rsidRPr="008E28A6" w14:paraId="400EA1B8" w14:textId="77777777" w:rsidTr="00FA3D25">
        <w:trPr>
          <w:trHeight w:val="248"/>
          <w:jc w:val="center"/>
        </w:trPr>
        <w:tc>
          <w:tcPr>
            <w:tcW w:w="3449" w:type="dxa"/>
            <w:tcBorders>
              <w:top w:val="nil"/>
              <w:left w:val="nil"/>
              <w:bottom w:val="nil"/>
              <w:right w:val="nil"/>
            </w:tcBorders>
            <w:vAlign w:val="center"/>
          </w:tcPr>
          <w:p w14:paraId="1F280447"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Indonesia</w:t>
            </w:r>
          </w:p>
        </w:tc>
        <w:tc>
          <w:tcPr>
            <w:tcW w:w="2183" w:type="dxa"/>
            <w:tcBorders>
              <w:top w:val="nil"/>
              <w:left w:val="nil"/>
              <w:bottom w:val="nil"/>
              <w:right w:val="nil"/>
            </w:tcBorders>
            <w:vAlign w:val="center"/>
          </w:tcPr>
          <w:p w14:paraId="5D38EAF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0.504</w:t>
            </w:r>
          </w:p>
        </w:tc>
        <w:tc>
          <w:tcPr>
            <w:tcW w:w="1975" w:type="dxa"/>
            <w:tcBorders>
              <w:top w:val="nil"/>
              <w:left w:val="nil"/>
              <w:bottom w:val="nil"/>
              <w:right w:val="nil"/>
            </w:tcBorders>
            <w:vAlign w:val="center"/>
          </w:tcPr>
          <w:p w14:paraId="6B9AD10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0.491</w:t>
            </w:r>
          </w:p>
        </w:tc>
        <w:tc>
          <w:tcPr>
            <w:tcW w:w="2032" w:type="dxa"/>
            <w:tcBorders>
              <w:top w:val="nil"/>
              <w:left w:val="nil"/>
              <w:bottom w:val="nil"/>
              <w:right w:val="nil"/>
            </w:tcBorders>
            <w:vAlign w:val="center"/>
          </w:tcPr>
          <w:p w14:paraId="2D520EC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0.491</w:t>
            </w:r>
          </w:p>
        </w:tc>
      </w:tr>
      <w:tr w:rsidR="00173478" w:rsidRPr="008E28A6" w14:paraId="41C1874D" w14:textId="77777777" w:rsidTr="00FA3D25">
        <w:trPr>
          <w:trHeight w:val="248"/>
          <w:jc w:val="center"/>
        </w:trPr>
        <w:tc>
          <w:tcPr>
            <w:tcW w:w="3449" w:type="dxa"/>
            <w:tcBorders>
              <w:top w:val="nil"/>
              <w:left w:val="nil"/>
              <w:bottom w:val="nil"/>
              <w:right w:val="nil"/>
            </w:tcBorders>
            <w:vAlign w:val="center"/>
          </w:tcPr>
          <w:p w14:paraId="0C5EE21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Iran (Islamic Republic of)</w:t>
            </w:r>
          </w:p>
        </w:tc>
        <w:tc>
          <w:tcPr>
            <w:tcW w:w="2183" w:type="dxa"/>
            <w:tcBorders>
              <w:top w:val="nil"/>
              <w:left w:val="nil"/>
              <w:bottom w:val="nil"/>
              <w:right w:val="nil"/>
            </w:tcBorders>
            <w:vAlign w:val="center"/>
          </w:tcPr>
          <w:p w14:paraId="2F155D4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0.471</w:t>
            </w:r>
          </w:p>
        </w:tc>
        <w:tc>
          <w:tcPr>
            <w:tcW w:w="1975" w:type="dxa"/>
            <w:tcBorders>
              <w:top w:val="nil"/>
              <w:left w:val="nil"/>
              <w:bottom w:val="nil"/>
              <w:right w:val="nil"/>
            </w:tcBorders>
            <w:vAlign w:val="center"/>
          </w:tcPr>
          <w:p w14:paraId="61A9735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0.459</w:t>
            </w:r>
          </w:p>
        </w:tc>
        <w:tc>
          <w:tcPr>
            <w:tcW w:w="2032" w:type="dxa"/>
            <w:tcBorders>
              <w:top w:val="nil"/>
              <w:left w:val="nil"/>
              <w:bottom w:val="nil"/>
              <w:right w:val="nil"/>
            </w:tcBorders>
            <w:vAlign w:val="center"/>
          </w:tcPr>
          <w:p w14:paraId="3CB9DF8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0.459</w:t>
            </w:r>
          </w:p>
        </w:tc>
      </w:tr>
      <w:tr w:rsidR="00173478" w:rsidRPr="008E28A6" w14:paraId="3243AB1C" w14:textId="77777777" w:rsidTr="00FA3D25">
        <w:trPr>
          <w:trHeight w:val="248"/>
          <w:jc w:val="center"/>
        </w:trPr>
        <w:tc>
          <w:tcPr>
            <w:tcW w:w="3449" w:type="dxa"/>
            <w:tcBorders>
              <w:top w:val="nil"/>
              <w:left w:val="nil"/>
              <w:bottom w:val="nil"/>
              <w:right w:val="nil"/>
            </w:tcBorders>
            <w:vAlign w:val="center"/>
          </w:tcPr>
          <w:p w14:paraId="38706A77" w14:textId="77777777" w:rsidR="00173478" w:rsidRPr="008E28A6" w:rsidRDefault="00173478" w:rsidP="00173478">
            <w:pPr>
              <w:suppressAutoHyphens w:val="0"/>
              <w:spacing w:line="240" w:lineRule="auto"/>
              <w:ind w:left="360" w:hanging="360"/>
              <w:rPr>
                <w:rFonts w:eastAsia="MS Mincho"/>
                <w:color w:val="000000"/>
                <w:sz w:val="18"/>
                <w:szCs w:val="18"/>
                <w:lang w:eastAsia="de-DE"/>
              </w:rPr>
            </w:pPr>
            <w:r w:rsidRPr="008E28A6">
              <w:rPr>
                <w:rFonts w:eastAsia="MS Mincho"/>
                <w:color w:val="000000"/>
                <w:sz w:val="18"/>
                <w:szCs w:val="18"/>
                <w:lang w:eastAsia="de-DE"/>
              </w:rPr>
              <w:t>Iraq</w:t>
            </w:r>
          </w:p>
        </w:tc>
        <w:tc>
          <w:tcPr>
            <w:tcW w:w="2183" w:type="dxa"/>
            <w:tcBorders>
              <w:top w:val="nil"/>
              <w:left w:val="nil"/>
              <w:bottom w:val="nil"/>
              <w:right w:val="nil"/>
            </w:tcBorders>
            <w:vAlign w:val="center"/>
          </w:tcPr>
          <w:p w14:paraId="4BB13AB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0.129</w:t>
            </w:r>
          </w:p>
        </w:tc>
        <w:tc>
          <w:tcPr>
            <w:tcW w:w="1975" w:type="dxa"/>
            <w:tcBorders>
              <w:top w:val="nil"/>
              <w:left w:val="nil"/>
              <w:bottom w:val="nil"/>
              <w:right w:val="nil"/>
            </w:tcBorders>
            <w:vAlign w:val="center"/>
          </w:tcPr>
          <w:p w14:paraId="6927208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0.126</w:t>
            </w:r>
          </w:p>
        </w:tc>
        <w:tc>
          <w:tcPr>
            <w:tcW w:w="2032" w:type="dxa"/>
            <w:tcBorders>
              <w:top w:val="nil"/>
              <w:left w:val="nil"/>
              <w:bottom w:val="nil"/>
              <w:right w:val="nil"/>
            </w:tcBorders>
            <w:vAlign w:val="center"/>
          </w:tcPr>
          <w:p w14:paraId="1D17B9E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0.126</w:t>
            </w:r>
          </w:p>
        </w:tc>
      </w:tr>
      <w:tr w:rsidR="00173478" w:rsidRPr="008E28A6" w14:paraId="0DF95C69" w14:textId="77777777" w:rsidTr="00FA3D25">
        <w:trPr>
          <w:trHeight w:val="248"/>
          <w:jc w:val="center"/>
        </w:trPr>
        <w:tc>
          <w:tcPr>
            <w:tcW w:w="3449" w:type="dxa"/>
            <w:tcBorders>
              <w:top w:val="nil"/>
              <w:left w:val="nil"/>
              <w:bottom w:val="nil"/>
              <w:right w:val="nil"/>
            </w:tcBorders>
            <w:vAlign w:val="center"/>
          </w:tcPr>
          <w:p w14:paraId="690822F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Ireland</w:t>
            </w:r>
          </w:p>
        </w:tc>
        <w:tc>
          <w:tcPr>
            <w:tcW w:w="2183" w:type="dxa"/>
            <w:tcBorders>
              <w:top w:val="nil"/>
              <w:left w:val="nil"/>
              <w:bottom w:val="nil"/>
              <w:right w:val="nil"/>
            </w:tcBorders>
            <w:vAlign w:val="center"/>
          </w:tcPr>
          <w:p w14:paraId="7833519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0.335</w:t>
            </w:r>
          </w:p>
        </w:tc>
        <w:tc>
          <w:tcPr>
            <w:tcW w:w="1975" w:type="dxa"/>
            <w:tcBorders>
              <w:top w:val="nil"/>
              <w:left w:val="nil"/>
              <w:bottom w:val="nil"/>
              <w:right w:val="nil"/>
            </w:tcBorders>
            <w:vAlign w:val="center"/>
          </w:tcPr>
          <w:p w14:paraId="63CE46E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0.327</w:t>
            </w:r>
          </w:p>
        </w:tc>
        <w:tc>
          <w:tcPr>
            <w:tcW w:w="2032" w:type="dxa"/>
            <w:tcBorders>
              <w:top w:val="nil"/>
              <w:left w:val="nil"/>
              <w:bottom w:val="nil"/>
              <w:right w:val="nil"/>
            </w:tcBorders>
            <w:vAlign w:val="center"/>
          </w:tcPr>
          <w:p w14:paraId="7B83E51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0.327</w:t>
            </w:r>
          </w:p>
        </w:tc>
      </w:tr>
      <w:tr w:rsidR="00173478" w:rsidRPr="008E28A6" w14:paraId="1D92D552" w14:textId="77777777" w:rsidTr="00FA3D25">
        <w:trPr>
          <w:trHeight w:val="248"/>
          <w:jc w:val="center"/>
        </w:trPr>
        <w:tc>
          <w:tcPr>
            <w:tcW w:w="3449" w:type="dxa"/>
            <w:tcBorders>
              <w:top w:val="nil"/>
              <w:left w:val="nil"/>
              <w:bottom w:val="nil"/>
              <w:right w:val="nil"/>
            </w:tcBorders>
            <w:vAlign w:val="center"/>
          </w:tcPr>
          <w:p w14:paraId="325AD7B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Israel</w:t>
            </w:r>
          </w:p>
        </w:tc>
        <w:tc>
          <w:tcPr>
            <w:tcW w:w="2183" w:type="dxa"/>
            <w:tcBorders>
              <w:top w:val="nil"/>
              <w:left w:val="nil"/>
              <w:bottom w:val="nil"/>
              <w:right w:val="nil"/>
            </w:tcBorders>
            <w:vAlign w:val="center"/>
          </w:tcPr>
          <w:p w14:paraId="6212BB2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0.430</w:t>
            </w:r>
          </w:p>
        </w:tc>
        <w:tc>
          <w:tcPr>
            <w:tcW w:w="1975" w:type="dxa"/>
            <w:tcBorders>
              <w:top w:val="nil"/>
              <w:left w:val="nil"/>
              <w:bottom w:val="nil"/>
              <w:right w:val="nil"/>
            </w:tcBorders>
            <w:vAlign w:val="center"/>
          </w:tcPr>
          <w:p w14:paraId="03A2DD6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0.419</w:t>
            </w:r>
          </w:p>
        </w:tc>
        <w:tc>
          <w:tcPr>
            <w:tcW w:w="2032" w:type="dxa"/>
            <w:tcBorders>
              <w:top w:val="nil"/>
              <w:left w:val="nil"/>
              <w:bottom w:val="nil"/>
              <w:right w:val="nil"/>
            </w:tcBorders>
            <w:vAlign w:val="center"/>
          </w:tcPr>
          <w:p w14:paraId="1A14732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0.419</w:t>
            </w:r>
          </w:p>
        </w:tc>
      </w:tr>
      <w:tr w:rsidR="00173478" w:rsidRPr="008E28A6" w14:paraId="7C517096" w14:textId="77777777" w:rsidTr="00FA3D25">
        <w:trPr>
          <w:trHeight w:val="248"/>
          <w:jc w:val="center"/>
        </w:trPr>
        <w:tc>
          <w:tcPr>
            <w:tcW w:w="3449" w:type="dxa"/>
            <w:tcBorders>
              <w:top w:val="nil"/>
              <w:left w:val="nil"/>
              <w:bottom w:val="nil"/>
              <w:right w:val="nil"/>
            </w:tcBorders>
            <w:vAlign w:val="center"/>
          </w:tcPr>
          <w:p w14:paraId="250E7412"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Italy</w:t>
            </w:r>
          </w:p>
        </w:tc>
        <w:tc>
          <w:tcPr>
            <w:tcW w:w="2183" w:type="dxa"/>
            <w:tcBorders>
              <w:top w:val="nil"/>
              <w:left w:val="nil"/>
              <w:bottom w:val="nil"/>
              <w:right w:val="nil"/>
            </w:tcBorders>
            <w:vAlign w:val="center"/>
          </w:tcPr>
          <w:p w14:paraId="3687A2B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3.748</w:t>
            </w:r>
          </w:p>
        </w:tc>
        <w:tc>
          <w:tcPr>
            <w:tcW w:w="1975" w:type="dxa"/>
            <w:tcBorders>
              <w:top w:val="nil"/>
              <w:left w:val="nil"/>
              <w:bottom w:val="nil"/>
              <w:right w:val="nil"/>
            </w:tcBorders>
            <w:vAlign w:val="center"/>
          </w:tcPr>
          <w:p w14:paraId="0C7B227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3.654</w:t>
            </w:r>
          </w:p>
        </w:tc>
        <w:tc>
          <w:tcPr>
            <w:tcW w:w="2032" w:type="dxa"/>
            <w:tcBorders>
              <w:top w:val="nil"/>
              <w:left w:val="nil"/>
              <w:bottom w:val="nil"/>
              <w:right w:val="nil"/>
            </w:tcBorders>
            <w:vAlign w:val="center"/>
          </w:tcPr>
          <w:p w14:paraId="6AE55DE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3.654</w:t>
            </w:r>
          </w:p>
        </w:tc>
      </w:tr>
      <w:tr w:rsidR="00173478" w:rsidRPr="008E28A6" w14:paraId="056E292B" w14:textId="77777777" w:rsidTr="00FA3D25">
        <w:trPr>
          <w:trHeight w:val="248"/>
          <w:jc w:val="center"/>
        </w:trPr>
        <w:tc>
          <w:tcPr>
            <w:tcW w:w="3449" w:type="dxa"/>
            <w:tcBorders>
              <w:top w:val="nil"/>
              <w:left w:val="nil"/>
              <w:bottom w:val="nil"/>
              <w:right w:val="nil"/>
            </w:tcBorders>
            <w:vAlign w:val="center"/>
          </w:tcPr>
          <w:p w14:paraId="5B5937E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Jamaica</w:t>
            </w:r>
          </w:p>
        </w:tc>
        <w:tc>
          <w:tcPr>
            <w:tcW w:w="2183" w:type="dxa"/>
            <w:tcBorders>
              <w:top w:val="nil"/>
              <w:left w:val="nil"/>
              <w:bottom w:val="nil"/>
              <w:right w:val="nil"/>
            </w:tcBorders>
            <w:vAlign w:val="center"/>
          </w:tcPr>
          <w:p w14:paraId="08C1A9A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c>
          <w:tcPr>
            <w:tcW w:w="1975" w:type="dxa"/>
            <w:tcBorders>
              <w:top w:val="nil"/>
              <w:left w:val="nil"/>
              <w:bottom w:val="nil"/>
              <w:right w:val="nil"/>
            </w:tcBorders>
            <w:vAlign w:val="center"/>
          </w:tcPr>
          <w:p w14:paraId="0896294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c>
          <w:tcPr>
            <w:tcW w:w="2032" w:type="dxa"/>
            <w:tcBorders>
              <w:top w:val="nil"/>
              <w:left w:val="nil"/>
              <w:bottom w:val="nil"/>
              <w:right w:val="nil"/>
            </w:tcBorders>
            <w:vAlign w:val="center"/>
          </w:tcPr>
          <w:p w14:paraId="03B9AEA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r>
      <w:tr w:rsidR="00173478" w:rsidRPr="008E28A6" w14:paraId="53310AB6" w14:textId="77777777" w:rsidTr="00FA3D25">
        <w:trPr>
          <w:trHeight w:val="248"/>
          <w:jc w:val="center"/>
        </w:trPr>
        <w:tc>
          <w:tcPr>
            <w:tcW w:w="3449" w:type="dxa"/>
            <w:tcBorders>
              <w:top w:val="nil"/>
              <w:left w:val="nil"/>
              <w:bottom w:val="nil"/>
              <w:right w:val="nil"/>
            </w:tcBorders>
            <w:vAlign w:val="center"/>
          </w:tcPr>
          <w:p w14:paraId="6E2E0AB2"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Japan</w:t>
            </w:r>
          </w:p>
        </w:tc>
        <w:tc>
          <w:tcPr>
            <w:tcW w:w="2183" w:type="dxa"/>
            <w:tcBorders>
              <w:top w:val="nil"/>
              <w:left w:val="nil"/>
              <w:bottom w:val="nil"/>
              <w:right w:val="nil"/>
            </w:tcBorders>
            <w:vAlign w:val="center"/>
          </w:tcPr>
          <w:p w14:paraId="775D31B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9.680</w:t>
            </w:r>
          </w:p>
        </w:tc>
        <w:tc>
          <w:tcPr>
            <w:tcW w:w="1975" w:type="dxa"/>
            <w:tcBorders>
              <w:top w:val="nil"/>
              <w:left w:val="nil"/>
              <w:bottom w:val="nil"/>
              <w:right w:val="nil"/>
            </w:tcBorders>
            <w:vAlign w:val="center"/>
          </w:tcPr>
          <w:p w14:paraId="4D493EC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9.437</w:t>
            </w:r>
          </w:p>
        </w:tc>
        <w:tc>
          <w:tcPr>
            <w:tcW w:w="2032" w:type="dxa"/>
            <w:tcBorders>
              <w:top w:val="nil"/>
              <w:left w:val="nil"/>
              <w:bottom w:val="nil"/>
              <w:right w:val="nil"/>
            </w:tcBorders>
            <w:vAlign w:val="center"/>
          </w:tcPr>
          <w:p w14:paraId="0DFA378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9.437</w:t>
            </w:r>
          </w:p>
        </w:tc>
      </w:tr>
      <w:tr w:rsidR="00173478" w:rsidRPr="008E28A6" w14:paraId="137D98B1" w14:textId="77777777" w:rsidTr="00FA3D25">
        <w:trPr>
          <w:trHeight w:val="248"/>
          <w:jc w:val="center"/>
        </w:trPr>
        <w:tc>
          <w:tcPr>
            <w:tcW w:w="3449" w:type="dxa"/>
            <w:tcBorders>
              <w:top w:val="nil"/>
              <w:left w:val="nil"/>
              <w:bottom w:val="nil"/>
              <w:right w:val="nil"/>
            </w:tcBorders>
            <w:vAlign w:val="center"/>
          </w:tcPr>
          <w:p w14:paraId="1B74CBB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Jordan</w:t>
            </w:r>
          </w:p>
        </w:tc>
        <w:tc>
          <w:tcPr>
            <w:tcW w:w="2183" w:type="dxa"/>
            <w:tcBorders>
              <w:top w:val="nil"/>
              <w:left w:val="nil"/>
              <w:bottom w:val="nil"/>
              <w:right w:val="nil"/>
            </w:tcBorders>
            <w:vAlign w:val="center"/>
          </w:tcPr>
          <w:p w14:paraId="6AB754D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0.020</w:t>
            </w:r>
          </w:p>
        </w:tc>
        <w:tc>
          <w:tcPr>
            <w:tcW w:w="1975" w:type="dxa"/>
            <w:tcBorders>
              <w:top w:val="nil"/>
              <w:left w:val="nil"/>
              <w:bottom w:val="nil"/>
              <w:right w:val="nil"/>
            </w:tcBorders>
            <w:vAlign w:val="center"/>
          </w:tcPr>
          <w:p w14:paraId="163F7D0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0.019</w:t>
            </w:r>
          </w:p>
        </w:tc>
        <w:tc>
          <w:tcPr>
            <w:tcW w:w="2032" w:type="dxa"/>
            <w:tcBorders>
              <w:top w:val="nil"/>
              <w:left w:val="nil"/>
              <w:bottom w:val="nil"/>
              <w:right w:val="nil"/>
            </w:tcBorders>
            <w:vAlign w:val="center"/>
          </w:tcPr>
          <w:p w14:paraId="1CAC27B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0.019</w:t>
            </w:r>
          </w:p>
        </w:tc>
      </w:tr>
      <w:tr w:rsidR="00173478" w:rsidRPr="008E28A6" w14:paraId="792F572E" w14:textId="77777777" w:rsidTr="00FA3D25">
        <w:trPr>
          <w:trHeight w:val="248"/>
          <w:jc w:val="center"/>
        </w:trPr>
        <w:tc>
          <w:tcPr>
            <w:tcW w:w="3449" w:type="dxa"/>
            <w:tcBorders>
              <w:top w:val="nil"/>
              <w:left w:val="nil"/>
              <w:bottom w:val="nil"/>
              <w:right w:val="nil"/>
            </w:tcBorders>
            <w:vAlign w:val="center"/>
          </w:tcPr>
          <w:p w14:paraId="54576AA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Kazakhstan</w:t>
            </w:r>
          </w:p>
        </w:tc>
        <w:tc>
          <w:tcPr>
            <w:tcW w:w="2183" w:type="dxa"/>
            <w:tcBorders>
              <w:top w:val="nil"/>
              <w:left w:val="nil"/>
              <w:bottom w:val="nil"/>
              <w:right w:val="nil"/>
            </w:tcBorders>
            <w:vAlign w:val="center"/>
          </w:tcPr>
          <w:p w14:paraId="38A39D4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0.191</w:t>
            </w:r>
          </w:p>
        </w:tc>
        <w:tc>
          <w:tcPr>
            <w:tcW w:w="1975" w:type="dxa"/>
            <w:tcBorders>
              <w:top w:val="nil"/>
              <w:left w:val="nil"/>
              <w:bottom w:val="nil"/>
              <w:right w:val="nil"/>
            </w:tcBorders>
            <w:vAlign w:val="center"/>
          </w:tcPr>
          <w:p w14:paraId="77D4818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0.186</w:t>
            </w:r>
          </w:p>
        </w:tc>
        <w:tc>
          <w:tcPr>
            <w:tcW w:w="2032" w:type="dxa"/>
            <w:tcBorders>
              <w:top w:val="nil"/>
              <w:left w:val="nil"/>
              <w:bottom w:val="nil"/>
              <w:right w:val="nil"/>
            </w:tcBorders>
            <w:vAlign w:val="center"/>
          </w:tcPr>
          <w:p w14:paraId="2E79293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0.186</w:t>
            </w:r>
          </w:p>
        </w:tc>
      </w:tr>
      <w:tr w:rsidR="00173478" w:rsidRPr="008E28A6" w14:paraId="4A016C96" w14:textId="77777777" w:rsidTr="00FA3D25">
        <w:trPr>
          <w:trHeight w:val="248"/>
          <w:jc w:val="center"/>
        </w:trPr>
        <w:tc>
          <w:tcPr>
            <w:tcW w:w="3449" w:type="dxa"/>
            <w:tcBorders>
              <w:top w:val="nil"/>
              <w:left w:val="nil"/>
              <w:bottom w:val="nil"/>
              <w:right w:val="nil"/>
            </w:tcBorders>
            <w:vAlign w:val="center"/>
          </w:tcPr>
          <w:p w14:paraId="283079F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Kenya</w:t>
            </w:r>
          </w:p>
        </w:tc>
        <w:tc>
          <w:tcPr>
            <w:tcW w:w="2183" w:type="dxa"/>
            <w:tcBorders>
              <w:top w:val="nil"/>
              <w:left w:val="nil"/>
              <w:bottom w:val="nil"/>
              <w:right w:val="nil"/>
            </w:tcBorders>
            <w:vAlign w:val="center"/>
          </w:tcPr>
          <w:p w14:paraId="66C4EFE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0.018</w:t>
            </w:r>
          </w:p>
        </w:tc>
        <w:tc>
          <w:tcPr>
            <w:tcW w:w="1975" w:type="dxa"/>
            <w:tcBorders>
              <w:top w:val="nil"/>
              <w:left w:val="nil"/>
              <w:bottom w:val="nil"/>
              <w:right w:val="nil"/>
            </w:tcBorders>
            <w:vAlign w:val="center"/>
          </w:tcPr>
          <w:p w14:paraId="2C34103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0.018</w:t>
            </w:r>
          </w:p>
        </w:tc>
        <w:tc>
          <w:tcPr>
            <w:tcW w:w="2032" w:type="dxa"/>
            <w:tcBorders>
              <w:top w:val="nil"/>
              <w:left w:val="nil"/>
              <w:bottom w:val="nil"/>
              <w:right w:val="nil"/>
            </w:tcBorders>
            <w:vAlign w:val="center"/>
          </w:tcPr>
          <w:p w14:paraId="645FCB2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0.018</w:t>
            </w:r>
          </w:p>
        </w:tc>
      </w:tr>
      <w:tr w:rsidR="00173478" w:rsidRPr="008E28A6" w14:paraId="117C8040" w14:textId="77777777" w:rsidTr="00FA3D25">
        <w:trPr>
          <w:trHeight w:val="248"/>
          <w:jc w:val="center"/>
        </w:trPr>
        <w:tc>
          <w:tcPr>
            <w:tcW w:w="3449" w:type="dxa"/>
            <w:tcBorders>
              <w:top w:val="nil"/>
              <w:left w:val="nil"/>
              <w:bottom w:val="nil"/>
              <w:right w:val="nil"/>
            </w:tcBorders>
            <w:vAlign w:val="center"/>
          </w:tcPr>
          <w:p w14:paraId="33AF930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Kiribati</w:t>
            </w:r>
          </w:p>
        </w:tc>
        <w:tc>
          <w:tcPr>
            <w:tcW w:w="2183" w:type="dxa"/>
            <w:tcBorders>
              <w:top w:val="nil"/>
              <w:left w:val="nil"/>
              <w:bottom w:val="nil"/>
              <w:right w:val="nil"/>
            </w:tcBorders>
            <w:vAlign w:val="center"/>
          </w:tcPr>
          <w:p w14:paraId="71A859E4" w14:textId="77777777" w:rsidR="00173478" w:rsidRPr="008E28A6" w:rsidRDefault="00173478" w:rsidP="00FA3D25">
            <w:pPr>
              <w:suppressAutoHyphens w:val="0"/>
              <w:spacing w:line="240" w:lineRule="auto"/>
              <w:jc w:val="right"/>
              <w:rPr>
                <w:rFonts w:eastAsia="MS Mincho"/>
                <w:color w:val="000000"/>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628D84A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6A27BCA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6B7B9B3A" w14:textId="77777777" w:rsidTr="00FA3D25">
        <w:trPr>
          <w:trHeight w:val="248"/>
          <w:jc w:val="center"/>
        </w:trPr>
        <w:tc>
          <w:tcPr>
            <w:tcW w:w="3449" w:type="dxa"/>
            <w:tcBorders>
              <w:top w:val="nil"/>
              <w:left w:val="nil"/>
              <w:bottom w:val="nil"/>
              <w:right w:val="nil"/>
            </w:tcBorders>
            <w:vAlign w:val="center"/>
          </w:tcPr>
          <w:p w14:paraId="7050D237"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Kuwait</w:t>
            </w:r>
          </w:p>
        </w:tc>
        <w:tc>
          <w:tcPr>
            <w:tcW w:w="2183" w:type="dxa"/>
            <w:tcBorders>
              <w:top w:val="nil"/>
              <w:left w:val="nil"/>
              <w:bottom w:val="nil"/>
              <w:right w:val="nil"/>
            </w:tcBorders>
            <w:vAlign w:val="center"/>
          </w:tcPr>
          <w:p w14:paraId="679D864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0.285</w:t>
            </w:r>
          </w:p>
        </w:tc>
        <w:tc>
          <w:tcPr>
            <w:tcW w:w="1975" w:type="dxa"/>
            <w:tcBorders>
              <w:top w:val="nil"/>
              <w:left w:val="nil"/>
              <w:bottom w:val="nil"/>
              <w:right w:val="nil"/>
            </w:tcBorders>
            <w:vAlign w:val="center"/>
          </w:tcPr>
          <w:p w14:paraId="2136682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0.278</w:t>
            </w:r>
          </w:p>
        </w:tc>
        <w:tc>
          <w:tcPr>
            <w:tcW w:w="2032" w:type="dxa"/>
            <w:tcBorders>
              <w:top w:val="nil"/>
              <w:left w:val="nil"/>
              <w:bottom w:val="nil"/>
              <w:right w:val="nil"/>
            </w:tcBorders>
            <w:vAlign w:val="center"/>
          </w:tcPr>
          <w:p w14:paraId="3F45954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0.278</w:t>
            </w:r>
          </w:p>
        </w:tc>
      </w:tr>
      <w:tr w:rsidR="00173478" w:rsidRPr="008E28A6" w14:paraId="2FB244A5" w14:textId="77777777" w:rsidTr="00FA3D25">
        <w:trPr>
          <w:trHeight w:val="248"/>
          <w:jc w:val="center"/>
        </w:trPr>
        <w:tc>
          <w:tcPr>
            <w:tcW w:w="3449" w:type="dxa"/>
            <w:tcBorders>
              <w:top w:val="nil"/>
              <w:left w:val="nil"/>
              <w:bottom w:val="nil"/>
              <w:right w:val="nil"/>
            </w:tcBorders>
            <w:vAlign w:val="center"/>
          </w:tcPr>
          <w:p w14:paraId="7FFEFE3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Kyrgyzstan</w:t>
            </w:r>
          </w:p>
        </w:tc>
        <w:tc>
          <w:tcPr>
            <w:tcW w:w="2183" w:type="dxa"/>
            <w:tcBorders>
              <w:top w:val="nil"/>
              <w:left w:val="nil"/>
              <w:bottom w:val="nil"/>
              <w:right w:val="nil"/>
            </w:tcBorders>
            <w:vAlign w:val="center"/>
          </w:tcPr>
          <w:p w14:paraId="746CB29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090C46D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3707577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6142E318" w14:textId="77777777" w:rsidTr="00FA3D25">
        <w:trPr>
          <w:trHeight w:val="248"/>
          <w:jc w:val="center"/>
        </w:trPr>
        <w:tc>
          <w:tcPr>
            <w:tcW w:w="3449" w:type="dxa"/>
            <w:tcBorders>
              <w:top w:val="nil"/>
              <w:left w:val="nil"/>
              <w:bottom w:val="nil"/>
              <w:right w:val="nil"/>
            </w:tcBorders>
            <w:vAlign w:val="center"/>
          </w:tcPr>
          <w:p w14:paraId="6500496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Lao People’s Democratic Republic</w:t>
            </w:r>
          </w:p>
        </w:tc>
        <w:tc>
          <w:tcPr>
            <w:tcW w:w="2183" w:type="dxa"/>
            <w:tcBorders>
              <w:top w:val="nil"/>
              <w:left w:val="nil"/>
              <w:bottom w:val="nil"/>
              <w:right w:val="nil"/>
            </w:tcBorders>
            <w:vAlign w:val="center"/>
          </w:tcPr>
          <w:p w14:paraId="570DD27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4850AA8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59A9C6F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325BCACC" w14:textId="77777777" w:rsidTr="00FA3D25">
        <w:trPr>
          <w:trHeight w:val="248"/>
          <w:jc w:val="center"/>
        </w:trPr>
        <w:tc>
          <w:tcPr>
            <w:tcW w:w="3449" w:type="dxa"/>
            <w:tcBorders>
              <w:top w:val="nil"/>
              <w:left w:val="nil"/>
              <w:bottom w:val="nil"/>
              <w:right w:val="nil"/>
            </w:tcBorders>
            <w:vAlign w:val="center"/>
          </w:tcPr>
          <w:p w14:paraId="5E0F091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Latvia</w:t>
            </w:r>
          </w:p>
        </w:tc>
        <w:tc>
          <w:tcPr>
            <w:tcW w:w="2183" w:type="dxa"/>
            <w:tcBorders>
              <w:top w:val="nil"/>
              <w:left w:val="nil"/>
              <w:bottom w:val="nil"/>
              <w:right w:val="nil"/>
            </w:tcBorders>
            <w:vAlign w:val="center"/>
          </w:tcPr>
          <w:p w14:paraId="01DD0E2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0.050</w:t>
            </w:r>
          </w:p>
        </w:tc>
        <w:tc>
          <w:tcPr>
            <w:tcW w:w="1975" w:type="dxa"/>
            <w:tcBorders>
              <w:top w:val="nil"/>
              <w:left w:val="nil"/>
              <w:bottom w:val="nil"/>
              <w:right w:val="nil"/>
            </w:tcBorders>
            <w:vAlign w:val="center"/>
          </w:tcPr>
          <w:p w14:paraId="1875A52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0.049</w:t>
            </w:r>
          </w:p>
        </w:tc>
        <w:tc>
          <w:tcPr>
            <w:tcW w:w="2032" w:type="dxa"/>
            <w:tcBorders>
              <w:top w:val="nil"/>
              <w:left w:val="nil"/>
              <w:bottom w:val="nil"/>
              <w:right w:val="nil"/>
            </w:tcBorders>
            <w:vAlign w:val="center"/>
          </w:tcPr>
          <w:p w14:paraId="744C68C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0.049</w:t>
            </w:r>
          </w:p>
        </w:tc>
      </w:tr>
      <w:tr w:rsidR="00173478" w:rsidRPr="008E28A6" w14:paraId="53357F2A" w14:textId="77777777" w:rsidTr="00FA3D25">
        <w:trPr>
          <w:trHeight w:val="248"/>
          <w:jc w:val="center"/>
        </w:trPr>
        <w:tc>
          <w:tcPr>
            <w:tcW w:w="3449" w:type="dxa"/>
            <w:tcBorders>
              <w:top w:val="nil"/>
              <w:left w:val="nil"/>
              <w:bottom w:val="nil"/>
              <w:right w:val="nil"/>
            </w:tcBorders>
            <w:vAlign w:val="center"/>
          </w:tcPr>
          <w:p w14:paraId="067FB26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Lebanon</w:t>
            </w:r>
          </w:p>
        </w:tc>
        <w:tc>
          <w:tcPr>
            <w:tcW w:w="2183" w:type="dxa"/>
            <w:tcBorders>
              <w:top w:val="nil"/>
              <w:left w:val="nil"/>
              <w:bottom w:val="nil"/>
              <w:right w:val="nil"/>
            </w:tcBorders>
            <w:vAlign w:val="center"/>
          </w:tcPr>
          <w:p w14:paraId="6BEAE48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0.046</w:t>
            </w:r>
          </w:p>
        </w:tc>
        <w:tc>
          <w:tcPr>
            <w:tcW w:w="1975" w:type="dxa"/>
            <w:tcBorders>
              <w:top w:val="nil"/>
              <w:left w:val="nil"/>
              <w:bottom w:val="nil"/>
              <w:right w:val="nil"/>
            </w:tcBorders>
            <w:vAlign w:val="center"/>
          </w:tcPr>
          <w:p w14:paraId="2D4E6FE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0.045</w:t>
            </w:r>
          </w:p>
        </w:tc>
        <w:tc>
          <w:tcPr>
            <w:tcW w:w="2032" w:type="dxa"/>
            <w:tcBorders>
              <w:top w:val="nil"/>
              <w:left w:val="nil"/>
              <w:bottom w:val="nil"/>
              <w:right w:val="nil"/>
            </w:tcBorders>
            <w:vAlign w:val="center"/>
          </w:tcPr>
          <w:p w14:paraId="3527CEC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0.045</w:t>
            </w:r>
          </w:p>
        </w:tc>
      </w:tr>
      <w:tr w:rsidR="00173478" w:rsidRPr="008E28A6" w14:paraId="169DFD89" w14:textId="77777777" w:rsidTr="00FA3D25">
        <w:trPr>
          <w:trHeight w:val="248"/>
          <w:jc w:val="center"/>
        </w:trPr>
        <w:tc>
          <w:tcPr>
            <w:tcW w:w="3449" w:type="dxa"/>
            <w:tcBorders>
              <w:top w:val="nil"/>
              <w:left w:val="nil"/>
              <w:bottom w:val="nil"/>
              <w:right w:val="nil"/>
            </w:tcBorders>
            <w:vAlign w:val="center"/>
          </w:tcPr>
          <w:p w14:paraId="465C4F4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Lesotho</w:t>
            </w:r>
          </w:p>
        </w:tc>
        <w:tc>
          <w:tcPr>
            <w:tcW w:w="2183" w:type="dxa"/>
            <w:tcBorders>
              <w:top w:val="nil"/>
              <w:left w:val="nil"/>
              <w:bottom w:val="nil"/>
              <w:right w:val="nil"/>
            </w:tcBorders>
            <w:vAlign w:val="center"/>
          </w:tcPr>
          <w:p w14:paraId="5E5AAC5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5792530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23873F8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033C0E87" w14:textId="77777777" w:rsidTr="00FA3D25">
        <w:trPr>
          <w:trHeight w:val="248"/>
          <w:jc w:val="center"/>
        </w:trPr>
        <w:tc>
          <w:tcPr>
            <w:tcW w:w="3449" w:type="dxa"/>
            <w:tcBorders>
              <w:top w:val="nil"/>
              <w:left w:val="nil"/>
              <w:bottom w:val="nil"/>
              <w:right w:val="nil"/>
            </w:tcBorders>
            <w:vAlign w:val="center"/>
          </w:tcPr>
          <w:p w14:paraId="4614272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Liberia</w:t>
            </w:r>
          </w:p>
        </w:tc>
        <w:tc>
          <w:tcPr>
            <w:tcW w:w="2183" w:type="dxa"/>
            <w:tcBorders>
              <w:top w:val="nil"/>
              <w:left w:val="nil"/>
              <w:bottom w:val="nil"/>
              <w:right w:val="nil"/>
            </w:tcBorders>
            <w:vAlign w:val="center"/>
          </w:tcPr>
          <w:p w14:paraId="0E2F71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4D22A71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457060B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55B927C" w14:textId="77777777" w:rsidTr="00FA3D25">
        <w:trPr>
          <w:trHeight w:val="248"/>
          <w:jc w:val="center"/>
        </w:trPr>
        <w:tc>
          <w:tcPr>
            <w:tcW w:w="3449" w:type="dxa"/>
            <w:tcBorders>
              <w:top w:val="nil"/>
              <w:left w:val="nil"/>
              <w:bottom w:val="nil"/>
              <w:right w:val="nil"/>
            </w:tcBorders>
            <w:vAlign w:val="center"/>
          </w:tcPr>
          <w:p w14:paraId="3205F8A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Libya</w:t>
            </w:r>
          </w:p>
        </w:tc>
        <w:tc>
          <w:tcPr>
            <w:tcW w:w="2183" w:type="dxa"/>
            <w:tcBorders>
              <w:top w:val="nil"/>
              <w:left w:val="nil"/>
              <w:bottom w:val="nil"/>
              <w:right w:val="nil"/>
            </w:tcBorders>
            <w:vAlign w:val="center"/>
          </w:tcPr>
          <w:p w14:paraId="2A22086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0.125</w:t>
            </w:r>
          </w:p>
        </w:tc>
        <w:tc>
          <w:tcPr>
            <w:tcW w:w="1975" w:type="dxa"/>
            <w:tcBorders>
              <w:top w:val="nil"/>
              <w:left w:val="nil"/>
              <w:bottom w:val="nil"/>
              <w:right w:val="nil"/>
            </w:tcBorders>
            <w:vAlign w:val="center"/>
          </w:tcPr>
          <w:p w14:paraId="76AA069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0.122</w:t>
            </w:r>
          </w:p>
        </w:tc>
        <w:tc>
          <w:tcPr>
            <w:tcW w:w="2032" w:type="dxa"/>
            <w:tcBorders>
              <w:top w:val="nil"/>
              <w:left w:val="nil"/>
              <w:bottom w:val="nil"/>
              <w:right w:val="nil"/>
            </w:tcBorders>
            <w:vAlign w:val="center"/>
          </w:tcPr>
          <w:p w14:paraId="73CB327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0.122</w:t>
            </w:r>
          </w:p>
        </w:tc>
      </w:tr>
      <w:tr w:rsidR="00173478" w:rsidRPr="008E28A6" w14:paraId="115FC82C" w14:textId="77777777" w:rsidTr="00FA3D25">
        <w:trPr>
          <w:trHeight w:val="248"/>
          <w:jc w:val="center"/>
        </w:trPr>
        <w:tc>
          <w:tcPr>
            <w:tcW w:w="3449" w:type="dxa"/>
            <w:tcBorders>
              <w:top w:val="nil"/>
              <w:left w:val="nil"/>
              <w:bottom w:val="nil"/>
              <w:right w:val="nil"/>
            </w:tcBorders>
            <w:vAlign w:val="center"/>
          </w:tcPr>
          <w:p w14:paraId="350F931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Liechtenstein</w:t>
            </w:r>
          </w:p>
        </w:tc>
        <w:tc>
          <w:tcPr>
            <w:tcW w:w="2183" w:type="dxa"/>
            <w:tcBorders>
              <w:top w:val="nil"/>
              <w:left w:val="nil"/>
              <w:bottom w:val="nil"/>
              <w:right w:val="nil"/>
            </w:tcBorders>
            <w:vAlign w:val="center"/>
          </w:tcPr>
          <w:p w14:paraId="318B80E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1975" w:type="dxa"/>
            <w:tcBorders>
              <w:top w:val="nil"/>
              <w:left w:val="nil"/>
              <w:bottom w:val="nil"/>
              <w:right w:val="nil"/>
            </w:tcBorders>
            <w:vAlign w:val="center"/>
          </w:tcPr>
          <w:p w14:paraId="4FDBD3D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2032" w:type="dxa"/>
            <w:tcBorders>
              <w:top w:val="nil"/>
              <w:left w:val="nil"/>
              <w:bottom w:val="nil"/>
              <w:right w:val="nil"/>
            </w:tcBorders>
            <w:vAlign w:val="center"/>
          </w:tcPr>
          <w:p w14:paraId="3F5A970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r>
      <w:tr w:rsidR="00173478" w:rsidRPr="008E28A6" w14:paraId="33F5B1E9" w14:textId="77777777" w:rsidTr="00FA3D25">
        <w:trPr>
          <w:trHeight w:val="248"/>
          <w:jc w:val="center"/>
        </w:trPr>
        <w:tc>
          <w:tcPr>
            <w:tcW w:w="3449" w:type="dxa"/>
            <w:tcBorders>
              <w:top w:val="nil"/>
              <w:left w:val="nil"/>
              <w:bottom w:val="nil"/>
              <w:right w:val="nil"/>
            </w:tcBorders>
            <w:vAlign w:val="center"/>
          </w:tcPr>
          <w:p w14:paraId="228F0C6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lastRenderedPageBreak/>
              <w:t>Lithuania</w:t>
            </w:r>
          </w:p>
        </w:tc>
        <w:tc>
          <w:tcPr>
            <w:tcW w:w="2183" w:type="dxa"/>
            <w:tcBorders>
              <w:top w:val="nil"/>
              <w:left w:val="nil"/>
              <w:bottom w:val="nil"/>
              <w:right w:val="nil"/>
            </w:tcBorders>
            <w:vAlign w:val="center"/>
          </w:tcPr>
          <w:p w14:paraId="64DBFC7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0.072</w:t>
            </w:r>
          </w:p>
        </w:tc>
        <w:tc>
          <w:tcPr>
            <w:tcW w:w="1975" w:type="dxa"/>
            <w:tcBorders>
              <w:top w:val="nil"/>
              <w:left w:val="nil"/>
              <w:bottom w:val="nil"/>
              <w:right w:val="nil"/>
            </w:tcBorders>
            <w:vAlign w:val="center"/>
          </w:tcPr>
          <w:p w14:paraId="6671901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0.070</w:t>
            </w:r>
          </w:p>
        </w:tc>
        <w:tc>
          <w:tcPr>
            <w:tcW w:w="2032" w:type="dxa"/>
            <w:tcBorders>
              <w:top w:val="nil"/>
              <w:left w:val="nil"/>
              <w:bottom w:val="nil"/>
              <w:right w:val="nil"/>
            </w:tcBorders>
            <w:vAlign w:val="center"/>
          </w:tcPr>
          <w:p w14:paraId="2DB2806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0.070</w:t>
            </w:r>
          </w:p>
        </w:tc>
      </w:tr>
      <w:tr w:rsidR="00173478" w:rsidRPr="008E28A6" w14:paraId="44811363" w14:textId="77777777" w:rsidTr="00FA3D25">
        <w:trPr>
          <w:trHeight w:val="248"/>
          <w:jc w:val="center"/>
        </w:trPr>
        <w:tc>
          <w:tcPr>
            <w:tcW w:w="3449" w:type="dxa"/>
            <w:tcBorders>
              <w:top w:val="nil"/>
              <w:left w:val="nil"/>
              <w:bottom w:val="nil"/>
              <w:right w:val="nil"/>
            </w:tcBorders>
            <w:vAlign w:val="center"/>
          </w:tcPr>
          <w:p w14:paraId="73B70917"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Luxembourg</w:t>
            </w:r>
          </w:p>
        </w:tc>
        <w:tc>
          <w:tcPr>
            <w:tcW w:w="2183" w:type="dxa"/>
            <w:tcBorders>
              <w:top w:val="nil"/>
              <w:left w:val="nil"/>
              <w:bottom w:val="nil"/>
              <w:right w:val="nil"/>
            </w:tcBorders>
            <w:vAlign w:val="center"/>
          </w:tcPr>
          <w:p w14:paraId="4FE4A23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0.064</w:t>
            </w:r>
          </w:p>
        </w:tc>
        <w:tc>
          <w:tcPr>
            <w:tcW w:w="1975" w:type="dxa"/>
            <w:tcBorders>
              <w:top w:val="nil"/>
              <w:left w:val="nil"/>
              <w:bottom w:val="nil"/>
              <w:right w:val="nil"/>
            </w:tcBorders>
            <w:vAlign w:val="center"/>
          </w:tcPr>
          <w:p w14:paraId="112F7FA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0.062</w:t>
            </w:r>
          </w:p>
        </w:tc>
        <w:tc>
          <w:tcPr>
            <w:tcW w:w="2032" w:type="dxa"/>
            <w:tcBorders>
              <w:top w:val="nil"/>
              <w:left w:val="nil"/>
              <w:bottom w:val="nil"/>
              <w:right w:val="nil"/>
            </w:tcBorders>
            <w:vAlign w:val="center"/>
          </w:tcPr>
          <w:p w14:paraId="66401C0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0.062</w:t>
            </w:r>
          </w:p>
        </w:tc>
      </w:tr>
      <w:tr w:rsidR="00173478" w:rsidRPr="008E28A6" w14:paraId="402D62D3" w14:textId="77777777" w:rsidTr="00FA3D25">
        <w:trPr>
          <w:trHeight w:val="248"/>
          <w:jc w:val="center"/>
        </w:trPr>
        <w:tc>
          <w:tcPr>
            <w:tcW w:w="3449" w:type="dxa"/>
            <w:tcBorders>
              <w:top w:val="nil"/>
              <w:left w:val="nil"/>
              <w:bottom w:val="nil"/>
              <w:right w:val="nil"/>
            </w:tcBorders>
            <w:vAlign w:val="center"/>
          </w:tcPr>
          <w:p w14:paraId="26D18FB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Madagascar</w:t>
            </w:r>
          </w:p>
        </w:tc>
        <w:tc>
          <w:tcPr>
            <w:tcW w:w="2183" w:type="dxa"/>
            <w:tcBorders>
              <w:top w:val="nil"/>
              <w:left w:val="nil"/>
              <w:bottom w:val="nil"/>
              <w:right w:val="nil"/>
            </w:tcBorders>
            <w:vAlign w:val="center"/>
          </w:tcPr>
          <w:p w14:paraId="50821AC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2A4ABF0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108E5A5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38C86619" w14:textId="77777777" w:rsidTr="00FA3D25">
        <w:trPr>
          <w:trHeight w:val="248"/>
          <w:jc w:val="center"/>
        </w:trPr>
        <w:tc>
          <w:tcPr>
            <w:tcW w:w="3449" w:type="dxa"/>
            <w:tcBorders>
              <w:top w:val="nil"/>
              <w:left w:val="nil"/>
              <w:bottom w:val="nil"/>
              <w:right w:val="nil"/>
            </w:tcBorders>
            <w:vAlign w:val="center"/>
          </w:tcPr>
          <w:p w14:paraId="2835059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Malawi</w:t>
            </w:r>
          </w:p>
        </w:tc>
        <w:tc>
          <w:tcPr>
            <w:tcW w:w="2183" w:type="dxa"/>
            <w:tcBorders>
              <w:top w:val="nil"/>
              <w:left w:val="nil"/>
              <w:bottom w:val="nil"/>
              <w:right w:val="nil"/>
            </w:tcBorders>
            <w:vAlign w:val="center"/>
          </w:tcPr>
          <w:p w14:paraId="1524D3B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40D9F29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043D253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61863451" w14:textId="77777777" w:rsidTr="00FA3D25">
        <w:trPr>
          <w:trHeight w:val="248"/>
          <w:jc w:val="center"/>
        </w:trPr>
        <w:tc>
          <w:tcPr>
            <w:tcW w:w="3449" w:type="dxa"/>
            <w:tcBorders>
              <w:top w:val="nil"/>
              <w:left w:val="nil"/>
              <w:bottom w:val="nil"/>
              <w:right w:val="nil"/>
            </w:tcBorders>
            <w:vAlign w:val="center"/>
          </w:tcPr>
          <w:p w14:paraId="7B01A7B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Malaysia</w:t>
            </w:r>
          </w:p>
        </w:tc>
        <w:tc>
          <w:tcPr>
            <w:tcW w:w="2183" w:type="dxa"/>
            <w:tcBorders>
              <w:top w:val="nil"/>
              <w:left w:val="nil"/>
              <w:bottom w:val="nil"/>
              <w:right w:val="nil"/>
            </w:tcBorders>
            <w:vAlign w:val="center"/>
          </w:tcPr>
          <w:p w14:paraId="098D1BF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0.322</w:t>
            </w:r>
          </w:p>
        </w:tc>
        <w:tc>
          <w:tcPr>
            <w:tcW w:w="1975" w:type="dxa"/>
            <w:tcBorders>
              <w:top w:val="nil"/>
              <w:left w:val="nil"/>
              <w:bottom w:val="nil"/>
              <w:right w:val="nil"/>
            </w:tcBorders>
            <w:vAlign w:val="center"/>
          </w:tcPr>
          <w:p w14:paraId="0577650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0.314</w:t>
            </w:r>
          </w:p>
        </w:tc>
        <w:tc>
          <w:tcPr>
            <w:tcW w:w="2032" w:type="dxa"/>
            <w:tcBorders>
              <w:top w:val="nil"/>
              <w:left w:val="nil"/>
              <w:bottom w:val="nil"/>
              <w:right w:val="nil"/>
            </w:tcBorders>
            <w:vAlign w:val="center"/>
          </w:tcPr>
          <w:p w14:paraId="506C304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0.314</w:t>
            </w:r>
          </w:p>
        </w:tc>
      </w:tr>
      <w:tr w:rsidR="00173478" w:rsidRPr="008E28A6" w14:paraId="65F4D5F4" w14:textId="77777777" w:rsidTr="00FA3D25">
        <w:trPr>
          <w:trHeight w:val="248"/>
          <w:jc w:val="center"/>
        </w:trPr>
        <w:tc>
          <w:tcPr>
            <w:tcW w:w="3449" w:type="dxa"/>
            <w:tcBorders>
              <w:top w:val="nil"/>
              <w:left w:val="nil"/>
              <w:bottom w:val="nil"/>
              <w:right w:val="nil"/>
            </w:tcBorders>
            <w:vAlign w:val="center"/>
          </w:tcPr>
          <w:p w14:paraId="7491FDA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Maldives</w:t>
            </w:r>
          </w:p>
        </w:tc>
        <w:tc>
          <w:tcPr>
            <w:tcW w:w="2183" w:type="dxa"/>
            <w:tcBorders>
              <w:top w:val="nil"/>
              <w:left w:val="nil"/>
              <w:bottom w:val="nil"/>
              <w:right w:val="nil"/>
            </w:tcBorders>
            <w:vAlign w:val="center"/>
          </w:tcPr>
          <w:p w14:paraId="1FBD2E5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37A863E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520D5EA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4BC381DF" w14:textId="77777777" w:rsidTr="00FA3D25">
        <w:trPr>
          <w:trHeight w:val="248"/>
          <w:jc w:val="center"/>
        </w:trPr>
        <w:tc>
          <w:tcPr>
            <w:tcW w:w="3449" w:type="dxa"/>
            <w:tcBorders>
              <w:top w:val="nil"/>
              <w:left w:val="nil"/>
              <w:bottom w:val="nil"/>
              <w:right w:val="nil"/>
            </w:tcBorders>
            <w:vAlign w:val="center"/>
          </w:tcPr>
          <w:p w14:paraId="7CC0CEB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Mali</w:t>
            </w:r>
          </w:p>
        </w:tc>
        <w:tc>
          <w:tcPr>
            <w:tcW w:w="2183" w:type="dxa"/>
            <w:tcBorders>
              <w:top w:val="nil"/>
              <w:left w:val="nil"/>
              <w:bottom w:val="nil"/>
              <w:right w:val="nil"/>
            </w:tcBorders>
            <w:vAlign w:val="center"/>
          </w:tcPr>
          <w:p w14:paraId="0BC699C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5D06E8D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6D1EA59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263A7457" w14:textId="77777777" w:rsidTr="00FA3D25">
        <w:trPr>
          <w:trHeight w:val="248"/>
          <w:jc w:val="center"/>
        </w:trPr>
        <w:tc>
          <w:tcPr>
            <w:tcW w:w="3449" w:type="dxa"/>
            <w:tcBorders>
              <w:top w:val="nil"/>
              <w:left w:val="nil"/>
              <w:bottom w:val="nil"/>
              <w:right w:val="nil"/>
            </w:tcBorders>
            <w:vAlign w:val="center"/>
          </w:tcPr>
          <w:p w14:paraId="265A3722"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Malta</w:t>
            </w:r>
          </w:p>
        </w:tc>
        <w:tc>
          <w:tcPr>
            <w:tcW w:w="2183" w:type="dxa"/>
            <w:tcBorders>
              <w:top w:val="nil"/>
              <w:left w:val="nil"/>
              <w:bottom w:val="nil"/>
              <w:right w:val="nil"/>
            </w:tcBorders>
            <w:vAlign w:val="center"/>
          </w:tcPr>
          <w:p w14:paraId="6E01D52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0.016</w:t>
            </w:r>
          </w:p>
        </w:tc>
        <w:tc>
          <w:tcPr>
            <w:tcW w:w="1975" w:type="dxa"/>
            <w:tcBorders>
              <w:top w:val="nil"/>
              <w:left w:val="nil"/>
              <w:bottom w:val="nil"/>
              <w:right w:val="nil"/>
            </w:tcBorders>
            <w:vAlign w:val="center"/>
          </w:tcPr>
          <w:p w14:paraId="575A8BF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0.016</w:t>
            </w:r>
          </w:p>
        </w:tc>
        <w:tc>
          <w:tcPr>
            <w:tcW w:w="2032" w:type="dxa"/>
            <w:tcBorders>
              <w:top w:val="nil"/>
              <w:left w:val="nil"/>
              <w:bottom w:val="nil"/>
              <w:right w:val="nil"/>
            </w:tcBorders>
            <w:vAlign w:val="center"/>
          </w:tcPr>
          <w:p w14:paraId="47B92E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0.016</w:t>
            </w:r>
          </w:p>
        </w:tc>
      </w:tr>
      <w:tr w:rsidR="00173478" w:rsidRPr="008E28A6" w14:paraId="1103FA60" w14:textId="77777777" w:rsidTr="00FA3D25">
        <w:trPr>
          <w:trHeight w:val="248"/>
          <w:jc w:val="center"/>
        </w:trPr>
        <w:tc>
          <w:tcPr>
            <w:tcW w:w="3449" w:type="dxa"/>
            <w:tcBorders>
              <w:top w:val="nil"/>
              <w:left w:val="nil"/>
              <w:bottom w:val="nil"/>
              <w:right w:val="nil"/>
            </w:tcBorders>
            <w:vAlign w:val="center"/>
          </w:tcPr>
          <w:p w14:paraId="2B8E072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Marshall Islands</w:t>
            </w:r>
          </w:p>
        </w:tc>
        <w:tc>
          <w:tcPr>
            <w:tcW w:w="2183" w:type="dxa"/>
            <w:tcBorders>
              <w:top w:val="nil"/>
              <w:left w:val="nil"/>
              <w:bottom w:val="nil"/>
              <w:right w:val="nil"/>
            </w:tcBorders>
            <w:vAlign w:val="center"/>
          </w:tcPr>
          <w:p w14:paraId="02B4F29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72CBE7D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1389300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1BE2F4A0" w14:textId="77777777" w:rsidTr="00FA3D25">
        <w:trPr>
          <w:trHeight w:val="248"/>
          <w:jc w:val="center"/>
        </w:trPr>
        <w:tc>
          <w:tcPr>
            <w:tcW w:w="3449" w:type="dxa"/>
            <w:tcBorders>
              <w:top w:val="nil"/>
              <w:left w:val="nil"/>
              <w:bottom w:val="nil"/>
              <w:right w:val="nil"/>
            </w:tcBorders>
            <w:vAlign w:val="center"/>
          </w:tcPr>
          <w:p w14:paraId="60A8DE1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Mauritania</w:t>
            </w:r>
          </w:p>
        </w:tc>
        <w:tc>
          <w:tcPr>
            <w:tcW w:w="2183" w:type="dxa"/>
            <w:tcBorders>
              <w:top w:val="nil"/>
              <w:left w:val="nil"/>
              <w:bottom w:val="nil"/>
              <w:right w:val="nil"/>
            </w:tcBorders>
            <w:vAlign w:val="center"/>
          </w:tcPr>
          <w:p w14:paraId="495CC81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0774C2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2557299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434ACB7D" w14:textId="77777777" w:rsidTr="00FA3D25">
        <w:trPr>
          <w:trHeight w:val="248"/>
          <w:jc w:val="center"/>
        </w:trPr>
        <w:tc>
          <w:tcPr>
            <w:tcW w:w="3449" w:type="dxa"/>
            <w:tcBorders>
              <w:top w:val="nil"/>
              <w:left w:val="nil"/>
              <w:bottom w:val="nil"/>
              <w:right w:val="nil"/>
            </w:tcBorders>
            <w:vAlign w:val="center"/>
          </w:tcPr>
          <w:p w14:paraId="6CCF5A24"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Mauritius</w:t>
            </w:r>
          </w:p>
        </w:tc>
        <w:tc>
          <w:tcPr>
            <w:tcW w:w="2183" w:type="dxa"/>
            <w:tcBorders>
              <w:top w:val="nil"/>
              <w:left w:val="nil"/>
              <w:bottom w:val="nil"/>
              <w:right w:val="nil"/>
            </w:tcBorders>
            <w:vAlign w:val="center"/>
          </w:tcPr>
          <w:p w14:paraId="69C203D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0.012</w:t>
            </w:r>
          </w:p>
        </w:tc>
        <w:tc>
          <w:tcPr>
            <w:tcW w:w="1975" w:type="dxa"/>
            <w:tcBorders>
              <w:top w:val="nil"/>
              <w:left w:val="nil"/>
              <w:bottom w:val="nil"/>
              <w:right w:val="nil"/>
            </w:tcBorders>
            <w:vAlign w:val="center"/>
          </w:tcPr>
          <w:p w14:paraId="531B785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0.012</w:t>
            </w:r>
          </w:p>
        </w:tc>
        <w:tc>
          <w:tcPr>
            <w:tcW w:w="2032" w:type="dxa"/>
            <w:tcBorders>
              <w:top w:val="nil"/>
              <w:left w:val="nil"/>
              <w:bottom w:val="nil"/>
              <w:right w:val="nil"/>
            </w:tcBorders>
            <w:vAlign w:val="center"/>
          </w:tcPr>
          <w:p w14:paraId="5FE3DAB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0.012</w:t>
            </w:r>
          </w:p>
        </w:tc>
      </w:tr>
      <w:tr w:rsidR="00173478" w:rsidRPr="008E28A6" w14:paraId="5ECBAB11" w14:textId="77777777" w:rsidTr="00FA3D25">
        <w:trPr>
          <w:trHeight w:val="248"/>
          <w:jc w:val="center"/>
        </w:trPr>
        <w:tc>
          <w:tcPr>
            <w:tcW w:w="3449" w:type="dxa"/>
            <w:tcBorders>
              <w:top w:val="nil"/>
              <w:left w:val="nil"/>
              <w:bottom w:val="nil"/>
              <w:right w:val="nil"/>
            </w:tcBorders>
            <w:vAlign w:val="center"/>
          </w:tcPr>
          <w:p w14:paraId="276D63E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Mexico</w:t>
            </w:r>
          </w:p>
        </w:tc>
        <w:tc>
          <w:tcPr>
            <w:tcW w:w="2183" w:type="dxa"/>
            <w:tcBorders>
              <w:top w:val="nil"/>
              <w:left w:val="nil"/>
              <w:bottom w:val="nil"/>
              <w:right w:val="nil"/>
            </w:tcBorders>
            <w:vAlign w:val="center"/>
          </w:tcPr>
          <w:p w14:paraId="2A9EB1E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1.435</w:t>
            </w:r>
          </w:p>
        </w:tc>
        <w:tc>
          <w:tcPr>
            <w:tcW w:w="1975" w:type="dxa"/>
            <w:tcBorders>
              <w:top w:val="nil"/>
              <w:left w:val="nil"/>
              <w:bottom w:val="nil"/>
              <w:right w:val="nil"/>
            </w:tcBorders>
            <w:vAlign w:val="center"/>
          </w:tcPr>
          <w:p w14:paraId="251B664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1.399</w:t>
            </w:r>
          </w:p>
        </w:tc>
        <w:tc>
          <w:tcPr>
            <w:tcW w:w="2032" w:type="dxa"/>
            <w:tcBorders>
              <w:top w:val="nil"/>
              <w:left w:val="nil"/>
              <w:bottom w:val="nil"/>
              <w:right w:val="nil"/>
            </w:tcBorders>
            <w:vAlign w:val="center"/>
          </w:tcPr>
          <w:p w14:paraId="272F5B3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1.399</w:t>
            </w:r>
          </w:p>
        </w:tc>
      </w:tr>
      <w:tr w:rsidR="00173478" w:rsidRPr="008E28A6" w14:paraId="2DB8674A" w14:textId="77777777" w:rsidTr="00FA3D25">
        <w:trPr>
          <w:trHeight w:val="248"/>
          <w:jc w:val="center"/>
        </w:trPr>
        <w:tc>
          <w:tcPr>
            <w:tcW w:w="3449" w:type="dxa"/>
            <w:tcBorders>
              <w:top w:val="nil"/>
              <w:left w:val="nil"/>
              <w:bottom w:val="nil"/>
              <w:right w:val="nil"/>
            </w:tcBorders>
            <w:vAlign w:val="center"/>
          </w:tcPr>
          <w:p w14:paraId="466E93B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Micronesia (Federated States of)</w:t>
            </w:r>
          </w:p>
        </w:tc>
        <w:tc>
          <w:tcPr>
            <w:tcW w:w="2183" w:type="dxa"/>
            <w:tcBorders>
              <w:top w:val="nil"/>
              <w:left w:val="nil"/>
              <w:bottom w:val="nil"/>
              <w:right w:val="nil"/>
            </w:tcBorders>
            <w:vAlign w:val="center"/>
          </w:tcPr>
          <w:p w14:paraId="1B2522C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7AB4039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66FA5C6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038434D0" w14:textId="77777777" w:rsidTr="00FA3D25">
        <w:trPr>
          <w:trHeight w:val="248"/>
          <w:jc w:val="center"/>
        </w:trPr>
        <w:tc>
          <w:tcPr>
            <w:tcW w:w="3449" w:type="dxa"/>
            <w:tcBorders>
              <w:top w:val="nil"/>
              <w:left w:val="nil"/>
              <w:bottom w:val="nil"/>
              <w:right w:val="nil"/>
            </w:tcBorders>
            <w:vAlign w:val="center"/>
          </w:tcPr>
          <w:p w14:paraId="165F435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Monaco</w:t>
            </w:r>
          </w:p>
        </w:tc>
        <w:tc>
          <w:tcPr>
            <w:tcW w:w="2183" w:type="dxa"/>
            <w:tcBorders>
              <w:top w:val="nil"/>
              <w:left w:val="nil"/>
              <w:bottom w:val="nil"/>
              <w:right w:val="nil"/>
            </w:tcBorders>
            <w:vAlign w:val="center"/>
          </w:tcPr>
          <w:p w14:paraId="5FA863E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5A0DB7A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5B4BBC5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233ED7CC" w14:textId="77777777" w:rsidTr="00FA3D25">
        <w:trPr>
          <w:trHeight w:val="248"/>
          <w:jc w:val="center"/>
        </w:trPr>
        <w:tc>
          <w:tcPr>
            <w:tcW w:w="3449" w:type="dxa"/>
            <w:tcBorders>
              <w:top w:val="nil"/>
              <w:left w:val="nil"/>
              <w:bottom w:val="nil"/>
              <w:right w:val="nil"/>
            </w:tcBorders>
            <w:vAlign w:val="center"/>
          </w:tcPr>
          <w:p w14:paraId="01EACAA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Mongolia</w:t>
            </w:r>
          </w:p>
        </w:tc>
        <w:tc>
          <w:tcPr>
            <w:tcW w:w="2183" w:type="dxa"/>
            <w:tcBorders>
              <w:top w:val="nil"/>
              <w:left w:val="nil"/>
              <w:bottom w:val="nil"/>
              <w:right w:val="nil"/>
            </w:tcBorders>
            <w:vAlign w:val="center"/>
          </w:tcPr>
          <w:p w14:paraId="276E5B1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c>
          <w:tcPr>
            <w:tcW w:w="1975" w:type="dxa"/>
            <w:tcBorders>
              <w:top w:val="nil"/>
              <w:left w:val="nil"/>
              <w:bottom w:val="nil"/>
              <w:right w:val="nil"/>
            </w:tcBorders>
            <w:vAlign w:val="center"/>
          </w:tcPr>
          <w:p w14:paraId="4FAA429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c>
          <w:tcPr>
            <w:tcW w:w="2032" w:type="dxa"/>
            <w:tcBorders>
              <w:top w:val="nil"/>
              <w:left w:val="nil"/>
              <w:bottom w:val="nil"/>
              <w:right w:val="nil"/>
            </w:tcBorders>
            <w:vAlign w:val="center"/>
          </w:tcPr>
          <w:p w14:paraId="51C8E67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r>
      <w:tr w:rsidR="00173478" w:rsidRPr="008E28A6" w14:paraId="47F16878" w14:textId="77777777" w:rsidTr="00FA3D25">
        <w:trPr>
          <w:trHeight w:val="248"/>
          <w:jc w:val="center"/>
        </w:trPr>
        <w:tc>
          <w:tcPr>
            <w:tcW w:w="3449" w:type="dxa"/>
            <w:tcBorders>
              <w:top w:val="nil"/>
              <w:left w:val="nil"/>
              <w:bottom w:val="nil"/>
              <w:right w:val="nil"/>
            </w:tcBorders>
            <w:vAlign w:val="center"/>
          </w:tcPr>
          <w:p w14:paraId="3CE98227"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Montenegro</w:t>
            </w:r>
          </w:p>
        </w:tc>
        <w:tc>
          <w:tcPr>
            <w:tcW w:w="2183" w:type="dxa"/>
            <w:tcBorders>
              <w:top w:val="nil"/>
              <w:left w:val="nil"/>
              <w:bottom w:val="nil"/>
              <w:right w:val="nil"/>
            </w:tcBorders>
            <w:vAlign w:val="center"/>
          </w:tcPr>
          <w:p w14:paraId="6532F23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nil"/>
              <w:right w:val="nil"/>
            </w:tcBorders>
            <w:vAlign w:val="center"/>
          </w:tcPr>
          <w:p w14:paraId="6E836FA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nil"/>
              <w:right w:val="nil"/>
            </w:tcBorders>
            <w:vAlign w:val="center"/>
          </w:tcPr>
          <w:p w14:paraId="435FA95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3B0362E7" w14:textId="77777777" w:rsidTr="00FA3D25">
        <w:trPr>
          <w:trHeight w:val="248"/>
          <w:jc w:val="center"/>
        </w:trPr>
        <w:tc>
          <w:tcPr>
            <w:tcW w:w="3449" w:type="dxa"/>
            <w:tcBorders>
              <w:top w:val="nil"/>
              <w:left w:val="nil"/>
              <w:bottom w:val="nil"/>
              <w:right w:val="nil"/>
            </w:tcBorders>
            <w:vAlign w:val="center"/>
          </w:tcPr>
          <w:p w14:paraId="13419DF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Morocco</w:t>
            </w:r>
          </w:p>
        </w:tc>
        <w:tc>
          <w:tcPr>
            <w:tcW w:w="2183" w:type="dxa"/>
            <w:tcBorders>
              <w:top w:val="nil"/>
              <w:left w:val="nil"/>
              <w:bottom w:val="nil"/>
              <w:right w:val="nil"/>
            </w:tcBorders>
            <w:vAlign w:val="center"/>
          </w:tcPr>
          <w:p w14:paraId="57559C1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0.054</w:t>
            </w:r>
          </w:p>
        </w:tc>
        <w:tc>
          <w:tcPr>
            <w:tcW w:w="1975" w:type="dxa"/>
            <w:tcBorders>
              <w:top w:val="nil"/>
              <w:left w:val="nil"/>
              <w:bottom w:val="nil"/>
              <w:right w:val="nil"/>
            </w:tcBorders>
            <w:vAlign w:val="center"/>
          </w:tcPr>
          <w:p w14:paraId="0A52014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0.053</w:t>
            </w:r>
          </w:p>
        </w:tc>
        <w:tc>
          <w:tcPr>
            <w:tcW w:w="2032" w:type="dxa"/>
            <w:tcBorders>
              <w:top w:val="nil"/>
              <w:left w:val="nil"/>
              <w:bottom w:val="nil"/>
              <w:right w:val="nil"/>
            </w:tcBorders>
            <w:vAlign w:val="center"/>
          </w:tcPr>
          <w:p w14:paraId="0707383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0.053</w:t>
            </w:r>
          </w:p>
        </w:tc>
      </w:tr>
      <w:tr w:rsidR="00173478" w:rsidRPr="008E28A6" w14:paraId="13AC9314" w14:textId="77777777" w:rsidTr="00FA3D25">
        <w:trPr>
          <w:trHeight w:val="248"/>
          <w:jc w:val="center"/>
        </w:trPr>
        <w:tc>
          <w:tcPr>
            <w:tcW w:w="3449" w:type="dxa"/>
            <w:tcBorders>
              <w:top w:val="nil"/>
              <w:left w:val="nil"/>
              <w:bottom w:val="nil"/>
              <w:right w:val="nil"/>
            </w:tcBorders>
            <w:vAlign w:val="center"/>
          </w:tcPr>
          <w:p w14:paraId="0BF60D1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Mozambique</w:t>
            </w:r>
          </w:p>
        </w:tc>
        <w:tc>
          <w:tcPr>
            <w:tcW w:w="2183" w:type="dxa"/>
            <w:tcBorders>
              <w:top w:val="nil"/>
              <w:left w:val="nil"/>
              <w:bottom w:val="nil"/>
              <w:right w:val="nil"/>
            </w:tcBorders>
            <w:vAlign w:val="center"/>
          </w:tcPr>
          <w:p w14:paraId="7961D92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nil"/>
              <w:right w:val="nil"/>
            </w:tcBorders>
            <w:vAlign w:val="center"/>
          </w:tcPr>
          <w:p w14:paraId="39D512F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nil"/>
              <w:right w:val="nil"/>
            </w:tcBorders>
            <w:vAlign w:val="center"/>
          </w:tcPr>
          <w:p w14:paraId="3E45B7E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327F6B15" w14:textId="77777777" w:rsidTr="00FA3D25">
        <w:trPr>
          <w:trHeight w:val="248"/>
          <w:jc w:val="center"/>
        </w:trPr>
        <w:tc>
          <w:tcPr>
            <w:tcW w:w="3449" w:type="dxa"/>
            <w:tcBorders>
              <w:top w:val="nil"/>
              <w:left w:val="nil"/>
              <w:bottom w:val="nil"/>
              <w:right w:val="nil"/>
            </w:tcBorders>
            <w:vAlign w:val="center"/>
          </w:tcPr>
          <w:p w14:paraId="5E93134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Myanmar</w:t>
            </w:r>
          </w:p>
        </w:tc>
        <w:tc>
          <w:tcPr>
            <w:tcW w:w="2183" w:type="dxa"/>
            <w:tcBorders>
              <w:top w:val="nil"/>
              <w:left w:val="nil"/>
              <w:bottom w:val="nil"/>
              <w:right w:val="nil"/>
            </w:tcBorders>
            <w:vAlign w:val="center"/>
          </w:tcPr>
          <w:p w14:paraId="4B582AD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106F767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1F203AE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5F0E0590" w14:textId="77777777" w:rsidTr="00FA3D25">
        <w:trPr>
          <w:trHeight w:val="248"/>
          <w:jc w:val="center"/>
        </w:trPr>
        <w:tc>
          <w:tcPr>
            <w:tcW w:w="3449" w:type="dxa"/>
            <w:tcBorders>
              <w:top w:val="nil"/>
              <w:left w:val="nil"/>
              <w:bottom w:val="nil"/>
              <w:right w:val="nil"/>
            </w:tcBorders>
            <w:vAlign w:val="center"/>
          </w:tcPr>
          <w:p w14:paraId="5D3BD7F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Namibia</w:t>
            </w:r>
          </w:p>
        </w:tc>
        <w:tc>
          <w:tcPr>
            <w:tcW w:w="2183" w:type="dxa"/>
            <w:tcBorders>
              <w:top w:val="nil"/>
              <w:left w:val="nil"/>
              <w:bottom w:val="nil"/>
              <w:right w:val="nil"/>
            </w:tcBorders>
            <w:vAlign w:val="center"/>
          </w:tcPr>
          <w:p w14:paraId="5BD85E8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16AED49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4C1F124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31E6B7E9" w14:textId="77777777" w:rsidTr="00FA3D25">
        <w:trPr>
          <w:trHeight w:val="248"/>
          <w:jc w:val="center"/>
        </w:trPr>
        <w:tc>
          <w:tcPr>
            <w:tcW w:w="3449" w:type="dxa"/>
            <w:tcBorders>
              <w:top w:val="nil"/>
              <w:left w:val="nil"/>
              <w:bottom w:val="nil"/>
              <w:right w:val="nil"/>
            </w:tcBorders>
            <w:vAlign w:val="center"/>
          </w:tcPr>
          <w:p w14:paraId="37F84D3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Nauru</w:t>
            </w:r>
          </w:p>
        </w:tc>
        <w:tc>
          <w:tcPr>
            <w:tcW w:w="2183" w:type="dxa"/>
            <w:tcBorders>
              <w:top w:val="nil"/>
              <w:left w:val="nil"/>
              <w:bottom w:val="nil"/>
              <w:right w:val="nil"/>
            </w:tcBorders>
            <w:vAlign w:val="center"/>
          </w:tcPr>
          <w:p w14:paraId="4BB7F487" w14:textId="77777777" w:rsidR="00173478" w:rsidRPr="008E28A6" w:rsidRDefault="00173478" w:rsidP="00FA3D25">
            <w:pPr>
              <w:suppressAutoHyphens w:val="0"/>
              <w:spacing w:line="240" w:lineRule="auto"/>
              <w:jc w:val="right"/>
              <w:rPr>
                <w:rFonts w:eastAsia="MS Mincho"/>
                <w:color w:val="000000"/>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6B2CB0F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2C8CD57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6E71E5FC" w14:textId="77777777" w:rsidTr="00FA3D25">
        <w:trPr>
          <w:trHeight w:val="248"/>
          <w:jc w:val="center"/>
        </w:trPr>
        <w:tc>
          <w:tcPr>
            <w:tcW w:w="3449" w:type="dxa"/>
            <w:tcBorders>
              <w:top w:val="nil"/>
              <w:left w:val="nil"/>
              <w:bottom w:val="nil"/>
              <w:right w:val="nil"/>
            </w:tcBorders>
            <w:vAlign w:val="center"/>
          </w:tcPr>
          <w:p w14:paraId="7B2A328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Nepal</w:t>
            </w:r>
          </w:p>
        </w:tc>
        <w:tc>
          <w:tcPr>
            <w:tcW w:w="2183" w:type="dxa"/>
            <w:tcBorders>
              <w:top w:val="nil"/>
              <w:left w:val="nil"/>
              <w:bottom w:val="nil"/>
              <w:right w:val="nil"/>
            </w:tcBorders>
            <w:vAlign w:val="center"/>
          </w:tcPr>
          <w:p w14:paraId="1CE1001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1975" w:type="dxa"/>
            <w:tcBorders>
              <w:top w:val="nil"/>
              <w:left w:val="nil"/>
              <w:bottom w:val="nil"/>
              <w:right w:val="nil"/>
            </w:tcBorders>
            <w:vAlign w:val="center"/>
          </w:tcPr>
          <w:p w14:paraId="7ECD623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2032" w:type="dxa"/>
            <w:tcBorders>
              <w:top w:val="nil"/>
              <w:left w:val="nil"/>
              <w:bottom w:val="nil"/>
              <w:right w:val="nil"/>
            </w:tcBorders>
            <w:vAlign w:val="center"/>
          </w:tcPr>
          <w:p w14:paraId="283E05D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r>
      <w:tr w:rsidR="00173478" w:rsidRPr="008E28A6" w14:paraId="70E4134D" w14:textId="77777777" w:rsidTr="00FA3D25">
        <w:trPr>
          <w:trHeight w:val="248"/>
          <w:jc w:val="center"/>
        </w:trPr>
        <w:tc>
          <w:tcPr>
            <w:tcW w:w="3449" w:type="dxa"/>
            <w:tcBorders>
              <w:top w:val="nil"/>
              <w:left w:val="nil"/>
              <w:bottom w:val="nil"/>
              <w:right w:val="nil"/>
            </w:tcBorders>
            <w:vAlign w:val="center"/>
          </w:tcPr>
          <w:p w14:paraId="2290E43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Netherlands</w:t>
            </w:r>
          </w:p>
        </w:tc>
        <w:tc>
          <w:tcPr>
            <w:tcW w:w="2183" w:type="dxa"/>
            <w:tcBorders>
              <w:top w:val="nil"/>
              <w:left w:val="nil"/>
              <w:bottom w:val="nil"/>
              <w:right w:val="nil"/>
            </w:tcBorders>
            <w:vAlign w:val="center"/>
          </w:tcPr>
          <w:p w14:paraId="2B8EF82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1.482</w:t>
            </w:r>
          </w:p>
        </w:tc>
        <w:tc>
          <w:tcPr>
            <w:tcW w:w="1975" w:type="dxa"/>
            <w:tcBorders>
              <w:top w:val="nil"/>
              <w:left w:val="nil"/>
              <w:bottom w:val="nil"/>
              <w:right w:val="nil"/>
            </w:tcBorders>
            <w:vAlign w:val="center"/>
          </w:tcPr>
          <w:p w14:paraId="26D2CD8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1.445</w:t>
            </w:r>
          </w:p>
        </w:tc>
        <w:tc>
          <w:tcPr>
            <w:tcW w:w="2032" w:type="dxa"/>
            <w:tcBorders>
              <w:top w:val="nil"/>
              <w:left w:val="nil"/>
              <w:bottom w:val="nil"/>
              <w:right w:val="nil"/>
            </w:tcBorders>
            <w:vAlign w:val="center"/>
          </w:tcPr>
          <w:p w14:paraId="00239A5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1.445</w:t>
            </w:r>
          </w:p>
        </w:tc>
      </w:tr>
      <w:tr w:rsidR="00173478" w:rsidRPr="008E28A6" w14:paraId="1B40FDFC" w14:textId="77777777" w:rsidTr="00FA3D25">
        <w:trPr>
          <w:trHeight w:val="248"/>
          <w:jc w:val="center"/>
        </w:trPr>
        <w:tc>
          <w:tcPr>
            <w:tcW w:w="3449" w:type="dxa"/>
            <w:tcBorders>
              <w:top w:val="nil"/>
              <w:left w:val="nil"/>
              <w:bottom w:val="nil"/>
              <w:right w:val="nil"/>
            </w:tcBorders>
            <w:vAlign w:val="center"/>
          </w:tcPr>
          <w:p w14:paraId="78C5772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New Zealand</w:t>
            </w:r>
          </w:p>
        </w:tc>
        <w:tc>
          <w:tcPr>
            <w:tcW w:w="2183" w:type="dxa"/>
            <w:tcBorders>
              <w:top w:val="nil"/>
              <w:left w:val="nil"/>
              <w:bottom w:val="nil"/>
              <w:right w:val="nil"/>
            </w:tcBorders>
            <w:vAlign w:val="center"/>
          </w:tcPr>
          <w:p w14:paraId="4A79A12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0.268</w:t>
            </w:r>
          </w:p>
        </w:tc>
        <w:tc>
          <w:tcPr>
            <w:tcW w:w="1975" w:type="dxa"/>
            <w:tcBorders>
              <w:top w:val="nil"/>
              <w:left w:val="nil"/>
              <w:bottom w:val="nil"/>
              <w:right w:val="nil"/>
            </w:tcBorders>
            <w:vAlign w:val="center"/>
          </w:tcPr>
          <w:p w14:paraId="3727809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0.261</w:t>
            </w:r>
          </w:p>
        </w:tc>
        <w:tc>
          <w:tcPr>
            <w:tcW w:w="2032" w:type="dxa"/>
            <w:tcBorders>
              <w:top w:val="nil"/>
              <w:left w:val="nil"/>
              <w:bottom w:val="nil"/>
              <w:right w:val="nil"/>
            </w:tcBorders>
            <w:vAlign w:val="center"/>
          </w:tcPr>
          <w:p w14:paraId="017C5E7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0.261</w:t>
            </w:r>
          </w:p>
        </w:tc>
      </w:tr>
      <w:tr w:rsidR="00173478" w:rsidRPr="008E28A6" w14:paraId="3D7338B6" w14:textId="77777777" w:rsidTr="00FA3D25">
        <w:trPr>
          <w:trHeight w:val="248"/>
          <w:jc w:val="center"/>
        </w:trPr>
        <w:tc>
          <w:tcPr>
            <w:tcW w:w="3449" w:type="dxa"/>
            <w:tcBorders>
              <w:top w:val="nil"/>
              <w:left w:val="nil"/>
              <w:bottom w:val="nil"/>
              <w:right w:val="nil"/>
            </w:tcBorders>
            <w:vAlign w:val="center"/>
          </w:tcPr>
          <w:p w14:paraId="275C5E9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Nicaragua</w:t>
            </w:r>
          </w:p>
        </w:tc>
        <w:tc>
          <w:tcPr>
            <w:tcW w:w="2183" w:type="dxa"/>
            <w:tcBorders>
              <w:top w:val="nil"/>
              <w:left w:val="nil"/>
              <w:bottom w:val="nil"/>
              <w:right w:val="nil"/>
            </w:tcBorders>
            <w:vAlign w:val="center"/>
          </w:tcPr>
          <w:p w14:paraId="1DA605D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nil"/>
              <w:right w:val="nil"/>
            </w:tcBorders>
            <w:vAlign w:val="center"/>
          </w:tcPr>
          <w:p w14:paraId="0539BFD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nil"/>
              <w:right w:val="nil"/>
            </w:tcBorders>
            <w:vAlign w:val="center"/>
          </w:tcPr>
          <w:p w14:paraId="1380561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6E088CA3" w14:textId="77777777" w:rsidTr="00FA3D25">
        <w:trPr>
          <w:trHeight w:val="248"/>
          <w:jc w:val="center"/>
        </w:trPr>
        <w:tc>
          <w:tcPr>
            <w:tcW w:w="3449" w:type="dxa"/>
            <w:tcBorders>
              <w:top w:val="nil"/>
              <w:left w:val="nil"/>
              <w:bottom w:val="nil"/>
              <w:right w:val="nil"/>
            </w:tcBorders>
            <w:vAlign w:val="center"/>
          </w:tcPr>
          <w:p w14:paraId="08536E7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Niger</w:t>
            </w:r>
          </w:p>
        </w:tc>
        <w:tc>
          <w:tcPr>
            <w:tcW w:w="2183" w:type="dxa"/>
            <w:tcBorders>
              <w:top w:val="nil"/>
              <w:left w:val="nil"/>
              <w:bottom w:val="nil"/>
              <w:right w:val="nil"/>
            </w:tcBorders>
            <w:vAlign w:val="center"/>
          </w:tcPr>
          <w:p w14:paraId="03C2241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49EEBA0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66628EA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150AE879" w14:textId="77777777" w:rsidTr="00FA3D25">
        <w:trPr>
          <w:trHeight w:val="248"/>
          <w:jc w:val="center"/>
        </w:trPr>
        <w:tc>
          <w:tcPr>
            <w:tcW w:w="3449" w:type="dxa"/>
            <w:tcBorders>
              <w:top w:val="nil"/>
              <w:left w:val="nil"/>
              <w:bottom w:val="nil"/>
              <w:right w:val="nil"/>
            </w:tcBorders>
            <w:vAlign w:val="center"/>
          </w:tcPr>
          <w:p w14:paraId="59084AD7"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Nigeria</w:t>
            </w:r>
          </w:p>
        </w:tc>
        <w:tc>
          <w:tcPr>
            <w:tcW w:w="2183" w:type="dxa"/>
            <w:tcBorders>
              <w:top w:val="nil"/>
              <w:left w:val="nil"/>
              <w:bottom w:val="nil"/>
              <w:right w:val="nil"/>
            </w:tcBorders>
            <w:vAlign w:val="center"/>
          </w:tcPr>
          <w:p w14:paraId="2E2BFD3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0.209</w:t>
            </w:r>
          </w:p>
        </w:tc>
        <w:tc>
          <w:tcPr>
            <w:tcW w:w="1975" w:type="dxa"/>
            <w:tcBorders>
              <w:top w:val="nil"/>
              <w:left w:val="nil"/>
              <w:bottom w:val="nil"/>
              <w:right w:val="nil"/>
            </w:tcBorders>
            <w:vAlign w:val="center"/>
          </w:tcPr>
          <w:p w14:paraId="689ECC8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0.204</w:t>
            </w:r>
          </w:p>
        </w:tc>
        <w:tc>
          <w:tcPr>
            <w:tcW w:w="2032" w:type="dxa"/>
            <w:tcBorders>
              <w:top w:val="nil"/>
              <w:left w:val="nil"/>
              <w:bottom w:val="nil"/>
              <w:right w:val="nil"/>
            </w:tcBorders>
            <w:vAlign w:val="center"/>
          </w:tcPr>
          <w:p w14:paraId="2F1A0A5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0.204</w:t>
            </w:r>
          </w:p>
        </w:tc>
      </w:tr>
      <w:tr w:rsidR="00173478" w:rsidRPr="008E28A6" w14:paraId="77A4AE8C" w14:textId="77777777" w:rsidTr="00FA3D25">
        <w:trPr>
          <w:trHeight w:val="248"/>
          <w:jc w:val="center"/>
        </w:trPr>
        <w:tc>
          <w:tcPr>
            <w:tcW w:w="3449" w:type="dxa"/>
            <w:tcBorders>
              <w:top w:val="nil"/>
              <w:left w:val="nil"/>
              <w:bottom w:val="nil"/>
              <w:right w:val="nil"/>
            </w:tcBorders>
            <w:vAlign w:val="center"/>
          </w:tcPr>
          <w:p w14:paraId="5E85270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Niue</w:t>
            </w:r>
          </w:p>
        </w:tc>
        <w:tc>
          <w:tcPr>
            <w:tcW w:w="2183" w:type="dxa"/>
            <w:tcBorders>
              <w:top w:val="nil"/>
              <w:left w:val="nil"/>
              <w:bottom w:val="nil"/>
              <w:right w:val="nil"/>
            </w:tcBorders>
            <w:vAlign w:val="center"/>
          </w:tcPr>
          <w:p w14:paraId="3536EC71" w14:textId="77777777" w:rsidR="00173478" w:rsidRPr="008E28A6" w:rsidRDefault="00173478" w:rsidP="00FA3D25">
            <w:pPr>
              <w:suppressAutoHyphens w:val="0"/>
              <w:spacing w:line="240" w:lineRule="auto"/>
              <w:jc w:val="right"/>
              <w:rPr>
                <w:rFonts w:eastAsia="MS Mincho"/>
                <w:color w:val="000000"/>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17198E0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4A6AA0B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611B7922" w14:textId="77777777" w:rsidTr="00FA3D25">
        <w:trPr>
          <w:trHeight w:val="248"/>
          <w:jc w:val="center"/>
        </w:trPr>
        <w:tc>
          <w:tcPr>
            <w:tcW w:w="3449" w:type="dxa"/>
            <w:tcBorders>
              <w:top w:val="nil"/>
              <w:left w:val="nil"/>
              <w:bottom w:val="nil"/>
              <w:right w:val="nil"/>
            </w:tcBorders>
            <w:vAlign w:val="center"/>
          </w:tcPr>
          <w:p w14:paraId="03C92CC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Norway</w:t>
            </w:r>
          </w:p>
        </w:tc>
        <w:tc>
          <w:tcPr>
            <w:tcW w:w="2183" w:type="dxa"/>
            <w:tcBorders>
              <w:top w:val="nil"/>
              <w:left w:val="nil"/>
              <w:bottom w:val="nil"/>
              <w:right w:val="nil"/>
            </w:tcBorders>
            <w:vAlign w:val="center"/>
          </w:tcPr>
          <w:p w14:paraId="57C82C0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0.849</w:t>
            </w:r>
          </w:p>
        </w:tc>
        <w:tc>
          <w:tcPr>
            <w:tcW w:w="1975" w:type="dxa"/>
            <w:tcBorders>
              <w:top w:val="nil"/>
              <w:left w:val="nil"/>
              <w:bottom w:val="nil"/>
              <w:right w:val="nil"/>
            </w:tcBorders>
            <w:vAlign w:val="center"/>
          </w:tcPr>
          <w:p w14:paraId="354D0E6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0.828</w:t>
            </w:r>
          </w:p>
        </w:tc>
        <w:tc>
          <w:tcPr>
            <w:tcW w:w="2032" w:type="dxa"/>
            <w:tcBorders>
              <w:top w:val="nil"/>
              <w:left w:val="nil"/>
              <w:bottom w:val="nil"/>
              <w:right w:val="nil"/>
            </w:tcBorders>
            <w:vAlign w:val="center"/>
          </w:tcPr>
          <w:p w14:paraId="682EA92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0.828</w:t>
            </w:r>
          </w:p>
        </w:tc>
      </w:tr>
      <w:tr w:rsidR="00173478" w:rsidRPr="008E28A6" w14:paraId="0582E1C5" w14:textId="77777777" w:rsidTr="00FA3D25">
        <w:trPr>
          <w:trHeight w:val="248"/>
          <w:jc w:val="center"/>
        </w:trPr>
        <w:tc>
          <w:tcPr>
            <w:tcW w:w="3449" w:type="dxa"/>
            <w:tcBorders>
              <w:top w:val="nil"/>
              <w:left w:val="nil"/>
              <w:bottom w:val="nil"/>
              <w:right w:val="nil"/>
            </w:tcBorders>
            <w:vAlign w:val="center"/>
          </w:tcPr>
          <w:p w14:paraId="7602E9E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Oman</w:t>
            </w:r>
          </w:p>
        </w:tc>
        <w:tc>
          <w:tcPr>
            <w:tcW w:w="2183" w:type="dxa"/>
            <w:tcBorders>
              <w:top w:val="nil"/>
              <w:left w:val="nil"/>
              <w:bottom w:val="nil"/>
              <w:right w:val="nil"/>
            </w:tcBorders>
            <w:vAlign w:val="center"/>
          </w:tcPr>
          <w:p w14:paraId="68D38FD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0.113</w:t>
            </w:r>
          </w:p>
        </w:tc>
        <w:tc>
          <w:tcPr>
            <w:tcW w:w="1975" w:type="dxa"/>
            <w:tcBorders>
              <w:top w:val="nil"/>
              <w:left w:val="nil"/>
              <w:bottom w:val="nil"/>
              <w:right w:val="nil"/>
            </w:tcBorders>
            <w:vAlign w:val="center"/>
          </w:tcPr>
          <w:p w14:paraId="1741239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0.110</w:t>
            </w:r>
          </w:p>
        </w:tc>
        <w:tc>
          <w:tcPr>
            <w:tcW w:w="2032" w:type="dxa"/>
            <w:tcBorders>
              <w:top w:val="nil"/>
              <w:left w:val="nil"/>
              <w:bottom w:val="nil"/>
              <w:right w:val="nil"/>
            </w:tcBorders>
            <w:vAlign w:val="center"/>
          </w:tcPr>
          <w:p w14:paraId="38FE0E9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0.110</w:t>
            </w:r>
          </w:p>
        </w:tc>
      </w:tr>
      <w:tr w:rsidR="00173478" w:rsidRPr="008E28A6" w14:paraId="64B16AA3" w14:textId="77777777" w:rsidTr="00FA3D25">
        <w:trPr>
          <w:trHeight w:val="248"/>
          <w:jc w:val="center"/>
        </w:trPr>
        <w:tc>
          <w:tcPr>
            <w:tcW w:w="3449" w:type="dxa"/>
            <w:tcBorders>
              <w:top w:val="nil"/>
              <w:left w:val="nil"/>
              <w:bottom w:val="nil"/>
              <w:right w:val="nil"/>
            </w:tcBorders>
            <w:vAlign w:val="center"/>
          </w:tcPr>
          <w:p w14:paraId="091C026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Pakistan</w:t>
            </w:r>
          </w:p>
        </w:tc>
        <w:tc>
          <w:tcPr>
            <w:tcW w:w="2183" w:type="dxa"/>
            <w:tcBorders>
              <w:top w:val="nil"/>
              <w:left w:val="nil"/>
              <w:bottom w:val="nil"/>
              <w:right w:val="nil"/>
            </w:tcBorders>
            <w:vAlign w:val="center"/>
          </w:tcPr>
          <w:p w14:paraId="1295205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0.093</w:t>
            </w:r>
          </w:p>
        </w:tc>
        <w:tc>
          <w:tcPr>
            <w:tcW w:w="1975" w:type="dxa"/>
            <w:tcBorders>
              <w:top w:val="nil"/>
              <w:left w:val="nil"/>
              <w:bottom w:val="nil"/>
              <w:right w:val="nil"/>
            </w:tcBorders>
            <w:vAlign w:val="center"/>
          </w:tcPr>
          <w:p w14:paraId="7E061A7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0.091</w:t>
            </w:r>
          </w:p>
        </w:tc>
        <w:tc>
          <w:tcPr>
            <w:tcW w:w="2032" w:type="dxa"/>
            <w:tcBorders>
              <w:top w:val="nil"/>
              <w:left w:val="nil"/>
              <w:bottom w:val="nil"/>
              <w:right w:val="nil"/>
            </w:tcBorders>
            <w:vAlign w:val="center"/>
          </w:tcPr>
          <w:p w14:paraId="4B32534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0.091</w:t>
            </w:r>
          </w:p>
        </w:tc>
      </w:tr>
      <w:tr w:rsidR="00173478" w:rsidRPr="008E28A6" w14:paraId="2DA60D66" w14:textId="77777777" w:rsidTr="00FA3D25">
        <w:trPr>
          <w:trHeight w:val="248"/>
          <w:jc w:val="center"/>
        </w:trPr>
        <w:tc>
          <w:tcPr>
            <w:tcW w:w="3449" w:type="dxa"/>
            <w:tcBorders>
              <w:top w:val="nil"/>
              <w:left w:val="nil"/>
              <w:bottom w:val="nil"/>
              <w:right w:val="nil"/>
            </w:tcBorders>
            <w:vAlign w:val="center"/>
          </w:tcPr>
          <w:p w14:paraId="0554D0A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Palau</w:t>
            </w:r>
          </w:p>
        </w:tc>
        <w:tc>
          <w:tcPr>
            <w:tcW w:w="2183" w:type="dxa"/>
            <w:tcBorders>
              <w:top w:val="nil"/>
              <w:left w:val="nil"/>
              <w:bottom w:val="nil"/>
              <w:right w:val="nil"/>
            </w:tcBorders>
            <w:vAlign w:val="center"/>
          </w:tcPr>
          <w:p w14:paraId="21D442B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670F85D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598DBD5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1B67C87" w14:textId="77777777" w:rsidTr="00FA3D25">
        <w:trPr>
          <w:trHeight w:val="248"/>
          <w:jc w:val="center"/>
        </w:trPr>
        <w:tc>
          <w:tcPr>
            <w:tcW w:w="3449" w:type="dxa"/>
            <w:tcBorders>
              <w:top w:val="nil"/>
              <w:left w:val="nil"/>
              <w:bottom w:val="nil"/>
              <w:right w:val="nil"/>
            </w:tcBorders>
            <w:vAlign w:val="center"/>
          </w:tcPr>
          <w:p w14:paraId="565CC484"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Panama</w:t>
            </w:r>
          </w:p>
        </w:tc>
        <w:tc>
          <w:tcPr>
            <w:tcW w:w="2183" w:type="dxa"/>
            <w:tcBorders>
              <w:top w:val="nil"/>
              <w:left w:val="nil"/>
              <w:bottom w:val="nil"/>
              <w:right w:val="nil"/>
            </w:tcBorders>
            <w:vAlign w:val="center"/>
          </w:tcPr>
          <w:p w14:paraId="3FEBDA3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0.034</w:t>
            </w:r>
          </w:p>
        </w:tc>
        <w:tc>
          <w:tcPr>
            <w:tcW w:w="1975" w:type="dxa"/>
            <w:tcBorders>
              <w:top w:val="nil"/>
              <w:left w:val="nil"/>
              <w:bottom w:val="nil"/>
              <w:right w:val="nil"/>
            </w:tcBorders>
            <w:vAlign w:val="center"/>
          </w:tcPr>
          <w:p w14:paraId="561F36C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0.033</w:t>
            </w:r>
          </w:p>
        </w:tc>
        <w:tc>
          <w:tcPr>
            <w:tcW w:w="2032" w:type="dxa"/>
            <w:tcBorders>
              <w:top w:val="nil"/>
              <w:left w:val="nil"/>
              <w:bottom w:val="nil"/>
              <w:right w:val="nil"/>
            </w:tcBorders>
            <w:vAlign w:val="center"/>
          </w:tcPr>
          <w:p w14:paraId="0685AFD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0.033</w:t>
            </w:r>
          </w:p>
        </w:tc>
      </w:tr>
      <w:tr w:rsidR="00173478" w:rsidRPr="008E28A6" w14:paraId="23BB772B" w14:textId="77777777" w:rsidTr="00FA3D25">
        <w:trPr>
          <w:trHeight w:val="248"/>
          <w:jc w:val="center"/>
        </w:trPr>
        <w:tc>
          <w:tcPr>
            <w:tcW w:w="3449" w:type="dxa"/>
            <w:tcBorders>
              <w:top w:val="nil"/>
              <w:left w:val="nil"/>
              <w:bottom w:val="nil"/>
              <w:right w:val="nil"/>
            </w:tcBorders>
            <w:vAlign w:val="center"/>
          </w:tcPr>
          <w:p w14:paraId="60D4293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Papua New Guinea</w:t>
            </w:r>
          </w:p>
        </w:tc>
        <w:tc>
          <w:tcPr>
            <w:tcW w:w="2183" w:type="dxa"/>
            <w:tcBorders>
              <w:top w:val="nil"/>
              <w:left w:val="nil"/>
              <w:bottom w:val="nil"/>
              <w:right w:val="nil"/>
            </w:tcBorders>
            <w:vAlign w:val="center"/>
          </w:tcPr>
          <w:p w14:paraId="463D616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nil"/>
              <w:right w:val="nil"/>
            </w:tcBorders>
            <w:vAlign w:val="center"/>
          </w:tcPr>
          <w:p w14:paraId="3BCF222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nil"/>
              <w:right w:val="nil"/>
            </w:tcBorders>
            <w:vAlign w:val="center"/>
          </w:tcPr>
          <w:p w14:paraId="145F368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5ABC3BF2" w14:textId="77777777" w:rsidTr="00FA3D25">
        <w:trPr>
          <w:trHeight w:val="248"/>
          <w:jc w:val="center"/>
        </w:trPr>
        <w:tc>
          <w:tcPr>
            <w:tcW w:w="3449" w:type="dxa"/>
            <w:tcBorders>
              <w:top w:val="nil"/>
              <w:left w:val="nil"/>
              <w:bottom w:val="nil"/>
              <w:right w:val="nil"/>
            </w:tcBorders>
            <w:vAlign w:val="center"/>
          </w:tcPr>
          <w:p w14:paraId="69D760D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Paraguay</w:t>
            </w:r>
          </w:p>
        </w:tc>
        <w:tc>
          <w:tcPr>
            <w:tcW w:w="2183" w:type="dxa"/>
            <w:tcBorders>
              <w:top w:val="nil"/>
              <w:left w:val="nil"/>
              <w:bottom w:val="nil"/>
              <w:right w:val="nil"/>
            </w:tcBorders>
            <w:vAlign w:val="center"/>
          </w:tcPr>
          <w:p w14:paraId="06AB2F7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c>
          <w:tcPr>
            <w:tcW w:w="1975" w:type="dxa"/>
            <w:tcBorders>
              <w:top w:val="nil"/>
              <w:left w:val="nil"/>
              <w:bottom w:val="nil"/>
              <w:right w:val="nil"/>
            </w:tcBorders>
            <w:vAlign w:val="center"/>
          </w:tcPr>
          <w:p w14:paraId="7048986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c>
          <w:tcPr>
            <w:tcW w:w="2032" w:type="dxa"/>
            <w:tcBorders>
              <w:top w:val="nil"/>
              <w:left w:val="nil"/>
              <w:bottom w:val="nil"/>
              <w:right w:val="nil"/>
            </w:tcBorders>
            <w:vAlign w:val="center"/>
          </w:tcPr>
          <w:p w14:paraId="2C0BC61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0.014</w:t>
            </w:r>
          </w:p>
        </w:tc>
      </w:tr>
      <w:tr w:rsidR="00173478" w:rsidRPr="008E28A6" w14:paraId="7CFEB7C3" w14:textId="77777777" w:rsidTr="00FA3D25">
        <w:trPr>
          <w:trHeight w:val="248"/>
          <w:jc w:val="center"/>
        </w:trPr>
        <w:tc>
          <w:tcPr>
            <w:tcW w:w="3449" w:type="dxa"/>
            <w:tcBorders>
              <w:top w:val="nil"/>
              <w:left w:val="nil"/>
              <w:bottom w:val="nil"/>
              <w:right w:val="nil"/>
            </w:tcBorders>
            <w:vAlign w:val="center"/>
          </w:tcPr>
          <w:p w14:paraId="0254A4F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Peru</w:t>
            </w:r>
          </w:p>
        </w:tc>
        <w:tc>
          <w:tcPr>
            <w:tcW w:w="2183" w:type="dxa"/>
            <w:tcBorders>
              <w:top w:val="nil"/>
              <w:left w:val="nil"/>
              <w:bottom w:val="nil"/>
              <w:right w:val="nil"/>
            </w:tcBorders>
            <w:vAlign w:val="center"/>
          </w:tcPr>
          <w:p w14:paraId="0449100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0.136</w:t>
            </w:r>
          </w:p>
        </w:tc>
        <w:tc>
          <w:tcPr>
            <w:tcW w:w="1975" w:type="dxa"/>
            <w:tcBorders>
              <w:top w:val="nil"/>
              <w:left w:val="nil"/>
              <w:bottom w:val="nil"/>
              <w:right w:val="nil"/>
            </w:tcBorders>
            <w:vAlign w:val="center"/>
          </w:tcPr>
          <w:p w14:paraId="01F8281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0.133</w:t>
            </w:r>
          </w:p>
        </w:tc>
        <w:tc>
          <w:tcPr>
            <w:tcW w:w="2032" w:type="dxa"/>
            <w:tcBorders>
              <w:top w:val="nil"/>
              <w:left w:val="nil"/>
              <w:bottom w:val="nil"/>
              <w:right w:val="nil"/>
            </w:tcBorders>
            <w:vAlign w:val="center"/>
          </w:tcPr>
          <w:p w14:paraId="28270BD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0.133</w:t>
            </w:r>
          </w:p>
        </w:tc>
      </w:tr>
      <w:tr w:rsidR="00173478" w:rsidRPr="008E28A6" w14:paraId="7E2C3D4B" w14:textId="77777777" w:rsidTr="00FA3D25">
        <w:trPr>
          <w:trHeight w:val="248"/>
          <w:jc w:val="center"/>
        </w:trPr>
        <w:tc>
          <w:tcPr>
            <w:tcW w:w="3449" w:type="dxa"/>
            <w:tcBorders>
              <w:top w:val="nil"/>
              <w:left w:val="nil"/>
              <w:bottom w:val="nil"/>
              <w:right w:val="nil"/>
            </w:tcBorders>
            <w:vAlign w:val="center"/>
          </w:tcPr>
          <w:p w14:paraId="52DCB0A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Philippines</w:t>
            </w:r>
          </w:p>
        </w:tc>
        <w:tc>
          <w:tcPr>
            <w:tcW w:w="2183" w:type="dxa"/>
            <w:tcBorders>
              <w:top w:val="nil"/>
              <w:left w:val="nil"/>
              <w:bottom w:val="nil"/>
              <w:right w:val="nil"/>
            </w:tcBorders>
            <w:vAlign w:val="center"/>
          </w:tcPr>
          <w:p w14:paraId="777281A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0.165</w:t>
            </w:r>
          </w:p>
        </w:tc>
        <w:tc>
          <w:tcPr>
            <w:tcW w:w="1975" w:type="dxa"/>
            <w:tcBorders>
              <w:top w:val="nil"/>
              <w:left w:val="nil"/>
              <w:bottom w:val="nil"/>
              <w:right w:val="nil"/>
            </w:tcBorders>
            <w:vAlign w:val="center"/>
          </w:tcPr>
          <w:p w14:paraId="7EE42B2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0.161</w:t>
            </w:r>
          </w:p>
        </w:tc>
        <w:tc>
          <w:tcPr>
            <w:tcW w:w="2032" w:type="dxa"/>
            <w:tcBorders>
              <w:top w:val="nil"/>
              <w:left w:val="nil"/>
              <w:bottom w:val="nil"/>
              <w:right w:val="nil"/>
            </w:tcBorders>
            <w:vAlign w:val="center"/>
          </w:tcPr>
          <w:p w14:paraId="125912A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0.161</w:t>
            </w:r>
          </w:p>
        </w:tc>
      </w:tr>
      <w:tr w:rsidR="00173478" w:rsidRPr="008E28A6" w14:paraId="12337C2C" w14:textId="77777777" w:rsidTr="00FA3D25">
        <w:trPr>
          <w:trHeight w:val="248"/>
          <w:jc w:val="center"/>
        </w:trPr>
        <w:tc>
          <w:tcPr>
            <w:tcW w:w="3449" w:type="dxa"/>
            <w:tcBorders>
              <w:top w:val="nil"/>
              <w:left w:val="nil"/>
              <w:bottom w:val="nil"/>
              <w:right w:val="nil"/>
            </w:tcBorders>
            <w:vAlign w:val="center"/>
          </w:tcPr>
          <w:p w14:paraId="023856C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Poland</w:t>
            </w:r>
          </w:p>
        </w:tc>
        <w:tc>
          <w:tcPr>
            <w:tcW w:w="2183" w:type="dxa"/>
            <w:tcBorders>
              <w:top w:val="nil"/>
              <w:left w:val="nil"/>
              <w:bottom w:val="nil"/>
              <w:right w:val="nil"/>
            </w:tcBorders>
            <w:vAlign w:val="center"/>
          </w:tcPr>
          <w:p w14:paraId="466656A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0.841</w:t>
            </w:r>
          </w:p>
        </w:tc>
        <w:tc>
          <w:tcPr>
            <w:tcW w:w="1975" w:type="dxa"/>
            <w:tcBorders>
              <w:top w:val="nil"/>
              <w:left w:val="nil"/>
              <w:bottom w:val="nil"/>
              <w:right w:val="nil"/>
            </w:tcBorders>
            <w:vAlign w:val="center"/>
          </w:tcPr>
          <w:p w14:paraId="5F1630C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0.820</w:t>
            </w:r>
          </w:p>
        </w:tc>
        <w:tc>
          <w:tcPr>
            <w:tcW w:w="2032" w:type="dxa"/>
            <w:tcBorders>
              <w:top w:val="nil"/>
              <w:left w:val="nil"/>
              <w:bottom w:val="nil"/>
              <w:right w:val="nil"/>
            </w:tcBorders>
            <w:vAlign w:val="center"/>
          </w:tcPr>
          <w:p w14:paraId="7159844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0.820</w:t>
            </w:r>
          </w:p>
        </w:tc>
      </w:tr>
      <w:tr w:rsidR="00173478" w:rsidRPr="008E28A6" w14:paraId="2378C5DA" w14:textId="77777777" w:rsidTr="00FA3D25">
        <w:trPr>
          <w:trHeight w:val="248"/>
          <w:jc w:val="center"/>
        </w:trPr>
        <w:tc>
          <w:tcPr>
            <w:tcW w:w="3449" w:type="dxa"/>
            <w:tcBorders>
              <w:top w:val="nil"/>
              <w:left w:val="nil"/>
              <w:bottom w:val="nil"/>
              <w:right w:val="nil"/>
            </w:tcBorders>
            <w:vAlign w:val="center"/>
          </w:tcPr>
          <w:p w14:paraId="5C2F4D4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Portugal</w:t>
            </w:r>
          </w:p>
        </w:tc>
        <w:tc>
          <w:tcPr>
            <w:tcW w:w="2183" w:type="dxa"/>
            <w:tcBorders>
              <w:top w:val="nil"/>
              <w:left w:val="nil"/>
              <w:bottom w:val="nil"/>
              <w:right w:val="nil"/>
            </w:tcBorders>
            <w:vAlign w:val="center"/>
          </w:tcPr>
          <w:p w14:paraId="1DB42D2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0.392</w:t>
            </w:r>
          </w:p>
        </w:tc>
        <w:tc>
          <w:tcPr>
            <w:tcW w:w="1975" w:type="dxa"/>
            <w:tcBorders>
              <w:top w:val="nil"/>
              <w:left w:val="nil"/>
              <w:bottom w:val="nil"/>
              <w:right w:val="nil"/>
            </w:tcBorders>
            <w:vAlign w:val="center"/>
          </w:tcPr>
          <w:p w14:paraId="2434156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0.382</w:t>
            </w:r>
          </w:p>
        </w:tc>
        <w:tc>
          <w:tcPr>
            <w:tcW w:w="2032" w:type="dxa"/>
            <w:tcBorders>
              <w:top w:val="nil"/>
              <w:left w:val="nil"/>
              <w:bottom w:val="nil"/>
              <w:right w:val="nil"/>
            </w:tcBorders>
            <w:vAlign w:val="center"/>
          </w:tcPr>
          <w:p w14:paraId="7D25855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0.382</w:t>
            </w:r>
          </w:p>
        </w:tc>
      </w:tr>
      <w:tr w:rsidR="00173478" w:rsidRPr="008E28A6" w14:paraId="442523CA" w14:textId="77777777" w:rsidTr="00FA3D25">
        <w:trPr>
          <w:trHeight w:val="248"/>
          <w:jc w:val="center"/>
        </w:trPr>
        <w:tc>
          <w:tcPr>
            <w:tcW w:w="3449" w:type="dxa"/>
            <w:tcBorders>
              <w:top w:val="nil"/>
              <w:left w:val="nil"/>
              <w:bottom w:val="nil"/>
              <w:right w:val="nil"/>
            </w:tcBorders>
            <w:vAlign w:val="center"/>
          </w:tcPr>
          <w:p w14:paraId="6B4B0A0B"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Qatar</w:t>
            </w:r>
          </w:p>
        </w:tc>
        <w:tc>
          <w:tcPr>
            <w:tcW w:w="2183" w:type="dxa"/>
            <w:tcBorders>
              <w:top w:val="nil"/>
              <w:left w:val="nil"/>
              <w:bottom w:val="nil"/>
              <w:right w:val="nil"/>
            </w:tcBorders>
            <w:vAlign w:val="center"/>
          </w:tcPr>
          <w:p w14:paraId="38CD3DA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0.269</w:t>
            </w:r>
          </w:p>
        </w:tc>
        <w:tc>
          <w:tcPr>
            <w:tcW w:w="1975" w:type="dxa"/>
            <w:tcBorders>
              <w:top w:val="nil"/>
              <w:left w:val="nil"/>
              <w:bottom w:val="nil"/>
              <w:right w:val="nil"/>
            </w:tcBorders>
            <w:vAlign w:val="center"/>
          </w:tcPr>
          <w:p w14:paraId="34C2509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0.262</w:t>
            </w:r>
          </w:p>
        </w:tc>
        <w:tc>
          <w:tcPr>
            <w:tcW w:w="2032" w:type="dxa"/>
            <w:tcBorders>
              <w:top w:val="nil"/>
              <w:left w:val="nil"/>
              <w:bottom w:val="nil"/>
              <w:right w:val="nil"/>
            </w:tcBorders>
            <w:vAlign w:val="center"/>
          </w:tcPr>
          <w:p w14:paraId="1D9A511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0.262</w:t>
            </w:r>
          </w:p>
        </w:tc>
      </w:tr>
      <w:tr w:rsidR="00173478" w:rsidRPr="008E28A6" w14:paraId="4DBFFCED" w14:textId="77777777" w:rsidTr="00FA3D25">
        <w:trPr>
          <w:trHeight w:val="248"/>
          <w:jc w:val="center"/>
        </w:trPr>
        <w:tc>
          <w:tcPr>
            <w:tcW w:w="3449" w:type="dxa"/>
            <w:tcBorders>
              <w:top w:val="nil"/>
              <w:left w:val="nil"/>
              <w:bottom w:val="nil"/>
              <w:right w:val="nil"/>
            </w:tcBorders>
            <w:vAlign w:val="center"/>
          </w:tcPr>
          <w:p w14:paraId="5FDAC6B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Republic of Korea</w:t>
            </w:r>
          </w:p>
        </w:tc>
        <w:tc>
          <w:tcPr>
            <w:tcW w:w="2183" w:type="dxa"/>
            <w:tcBorders>
              <w:top w:val="nil"/>
              <w:left w:val="nil"/>
              <w:bottom w:val="nil"/>
              <w:right w:val="nil"/>
            </w:tcBorders>
            <w:vAlign w:val="center"/>
          </w:tcPr>
          <w:p w14:paraId="6706152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2.039</w:t>
            </w:r>
          </w:p>
        </w:tc>
        <w:tc>
          <w:tcPr>
            <w:tcW w:w="1975" w:type="dxa"/>
            <w:tcBorders>
              <w:top w:val="nil"/>
              <w:left w:val="nil"/>
              <w:bottom w:val="nil"/>
              <w:right w:val="nil"/>
            </w:tcBorders>
            <w:vAlign w:val="center"/>
          </w:tcPr>
          <w:p w14:paraId="6F66354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1.988</w:t>
            </w:r>
          </w:p>
        </w:tc>
        <w:tc>
          <w:tcPr>
            <w:tcW w:w="2032" w:type="dxa"/>
            <w:tcBorders>
              <w:top w:val="nil"/>
              <w:left w:val="nil"/>
              <w:bottom w:val="nil"/>
              <w:right w:val="nil"/>
            </w:tcBorders>
            <w:vAlign w:val="center"/>
          </w:tcPr>
          <w:p w14:paraId="3F1618B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1.988</w:t>
            </w:r>
          </w:p>
        </w:tc>
      </w:tr>
      <w:tr w:rsidR="00173478" w:rsidRPr="008E28A6" w14:paraId="450F72BF" w14:textId="77777777" w:rsidTr="00FA3D25">
        <w:trPr>
          <w:trHeight w:val="248"/>
          <w:jc w:val="center"/>
        </w:trPr>
        <w:tc>
          <w:tcPr>
            <w:tcW w:w="3449" w:type="dxa"/>
            <w:tcBorders>
              <w:top w:val="nil"/>
              <w:left w:val="nil"/>
              <w:bottom w:val="nil"/>
              <w:right w:val="nil"/>
            </w:tcBorders>
            <w:vAlign w:val="center"/>
          </w:tcPr>
          <w:p w14:paraId="5956EA03" w14:textId="77777777" w:rsidR="00173478" w:rsidRPr="008E28A6" w:rsidRDefault="00173478" w:rsidP="00173478">
            <w:pPr>
              <w:suppressAutoHyphens w:val="0"/>
              <w:spacing w:line="240" w:lineRule="auto"/>
              <w:ind w:left="360" w:hanging="360"/>
              <w:rPr>
                <w:rFonts w:eastAsia="MS Mincho"/>
                <w:color w:val="000000"/>
                <w:sz w:val="18"/>
                <w:szCs w:val="18"/>
                <w:lang w:eastAsia="de-DE"/>
              </w:rPr>
            </w:pPr>
            <w:r w:rsidRPr="008E28A6">
              <w:rPr>
                <w:rFonts w:eastAsia="MS Mincho"/>
                <w:color w:val="000000"/>
                <w:sz w:val="18"/>
                <w:szCs w:val="18"/>
                <w:lang w:eastAsia="de-DE"/>
              </w:rPr>
              <w:t>Republic of Moldova</w:t>
            </w:r>
          </w:p>
        </w:tc>
        <w:tc>
          <w:tcPr>
            <w:tcW w:w="2183" w:type="dxa"/>
            <w:tcBorders>
              <w:top w:val="nil"/>
              <w:left w:val="nil"/>
              <w:bottom w:val="nil"/>
              <w:right w:val="nil"/>
            </w:tcBorders>
            <w:vAlign w:val="center"/>
          </w:tcPr>
          <w:p w14:paraId="765C4DB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nil"/>
              <w:right w:val="nil"/>
            </w:tcBorders>
            <w:vAlign w:val="center"/>
          </w:tcPr>
          <w:p w14:paraId="4E1ED43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nil"/>
              <w:right w:val="nil"/>
            </w:tcBorders>
            <w:vAlign w:val="center"/>
          </w:tcPr>
          <w:p w14:paraId="0FBF9DA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73CA5BA5" w14:textId="77777777" w:rsidTr="00FA3D25">
        <w:trPr>
          <w:trHeight w:val="248"/>
          <w:jc w:val="center"/>
        </w:trPr>
        <w:tc>
          <w:tcPr>
            <w:tcW w:w="3449" w:type="dxa"/>
            <w:tcBorders>
              <w:top w:val="nil"/>
              <w:left w:val="nil"/>
              <w:bottom w:val="nil"/>
              <w:right w:val="nil"/>
            </w:tcBorders>
            <w:vAlign w:val="center"/>
          </w:tcPr>
          <w:p w14:paraId="7CB1DEE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Romania</w:t>
            </w:r>
          </w:p>
        </w:tc>
        <w:tc>
          <w:tcPr>
            <w:tcW w:w="2183" w:type="dxa"/>
            <w:tcBorders>
              <w:top w:val="nil"/>
              <w:left w:val="nil"/>
              <w:bottom w:val="nil"/>
              <w:right w:val="nil"/>
            </w:tcBorders>
            <w:vAlign w:val="center"/>
          </w:tcPr>
          <w:p w14:paraId="4EC0413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0.184</w:t>
            </w:r>
          </w:p>
        </w:tc>
        <w:tc>
          <w:tcPr>
            <w:tcW w:w="1975" w:type="dxa"/>
            <w:tcBorders>
              <w:top w:val="nil"/>
              <w:left w:val="nil"/>
              <w:bottom w:val="nil"/>
              <w:right w:val="nil"/>
            </w:tcBorders>
            <w:vAlign w:val="center"/>
          </w:tcPr>
          <w:p w14:paraId="4093C9C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0.179</w:t>
            </w:r>
          </w:p>
        </w:tc>
        <w:tc>
          <w:tcPr>
            <w:tcW w:w="2032" w:type="dxa"/>
            <w:tcBorders>
              <w:top w:val="nil"/>
              <w:left w:val="nil"/>
              <w:bottom w:val="nil"/>
              <w:right w:val="nil"/>
            </w:tcBorders>
            <w:vAlign w:val="center"/>
          </w:tcPr>
          <w:p w14:paraId="00AFCFF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0.179</w:t>
            </w:r>
          </w:p>
        </w:tc>
      </w:tr>
      <w:tr w:rsidR="00173478" w:rsidRPr="008E28A6" w14:paraId="24FEA3A6" w14:textId="77777777" w:rsidTr="00FA3D25">
        <w:trPr>
          <w:trHeight w:val="248"/>
          <w:jc w:val="center"/>
        </w:trPr>
        <w:tc>
          <w:tcPr>
            <w:tcW w:w="3449" w:type="dxa"/>
            <w:tcBorders>
              <w:top w:val="nil"/>
              <w:left w:val="nil"/>
              <w:bottom w:val="nil"/>
              <w:right w:val="nil"/>
            </w:tcBorders>
            <w:vAlign w:val="center"/>
          </w:tcPr>
          <w:p w14:paraId="352AC12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Russian Federation</w:t>
            </w:r>
          </w:p>
        </w:tc>
        <w:tc>
          <w:tcPr>
            <w:tcW w:w="2183" w:type="dxa"/>
            <w:tcBorders>
              <w:top w:val="nil"/>
              <w:left w:val="nil"/>
              <w:bottom w:val="nil"/>
              <w:right w:val="nil"/>
            </w:tcBorders>
            <w:vAlign w:val="center"/>
          </w:tcPr>
          <w:p w14:paraId="443FDB7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3.088</w:t>
            </w:r>
          </w:p>
        </w:tc>
        <w:tc>
          <w:tcPr>
            <w:tcW w:w="1975" w:type="dxa"/>
            <w:tcBorders>
              <w:top w:val="nil"/>
              <w:left w:val="nil"/>
              <w:bottom w:val="nil"/>
              <w:right w:val="nil"/>
            </w:tcBorders>
            <w:vAlign w:val="center"/>
          </w:tcPr>
          <w:p w14:paraId="60D435B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3.011</w:t>
            </w:r>
          </w:p>
        </w:tc>
        <w:tc>
          <w:tcPr>
            <w:tcW w:w="2032" w:type="dxa"/>
            <w:tcBorders>
              <w:top w:val="nil"/>
              <w:left w:val="nil"/>
              <w:bottom w:val="nil"/>
              <w:right w:val="nil"/>
            </w:tcBorders>
            <w:vAlign w:val="center"/>
          </w:tcPr>
          <w:p w14:paraId="481D3EC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3.011</w:t>
            </w:r>
          </w:p>
        </w:tc>
      </w:tr>
      <w:tr w:rsidR="00173478" w:rsidRPr="008E28A6" w14:paraId="73CB49BC" w14:textId="77777777" w:rsidTr="00FA3D25">
        <w:trPr>
          <w:trHeight w:val="248"/>
          <w:jc w:val="center"/>
        </w:trPr>
        <w:tc>
          <w:tcPr>
            <w:tcW w:w="3449" w:type="dxa"/>
            <w:tcBorders>
              <w:top w:val="nil"/>
              <w:left w:val="nil"/>
              <w:bottom w:val="nil"/>
              <w:right w:val="nil"/>
            </w:tcBorders>
            <w:vAlign w:val="center"/>
          </w:tcPr>
          <w:p w14:paraId="57D8F01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Rwanda</w:t>
            </w:r>
          </w:p>
        </w:tc>
        <w:tc>
          <w:tcPr>
            <w:tcW w:w="2183" w:type="dxa"/>
            <w:tcBorders>
              <w:top w:val="nil"/>
              <w:left w:val="nil"/>
              <w:bottom w:val="nil"/>
              <w:right w:val="nil"/>
            </w:tcBorders>
            <w:vAlign w:val="center"/>
          </w:tcPr>
          <w:p w14:paraId="387FABE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14F3697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5921767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618BDD16" w14:textId="77777777" w:rsidTr="00FA3D25">
        <w:trPr>
          <w:trHeight w:val="248"/>
          <w:jc w:val="center"/>
        </w:trPr>
        <w:tc>
          <w:tcPr>
            <w:tcW w:w="3449" w:type="dxa"/>
            <w:tcBorders>
              <w:top w:val="nil"/>
              <w:left w:val="nil"/>
              <w:bottom w:val="nil"/>
              <w:right w:val="nil"/>
            </w:tcBorders>
            <w:vAlign w:val="center"/>
          </w:tcPr>
          <w:p w14:paraId="58D8B79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Saint Kitts and Nevis</w:t>
            </w:r>
          </w:p>
        </w:tc>
        <w:tc>
          <w:tcPr>
            <w:tcW w:w="2183" w:type="dxa"/>
            <w:tcBorders>
              <w:top w:val="nil"/>
              <w:left w:val="nil"/>
              <w:bottom w:val="nil"/>
              <w:right w:val="nil"/>
            </w:tcBorders>
            <w:vAlign w:val="center"/>
          </w:tcPr>
          <w:p w14:paraId="0D0722B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65CAEB8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34BA138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25CB2B0" w14:textId="77777777" w:rsidTr="00FA3D25">
        <w:trPr>
          <w:trHeight w:val="248"/>
          <w:jc w:val="center"/>
        </w:trPr>
        <w:tc>
          <w:tcPr>
            <w:tcW w:w="3449" w:type="dxa"/>
            <w:tcBorders>
              <w:top w:val="nil"/>
              <w:left w:val="nil"/>
              <w:bottom w:val="nil"/>
              <w:right w:val="nil"/>
            </w:tcBorders>
            <w:vAlign w:val="center"/>
          </w:tcPr>
          <w:p w14:paraId="4DAD73E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Saint Lucia</w:t>
            </w:r>
          </w:p>
        </w:tc>
        <w:tc>
          <w:tcPr>
            <w:tcW w:w="2183" w:type="dxa"/>
            <w:tcBorders>
              <w:top w:val="nil"/>
              <w:left w:val="nil"/>
              <w:bottom w:val="nil"/>
              <w:right w:val="nil"/>
            </w:tcBorders>
            <w:vAlign w:val="center"/>
          </w:tcPr>
          <w:p w14:paraId="12452A4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0272F3A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0EFB1B8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EC78170" w14:textId="77777777" w:rsidTr="00FA3D25">
        <w:trPr>
          <w:trHeight w:val="248"/>
          <w:jc w:val="center"/>
        </w:trPr>
        <w:tc>
          <w:tcPr>
            <w:tcW w:w="3449" w:type="dxa"/>
            <w:tcBorders>
              <w:top w:val="nil"/>
              <w:left w:val="nil"/>
              <w:bottom w:val="nil"/>
              <w:right w:val="nil"/>
            </w:tcBorders>
            <w:vAlign w:val="center"/>
          </w:tcPr>
          <w:p w14:paraId="493FD8D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Saint Vincent and the Grenadines</w:t>
            </w:r>
          </w:p>
        </w:tc>
        <w:tc>
          <w:tcPr>
            <w:tcW w:w="2183" w:type="dxa"/>
            <w:tcBorders>
              <w:top w:val="nil"/>
              <w:left w:val="nil"/>
              <w:bottom w:val="nil"/>
              <w:right w:val="nil"/>
            </w:tcBorders>
            <w:vAlign w:val="center"/>
          </w:tcPr>
          <w:p w14:paraId="316E6DD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7478EB1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5DDF68E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6CCD9D3F" w14:textId="77777777" w:rsidTr="00FA3D25">
        <w:trPr>
          <w:trHeight w:val="248"/>
          <w:jc w:val="center"/>
        </w:trPr>
        <w:tc>
          <w:tcPr>
            <w:tcW w:w="3449" w:type="dxa"/>
            <w:tcBorders>
              <w:top w:val="nil"/>
              <w:left w:val="nil"/>
              <w:bottom w:val="nil"/>
              <w:right w:val="nil"/>
            </w:tcBorders>
            <w:vAlign w:val="center"/>
          </w:tcPr>
          <w:p w14:paraId="26BD8FA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Samoa</w:t>
            </w:r>
          </w:p>
        </w:tc>
        <w:tc>
          <w:tcPr>
            <w:tcW w:w="2183" w:type="dxa"/>
            <w:tcBorders>
              <w:top w:val="nil"/>
              <w:left w:val="nil"/>
              <w:bottom w:val="nil"/>
              <w:right w:val="nil"/>
            </w:tcBorders>
            <w:vAlign w:val="center"/>
          </w:tcPr>
          <w:p w14:paraId="513C33E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0DA0475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58DE8CD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6C4FCC15" w14:textId="77777777" w:rsidTr="00FA3D25">
        <w:trPr>
          <w:trHeight w:val="248"/>
          <w:jc w:val="center"/>
        </w:trPr>
        <w:tc>
          <w:tcPr>
            <w:tcW w:w="3449" w:type="dxa"/>
            <w:tcBorders>
              <w:top w:val="nil"/>
              <w:left w:val="nil"/>
              <w:bottom w:val="nil"/>
              <w:right w:val="nil"/>
            </w:tcBorders>
            <w:vAlign w:val="center"/>
          </w:tcPr>
          <w:p w14:paraId="271659D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San Marino</w:t>
            </w:r>
          </w:p>
        </w:tc>
        <w:tc>
          <w:tcPr>
            <w:tcW w:w="2183" w:type="dxa"/>
            <w:tcBorders>
              <w:top w:val="nil"/>
              <w:left w:val="nil"/>
              <w:bottom w:val="nil"/>
              <w:right w:val="nil"/>
            </w:tcBorders>
            <w:vAlign w:val="center"/>
          </w:tcPr>
          <w:p w14:paraId="1F828DB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6E8366D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420C48C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3802AE55" w14:textId="77777777" w:rsidTr="00FA3D25">
        <w:trPr>
          <w:trHeight w:val="248"/>
          <w:jc w:val="center"/>
        </w:trPr>
        <w:tc>
          <w:tcPr>
            <w:tcW w:w="3449" w:type="dxa"/>
            <w:tcBorders>
              <w:top w:val="nil"/>
              <w:left w:val="nil"/>
              <w:bottom w:val="nil"/>
              <w:right w:val="nil"/>
            </w:tcBorders>
            <w:vAlign w:val="center"/>
          </w:tcPr>
          <w:p w14:paraId="4C5535C4"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Sao Tome and Principe</w:t>
            </w:r>
          </w:p>
        </w:tc>
        <w:tc>
          <w:tcPr>
            <w:tcW w:w="2183" w:type="dxa"/>
            <w:tcBorders>
              <w:top w:val="nil"/>
              <w:left w:val="nil"/>
              <w:bottom w:val="nil"/>
              <w:right w:val="nil"/>
            </w:tcBorders>
            <w:vAlign w:val="center"/>
          </w:tcPr>
          <w:p w14:paraId="7BFC8F0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2307A57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7763500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AA653C8" w14:textId="77777777" w:rsidTr="00FA3D25">
        <w:trPr>
          <w:trHeight w:val="248"/>
          <w:jc w:val="center"/>
        </w:trPr>
        <w:tc>
          <w:tcPr>
            <w:tcW w:w="3449" w:type="dxa"/>
            <w:tcBorders>
              <w:top w:val="nil"/>
              <w:left w:val="nil"/>
              <w:bottom w:val="nil"/>
              <w:right w:val="nil"/>
            </w:tcBorders>
            <w:vAlign w:val="center"/>
          </w:tcPr>
          <w:p w14:paraId="59E6C1E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Saudi Arabia</w:t>
            </w:r>
          </w:p>
        </w:tc>
        <w:tc>
          <w:tcPr>
            <w:tcW w:w="2183" w:type="dxa"/>
            <w:tcBorders>
              <w:top w:val="nil"/>
              <w:left w:val="nil"/>
              <w:bottom w:val="nil"/>
              <w:right w:val="nil"/>
            </w:tcBorders>
            <w:vAlign w:val="center"/>
          </w:tcPr>
          <w:p w14:paraId="04AA932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1.146</w:t>
            </w:r>
          </w:p>
        </w:tc>
        <w:tc>
          <w:tcPr>
            <w:tcW w:w="1975" w:type="dxa"/>
            <w:tcBorders>
              <w:top w:val="nil"/>
              <w:left w:val="nil"/>
              <w:bottom w:val="nil"/>
              <w:right w:val="nil"/>
            </w:tcBorders>
            <w:vAlign w:val="center"/>
          </w:tcPr>
          <w:p w14:paraId="1EDB911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1.117</w:t>
            </w:r>
          </w:p>
        </w:tc>
        <w:tc>
          <w:tcPr>
            <w:tcW w:w="2032" w:type="dxa"/>
            <w:tcBorders>
              <w:top w:val="nil"/>
              <w:left w:val="nil"/>
              <w:bottom w:val="nil"/>
              <w:right w:val="nil"/>
            </w:tcBorders>
            <w:vAlign w:val="center"/>
          </w:tcPr>
          <w:p w14:paraId="6859DDF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1.117</w:t>
            </w:r>
          </w:p>
        </w:tc>
      </w:tr>
      <w:tr w:rsidR="00173478" w:rsidRPr="008E28A6" w14:paraId="3FA28610" w14:textId="77777777" w:rsidTr="00FA3D25">
        <w:trPr>
          <w:trHeight w:val="248"/>
          <w:jc w:val="center"/>
        </w:trPr>
        <w:tc>
          <w:tcPr>
            <w:tcW w:w="3449" w:type="dxa"/>
            <w:tcBorders>
              <w:top w:val="nil"/>
              <w:left w:val="nil"/>
              <w:bottom w:val="nil"/>
              <w:right w:val="nil"/>
            </w:tcBorders>
            <w:vAlign w:val="center"/>
          </w:tcPr>
          <w:p w14:paraId="39E8F8D2"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Senegal</w:t>
            </w:r>
          </w:p>
        </w:tc>
        <w:tc>
          <w:tcPr>
            <w:tcW w:w="2183" w:type="dxa"/>
            <w:tcBorders>
              <w:top w:val="nil"/>
              <w:left w:val="nil"/>
              <w:bottom w:val="nil"/>
              <w:right w:val="nil"/>
            </w:tcBorders>
            <w:vAlign w:val="center"/>
          </w:tcPr>
          <w:p w14:paraId="399E6FF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c>
          <w:tcPr>
            <w:tcW w:w="1975" w:type="dxa"/>
            <w:tcBorders>
              <w:top w:val="nil"/>
              <w:left w:val="nil"/>
              <w:bottom w:val="nil"/>
              <w:right w:val="nil"/>
            </w:tcBorders>
            <w:vAlign w:val="center"/>
          </w:tcPr>
          <w:p w14:paraId="0E3A7B9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c>
          <w:tcPr>
            <w:tcW w:w="2032" w:type="dxa"/>
            <w:tcBorders>
              <w:top w:val="nil"/>
              <w:left w:val="nil"/>
              <w:bottom w:val="nil"/>
              <w:right w:val="nil"/>
            </w:tcBorders>
            <w:vAlign w:val="center"/>
          </w:tcPr>
          <w:p w14:paraId="74A3814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0.005</w:t>
            </w:r>
          </w:p>
        </w:tc>
      </w:tr>
      <w:tr w:rsidR="00173478" w:rsidRPr="008E28A6" w14:paraId="32400E26" w14:textId="77777777" w:rsidTr="00FA3D25">
        <w:trPr>
          <w:trHeight w:val="248"/>
          <w:jc w:val="center"/>
        </w:trPr>
        <w:tc>
          <w:tcPr>
            <w:tcW w:w="3449" w:type="dxa"/>
            <w:tcBorders>
              <w:top w:val="nil"/>
              <w:left w:val="nil"/>
              <w:bottom w:val="nil"/>
              <w:right w:val="nil"/>
            </w:tcBorders>
            <w:vAlign w:val="center"/>
          </w:tcPr>
          <w:p w14:paraId="58FDD992"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Serbia</w:t>
            </w:r>
          </w:p>
        </w:tc>
        <w:tc>
          <w:tcPr>
            <w:tcW w:w="2183" w:type="dxa"/>
            <w:tcBorders>
              <w:top w:val="nil"/>
              <w:left w:val="nil"/>
              <w:bottom w:val="nil"/>
              <w:right w:val="nil"/>
            </w:tcBorders>
            <w:vAlign w:val="center"/>
          </w:tcPr>
          <w:p w14:paraId="1D90940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0.032</w:t>
            </w:r>
          </w:p>
        </w:tc>
        <w:tc>
          <w:tcPr>
            <w:tcW w:w="1975" w:type="dxa"/>
            <w:tcBorders>
              <w:top w:val="nil"/>
              <w:left w:val="nil"/>
              <w:bottom w:val="nil"/>
              <w:right w:val="nil"/>
            </w:tcBorders>
            <w:vAlign w:val="center"/>
          </w:tcPr>
          <w:p w14:paraId="4E8A954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0.031</w:t>
            </w:r>
          </w:p>
        </w:tc>
        <w:tc>
          <w:tcPr>
            <w:tcW w:w="2032" w:type="dxa"/>
            <w:tcBorders>
              <w:top w:val="nil"/>
              <w:left w:val="nil"/>
              <w:bottom w:val="nil"/>
              <w:right w:val="nil"/>
            </w:tcBorders>
            <w:vAlign w:val="center"/>
          </w:tcPr>
          <w:p w14:paraId="358E61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0.031</w:t>
            </w:r>
          </w:p>
        </w:tc>
      </w:tr>
      <w:tr w:rsidR="00173478" w:rsidRPr="008E28A6" w14:paraId="7F8977CE" w14:textId="77777777" w:rsidTr="00FA3D25">
        <w:trPr>
          <w:trHeight w:val="248"/>
          <w:jc w:val="center"/>
        </w:trPr>
        <w:tc>
          <w:tcPr>
            <w:tcW w:w="3449" w:type="dxa"/>
            <w:tcBorders>
              <w:top w:val="nil"/>
              <w:left w:val="nil"/>
              <w:bottom w:val="nil"/>
              <w:right w:val="nil"/>
            </w:tcBorders>
            <w:vAlign w:val="center"/>
          </w:tcPr>
          <w:p w14:paraId="5E6B91A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Seychelles</w:t>
            </w:r>
          </w:p>
        </w:tc>
        <w:tc>
          <w:tcPr>
            <w:tcW w:w="2183" w:type="dxa"/>
            <w:tcBorders>
              <w:top w:val="nil"/>
              <w:left w:val="nil"/>
              <w:bottom w:val="nil"/>
              <w:right w:val="nil"/>
            </w:tcBorders>
            <w:vAlign w:val="center"/>
          </w:tcPr>
          <w:p w14:paraId="5FC0C42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01322DB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7D1090A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45A9F815" w14:textId="77777777" w:rsidTr="00FA3D25">
        <w:trPr>
          <w:trHeight w:val="248"/>
          <w:jc w:val="center"/>
        </w:trPr>
        <w:tc>
          <w:tcPr>
            <w:tcW w:w="3449" w:type="dxa"/>
            <w:tcBorders>
              <w:top w:val="nil"/>
              <w:left w:val="nil"/>
              <w:bottom w:val="nil"/>
              <w:right w:val="nil"/>
            </w:tcBorders>
            <w:vAlign w:val="center"/>
          </w:tcPr>
          <w:p w14:paraId="57C6273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lastRenderedPageBreak/>
              <w:t>Sierra Leone</w:t>
            </w:r>
          </w:p>
        </w:tc>
        <w:tc>
          <w:tcPr>
            <w:tcW w:w="2183" w:type="dxa"/>
            <w:tcBorders>
              <w:top w:val="nil"/>
              <w:left w:val="nil"/>
              <w:bottom w:val="nil"/>
              <w:right w:val="nil"/>
            </w:tcBorders>
            <w:vAlign w:val="center"/>
          </w:tcPr>
          <w:p w14:paraId="67DBAC9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717A0D5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725F1B5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17BD8F4F" w14:textId="77777777" w:rsidTr="00FA3D25">
        <w:trPr>
          <w:trHeight w:val="248"/>
          <w:jc w:val="center"/>
        </w:trPr>
        <w:tc>
          <w:tcPr>
            <w:tcW w:w="3449" w:type="dxa"/>
            <w:tcBorders>
              <w:top w:val="nil"/>
              <w:left w:val="nil"/>
              <w:bottom w:val="nil"/>
              <w:right w:val="nil"/>
            </w:tcBorders>
            <w:vAlign w:val="center"/>
          </w:tcPr>
          <w:p w14:paraId="249F1F1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Singapore</w:t>
            </w:r>
          </w:p>
        </w:tc>
        <w:tc>
          <w:tcPr>
            <w:tcW w:w="2183" w:type="dxa"/>
            <w:tcBorders>
              <w:top w:val="nil"/>
              <w:left w:val="nil"/>
              <w:bottom w:val="nil"/>
              <w:right w:val="nil"/>
            </w:tcBorders>
            <w:vAlign w:val="center"/>
          </w:tcPr>
          <w:p w14:paraId="07795B1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0.447</w:t>
            </w:r>
          </w:p>
        </w:tc>
        <w:tc>
          <w:tcPr>
            <w:tcW w:w="1975" w:type="dxa"/>
            <w:tcBorders>
              <w:top w:val="nil"/>
              <w:left w:val="nil"/>
              <w:bottom w:val="nil"/>
              <w:right w:val="nil"/>
            </w:tcBorders>
            <w:vAlign w:val="center"/>
          </w:tcPr>
          <w:p w14:paraId="55A7C2F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0.436</w:t>
            </w:r>
          </w:p>
        </w:tc>
        <w:tc>
          <w:tcPr>
            <w:tcW w:w="2032" w:type="dxa"/>
            <w:tcBorders>
              <w:top w:val="nil"/>
              <w:left w:val="nil"/>
              <w:bottom w:val="nil"/>
              <w:right w:val="nil"/>
            </w:tcBorders>
            <w:vAlign w:val="center"/>
          </w:tcPr>
          <w:p w14:paraId="1FEE65A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0.436</w:t>
            </w:r>
          </w:p>
        </w:tc>
      </w:tr>
      <w:tr w:rsidR="00173478" w:rsidRPr="008E28A6" w14:paraId="237782C3" w14:textId="77777777" w:rsidTr="00FA3D25">
        <w:trPr>
          <w:trHeight w:val="248"/>
          <w:jc w:val="center"/>
        </w:trPr>
        <w:tc>
          <w:tcPr>
            <w:tcW w:w="3449" w:type="dxa"/>
            <w:tcBorders>
              <w:top w:val="nil"/>
              <w:left w:val="nil"/>
              <w:bottom w:val="nil"/>
              <w:right w:val="nil"/>
            </w:tcBorders>
            <w:vAlign w:val="center"/>
          </w:tcPr>
          <w:p w14:paraId="5E2F778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Slovakia</w:t>
            </w:r>
          </w:p>
        </w:tc>
        <w:tc>
          <w:tcPr>
            <w:tcW w:w="2183" w:type="dxa"/>
            <w:tcBorders>
              <w:top w:val="nil"/>
              <w:left w:val="nil"/>
              <w:bottom w:val="nil"/>
              <w:right w:val="nil"/>
            </w:tcBorders>
            <w:vAlign w:val="center"/>
          </w:tcPr>
          <w:p w14:paraId="5E0A62B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0.160</w:t>
            </w:r>
          </w:p>
        </w:tc>
        <w:tc>
          <w:tcPr>
            <w:tcW w:w="1975" w:type="dxa"/>
            <w:tcBorders>
              <w:top w:val="nil"/>
              <w:left w:val="nil"/>
              <w:bottom w:val="nil"/>
              <w:right w:val="nil"/>
            </w:tcBorders>
            <w:vAlign w:val="center"/>
          </w:tcPr>
          <w:p w14:paraId="4F7A086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0.156</w:t>
            </w:r>
          </w:p>
        </w:tc>
        <w:tc>
          <w:tcPr>
            <w:tcW w:w="2032" w:type="dxa"/>
            <w:tcBorders>
              <w:top w:val="nil"/>
              <w:left w:val="nil"/>
              <w:bottom w:val="nil"/>
              <w:right w:val="nil"/>
            </w:tcBorders>
            <w:vAlign w:val="center"/>
          </w:tcPr>
          <w:p w14:paraId="17A1564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0.156</w:t>
            </w:r>
          </w:p>
        </w:tc>
      </w:tr>
      <w:tr w:rsidR="00173478" w:rsidRPr="008E28A6" w14:paraId="23EB43FF" w14:textId="77777777" w:rsidTr="00FA3D25">
        <w:trPr>
          <w:trHeight w:val="248"/>
          <w:jc w:val="center"/>
        </w:trPr>
        <w:tc>
          <w:tcPr>
            <w:tcW w:w="3449" w:type="dxa"/>
            <w:tcBorders>
              <w:top w:val="nil"/>
              <w:left w:val="nil"/>
              <w:bottom w:val="nil"/>
              <w:right w:val="nil"/>
            </w:tcBorders>
            <w:vAlign w:val="center"/>
          </w:tcPr>
          <w:p w14:paraId="3AE049A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Slovenia</w:t>
            </w:r>
          </w:p>
        </w:tc>
        <w:tc>
          <w:tcPr>
            <w:tcW w:w="2183" w:type="dxa"/>
            <w:tcBorders>
              <w:top w:val="nil"/>
              <w:left w:val="nil"/>
              <w:bottom w:val="nil"/>
              <w:right w:val="nil"/>
            </w:tcBorders>
            <w:vAlign w:val="center"/>
          </w:tcPr>
          <w:p w14:paraId="4977860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0.084</w:t>
            </w:r>
          </w:p>
        </w:tc>
        <w:tc>
          <w:tcPr>
            <w:tcW w:w="1975" w:type="dxa"/>
            <w:tcBorders>
              <w:top w:val="nil"/>
              <w:left w:val="nil"/>
              <w:bottom w:val="nil"/>
              <w:right w:val="nil"/>
            </w:tcBorders>
            <w:vAlign w:val="center"/>
          </w:tcPr>
          <w:p w14:paraId="095EABD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0.082</w:t>
            </w:r>
          </w:p>
        </w:tc>
        <w:tc>
          <w:tcPr>
            <w:tcW w:w="2032" w:type="dxa"/>
            <w:tcBorders>
              <w:top w:val="nil"/>
              <w:left w:val="nil"/>
              <w:bottom w:val="nil"/>
              <w:right w:val="nil"/>
            </w:tcBorders>
            <w:vAlign w:val="center"/>
          </w:tcPr>
          <w:p w14:paraId="0FF422E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0.082</w:t>
            </w:r>
          </w:p>
        </w:tc>
      </w:tr>
      <w:tr w:rsidR="00173478" w:rsidRPr="008E28A6" w14:paraId="0CCD22A0" w14:textId="77777777" w:rsidTr="00FA3D25">
        <w:trPr>
          <w:trHeight w:val="248"/>
          <w:jc w:val="center"/>
        </w:trPr>
        <w:tc>
          <w:tcPr>
            <w:tcW w:w="3449" w:type="dxa"/>
            <w:tcBorders>
              <w:top w:val="nil"/>
              <w:left w:val="nil"/>
              <w:bottom w:val="nil"/>
              <w:right w:val="nil"/>
            </w:tcBorders>
            <w:vAlign w:val="center"/>
          </w:tcPr>
          <w:p w14:paraId="139C45D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Solomon Islands</w:t>
            </w:r>
          </w:p>
        </w:tc>
        <w:tc>
          <w:tcPr>
            <w:tcW w:w="2183" w:type="dxa"/>
            <w:tcBorders>
              <w:top w:val="nil"/>
              <w:left w:val="nil"/>
              <w:bottom w:val="nil"/>
              <w:right w:val="nil"/>
            </w:tcBorders>
            <w:vAlign w:val="center"/>
          </w:tcPr>
          <w:p w14:paraId="6D2FDF0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608D24C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21C7E5F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7229A9C9" w14:textId="77777777" w:rsidTr="00FA3D25">
        <w:trPr>
          <w:trHeight w:val="248"/>
          <w:jc w:val="center"/>
        </w:trPr>
        <w:tc>
          <w:tcPr>
            <w:tcW w:w="3449" w:type="dxa"/>
            <w:tcBorders>
              <w:top w:val="nil"/>
              <w:left w:val="nil"/>
              <w:bottom w:val="nil"/>
              <w:right w:val="nil"/>
            </w:tcBorders>
            <w:vAlign w:val="center"/>
          </w:tcPr>
          <w:p w14:paraId="34B5FFF6" w14:textId="77777777" w:rsidR="00173478" w:rsidRPr="008E28A6" w:rsidRDefault="00173478" w:rsidP="00173478">
            <w:pPr>
              <w:suppressAutoHyphens w:val="0"/>
              <w:spacing w:line="240" w:lineRule="auto"/>
              <w:ind w:left="360" w:hanging="360"/>
              <w:rPr>
                <w:rFonts w:eastAsia="MS Mincho"/>
                <w:color w:val="000000"/>
                <w:sz w:val="18"/>
                <w:szCs w:val="18"/>
                <w:lang w:eastAsia="de-DE"/>
              </w:rPr>
            </w:pPr>
            <w:r w:rsidRPr="008E28A6">
              <w:rPr>
                <w:rFonts w:eastAsia="MS Mincho"/>
                <w:color w:val="000000"/>
                <w:sz w:val="18"/>
                <w:szCs w:val="18"/>
                <w:lang w:eastAsia="de-DE"/>
              </w:rPr>
              <w:t>Somalia</w:t>
            </w:r>
          </w:p>
        </w:tc>
        <w:tc>
          <w:tcPr>
            <w:tcW w:w="2183" w:type="dxa"/>
            <w:tcBorders>
              <w:top w:val="nil"/>
              <w:left w:val="nil"/>
              <w:bottom w:val="nil"/>
              <w:right w:val="nil"/>
            </w:tcBorders>
            <w:vAlign w:val="center"/>
          </w:tcPr>
          <w:p w14:paraId="45293DC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5A3505F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3F31BCE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070E0262" w14:textId="77777777" w:rsidTr="00FA3D25">
        <w:trPr>
          <w:trHeight w:val="248"/>
          <w:jc w:val="center"/>
        </w:trPr>
        <w:tc>
          <w:tcPr>
            <w:tcW w:w="3449" w:type="dxa"/>
            <w:tcBorders>
              <w:top w:val="nil"/>
              <w:left w:val="nil"/>
              <w:bottom w:val="nil"/>
              <w:right w:val="nil"/>
            </w:tcBorders>
            <w:vAlign w:val="center"/>
          </w:tcPr>
          <w:p w14:paraId="43636E1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South Africa</w:t>
            </w:r>
          </w:p>
        </w:tc>
        <w:tc>
          <w:tcPr>
            <w:tcW w:w="2183" w:type="dxa"/>
            <w:tcBorders>
              <w:top w:val="nil"/>
              <w:left w:val="nil"/>
              <w:bottom w:val="nil"/>
              <w:right w:val="nil"/>
            </w:tcBorders>
            <w:vAlign w:val="center"/>
          </w:tcPr>
          <w:p w14:paraId="5884568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0.364</w:t>
            </w:r>
          </w:p>
        </w:tc>
        <w:tc>
          <w:tcPr>
            <w:tcW w:w="1975" w:type="dxa"/>
            <w:tcBorders>
              <w:top w:val="nil"/>
              <w:left w:val="nil"/>
              <w:bottom w:val="nil"/>
              <w:right w:val="nil"/>
            </w:tcBorders>
            <w:vAlign w:val="center"/>
          </w:tcPr>
          <w:p w14:paraId="67F86CE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0.355</w:t>
            </w:r>
          </w:p>
        </w:tc>
        <w:tc>
          <w:tcPr>
            <w:tcW w:w="2032" w:type="dxa"/>
            <w:tcBorders>
              <w:top w:val="nil"/>
              <w:left w:val="nil"/>
              <w:bottom w:val="nil"/>
              <w:right w:val="nil"/>
            </w:tcBorders>
            <w:vAlign w:val="center"/>
          </w:tcPr>
          <w:p w14:paraId="4075ECE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0.355</w:t>
            </w:r>
          </w:p>
        </w:tc>
      </w:tr>
      <w:tr w:rsidR="00173478" w:rsidRPr="008E28A6" w14:paraId="64221C43" w14:textId="77777777" w:rsidTr="00FA3D25">
        <w:trPr>
          <w:trHeight w:val="248"/>
          <w:jc w:val="center"/>
        </w:trPr>
        <w:tc>
          <w:tcPr>
            <w:tcW w:w="3449" w:type="dxa"/>
            <w:tcBorders>
              <w:top w:val="nil"/>
              <w:left w:val="nil"/>
              <w:bottom w:val="nil"/>
              <w:right w:val="nil"/>
            </w:tcBorders>
            <w:vAlign w:val="center"/>
          </w:tcPr>
          <w:p w14:paraId="3F7E2060" w14:textId="77777777" w:rsidR="00173478" w:rsidRPr="008E28A6" w:rsidRDefault="00173478" w:rsidP="00173478">
            <w:pPr>
              <w:suppressAutoHyphens w:val="0"/>
              <w:spacing w:line="240" w:lineRule="auto"/>
              <w:ind w:left="360" w:hanging="360"/>
              <w:rPr>
                <w:rFonts w:eastAsia="MS Mincho"/>
                <w:color w:val="000000"/>
                <w:sz w:val="18"/>
                <w:szCs w:val="18"/>
                <w:lang w:eastAsia="de-DE"/>
              </w:rPr>
            </w:pPr>
            <w:r w:rsidRPr="008E28A6">
              <w:rPr>
                <w:rFonts w:eastAsia="MS Mincho"/>
                <w:color w:val="000000"/>
                <w:sz w:val="18"/>
                <w:szCs w:val="18"/>
                <w:lang w:eastAsia="de-DE"/>
              </w:rPr>
              <w:t>South Sudan</w:t>
            </w:r>
          </w:p>
        </w:tc>
        <w:tc>
          <w:tcPr>
            <w:tcW w:w="2183" w:type="dxa"/>
            <w:tcBorders>
              <w:top w:val="nil"/>
              <w:left w:val="nil"/>
              <w:bottom w:val="nil"/>
              <w:right w:val="nil"/>
            </w:tcBorders>
            <w:vAlign w:val="center"/>
          </w:tcPr>
          <w:p w14:paraId="64ACD43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555758C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12F535E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3C998C5C" w14:textId="77777777" w:rsidTr="00FA3D25">
        <w:trPr>
          <w:trHeight w:val="248"/>
          <w:jc w:val="center"/>
        </w:trPr>
        <w:tc>
          <w:tcPr>
            <w:tcW w:w="3449" w:type="dxa"/>
            <w:tcBorders>
              <w:top w:val="nil"/>
              <w:left w:val="nil"/>
              <w:bottom w:val="nil"/>
              <w:right w:val="nil"/>
            </w:tcBorders>
            <w:vAlign w:val="center"/>
          </w:tcPr>
          <w:p w14:paraId="0BA3106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Spain</w:t>
            </w:r>
          </w:p>
        </w:tc>
        <w:tc>
          <w:tcPr>
            <w:tcW w:w="2183" w:type="dxa"/>
            <w:tcBorders>
              <w:top w:val="nil"/>
              <w:left w:val="nil"/>
              <w:bottom w:val="nil"/>
              <w:right w:val="nil"/>
            </w:tcBorders>
            <w:vAlign w:val="center"/>
          </w:tcPr>
          <w:p w14:paraId="09B9260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2.443</w:t>
            </w:r>
          </w:p>
        </w:tc>
        <w:tc>
          <w:tcPr>
            <w:tcW w:w="1975" w:type="dxa"/>
            <w:tcBorders>
              <w:top w:val="nil"/>
              <w:left w:val="nil"/>
              <w:bottom w:val="nil"/>
              <w:right w:val="nil"/>
            </w:tcBorders>
            <w:vAlign w:val="center"/>
          </w:tcPr>
          <w:p w14:paraId="1EF374A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2.382</w:t>
            </w:r>
          </w:p>
        </w:tc>
        <w:tc>
          <w:tcPr>
            <w:tcW w:w="2032" w:type="dxa"/>
            <w:tcBorders>
              <w:top w:val="nil"/>
              <w:left w:val="nil"/>
              <w:bottom w:val="nil"/>
              <w:right w:val="nil"/>
            </w:tcBorders>
            <w:vAlign w:val="center"/>
          </w:tcPr>
          <w:p w14:paraId="7CCF6D1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2.382</w:t>
            </w:r>
          </w:p>
        </w:tc>
      </w:tr>
      <w:tr w:rsidR="00173478" w:rsidRPr="008E28A6" w14:paraId="39A79F4D" w14:textId="77777777" w:rsidTr="00FA3D25">
        <w:trPr>
          <w:trHeight w:val="248"/>
          <w:jc w:val="center"/>
        </w:trPr>
        <w:tc>
          <w:tcPr>
            <w:tcW w:w="3449" w:type="dxa"/>
            <w:tcBorders>
              <w:top w:val="nil"/>
              <w:left w:val="nil"/>
              <w:bottom w:val="nil"/>
              <w:right w:val="nil"/>
            </w:tcBorders>
            <w:vAlign w:val="center"/>
          </w:tcPr>
          <w:p w14:paraId="69AA807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Sri Lanka</w:t>
            </w:r>
          </w:p>
        </w:tc>
        <w:tc>
          <w:tcPr>
            <w:tcW w:w="2183" w:type="dxa"/>
            <w:tcBorders>
              <w:top w:val="nil"/>
              <w:left w:val="nil"/>
              <w:bottom w:val="nil"/>
              <w:right w:val="nil"/>
            </w:tcBorders>
            <w:vAlign w:val="center"/>
          </w:tcPr>
          <w:p w14:paraId="4D0EFCF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0.031</w:t>
            </w:r>
          </w:p>
        </w:tc>
        <w:tc>
          <w:tcPr>
            <w:tcW w:w="1975" w:type="dxa"/>
            <w:tcBorders>
              <w:top w:val="nil"/>
              <w:left w:val="nil"/>
              <w:bottom w:val="nil"/>
              <w:right w:val="nil"/>
            </w:tcBorders>
            <w:vAlign w:val="center"/>
          </w:tcPr>
          <w:p w14:paraId="530A8DB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0.030</w:t>
            </w:r>
          </w:p>
        </w:tc>
        <w:tc>
          <w:tcPr>
            <w:tcW w:w="2032" w:type="dxa"/>
            <w:tcBorders>
              <w:top w:val="nil"/>
              <w:left w:val="nil"/>
              <w:bottom w:val="nil"/>
              <w:right w:val="nil"/>
            </w:tcBorders>
            <w:vAlign w:val="center"/>
          </w:tcPr>
          <w:p w14:paraId="56EC132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0.030</w:t>
            </w:r>
          </w:p>
        </w:tc>
      </w:tr>
      <w:tr w:rsidR="00173478" w:rsidRPr="008E28A6" w14:paraId="031271E4" w14:textId="77777777" w:rsidTr="00FA3D25">
        <w:trPr>
          <w:trHeight w:val="248"/>
          <w:jc w:val="center"/>
        </w:trPr>
        <w:tc>
          <w:tcPr>
            <w:tcW w:w="3449" w:type="dxa"/>
            <w:tcBorders>
              <w:top w:val="nil"/>
              <w:left w:val="nil"/>
              <w:bottom w:val="nil"/>
              <w:right w:val="nil"/>
            </w:tcBorders>
            <w:vAlign w:val="center"/>
          </w:tcPr>
          <w:p w14:paraId="6E972888" w14:textId="77777777" w:rsidR="00173478" w:rsidRPr="008E28A6" w:rsidRDefault="00173478" w:rsidP="00173478">
            <w:pPr>
              <w:suppressAutoHyphens w:val="0"/>
              <w:spacing w:line="240" w:lineRule="auto"/>
              <w:ind w:left="360" w:hanging="360"/>
              <w:rPr>
                <w:rFonts w:eastAsia="MS Mincho"/>
                <w:color w:val="000000"/>
                <w:sz w:val="18"/>
                <w:szCs w:val="18"/>
                <w:lang w:eastAsia="de-DE"/>
              </w:rPr>
            </w:pPr>
            <w:r w:rsidRPr="008E28A6">
              <w:rPr>
                <w:rFonts w:eastAsia="MS Mincho"/>
                <w:color w:val="000000"/>
                <w:sz w:val="18"/>
                <w:szCs w:val="18"/>
                <w:lang w:eastAsia="de-DE"/>
              </w:rPr>
              <w:t>State of Palestine</w:t>
            </w:r>
          </w:p>
        </w:tc>
        <w:tc>
          <w:tcPr>
            <w:tcW w:w="2183" w:type="dxa"/>
            <w:tcBorders>
              <w:top w:val="nil"/>
              <w:left w:val="nil"/>
              <w:bottom w:val="nil"/>
              <w:right w:val="nil"/>
            </w:tcBorders>
            <w:vAlign w:val="center"/>
          </w:tcPr>
          <w:p w14:paraId="37FAE84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1975" w:type="dxa"/>
            <w:tcBorders>
              <w:top w:val="nil"/>
              <w:left w:val="nil"/>
              <w:bottom w:val="nil"/>
              <w:right w:val="nil"/>
            </w:tcBorders>
            <w:vAlign w:val="center"/>
          </w:tcPr>
          <w:p w14:paraId="2FAD19B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2032" w:type="dxa"/>
            <w:tcBorders>
              <w:top w:val="nil"/>
              <w:left w:val="nil"/>
              <w:bottom w:val="nil"/>
              <w:right w:val="nil"/>
            </w:tcBorders>
            <w:vAlign w:val="center"/>
          </w:tcPr>
          <w:p w14:paraId="1EC1923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r>
      <w:tr w:rsidR="00173478" w:rsidRPr="008E28A6" w14:paraId="4627D088" w14:textId="77777777" w:rsidTr="00FA3D25">
        <w:trPr>
          <w:trHeight w:val="248"/>
          <w:jc w:val="center"/>
        </w:trPr>
        <w:tc>
          <w:tcPr>
            <w:tcW w:w="3449" w:type="dxa"/>
            <w:tcBorders>
              <w:top w:val="nil"/>
              <w:left w:val="nil"/>
              <w:bottom w:val="nil"/>
              <w:right w:val="nil"/>
            </w:tcBorders>
            <w:vAlign w:val="center"/>
          </w:tcPr>
          <w:p w14:paraId="75A7F69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Sudan</w:t>
            </w:r>
          </w:p>
        </w:tc>
        <w:tc>
          <w:tcPr>
            <w:tcW w:w="2183" w:type="dxa"/>
            <w:tcBorders>
              <w:top w:val="nil"/>
              <w:left w:val="nil"/>
              <w:bottom w:val="nil"/>
              <w:right w:val="nil"/>
            </w:tcBorders>
            <w:vAlign w:val="center"/>
          </w:tcPr>
          <w:p w14:paraId="47ACED7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501F6F9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61098B0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75D7C116" w14:textId="77777777" w:rsidTr="00FA3D25">
        <w:trPr>
          <w:trHeight w:val="248"/>
          <w:jc w:val="center"/>
        </w:trPr>
        <w:tc>
          <w:tcPr>
            <w:tcW w:w="3449" w:type="dxa"/>
            <w:tcBorders>
              <w:top w:val="nil"/>
              <w:left w:val="nil"/>
              <w:bottom w:val="nil"/>
              <w:right w:val="nil"/>
            </w:tcBorders>
            <w:vAlign w:val="center"/>
          </w:tcPr>
          <w:p w14:paraId="0077B957"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Suriname</w:t>
            </w:r>
          </w:p>
        </w:tc>
        <w:tc>
          <w:tcPr>
            <w:tcW w:w="2183" w:type="dxa"/>
            <w:tcBorders>
              <w:top w:val="nil"/>
              <w:left w:val="nil"/>
              <w:bottom w:val="nil"/>
              <w:right w:val="nil"/>
            </w:tcBorders>
            <w:vAlign w:val="center"/>
          </w:tcPr>
          <w:p w14:paraId="0C0E007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1975" w:type="dxa"/>
            <w:tcBorders>
              <w:top w:val="nil"/>
              <w:left w:val="nil"/>
              <w:bottom w:val="nil"/>
              <w:right w:val="nil"/>
            </w:tcBorders>
            <w:vAlign w:val="center"/>
          </w:tcPr>
          <w:p w14:paraId="1034C87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c>
          <w:tcPr>
            <w:tcW w:w="2032" w:type="dxa"/>
            <w:tcBorders>
              <w:top w:val="nil"/>
              <w:left w:val="nil"/>
              <w:bottom w:val="nil"/>
              <w:right w:val="nil"/>
            </w:tcBorders>
            <w:vAlign w:val="center"/>
          </w:tcPr>
          <w:p w14:paraId="53FB96D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0.006</w:t>
            </w:r>
          </w:p>
        </w:tc>
      </w:tr>
      <w:tr w:rsidR="00173478" w:rsidRPr="008E28A6" w14:paraId="78F24ABA" w14:textId="77777777" w:rsidTr="00FA3D25">
        <w:trPr>
          <w:trHeight w:val="248"/>
          <w:jc w:val="center"/>
        </w:trPr>
        <w:tc>
          <w:tcPr>
            <w:tcW w:w="3449" w:type="dxa"/>
            <w:tcBorders>
              <w:top w:val="nil"/>
              <w:left w:val="nil"/>
              <w:bottom w:val="nil"/>
              <w:right w:val="nil"/>
            </w:tcBorders>
            <w:vAlign w:val="center"/>
          </w:tcPr>
          <w:p w14:paraId="711769DE"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Swaziland</w:t>
            </w:r>
          </w:p>
        </w:tc>
        <w:tc>
          <w:tcPr>
            <w:tcW w:w="2183" w:type="dxa"/>
            <w:tcBorders>
              <w:top w:val="nil"/>
              <w:left w:val="nil"/>
              <w:bottom w:val="nil"/>
              <w:right w:val="nil"/>
            </w:tcBorders>
            <w:vAlign w:val="center"/>
          </w:tcPr>
          <w:p w14:paraId="2A4553A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1975" w:type="dxa"/>
            <w:tcBorders>
              <w:top w:val="nil"/>
              <w:left w:val="nil"/>
              <w:bottom w:val="nil"/>
              <w:right w:val="nil"/>
            </w:tcBorders>
            <w:vAlign w:val="center"/>
          </w:tcPr>
          <w:p w14:paraId="40A7C83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c>
          <w:tcPr>
            <w:tcW w:w="2032" w:type="dxa"/>
            <w:tcBorders>
              <w:top w:val="nil"/>
              <w:left w:val="nil"/>
              <w:bottom w:val="nil"/>
              <w:right w:val="nil"/>
            </w:tcBorders>
            <w:vAlign w:val="center"/>
          </w:tcPr>
          <w:p w14:paraId="7FB90B4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0.002</w:t>
            </w:r>
          </w:p>
        </w:tc>
      </w:tr>
      <w:tr w:rsidR="00173478" w:rsidRPr="008E28A6" w14:paraId="74D1DF28" w14:textId="77777777" w:rsidTr="00FA3D25">
        <w:trPr>
          <w:trHeight w:val="248"/>
          <w:jc w:val="center"/>
        </w:trPr>
        <w:tc>
          <w:tcPr>
            <w:tcW w:w="3449" w:type="dxa"/>
            <w:tcBorders>
              <w:top w:val="nil"/>
              <w:left w:val="nil"/>
              <w:bottom w:val="nil"/>
              <w:right w:val="nil"/>
            </w:tcBorders>
            <w:vAlign w:val="center"/>
          </w:tcPr>
          <w:p w14:paraId="0229BAB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Sweden</w:t>
            </w:r>
          </w:p>
        </w:tc>
        <w:tc>
          <w:tcPr>
            <w:tcW w:w="2183" w:type="dxa"/>
            <w:tcBorders>
              <w:top w:val="nil"/>
              <w:left w:val="nil"/>
              <w:bottom w:val="nil"/>
              <w:right w:val="nil"/>
            </w:tcBorders>
            <w:vAlign w:val="center"/>
          </w:tcPr>
          <w:p w14:paraId="15ED66D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0.956</w:t>
            </w:r>
          </w:p>
        </w:tc>
        <w:tc>
          <w:tcPr>
            <w:tcW w:w="1975" w:type="dxa"/>
            <w:tcBorders>
              <w:top w:val="nil"/>
              <w:left w:val="nil"/>
              <w:bottom w:val="nil"/>
              <w:right w:val="nil"/>
            </w:tcBorders>
            <w:vAlign w:val="center"/>
          </w:tcPr>
          <w:p w14:paraId="4F8EDD7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0.932</w:t>
            </w:r>
          </w:p>
        </w:tc>
        <w:tc>
          <w:tcPr>
            <w:tcW w:w="2032" w:type="dxa"/>
            <w:tcBorders>
              <w:top w:val="nil"/>
              <w:left w:val="nil"/>
              <w:bottom w:val="nil"/>
              <w:right w:val="nil"/>
            </w:tcBorders>
            <w:vAlign w:val="center"/>
          </w:tcPr>
          <w:p w14:paraId="36D3C24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0.932</w:t>
            </w:r>
          </w:p>
        </w:tc>
      </w:tr>
      <w:tr w:rsidR="00173478" w:rsidRPr="008E28A6" w14:paraId="4D1BC2E2" w14:textId="77777777" w:rsidTr="00FA3D25">
        <w:trPr>
          <w:trHeight w:val="248"/>
          <w:jc w:val="center"/>
        </w:trPr>
        <w:tc>
          <w:tcPr>
            <w:tcW w:w="3449" w:type="dxa"/>
            <w:tcBorders>
              <w:top w:val="nil"/>
              <w:left w:val="nil"/>
              <w:bottom w:val="nil"/>
              <w:right w:val="nil"/>
            </w:tcBorders>
            <w:vAlign w:val="center"/>
          </w:tcPr>
          <w:p w14:paraId="326B03E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Switzerland</w:t>
            </w:r>
          </w:p>
        </w:tc>
        <w:tc>
          <w:tcPr>
            <w:tcW w:w="2183" w:type="dxa"/>
            <w:tcBorders>
              <w:top w:val="nil"/>
              <w:left w:val="nil"/>
              <w:bottom w:val="nil"/>
              <w:right w:val="nil"/>
            </w:tcBorders>
            <w:vAlign w:val="center"/>
          </w:tcPr>
          <w:p w14:paraId="4E81B738" w14:textId="77777777" w:rsidR="00173478" w:rsidRPr="008E28A6" w:rsidRDefault="00173478" w:rsidP="00FA3D25">
            <w:pPr>
              <w:suppressAutoHyphens w:val="0"/>
              <w:spacing w:line="240" w:lineRule="auto"/>
              <w:jc w:val="right"/>
              <w:rPr>
                <w:rFonts w:eastAsia="MS Mincho"/>
                <w:color w:val="000000"/>
                <w:sz w:val="18"/>
                <w:szCs w:val="18"/>
                <w:lang w:eastAsia="de-DE"/>
              </w:rPr>
            </w:pPr>
            <w:r w:rsidRPr="008E28A6">
              <w:rPr>
                <w:rFonts w:eastAsia="MS Mincho"/>
                <w:sz w:val="18"/>
                <w:szCs w:val="18"/>
                <w:lang w:eastAsia="de-DE"/>
              </w:rPr>
              <w:t>1.140</w:t>
            </w:r>
          </w:p>
        </w:tc>
        <w:tc>
          <w:tcPr>
            <w:tcW w:w="1975" w:type="dxa"/>
            <w:tcBorders>
              <w:top w:val="nil"/>
              <w:left w:val="nil"/>
              <w:bottom w:val="nil"/>
              <w:right w:val="nil"/>
            </w:tcBorders>
            <w:vAlign w:val="center"/>
          </w:tcPr>
          <w:p w14:paraId="615EB45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1.111</w:t>
            </w:r>
          </w:p>
        </w:tc>
        <w:tc>
          <w:tcPr>
            <w:tcW w:w="2032" w:type="dxa"/>
            <w:tcBorders>
              <w:top w:val="nil"/>
              <w:left w:val="nil"/>
              <w:bottom w:val="nil"/>
              <w:right w:val="nil"/>
            </w:tcBorders>
            <w:vAlign w:val="center"/>
          </w:tcPr>
          <w:p w14:paraId="09383A2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1.111</w:t>
            </w:r>
          </w:p>
        </w:tc>
      </w:tr>
      <w:tr w:rsidR="00173478" w:rsidRPr="008E28A6" w14:paraId="215FF743" w14:textId="77777777" w:rsidTr="00FA3D25">
        <w:trPr>
          <w:trHeight w:val="248"/>
          <w:jc w:val="center"/>
        </w:trPr>
        <w:tc>
          <w:tcPr>
            <w:tcW w:w="3449" w:type="dxa"/>
            <w:tcBorders>
              <w:top w:val="nil"/>
              <w:left w:val="nil"/>
              <w:bottom w:val="nil"/>
              <w:right w:val="nil"/>
            </w:tcBorders>
            <w:vAlign w:val="center"/>
          </w:tcPr>
          <w:p w14:paraId="3D103457"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Syrian Arab Republic</w:t>
            </w:r>
          </w:p>
        </w:tc>
        <w:tc>
          <w:tcPr>
            <w:tcW w:w="2183" w:type="dxa"/>
            <w:tcBorders>
              <w:top w:val="nil"/>
              <w:left w:val="nil"/>
              <w:bottom w:val="nil"/>
              <w:right w:val="nil"/>
            </w:tcBorders>
            <w:vAlign w:val="center"/>
          </w:tcPr>
          <w:p w14:paraId="31B4B81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0.024</w:t>
            </w:r>
          </w:p>
        </w:tc>
        <w:tc>
          <w:tcPr>
            <w:tcW w:w="1975" w:type="dxa"/>
            <w:tcBorders>
              <w:top w:val="nil"/>
              <w:left w:val="nil"/>
              <w:bottom w:val="nil"/>
              <w:right w:val="nil"/>
            </w:tcBorders>
            <w:vAlign w:val="center"/>
          </w:tcPr>
          <w:p w14:paraId="7D06EC9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0.023</w:t>
            </w:r>
          </w:p>
        </w:tc>
        <w:tc>
          <w:tcPr>
            <w:tcW w:w="2032" w:type="dxa"/>
            <w:tcBorders>
              <w:top w:val="nil"/>
              <w:left w:val="nil"/>
              <w:bottom w:val="nil"/>
              <w:right w:val="nil"/>
            </w:tcBorders>
            <w:vAlign w:val="center"/>
          </w:tcPr>
          <w:p w14:paraId="0DAF83C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0.023</w:t>
            </w:r>
          </w:p>
        </w:tc>
      </w:tr>
      <w:tr w:rsidR="00173478" w:rsidRPr="008E28A6" w14:paraId="4988C875" w14:textId="77777777" w:rsidTr="00FA3D25">
        <w:trPr>
          <w:trHeight w:val="248"/>
          <w:jc w:val="center"/>
        </w:trPr>
        <w:tc>
          <w:tcPr>
            <w:tcW w:w="3449" w:type="dxa"/>
            <w:tcBorders>
              <w:top w:val="nil"/>
              <w:left w:val="nil"/>
              <w:bottom w:val="nil"/>
              <w:right w:val="nil"/>
            </w:tcBorders>
            <w:vAlign w:val="center"/>
          </w:tcPr>
          <w:p w14:paraId="799D8A1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Tajikistan</w:t>
            </w:r>
          </w:p>
        </w:tc>
        <w:tc>
          <w:tcPr>
            <w:tcW w:w="2183" w:type="dxa"/>
            <w:tcBorders>
              <w:top w:val="nil"/>
              <w:left w:val="nil"/>
              <w:bottom w:val="nil"/>
              <w:right w:val="nil"/>
            </w:tcBorders>
            <w:vAlign w:val="center"/>
          </w:tcPr>
          <w:p w14:paraId="2BC8BDB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nil"/>
              <w:right w:val="nil"/>
            </w:tcBorders>
            <w:vAlign w:val="center"/>
          </w:tcPr>
          <w:p w14:paraId="4F2342C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nil"/>
              <w:right w:val="nil"/>
            </w:tcBorders>
            <w:vAlign w:val="center"/>
          </w:tcPr>
          <w:p w14:paraId="16C61E6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0CDE9979" w14:textId="77777777" w:rsidTr="00FA3D25">
        <w:trPr>
          <w:trHeight w:val="248"/>
          <w:jc w:val="center"/>
        </w:trPr>
        <w:tc>
          <w:tcPr>
            <w:tcW w:w="3449" w:type="dxa"/>
            <w:tcBorders>
              <w:top w:val="nil"/>
              <w:left w:val="nil"/>
              <w:bottom w:val="nil"/>
              <w:right w:val="nil"/>
            </w:tcBorders>
            <w:vAlign w:val="center"/>
          </w:tcPr>
          <w:p w14:paraId="1F7EFA1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Thailand</w:t>
            </w:r>
          </w:p>
        </w:tc>
        <w:tc>
          <w:tcPr>
            <w:tcW w:w="2183" w:type="dxa"/>
            <w:tcBorders>
              <w:top w:val="nil"/>
              <w:left w:val="nil"/>
              <w:bottom w:val="nil"/>
              <w:right w:val="nil"/>
            </w:tcBorders>
            <w:vAlign w:val="center"/>
          </w:tcPr>
          <w:p w14:paraId="654CDFB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0.291</w:t>
            </w:r>
          </w:p>
        </w:tc>
        <w:tc>
          <w:tcPr>
            <w:tcW w:w="1975" w:type="dxa"/>
            <w:tcBorders>
              <w:top w:val="nil"/>
              <w:left w:val="nil"/>
              <w:bottom w:val="nil"/>
              <w:right w:val="nil"/>
            </w:tcBorders>
            <w:vAlign w:val="center"/>
          </w:tcPr>
          <w:p w14:paraId="512EE1B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0.284</w:t>
            </w:r>
          </w:p>
        </w:tc>
        <w:tc>
          <w:tcPr>
            <w:tcW w:w="2032" w:type="dxa"/>
            <w:tcBorders>
              <w:top w:val="nil"/>
              <w:left w:val="nil"/>
              <w:bottom w:val="nil"/>
              <w:right w:val="nil"/>
            </w:tcBorders>
            <w:vAlign w:val="center"/>
          </w:tcPr>
          <w:p w14:paraId="0E95335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0.284</w:t>
            </w:r>
          </w:p>
        </w:tc>
      </w:tr>
      <w:tr w:rsidR="00173478" w:rsidRPr="008E28A6" w14:paraId="63C24E7B" w14:textId="77777777" w:rsidTr="00FA3D25">
        <w:trPr>
          <w:trHeight w:val="248"/>
          <w:jc w:val="center"/>
        </w:trPr>
        <w:tc>
          <w:tcPr>
            <w:tcW w:w="3449" w:type="dxa"/>
            <w:tcBorders>
              <w:top w:val="nil"/>
              <w:left w:val="nil"/>
              <w:bottom w:val="nil"/>
              <w:right w:val="nil"/>
            </w:tcBorders>
            <w:vAlign w:val="center"/>
          </w:tcPr>
          <w:p w14:paraId="52B271C6" w14:textId="77777777" w:rsidR="00173478" w:rsidRPr="008E28A6" w:rsidRDefault="00173478" w:rsidP="00173478">
            <w:pPr>
              <w:suppressAutoHyphens w:val="0"/>
              <w:spacing w:line="240" w:lineRule="auto"/>
              <w:rPr>
                <w:rFonts w:eastAsia="Arial Unicode MS"/>
                <w:color w:val="000000"/>
                <w:sz w:val="18"/>
                <w:szCs w:val="18"/>
                <w:lang w:eastAsia="de-DE"/>
              </w:rPr>
            </w:pPr>
            <w:r w:rsidRPr="008E28A6">
              <w:rPr>
                <w:rFonts w:eastAsia="MS Mincho"/>
                <w:color w:val="000000"/>
                <w:sz w:val="18"/>
                <w:szCs w:val="18"/>
                <w:lang w:eastAsia="de-DE"/>
              </w:rPr>
              <w:t>The former Yugoslav Republic of Macedonia</w:t>
            </w:r>
          </w:p>
        </w:tc>
        <w:tc>
          <w:tcPr>
            <w:tcW w:w="2183" w:type="dxa"/>
            <w:tcBorders>
              <w:top w:val="nil"/>
              <w:left w:val="nil"/>
              <w:bottom w:val="nil"/>
              <w:right w:val="nil"/>
            </w:tcBorders>
            <w:vAlign w:val="center"/>
          </w:tcPr>
          <w:p w14:paraId="22C3A95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1975" w:type="dxa"/>
            <w:tcBorders>
              <w:top w:val="nil"/>
              <w:left w:val="nil"/>
              <w:bottom w:val="nil"/>
              <w:right w:val="nil"/>
            </w:tcBorders>
            <w:vAlign w:val="center"/>
          </w:tcPr>
          <w:p w14:paraId="47439A5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2032" w:type="dxa"/>
            <w:tcBorders>
              <w:top w:val="nil"/>
              <w:left w:val="nil"/>
              <w:bottom w:val="nil"/>
              <w:right w:val="nil"/>
            </w:tcBorders>
            <w:vAlign w:val="center"/>
          </w:tcPr>
          <w:p w14:paraId="0783BBA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r>
      <w:tr w:rsidR="00173478" w:rsidRPr="008E28A6" w14:paraId="55977B8A" w14:textId="77777777" w:rsidTr="00FA3D25">
        <w:trPr>
          <w:trHeight w:val="248"/>
          <w:jc w:val="center"/>
        </w:trPr>
        <w:tc>
          <w:tcPr>
            <w:tcW w:w="3449" w:type="dxa"/>
            <w:tcBorders>
              <w:top w:val="nil"/>
              <w:left w:val="nil"/>
              <w:bottom w:val="nil"/>
              <w:right w:val="nil"/>
            </w:tcBorders>
            <w:vAlign w:val="center"/>
          </w:tcPr>
          <w:p w14:paraId="30499E9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Timor-Leste</w:t>
            </w:r>
          </w:p>
        </w:tc>
        <w:tc>
          <w:tcPr>
            <w:tcW w:w="2183" w:type="dxa"/>
            <w:tcBorders>
              <w:top w:val="nil"/>
              <w:left w:val="nil"/>
              <w:bottom w:val="nil"/>
              <w:right w:val="nil"/>
            </w:tcBorders>
            <w:vAlign w:val="center"/>
          </w:tcPr>
          <w:p w14:paraId="13562C3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1975" w:type="dxa"/>
            <w:tcBorders>
              <w:top w:val="nil"/>
              <w:left w:val="nil"/>
              <w:bottom w:val="nil"/>
              <w:right w:val="nil"/>
            </w:tcBorders>
            <w:vAlign w:val="center"/>
          </w:tcPr>
          <w:p w14:paraId="6BEB5BF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c>
          <w:tcPr>
            <w:tcW w:w="2032" w:type="dxa"/>
            <w:tcBorders>
              <w:top w:val="nil"/>
              <w:left w:val="nil"/>
              <w:bottom w:val="nil"/>
              <w:right w:val="nil"/>
            </w:tcBorders>
            <w:vAlign w:val="center"/>
          </w:tcPr>
          <w:p w14:paraId="3F34546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0.003</w:t>
            </w:r>
          </w:p>
        </w:tc>
      </w:tr>
      <w:tr w:rsidR="00173478" w:rsidRPr="008E28A6" w14:paraId="6EB45B7C" w14:textId="77777777" w:rsidTr="00FA3D25">
        <w:trPr>
          <w:trHeight w:val="248"/>
          <w:jc w:val="center"/>
        </w:trPr>
        <w:tc>
          <w:tcPr>
            <w:tcW w:w="3449" w:type="dxa"/>
            <w:tcBorders>
              <w:top w:val="nil"/>
              <w:left w:val="nil"/>
              <w:bottom w:val="nil"/>
              <w:right w:val="nil"/>
            </w:tcBorders>
            <w:vAlign w:val="center"/>
          </w:tcPr>
          <w:p w14:paraId="2F6B41D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Togo</w:t>
            </w:r>
          </w:p>
        </w:tc>
        <w:tc>
          <w:tcPr>
            <w:tcW w:w="2183" w:type="dxa"/>
            <w:tcBorders>
              <w:top w:val="nil"/>
              <w:left w:val="nil"/>
              <w:bottom w:val="nil"/>
              <w:right w:val="nil"/>
            </w:tcBorders>
            <w:vAlign w:val="center"/>
          </w:tcPr>
          <w:p w14:paraId="40C98D6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0F41858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5FAC43D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95A2565" w14:textId="77777777" w:rsidTr="00FA3D25">
        <w:trPr>
          <w:trHeight w:val="248"/>
          <w:jc w:val="center"/>
        </w:trPr>
        <w:tc>
          <w:tcPr>
            <w:tcW w:w="3449" w:type="dxa"/>
            <w:tcBorders>
              <w:top w:val="nil"/>
              <w:left w:val="nil"/>
              <w:bottom w:val="nil"/>
              <w:right w:val="nil"/>
            </w:tcBorders>
            <w:vAlign w:val="center"/>
          </w:tcPr>
          <w:p w14:paraId="18269AF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Tonga</w:t>
            </w:r>
          </w:p>
        </w:tc>
        <w:tc>
          <w:tcPr>
            <w:tcW w:w="2183" w:type="dxa"/>
            <w:tcBorders>
              <w:top w:val="nil"/>
              <w:left w:val="nil"/>
              <w:bottom w:val="nil"/>
              <w:right w:val="nil"/>
            </w:tcBorders>
            <w:vAlign w:val="center"/>
          </w:tcPr>
          <w:p w14:paraId="1C138D0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3516588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3550019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7FB8166C" w14:textId="77777777" w:rsidTr="00FA3D25">
        <w:trPr>
          <w:trHeight w:val="248"/>
          <w:jc w:val="center"/>
        </w:trPr>
        <w:tc>
          <w:tcPr>
            <w:tcW w:w="3449" w:type="dxa"/>
            <w:tcBorders>
              <w:top w:val="nil"/>
              <w:left w:val="nil"/>
              <w:bottom w:val="nil"/>
              <w:right w:val="nil"/>
            </w:tcBorders>
            <w:vAlign w:val="center"/>
          </w:tcPr>
          <w:p w14:paraId="7259733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Trinidad and Tobago</w:t>
            </w:r>
          </w:p>
        </w:tc>
        <w:tc>
          <w:tcPr>
            <w:tcW w:w="2183" w:type="dxa"/>
            <w:tcBorders>
              <w:top w:val="nil"/>
              <w:left w:val="nil"/>
              <w:bottom w:val="nil"/>
              <w:right w:val="nil"/>
            </w:tcBorders>
            <w:vAlign w:val="center"/>
          </w:tcPr>
          <w:p w14:paraId="6CA6423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0.034</w:t>
            </w:r>
          </w:p>
        </w:tc>
        <w:tc>
          <w:tcPr>
            <w:tcW w:w="1975" w:type="dxa"/>
            <w:tcBorders>
              <w:top w:val="nil"/>
              <w:left w:val="nil"/>
              <w:bottom w:val="nil"/>
              <w:right w:val="nil"/>
            </w:tcBorders>
            <w:vAlign w:val="center"/>
          </w:tcPr>
          <w:p w14:paraId="4148647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0.033</w:t>
            </w:r>
          </w:p>
        </w:tc>
        <w:tc>
          <w:tcPr>
            <w:tcW w:w="2032" w:type="dxa"/>
            <w:tcBorders>
              <w:top w:val="nil"/>
              <w:left w:val="nil"/>
              <w:bottom w:val="nil"/>
              <w:right w:val="nil"/>
            </w:tcBorders>
            <w:vAlign w:val="center"/>
          </w:tcPr>
          <w:p w14:paraId="11442E7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0.033</w:t>
            </w:r>
          </w:p>
        </w:tc>
      </w:tr>
      <w:tr w:rsidR="00173478" w:rsidRPr="008E28A6" w14:paraId="796AAE6A" w14:textId="77777777" w:rsidTr="00FA3D25">
        <w:trPr>
          <w:trHeight w:val="248"/>
          <w:jc w:val="center"/>
        </w:trPr>
        <w:tc>
          <w:tcPr>
            <w:tcW w:w="3449" w:type="dxa"/>
            <w:tcBorders>
              <w:top w:val="nil"/>
              <w:left w:val="nil"/>
              <w:bottom w:val="nil"/>
              <w:right w:val="nil"/>
            </w:tcBorders>
            <w:vAlign w:val="center"/>
          </w:tcPr>
          <w:p w14:paraId="54412318"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Tunisia</w:t>
            </w:r>
          </w:p>
        </w:tc>
        <w:tc>
          <w:tcPr>
            <w:tcW w:w="2183" w:type="dxa"/>
            <w:tcBorders>
              <w:top w:val="nil"/>
              <w:left w:val="nil"/>
              <w:bottom w:val="nil"/>
              <w:right w:val="nil"/>
            </w:tcBorders>
            <w:vAlign w:val="center"/>
          </w:tcPr>
          <w:p w14:paraId="61EC454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0.028</w:t>
            </w:r>
          </w:p>
        </w:tc>
        <w:tc>
          <w:tcPr>
            <w:tcW w:w="1975" w:type="dxa"/>
            <w:tcBorders>
              <w:top w:val="nil"/>
              <w:left w:val="nil"/>
              <w:bottom w:val="nil"/>
              <w:right w:val="nil"/>
            </w:tcBorders>
            <w:vAlign w:val="center"/>
          </w:tcPr>
          <w:p w14:paraId="402AB4C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0.027</w:t>
            </w:r>
          </w:p>
        </w:tc>
        <w:tc>
          <w:tcPr>
            <w:tcW w:w="2032" w:type="dxa"/>
            <w:tcBorders>
              <w:top w:val="nil"/>
              <w:left w:val="nil"/>
              <w:bottom w:val="nil"/>
              <w:right w:val="nil"/>
            </w:tcBorders>
            <w:vAlign w:val="center"/>
          </w:tcPr>
          <w:p w14:paraId="4165CCB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0.027</w:t>
            </w:r>
          </w:p>
        </w:tc>
      </w:tr>
      <w:tr w:rsidR="00173478" w:rsidRPr="008E28A6" w14:paraId="43E900C2" w14:textId="77777777" w:rsidTr="00FA3D25">
        <w:trPr>
          <w:trHeight w:val="248"/>
          <w:jc w:val="center"/>
        </w:trPr>
        <w:tc>
          <w:tcPr>
            <w:tcW w:w="3449" w:type="dxa"/>
            <w:tcBorders>
              <w:top w:val="nil"/>
              <w:left w:val="nil"/>
              <w:bottom w:val="nil"/>
              <w:right w:val="nil"/>
            </w:tcBorders>
            <w:vAlign w:val="center"/>
          </w:tcPr>
          <w:p w14:paraId="0CB20BFA"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Turkey</w:t>
            </w:r>
          </w:p>
        </w:tc>
        <w:tc>
          <w:tcPr>
            <w:tcW w:w="2183" w:type="dxa"/>
            <w:tcBorders>
              <w:top w:val="nil"/>
              <w:left w:val="nil"/>
              <w:bottom w:val="nil"/>
              <w:right w:val="nil"/>
            </w:tcBorders>
            <w:vAlign w:val="center"/>
          </w:tcPr>
          <w:p w14:paraId="258225D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1.018</w:t>
            </w:r>
          </w:p>
        </w:tc>
        <w:tc>
          <w:tcPr>
            <w:tcW w:w="1975" w:type="dxa"/>
            <w:tcBorders>
              <w:top w:val="nil"/>
              <w:left w:val="nil"/>
              <w:bottom w:val="nil"/>
              <w:right w:val="nil"/>
            </w:tcBorders>
            <w:vAlign w:val="center"/>
          </w:tcPr>
          <w:p w14:paraId="0CF2E03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0.992</w:t>
            </w:r>
          </w:p>
        </w:tc>
        <w:tc>
          <w:tcPr>
            <w:tcW w:w="2032" w:type="dxa"/>
            <w:tcBorders>
              <w:top w:val="nil"/>
              <w:left w:val="nil"/>
              <w:bottom w:val="nil"/>
              <w:right w:val="nil"/>
            </w:tcBorders>
            <w:vAlign w:val="center"/>
          </w:tcPr>
          <w:p w14:paraId="5C910E9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0.992</w:t>
            </w:r>
          </w:p>
        </w:tc>
      </w:tr>
      <w:tr w:rsidR="00173478" w:rsidRPr="008E28A6" w14:paraId="067992AD" w14:textId="77777777" w:rsidTr="00FA3D25">
        <w:trPr>
          <w:trHeight w:val="248"/>
          <w:jc w:val="center"/>
        </w:trPr>
        <w:tc>
          <w:tcPr>
            <w:tcW w:w="3449" w:type="dxa"/>
            <w:tcBorders>
              <w:top w:val="nil"/>
              <w:left w:val="nil"/>
              <w:bottom w:val="nil"/>
              <w:right w:val="nil"/>
            </w:tcBorders>
            <w:vAlign w:val="center"/>
          </w:tcPr>
          <w:p w14:paraId="5CCEE6C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Turkmenistan</w:t>
            </w:r>
          </w:p>
        </w:tc>
        <w:tc>
          <w:tcPr>
            <w:tcW w:w="2183" w:type="dxa"/>
            <w:tcBorders>
              <w:top w:val="nil"/>
              <w:left w:val="nil"/>
              <w:bottom w:val="nil"/>
              <w:right w:val="nil"/>
            </w:tcBorders>
            <w:vAlign w:val="center"/>
          </w:tcPr>
          <w:p w14:paraId="0877FAA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0.026</w:t>
            </w:r>
          </w:p>
        </w:tc>
        <w:tc>
          <w:tcPr>
            <w:tcW w:w="1975" w:type="dxa"/>
            <w:tcBorders>
              <w:top w:val="nil"/>
              <w:left w:val="nil"/>
              <w:bottom w:val="nil"/>
              <w:right w:val="nil"/>
            </w:tcBorders>
            <w:vAlign w:val="center"/>
          </w:tcPr>
          <w:p w14:paraId="7DD8498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0.025</w:t>
            </w:r>
          </w:p>
        </w:tc>
        <w:tc>
          <w:tcPr>
            <w:tcW w:w="2032" w:type="dxa"/>
            <w:tcBorders>
              <w:top w:val="nil"/>
              <w:left w:val="nil"/>
              <w:bottom w:val="nil"/>
              <w:right w:val="nil"/>
            </w:tcBorders>
            <w:vAlign w:val="center"/>
          </w:tcPr>
          <w:p w14:paraId="6D8AF22D"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0.025</w:t>
            </w:r>
          </w:p>
        </w:tc>
      </w:tr>
      <w:tr w:rsidR="00173478" w:rsidRPr="008E28A6" w14:paraId="04549E30" w14:textId="77777777" w:rsidTr="00FA3D25">
        <w:trPr>
          <w:trHeight w:val="248"/>
          <w:jc w:val="center"/>
        </w:trPr>
        <w:tc>
          <w:tcPr>
            <w:tcW w:w="3449" w:type="dxa"/>
            <w:tcBorders>
              <w:top w:val="nil"/>
              <w:left w:val="nil"/>
              <w:bottom w:val="nil"/>
              <w:right w:val="nil"/>
            </w:tcBorders>
            <w:vAlign w:val="center"/>
          </w:tcPr>
          <w:p w14:paraId="00FCA0BD"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Tuvalu</w:t>
            </w:r>
          </w:p>
        </w:tc>
        <w:tc>
          <w:tcPr>
            <w:tcW w:w="2183" w:type="dxa"/>
            <w:tcBorders>
              <w:top w:val="nil"/>
              <w:left w:val="nil"/>
              <w:bottom w:val="nil"/>
              <w:right w:val="nil"/>
            </w:tcBorders>
            <w:vAlign w:val="center"/>
          </w:tcPr>
          <w:p w14:paraId="76AF1460" w14:textId="77777777" w:rsidR="00173478" w:rsidRPr="008E28A6" w:rsidRDefault="00173478" w:rsidP="00FA3D25">
            <w:pPr>
              <w:suppressAutoHyphens w:val="0"/>
              <w:spacing w:line="240" w:lineRule="auto"/>
              <w:jc w:val="right"/>
              <w:rPr>
                <w:rFonts w:eastAsia="MS Mincho"/>
                <w:color w:val="000000"/>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35AD9D0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606E58E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5119E24A" w14:textId="77777777" w:rsidTr="00FA3D25">
        <w:trPr>
          <w:trHeight w:val="248"/>
          <w:jc w:val="center"/>
        </w:trPr>
        <w:tc>
          <w:tcPr>
            <w:tcW w:w="3449" w:type="dxa"/>
            <w:tcBorders>
              <w:top w:val="nil"/>
              <w:left w:val="nil"/>
              <w:bottom w:val="nil"/>
              <w:right w:val="nil"/>
            </w:tcBorders>
            <w:vAlign w:val="center"/>
          </w:tcPr>
          <w:p w14:paraId="3D4540E0"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Uganda</w:t>
            </w:r>
          </w:p>
        </w:tc>
        <w:tc>
          <w:tcPr>
            <w:tcW w:w="2183" w:type="dxa"/>
            <w:tcBorders>
              <w:top w:val="nil"/>
              <w:left w:val="nil"/>
              <w:bottom w:val="nil"/>
              <w:right w:val="nil"/>
            </w:tcBorders>
            <w:vAlign w:val="center"/>
          </w:tcPr>
          <w:p w14:paraId="24D6960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c>
          <w:tcPr>
            <w:tcW w:w="1975" w:type="dxa"/>
            <w:tcBorders>
              <w:top w:val="nil"/>
              <w:left w:val="nil"/>
              <w:bottom w:val="nil"/>
              <w:right w:val="nil"/>
            </w:tcBorders>
            <w:vAlign w:val="center"/>
          </w:tcPr>
          <w:p w14:paraId="5745B34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c>
          <w:tcPr>
            <w:tcW w:w="2032" w:type="dxa"/>
            <w:tcBorders>
              <w:top w:val="nil"/>
              <w:left w:val="nil"/>
              <w:bottom w:val="nil"/>
              <w:right w:val="nil"/>
            </w:tcBorders>
            <w:vAlign w:val="center"/>
          </w:tcPr>
          <w:p w14:paraId="27FA8700"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0.009</w:t>
            </w:r>
          </w:p>
        </w:tc>
      </w:tr>
      <w:tr w:rsidR="00173478" w:rsidRPr="008E28A6" w14:paraId="79F590F7" w14:textId="77777777" w:rsidTr="00FA3D25">
        <w:trPr>
          <w:trHeight w:val="248"/>
          <w:jc w:val="center"/>
        </w:trPr>
        <w:tc>
          <w:tcPr>
            <w:tcW w:w="3449" w:type="dxa"/>
            <w:tcBorders>
              <w:top w:val="nil"/>
              <w:left w:val="nil"/>
              <w:bottom w:val="nil"/>
              <w:right w:val="nil"/>
            </w:tcBorders>
            <w:vAlign w:val="center"/>
          </w:tcPr>
          <w:p w14:paraId="690B222C"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Ukraine</w:t>
            </w:r>
          </w:p>
        </w:tc>
        <w:tc>
          <w:tcPr>
            <w:tcW w:w="2183" w:type="dxa"/>
            <w:tcBorders>
              <w:top w:val="nil"/>
              <w:left w:val="nil"/>
              <w:bottom w:val="nil"/>
              <w:right w:val="nil"/>
            </w:tcBorders>
            <w:vAlign w:val="center"/>
          </w:tcPr>
          <w:p w14:paraId="6B2AE46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0.103</w:t>
            </w:r>
          </w:p>
        </w:tc>
        <w:tc>
          <w:tcPr>
            <w:tcW w:w="1975" w:type="dxa"/>
            <w:tcBorders>
              <w:top w:val="nil"/>
              <w:left w:val="nil"/>
              <w:bottom w:val="nil"/>
              <w:right w:val="nil"/>
            </w:tcBorders>
            <w:vAlign w:val="center"/>
          </w:tcPr>
          <w:p w14:paraId="678904E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0.100</w:t>
            </w:r>
          </w:p>
        </w:tc>
        <w:tc>
          <w:tcPr>
            <w:tcW w:w="2032" w:type="dxa"/>
            <w:tcBorders>
              <w:top w:val="nil"/>
              <w:left w:val="nil"/>
              <w:bottom w:val="nil"/>
              <w:right w:val="nil"/>
            </w:tcBorders>
            <w:vAlign w:val="center"/>
          </w:tcPr>
          <w:p w14:paraId="0E8E08D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0.100</w:t>
            </w:r>
          </w:p>
        </w:tc>
      </w:tr>
      <w:tr w:rsidR="00173478" w:rsidRPr="008E28A6" w14:paraId="09C63A54" w14:textId="77777777" w:rsidTr="00FA3D25">
        <w:trPr>
          <w:trHeight w:val="248"/>
          <w:jc w:val="center"/>
        </w:trPr>
        <w:tc>
          <w:tcPr>
            <w:tcW w:w="3449" w:type="dxa"/>
            <w:tcBorders>
              <w:top w:val="nil"/>
              <w:left w:val="nil"/>
              <w:bottom w:val="nil"/>
              <w:right w:val="nil"/>
            </w:tcBorders>
            <w:vAlign w:val="center"/>
          </w:tcPr>
          <w:p w14:paraId="5CC75FC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United Arab Emirates</w:t>
            </w:r>
          </w:p>
        </w:tc>
        <w:tc>
          <w:tcPr>
            <w:tcW w:w="2183" w:type="dxa"/>
            <w:tcBorders>
              <w:top w:val="nil"/>
              <w:left w:val="nil"/>
              <w:bottom w:val="nil"/>
              <w:right w:val="nil"/>
            </w:tcBorders>
            <w:vAlign w:val="center"/>
          </w:tcPr>
          <w:p w14:paraId="67B1F52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0.604</w:t>
            </w:r>
          </w:p>
        </w:tc>
        <w:tc>
          <w:tcPr>
            <w:tcW w:w="1975" w:type="dxa"/>
            <w:tcBorders>
              <w:top w:val="nil"/>
              <w:left w:val="nil"/>
              <w:bottom w:val="nil"/>
              <w:right w:val="nil"/>
            </w:tcBorders>
            <w:vAlign w:val="center"/>
          </w:tcPr>
          <w:p w14:paraId="3116211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0.589</w:t>
            </w:r>
          </w:p>
        </w:tc>
        <w:tc>
          <w:tcPr>
            <w:tcW w:w="2032" w:type="dxa"/>
            <w:tcBorders>
              <w:top w:val="nil"/>
              <w:left w:val="nil"/>
              <w:bottom w:val="nil"/>
              <w:right w:val="nil"/>
            </w:tcBorders>
            <w:vAlign w:val="center"/>
          </w:tcPr>
          <w:p w14:paraId="3901813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0.589</w:t>
            </w:r>
          </w:p>
        </w:tc>
      </w:tr>
      <w:tr w:rsidR="00173478" w:rsidRPr="008E28A6" w14:paraId="54D53128" w14:textId="77777777" w:rsidTr="00FA3D25">
        <w:trPr>
          <w:trHeight w:val="248"/>
          <w:jc w:val="center"/>
        </w:trPr>
        <w:tc>
          <w:tcPr>
            <w:tcW w:w="3449" w:type="dxa"/>
            <w:tcBorders>
              <w:top w:val="nil"/>
              <w:left w:val="nil"/>
              <w:bottom w:val="nil"/>
              <w:right w:val="nil"/>
            </w:tcBorders>
            <w:vAlign w:val="center"/>
          </w:tcPr>
          <w:p w14:paraId="14B84FDB" w14:textId="77777777" w:rsidR="00173478" w:rsidRPr="008E28A6" w:rsidRDefault="00173478" w:rsidP="00173478">
            <w:pPr>
              <w:suppressAutoHyphens w:val="0"/>
              <w:spacing w:line="240" w:lineRule="auto"/>
              <w:rPr>
                <w:rFonts w:eastAsia="Arial Unicode MS"/>
                <w:color w:val="000000"/>
                <w:sz w:val="18"/>
                <w:szCs w:val="18"/>
                <w:lang w:eastAsia="de-DE"/>
              </w:rPr>
            </w:pPr>
            <w:r w:rsidRPr="008E28A6">
              <w:rPr>
                <w:rFonts w:eastAsia="MS Mincho"/>
                <w:color w:val="000000"/>
                <w:sz w:val="18"/>
                <w:szCs w:val="18"/>
                <w:lang w:eastAsia="de-DE"/>
              </w:rPr>
              <w:t>United Kingdom of Great Britain and Northern Ireland</w:t>
            </w:r>
          </w:p>
        </w:tc>
        <w:tc>
          <w:tcPr>
            <w:tcW w:w="2183" w:type="dxa"/>
            <w:tcBorders>
              <w:top w:val="nil"/>
              <w:left w:val="nil"/>
              <w:bottom w:val="nil"/>
              <w:right w:val="nil"/>
            </w:tcBorders>
            <w:vAlign w:val="center"/>
          </w:tcPr>
          <w:p w14:paraId="7DDC45E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4.463</w:t>
            </w:r>
          </w:p>
        </w:tc>
        <w:tc>
          <w:tcPr>
            <w:tcW w:w="1975" w:type="dxa"/>
            <w:tcBorders>
              <w:top w:val="nil"/>
              <w:left w:val="nil"/>
              <w:bottom w:val="nil"/>
              <w:right w:val="nil"/>
            </w:tcBorders>
            <w:vAlign w:val="center"/>
          </w:tcPr>
          <w:p w14:paraId="06724B0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4.351</w:t>
            </w:r>
          </w:p>
        </w:tc>
        <w:tc>
          <w:tcPr>
            <w:tcW w:w="2032" w:type="dxa"/>
            <w:tcBorders>
              <w:top w:val="nil"/>
              <w:left w:val="nil"/>
              <w:bottom w:val="nil"/>
              <w:right w:val="nil"/>
            </w:tcBorders>
            <w:vAlign w:val="center"/>
          </w:tcPr>
          <w:p w14:paraId="69B4B6C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4.351</w:t>
            </w:r>
          </w:p>
        </w:tc>
      </w:tr>
      <w:tr w:rsidR="00173478" w:rsidRPr="008E28A6" w14:paraId="0D296AD7" w14:textId="77777777" w:rsidTr="00FA3D25">
        <w:trPr>
          <w:trHeight w:val="248"/>
          <w:jc w:val="center"/>
        </w:trPr>
        <w:tc>
          <w:tcPr>
            <w:tcW w:w="3449" w:type="dxa"/>
            <w:tcBorders>
              <w:top w:val="nil"/>
              <w:left w:val="nil"/>
              <w:bottom w:val="nil"/>
              <w:right w:val="nil"/>
            </w:tcBorders>
            <w:vAlign w:val="center"/>
          </w:tcPr>
          <w:p w14:paraId="11CBBA34"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United Republic of Tanzania</w:t>
            </w:r>
          </w:p>
        </w:tc>
        <w:tc>
          <w:tcPr>
            <w:tcW w:w="2183" w:type="dxa"/>
            <w:tcBorders>
              <w:top w:val="nil"/>
              <w:left w:val="nil"/>
              <w:bottom w:val="nil"/>
              <w:right w:val="nil"/>
            </w:tcBorders>
            <w:vAlign w:val="center"/>
          </w:tcPr>
          <w:p w14:paraId="4FB31B3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2528851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1E85C6D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02C3883B" w14:textId="77777777" w:rsidTr="00FA3D25">
        <w:trPr>
          <w:trHeight w:val="248"/>
          <w:jc w:val="center"/>
        </w:trPr>
        <w:tc>
          <w:tcPr>
            <w:tcW w:w="3449" w:type="dxa"/>
            <w:tcBorders>
              <w:top w:val="nil"/>
              <w:left w:val="nil"/>
              <w:bottom w:val="nil"/>
              <w:right w:val="nil"/>
            </w:tcBorders>
            <w:vAlign w:val="center"/>
          </w:tcPr>
          <w:p w14:paraId="08F479F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United States of America</w:t>
            </w:r>
          </w:p>
        </w:tc>
        <w:tc>
          <w:tcPr>
            <w:tcW w:w="2183" w:type="dxa"/>
            <w:tcBorders>
              <w:top w:val="nil"/>
              <w:left w:val="nil"/>
              <w:bottom w:val="nil"/>
              <w:right w:val="nil"/>
            </w:tcBorders>
            <w:vAlign w:val="center"/>
          </w:tcPr>
          <w:p w14:paraId="25F7097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22.000</w:t>
            </w:r>
          </w:p>
        </w:tc>
        <w:tc>
          <w:tcPr>
            <w:tcW w:w="1975" w:type="dxa"/>
            <w:tcBorders>
              <w:top w:val="nil"/>
              <w:left w:val="nil"/>
              <w:bottom w:val="nil"/>
              <w:right w:val="nil"/>
            </w:tcBorders>
            <w:vAlign w:val="center"/>
          </w:tcPr>
          <w:p w14:paraId="1132D7D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21.448</w:t>
            </w:r>
          </w:p>
        </w:tc>
        <w:tc>
          <w:tcPr>
            <w:tcW w:w="2032" w:type="dxa"/>
            <w:tcBorders>
              <w:top w:val="nil"/>
              <w:left w:val="nil"/>
              <w:bottom w:val="nil"/>
              <w:right w:val="nil"/>
            </w:tcBorders>
            <w:vAlign w:val="center"/>
          </w:tcPr>
          <w:p w14:paraId="668E78F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21.448</w:t>
            </w:r>
          </w:p>
        </w:tc>
      </w:tr>
      <w:tr w:rsidR="00173478" w:rsidRPr="008E28A6" w14:paraId="1BCB154F" w14:textId="77777777" w:rsidTr="00FA3D25">
        <w:trPr>
          <w:trHeight w:val="248"/>
          <w:jc w:val="center"/>
        </w:trPr>
        <w:tc>
          <w:tcPr>
            <w:tcW w:w="3449" w:type="dxa"/>
            <w:tcBorders>
              <w:top w:val="nil"/>
              <w:left w:val="nil"/>
              <w:bottom w:val="nil"/>
              <w:right w:val="nil"/>
            </w:tcBorders>
            <w:vAlign w:val="center"/>
          </w:tcPr>
          <w:p w14:paraId="224DF38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Uruguay</w:t>
            </w:r>
          </w:p>
        </w:tc>
        <w:tc>
          <w:tcPr>
            <w:tcW w:w="2183" w:type="dxa"/>
            <w:tcBorders>
              <w:top w:val="nil"/>
              <w:left w:val="nil"/>
              <w:bottom w:val="nil"/>
              <w:right w:val="nil"/>
            </w:tcBorders>
            <w:vAlign w:val="center"/>
          </w:tcPr>
          <w:p w14:paraId="2383A549"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0.079</w:t>
            </w:r>
          </w:p>
        </w:tc>
        <w:tc>
          <w:tcPr>
            <w:tcW w:w="1975" w:type="dxa"/>
            <w:tcBorders>
              <w:top w:val="nil"/>
              <w:left w:val="nil"/>
              <w:bottom w:val="nil"/>
              <w:right w:val="nil"/>
            </w:tcBorders>
            <w:vAlign w:val="center"/>
          </w:tcPr>
          <w:p w14:paraId="0C68B0F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0.077</w:t>
            </w:r>
          </w:p>
        </w:tc>
        <w:tc>
          <w:tcPr>
            <w:tcW w:w="2032" w:type="dxa"/>
            <w:tcBorders>
              <w:top w:val="nil"/>
              <w:left w:val="nil"/>
              <w:bottom w:val="nil"/>
              <w:right w:val="nil"/>
            </w:tcBorders>
            <w:vAlign w:val="center"/>
          </w:tcPr>
          <w:p w14:paraId="2758FC12"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0.077</w:t>
            </w:r>
          </w:p>
        </w:tc>
      </w:tr>
      <w:tr w:rsidR="00173478" w:rsidRPr="008E28A6" w14:paraId="58D60BA4" w14:textId="77777777" w:rsidTr="00FA3D25">
        <w:trPr>
          <w:trHeight w:val="248"/>
          <w:jc w:val="center"/>
        </w:trPr>
        <w:tc>
          <w:tcPr>
            <w:tcW w:w="3449" w:type="dxa"/>
            <w:tcBorders>
              <w:top w:val="nil"/>
              <w:left w:val="nil"/>
              <w:bottom w:val="nil"/>
              <w:right w:val="nil"/>
            </w:tcBorders>
            <w:vAlign w:val="center"/>
          </w:tcPr>
          <w:p w14:paraId="58FD3836"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Uzbekistan</w:t>
            </w:r>
          </w:p>
        </w:tc>
        <w:tc>
          <w:tcPr>
            <w:tcW w:w="2183" w:type="dxa"/>
            <w:tcBorders>
              <w:top w:val="nil"/>
              <w:left w:val="nil"/>
              <w:bottom w:val="nil"/>
              <w:right w:val="nil"/>
            </w:tcBorders>
            <w:vAlign w:val="center"/>
          </w:tcPr>
          <w:p w14:paraId="056258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0.023</w:t>
            </w:r>
          </w:p>
        </w:tc>
        <w:tc>
          <w:tcPr>
            <w:tcW w:w="1975" w:type="dxa"/>
            <w:tcBorders>
              <w:top w:val="nil"/>
              <w:left w:val="nil"/>
              <w:bottom w:val="nil"/>
              <w:right w:val="nil"/>
            </w:tcBorders>
            <w:vAlign w:val="center"/>
          </w:tcPr>
          <w:p w14:paraId="28EAA52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0.022</w:t>
            </w:r>
          </w:p>
        </w:tc>
        <w:tc>
          <w:tcPr>
            <w:tcW w:w="2032" w:type="dxa"/>
            <w:tcBorders>
              <w:top w:val="nil"/>
              <w:left w:val="nil"/>
              <w:bottom w:val="nil"/>
              <w:right w:val="nil"/>
            </w:tcBorders>
            <w:vAlign w:val="center"/>
          </w:tcPr>
          <w:p w14:paraId="4CCFBEC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0.022</w:t>
            </w:r>
          </w:p>
        </w:tc>
      </w:tr>
      <w:tr w:rsidR="00173478" w:rsidRPr="008E28A6" w14:paraId="14733360" w14:textId="77777777" w:rsidTr="00FA3D25">
        <w:trPr>
          <w:trHeight w:val="248"/>
          <w:jc w:val="center"/>
        </w:trPr>
        <w:tc>
          <w:tcPr>
            <w:tcW w:w="3449" w:type="dxa"/>
            <w:tcBorders>
              <w:top w:val="nil"/>
              <w:left w:val="nil"/>
              <w:bottom w:val="nil"/>
              <w:right w:val="nil"/>
            </w:tcBorders>
            <w:vAlign w:val="center"/>
          </w:tcPr>
          <w:p w14:paraId="26897363"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Vanuatu</w:t>
            </w:r>
          </w:p>
        </w:tc>
        <w:tc>
          <w:tcPr>
            <w:tcW w:w="2183" w:type="dxa"/>
            <w:tcBorders>
              <w:top w:val="nil"/>
              <w:left w:val="nil"/>
              <w:bottom w:val="nil"/>
              <w:right w:val="nil"/>
            </w:tcBorders>
            <w:vAlign w:val="center"/>
          </w:tcPr>
          <w:p w14:paraId="021C6A8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1975" w:type="dxa"/>
            <w:tcBorders>
              <w:top w:val="nil"/>
              <w:left w:val="nil"/>
              <w:bottom w:val="nil"/>
              <w:right w:val="nil"/>
            </w:tcBorders>
            <w:vAlign w:val="center"/>
          </w:tcPr>
          <w:p w14:paraId="172F23B8"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c>
          <w:tcPr>
            <w:tcW w:w="2032" w:type="dxa"/>
            <w:tcBorders>
              <w:top w:val="nil"/>
              <w:left w:val="nil"/>
              <w:bottom w:val="nil"/>
              <w:right w:val="nil"/>
            </w:tcBorders>
            <w:vAlign w:val="center"/>
          </w:tcPr>
          <w:p w14:paraId="067A148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0.001</w:t>
            </w:r>
          </w:p>
        </w:tc>
      </w:tr>
      <w:tr w:rsidR="00173478" w:rsidRPr="008E28A6" w14:paraId="3CEC517D" w14:textId="77777777" w:rsidTr="00FA3D25">
        <w:trPr>
          <w:trHeight w:val="248"/>
          <w:jc w:val="center"/>
        </w:trPr>
        <w:tc>
          <w:tcPr>
            <w:tcW w:w="3449" w:type="dxa"/>
            <w:tcBorders>
              <w:top w:val="nil"/>
              <w:left w:val="nil"/>
              <w:bottom w:val="nil"/>
              <w:right w:val="nil"/>
            </w:tcBorders>
            <w:vAlign w:val="center"/>
          </w:tcPr>
          <w:p w14:paraId="2286AEA9"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Venezuela (Bolivarian Republic of)</w:t>
            </w:r>
          </w:p>
        </w:tc>
        <w:tc>
          <w:tcPr>
            <w:tcW w:w="2183" w:type="dxa"/>
            <w:tcBorders>
              <w:top w:val="nil"/>
              <w:left w:val="nil"/>
              <w:bottom w:val="nil"/>
              <w:right w:val="nil"/>
            </w:tcBorders>
            <w:vAlign w:val="center"/>
          </w:tcPr>
          <w:p w14:paraId="23E7597F"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0.571</w:t>
            </w:r>
          </w:p>
        </w:tc>
        <w:tc>
          <w:tcPr>
            <w:tcW w:w="1975" w:type="dxa"/>
            <w:tcBorders>
              <w:top w:val="nil"/>
              <w:left w:val="nil"/>
              <w:bottom w:val="nil"/>
              <w:right w:val="nil"/>
            </w:tcBorders>
            <w:vAlign w:val="center"/>
          </w:tcPr>
          <w:p w14:paraId="7D61174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0.557</w:t>
            </w:r>
          </w:p>
        </w:tc>
        <w:tc>
          <w:tcPr>
            <w:tcW w:w="2032" w:type="dxa"/>
            <w:tcBorders>
              <w:top w:val="nil"/>
              <w:left w:val="nil"/>
              <w:bottom w:val="nil"/>
              <w:right w:val="nil"/>
            </w:tcBorders>
            <w:vAlign w:val="center"/>
          </w:tcPr>
          <w:p w14:paraId="10C6FD33"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0.557</w:t>
            </w:r>
          </w:p>
        </w:tc>
      </w:tr>
      <w:tr w:rsidR="00173478" w:rsidRPr="008E28A6" w14:paraId="6B605E58" w14:textId="77777777" w:rsidTr="00FA3D25">
        <w:trPr>
          <w:trHeight w:val="248"/>
          <w:jc w:val="center"/>
        </w:trPr>
        <w:tc>
          <w:tcPr>
            <w:tcW w:w="3449" w:type="dxa"/>
            <w:tcBorders>
              <w:top w:val="nil"/>
              <w:left w:val="nil"/>
              <w:bottom w:val="nil"/>
              <w:right w:val="nil"/>
            </w:tcBorders>
            <w:vAlign w:val="center"/>
          </w:tcPr>
          <w:p w14:paraId="50FEF895"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Viet Nam</w:t>
            </w:r>
          </w:p>
        </w:tc>
        <w:tc>
          <w:tcPr>
            <w:tcW w:w="2183" w:type="dxa"/>
            <w:tcBorders>
              <w:top w:val="nil"/>
              <w:left w:val="nil"/>
              <w:bottom w:val="nil"/>
              <w:right w:val="nil"/>
            </w:tcBorders>
            <w:vAlign w:val="center"/>
          </w:tcPr>
          <w:p w14:paraId="6093539A"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0.058</w:t>
            </w:r>
          </w:p>
        </w:tc>
        <w:tc>
          <w:tcPr>
            <w:tcW w:w="1975" w:type="dxa"/>
            <w:tcBorders>
              <w:top w:val="nil"/>
              <w:left w:val="nil"/>
              <w:bottom w:val="nil"/>
              <w:right w:val="nil"/>
            </w:tcBorders>
            <w:vAlign w:val="center"/>
          </w:tcPr>
          <w:p w14:paraId="0EFB353B"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0.057</w:t>
            </w:r>
          </w:p>
        </w:tc>
        <w:tc>
          <w:tcPr>
            <w:tcW w:w="2032" w:type="dxa"/>
            <w:tcBorders>
              <w:top w:val="nil"/>
              <w:left w:val="nil"/>
              <w:bottom w:val="nil"/>
              <w:right w:val="nil"/>
            </w:tcBorders>
            <w:vAlign w:val="center"/>
          </w:tcPr>
          <w:p w14:paraId="5635DCB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0.057</w:t>
            </w:r>
          </w:p>
        </w:tc>
      </w:tr>
      <w:tr w:rsidR="00173478" w:rsidRPr="008E28A6" w14:paraId="0C8BFE91" w14:textId="77777777" w:rsidTr="00FA3D25">
        <w:trPr>
          <w:trHeight w:val="248"/>
          <w:jc w:val="center"/>
        </w:trPr>
        <w:tc>
          <w:tcPr>
            <w:tcW w:w="3449" w:type="dxa"/>
            <w:tcBorders>
              <w:top w:val="nil"/>
              <w:left w:val="nil"/>
              <w:bottom w:val="nil"/>
              <w:right w:val="nil"/>
            </w:tcBorders>
            <w:vAlign w:val="center"/>
          </w:tcPr>
          <w:p w14:paraId="6B105352"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Yemen</w:t>
            </w:r>
          </w:p>
        </w:tc>
        <w:tc>
          <w:tcPr>
            <w:tcW w:w="2183" w:type="dxa"/>
            <w:tcBorders>
              <w:top w:val="nil"/>
              <w:left w:val="nil"/>
              <w:bottom w:val="nil"/>
              <w:right w:val="nil"/>
            </w:tcBorders>
            <w:vAlign w:val="center"/>
          </w:tcPr>
          <w:p w14:paraId="6C596CA5"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1975" w:type="dxa"/>
            <w:tcBorders>
              <w:top w:val="nil"/>
              <w:left w:val="nil"/>
              <w:bottom w:val="nil"/>
              <w:right w:val="nil"/>
            </w:tcBorders>
            <w:vAlign w:val="center"/>
          </w:tcPr>
          <w:p w14:paraId="3DA9D986"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c>
          <w:tcPr>
            <w:tcW w:w="2032" w:type="dxa"/>
            <w:tcBorders>
              <w:top w:val="nil"/>
              <w:left w:val="nil"/>
              <w:bottom w:val="nil"/>
              <w:right w:val="nil"/>
            </w:tcBorders>
            <w:vAlign w:val="center"/>
          </w:tcPr>
          <w:p w14:paraId="380AAC9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0.010</w:t>
            </w:r>
          </w:p>
        </w:tc>
      </w:tr>
      <w:tr w:rsidR="00173478" w:rsidRPr="008E28A6" w14:paraId="319454E7" w14:textId="77777777" w:rsidTr="00FA3D25">
        <w:trPr>
          <w:trHeight w:val="248"/>
          <w:jc w:val="center"/>
        </w:trPr>
        <w:tc>
          <w:tcPr>
            <w:tcW w:w="3449" w:type="dxa"/>
            <w:tcBorders>
              <w:top w:val="nil"/>
              <w:left w:val="nil"/>
              <w:bottom w:val="nil"/>
              <w:right w:val="nil"/>
            </w:tcBorders>
            <w:vAlign w:val="center"/>
          </w:tcPr>
          <w:p w14:paraId="71B1AEC1"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Zambia</w:t>
            </w:r>
          </w:p>
        </w:tc>
        <w:tc>
          <w:tcPr>
            <w:tcW w:w="2183" w:type="dxa"/>
            <w:tcBorders>
              <w:top w:val="nil"/>
              <w:left w:val="nil"/>
              <w:bottom w:val="nil"/>
              <w:right w:val="nil"/>
            </w:tcBorders>
            <w:vAlign w:val="center"/>
          </w:tcPr>
          <w:p w14:paraId="488A1727"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1975" w:type="dxa"/>
            <w:tcBorders>
              <w:top w:val="nil"/>
              <w:left w:val="nil"/>
              <w:bottom w:val="nil"/>
              <w:right w:val="nil"/>
            </w:tcBorders>
            <w:vAlign w:val="center"/>
          </w:tcPr>
          <w:p w14:paraId="74A7028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c>
          <w:tcPr>
            <w:tcW w:w="2032" w:type="dxa"/>
            <w:tcBorders>
              <w:top w:val="nil"/>
              <w:left w:val="nil"/>
              <w:bottom w:val="nil"/>
              <w:right w:val="nil"/>
            </w:tcBorders>
            <w:vAlign w:val="center"/>
          </w:tcPr>
          <w:p w14:paraId="46186981"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0.007</w:t>
            </w:r>
          </w:p>
        </w:tc>
      </w:tr>
      <w:tr w:rsidR="00173478" w:rsidRPr="008E28A6" w14:paraId="4FE1D126" w14:textId="77777777" w:rsidTr="00FA3D25">
        <w:trPr>
          <w:trHeight w:val="263"/>
          <w:jc w:val="center"/>
        </w:trPr>
        <w:tc>
          <w:tcPr>
            <w:tcW w:w="3449" w:type="dxa"/>
            <w:tcBorders>
              <w:top w:val="nil"/>
              <w:left w:val="nil"/>
              <w:bottom w:val="single" w:sz="4" w:space="0" w:color="auto"/>
              <w:right w:val="nil"/>
            </w:tcBorders>
            <w:vAlign w:val="center"/>
          </w:tcPr>
          <w:p w14:paraId="2289EFFF" w14:textId="77777777" w:rsidR="00173478" w:rsidRPr="008E28A6" w:rsidRDefault="00173478" w:rsidP="00173478">
            <w:pPr>
              <w:suppressAutoHyphens w:val="0"/>
              <w:spacing w:line="240" w:lineRule="auto"/>
              <w:ind w:left="360" w:hanging="360"/>
              <w:rPr>
                <w:rFonts w:eastAsia="Arial Unicode MS"/>
                <w:color w:val="000000"/>
                <w:sz w:val="18"/>
                <w:szCs w:val="18"/>
                <w:lang w:eastAsia="de-DE"/>
              </w:rPr>
            </w:pPr>
            <w:r w:rsidRPr="008E28A6">
              <w:rPr>
                <w:rFonts w:eastAsia="MS Mincho"/>
                <w:color w:val="000000"/>
                <w:sz w:val="18"/>
                <w:szCs w:val="18"/>
                <w:lang w:eastAsia="de-DE"/>
              </w:rPr>
              <w:t>Zimbabwe</w:t>
            </w:r>
          </w:p>
        </w:tc>
        <w:tc>
          <w:tcPr>
            <w:tcW w:w="2183" w:type="dxa"/>
            <w:tcBorders>
              <w:top w:val="nil"/>
              <w:left w:val="nil"/>
              <w:bottom w:val="single" w:sz="4" w:space="0" w:color="auto"/>
              <w:right w:val="nil"/>
            </w:tcBorders>
            <w:vAlign w:val="center"/>
          </w:tcPr>
          <w:p w14:paraId="20C8C774"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1975" w:type="dxa"/>
            <w:tcBorders>
              <w:top w:val="nil"/>
              <w:left w:val="nil"/>
              <w:bottom w:val="single" w:sz="4" w:space="0" w:color="auto"/>
              <w:right w:val="nil"/>
            </w:tcBorders>
            <w:vAlign w:val="center"/>
          </w:tcPr>
          <w:p w14:paraId="5198815C"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c>
          <w:tcPr>
            <w:tcW w:w="2032" w:type="dxa"/>
            <w:tcBorders>
              <w:top w:val="nil"/>
              <w:left w:val="nil"/>
              <w:bottom w:val="single" w:sz="4" w:space="0" w:color="auto"/>
              <w:right w:val="nil"/>
            </w:tcBorders>
            <w:vAlign w:val="center"/>
          </w:tcPr>
          <w:p w14:paraId="62A7868E" w14:textId="77777777" w:rsidR="00173478" w:rsidRPr="008E28A6" w:rsidRDefault="00173478" w:rsidP="00FA3D25">
            <w:pPr>
              <w:suppressAutoHyphens w:val="0"/>
              <w:spacing w:line="240" w:lineRule="auto"/>
              <w:jc w:val="right"/>
              <w:rPr>
                <w:rFonts w:eastAsia="MS Mincho"/>
                <w:sz w:val="18"/>
                <w:szCs w:val="18"/>
                <w:lang w:eastAsia="de-DE"/>
              </w:rPr>
            </w:pPr>
            <w:r w:rsidRPr="008E28A6">
              <w:rPr>
                <w:rFonts w:eastAsia="MS Mincho"/>
                <w:sz w:val="18"/>
                <w:szCs w:val="18"/>
                <w:lang w:eastAsia="de-DE"/>
              </w:rPr>
              <w:t>0.004</w:t>
            </w:r>
          </w:p>
        </w:tc>
      </w:tr>
      <w:tr w:rsidR="00173478" w:rsidRPr="008E28A6" w14:paraId="50030BC3" w14:textId="77777777" w:rsidTr="00FA3D25">
        <w:trPr>
          <w:trHeight w:val="263"/>
          <w:jc w:val="center"/>
        </w:trPr>
        <w:tc>
          <w:tcPr>
            <w:tcW w:w="3449" w:type="dxa"/>
            <w:tcBorders>
              <w:top w:val="single" w:sz="4" w:space="0" w:color="auto"/>
              <w:left w:val="nil"/>
              <w:bottom w:val="single" w:sz="12" w:space="0" w:color="auto"/>
              <w:right w:val="nil"/>
            </w:tcBorders>
            <w:vAlign w:val="center"/>
          </w:tcPr>
          <w:p w14:paraId="2521774C" w14:textId="77777777" w:rsidR="00173478" w:rsidRPr="008E28A6" w:rsidRDefault="00173478" w:rsidP="00173478">
            <w:pPr>
              <w:suppressAutoHyphens w:val="0"/>
              <w:autoSpaceDE w:val="0"/>
              <w:autoSpaceDN w:val="0"/>
              <w:adjustRightInd w:val="0"/>
              <w:spacing w:line="240" w:lineRule="auto"/>
              <w:ind w:left="187"/>
              <w:rPr>
                <w:rFonts w:eastAsia="MS Mincho"/>
                <w:b/>
                <w:bCs/>
                <w:color w:val="000000"/>
                <w:sz w:val="18"/>
                <w:szCs w:val="18"/>
                <w:lang w:eastAsia="de-DE"/>
              </w:rPr>
            </w:pPr>
            <w:r w:rsidRPr="008E28A6">
              <w:rPr>
                <w:rFonts w:eastAsia="MS Mincho"/>
                <w:b/>
                <w:bCs/>
                <w:color w:val="000000"/>
                <w:sz w:val="18"/>
                <w:szCs w:val="18"/>
                <w:lang w:eastAsia="de-DE"/>
              </w:rPr>
              <w:t>Total</w:t>
            </w:r>
          </w:p>
        </w:tc>
        <w:tc>
          <w:tcPr>
            <w:tcW w:w="2183" w:type="dxa"/>
            <w:tcBorders>
              <w:top w:val="single" w:sz="4" w:space="0" w:color="auto"/>
              <w:left w:val="nil"/>
              <w:bottom w:val="single" w:sz="12" w:space="0" w:color="auto"/>
              <w:right w:val="nil"/>
            </w:tcBorders>
            <w:vAlign w:val="center"/>
          </w:tcPr>
          <w:p w14:paraId="0FEA65F2" w14:textId="77777777" w:rsidR="00173478" w:rsidRPr="008E28A6" w:rsidRDefault="00173478" w:rsidP="00FA3D25">
            <w:pPr>
              <w:suppressAutoHyphens w:val="0"/>
              <w:spacing w:line="240" w:lineRule="auto"/>
              <w:jc w:val="right"/>
              <w:rPr>
                <w:rFonts w:eastAsia="Arial Unicode MS"/>
                <w:b/>
                <w:bCs/>
                <w:sz w:val="18"/>
                <w:szCs w:val="18"/>
                <w:lang w:eastAsia="de-DE"/>
              </w:rPr>
            </w:pPr>
            <w:r w:rsidRPr="008E28A6">
              <w:rPr>
                <w:rFonts w:eastAsia="MS Mincho"/>
                <w:b/>
                <w:sz w:val="18"/>
                <w:szCs w:val="18"/>
                <w:lang w:eastAsia="de-DE"/>
              </w:rPr>
              <w:t>102.509</w:t>
            </w:r>
          </w:p>
        </w:tc>
        <w:tc>
          <w:tcPr>
            <w:tcW w:w="1975" w:type="dxa"/>
            <w:tcBorders>
              <w:top w:val="single" w:sz="4" w:space="0" w:color="auto"/>
              <w:left w:val="nil"/>
              <w:bottom w:val="single" w:sz="12" w:space="0" w:color="auto"/>
              <w:right w:val="nil"/>
            </w:tcBorders>
            <w:vAlign w:val="center"/>
          </w:tcPr>
          <w:p w14:paraId="2E55A565" w14:textId="77777777" w:rsidR="00173478" w:rsidRPr="008E28A6" w:rsidRDefault="00173478" w:rsidP="00FA3D25">
            <w:pPr>
              <w:suppressAutoHyphens w:val="0"/>
              <w:spacing w:line="240" w:lineRule="auto"/>
              <w:jc w:val="right"/>
              <w:rPr>
                <w:rFonts w:eastAsia="Arial Unicode MS"/>
                <w:b/>
                <w:bCs/>
                <w:sz w:val="18"/>
                <w:szCs w:val="18"/>
                <w:lang w:eastAsia="de-DE"/>
              </w:rPr>
            </w:pPr>
            <w:r w:rsidRPr="008E28A6">
              <w:rPr>
                <w:rFonts w:eastAsia="MS Mincho"/>
                <w:b/>
                <w:sz w:val="18"/>
                <w:szCs w:val="18"/>
                <w:lang w:eastAsia="de-DE"/>
              </w:rPr>
              <w:t>100.000</w:t>
            </w:r>
          </w:p>
        </w:tc>
        <w:tc>
          <w:tcPr>
            <w:tcW w:w="2032" w:type="dxa"/>
            <w:tcBorders>
              <w:top w:val="single" w:sz="4" w:space="0" w:color="auto"/>
              <w:left w:val="nil"/>
              <w:bottom w:val="single" w:sz="12" w:space="0" w:color="auto"/>
              <w:right w:val="nil"/>
            </w:tcBorders>
            <w:vAlign w:val="center"/>
          </w:tcPr>
          <w:p w14:paraId="26B6DB2D" w14:textId="77777777" w:rsidR="00173478" w:rsidRPr="008E28A6" w:rsidRDefault="00173478" w:rsidP="00FA3D25">
            <w:pPr>
              <w:suppressAutoHyphens w:val="0"/>
              <w:spacing w:line="240" w:lineRule="auto"/>
              <w:jc w:val="right"/>
              <w:rPr>
                <w:rFonts w:eastAsia="Arial Unicode MS"/>
                <w:b/>
                <w:bCs/>
                <w:sz w:val="18"/>
                <w:szCs w:val="18"/>
                <w:lang w:eastAsia="de-DE"/>
              </w:rPr>
            </w:pPr>
            <w:r w:rsidRPr="008E28A6">
              <w:rPr>
                <w:rFonts w:eastAsia="MS Mincho"/>
                <w:b/>
                <w:sz w:val="18"/>
                <w:szCs w:val="18"/>
                <w:lang w:eastAsia="de-DE"/>
              </w:rPr>
              <w:t>100.000</w:t>
            </w:r>
          </w:p>
        </w:tc>
      </w:tr>
    </w:tbl>
    <w:p w14:paraId="1FE71D72" w14:textId="772729B9" w:rsidR="00173478" w:rsidRPr="008E28A6" w:rsidRDefault="000F209A" w:rsidP="000F209A">
      <w:pPr>
        <w:suppressAutoHyphens w:val="0"/>
        <w:spacing w:before="120" w:after="120" w:line="220" w:lineRule="exact"/>
        <w:ind w:firstLine="170"/>
        <w:rPr>
          <w:rFonts w:eastAsia="MS Mincho"/>
          <w:sz w:val="18"/>
          <w:lang w:eastAsia="de-DE"/>
        </w:rPr>
      </w:pPr>
      <w:r w:rsidRPr="008E28A6">
        <w:rPr>
          <w:rFonts w:eastAsia="MS Mincho"/>
          <w:i/>
          <w:sz w:val="18"/>
          <w:vertAlign w:val="superscript"/>
          <w:lang w:eastAsia="de-DE"/>
        </w:rPr>
        <w:t xml:space="preserve">a   </w:t>
      </w:r>
      <w:r w:rsidR="00173478" w:rsidRPr="008E28A6">
        <w:rPr>
          <w:rFonts w:eastAsia="MS Mincho"/>
          <w:sz w:val="18"/>
          <w:lang w:eastAsia="de-DE"/>
        </w:rPr>
        <w:t>Pursuant to decision 15/CP.1, annex I, paragraph 7(a), the UNFCCC scale of indicative contributions may be adjusted following the adoption by the United Nations General Assembly of the United Nations scale of assessments for the period 2019–2021.</w:t>
      </w:r>
    </w:p>
    <w:p w14:paraId="00615D95" w14:textId="462F2872" w:rsidR="00173478" w:rsidRPr="00CC4174" w:rsidRDefault="000D0389" w:rsidP="0004656A">
      <w:pPr>
        <w:pStyle w:val="RegSingleTxtG"/>
        <w:numPr>
          <w:ilvl w:val="0"/>
          <w:numId w:val="0"/>
        </w:numPr>
        <w:suppressAutoHyphens w:val="0"/>
        <w:autoSpaceDE w:val="0"/>
        <w:autoSpaceDN w:val="0"/>
        <w:adjustRightInd w:val="0"/>
        <w:spacing w:after="0" w:line="240" w:lineRule="auto"/>
        <w:ind w:left="1304" w:right="-1"/>
        <w:jc w:val="right"/>
        <w:rPr>
          <w:i/>
          <w:lang w:eastAsia="en-US"/>
        </w:rPr>
      </w:pPr>
      <w:r>
        <w:rPr>
          <w:i/>
          <w:lang w:eastAsia="en-US"/>
        </w:rPr>
        <w:t>12</w:t>
      </w:r>
      <w:r w:rsidR="00173478" w:rsidRPr="000D0389">
        <w:rPr>
          <w:i/>
          <w:vertAlign w:val="superscript"/>
          <w:lang w:eastAsia="en-US"/>
        </w:rPr>
        <w:t>th</w:t>
      </w:r>
      <w:r w:rsidR="00173478" w:rsidRPr="000D0389">
        <w:rPr>
          <w:i/>
          <w:lang w:eastAsia="en-US"/>
        </w:rPr>
        <w:t xml:space="preserve"> plenary meeting</w:t>
      </w:r>
    </w:p>
    <w:p w14:paraId="038F68D4" w14:textId="77777777" w:rsidR="00173478" w:rsidRDefault="00173478" w:rsidP="0004656A">
      <w:pPr>
        <w:pStyle w:val="RegSingleTxtG"/>
        <w:numPr>
          <w:ilvl w:val="0"/>
          <w:numId w:val="0"/>
        </w:numPr>
        <w:suppressAutoHyphens w:val="0"/>
        <w:autoSpaceDE w:val="0"/>
        <w:autoSpaceDN w:val="0"/>
        <w:adjustRightInd w:val="0"/>
        <w:spacing w:after="0" w:line="240" w:lineRule="auto"/>
        <w:ind w:left="1304" w:right="-1"/>
        <w:jc w:val="right"/>
        <w:rPr>
          <w:i/>
          <w:lang w:eastAsia="en-US"/>
        </w:rPr>
        <w:sectPr w:rsidR="00173478" w:rsidSect="0024232D">
          <w:headerReference w:type="even" r:id="rId50"/>
          <w:headerReference w:type="default" r:id="rId51"/>
          <w:footerReference w:type="even" r:id="rId52"/>
          <w:footerReference w:type="default" r:id="rId53"/>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7</w:t>
      </w:r>
      <w:r w:rsidRPr="00CC4174">
        <w:rPr>
          <w:i/>
          <w:lang w:eastAsia="en-US"/>
        </w:rPr>
        <w:t xml:space="preserve"> November 201</w:t>
      </w:r>
      <w:r>
        <w:rPr>
          <w:i/>
          <w:lang w:eastAsia="en-US"/>
        </w:rPr>
        <w:t>7</w:t>
      </w:r>
    </w:p>
    <w:p w14:paraId="2FB53B8D" w14:textId="77777777" w:rsidR="00173478" w:rsidRDefault="00173478" w:rsidP="00173478">
      <w:pPr>
        <w:pStyle w:val="HChG"/>
      </w:pPr>
      <w:r>
        <w:lastRenderedPageBreak/>
        <w:tab/>
      </w:r>
      <w:r>
        <w:tab/>
        <w:t>Decision 22/CP.23</w:t>
      </w:r>
    </w:p>
    <w:p w14:paraId="56BA52F9" w14:textId="77777777" w:rsidR="0004656A" w:rsidRDefault="0004656A" w:rsidP="0004656A">
      <w:pPr>
        <w:pStyle w:val="HChG"/>
      </w:pPr>
      <w:r>
        <w:tab/>
      </w:r>
      <w:r>
        <w:tab/>
        <w:t>Dates and venues of future sessions</w:t>
      </w:r>
    </w:p>
    <w:p w14:paraId="450E0558" w14:textId="77777777" w:rsidR="0004656A" w:rsidRPr="00EA2339" w:rsidRDefault="0004656A" w:rsidP="0004656A">
      <w:pPr>
        <w:pStyle w:val="RegSingleTxtG"/>
        <w:numPr>
          <w:ilvl w:val="0"/>
          <w:numId w:val="0"/>
        </w:numPr>
        <w:ind w:left="1134"/>
        <w:rPr>
          <w:i/>
        </w:rPr>
      </w:pPr>
      <w:r>
        <w:tab/>
      </w:r>
      <w:r w:rsidRPr="00EA2339">
        <w:rPr>
          <w:i/>
        </w:rPr>
        <w:t>The Conference of the Parties</w:t>
      </w:r>
      <w:r w:rsidRPr="0056588F">
        <w:t>,</w:t>
      </w:r>
    </w:p>
    <w:p w14:paraId="45EFCBE6" w14:textId="77777777" w:rsidR="0004656A" w:rsidRDefault="0004656A" w:rsidP="0004656A">
      <w:pPr>
        <w:pStyle w:val="RegSingleTxtG"/>
        <w:numPr>
          <w:ilvl w:val="0"/>
          <w:numId w:val="0"/>
        </w:numPr>
        <w:ind w:left="1134"/>
      </w:pPr>
      <w:r>
        <w:tab/>
      </w:r>
      <w:r w:rsidRPr="00EA2339">
        <w:rPr>
          <w:i/>
        </w:rPr>
        <w:t>Recalling</w:t>
      </w:r>
      <w:r>
        <w:t xml:space="preserve"> Article 7, paragraph 4, of the Convention,</w:t>
      </w:r>
    </w:p>
    <w:p w14:paraId="1B6E029C" w14:textId="77777777" w:rsidR="0004656A" w:rsidRDefault="0004656A" w:rsidP="0004656A">
      <w:pPr>
        <w:pStyle w:val="RegSingleTxtG"/>
        <w:numPr>
          <w:ilvl w:val="0"/>
          <w:numId w:val="0"/>
        </w:numPr>
        <w:ind w:left="1134"/>
      </w:pPr>
      <w:r>
        <w:tab/>
      </w:r>
      <w:r w:rsidRPr="00EA2339">
        <w:rPr>
          <w:i/>
        </w:rPr>
        <w:t>Also recalling</w:t>
      </w:r>
      <w:r>
        <w:t xml:space="preserve"> United Nations General Assembly resolution 40/243 of 18 December 1985 on the pattern of conferences,</w:t>
      </w:r>
    </w:p>
    <w:p w14:paraId="6666DC28" w14:textId="77777777" w:rsidR="0004656A" w:rsidRDefault="0004656A" w:rsidP="0004656A">
      <w:pPr>
        <w:pStyle w:val="RegSingleTxtG"/>
        <w:numPr>
          <w:ilvl w:val="0"/>
          <w:numId w:val="0"/>
        </w:numPr>
        <w:ind w:left="1134"/>
      </w:pPr>
      <w:r>
        <w:tab/>
      </w:r>
      <w:r w:rsidRPr="00EA2339">
        <w:rPr>
          <w:i/>
        </w:rPr>
        <w:t>Further recalling</w:t>
      </w:r>
      <w:r>
        <w:t xml:space="preserve"> rule 22, paragraph 1, of the draft rules of procedure being applied regarding the rotation of the office of President among the five regional groups,</w:t>
      </w:r>
    </w:p>
    <w:p w14:paraId="1318E14C" w14:textId="77777777" w:rsidR="0004656A" w:rsidRDefault="0004656A" w:rsidP="0004656A">
      <w:pPr>
        <w:pStyle w:val="RegSingleTxtG"/>
        <w:numPr>
          <w:ilvl w:val="0"/>
          <w:numId w:val="0"/>
        </w:numPr>
        <w:ind w:left="1134"/>
      </w:pPr>
      <w:r>
        <w:tab/>
      </w:r>
      <w:r w:rsidRPr="00EA2339">
        <w:rPr>
          <w:i/>
        </w:rPr>
        <w:t>Recalling</w:t>
      </w:r>
      <w:r>
        <w:t xml:space="preserve"> rule 3 of the draft rules of procedure being applied, which provides that the sessions of the Conference of the Parties shall take place at the seat of the secretariat unless the Conference of the Parties decides otherwise or other appropriate arrangements are made by the secretariat in consultation with Parties,</w:t>
      </w:r>
    </w:p>
    <w:p w14:paraId="3C87D044" w14:textId="77777777" w:rsidR="0004656A" w:rsidRDefault="0004656A" w:rsidP="0004656A">
      <w:pPr>
        <w:pStyle w:val="RegSingleTxtG"/>
        <w:numPr>
          <w:ilvl w:val="0"/>
          <w:numId w:val="0"/>
        </w:numPr>
        <w:ind w:left="1134"/>
      </w:pPr>
      <w:r>
        <w:rPr>
          <w:i/>
        </w:rPr>
        <w:tab/>
      </w:r>
      <w:r w:rsidRPr="0066307A">
        <w:rPr>
          <w:i/>
        </w:rPr>
        <w:t>Also recalling</w:t>
      </w:r>
      <w:r>
        <w:t xml:space="preserve"> decision 24/CP.22, paragraphs 7–11, regarding the acceptance of the offer of the Government of Poland to host </w:t>
      </w:r>
      <w:r w:rsidRPr="00E013B3">
        <w:t xml:space="preserve">the sessions </w:t>
      </w:r>
      <w:r>
        <w:t xml:space="preserve">taking place </w:t>
      </w:r>
      <w:r w:rsidRPr="00E013B3">
        <w:t>in the second sessional period</w:t>
      </w:r>
      <w:r>
        <w:t xml:space="preserve"> of 2018, from 3 to 14 December,</w:t>
      </w:r>
    </w:p>
    <w:p w14:paraId="414D8843" w14:textId="54B321DE" w:rsidR="0004656A" w:rsidRDefault="000F209A" w:rsidP="000F209A">
      <w:pPr>
        <w:pStyle w:val="RegHChG"/>
        <w:numPr>
          <w:ilvl w:val="0"/>
          <w:numId w:val="0"/>
        </w:numPr>
        <w:tabs>
          <w:tab w:val="left" w:pos="1135"/>
        </w:tabs>
        <w:ind w:left="1135" w:hanging="454"/>
      </w:pPr>
      <w:r>
        <w:t>I.</w:t>
      </w:r>
      <w:r>
        <w:tab/>
      </w:r>
      <w:r w:rsidR="0004656A">
        <w:t>Dates and venues of future sessions</w:t>
      </w:r>
    </w:p>
    <w:p w14:paraId="567137B9" w14:textId="5D7460D1" w:rsidR="0004656A" w:rsidRDefault="000F209A" w:rsidP="000F209A">
      <w:pPr>
        <w:pStyle w:val="RegH1G"/>
        <w:numPr>
          <w:ilvl w:val="0"/>
          <w:numId w:val="0"/>
        </w:numPr>
        <w:tabs>
          <w:tab w:val="left" w:pos="1135"/>
        </w:tabs>
        <w:ind w:left="1135" w:hanging="454"/>
      </w:pPr>
      <w:r>
        <w:t>A.</w:t>
      </w:r>
      <w:r>
        <w:tab/>
      </w:r>
      <w:r w:rsidR="0004656A">
        <w:t>2018</w:t>
      </w:r>
    </w:p>
    <w:p w14:paraId="507395B0" w14:textId="1A843866" w:rsidR="0004656A" w:rsidRDefault="000F209A" w:rsidP="000F209A">
      <w:pPr>
        <w:pStyle w:val="RegSingleTxtG"/>
        <w:numPr>
          <w:ilvl w:val="0"/>
          <w:numId w:val="0"/>
        </w:numPr>
        <w:ind w:left="1134"/>
      </w:pPr>
      <w:r>
        <w:t>1.</w:t>
      </w:r>
      <w:r>
        <w:tab/>
      </w:r>
      <w:r w:rsidR="0004656A" w:rsidRPr="0004656A">
        <w:rPr>
          <w:i/>
        </w:rPr>
        <w:t>Notes</w:t>
      </w:r>
      <w:r w:rsidR="0004656A">
        <w:t xml:space="preserve"> that, in keeping with the principle of rotation among the regional groups, the President to be elected at the sessions to be held from 3 to 14 December 2018 would come from the Eastern European States;</w:t>
      </w:r>
    </w:p>
    <w:p w14:paraId="7D4266D6" w14:textId="2E6602BF" w:rsidR="0004656A" w:rsidRDefault="000F209A" w:rsidP="000F209A">
      <w:pPr>
        <w:pStyle w:val="RegSingleTxtG"/>
        <w:numPr>
          <w:ilvl w:val="0"/>
          <w:numId w:val="0"/>
        </w:numPr>
        <w:ind w:left="1134"/>
      </w:pPr>
      <w:r>
        <w:t>2.</w:t>
      </w:r>
      <w:r>
        <w:tab/>
      </w:r>
      <w:r w:rsidR="0004656A" w:rsidRPr="00EA2339">
        <w:rPr>
          <w:i/>
        </w:rPr>
        <w:t>Express</w:t>
      </w:r>
      <w:r w:rsidR="0004656A">
        <w:rPr>
          <w:i/>
        </w:rPr>
        <w:t>es</w:t>
      </w:r>
      <w:r w:rsidR="0004656A">
        <w:t xml:space="preserve"> </w:t>
      </w:r>
      <w:r w:rsidR="0004656A" w:rsidRPr="0056588F">
        <w:rPr>
          <w:i/>
        </w:rPr>
        <w:t>its appreciation</w:t>
      </w:r>
      <w:r w:rsidR="0004656A">
        <w:t xml:space="preserve"> for the nomination received from the Eastern European States of </w:t>
      </w:r>
      <w:r w:rsidR="0004656A">
        <w:rPr>
          <w:bCs/>
        </w:rPr>
        <w:t>Mr.</w:t>
      </w:r>
      <w:r w:rsidR="0004656A" w:rsidRPr="00E013B3">
        <w:rPr>
          <w:bCs/>
        </w:rPr>
        <w:t xml:space="preserve"> Jan Szyszko</w:t>
      </w:r>
      <w:r w:rsidR="0004656A">
        <w:rPr>
          <w:bCs/>
        </w:rPr>
        <w:t xml:space="preserve"> </w:t>
      </w:r>
      <w:r w:rsidR="0004656A">
        <w:t>to serve as President at the sessions referred to in paragraph 1 above;</w:t>
      </w:r>
    </w:p>
    <w:p w14:paraId="77702124" w14:textId="1BB5F433" w:rsidR="0004656A" w:rsidRDefault="000F209A" w:rsidP="000F209A">
      <w:pPr>
        <w:pStyle w:val="RegSingleTxtG"/>
        <w:numPr>
          <w:ilvl w:val="0"/>
          <w:numId w:val="0"/>
        </w:numPr>
        <w:ind w:left="1134"/>
      </w:pPr>
      <w:r>
        <w:t>3.</w:t>
      </w:r>
      <w:r>
        <w:tab/>
      </w:r>
      <w:r w:rsidR="0004656A" w:rsidRPr="00C334CE">
        <w:rPr>
          <w:i/>
        </w:rPr>
        <w:t>Notes</w:t>
      </w:r>
      <w:r w:rsidR="0004656A">
        <w:t xml:space="preserve"> the decision of the Government of Poland to host the sessions referred to in paragraph 1 above in Katowice;</w:t>
      </w:r>
    </w:p>
    <w:p w14:paraId="23B45698" w14:textId="7B0220EC" w:rsidR="0004656A" w:rsidRDefault="000F209A" w:rsidP="000F209A">
      <w:pPr>
        <w:pStyle w:val="RegSingleTxtG"/>
        <w:numPr>
          <w:ilvl w:val="0"/>
          <w:numId w:val="0"/>
        </w:numPr>
        <w:ind w:left="1134"/>
      </w:pPr>
      <w:r>
        <w:t>4.</w:t>
      </w:r>
      <w:r>
        <w:tab/>
      </w:r>
      <w:r w:rsidR="0004656A" w:rsidRPr="00203200">
        <w:rPr>
          <w:i/>
        </w:rPr>
        <w:t xml:space="preserve">Reiterates its request </w:t>
      </w:r>
      <w:r w:rsidR="0004656A" w:rsidRPr="00C334CE">
        <w:t>to</w:t>
      </w:r>
      <w:r w:rsidR="0004656A">
        <w:t xml:space="preserve"> the Executive Secretary to make the necessary arrangements for convening the sessions referred to in paragraph 1 above;</w:t>
      </w:r>
    </w:p>
    <w:p w14:paraId="586ACA14" w14:textId="4E004273" w:rsidR="0004656A" w:rsidRDefault="000F209A" w:rsidP="000F209A">
      <w:pPr>
        <w:pStyle w:val="RegH1G"/>
        <w:numPr>
          <w:ilvl w:val="0"/>
          <w:numId w:val="0"/>
        </w:numPr>
        <w:tabs>
          <w:tab w:val="left" w:pos="1135"/>
        </w:tabs>
        <w:ind w:left="1135" w:hanging="454"/>
      </w:pPr>
      <w:r>
        <w:t>B.</w:t>
      </w:r>
      <w:r>
        <w:tab/>
      </w:r>
      <w:r w:rsidR="0004656A">
        <w:t>2019</w:t>
      </w:r>
    </w:p>
    <w:p w14:paraId="13D73856" w14:textId="1D11C6B1" w:rsidR="0004656A" w:rsidRDefault="000F209A" w:rsidP="000F209A">
      <w:pPr>
        <w:pStyle w:val="RegSingleTxtG"/>
        <w:numPr>
          <w:ilvl w:val="0"/>
          <w:numId w:val="0"/>
        </w:numPr>
        <w:ind w:left="1134"/>
      </w:pPr>
      <w:r>
        <w:t>5.</w:t>
      </w:r>
      <w:r>
        <w:tab/>
      </w:r>
      <w:r w:rsidR="0004656A" w:rsidRPr="00EA2339">
        <w:rPr>
          <w:i/>
        </w:rPr>
        <w:t>Notes</w:t>
      </w:r>
      <w:r w:rsidR="0004656A">
        <w:t xml:space="preserve"> that, in keeping with the principle of rotation among the regional groups, the President to be elected at the sessions to be held from 11 to 22 November 2019 would come from the Latin American and Caribbean States;</w:t>
      </w:r>
    </w:p>
    <w:p w14:paraId="4298F144" w14:textId="70EBB1D2" w:rsidR="0004656A" w:rsidRDefault="000F209A" w:rsidP="000F209A">
      <w:pPr>
        <w:pStyle w:val="RegSingleTxtG"/>
        <w:numPr>
          <w:ilvl w:val="0"/>
          <w:numId w:val="0"/>
        </w:numPr>
        <w:ind w:left="1134"/>
      </w:pPr>
      <w:r>
        <w:t>6.</w:t>
      </w:r>
      <w:r>
        <w:tab/>
      </w:r>
      <w:r w:rsidR="0004656A">
        <w:rPr>
          <w:i/>
        </w:rPr>
        <w:t>Invites</w:t>
      </w:r>
      <w:r w:rsidR="0004656A">
        <w:t xml:space="preserve"> Parties to undertake further consultations on the hosting of the sessions referred to </w:t>
      </w:r>
      <w:r w:rsidR="0004656A" w:rsidRPr="0004656A">
        <w:t>in paragraph 5 above;</w:t>
      </w:r>
    </w:p>
    <w:p w14:paraId="006C961F" w14:textId="42AFE4DC" w:rsidR="0004656A" w:rsidRDefault="000F209A" w:rsidP="000F209A">
      <w:pPr>
        <w:pStyle w:val="RegSingleTxtG"/>
        <w:numPr>
          <w:ilvl w:val="0"/>
          <w:numId w:val="0"/>
        </w:numPr>
        <w:ind w:left="1134"/>
      </w:pPr>
      <w:r>
        <w:t>7.</w:t>
      </w:r>
      <w:r>
        <w:tab/>
      </w:r>
      <w:r w:rsidR="0004656A">
        <w:rPr>
          <w:i/>
        </w:rPr>
        <w:t>Requests</w:t>
      </w:r>
      <w:r w:rsidR="0004656A">
        <w:t xml:space="preserve"> the Subsidiary Body for Implementation, at its forty-eighth session (April–May 2018), to consider the issue of the host of the sessions referred to in </w:t>
      </w:r>
      <w:r w:rsidR="0004656A" w:rsidRPr="0004656A">
        <w:t>paragraph 5 above</w:t>
      </w:r>
      <w:r w:rsidR="0004656A">
        <w:t xml:space="preserve"> and to recommend a draft decision on the matter for consideration and adoption by the Conference of the Parties at its twenty-fourth session</w:t>
      </w:r>
      <w:r w:rsidR="00A90F8A">
        <w:t xml:space="preserve"> (December 2018)</w:t>
      </w:r>
      <w:r w:rsidR="0004656A">
        <w:t>;</w:t>
      </w:r>
    </w:p>
    <w:p w14:paraId="60C7E3A0" w14:textId="142DF8D6" w:rsidR="0004656A" w:rsidRDefault="000F209A" w:rsidP="000F209A">
      <w:pPr>
        <w:pStyle w:val="RegH1G"/>
        <w:numPr>
          <w:ilvl w:val="0"/>
          <w:numId w:val="0"/>
        </w:numPr>
        <w:tabs>
          <w:tab w:val="left" w:pos="1135"/>
        </w:tabs>
        <w:ind w:left="1135" w:hanging="454"/>
      </w:pPr>
      <w:r>
        <w:lastRenderedPageBreak/>
        <w:t>C.</w:t>
      </w:r>
      <w:r>
        <w:tab/>
      </w:r>
      <w:r w:rsidR="0004656A">
        <w:t>2020</w:t>
      </w:r>
    </w:p>
    <w:p w14:paraId="6F744C16" w14:textId="7419931F" w:rsidR="0004656A" w:rsidRDefault="000F209A" w:rsidP="000F209A">
      <w:pPr>
        <w:pStyle w:val="RegSingleTxtG"/>
        <w:numPr>
          <w:ilvl w:val="0"/>
          <w:numId w:val="0"/>
        </w:numPr>
        <w:ind w:left="1134"/>
      </w:pPr>
      <w:r>
        <w:t>8.</w:t>
      </w:r>
      <w:r>
        <w:tab/>
      </w:r>
      <w:r w:rsidR="0004656A" w:rsidRPr="00EA2339">
        <w:rPr>
          <w:i/>
        </w:rPr>
        <w:t>Notes</w:t>
      </w:r>
      <w:r w:rsidR="0004656A">
        <w:t xml:space="preserve"> that, in keeping with the principle of rotation among the regional groups, the President to be elected at the sessions to be held from 9 to 20 November 2020 would come from the Western European and other States;</w:t>
      </w:r>
    </w:p>
    <w:p w14:paraId="5B97E0ED" w14:textId="3539590A" w:rsidR="0004656A" w:rsidRDefault="000F209A" w:rsidP="000F209A">
      <w:pPr>
        <w:pStyle w:val="RegSingleTxtG"/>
        <w:numPr>
          <w:ilvl w:val="0"/>
          <w:numId w:val="0"/>
        </w:numPr>
        <w:ind w:left="1134"/>
      </w:pPr>
      <w:r>
        <w:t>9.</w:t>
      </w:r>
      <w:r>
        <w:tab/>
      </w:r>
      <w:r w:rsidR="0004656A" w:rsidRPr="00EA2339">
        <w:rPr>
          <w:i/>
        </w:rPr>
        <w:t>Invites</w:t>
      </w:r>
      <w:r w:rsidR="0004656A">
        <w:t xml:space="preserve"> Parties to undertake further consultations on the hosting of the sessions referred to in paragraph </w:t>
      </w:r>
      <w:r w:rsidR="00455FFC">
        <w:t>8</w:t>
      </w:r>
      <w:r w:rsidR="0004656A">
        <w:t xml:space="preserve"> above;</w:t>
      </w:r>
    </w:p>
    <w:p w14:paraId="6C9CC487" w14:textId="2146D3D5" w:rsidR="0004656A" w:rsidRDefault="000F209A" w:rsidP="000F209A">
      <w:pPr>
        <w:pStyle w:val="RegSingleTxtG"/>
        <w:numPr>
          <w:ilvl w:val="0"/>
          <w:numId w:val="0"/>
        </w:numPr>
        <w:ind w:left="1134"/>
      </w:pPr>
      <w:r>
        <w:t>10.</w:t>
      </w:r>
      <w:r>
        <w:tab/>
      </w:r>
      <w:r w:rsidR="0004656A" w:rsidRPr="00EA2339">
        <w:rPr>
          <w:i/>
        </w:rPr>
        <w:t>Requests</w:t>
      </w:r>
      <w:r w:rsidR="0004656A">
        <w:t xml:space="preserve"> the Subsidiary Body for Implementation, at its forty-eighth session, to consider the issue of the host of the sessions referred to in paragraph </w:t>
      </w:r>
      <w:r w:rsidR="00455FFC">
        <w:t>8</w:t>
      </w:r>
      <w:r w:rsidR="0004656A">
        <w:t xml:space="preserve"> above and to recommend a draft decision on the matter for consideration and adoption by the Conference of the Parties at its twenty-fourth session;</w:t>
      </w:r>
    </w:p>
    <w:p w14:paraId="552C667A" w14:textId="63752CDC" w:rsidR="0004656A" w:rsidRDefault="000F209A" w:rsidP="000F209A">
      <w:pPr>
        <w:pStyle w:val="RegHChG"/>
        <w:numPr>
          <w:ilvl w:val="0"/>
          <w:numId w:val="0"/>
        </w:numPr>
        <w:tabs>
          <w:tab w:val="left" w:pos="1135"/>
        </w:tabs>
        <w:ind w:left="1135" w:hanging="454"/>
      </w:pPr>
      <w:r>
        <w:t>II.</w:t>
      </w:r>
      <w:r>
        <w:tab/>
      </w:r>
      <w:r w:rsidR="0004656A">
        <w:t>Calendar of meetings of the Convention, Kyoto Protocol and Paris Agreement bodies</w:t>
      </w:r>
    </w:p>
    <w:p w14:paraId="236444D7" w14:textId="0B089628" w:rsidR="0004656A" w:rsidRDefault="000F209A" w:rsidP="000F209A">
      <w:pPr>
        <w:pStyle w:val="RegSingleTxtG"/>
        <w:numPr>
          <w:ilvl w:val="0"/>
          <w:numId w:val="0"/>
        </w:numPr>
        <w:ind w:left="1134"/>
      </w:pPr>
      <w:r>
        <w:t>11.</w:t>
      </w:r>
      <w:r>
        <w:tab/>
      </w:r>
      <w:r w:rsidR="0004656A" w:rsidRPr="00EA2339">
        <w:rPr>
          <w:i/>
        </w:rPr>
        <w:t>Decides</w:t>
      </w:r>
      <w:r w:rsidR="0004656A">
        <w:t xml:space="preserve"> to adopt the following dates for the sessional periods in 2022:</w:t>
      </w:r>
    </w:p>
    <w:p w14:paraId="58B1C2DF" w14:textId="23C6571C" w:rsidR="0004656A" w:rsidRPr="00203200" w:rsidRDefault="000F209A" w:rsidP="000F209A">
      <w:pPr>
        <w:pStyle w:val="RegSingleTxtG2"/>
        <w:numPr>
          <w:ilvl w:val="0"/>
          <w:numId w:val="0"/>
        </w:numPr>
        <w:ind w:left="1134" w:firstLine="567"/>
      </w:pPr>
      <w:r w:rsidRPr="00203200">
        <w:rPr>
          <w:szCs w:val="28"/>
        </w:rPr>
        <w:t>(a)</w:t>
      </w:r>
      <w:r w:rsidRPr="00203200">
        <w:rPr>
          <w:szCs w:val="28"/>
        </w:rPr>
        <w:tab/>
      </w:r>
      <w:r w:rsidR="0004656A">
        <w:t xml:space="preserve">First sessional period: Monday, 6 June, to </w:t>
      </w:r>
      <w:r w:rsidR="0004656A" w:rsidRPr="00203200">
        <w:t>Thursday</w:t>
      </w:r>
      <w:r w:rsidR="0004656A">
        <w:t>,</w:t>
      </w:r>
      <w:r w:rsidR="0004656A" w:rsidRPr="00203200">
        <w:t xml:space="preserve"> 16 June;</w:t>
      </w:r>
    </w:p>
    <w:p w14:paraId="368DCBE4" w14:textId="044D47C1" w:rsidR="0004656A" w:rsidRPr="00203200" w:rsidRDefault="000F209A" w:rsidP="000F209A">
      <w:pPr>
        <w:pStyle w:val="RegSingleTxtG2"/>
        <w:numPr>
          <w:ilvl w:val="0"/>
          <w:numId w:val="0"/>
        </w:numPr>
        <w:ind w:left="1134" w:firstLine="567"/>
      </w:pPr>
      <w:r w:rsidRPr="00203200">
        <w:rPr>
          <w:szCs w:val="28"/>
        </w:rPr>
        <w:t>(b)</w:t>
      </w:r>
      <w:r w:rsidRPr="00203200">
        <w:rPr>
          <w:szCs w:val="28"/>
        </w:rPr>
        <w:tab/>
      </w:r>
      <w:r w:rsidR="0004656A" w:rsidRPr="00203200">
        <w:t>Second sessional period: Monday, 7 November, to Friday, 18 November.</w:t>
      </w:r>
    </w:p>
    <w:p w14:paraId="78D3AC5C" w14:textId="21398306" w:rsidR="0004656A" w:rsidRPr="00CC4174" w:rsidRDefault="000D0389" w:rsidP="0004656A">
      <w:pPr>
        <w:pStyle w:val="RegSingleTxtG"/>
        <w:numPr>
          <w:ilvl w:val="0"/>
          <w:numId w:val="0"/>
        </w:numPr>
        <w:suppressAutoHyphens w:val="0"/>
        <w:autoSpaceDE w:val="0"/>
        <w:autoSpaceDN w:val="0"/>
        <w:adjustRightInd w:val="0"/>
        <w:spacing w:after="0" w:line="240" w:lineRule="auto"/>
        <w:ind w:left="1304" w:right="-1"/>
        <w:jc w:val="right"/>
        <w:rPr>
          <w:i/>
          <w:lang w:eastAsia="en-US"/>
        </w:rPr>
      </w:pPr>
      <w:r>
        <w:rPr>
          <w:i/>
          <w:lang w:eastAsia="en-US"/>
        </w:rPr>
        <w:t>13</w:t>
      </w:r>
      <w:r w:rsidR="0004656A" w:rsidRPr="000D0389">
        <w:rPr>
          <w:i/>
          <w:vertAlign w:val="superscript"/>
          <w:lang w:eastAsia="en-US"/>
        </w:rPr>
        <w:t>th</w:t>
      </w:r>
      <w:r w:rsidR="0004656A" w:rsidRPr="000D0389">
        <w:rPr>
          <w:i/>
          <w:lang w:eastAsia="en-US"/>
        </w:rPr>
        <w:t xml:space="preserve"> plenary meeting</w:t>
      </w:r>
    </w:p>
    <w:p w14:paraId="68AEFB01" w14:textId="77777777" w:rsidR="0004656A" w:rsidRDefault="0004656A" w:rsidP="0004656A">
      <w:pPr>
        <w:pStyle w:val="RegSingleTxtG"/>
        <w:numPr>
          <w:ilvl w:val="0"/>
          <w:numId w:val="0"/>
        </w:numPr>
        <w:suppressAutoHyphens w:val="0"/>
        <w:autoSpaceDE w:val="0"/>
        <w:autoSpaceDN w:val="0"/>
        <w:adjustRightInd w:val="0"/>
        <w:spacing w:after="0" w:line="240" w:lineRule="auto"/>
        <w:ind w:left="1304" w:right="-1"/>
        <w:jc w:val="right"/>
        <w:rPr>
          <w:i/>
          <w:lang w:eastAsia="en-US"/>
        </w:rPr>
        <w:sectPr w:rsidR="0004656A" w:rsidSect="0024232D">
          <w:headerReference w:type="even" r:id="rId54"/>
          <w:headerReference w:type="default" r:id="rId55"/>
          <w:footerReference w:type="even" r:id="rId56"/>
          <w:footerReference w:type="default" r:id="rId57"/>
          <w:footnotePr>
            <w:numRestart w:val="eachSect"/>
          </w:footnotePr>
          <w:pgSz w:w="11906" w:h="16838" w:code="9"/>
          <w:pgMar w:top="1417" w:right="1134" w:bottom="1134" w:left="1134" w:header="850" w:footer="567" w:gutter="0"/>
          <w:cols w:space="708"/>
          <w:docGrid w:linePitch="360"/>
        </w:sectPr>
      </w:pPr>
      <w:r w:rsidRPr="00CC4174">
        <w:rPr>
          <w:i/>
          <w:lang w:eastAsia="en-US"/>
        </w:rPr>
        <w:t>1</w:t>
      </w:r>
      <w:r>
        <w:rPr>
          <w:i/>
          <w:lang w:eastAsia="en-US"/>
        </w:rPr>
        <w:t>8</w:t>
      </w:r>
      <w:r w:rsidRPr="00CC4174">
        <w:rPr>
          <w:i/>
          <w:lang w:eastAsia="en-US"/>
        </w:rPr>
        <w:t xml:space="preserve"> November 201</w:t>
      </w:r>
      <w:r>
        <w:rPr>
          <w:i/>
          <w:lang w:eastAsia="en-US"/>
        </w:rPr>
        <w:t>7</w:t>
      </w:r>
    </w:p>
    <w:p w14:paraId="1BE03E7D" w14:textId="77777777" w:rsidR="00173478" w:rsidRDefault="0004656A" w:rsidP="0004656A">
      <w:pPr>
        <w:pStyle w:val="HChG"/>
      </w:pPr>
      <w:r>
        <w:lastRenderedPageBreak/>
        <w:tab/>
      </w:r>
      <w:r>
        <w:tab/>
        <w:t>Resolution 1/CP.23</w:t>
      </w:r>
    </w:p>
    <w:p w14:paraId="04CA152F" w14:textId="77777777" w:rsidR="0004656A" w:rsidRDefault="0004656A" w:rsidP="0004656A">
      <w:pPr>
        <w:pStyle w:val="HChG"/>
      </w:pPr>
      <w:r>
        <w:tab/>
      </w:r>
      <w:r>
        <w:tab/>
        <w:t xml:space="preserve">Expression of gratitude to </w:t>
      </w:r>
      <w:r w:rsidRPr="004308AA">
        <w:t xml:space="preserve">the Government of the Federal Republic of Germany and the people of </w:t>
      </w:r>
      <w:r>
        <w:t xml:space="preserve">the city of </w:t>
      </w:r>
      <w:r w:rsidRPr="004308AA">
        <w:t>Bonn</w:t>
      </w:r>
    </w:p>
    <w:p w14:paraId="579B6265" w14:textId="77777777" w:rsidR="0004656A" w:rsidRDefault="0004656A" w:rsidP="0004656A">
      <w:pPr>
        <w:pStyle w:val="H1G"/>
        <w:jc w:val="both"/>
      </w:pPr>
      <w:r>
        <w:tab/>
        <w:t xml:space="preserve">Resolution submitted by </w:t>
      </w:r>
      <w:r w:rsidRPr="004308AA">
        <w:t>Fiji</w:t>
      </w:r>
    </w:p>
    <w:p w14:paraId="7F1AB0FA" w14:textId="77777777" w:rsidR="0004656A" w:rsidRPr="004308AA" w:rsidRDefault="0004656A" w:rsidP="000F209A">
      <w:pPr>
        <w:pStyle w:val="RegHChG"/>
        <w:numPr>
          <w:ilvl w:val="0"/>
          <w:numId w:val="0"/>
        </w:numPr>
        <w:spacing w:before="0" w:after="120" w:line="240" w:lineRule="atLeast"/>
        <w:ind w:left="1134" w:hanging="454"/>
        <w:jc w:val="both"/>
        <w:rPr>
          <w:b w:val="0"/>
          <w:i/>
          <w:sz w:val="20"/>
        </w:rPr>
      </w:pPr>
      <w:r>
        <w:tab/>
      </w:r>
      <w:r w:rsidRPr="004308AA">
        <w:rPr>
          <w:b w:val="0"/>
          <w:i/>
          <w:sz w:val="20"/>
        </w:rPr>
        <w:t>The Conference of the Parties, the Conference of the Parties serving as the meeting of the Parties to the Kyoto Protocol and the Conference of the Parties serving as the meeting of the Parties to the Paris Agreement</w:t>
      </w:r>
      <w:r w:rsidRPr="00465286">
        <w:rPr>
          <w:b w:val="0"/>
          <w:sz w:val="20"/>
        </w:rPr>
        <w:t>,</w:t>
      </w:r>
    </w:p>
    <w:p w14:paraId="3E04636D" w14:textId="77777777" w:rsidR="0004656A" w:rsidRPr="004308AA" w:rsidRDefault="0004656A" w:rsidP="000F209A">
      <w:pPr>
        <w:pStyle w:val="RegH1G"/>
        <w:numPr>
          <w:ilvl w:val="0"/>
          <w:numId w:val="0"/>
        </w:numPr>
        <w:spacing w:before="0" w:after="120" w:line="240" w:lineRule="atLeast"/>
        <w:ind w:left="1134" w:hanging="454"/>
        <w:jc w:val="both"/>
        <w:rPr>
          <w:b w:val="0"/>
          <w:sz w:val="20"/>
        </w:rPr>
      </w:pPr>
      <w:r w:rsidRPr="004308AA">
        <w:rPr>
          <w:sz w:val="20"/>
        </w:rPr>
        <w:tab/>
      </w:r>
      <w:r w:rsidRPr="004308AA">
        <w:rPr>
          <w:b w:val="0"/>
          <w:i/>
          <w:sz w:val="20"/>
        </w:rPr>
        <w:t xml:space="preserve">Having met </w:t>
      </w:r>
      <w:r w:rsidRPr="004308AA">
        <w:rPr>
          <w:b w:val="0"/>
          <w:sz w:val="20"/>
        </w:rPr>
        <w:t>in Bonn from 6 to 17 November 2017 at the seat of the secretariat,</w:t>
      </w:r>
    </w:p>
    <w:p w14:paraId="49672922" w14:textId="2C7AB375" w:rsidR="0004656A" w:rsidRPr="004308AA" w:rsidRDefault="000F209A" w:rsidP="000F209A">
      <w:pPr>
        <w:pStyle w:val="RegSingleTxtG"/>
        <w:numPr>
          <w:ilvl w:val="0"/>
          <w:numId w:val="0"/>
        </w:numPr>
        <w:ind w:left="1134"/>
      </w:pPr>
      <w:r w:rsidRPr="004308AA">
        <w:t>1.</w:t>
      </w:r>
      <w:r w:rsidRPr="004308AA">
        <w:tab/>
      </w:r>
      <w:r w:rsidR="0004656A" w:rsidRPr="0004656A">
        <w:rPr>
          <w:i/>
        </w:rPr>
        <w:t xml:space="preserve">Express their profound gratitude </w:t>
      </w:r>
      <w:r w:rsidR="0004656A" w:rsidRPr="004308AA">
        <w:t>to the Government of the Federal Republic of Germany for having made it possible for the twenty-third session of the Conference of the Parties, the thirteenth session of the Conference of the Parties serving as the meeting of the Parties to the Kyoto Protocol and the second part of the first session of the Conference of the Parties serving as the meeting of the Parties to the Paris Agreement to be held in Bonn;</w:t>
      </w:r>
    </w:p>
    <w:p w14:paraId="15A1E3B5" w14:textId="4FC750FC" w:rsidR="0004656A" w:rsidRDefault="000F209A" w:rsidP="000F209A">
      <w:pPr>
        <w:pStyle w:val="RegSingleTxtG"/>
        <w:numPr>
          <w:ilvl w:val="0"/>
          <w:numId w:val="0"/>
        </w:numPr>
        <w:ind w:left="1134"/>
      </w:pPr>
      <w:r>
        <w:t>2.</w:t>
      </w:r>
      <w:r>
        <w:tab/>
      </w:r>
      <w:r w:rsidR="0004656A" w:rsidRPr="004308AA">
        <w:rPr>
          <w:i/>
        </w:rPr>
        <w:t xml:space="preserve">Request </w:t>
      </w:r>
      <w:r w:rsidR="0004656A" w:rsidRPr="004308AA">
        <w:t>the Government of the Federal Republic of Germany to convey to the city and people of Bonn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7EA94EDF" w14:textId="4B223957" w:rsidR="0004656A" w:rsidRDefault="000D0389" w:rsidP="0004656A">
      <w:pPr>
        <w:pStyle w:val="RegSingleTxtG"/>
        <w:numPr>
          <w:ilvl w:val="0"/>
          <w:numId w:val="0"/>
        </w:numPr>
        <w:suppressAutoHyphens w:val="0"/>
        <w:autoSpaceDE w:val="0"/>
        <w:autoSpaceDN w:val="0"/>
        <w:adjustRightInd w:val="0"/>
        <w:spacing w:after="0" w:line="240" w:lineRule="auto"/>
        <w:ind w:left="1304" w:right="-1"/>
        <w:jc w:val="right"/>
        <w:rPr>
          <w:i/>
          <w:lang w:eastAsia="en-US"/>
        </w:rPr>
      </w:pPr>
      <w:r>
        <w:rPr>
          <w:i/>
          <w:lang w:eastAsia="en-US"/>
        </w:rPr>
        <w:t>16</w:t>
      </w:r>
      <w:r w:rsidR="0004656A" w:rsidRPr="000D0389">
        <w:rPr>
          <w:i/>
          <w:vertAlign w:val="superscript"/>
          <w:lang w:eastAsia="en-US"/>
        </w:rPr>
        <w:t>th</w:t>
      </w:r>
      <w:r w:rsidR="0004656A" w:rsidRPr="000D0389">
        <w:rPr>
          <w:i/>
          <w:lang w:eastAsia="en-US"/>
        </w:rPr>
        <w:t xml:space="preserve"> plenary meeting</w:t>
      </w:r>
    </w:p>
    <w:p w14:paraId="4043C316" w14:textId="77777777" w:rsidR="0004656A" w:rsidRDefault="0004656A" w:rsidP="0004656A">
      <w:pPr>
        <w:pStyle w:val="RegSingleTxtG"/>
        <w:numPr>
          <w:ilvl w:val="0"/>
          <w:numId w:val="0"/>
        </w:numPr>
        <w:suppressAutoHyphens w:val="0"/>
        <w:autoSpaceDE w:val="0"/>
        <w:autoSpaceDN w:val="0"/>
        <w:adjustRightInd w:val="0"/>
        <w:spacing w:after="0" w:line="240" w:lineRule="auto"/>
        <w:ind w:left="1304" w:right="-1"/>
        <w:jc w:val="right"/>
        <w:rPr>
          <w:i/>
          <w:lang w:eastAsia="en-US"/>
        </w:rPr>
      </w:pPr>
      <w:r>
        <w:rPr>
          <w:i/>
          <w:lang w:eastAsia="en-US"/>
        </w:rPr>
        <w:t>18 November 2017</w:t>
      </w:r>
    </w:p>
    <w:p w14:paraId="13C46782" w14:textId="47F7BD0B" w:rsidR="0004656A" w:rsidRPr="0004656A" w:rsidRDefault="0004656A" w:rsidP="0004656A">
      <w:pPr>
        <w:spacing w:before="240"/>
        <w:ind w:left="1134" w:right="1134"/>
        <w:jc w:val="center"/>
        <w:rPr>
          <w:u w:val="single"/>
        </w:rPr>
      </w:pPr>
      <w:r>
        <w:rPr>
          <w:u w:val="single"/>
        </w:rPr>
        <w:tab/>
      </w:r>
      <w:r>
        <w:rPr>
          <w:u w:val="single"/>
        </w:rPr>
        <w:tab/>
      </w:r>
      <w:r>
        <w:rPr>
          <w:u w:val="single"/>
        </w:rPr>
        <w:tab/>
      </w:r>
    </w:p>
    <w:sectPr w:rsidR="0004656A" w:rsidRPr="0004656A" w:rsidSect="0024232D">
      <w:headerReference w:type="even" r:id="rId58"/>
      <w:headerReference w:type="default" r:id="rId59"/>
      <w:footerReference w:type="even" r:id="rId60"/>
      <w:footerReference w:type="default" r:id="rId61"/>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F3222" w14:textId="77777777" w:rsidR="003F7F8B" w:rsidRDefault="003F7F8B">
      <w:r>
        <w:separator/>
      </w:r>
    </w:p>
    <w:p w14:paraId="57F2F30E" w14:textId="77777777" w:rsidR="003F7F8B" w:rsidRDefault="003F7F8B"/>
  </w:endnote>
  <w:endnote w:type="continuationSeparator" w:id="0">
    <w:p w14:paraId="6013C65F" w14:textId="77777777" w:rsidR="003F7F8B" w:rsidRDefault="003F7F8B">
      <w:r>
        <w:continuationSeparator/>
      </w:r>
    </w:p>
    <w:p w14:paraId="71AE113C" w14:textId="77777777" w:rsidR="003F7F8B" w:rsidRDefault="003F7F8B"/>
  </w:endnote>
  <w:endnote w:type="continuationNotice" w:id="1">
    <w:p w14:paraId="58E0AC1C" w14:textId="77777777" w:rsidR="003F7F8B" w:rsidRDefault="003F7F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4C" w14:textId="344EEFEE"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2</w:t>
    </w:r>
    <w:r w:rsidRPr="0024232D">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F90D8" w14:textId="2388DFEE"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9</w:t>
    </w:r>
    <w:r w:rsidRPr="0024232D">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76524" w14:textId="00E6839E"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10</w:t>
    </w:r>
    <w:r w:rsidRPr="0024232D">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4B598" w14:textId="77777777" w:rsidR="003F7F8B" w:rsidRPr="00523FAB" w:rsidRDefault="003F7F8B" w:rsidP="00523FAB">
    <w:pPr>
      <w:pStyle w:val="Footer"/>
      <w:tabs>
        <w:tab w:val="right" w:pos="9638"/>
      </w:tabs>
      <w:rPr>
        <w:b/>
        <w:sz w:val="18"/>
      </w:rPr>
    </w:pPr>
    <w:r>
      <w:tab/>
    </w:r>
    <w:r w:rsidRPr="00523FAB">
      <w:rPr>
        <w:b/>
        <w:sz w:val="18"/>
      </w:rPr>
      <w:fldChar w:fldCharType="begin"/>
    </w:r>
    <w:r w:rsidRPr="00523FAB">
      <w:rPr>
        <w:b/>
        <w:sz w:val="18"/>
      </w:rPr>
      <w:instrText xml:space="preserve"> PAGE  \* MERGEFORMAT </w:instrText>
    </w:r>
    <w:r w:rsidRPr="00523FAB">
      <w:rPr>
        <w:b/>
        <w:sz w:val="18"/>
      </w:rPr>
      <w:fldChar w:fldCharType="separate"/>
    </w:r>
    <w:r>
      <w:rPr>
        <w:b/>
        <w:noProof/>
        <w:sz w:val="18"/>
      </w:rPr>
      <w:t>11</w:t>
    </w:r>
    <w:r w:rsidRPr="00523FAB">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C76A3" w14:textId="77777777" w:rsidR="003F7F8B" w:rsidRDefault="003F7F8B" w:rsidP="00173478">
    <w:pPr>
      <w:pStyle w:val="Footer"/>
      <w:tabs>
        <w:tab w:val="right" w:pos="9638"/>
      </w:tabs>
    </w:pPr>
    <w:r w:rsidRPr="003C6F79">
      <w:rPr>
        <w:b/>
        <w:sz w:val="18"/>
      </w:rPr>
      <w:fldChar w:fldCharType="begin"/>
    </w:r>
    <w:r w:rsidRPr="003C6F79">
      <w:rPr>
        <w:b/>
        <w:sz w:val="18"/>
      </w:rPr>
      <w:instrText xml:space="preserve"> PAGE  \* MERGEFORMAT </w:instrText>
    </w:r>
    <w:r w:rsidRPr="003C6F79">
      <w:rPr>
        <w:b/>
        <w:sz w:val="18"/>
      </w:rPr>
      <w:fldChar w:fldCharType="separate"/>
    </w:r>
    <w:r>
      <w:rPr>
        <w:b/>
        <w:noProof/>
        <w:sz w:val="18"/>
      </w:rPr>
      <w:t>12</w:t>
    </w:r>
    <w:r w:rsidRPr="003C6F79">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E660D" w14:textId="7EA3DAAF"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11</w:t>
    </w:r>
    <w:r w:rsidRPr="0024232D">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AD1E5" w14:textId="54917482"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12</w:t>
    </w:r>
    <w:r w:rsidRPr="0024232D">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8BB6F" w14:textId="177250C8"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13</w:t>
    </w:r>
    <w:r w:rsidRPr="0024232D">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0DA8C" w14:textId="4E7DA3EB"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14</w:t>
    </w:r>
    <w:r w:rsidRPr="0024232D">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4A0DE" w14:textId="1CC254A7"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15</w:t>
    </w:r>
    <w:r w:rsidRPr="0024232D">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28689" w14:textId="574722E8"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20</w:t>
    </w:r>
    <w:r w:rsidRPr="0024232D">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B317F" w14:textId="42F55976"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3</w:t>
    </w:r>
    <w:r w:rsidRPr="0024232D">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9DB51" w14:textId="75F94C9A"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21</w:t>
    </w:r>
    <w:r w:rsidRPr="0024232D">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08B38" w14:textId="6BCEAC04"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26</w:t>
    </w:r>
    <w:r w:rsidRPr="0024232D">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9363" w14:textId="3EB66128"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27</w:t>
    </w:r>
    <w:r w:rsidRPr="0024232D">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B9A00" w14:textId="3190FA16"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28</w:t>
    </w:r>
    <w:r w:rsidRPr="0024232D">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9917F" w14:textId="70468FC6"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7E1956">
      <w:rPr>
        <w:b/>
        <w:noProof/>
        <w:sz w:val="18"/>
      </w:rPr>
      <w:t>29</w:t>
    </w:r>
    <w:r w:rsidRPr="002423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DA1F" w14:textId="18BBE675"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4</w:t>
    </w:r>
    <w:r w:rsidRPr="0024232D">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765B" w14:textId="3025D548"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5</w:t>
    </w:r>
    <w:r w:rsidRPr="0024232D">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AFEA9" w14:textId="172DB325"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6</w:t>
    </w:r>
    <w:r w:rsidRPr="0024232D">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A6F7" w14:textId="2620B69C" w:rsidR="003F7F8B" w:rsidRPr="0024232D" w:rsidRDefault="003F7F8B" w:rsidP="0024232D">
    <w:pPr>
      <w:pStyle w:val="Footer"/>
      <w:tabs>
        <w:tab w:val="right" w:pos="9638"/>
      </w:tabs>
      <w:rPr>
        <w:b/>
        <w:sz w:val="18"/>
      </w:rPr>
    </w:pPr>
    <w:r>
      <w:tab/>
    </w: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7</w:t>
    </w:r>
    <w:r w:rsidRPr="0024232D">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D4FB" w14:textId="356308C0" w:rsidR="003F7F8B" w:rsidRPr="0024232D" w:rsidRDefault="003F7F8B" w:rsidP="0024232D">
    <w:pPr>
      <w:pStyle w:val="Footer"/>
      <w:tabs>
        <w:tab w:val="right" w:pos="9638"/>
      </w:tabs>
    </w:pPr>
    <w:r w:rsidRPr="0024232D">
      <w:rPr>
        <w:b/>
        <w:sz w:val="18"/>
      </w:rPr>
      <w:fldChar w:fldCharType="begin"/>
    </w:r>
    <w:r w:rsidRPr="0024232D">
      <w:rPr>
        <w:b/>
        <w:sz w:val="18"/>
      </w:rPr>
      <w:instrText xml:space="preserve"> PAGE  \* MERGEFORMAT </w:instrText>
    </w:r>
    <w:r w:rsidRPr="0024232D">
      <w:rPr>
        <w:b/>
        <w:sz w:val="18"/>
      </w:rPr>
      <w:fldChar w:fldCharType="separate"/>
    </w:r>
    <w:r w:rsidR="000F209A">
      <w:rPr>
        <w:b/>
        <w:noProof/>
        <w:sz w:val="18"/>
      </w:rPr>
      <w:t>8</w:t>
    </w:r>
    <w:r w:rsidRPr="0024232D">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D6921" w14:textId="77777777" w:rsidR="003F7F8B" w:rsidRPr="00523FAB" w:rsidRDefault="003F7F8B" w:rsidP="00523FAB">
    <w:pPr>
      <w:pStyle w:val="Footer"/>
      <w:tabs>
        <w:tab w:val="right" w:pos="9638"/>
      </w:tabs>
      <w:rPr>
        <w:b/>
        <w:sz w:val="18"/>
      </w:rPr>
    </w:pPr>
    <w:r>
      <w:tab/>
    </w:r>
    <w:r w:rsidRPr="00523FAB">
      <w:rPr>
        <w:b/>
        <w:sz w:val="18"/>
      </w:rPr>
      <w:fldChar w:fldCharType="begin"/>
    </w:r>
    <w:r w:rsidRPr="00523FAB">
      <w:rPr>
        <w:b/>
        <w:sz w:val="18"/>
      </w:rPr>
      <w:instrText xml:space="preserve"> PAGE  \* MERGEFORMAT </w:instrText>
    </w:r>
    <w:r w:rsidRPr="00523FAB">
      <w:rPr>
        <w:b/>
        <w:sz w:val="18"/>
      </w:rPr>
      <w:fldChar w:fldCharType="separate"/>
    </w:r>
    <w:r>
      <w:rPr>
        <w:b/>
        <w:noProof/>
        <w:sz w:val="18"/>
      </w:rPr>
      <w:t>9</w:t>
    </w:r>
    <w:r w:rsidRPr="00523FAB">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6EDD0" w14:textId="77777777" w:rsidR="003F7F8B" w:rsidRPr="00523FAB" w:rsidRDefault="003F7F8B" w:rsidP="00523FAB">
    <w:pPr>
      <w:pStyle w:val="Footer"/>
      <w:tabs>
        <w:tab w:val="right" w:pos="9638"/>
      </w:tabs>
    </w:pPr>
    <w:r w:rsidRPr="00523FAB">
      <w:rPr>
        <w:b/>
        <w:sz w:val="18"/>
      </w:rPr>
      <w:fldChar w:fldCharType="begin"/>
    </w:r>
    <w:r w:rsidRPr="00523FAB">
      <w:rPr>
        <w:b/>
        <w:sz w:val="18"/>
      </w:rPr>
      <w:instrText xml:space="preserve"> PAGE  \* MERGEFORMAT </w:instrText>
    </w:r>
    <w:r w:rsidRPr="00523FAB">
      <w:rPr>
        <w:b/>
        <w:sz w:val="18"/>
      </w:rPr>
      <w:fldChar w:fldCharType="separate"/>
    </w:r>
    <w:r>
      <w:rPr>
        <w:b/>
        <w:noProof/>
        <w:sz w:val="18"/>
      </w:rPr>
      <w:t>10</w:t>
    </w:r>
    <w:r w:rsidRPr="00523FAB">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0EA95" w14:textId="77777777" w:rsidR="003F7F8B" w:rsidRDefault="003F7F8B">
      <w:r>
        <w:separator/>
      </w:r>
    </w:p>
  </w:footnote>
  <w:footnote w:type="continuationSeparator" w:id="0">
    <w:p w14:paraId="409710B9" w14:textId="77777777" w:rsidR="003F7F8B" w:rsidRDefault="003F7F8B">
      <w:r>
        <w:continuationSeparator/>
      </w:r>
    </w:p>
    <w:p w14:paraId="7E695A5A" w14:textId="77777777" w:rsidR="003F7F8B" w:rsidRDefault="003F7F8B"/>
  </w:footnote>
  <w:footnote w:type="continuationNotice" w:id="1">
    <w:p w14:paraId="348E6522" w14:textId="77777777" w:rsidR="003F7F8B" w:rsidRDefault="003F7F8B">
      <w:pPr>
        <w:spacing w:line="240" w:lineRule="auto"/>
      </w:pPr>
    </w:p>
  </w:footnote>
  <w:footnote w:id="2">
    <w:p w14:paraId="3BAB1152" w14:textId="77777777" w:rsidR="003F7F8B" w:rsidRPr="0097285A" w:rsidRDefault="003F7F8B" w:rsidP="00523FAB">
      <w:pPr>
        <w:pStyle w:val="FootnoteText"/>
        <w:widowControl w:val="0"/>
        <w:tabs>
          <w:tab w:val="clear" w:pos="1021"/>
          <w:tab w:val="right" w:pos="1020"/>
        </w:tabs>
        <w:rPr>
          <w:lang w:val="en-US"/>
        </w:rPr>
      </w:pPr>
      <w:r>
        <w:tab/>
      </w:r>
      <w:r>
        <w:rPr>
          <w:rStyle w:val="FootnoteReference"/>
        </w:rPr>
        <w:footnoteRef/>
      </w:r>
      <w:r>
        <w:tab/>
        <w:t>Decision 1/CP.21, paragraphs 113 and 131.</w:t>
      </w:r>
    </w:p>
  </w:footnote>
  <w:footnote w:id="3">
    <w:p w14:paraId="2CC44730" w14:textId="77777777" w:rsidR="003F7F8B" w:rsidRPr="00821BBF" w:rsidRDefault="003F7F8B" w:rsidP="00523FAB">
      <w:pPr>
        <w:pStyle w:val="FootnoteText"/>
        <w:widowControl w:val="0"/>
        <w:tabs>
          <w:tab w:val="clear" w:pos="1021"/>
          <w:tab w:val="right" w:pos="1020"/>
        </w:tabs>
        <w:rPr>
          <w:lang w:val="en-US"/>
        </w:rPr>
      </w:pPr>
      <w:r>
        <w:tab/>
      </w:r>
      <w:r>
        <w:rPr>
          <w:rStyle w:val="FootnoteReference"/>
        </w:rPr>
        <w:footnoteRef/>
      </w:r>
      <w:r>
        <w:tab/>
      </w:r>
      <w:r w:rsidRPr="00821BBF">
        <w:t>Decision 1/CP.21, paragraphs 121 and 122.</w:t>
      </w:r>
    </w:p>
  </w:footnote>
  <w:footnote w:id="4">
    <w:p w14:paraId="00EBD276" w14:textId="77777777" w:rsidR="003F7F8B" w:rsidRPr="00C578BB" w:rsidRDefault="003F7F8B" w:rsidP="00523FAB">
      <w:pPr>
        <w:pStyle w:val="FootnoteText"/>
        <w:widowControl w:val="0"/>
        <w:tabs>
          <w:tab w:val="clear" w:pos="1021"/>
          <w:tab w:val="right" w:pos="1020"/>
        </w:tabs>
        <w:rPr>
          <w:lang w:val="en-US"/>
        </w:rPr>
      </w:pPr>
      <w:r>
        <w:tab/>
      </w:r>
      <w:r>
        <w:rPr>
          <w:rStyle w:val="FootnoteReference"/>
        </w:rPr>
        <w:footnoteRef/>
      </w:r>
      <w:r>
        <w:tab/>
        <w:t>Decision 1/CP.21, paragraphs 111(a) and 129(a).</w:t>
      </w:r>
    </w:p>
  </w:footnote>
  <w:footnote w:id="5">
    <w:p w14:paraId="71F59A0F" w14:textId="77777777" w:rsidR="003F7F8B" w:rsidRPr="00966BC0" w:rsidRDefault="003F7F8B" w:rsidP="00523FAB">
      <w:pPr>
        <w:pStyle w:val="FootnoteText"/>
        <w:widowControl w:val="0"/>
        <w:tabs>
          <w:tab w:val="clear" w:pos="1021"/>
          <w:tab w:val="right" w:pos="1020"/>
        </w:tabs>
        <w:rPr>
          <w:lang w:val="en-US"/>
        </w:rPr>
      </w:pPr>
      <w:r>
        <w:tab/>
      </w:r>
      <w:r w:rsidRPr="00C578BB">
        <w:rPr>
          <w:rStyle w:val="FootnoteReference"/>
        </w:rPr>
        <w:footnoteRef/>
      </w:r>
      <w:r w:rsidRPr="00C578BB">
        <w:tab/>
        <w:t>Decision 1/CP.21, paragraph 127.</w:t>
      </w:r>
    </w:p>
  </w:footnote>
  <w:footnote w:id="6">
    <w:p w14:paraId="76241D32" w14:textId="77777777" w:rsidR="003F7F8B" w:rsidRPr="00E30A79" w:rsidRDefault="003F7F8B" w:rsidP="00523FAB">
      <w:pPr>
        <w:pStyle w:val="FootnoteText"/>
        <w:widowControl w:val="0"/>
        <w:tabs>
          <w:tab w:val="clear" w:pos="1021"/>
          <w:tab w:val="right" w:pos="1020"/>
        </w:tabs>
        <w:rPr>
          <w:lang w:val="en-US"/>
        </w:rPr>
      </w:pPr>
      <w:r>
        <w:tab/>
      </w:r>
      <w:r>
        <w:rPr>
          <w:rStyle w:val="FootnoteReference"/>
        </w:rPr>
        <w:footnoteRef/>
      </w:r>
      <w:r>
        <w:tab/>
        <w:t xml:space="preserve">Decision 1/CP.21, paragraphs 111(b) and 129(b). </w:t>
      </w:r>
    </w:p>
  </w:footnote>
  <w:footnote w:id="7">
    <w:p w14:paraId="6280F42F" w14:textId="77777777" w:rsidR="003F7F8B" w:rsidRPr="00E30A79" w:rsidRDefault="003F7F8B" w:rsidP="00523FAB">
      <w:pPr>
        <w:pStyle w:val="FootnoteText"/>
        <w:widowControl w:val="0"/>
        <w:tabs>
          <w:tab w:val="clear" w:pos="1021"/>
          <w:tab w:val="right" w:pos="1020"/>
        </w:tabs>
        <w:rPr>
          <w:lang w:val="en-US"/>
        </w:rPr>
      </w:pPr>
      <w:r>
        <w:tab/>
      </w:r>
      <w:r>
        <w:rPr>
          <w:rStyle w:val="FootnoteReference"/>
        </w:rPr>
        <w:footnoteRef/>
      </w:r>
      <w:r>
        <w:tab/>
        <w:t>Decision 1/CP.21, paragraphs 111(c) and 129(b).</w:t>
      </w:r>
    </w:p>
  </w:footnote>
  <w:footnote w:id="8">
    <w:p w14:paraId="08249402" w14:textId="77777777" w:rsidR="003F7F8B" w:rsidRPr="00E3246D" w:rsidRDefault="003F7F8B" w:rsidP="00523FAB">
      <w:pPr>
        <w:pStyle w:val="FootnoteText"/>
      </w:pPr>
      <w:r>
        <w:tab/>
      </w:r>
      <w:r>
        <w:rPr>
          <w:rStyle w:val="FootnoteReference"/>
        </w:rPr>
        <w:footnoteRef/>
      </w:r>
      <w:r>
        <w:tab/>
        <w:t>As footnote 6 above.</w:t>
      </w:r>
    </w:p>
  </w:footnote>
  <w:footnote w:id="9">
    <w:p w14:paraId="7E4EB789" w14:textId="77777777" w:rsidR="003F7F8B" w:rsidRPr="00E30A79" w:rsidRDefault="003F7F8B" w:rsidP="00523FAB">
      <w:pPr>
        <w:pStyle w:val="FootnoteText"/>
        <w:widowControl w:val="0"/>
        <w:tabs>
          <w:tab w:val="clear" w:pos="1021"/>
          <w:tab w:val="right" w:pos="1020"/>
        </w:tabs>
        <w:rPr>
          <w:lang w:val="en-US"/>
        </w:rPr>
      </w:pPr>
      <w:r>
        <w:tab/>
      </w:r>
      <w:r>
        <w:rPr>
          <w:rStyle w:val="FootnoteReference"/>
        </w:rPr>
        <w:footnoteRef/>
      </w:r>
      <w:r>
        <w:tab/>
        <w:t xml:space="preserve">Decision 1/CP.21, paragraph 120. </w:t>
      </w:r>
    </w:p>
  </w:footnote>
  <w:footnote w:id="10">
    <w:p w14:paraId="2CE4066C" w14:textId="77777777" w:rsidR="003F7F8B" w:rsidRPr="00BF2CC6" w:rsidRDefault="003F7F8B" w:rsidP="004D2A4F">
      <w:pPr>
        <w:pStyle w:val="FootnoteText"/>
        <w:widowControl w:val="0"/>
        <w:tabs>
          <w:tab w:val="clear" w:pos="1021"/>
          <w:tab w:val="right" w:pos="1020"/>
        </w:tabs>
        <w:rPr>
          <w:lang w:val="en-US"/>
        </w:rPr>
      </w:pPr>
      <w:r>
        <w:tab/>
      </w:r>
      <w:r>
        <w:rPr>
          <w:rStyle w:val="FootnoteReference"/>
        </w:rPr>
        <w:footnoteRef/>
      </w:r>
      <w:r>
        <w:tab/>
        <w:t xml:space="preserve">FCCC/CP/2017/3. </w:t>
      </w:r>
    </w:p>
  </w:footnote>
  <w:footnote w:id="11">
    <w:p w14:paraId="42D71641" w14:textId="77777777" w:rsidR="003F7F8B" w:rsidRPr="00BF2CC6" w:rsidRDefault="003F7F8B" w:rsidP="004D2A4F">
      <w:pPr>
        <w:pStyle w:val="FootnoteText"/>
        <w:widowControl w:val="0"/>
        <w:tabs>
          <w:tab w:val="clear" w:pos="1021"/>
          <w:tab w:val="right" w:pos="1020"/>
        </w:tabs>
        <w:rPr>
          <w:lang w:val="en-US"/>
        </w:rPr>
      </w:pPr>
      <w:r>
        <w:tab/>
      </w:r>
      <w:r>
        <w:rPr>
          <w:rStyle w:val="FootnoteReference"/>
        </w:rPr>
        <w:footnoteRef/>
      </w:r>
      <w:r>
        <w:tab/>
      </w:r>
      <w:r w:rsidRPr="00C713C8">
        <w:rPr>
          <w:lang w:val="en-US"/>
        </w:rPr>
        <w:t xml:space="preserve">Canada, Denmark, European Union, Finland, Germany, Ireland, Italy, Japan, Norway, Republic of Korea, </w:t>
      </w:r>
      <w:r>
        <w:rPr>
          <w:lang w:val="en-US"/>
        </w:rPr>
        <w:t xml:space="preserve">Spain, </w:t>
      </w:r>
      <w:r w:rsidRPr="00C713C8">
        <w:rPr>
          <w:lang w:val="en-US"/>
        </w:rPr>
        <w:t>Switzerland and United States of America</w:t>
      </w:r>
      <w:r>
        <w:rPr>
          <w:lang w:val="en-US"/>
        </w:rPr>
        <w:t>.</w:t>
      </w:r>
      <w:r>
        <w:t xml:space="preserve"> </w:t>
      </w:r>
    </w:p>
  </w:footnote>
  <w:footnote w:id="12">
    <w:p w14:paraId="507D9E38" w14:textId="77777777" w:rsidR="003F7F8B" w:rsidRPr="00BF2CC6" w:rsidRDefault="003F7F8B" w:rsidP="004D2A4F">
      <w:pPr>
        <w:pStyle w:val="FootnoteText"/>
        <w:widowControl w:val="0"/>
        <w:tabs>
          <w:tab w:val="clear" w:pos="1021"/>
          <w:tab w:val="right" w:pos="1020"/>
        </w:tabs>
        <w:rPr>
          <w:lang w:val="en-US"/>
        </w:rPr>
      </w:pPr>
      <w:r>
        <w:tab/>
      </w:r>
      <w:r>
        <w:rPr>
          <w:rStyle w:val="FootnoteReference"/>
        </w:rPr>
        <w:footnoteRef/>
      </w:r>
      <w:r>
        <w:tab/>
      </w:r>
      <w:r>
        <w:rPr>
          <w:lang w:val="en-US"/>
        </w:rPr>
        <w:t>FCCC/CP/2017/3, paragraphs 51–82.</w:t>
      </w:r>
      <w:r>
        <w:t xml:space="preserve"> </w:t>
      </w:r>
    </w:p>
  </w:footnote>
  <w:footnote w:id="13">
    <w:p w14:paraId="7E2BA5AE" w14:textId="77777777" w:rsidR="003F7F8B" w:rsidRPr="00BF2CC6" w:rsidRDefault="003F7F8B" w:rsidP="004D2A4F">
      <w:pPr>
        <w:pStyle w:val="FootnoteText"/>
        <w:widowControl w:val="0"/>
        <w:tabs>
          <w:tab w:val="clear" w:pos="1021"/>
          <w:tab w:val="right" w:pos="1020"/>
        </w:tabs>
        <w:rPr>
          <w:lang w:val="en-US"/>
        </w:rPr>
      </w:pPr>
      <w:r>
        <w:tab/>
      </w:r>
      <w:r>
        <w:rPr>
          <w:rStyle w:val="FootnoteReference"/>
        </w:rPr>
        <w:footnoteRef/>
      </w:r>
      <w:r>
        <w:tab/>
      </w:r>
      <w:r>
        <w:rPr>
          <w:lang w:val="en-US"/>
        </w:rPr>
        <w:t>FCCC/CP/2017/3, paragraphs 83 and 84.</w:t>
      </w:r>
    </w:p>
  </w:footnote>
  <w:footnote w:id="14">
    <w:p w14:paraId="6B7FEE28" w14:textId="77777777" w:rsidR="003F7F8B" w:rsidRPr="0062010F" w:rsidRDefault="003F7F8B" w:rsidP="004D2A4F">
      <w:pPr>
        <w:pStyle w:val="FootnoteText"/>
        <w:widowControl w:val="0"/>
        <w:tabs>
          <w:tab w:val="clear" w:pos="1021"/>
          <w:tab w:val="right" w:pos="1020"/>
        </w:tabs>
        <w:rPr>
          <w:lang w:val="en-US"/>
        </w:rPr>
      </w:pPr>
      <w:r>
        <w:tab/>
      </w:r>
      <w:r>
        <w:rPr>
          <w:rStyle w:val="FootnoteReference"/>
        </w:rPr>
        <w:footnoteRef/>
      </w:r>
      <w:r>
        <w:tab/>
      </w:r>
      <w:r w:rsidRPr="00C713C8">
        <w:t>Decision 2/CP.17, annex VII, and decision 14/CP.18, annex I.</w:t>
      </w:r>
      <w:r>
        <w:t xml:space="preserve"> </w:t>
      </w:r>
    </w:p>
  </w:footnote>
  <w:footnote w:id="15">
    <w:p w14:paraId="25E06EBE" w14:textId="77777777" w:rsidR="003F7F8B" w:rsidRPr="001E2C85" w:rsidRDefault="003F7F8B" w:rsidP="004D2A4F">
      <w:pPr>
        <w:pStyle w:val="FootnoteText"/>
        <w:widowControl w:val="0"/>
        <w:tabs>
          <w:tab w:val="clear" w:pos="1021"/>
          <w:tab w:val="right" w:pos="1020"/>
        </w:tabs>
        <w:rPr>
          <w:lang w:val="en-US"/>
        </w:rPr>
      </w:pPr>
      <w:r>
        <w:tab/>
      </w:r>
      <w:r>
        <w:rPr>
          <w:rStyle w:val="FootnoteReference"/>
        </w:rPr>
        <w:footnoteRef/>
      </w:r>
      <w:r>
        <w:tab/>
      </w:r>
      <w:r w:rsidRPr="00C10C83">
        <w:rPr>
          <w:lang w:val="en-US"/>
        </w:rPr>
        <w:t>FCCC/SB/2017/3</w:t>
      </w:r>
      <w:r w:rsidRPr="0079483A">
        <w:rPr>
          <w:lang w:val="en-US"/>
        </w:rPr>
        <w:t>.</w:t>
      </w:r>
      <w:r w:rsidRPr="001E2C85">
        <w:t xml:space="preserve"> </w:t>
      </w:r>
    </w:p>
  </w:footnote>
  <w:footnote w:id="16">
    <w:p w14:paraId="2E052C64" w14:textId="77777777" w:rsidR="003F7F8B" w:rsidRPr="001E2C85" w:rsidRDefault="003F7F8B" w:rsidP="004D2A4F">
      <w:pPr>
        <w:pStyle w:val="FootnoteText"/>
        <w:widowControl w:val="0"/>
        <w:tabs>
          <w:tab w:val="clear" w:pos="1021"/>
          <w:tab w:val="right" w:pos="1020"/>
        </w:tabs>
        <w:rPr>
          <w:lang w:val="en-US"/>
        </w:rPr>
      </w:pPr>
      <w:r w:rsidRPr="003D277D">
        <w:tab/>
      </w:r>
      <w:r w:rsidRPr="003D277D">
        <w:rPr>
          <w:rStyle w:val="FootnoteReference"/>
        </w:rPr>
        <w:footnoteRef/>
      </w:r>
      <w:r w:rsidRPr="003D277D">
        <w:tab/>
      </w:r>
      <w:r>
        <w:t xml:space="preserve">Technology Executive Committee document </w:t>
      </w:r>
      <w:r w:rsidRPr="001E2C85">
        <w:t xml:space="preserve">TEC/2016/12/13-an. Available at </w:t>
      </w:r>
      <w:hyperlink r:id="rId1" w:history="1">
        <w:r w:rsidRPr="00C10C83">
          <w:rPr>
            <w:rStyle w:val="Hyperlink"/>
          </w:rPr>
          <w:t>https://goo.gl/nybgmc</w:t>
        </w:r>
      </w:hyperlink>
      <w:r w:rsidRPr="001E2C85">
        <w:t>.</w:t>
      </w:r>
    </w:p>
  </w:footnote>
  <w:footnote w:id="17">
    <w:p w14:paraId="1784C91B" w14:textId="77777777" w:rsidR="003F7F8B" w:rsidRPr="000F3F45" w:rsidRDefault="003F7F8B" w:rsidP="004D2A4F">
      <w:pPr>
        <w:pStyle w:val="FootnoteText"/>
        <w:widowControl w:val="0"/>
        <w:tabs>
          <w:tab w:val="clear" w:pos="1021"/>
          <w:tab w:val="right" w:pos="1020"/>
        </w:tabs>
        <w:rPr>
          <w:lang w:val="en-US"/>
        </w:rPr>
      </w:pPr>
      <w:r>
        <w:tab/>
      </w:r>
      <w:r>
        <w:rPr>
          <w:rStyle w:val="FootnoteReference"/>
        </w:rPr>
        <w:footnoteRef/>
      </w:r>
      <w:r>
        <w:tab/>
      </w:r>
      <w:r w:rsidRPr="00997A62">
        <w:t>FCCC/SBI/2017/11</w:t>
      </w:r>
      <w:r>
        <w:t xml:space="preserve">. </w:t>
      </w:r>
    </w:p>
  </w:footnote>
  <w:footnote w:id="18">
    <w:p w14:paraId="5C23BCF1" w14:textId="77777777" w:rsidR="003F7F8B" w:rsidRPr="00074A20" w:rsidRDefault="003F7F8B" w:rsidP="004D2A4F">
      <w:pPr>
        <w:pStyle w:val="FootnoteText"/>
        <w:widowControl w:val="0"/>
        <w:tabs>
          <w:tab w:val="clear" w:pos="1021"/>
          <w:tab w:val="right" w:pos="1020"/>
        </w:tabs>
        <w:rPr>
          <w:lang w:val="en-US"/>
        </w:rPr>
      </w:pPr>
      <w:r>
        <w:tab/>
      </w:r>
      <w:r>
        <w:rPr>
          <w:rStyle w:val="FootnoteReference"/>
        </w:rPr>
        <w:footnoteRef/>
      </w:r>
      <w:r>
        <w:tab/>
      </w:r>
      <w:r w:rsidRPr="00997A62">
        <w:t>FCCC/SBI/2017/11</w:t>
      </w:r>
      <w:r>
        <w:t>, annex II.</w:t>
      </w:r>
    </w:p>
  </w:footnote>
  <w:footnote w:id="19">
    <w:p w14:paraId="621442DD" w14:textId="77777777" w:rsidR="003F7F8B" w:rsidRPr="00036EB7" w:rsidRDefault="003F7F8B" w:rsidP="004D2A4F">
      <w:pPr>
        <w:pStyle w:val="FootnoteText"/>
        <w:widowControl w:val="0"/>
        <w:tabs>
          <w:tab w:val="clear" w:pos="1021"/>
          <w:tab w:val="right" w:pos="1020"/>
        </w:tabs>
        <w:rPr>
          <w:lang w:val="en-US"/>
        </w:rPr>
      </w:pPr>
      <w:r>
        <w:tab/>
      </w:r>
      <w:r>
        <w:rPr>
          <w:rStyle w:val="FootnoteReference"/>
        </w:rPr>
        <w:footnoteRef/>
      </w:r>
      <w:r>
        <w:tab/>
      </w:r>
      <w:r w:rsidRPr="00997A62">
        <w:t>FCCC/SBI/2017/11</w:t>
      </w:r>
      <w:r>
        <w:t xml:space="preserve">, </w:t>
      </w:r>
      <w:r w:rsidRPr="00036EB7">
        <w:t>annex IV</w:t>
      </w:r>
      <w:r>
        <w:t>.</w:t>
      </w:r>
    </w:p>
  </w:footnote>
  <w:footnote w:id="20">
    <w:p w14:paraId="3E5605E8" w14:textId="77777777" w:rsidR="003F7F8B" w:rsidRPr="00A70D9E" w:rsidRDefault="003F7F8B" w:rsidP="004D2A4F">
      <w:pPr>
        <w:pStyle w:val="FootnoteText"/>
        <w:widowControl w:val="0"/>
        <w:tabs>
          <w:tab w:val="clear" w:pos="1021"/>
          <w:tab w:val="right" w:pos="1020"/>
        </w:tabs>
        <w:rPr>
          <w:lang w:val="en-US"/>
        </w:rPr>
      </w:pPr>
      <w:r>
        <w:tab/>
      </w:r>
      <w:r>
        <w:rPr>
          <w:rStyle w:val="FootnoteReference"/>
        </w:rPr>
        <w:footnoteRef/>
      </w:r>
      <w:r>
        <w:tab/>
      </w:r>
      <w:r w:rsidRPr="00997A62">
        <w:t>FCCC/SBI/2017/11</w:t>
      </w:r>
      <w:r>
        <w:t>, annex III, in particular paragraphs 60 and 61.</w:t>
      </w:r>
    </w:p>
  </w:footnote>
  <w:footnote w:id="21">
    <w:p w14:paraId="052D6529" w14:textId="77777777" w:rsidR="003F7F8B" w:rsidRPr="00173478" w:rsidRDefault="003F7F8B" w:rsidP="00173478">
      <w:pPr>
        <w:pStyle w:val="FootnoteText"/>
        <w:widowControl w:val="0"/>
        <w:tabs>
          <w:tab w:val="clear" w:pos="1021"/>
          <w:tab w:val="right" w:pos="1020"/>
        </w:tabs>
        <w:rPr>
          <w:lang w:val="en-US"/>
        </w:rPr>
      </w:pPr>
      <w:r>
        <w:tab/>
      </w:r>
      <w:r>
        <w:rPr>
          <w:rStyle w:val="FootnoteReference"/>
        </w:rPr>
        <w:footnoteRef/>
      </w:r>
      <w:r>
        <w:tab/>
        <w:t xml:space="preserve">FCCC/SBSTA/2016/2, paragraph 46, and FCCC/SBI/2016/8, paragraph 132. </w:t>
      </w:r>
    </w:p>
  </w:footnote>
  <w:footnote w:id="22">
    <w:p w14:paraId="398E7B22" w14:textId="77777777" w:rsidR="003F7F8B" w:rsidRPr="00312A50" w:rsidRDefault="003F7F8B" w:rsidP="00173478">
      <w:pPr>
        <w:pStyle w:val="FootnoteText"/>
        <w:widowControl w:val="0"/>
        <w:tabs>
          <w:tab w:val="clear" w:pos="1021"/>
          <w:tab w:val="right" w:pos="1020"/>
        </w:tabs>
        <w:rPr>
          <w:lang w:val="en-US"/>
        </w:rPr>
      </w:pPr>
      <w:r>
        <w:tab/>
      </w:r>
      <w:r>
        <w:rPr>
          <w:rStyle w:val="FootnoteReference"/>
        </w:rPr>
        <w:footnoteRef/>
      </w:r>
      <w:r>
        <w:tab/>
        <w:t>D</w:t>
      </w:r>
      <w:r w:rsidRPr="00D91636">
        <w:t>ecision 15/CP.1</w:t>
      </w:r>
      <w:r>
        <w:t>, annex I.</w:t>
      </w:r>
    </w:p>
  </w:footnote>
  <w:footnote w:id="23">
    <w:p w14:paraId="2A16ABC2" w14:textId="77777777" w:rsidR="003F7F8B" w:rsidRPr="00A36E4E" w:rsidRDefault="003F7F8B" w:rsidP="00173478">
      <w:pPr>
        <w:pStyle w:val="FootnoteText"/>
        <w:widowControl w:val="0"/>
        <w:tabs>
          <w:tab w:val="clear" w:pos="1021"/>
          <w:tab w:val="right" w:pos="1020"/>
        </w:tabs>
        <w:rPr>
          <w:lang w:val="en-US"/>
        </w:rPr>
      </w:pPr>
      <w:r>
        <w:tab/>
      </w:r>
      <w:r>
        <w:rPr>
          <w:rStyle w:val="FootnoteReference"/>
        </w:rPr>
        <w:footnoteRef/>
      </w:r>
      <w:r>
        <w:tab/>
        <w:t>FCCC/SBI/2017</w:t>
      </w:r>
      <w:r w:rsidRPr="00D91636">
        <w:t>/13</w:t>
      </w:r>
      <w:r>
        <w:t>, FCCC/SBI/2017/INF.8, FCCC/SBI/2017</w:t>
      </w:r>
      <w:r w:rsidRPr="00D91636">
        <w:t>/INF.14</w:t>
      </w:r>
      <w:r>
        <w:t xml:space="preserve"> and FCCC/SBI/2017</w:t>
      </w:r>
      <w:r w:rsidRPr="00D91636">
        <w:t>/INF.15</w:t>
      </w:r>
      <w:r w:rsidRPr="00D478DC">
        <w:t xml:space="preserve"> and Add.1</w:t>
      </w:r>
      <w:r w:rsidRPr="004D1A1E">
        <w:t>.</w:t>
      </w:r>
    </w:p>
  </w:footnote>
  <w:footnote w:id="24">
    <w:p w14:paraId="42C7F43D" w14:textId="77777777" w:rsidR="003F7F8B" w:rsidRPr="005A5AD5" w:rsidRDefault="003F7F8B" w:rsidP="00173478">
      <w:pPr>
        <w:pStyle w:val="FootnoteText"/>
        <w:widowControl w:val="0"/>
        <w:tabs>
          <w:tab w:val="clear" w:pos="1021"/>
          <w:tab w:val="right" w:pos="1020"/>
        </w:tabs>
      </w:pPr>
      <w:r>
        <w:tab/>
      </w:r>
      <w:r>
        <w:rPr>
          <w:rStyle w:val="FootnoteReference"/>
        </w:rPr>
        <w:footnoteRef/>
      </w:r>
      <w:r w:rsidRPr="005A5AD5">
        <w:tab/>
        <w:t>FCCC/SBI/2017/13.</w:t>
      </w:r>
    </w:p>
  </w:footnote>
  <w:footnote w:id="25">
    <w:p w14:paraId="0BF19BEF" w14:textId="77777777" w:rsidR="003F7F8B" w:rsidRPr="005A5AD5" w:rsidRDefault="003F7F8B" w:rsidP="00173478">
      <w:pPr>
        <w:pStyle w:val="FootnoteText"/>
        <w:widowControl w:val="0"/>
        <w:tabs>
          <w:tab w:val="clear" w:pos="1021"/>
          <w:tab w:val="right" w:pos="1020"/>
        </w:tabs>
      </w:pPr>
      <w:r w:rsidRPr="005A5AD5">
        <w:tab/>
      </w:r>
      <w:r>
        <w:rPr>
          <w:rStyle w:val="FootnoteReference"/>
        </w:rPr>
        <w:footnoteRef/>
      </w:r>
      <w:r w:rsidRPr="005A5AD5">
        <w:tab/>
        <w:t>FCCC/SBI/2017/INF.14.</w:t>
      </w:r>
    </w:p>
  </w:footnote>
  <w:footnote w:id="26">
    <w:p w14:paraId="4EF7D626" w14:textId="77777777" w:rsidR="003F7F8B" w:rsidRPr="00CC7899" w:rsidRDefault="003F7F8B" w:rsidP="00173478">
      <w:pPr>
        <w:pStyle w:val="FootnoteText"/>
        <w:widowControl w:val="0"/>
        <w:tabs>
          <w:tab w:val="clear" w:pos="1021"/>
          <w:tab w:val="right" w:pos="1020"/>
        </w:tabs>
        <w:rPr>
          <w:lang w:val="en-US"/>
        </w:rPr>
      </w:pPr>
      <w:r>
        <w:tab/>
      </w:r>
      <w:r>
        <w:rPr>
          <w:rStyle w:val="FootnoteReference"/>
        </w:rPr>
        <w:footnoteRef/>
      </w:r>
      <w:r>
        <w:tab/>
        <w:t xml:space="preserve">FCCC/SBI/2017/INF.15 and Add.1. </w:t>
      </w:r>
    </w:p>
  </w:footnote>
  <w:footnote w:id="27">
    <w:p w14:paraId="14DF3DBC" w14:textId="77777777" w:rsidR="003F7F8B" w:rsidRPr="00CD1BF7" w:rsidRDefault="003F7F8B" w:rsidP="00173478">
      <w:pPr>
        <w:pStyle w:val="FootnoteText"/>
        <w:rPr>
          <w:lang w:val="it-IT"/>
        </w:rPr>
      </w:pPr>
      <w:r w:rsidRPr="00D02333">
        <w:rPr>
          <w:lang w:val="it-IT"/>
        </w:rPr>
        <w:tab/>
      </w:r>
      <w:r w:rsidRPr="00FC33E0">
        <w:rPr>
          <w:rStyle w:val="FootnoteReference"/>
        </w:rPr>
        <w:footnoteRef/>
      </w:r>
      <w:r w:rsidRPr="00D02333">
        <w:rPr>
          <w:lang w:val="it-IT"/>
        </w:rPr>
        <w:tab/>
      </w:r>
      <w:r w:rsidRPr="00CD1BF7">
        <w:rPr>
          <w:lang w:val="it-IT"/>
        </w:rPr>
        <w:t>Decision 15/CP.1, annex I.</w:t>
      </w:r>
    </w:p>
  </w:footnote>
  <w:footnote w:id="28">
    <w:p w14:paraId="5350052D" w14:textId="77777777" w:rsidR="003F7F8B" w:rsidRPr="005F2137" w:rsidRDefault="003F7F8B" w:rsidP="00173478">
      <w:pPr>
        <w:pStyle w:val="FootnoteText"/>
        <w:tabs>
          <w:tab w:val="left" w:pos="1440"/>
          <w:tab w:val="left" w:pos="2160"/>
          <w:tab w:val="left" w:pos="2880"/>
          <w:tab w:val="left" w:pos="4230"/>
        </w:tabs>
      </w:pPr>
      <w:r w:rsidRPr="00CD1BF7">
        <w:rPr>
          <w:lang w:val="it-IT"/>
        </w:rPr>
        <w:tab/>
      </w:r>
      <w:r w:rsidRPr="00CD1BF7">
        <w:rPr>
          <w:rStyle w:val="FootnoteReference"/>
        </w:rPr>
        <w:footnoteRef/>
      </w:r>
      <w:r w:rsidRPr="00CD1BF7">
        <w:tab/>
        <w:t>FCCC/SBI/2017/4.</w:t>
      </w:r>
    </w:p>
  </w:footnote>
  <w:footnote w:id="29">
    <w:p w14:paraId="3FE36BCF" w14:textId="77777777" w:rsidR="003F7F8B" w:rsidRPr="00CD1BF7" w:rsidRDefault="003F7F8B" w:rsidP="00173478">
      <w:pPr>
        <w:pStyle w:val="FootnoteText"/>
        <w:rPr>
          <w:lang w:val="it-IT"/>
        </w:rPr>
      </w:pPr>
      <w:r w:rsidRPr="00D02333">
        <w:rPr>
          <w:lang w:val="it-IT"/>
        </w:rPr>
        <w:tab/>
      </w:r>
      <w:r w:rsidRPr="00FC33E0">
        <w:rPr>
          <w:rStyle w:val="FootnoteReference"/>
        </w:rPr>
        <w:footnoteRef/>
      </w:r>
      <w:r w:rsidRPr="00D02333">
        <w:rPr>
          <w:lang w:val="it-IT"/>
        </w:rPr>
        <w:tab/>
      </w:r>
      <w:r>
        <w:rPr>
          <w:lang w:val="it-IT"/>
        </w:rPr>
        <w:t>As footnote 1 above</w:t>
      </w:r>
      <w:r w:rsidRPr="00CD1BF7">
        <w:rPr>
          <w:lang w:val="it-I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941DB" w14:textId="2B6A61CE" w:rsidR="003F7F8B" w:rsidRPr="0024232D" w:rsidRDefault="003F7F8B" w:rsidP="0024232D">
    <w:pPr>
      <w:pStyle w:val="Header"/>
    </w:pPr>
    <w:r>
      <w:t>FCCC/CP/2017/11/Add.2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6C378" w14:textId="7CEB3A70" w:rsidR="003F7F8B" w:rsidRPr="0024232D" w:rsidRDefault="003F7F8B" w:rsidP="0024232D">
    <w:pPr>
      <w:pStyle w:val="Header"/>
      <w:jc w:val="right"/>
    </w:pPr>
    <w:r>
      <w:t>FCCC/CP/2017/11/Add.2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41BA2" w14:textId="0E826598" w:rsidR="003F7F8B" w:rsidRPr="0024232D" w:rsidRDefault="003F7F8B" w:rsidP="0024232D">
    <w:pPr>
      <w:pStyle w:val="Header"/>
    </w:pPr>
    <w:r>
      <w:t>FCCC/CP/2017/11/Add.2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4C655" w14:textId="77777777" w:rsidR="003F7F8B" w:rsidRPr="00523FAB" w:rsidRDefault="003F7F8B" w:rsidP="00523FAB">
    <w:pPr>
      <w:pStyle w:val="Header"/>
      <w:jc w:val="right"/>
    </w:pPr>
    <w:r>
      <w:t>FCCC/CP/2017/X/Add.2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AA96C" w14:textId="77777777" w:rsidR="003F7F8B" w:rsidRDefault="003F7F8B" w:rsidP="00173478">
    <w:pPr>
      <w:pStyle w:val="Header"/>
    </w:pPr>
    <w:r>
      <w:t>FCCC/SBSTA/2017/L.4/Add.1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835BB" w14:textId="643DD8EB" w:rsidR="003F7F8B" w:rsidRPr="0024232D" w:rsidRDefault="003F7F8B" w:rsidP="0024232D">
    <w:pPr>
      <w:pStyle w:val="Header"/>
      <w:jc w:val="right"/>
    </w:pPr>
    <w:r>
      <w:t>FCCC/CP/2017/11/Add.2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35270" w14:textId="77777777" w:rsidR="003F7F8B" w:rsidRDefault="003F7F8B" w:rsidP="00173478">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1FCF1" w14:textId="6C65E2CF" w:rsidR="003F7F8B" w:rsidRPr="0024232D" w:rsidRDefault="003F7F8B" w:rsidP="0024232D">
    <w:pPr>
      <w:pStyle w:val="Header"/>
    </w:pPr>
    <w:r>
      <w:t>FCCC/CP/2017/11/Add.2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1537C" w14:textId="201A16AE" w:rsidR="003F7F8B" w:rsidRPr="0024232D" w:rsidRDefault="003F7F8B" w:rsidP="0024232D">
    <w:pPr>
      <w:pStyle w:val="Header"/>
      <w:jc w:val="right"/>
    </w:pPr>
    <w:r>
      <w:t>FCCC/CP/2017/11/Add.2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A5043" w14:textId="3D6DC6ED" w:rsidR="003F7F8B" w:rsidRPr="0024232D" w:rsidRDefault="003F7F8B" w:rsidP="0024232D">
    <w:pPr>
      <w:pStyle w:val="Header"/>
    </w:pPr>
    <w:r>
      <w:t>FCCC/CP/2017/11/Add.2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A6FF" w14:textId="3C5CE3A2" w:rsidR="003F7F8B" w:rsidRPr="0024232D" w:rsidRDefault="003F7F8B" w:rsidP="0024232D">
    <w:pPr>
      <w:pStyle w:val="Header"/>
      <w:jc w:val="right"/>
    </w:pPr>
    <w:r>
      <w:t>FCCC/CP/2017/11/Add.2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8B52" w14:textId="0A21B312" w:rsidR="003F7F8B" w:rsidRPr="0024232D" w:rsidRDefault="003F7F8B" w:rsidP="0024232D">
    <w:pPr>
      <w:pStyle w:val="Header"/>
      <w:jc w:val="right"/>
    </w:pPr>
    <w:r>
      <w:t>FCCC/CP/2017/11/Add.2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B3D6" w14:textId="02077A3B" w:rsidR="003F7F8B" w:rsidRPr="0024232D" w:rsidRDefault="003F7F8B" w:rsidP="0024232D">
    <w:pPr>
      <w:pStyle w:val="Header"/>
    </w:pPr>
    <w:r>
      <w:t>FCCC/CP/2017/11/Add.2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60A93" w14:textId="66383839" w:rsidR="003F7F8B" w:rsidRPr="0024232D" w:rsidRDefault="003F7F8B" w:rsidP="0024232D">
    <w:pPr>
      <w:pStyle w:val="Header"/>
      <w:jc w:val="right"/>
    </w:pPr>
    <w:r>
      <w:t>FCCC/CP/2017/11/Add.2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8C936" w14:textId="30F49F1F" w:rsidR="003F7F8B" w:rsidRPr="0024232D" w:rsidRDefault="003F7F8B" w:rsidP="0024232D">
    <w:pPr>
      <w:pStyle w:val="Header"/>
    </w:pPr>
    <w:r>
      <w:t>FCCC/CP/2017/11/Add.2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4804F" w14:textId="5668D37A" w:rsidR="003F7F8B" w:rsidRPr="0024232D" w:rsidRDefault="003F7F8B" w:rsidP="0024232D">
    <w:pPr>
      <w:pStyle w:val="Header"/>
      <w:jc w:val="right"/>
    </w:pPr>
    <w:r>
      <w:t>FCCC/CP/2017/11/Add.2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BCEBF" w14:textId="55EBDB45" w:rsidR="003F7F8B" w:rsidRPr="0024232D" w:rsidRDefault="003F7F8B" w:rsidP="0024232D">
    <w:pPr>
      <w:pStyle w:val="Header"/>
    </w:pPr>
    <w:r>
      <w:t>FCCC/CP/2017/11/Add.2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5787A" w14:textId="4E839EF7" w:rsidR="003F7F8B" w:rsidRPr="0024232D" w:rsidRDefault="003F7F8B" w:rsidP="0024232D">
    <w:pPr>
      <w:pStyle w:val="Header"/>
      <w:jc w:val="right"/>
    </w:pPr>
    <w:r>
      <w:t>FCCC/CP/2017/11/Add.2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DE1F" w14:textId="62744F79" w:rsidR="003F7F8B" w:rsidRPr="0024232D" w:rsidRDefault="003F7F8B" w:rsidP="0024232D">
    <w:pPr>
      <w:pStyle w:val="Header"/>
    </w:pPr>
    <w:r>
      <w:t>FCCC/CP/2017/11/Add.2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BC38A" w14:textId="223D0A64" w:rsidR="003F7F8B" w:rsidRPr="0024232D" w:rsidRDefault="003F7F8B" w:rsidP="0024232D">
    <w:pPr>
      <w:pStyle w:val="Header"/>
      <w:jc w:val="right"/>
    </w:pPr>
    <w:r>
      <w:t>FCCC/CP/2017/11/Add.2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48F4" w14:textId="5CAF0BF3" w:rsidR="003F7F8B" w:rsidRPr="0024232D" w:rsidRDefault="003F7F8B" w:rsidP="0024232D">
    <w:pPr>
      <w:pStyle w:val="Header"/>
    </w:pPr>
    <w:r>
      <w:t>FCCC/CP/2017/11/Add.2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8266" w14:textId="52EDE6DF" w:rsidR="003F7F8B" w:rsidRPr="0024232D" w:rsidRDefault="003F7F8B" w:rsidP="0024232D">
    <w:pPr>
      <w:pStyle w:val="Header"/>
      <w:jc w:val="right"/>
    </w:pPr>
    <w:r>
      <w:t>FCCC/CP/2017/11/Add.2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44AC" w14:textId="59FC2ACD" w:rsidR="003F7F8B" w:rsidRPr="0024232D" w:rsidRDefault="003F7F8B" w:rsidP="0024232D">
    <w:pPr>
      <w:pStyle w:val="Header"/>
    </w:pPr>
    <w:r>
      <w:t>FCCC/CP/2017/11/Add.2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96458" w14:textId="77777777" w:rsidR="003F7F8B" w:rsidRPr="00523FAB" w:rsidRDefault="003F7F8B" w:rsidP="00523FAB">
    <w:pPr>
      <w:pStyle w:val="Header"/>
      <w:jc w:val="right"/>
    </w:pPr>
    <w:r>
      <w:t>FCCC/CP/2017/X/Add.2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0E434" w14:textId="77777777" w:rsidR="003F7F8B" w:rsidRPr="004D2A4F" w:rsidRDefault="003F7F8B" w:rsidP="004D2A4F">
    <w:pPr>
      <w:pStyle w:val="Header"/>
    </w:pPr>
    <w:r>
      <w:t>FCCC/CP/2017/X/Add.2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A23AD"/>
    <w:multiLevelType w:val="multilevel"/>
    <w:tmpl w:val="B54EE174"/>
    <w:name w:val="Reg68"/>
    <w:lvl w:ilvl="0">
      <w:start w:val="1"/>
      <w:numFmt w:val="none"/>
      <w:suff w:val="space"/>
      <w:lvlText w:val=""/>
      <w:lvlJc w:val="center"/>
      <w:pPr>
        <w:ind w:left="0" w:firstLine="0"/>
      </w:pPr>
      <w:rPr>
        <w:rFonts w:hint="default"/>
        <w:sz w:val="28"/>
      </w:rPr>
    </w:lvl>
    <w:lvl w:ilvl="1">
      <w:start w:val="1"/>
      <w:numFmt w:val="upperLetter"/>
      <w:suff w:val="space"/>
      <w:lvlText w:val="%2. "/>
      <w:lvlJc w:val="center"/>
      <w:pPr>
        <w:ind w:left="0" w:firstLine="0"/>
      </w:pPr>
      <w:rPr>
        <w:rFonts w:hint="default"/>
        <w:b/>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4" w15:restartNumberingAfterBreak="0">
    <w:nsid w:val="081F344F"/>
    <w:multiLevelType w:val="hybridMultilevel"/>
    <w:tmpl w:val="D1487212"/>
    <w:lvl w:ilvl="0" w:tplc="48E88374">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D2084"/>
    <w:multiLevelType w:val="multilevel"/>
    <w:tmpl w:val="3BA21030"/>
    <w:lvl w:ilvl="0">
      <w:start w:val="1"/>
      <w:numFmt w:val="bullet"/>
      <w:lvlText w:val=""/>
      <w:lvlJc w:val="left"/>
      <w:pPr>
        <w:tabs>
          <w:tab w:val="num" w:pos="585"/>
        </w:tabs>
        <w:ind w:left="585" w:hanging="360"/>
      </w:pPr>
      <w:rPr>
        <w:rFonts w:ascii="Symbol" w:hAnsi="Symbol" w:hint="default"/>
      </w:rPr>
    </w:lvl>
    <w:lvl w:ilvl="1">
      <w:start w:val="1"/>
      <w:numFmt w:val="lowerLetter"/>
      <w:lvlRestart w:val="0"/>
      <w:suff w:val="space"/>
      <w:lvlText w:val="%2  "/>
      <w:lvlJc w:val="left"/>
      <w:pPr>
        <w:tabs>
          <w:tab w:val="num" w:pos="721"/>
        </w:tabs>
        <w:ind w:left="1135" w:firstLine="170"/>
      </w:pPr>
      <w:rPr>
        <w:rFonts w:hint="default"/>
        <w:i/>
        <w:sz w:val="18"/>
        <w:vertAlign w:val="superscript"/>
      </w:rPr>
    </w:lvl>
    <w:lvl w:ilvl="2">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6" w15:restartNumberingAfterBreak="0">
    <w:nsid w:val="1023354E"/>
    <w:multiLevelType w:val="multilevel"/>
    <w:tmpl w:val="54F492B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i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 w15:restartNumberingAfterBreak="0">
    <w:nsid w:val="11A9360A"/>
    <w:multiLevelType w:val="multilevel"/>
    <w:tmpl w:val="FD843F1A"/>
    <w:name w:val="Reg"/>
    <w:lvl w:ilvl="0">
      <w:start w:val="1"/>
      <w:numFmt w:val="upperRoman"/>
      <w:pStyle w:val="RegHead1"/>
      <w:suff w:val="space"/>
      <w:lvlText w:val="%1. "/>
      <w:lvlJc w:val="center"/>
      <w:pPr>
        <w:ind w:left="0" w:firstLine="0"/>
      </w:pPr>
      <w:rPr>
        <w:sz w:val="22"/>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8" w15:restartNumberingAfterBreak="0">
    <w:nsid w:val="142A461A"/>
    <w:multiLevelType w:val="multilevel"/>
    <w:tmpl w:val="2C947C7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9" w15:restartNumberingAfterBreak="0">
    <w:nsid w:val="1650370D"/>
    <w:multiLevelType w:val="multilevel"/>
    <w:tmpl w:val="1BE2FFB2"/>
    <w:lvl w:ilvl="0">
      <w:start w:val="1"/>
      <w:numFmt w:val="upperRoman"/>
      <w:suff w:val="space"/>
      <w:lvlText w:val="%1. "/>
      <w:lvlJc w:val="right"/>
      <w:pPr>
        <w:ind w:left="0" w:firstLine="244"/>
      </w:pPr>
      <w:rPr>
        <w:rFonts w:hint="default"/>
        <w:sz w:val="28"/>
      </w:rPr>
    </w:lvl>
    <w:lvl w:ilvl="1">
      <w:start w:val="1"/>
      <w:numFmt w:val="decimal"/>
      <w:suff w:val="space"/>
      <w:lvlText w:val="%2. "/>
      <w:lvlJc w:val="left"/>
      <w:pPr>
        <w:ind w:left="0" w:firstLine="0"/>
      </w:pPr>
      <w:rPr>
        <w:rFonts w:hint="default"/>
        <w:b/>
        <w:sz w:val="22"/>
        <w:u w:val="none"/>
      </w:rPr>
    </w:lvl>
    <w:lvl w:ilvl="2">
      <w:start w:val="1"/>
      <w:numFmt w:val="lowerLetter"/>
      <w:pStyle w:val="AnnoHead2"/>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Head2"/>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0" w15:restartNumberingAfterBreak="0">
    <w:nsid w:val="16BC50CF"/>
    <w:multiLevelType w:val="multilevel"/>
    <w:tmpl w:val="3BA21030"/>
    <w:lvl w:ilvl="0">
      <w:start w:val="1"/>
      <w:numFmt w:val="bullet"/>
      <w:lvlText w:val=""/>
      <w:lvlJc w:val="left"/>
      <w:pPr>
        <w:tabs>
          <w:tab w:val="num" w:pos="585"/>
        </w:tabs>
        <w:ind w:left="585" w:hanging="360"/>
      </w:pPr>
      <w:rPr>
        <w:rFonts w:ascii="Symbol" w:hAnsi="Symbol" w:hint="default"/>
      </w:rPr>
    </w:lvl>
    <w:lvl w:ilvl="1">
      <w:start w:val="1"/>
      <w:numFmt w:val="lowerLetter"/>
      <w:lvlRestart w:val="0"/>
      <w:suff w:val="space"/>
      <w:lvlText w:val="%2  "/>
      <w:lvlJc w:val="left"/>
      <w:pPr>
        <w:tabs>
          <w:tab w:val="num" w:pos="721"/>
        </w:tabs>
        <w:ind w:left="1135" w:firstLine="170"/>
      </w:pPr>
      <w:rPr>
        <w:rFonts w:hint="default"/>
        <w:i/>
        <w:sz w:val="18"/>
        <w:vertAlign w:val="superscript"/>
      </w:rPr>
    </w:lvl>
    <w:lvl w:ilvl="2">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11"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2"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6"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B51457"/>
    <w:multiLevelType w:val="multilevel"/>
    <w:tmpl w:val="3BA21030"/>
    <w:name w:val="Reg59232"/>
    <w:lvl w:ilvl="0">
      <w:start w:val="1"/>
      <w:numFmt w:val="bullet"/>
      <w:lvlText w:val=""/>
      <w:lvlJc w:val="left"/>
      <w:pPr>
        <w:tabs>
          <w:tab w:val="num" w:pos="585"/>
        </w:tabs>
        <w:ind w:left="585" w:hanging="360"/>
      </w:pPr>
      <w:rPr>
        <w:rFonts w:ascii="Symbol" w:hAnsi="Symbol" w:hint="default"/>
      </w:rPr>
    </w:lvl>
    <w:lvl w:ilvl="1">
      <w:start w:val="1"/>
      <w:numFmt w:val="lowerLetter"/>
      <w:lvlRestart w:val="0"/>
      <w:suff w:val="space"/>
      <w:lvlText w:val="%2  "/>
      <w:lvlJc w:val="left"/>
      <w:pPr>
        <w:tabs>
          <w:tab w:val="num" w:pos="721"/>
        </w:tabs>
        <w:ind w:left="1135" w:firstLine="170"/>
      </w:pPr>
      <w:rPr>
        <w:rFonts w:hint="default"/>
        <w:i/>
        <w:sz w:val="18"/>
        <w:vertAlign w:val="superscript"/>
      </w:rPr>
    </w:lvl>
    <w:lvl w:ilvl="2">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20" w15:restartNumberingAfterBreak="0">
    <w:nsid w:val="40703976"/>
    <w:multiLevelType w:val="hybridMultilevel"/>
    <w:tmpl w:val="9C64199C"/>
    <w:lvl w:ilvl="0" w:tplc="3F201CB4">
      <w:start w:val="2"/>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1" w15:restartNumberingAfterBreak="0">
    <w:nsid w:val="42C966C7"/>
    <w:multiLevelType w:val="multilevel"/>
    <w:tmpl w:val="009C9844"/>
    <w:lvl w:ilvl="0">
      <w:start w:val="1"/>
      <w:numFmt w:val="decimal"/>
      <w:pStyle w:val="StyleTOC5Before136cm"/>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15:restartNumberingAfterBreak="0">
    <w:nsid w:val="43AB2E11"/>
    <w:multiLevelType w:val="hybridMultilevel"/>
    <w:tmpl w:val="9DD2F9BC"/>
    <w:lvl w:ilvl="0" w:tplc="608437A8">
      <w:start w:val="1"/>
      <w:numFmt w:val="upperLetter"/>
      <w:lvlText w:val="%1."/>
      <w:lvlJc w:val="left"/>
      <w:pPr>
        <w:ind w:left="720" w:hanging="36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28439B"/>
    <w:multiLevelType w:val="hybridMultilevel"/>
    <w:tmpl w:val="CD4EAE34"/>
    <w:lvl w:ilvl="0" w:tplc="3410D084">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AC7F11"/>
    <w:multiLevelType w:val="multilevel"/>
    <w:tmpl w:val="3BA21030"/>
    <w:lvl w:ilvl="0">
      <w:start w:val="1"/>
      <w:numFmt w:val="bullet"/>
      <w:lvlText w:val=""/>
      <w:lvlJc w:val="left"/>
      <w:pPr>
        <w:tabs>
          <w:tab w:val="num" w:pos="585"/>
        </w:tabs>
        <w:ind w:left="585" w:hanging="360"/>
      </w:pPr>
      <w:rPr>
        <w:rFonts w:ascii="Symbol" w:hAnsi="Symbol" w:hint="default"/>
      </w:rPr>
    </w:lvl>
    <w:lvl w:ilvl="1">
      <w:start w:val="1"/>
      <w:numFmt w:val="lowerLetter"/>
      <w:lvlRestart w:val="0"/>
      <w:suff w:val="space"/>
      <w:lvlText w:val="%2  "/>
      <w:lvlJc w:val="left"/>
      <w:pPr>
        <w:tabs>
          <w:tab w:val="num" w:pos="721"/>
        </w:tabs>
        <w:ind w:left="1135" w:firstLine="170"/>
      </w:pPr>
      <w:rPr>
        <w:rFonts w:cs="Times New Roman" w:hint="default"/>
        <w:i/>
        <w:sz w:val="18"/>
        <w:vertAlign w:val="superscrip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28" w15:restartNumberingAfterBreak="0">
    <w:nsid w:val="7D5A2C41"/>
    <w:multiLevelType w:val="multilevel"/>
    <w:tmpl w:val="0EDA22E2"/>
    <w:lvl w:ilvl="0">
      <w:start w:val="173"/>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0"/>
  </w:num>
  <w:num w:numId="3">
    <w:abstractNumId w:val="26"/>
  </w:num>
  <w:num w:numId="4">
    <w:abstractNumId w:val="15"/>
  </w:num>
  <w:num w:numId="5">
    <w:abstractNumId w:val="13"/>
  </w:num>
  <w:num w:numId="6">
    <w:abstractNumId w:val="16"/>
  </w:num>
  <w:num w:numId="7">
    <w:abstractNumId w:val="1"/>
  </w:num>
  <w:num w:numId="8">
    <w:abstractNumId w:val="0"/>
  </w:num>
  <w:num w:numId="9">
    <w:abstractNumId w:val="26"/>
  </w:num>
  <w:num w:numId="10">
    <w:abstractNumId w:val="15"/>
  </w:num>
  <w:num w:numId="11">
    <w:abstractNumId w:val="15"/>
  </w:num>
  <w:num w:numId="12">
    <w:abstractNumId w:val="15"/>
  </w:num>
  <w:num w:numId="13">
    <w:abstractNumId w:val="15"/>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7"/>
  </w:num>
  <w:num w:numId="30">
    <w:abstractNumId w:val="3"/>
  </w:num>
  <w:num w:numId="31">
    <w:abstractNumId w:val="9"/>
  </w:num>
  <w:num w:numId="32">
    <w:abstractNumId w:val="21"/>
  </w:num>
  <w:num w:numId="33">
    <w:abstractNumId w:val="5"/>
  </w:num>
  <w:num w:numId="34">
    <w:abstractNumId w:val="19"/>
  </w:num>
  <w:num w:numId="35">
    <w:abstractNumId w:val="22"/>
  </w:num>
  <w:num w:numId="36">
    <w:abstractNumId w:val="27"/>
  </w:num>
  <w:num w:numId="37">
    <w:abstractNumId w:val="24"/>
  </w:num>
  <w:num w:numId="38">
    <w:abstractNumId w:val="4"/>
  </w:num>
  <w:num w:numId="39">
    <w:abstractNumId w:val="10"/>
  </w:num>
  <w:num w:numId="40">
    <w:abstractNumId w:val="20"/>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6"/>
  </w:num>
  <w:num w:numId="48">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NotTrackMoves/>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45057"/>
  </w:hdrShapeDefaults>
  <w:footnotePr>
    <w:numRestart w:val="eachSect"/>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3FAB"/>
    <w:rsid w:val="00002558"/>
    <w:rsid w:val="00004A30"/>
    <w:rsid w:val="00007089"/>
    <w:rsid w:val="00021BB6"/>
    <w:rsid w:val="0002382B"/>
    <w:rsid w:val="00032DDE"/>
    <w:rsid w:val="00037650"/>
    <w:rsid w:val="0003776D"/>
    <w:rsid w:val="000423A6"/>
    <w:rsid w:val="0004656A"/>
    <w:rsid w:val="00052463"/>
    <w:rsid w:val="000555B3"/>
    <w:rsid w:val="000561BD"/>
    <w:rsid w:val="00062505"/>
    <w:rsid w:val="00074855"/>
    <w:rsid w:val="00074EC5"/>
    <w:rsid w:val="00074FC8"/>
    <w:rsid w:val="00076113"/>
    <w:rsid w:val="000773C8"/>
    <w:rsid w:val="00081C44"/>
    <w:rsid w:val="00083647"/>
    <w:rsid w:val="000855DF"/>
    <w:rsid w:val="0008756E"/>
    <w:rsid w:val="00087BE9"/>
    <w:rsid w:val="00090016"/>
    <w:rsid w:val="000913E6"/>
    <w:rsid w:val="00092E29"/>
    <w:rsid w:val="00093044"/>
    <w:rsid w:val="000A399F"/>
    <w:rsid w:val="000A4C99"/>
    <w:rsid w:val="000A566F"/>
    <w:rsid w:val="000A7C2B"/>
    <w:rsid w:val="000B1FD0"/>
    <w:rsid w:val="000C0E05"/>
    <w:rsid w:val="000C24E3"/>
    <w:rsid w:val="000C5173"/>
    <w:rsid w:val="000C7FAF"/>
    <w:rsid w:val="000D0389"/>
    <w:rsid w:val="000D5DED"/>
    <w:rsid w:val="000D6922"/>
    <w:rsid w:val="000D6D4A"/>
    <w:rsid w:val="000E343D"/>
    <w:rsid w:val="000E5A58"/>
    <w:rsid w:val="000E6E68"/>
    <w:rsid w:val="000F13AC"/>
    <w:rsid w:val="000F209A"/>
    <w:rsid w:val="000F379C"/>
    <w:rsid w:val="000F4528"/>
    <w:rsid w:val="000F5020"/>
    <w:rsid w:val="001007C9"/>
    <w:rsid w:val="00106384"/>
    <w:rsid w:val="00107536"/>
    <w:rsid w:val="00107B0E"/>
    <w:rsid w:val="0011157B"/>
    <w:rsid w:val="001161E5"/>
    <w:rsid w:val="0011781E"/>
    <w:rsid w:val="00120015"/>
    <w:rsid w:val="00120826"/>
    <w:rsid w:val="00120901"/>
    <w:rsid w:val="001209A8"/>
    <w:rsid w:val="00120E84"/>
    <w:rsid w:val="00123C52"/>
    <w:rsid w:val="00124496"/>
    <w:rsid w:val="00127311"/>
    <w:rsid w:val="001328F9"/>
    <w:rsid w:val="001349EC"/>
    <w:rsid w:val="00134F15"/>
    <w:rsid w:val="00136D61"/>
    <w:rsid w:val="00141710"/>
    <w:rsid w:val="00142A35"/>
    <w:rsid w:val="00152A6E"/>
    <w:rsid w:val="001600D9"/>
    <w:rsid w:val="00172CF0"/>
    <w:rsid w:val="00173478"/>
    <w:rsid w:val="001738F1"/>
    <w:rsid w:val="00174A05"/>
    <w:rsid w:val="00177074"/>
    <w:rsid w:val="00184C03"/>
    <w:rsid w:val="00186A4F"/>
    <w:rsid w:val="001906D0"/>
    <w:rsid w:val="001915EF"/>
    <w:rsid w:val="0019430F"/>
    <w:rsid w:val="001945C7"/>
    <w:rsid w:val="00194BFA"/>
    <w:rsid w:val="00194E11"/>
    <w:rsid w:val="00195018"/>
    <w:rsid w:val="00196E77"/>
    <w:rsid w:val="001A0A3A"/>
    <w:rsid w:val="001A1FC1"/>
    <w:rsid w:val="001A3E9A"/>
    <w:rsid w:val="001A594B"/>
    <w:rsid w:val="001A5FE8"/>
    <w:rsid w:val="001A70E2"/>
    <w:rsid w:val="001B085A"/>
    <w:rsid w:val="001B1483"/>
    <w:rsid w:val="001B336E"/>
    <w:rsid w:val="001C3DE7"/>
    <w:rsid w:val="001C40F0"/>
    <w:rsid w:val="001C4688"/>
    <w:rsid w:val="001C7B87"/>
    <w:rsid w:val="001D012A"/>
    <w:rsid w:val="001D0F0F"/>
    <w:rsid w:val="001D2FD8"/>
    <w:rsid w:val="001E40E2"/>
    <w:rsid w:val="001E7D13"/>
    <w:rsid w:val="001F0C87"/>
    <w:rsid w:val="001F2BBF"/>
    <w:rsid w:val="001F6126"/>
    <w:rsid w:val="002008AA"/>
    <w:rsid w:val="00201B92"/>
    <w:rsid w:val="002025E1"/>
    <w:rsid w:val="00202C1D"/>
    <w:rsid w:val="00207452"/>
    <w:rsid w:val="0021446A"/>
    <w:rsid w:val="00216589"/>
    <w:rsid w:val="00223453"/>
    <w:rsid w:val="00224111"/>
    <w:rsid w:val="00230D0F"/>
    <w:rsid w:val="00231FB5"/>
    <w:rsid w:val="00232479"/>
    <w:rsid w:val="00232EAA"/>
    <w:rsid w:val="0024232D"/>
    <w:rsid w:val="0024447B"/>
    <w:rsid w:val="00246888"/>
    <w:rsid w:val="00247BF6"/>
    <w:rsid w:val="00250037"/>
    <w:rsid w:val="00251FF9"/>
    <w:rsid w:val="00256CFB"/>
    <w:rsid w:val="00257AA3"/>
    <w:rsid w:val="00260BFA"/>
    <w:rsid w:val="00264F17"/>
    <w:rsid w:val="00266D68"/>
    <w:rsid w:val="00267B98"/>
    <w:rsid w:val="00273E8E"/>
    <w:rsid w:val="0027419E"/>
    <w:rsid w:val="00276A17"/>
    <w:rsid w:val="002776B4"/>
    <w:rsid w:val="002779EB"/>
    <w:rsid w:val="002823A1"/>
    <w:rsid w:val="00282D14"/>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71EA"/>
    <w:rsid w:val="002B72CE"/>
    <w:rsid w:val="002B7532"/>
    <w:rsid w:val="002C051E"/>
    <w:rsid w:val="002C11F7"/>
    <w:rsid w:val="002C3336"/>
    <w:rsid w:val="002C52A6"/>
    <w:rsid w:val="002C5632"/>
    <w:rsid w:val="002D154A"/>
    <w:rsid w:val="002D1F6E"/>
    <w:rsid w:val="002D737B"/>
    <w:rsid w:val="002E3ED8"/>
    <w:rsid w:val="002F304A"/>
    <w:rsid w:val="002F60E8"/>
    <w:rsid w:val="002F7B01"/>
    <w:rsid w:val="003012AF"/>
    <w:rsid w:val="00304BA1"/>
    <w:rsid w:val="00306423"/>
    <w:rsid w:val="003132EC"/>
    <w:rsid w:val="003147E4"/>
    <w:rsid w:val="00317B8C"/>
    <w:rsid w:val="003250E7"/>
    <w:rsid w:val="00327575"/>
    <w:rsid w:val="00327B89"/>
    <w:rsid w:val="00332592"/>
    <w:rsid w:val="003354A0"/>
    <w:rsid w:val="00336DC3"/>
    <w:rsid w:val="00340554"/>
    <w:rsid w:val="00341289"/>
    <w:rsid w:val="003415A2"/>
    <w:rsid w:val="00344AD3"/>
    <w:rsid w:val="00350710"/>
    <w:rsid w:val="00355B23"/>
    <w:rsid w:val="00357684"/>
    <w:rsid w:val="00361821"/>
    <w:rsid w:val="00361A9D"/>
    <w:rsid w:val="003643C9"/>
    <w:rsid w:val="00364B85"/>
    <w:rsid w:val="00375F53"/>
    <w:rsid w:val="00376247"/>
    <w:rsid w:val="003762C2"/>
    <w:rsid w:val="00381632"/>
    <w:rsid w:val="00383494"/>
    <w:rsid w:val="003847B9"/>
    <w:rsid w:val="003A04B4"/>
    <w:rsid w:val="003A4936"/>
    <w:rsid w:val="003B1229"/>
    <w:rsid w:val="003B2C11"/>
    <w:rsid w:val="003B3C25"/>
    <w:rsid w:val="003B4C6A"/>
    <w:rsid w:val="003B4D23"/>
    <w:rsid w:val="003C3854"/>
    <w:rsid w:val="003C75B9"/>
    <w:rsid w:val="003D1A53"/>
    <w:rsid w:val="003D36AD"/>
    <w:rsid w:val="003D6B47"/>
    <w:rsid w:val="003E05CD"/>
    <w:rsid w:val="003E3A52"/>
    <w:rsid w:val="003E7CA8"/>
    <w:rsid w:val="003F0BC6"/>
    <w:rsid w:val="003F1E27"/>
    <w:rsid w:val="003F20C4"/>
    <w:rsid w:val="003F3102"/>
    <w:rsid w:val="003F3389"/>
    <w:rsid w:val="003F5FEE"/>
    <w:rsid w:val="003F7301"/>
    <w:rsid w:val="003F7F8B"/>
    <w:rsid w:val="00403E2E"/>
    <w:rsid w:val="004061BF"/>
    <w:rsid w:val="00410508"/>
    <w:rsid w:val="00415EFB"/>
    <w:rsid w:val="00417292"/>
    <w:rsid w:val="004215DD"/>
    <w:rsid w:val="00422A48"/>
    <w:rsid w:val="00422A55"/>
    <w:rsid w:val="00427DA2"/>
    <w:rsid w:val="0043729E"/>
    <w:rsid w:val="00437435"/>
    <w:rsid w:val="00442AFD"/>
    <w:rsid w:val="00445627"/>
    <w:rsid w:val="00455747"/>
    <w:rsid w:val="00455FFC"/>
    <w:rsid w:val="00456080"/>
    <w:rsid w:val="004578AD"/>
    <w:rsid w:val="00464BE9"/>
    <w:rsid w:val="00465286"/>
    <w:rsid w:val="00477DA9"/>
    <w:rsid w:val="004812E6"/>
    <w:rsid w:val="0048196D"/>
    <w:rsid w:val="00484B74"/>
    <w:rsid w:val="0048523B"/>
    <w:rsid w:val="00485971"/>
    <w:rsid w:val="00487DED"/>
    <w:rsid w:val="004903C5"/>
    <w:rsid w:val="00490900"/>
    <w:rsid w:val="004977C3"/>
    <w:rsid w:val="004A36EC"/>
    <w:rsid w:val="004A67DD"/>
    <w:rsid w:val="004B2869"/>
    <w:rsid w:val="004B501A"/>
    <w:rsid w:val="004B6DE3"/>
    <w:rsid w:val="004C022A"/>
    <w:rsid w:val="004C1052"/>
    <w:rsid w:val="004D1BD9"/>
    <w:rsid w:val="004D26DD"/>
    <w:rsid w:val="004D2A4F"/>
    <w:rsid w:val="004D72AF"/>
    <w:rsid w:val="004E2287"/>
    <w:rsid w:val="004E4B8F"/>
    <w:rsid w:val="004E5A04"/>
    <w:rsid w:val="004E7437"/>
    <w:rsid w:val="004F0D45"/>
    <w:rsid w:val="004F615A"/>
    <w:rsid w:val="005030B1"/>
    <w:rsid w:val="00503373"/>
    <w:rsid w:val="0051007F"/>
    <w:rsid w:val="0051664A"/>
    <w:rsid w:val="00521929"/>
    <w:rsid w:val="00522E86"/>
    <w:rsid w:val="00523FAB"/>
    <w:rsid w:val="005255F0"/>
    <w:rsid w:val="00527573"/>
    <w:rsid w:val="005279BE"/>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47CD"/>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6159F"/>
    <w:rsid w:val="00664ABD"/>
    <w:rsid w:val="00664E65"/>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3B44"/>
    <w:rsid w:val="006B62F2"/>
    <w:rsid w:val="006B6D3A"/>
    <w:rsid w:val="006C590B"/>
    <w:rsid w:val="006C6896"/>
    <w:rsid w:val="006D0BDC"/>
    <w:rsid w:val="006D1D0D"/>
    <w:rsid w:val="006D59B8"/>
    <w:rsid w:val="006E2336"/>
    <w:rsid w:val="006E62D7"/>
    <w:rsid w:val="006E6852"/>
    <w:rsid w:val="006F1BFA"/>
    <w:rsid w:val="006F2373"/>
    <w:rsid w:val="00700EEF"/>
    <w:rsid w:val="00706ACC"/>
    <w:rsid w:val="00710E60"/>
    <w:rsid w:val="007112BE"/>
    <w:rsid w:val="0071428F"/>
    <w:rsid w:val="00717BC5"/>
    <w:rsid w:val="00720155"/>
    <w:rsid w:val="00721FF8"/>
    <w:rsid w:val="00726562"/>
    <w:rsid w:val="007334B2"/>
    <w:rsid w:val="007334C8"/>
    <w:rsid w:val="00733560"/>
    <w:rsid w:val="0073470C"/>
    <w:rsid w:val="007367AC"/>
    <w:rsid w:val="00736C02"/>
    <w:rsid w:val="00740984"/>
    <w:rsid w:val="00741FEC"/>
    <w:rsid w:val="00742F78"/>
    <w:rsid w:val="00746018"/>
    <w:rsid w:val="00750AE3"/>
    <w:rsid w:val="00750CCE"/>
    <w:rsid w:val="00752275"/>
    <w:rsid w:val="00752FEF"/>
    <w:rsid w:val="00754145"/>
    <w:rsid w:val="00756BC7"/>
    <w:rsid w:val="00756CAC"/>
    <w:rsid w:val="007626E6"/>
    <w:rsid w:val="007658FD"/>
    <w:rsid w:val="007662FB"/>
    <w:rsid w:val="007712B0"/>
    <w:rsid w:val="007719B7"/>
    <w:rsid w:val="00774819"/>
    <w:rsid w:val="00774D1B"/>
    <w:rsid w:val="007760E2"/>
    <w:rsid w:val="00780987"/>
    <w:rsid w:val="00780AEB"/>
    <w:rsid w:val="00783616"/>
    <w:rsid w:val="0078549A"/>
    <w:rsid w:val="007965C4"/>
    <w:rsid w:val="007A0C3A"/>
    <w:rsid w:val="007B07E9"/>
    <w:rsid w:val="007B0DFC"/>
    <w:rsid w:val="007B282F"/>
    <w:rsid w:val="007B2CE5"/>
    <w:rsid w:val="007C186F"/>
    <w:rsid w:val="007C23B8"/>
    <w:rsid w:val="007C4046"/>
    <w:rsid w:val="007C4282"/>
    <w:rsid w:val="007C43B0"/>
    <w:rsid w:val="007C60C6"/>
    <w:rsid w:val="007D0DEF"/>
    <w:rsid w:val="007D3A77"/>
    <w:rsid w:val="007D46D9"/>
    <w:rsid w:val="007E1956"/>
    <w:rsid w:val="007E2A04"/>
    <w:rsid w:val="007E5A0D"/>
    <w:rsid w:val="007E5C76"/>
    <w:rsid w:val="007F0C6B"/>
    <w:rsid w:val="007F11A7"/>
    <w:rsid w:val="007F5855"/>
    <w:rsid w:val="007F6C8A"/>
    <w:rsid w:val="00802646"/>
    <w:rsid w:val="00805529"/>
    <w:rsid w:val="008071D5"/>
    <w:rsid w:val="00810726"/>
    <w:rsid w:val="0081743A"/>
    <w:rsid w:val="00820954"/>
    <w:rsid w:val="00821927"/>
    <w:rsid w:val="00822406"/>
    <w:rsid w:val="00824785"/>
    <w:rsid w:val="00824D92"/>
    <w:rsid w:val="008263F2"/>
    <w:rsid w:val="00826893"/>
    <w:rsid w:val="00827816"/>
    <w:rsid w:val="0083172F"/>
    <w:rsid w:val="00834E6B"/>
    <w:rsid w:val="008355D2"/>
    <w:rsid w:val="008370E0"/>
    <w:rsid w:val="0084026C"/>
    <w:rsid w:val="00840B77"/>
    <w:rsid w:val="008419FD"/>
    <w:rsid w:val="00841F6A"/>
    <w:rsid w:val="008421F3"/>
    <w:rsid w:val="00842245"/>
    <w:rsid w:val="0084341D"/>
    <w:rsid w:val="00845317"/>
    <w:rsid w:val="00847A56"/>
    <w:rsid w:val="00850BA0"/>
    <w:rsid w:val="00854822"/>
    <w:rsid w:val="00854F81"/>
    <w:rsid w:val="0085509C"/>
    <w:rsid w:val="00857A55"/>
    <w:rsid w:val="0086015C"/>
    <w:rsid w:val="00863B98"/>
    <w:rsid w:val="00871E36"/>
    <w:rsid w:val="00873B5B"/>
    <w:rsid w:val="00873FF2"/>
    <w:rsid w:val="00876FDD"/>
    <w:rsid w:val="00877791"/>
    <w:rsid w:val="00885EE0"/>
    <w:rsid w:val="00892684"/>
    <w:rsid w:val="00892E16"/>
    <w:rsid w:val="008947F8"/>
    <w:rsid w:val="008A7864"/>
    <w:rsid w:val="008B0BDE"/>
    <w:rsid w:val="008B17FB"/>
    <w:rsid w:val="008B2230"/>
    <w:rsid w:val="008B4372"/>
    <w:rsid w:val="008C05BD"/>
    <w:rsid w:val="008C3312"/>
    <w:rsid w:val="008C42B4"/>
    <w:rsid w:val="008C485C"/>
    <w:rsid w:val="008D1D78"/>
    <w:rsid w:val="008D2969"/>
    <w:rsid w:val="008D3EE8"/>
    <w:rsid w:val="008D4009"/>
    <w:rsid w:val="008D49EA"/>
    <w:rsid w:val="008D7CC1"/>
    <w:rsid w:val="008E2B17"/>
    <w:rsid w:val="008E39ED"/>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9D6"/>
    <w:rsid w:val="00921DB5"/>
    <w:rsid w:val="0092263E"/>
    <w:rsid w:val="009230A8"/>
    <w:rsid w:val="00925084"/>
    <w:rsid w:val="009252FD"/>
    <w:rsid w:val="0092633F"/>
    <w:rsid w:val="00933228"/>
    <w:rsid w:val="00940F10"/>
    <w:rsid w:val="0094334C"/>
    <w:rsid w:val="0094674B"/>
    <w:rsid w:val="009476D3"/>
    <w:rsid w:val="00957A10"/>
    <w:rsid w:val="00960298"/>
    <w:rsid w:val="009617EB"/>
    <w:rsid w:val="0096262A"/>
    <w:rsid w:val="00963690"/>
    <w:rsid w:val="00965737"/>
    <w:rsid w:val="00970F53"/>
    <w:rsid w:val="00971B44"/>
    <w:rsid w:val="00980E44"/>
    <w:rsid w:val="009929D4"/>
    <w:rsid w:val="00996312"/>
    <w:rsid w:val="009979A7"/>
    <w:rsid w:val="009A180C"/>
    <w:rsid w:val="009A1EFD"/>
    <w:rsid w:val="009A2813"/>
    <w:rsid w:val="009A38FD"/>
    <w:rsid w:val="009A71AA"/>
    <w:rsid w:val="009B064C"/>
    <w:rsid w:val="009B0809"/>
    <w:rsid w:val="009B1CB9"/>
    <w:rsid w:val="009B4916"/>
    <w:rsid w:val="009B6667"/>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6DAB"/>
    <w:rsid w:val="00A0753F"/>
    <w:rsid w:val="00A078E1"/>
    <w:rsid w:val="00A10FFD"/>
    <w:rsid w:val="00A11347"/>
    <w:rsid w:val="00A11818"/>
    <w:rsid w:val="00A30DE3"/>
    <w:rsid w:val="00A31DAA"/>
    <w:rsid w:val="00A32408"/>
    <w:rsid w:val="00A35DA3"/>
    <w:rsid w:val="00A36552"/>
    <w:rsid w:val="00A41DEF"/>
    <w:rsid w:val="00A46476"/>
    <w:rsid w:val="00A47AB3"/>
    <w:rsid w:val="00A51559"/>
    <w:rsid w:val="00A55AAA"/>
    <w:rsid w:val="00A60427"/>
    <w:rsid w:val="00A63C00"/>
    <w:rsid w:val="00A6486B"/>
    <w:rsid w:val="00A64947"/>
    <w:rsid w:val="00A66451"/>
    <w:rsid w:val="00A71AF4"/>
    <w:rsid w:val="00A72AC2"/>
    <w:rsid w:val="00A72AC5"/>
    <w:rsid w:val="00A72B5C"/>
    <w:rsid w:val="00A730BB"/>
    <w:rsid w:val="00A73BA9"/>
    <w:rsid w:val="00A76791"/>
    <w:rsid w:val="00A77684"/>
    <w:rsid w:val="00A7768C"/>
    <w:rsid w:val="00A77BFF"/>
    <w:rsid w:val="00A85038"/>
    <w:rsid w:val="00A866D7"/>
    <w:rsid w:val="00A86746"/>
    <w:rsid w:val="00A86B87"/>
    <w:rsid w:val="00A86EF7"/>
    <w:rsid w:val="00A9001C"/>
    <w:rsid w:val="00A90F8A"/>
    <w:rsid w:val="00A93644"/>
    <w:rsid w:val="00A9402E"/>
    <w:rsid w:val="00AA11E5"/>
    <w:rsid w:val="00AA79D8"/>
    <w:rsid w:val="00AB075E"/>
    <w:rsid w:val="00AB1658"/>
    <w:rsid w:val="00AB2E3D"/>
    <w:rsid w:val="00AC1F08"/>
    <w:rsid w:val="00AD40C4"/>
    <w:rsid w:val="00AD4D69"/>
    <w:rsid w:val="00AE03E0"/>
    <w:rsid w:val="00AE2044"/>
    <w:rsid w:val="00AE550C"/>
    <w:rsid w:val="00AE665C"/>
    <w:rsid w:val="00AE73B8"/>
    <w:rsid w:val="00AF34E3"/>
    <w:rsid w:val="00AF45B0"/>
    <w:rsid w:val="00B03244"/>
    <w:rsid w:val="00B13218"/>
    <w:rsid w:val="00B210F0"/>
    <w:rsid w:val="00B217B4"/>
    <w:rsid w:val="00B24666"/>
    <w:rsid w:val="00B2560F"/>
    <w:rsid w:val="00B27F33"/>
    <w:rsid w:val="00B30815"/>
    <w:rsid w:val="00B314CC"/>
    <w:rsid w:val="00B33E91"/>
    <w:rsid w:val="00B3411F"/>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6F3"/>
    <w:rsid w:val="00B955EC"/>
    <w:rsid w:val="00B961E8"/>
    <w:rsid w:val="00BA0582"/>
    <w:rsid w:val="00BA0BF9"/>
    <w:rsid w:val="00BA151F"/>
    <w:rsid w:val="00BA5F8A"/>
    <w:rsid w:val="00BA686D"/>
    <w:rsid w:val="00BA707B"/>
    <w:rsid w:val="00BA7377"/>
    <w:rsid w:val="00BB0700"/>
    <w:rsid w:val="00BB3197"/>
    <w:rsid w:val="00BB4988"/>
    <w:rsid w:val="00BB7CEE"/>
    <w:rsid w:val="00BC1129"/>
    <w:rsid w:val="00BC36B3"/>
    <w:rsid w:val="00BC43C0"/>
    <w:rsid w:val="00BC5A44"/>
    <w:rsid w:val="00BD4436"/>
    <w:rsid w:val="00BD7715"/>
    <w:rsid w:val="00BE0EAC"/>
    <w:rsid w:val="00BE2DE5"/>
    <w:rsid w:val="00BE6757"/>
    <w:rsid w:val="00BE6844"/>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3E96"/>
    <w:rsid w:val="00C34623"/>
    <w:rsid w:val="00C34D9C"/>
    <w:rsid w:val="00C3697F"/>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ECE"/>
    <w:rsid w:val="00CB6A6E"/>
    <w:rsid w:val="00CB7ED6"/>
    <w:rsid w:val="00CC7923"/>
    <w:rsid w:val="00CD2376"/>
    <w:rsid w:val="00CD2FE0"/>
    <w:rsid w:val="00CD310E"/>
    <w:rsid w:val="00CD41F3"/>
    <w:rsid w:val="00CD5538"/>
    <w:rsid w:val="00CD7578"/>
    <w:rsid w:val="00CE3E5B"/>
    <w:rsid w:val="00CE535A"/>
    <w:rsid w:val="00CF07DD"/>
    <w:rsid w:val="00CF0A1D"/>
    <w:rsid w:val="00CF170E"/>
    <w:rsid w:val="00CF31BB"/>
    <w:rsid w:val="00CF3297"/>
    <w:rsid w:val="00CF3733"/>
    <w:rsid w:val="00CF5E23"/>
    <w:rsid w:val="00D01EC6"/>
    <w:rsid w:val="00D02E98"/>
    <w:rsid w:val="00D07E3E"/>
    <w:rsid w:val="00D10569"/>
    <w:rsid w:val="00D11FDC"/>
    <w:rsid w:val="00D136DA"/>
    <w:rsid w:val="00D1446B"/>
    <w:rsid w:val="00D14C72"/>
    <w:rsid w:val="00D21910"/>
    <w:rsid w:val="00D33395"/>
    <w:rsid w:val="00D3426A"/>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7C9"/>
    <w:rsid w:val="00D85EA8"/>
    <w:rsid w:val="00D87844"/>
    <w:rsid w:val="00D87C8B"/>
    <w:rsid w:val="00D94CD8"/>
    <w:rsid w:val="00D94FDF"/>
    <w:rsid w:val="00D96472"/>
    <w:rsid w:val="00D97990"/>
    <w:rsid w:val="00D97FBC"/>
    <w:rsid w:val="00DA0633"/>
    <w:rsid w:val="00DA31E9"/>
    <w:rsid w:val="00DA5A75"/>
    <w:rsid w:val="00DA6A25"/>
    <w:rsid w:val="00DB2054"/>
    <w:rsid w:val="00DB3143"/>
    <w:rsid w:val="00DB41D1"/>
    <w:rsid w:val="00DB7EA6"/>
    <w:rsid w:val="00DC0201"/>
    <w:rsid w:val="00DD75FC"/>
    <w:rsid w:val="00DE0D98"/>
    <w:rsid w:val="00DE0F91"/>
    <w:rsid w:val="00DE1189"/>
    <w:rsid w:val="00DE2BF4"/>
    <w:rsid w:val="00DE7B3D"/>
    <w:rsid w:val="00DF69C2"/>
    <w:rsid w:val="00E03ED0"/>
    <w:rsid w:val="00E10A1A"/>
    <w:rsid w:val="00E17BB7"/>
    <w:rsid w:val="00E21A8F"/>
    <w:rsid w:val="00E21DBF"/>
    <w:rsid w:val="00E26BE6"/>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217E"/>
    <w:rsid w:val="00EB5BB3"/>
    <w:rsid w:val="00EC1E2B"/>
    <w:rsid w:val="00EC3A3D"/>
    <w:rsid w:val="00EC3BBD"/>
    <w:rsid w:val="00ED2F8E"/>
    <w:rsid w:val="00EE25C4"/>
    <w:rsid w:val="00EE2DC5"/>
    <w:rsid w:val="00EE379D"/>
    <w:rsid w:val="00EE4C98"/>
    <w:rsid w:val="00EE77E6"/>
    <w:rsid w:val="00EE7958"/>
    <w:rsid w:val="00EF28C1"/>
    <w:rsid w:val="00EF3D5F"/>
    <w:rsid w:val="00EF4682"/>
    <w:rsid w:val="00EF6F93"/>
    <w:rsid w:val="00F03595"/>
    <w:rsid w:val="00F12D8F"/>
    <w:rsid w:val="00F1380E"/>
    <w:rsid w:val="00F1390B"/>
    <w:rsid w:val="00F204B3"/>
    <w:rsid w:val="00F20F00"/>
    <w:rsid w:val="00F3393A"/>
    <w:rsid w:val="00F43434"/>
    <w:rsid w:val="00F44C6A"/>
    <w:rsid w:val="00F516A8"/>
    <w:rsid w:val="00F51990"/>
    <w:rsid w:val="00F522C2"/>
    <w:rsid w:val="00F530B7"/>
    <w:rsid w:val="00F54973"/>
    <w:rsid w:val="00F5595C"/>
    <w:rsid w:val="00F55BA0"/>
    <w:rsid w:val="00F576A9"/>
    <w:rsid w:val="00F62419"/>
    <w:rsid w:val="00F649B7"/>
    <w:rsid w:val="00F650DD"/>
    <w:rsid w:val="00F6546F"/>
    <w:rsid w:val="00F71266"/>
    <w:rsid w:val="00F71D7E"/>
    <w:rsid w:val="00F71FB8"/>
    <w:rsid w:val="00F73B1E"/>
    <w:rsid w:val="00F73FB1"/>
    <w:rsid w:val="00F74E04"/>
    <w:rsid w:val="00F805CB"/>
    <w:rsid w:val="00F819FA"/>
    <w:rsid w:val="00F82445"/>
    <w:rsid w:val="00F87228"/>
    <w:rsid w:val="00F87B82"/>
    <w:rsid w:val="00F90968"/>
    <w:rsid w:val="00F93E30"/>
    <w:rsid w:val="00F954FE"/>
    <w:rsid w:val="00F9629C"/>
    <w:rsid w:val="00FA1A46"/>
    <w:rsid w:val="00FA3CE0"/>
    <w:rsid w:val="00FA3D25"/>
    <w:rsid w:val="00FA4306"/>
    <w:rsid w:val="00FB3781"/>
    <w:rsid w:val="00FB3FA3"/>
    <w:rsid w:val="00FC024D"/>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1B786166"/>
  <w15:docId w15:val="{249F3CBF-4F20-40A1-902D-A2E37CDC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A1A46"/>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173478"/>
    <w:pPr>
      <w:tabs>
        <w:tab w:val="left" w:pos="720"/>
      </w:tabs>
      <w:suppressAutoHyphens w:val="0"/>
      <w:spacing w:after="240" w:line="240" w:lineRule="auto"/>
      <w:outlineLvl w:val="2"/>
    </w:pPr>
    <w:rPr>
      <w:rFonts w:eastAsia="Times New Roman"/>
      <w:sz w:val="22"/>
      <w:u w:val="dotDotDash"/>
      <w:lang w:eastAsia="de-DE"/>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173478"/>
    <w:pPr>
      <w:suppressAutoHyphens w:val="0"/>
      <w:spacing w:before="240" w:after="60" w:line="240" w:lineRule="auto"/>
      <w:outlineLvl w:val="5"/>
    </w:pPr>
    <w:rPr>
      <w:rFonts w:eastAsia="Times New Roman"/>
      <w:b/>
      <w:bCs/>
      <w:sz w:val="22"/>
      <w:szCs w:val="22"/>
      <w:u w:val="dotDotDash"/>
      <w:lang w:eastAsia="de-DE"/>
    </w:rPr>
  </w:style>
  <w:style w:type="paragraph" w:styleId="Heading7">
    <w:name w:val="heading 7"/>
    <w:basedOn w:val="Normal"/>
    <w:next w:val="Normal"/>
    <w:link w:val="Heading7Char"/>
    <w:qFormat/>
    <w:rsid w:val="00173478"/>
    <w:pPr>
      <w:suppressAutoHyphens w:val="0"/>
      <w:spacing w:before="240" w:after="60" w:line="240" w:lineRule="auto"/>
      <w:outlineLvl w:val="6"/>
    </w:pPr>
    <w:rPr>
      <w:rFonts w:eastAsia="Times New Roman"/>
      <w:sz w:val="24"/>
      <w:szCs w:val="24"/>
      <w:u w:val="dotDotDash"/>
      <w:lang w:eastAsia="de-DE"/>
    </w:rPr>
  </w:style>
  <w:style w:type="paragraph" w:styleId="Heading8">
    <w:name w:val="heading 8"/>
    <w:basedOn w:val="Normal"/>
    <w:next w:val="Normal"/>
    <w:link w:val="Heading8Char"/>
    <w:qFormat/>
    <w:rsid w:val="00173478"/>
    <w:pPr>
      <w:suppressAutoHyphens w:val="0"/>
      <w:spacing w:before="240" w:after="60" w:line="240" w:lineRule="auto"/>
      <w:outlineLvl w:val="7"/>
    </w:pPr>
    <w:rPr>
      <w:rFonts w:eastAsia="Times New Roman"/>
      <w:i/>
      <w:iCs/>
      <w:sz w:val="24"/>
      <w:szCs w:val="24"/>
      <w:u w:val="dotDotDash"/>
      <w:lang w:eastAsia="de-DE"/>
    </w:rPr>
  </w:style>
  <w:style w:type="paragraph" w:styleId="Heading9">
    <w:name w:val="heading 9"/>
    <w:basedOn w:val="Normal"/>
    <w:next w:val="Normal"/>
    <w:link w:val="Heading9Char"/>
    <w:qFormat/>
    <w:rsid w:val="00173478"/>
    <w:pPr>
      <w:suppressAutoHyphens w:val="0"/>
      <w:spacing w:before="240" w:after="60" w:line="240" w:lineRule="auto"/>
      <w:outlineLvl w:val="8"/>
    </w:pPr>
    <w:rPr>
      <w:rFonts w:ascii="Arial" w:eastAsia="Times New Roman" w:hAnsi="Arial" w:cs="Arial"/>
      <w:sz w:val="22"/>
      <w:szCs w:val="22"/>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link w:val="RegH1GChar"/>
    <w:rsid w:val="00FA1A46"/>
    <w:pPr>
      <w:keepNext/>
      <w:keepLines/>
      <w:numPr>
        <w:ilvl w:val="1"/>
        <w:numId w:val="21"/>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21"/>
      </w:numPr>
      <w:tabs>
        <w:tab w:val="left" w:pos="1701"/>
      </w:tabs>
      <w:spacing w:after="120"/>
      <w:ind w:right="1134"/>
      <w:jc w:val="both"/>
    </w:pPr>
  </w:style>
  <w:style w:type="paragraph" w:styleId="TOC1">
    <w:name w:val="toc 1"/>
    <w:basedOn w:val="Normal"/>
    <w:next w:val="Normal"/>
    <w:autoRedefine/>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unhideWhenUsed/>
    <w:rsid w:val="00FA1A46"/>
    <w:pPr>
      <w:ind w:left="600"/>
    </w:pPr>
  </w:style>
  <w:style w:type="paragraph" w:styleId="TOC5">
    <w:name w:val="toc 5"/>
    <w:basedOn w:val="Normal"/>
    <w:next w:val="Normal"/>
    <w:autoRedefine/>
    <w:unhideWhenUsed/>
    <w:rsid w:val="00FA1A46"/>
    <w:pPr>
      <w:ind w:left="800"/>
    </w:pPr>
  </w:style>
  <w:style w:type="paragraph" w:styleId="TOC6">
    <w:name w:val="toc 6"/>
    <w:basedOn w:val="Normal"/>
    <w:next w:val="Normal"/>
    <w:autoRedefine/>
    <w:unhideWhenUsed/>
    <w:rsid w:val="00FA1A46"/>
    <w:pPr>
      <w:ind w:left="1000"/>
    </w:pPr>
  </w:style>
  <w:style w:type="paragraph" w:styleId="TOC7">
    <w:name w:val="toc 7"/>
    <w:basedOn w:val="Normal"/>
    <w:next w:val="Normal"/>
    <w:autoRedefine/>
    <w:unhideWhenUsed/>
    <w:rsid w:val="00FA1A46"/>
    <w:pPr>
      <w:ind w:left="1200"/>
    </w:pPr>
  </w:style>
  <w:style w:type="paragraph" w:styleId="TOC8">
    <w:name w:val="toc 8"/>
    <w:basedOn w:val="Normal"/>
    <w:next w:val="Normal"/>
    <w:autoRedefine/>
    <w:unhideWhenUsed/>
    <w:rsid w:val="00FA1A46"/>
    <w:pPr>
      <w:ind w:left="1400"/>
    </w:pPr>
  </w:style>
  <w:style w:type="paragraph" w:styleId="TOC9">
    <w:name w:val="toc 9"/>
    <w:basedOn w:val="Normal"/>
    <w:next w:val="Normal"/>
    <w:autoRedefine/>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523FAB"/>
    <w:rPr>
      <w:rFonts w:eastAsia="SimSun"/>
      <w:sz w:val="18"/>
      <w:lang w:val="en-GB" w:eastAsia="zh-CN"/>
    </w:rPr>
  </w:style>
  <w:style w:type="character" w:customStyle="1" w:styleId="RegSingleTxtGChar">
    <w:name w:val="Reg_Single Txt_G Char"/>
    <w:link w:val="RegSingleTxtG"/>
    <w:qFormat/>
    <w:rsid w:val="00523FAB"/>
    <w:rPr>
      <w:rFonts w:eastAsia="SimSun"/>
      <w:lang w:val="en-GB" w:eastAsia="zh-CN"/>
    </w:rPr>
  </w:style>
  <w:style w:type="character" w:customStyle="1" w:styleId="highlight">
    <w:name w:val="highlight"/>
    <w:rsid w:val="004D2A4F"/>
  </w:style>
  <w:style w:type="character" w:styleId="Hyperlink">
    <w:name w:val="Hyperlink"/>
    <w:rsid w:val="004D2A4F"/>
    <w:rPr>
      <w:color w:val="0000FF"/>
      <w:u w:val="single"/>
    </w:rPr>
  </w:style>
  <w:style w:type="character" w:customStyle="1" w:styleId="FooterChar">
    <w:name w:val="Footer Char"/>
    <w:aliases w:val="3_G Char"/>
    <w:link w:val="Footer"/>
    <w:rsid w:val="004D2A4F"/>
    <w:rPr>
      <w:rFonts w:eastAsia="SimSun"/>
      <w:sz w:val="16"/>
      <w:lang w:val="en-GB" w:eastAsia="zh-CN"/>
    </w:rPr>
  </w:style>
  <w:style w:type="character" w:customStyle="1" w:styleId="HeaderChar">
    <w:name w:val="Header Char"/>
    <w:aliases w:val="6_G Char"/>
    <w:link w:val="Header"/>
    <w:uiPriority w:val="99"/>
    <w:rsid w:val="004D2A4F"/>
    <w:rPr>
      <w:rFonts w:eastAsia="SimSun"/>
      <w:b/>
      <w:sz w:val="18"/>
      <w:lang w:val="en-GB" w:eastAsia="zh-CN"/>
    </w:rPr>
  </w:style>
  <w:style w:type="paragraph" w:customStyle="1" w:styleId="Default">
    <w:name w:val="Default"/>
    <w:rsid w:val="004D2A4F"/>
    <w:pPr>
      <w:autoSpaceDE w:val="0"/>
      <w:autoSpaceDN w:val="0"/>
      <w:adjustRightInd w:val="0"/>
    </w:pPr>
    <w:rPr>
      <w:color w:val="000000"/>
      <w:sz w:val="24"/>
      <w:szCs w:val="24"/>
    </w:rPr>
  </w:style>
  <w:style w:type="character" w:customStyle="1" w:styleId="HChGChar">
    <w:name w:val="_ H _Ch_G Char"/>
    <w:link w:val="HChG"/>
    <w:rsid w:val="00173478"/>
    <w:rPr>
      <w:rFonts w:eastAsia="SimSun"/>
      <w:b/>
      <w:sz w:val="28"/>
      <w:lang w:val="en-GB" w:eastAsia="zh-CN"/>
    </w:rPr>
  </w:style>
  <w:style w:type="character" w:customStyle="1" w:styleId="Heading3Char">
    <w:name w:val="Heading 3 Char"/>
    <w:link w:val="Heading3"/>
    <w:rsid w:val="00173478"/>
    <w:rPr>
      <w:sz w:val="22"/>
      <w:u w:val="dotDotDash"/>
      <w:lang w:val="en-GB" w:eastAsia="de-DE"/>
    </w:rPr>
  </w:style>
  <w:style w:type="character" w:customStyle="1" w:styleId="Heading6Char">
    <w:name w:val="Heading 6 Char"/>
    <w:link w:val="Heading6"/>
    <w:rsid w:val="00173478"/>
    <w:rPr>
      <w:b/>
      <w:bCs/>
      <w:sz w:val="22"/>
      <w:szCs w:val="22"/>
      <w:u w:val="dotDotDash"/>
      <w:lang w:val="en-GB" w:eastAsia="de-DE"/>
    </w:rPr>
  </w:style>
  <w:style w:type="character" w:customStyle="1" w:styleId="Heading7Char">
    <w:name w:val="Heading 7 Char"/>
    <w:link w:val="Heading7"/>
    <w:rsid w:val="00173478"/>
    <w:rPr>
      <w:sz w:val="24"/>
      <w:szCs w:val="24"/>
      <w:u w:val="dotDotDash"/>
      <w:lang w:val="en-GB" w:eastAsia="de-DE"/>
    </w:rPr>
  </w:style>
  <w:style w:type="character" w:customStyle="1" w:styleId="Heading8Char">
    <w:name w:val="Heading 8 Char"/>
    <w:link w:val="Heading8"/>
    <w:rsid w:val="00173478"/>
    <w:rPr>
      <w:i/>
      <w:iCs/>
      <w:sz w:val="24"/>
      <w:szCs w:val="24"/>
      <w:u w:val="dotDotDash"/>
      <w:lang w:val="en-GB" w:eastAsia="de-DE"/>
    </w:rPr>
  </w:style>
  <w:style w:type="character" w:customStyle="1" w:styleId="Heading9Char">
    <w:name w:val="Heading 9 Char"/>
    <w:link w:val="Heading9"/>
    <w:rsid w:val="00173478"/>
    <w:rPr>
      <w:rFonts w:ascii="Arial" w:hAnsi="Arial" w:cs="Arial"/>
      <w:sz w:val="22"/>
      <w:szCs w:val="22"/>
      <w:u w:val="dotDotDash"/>
      <w:lang w:val="en-GB" w:eastAsia="de-DE"/>
    </w:rPr>
  </w:style>
  <w:style w:type="character" w:customStyle="1" w:styleId="Heading1Char">
    <w:name w:val="Heading 1 Char"/>
    <w:aliases w:val="Table_G Char"/>
    <w:link w:val="Heading1"/>
    <w:rsid w:val="00173478"/>
    <w:rPr>
      <w:rFonts w:eastAsia="SimSun"/>
      <w:lang w:val="en-GB" w:eastAsia="zh-CN"/>
    </w:rPr>
  </w:style>
  <w:style w:type="character" w:customStyle="1" w:styleId="EndnoteTextChar">
    <w:name w:val="Endnote Text Char"/>
    <w:aliases w:val="2_G Char"/>
    <w:link w:val="EndnoteText"/>
    <w:rsid w:val="00173478"/>
    <w:rPr>
      <w:rFonts w:eastAsia="SimSun"/>
      <w:sz w:val="18"/>
      <w:lang w:val="en-GB" w:eastAsia="zh-CN"/>
    </w:rPr>
  </w:style>
  <w:style w:type="numbering" w:customStyle="1" w:styleId="NoList1">
    <w:name w:val="No List1"/>
    <w:next w:val="NoList"/>
    <w:uiPriority w:val="99"/>
    <w:semiHidden/>
    <w:unhideWhenUsed/>
    <w:rsid w:val="00173478"/>
  </w:style>
  <w:style w:type="paragraph" w:customStyle="1" w:styleId="RegHead1">
    <w:name w:val="RegHead1"/>
    <w:basedOn w:val="Normal"/>
    <w:next w:val="RegHead2"/>
    <w:rsid w:val="00173478"/>
    <w:pPr>
      <w:keepNext/>
      <w:numPr>
        <w:numId w:val="29"/>
      </w:numPr>
      <w:suppressAutoHyphens w:val="0"/>
      <w:spacing w:before="180" w:line="240" w:lineRule="auto"/>
      <w:jc w:val="center"/>
    </w:pPr>
    <w:rPr>
      <w:rFonts w:eastAsia="Times New Roman"/>
      <w:b/>
      <w:caps/>
      <w:sz w:val="22"/>
      <w:lang w:eastAsia="en-US"/>
    </w:rPr>
  </w:style>
  <w:style w:type="paragraph" w:customStyle="1" w:styleId="RegHead2">
    <w:name w:val="RegHead2"/>
    <w:basedOn w:val="Normal"/>
    <w:next w:val="RegHead3"/>
    <w:rsid w:val="00173478"/>
    <w:pPr>
      <w:keepNext/>
      <w:numPr>
        <w:ilvl w:val="1"/>
        <w:numId w:val="29"/>
      </w:numPr>
      <w:suppressAutoHyphens w:val="0"/>
      <w:spacing w:before="180" w:line="240" w:lineRule="auto"/>
      <w:jc w:val="center"/>
    </w:pPr>
    <w:rPr>
      <w:rFonts w:eastAsia="Times New Roman"/>
      <w:b/>
      <w:u w:val="single"/>
      <w:lang w:val="en-US" w:eastAsia="en-US"/>
    </w:rPr>
  </w:style>
  <w:style w:type="paragraph" w:customStyle="1" w:styleId="RegPara">
    <w:name w:val="RegPara"/>
    <w:basedOn w:val="Normal"/>
    <w:link w:val="RegParaChar"/>
    <w:rsid w:val="00173478"/>
    <w:pPr>
      <w:numPr>
        <w:ilvl w:val="3"/>
        <w:numId w:val="29"/>
      </w:numPr>
      <w:suppressAutoHyphens w:val="0"/>
      <w:spacing w:before="180" w:line="240" w:lineRule="auto"/>
    </w:pPr>
    <w:rPr>
      <w:rFonts w:eastAsia="Times New Roman"/>
      <w:sz w:val="22"/>
      <w:lang w:eastAsia="en-US"/>
    </w:rPr>
  </w:style>
  <w:style w:type="paragraph" w:customStyle="1" w:styleId="RegHead3">
    <w:name w:val="RegHead3"/>
    <w:next w:val="RegPara"/>
    <w:rsid w:val="00173478"/>
    <w:pPr>
      <w:numPr>
        <w:ilvl w:val="2"/>
        <w:numId w:val="29"/>
      </w:numPr>
      <w:spacing w:before="180"/>
      <w:jc w:val="center"/>
    </w:pPr>
    <w:rPr>
      <w:sz w:val="22"/>
      <w:u w:val="single"/>
      <w:lang w:val="en-GB"/>
    </w:rPr>
  </w:style>
  <w:style w:type="character" w:styleId="CommentReference">
    <w:name w:val="annotation reference"/>
    <w:uiPriority w:val="99"/>
    <w:rsid w:val="00173478"/>
    <w:rPr>
      <w:sz w:val="16"/>
      <w:szCs w:val="16"/>
    </w:rPr>
  </w:style>
  <w:style w:type="paragraph" w:styleId="CommentText">
    <w:name w:val="annotation text"/>
    <w:basedOn w:val="Normal"/>
    <w:link w:val="CommentTextChar"/>
    <w:uiPriority w:val="99"/>
    <w:rsid w:val="00173478"/>
    <w:pPr>
      <w:suppressAutoHyphens w:val="0"/>
      <w:spacing w:line="240" w:lineRule="auto"/>
    </w:pPr>
    <w:rPr>
      <w:rFonts w:eastAsia="MS Mincho"/>
      <w:lang w:eastAsia="de-DE"/>
    </w:rPr>
  </w:style>
  <w:style w:type="character" w:customStyle="1" w:styleId="CommentTextChar">
    <w:name w:val="Comment Text Char"/>
    <w:link w:val="CommentText"/>
    <w:uiPriority w:val="99"/>
    <w:rsid w:val="00173478"/>
    <w:rPr>
      <w:rFonts w:eastAsia="MS Mincho"/>
      <w:lang w:val="en-GB" w:eastAsia="de-DE"/>
    </w:rPr>
  </w:style>
  <w:style w:type="paragraph" w:styleId="CommentSubject">
    <w:name w:val="annotation subject"/>
    <w:basedOn w:val="CommentText"/>
    <w:next w:val="CommentText"/>
    <w:link w:val="CommentSubjectChar"/>
    <w:rsid w:val="00173478"/>
    <w:rPr>
      <w:b/>
      <w:bCs/>
    </w:rPr>
  </w:style>
  <w:style w:type="character" w:customStyle="1" w:styleId="CommentSubjectChar">
    <w:name w:val="Comment Subject Char"/>
    <w:link w:val="CommentSubject"/>
    <w:rsid w:val="00173478"/>
    <w:rPr>
      <w:rFonts w:eastAsia="MS Mincho"/>
      <w:b/>
      <w:bCs/>
      <w:lang w:val="en-GB" w:eastAsia="de-DE"/>
    </w:rPr>
  </w:style>
  <w:style w:type="character" w:customStyle="1" w:styleId="SingleTxtGChar">
    <w:name w:val="_ Single Txt_G Char"/>
    <w:link w:val="SingleTxtG"/>
    <w:rsid w:val="00173478"/>
    <w:rPr>
      <w:lang w:val="en-GB"/>
    </w:rPr>
  </w:style>
  <w:style w:type="character" w:customStyle="1" w:styleId="H1GChar">
    <w:name w:val="_ H_1_G Char"/>
    <w:link w:val="H1G"/>
    <w:locked/>
    <w:rsid w:val="00173478"/>
    <w:rPr>
      <w:rFonts w:eastAsia="SimSun"/>
      <w:b/>
      <w:sz w:val="24"/>
      <w:lang w:val="en-GB" w:eastAsia="zh-CN"/>
    </w:rPr>
  </w:style>
  <w:style w:type="character" w:customStyle="1" w:styleId="RegH1GChar">
    <w:name w:val="Reg_H_1_G Char"/>
    <w:link w:val="RegH1G"/>
    <w:rsid w:val="00173478"/>
    <w:rPr>
      <w:rFonts w:eastAsia="SimSun"/>
      <w:b/>
      <w:sz w:val="24"/>
      <w:lang w:val="en-GB" w:eastAsia="zh-CN"/>
    </w:rPr>
  </w:style>
  <w:style w:type="character" w:customStyle="1" w:styleId="RegHChGChar">
    <w:name w:val="Reg_H__Ch_G Char"/>
    <w:link w:val="RegHChG"/>
    <w:rsid w:val="00173478"/>
    <w:rPr>
      <w:rFonts w:eastAsia="SimSun"/>
      <w:b/>
      <w:sz w:val="28"/>
      <w:lang w:val="en-GB" w:eastAsia="zh-CN"/>
    </w:rPr>
  </w:style>
  <w:style w:type="paragraph" w:customStyle="1" w:styleId="MainTitle">
    <w:name w:val="MainTitle"/>
    <w:basedOn w:val="Normal"/>
    <w:rsid w:val="00173478"/>
    <w:pPr>
      <w:suppressAutoHyphens w:val="0"/>
      <w:spacing w:line="240" w:lineRule="auto"/>
      <w:jc w:val="center"/>
    </w:pPr>
    <w:rPr>
      <w:rFonts w:eastAsia="Times New Roman"/>
      <w:b/>
      <w:sz w:val="28"/>
      <w:lang w:eastAsia="de-DE"/>
    </w:rPr>
  </w:style>
  <w:style w:type="character" w:customStyle="1" w:styleId="RegParaChar">
    <w:name w:val="RegPara Char"/>
    <w:link w:val="RegPara"/>
    <w:locked/>
    <w:rsid w:val="00173478"/>
    <w:rPr>
      <w:sz w:val="22"/>
      <w:lang w:val="en-GB"/>
    </w:rPr>
  </w:style>
  <w:style w:type="character" w:customStyle="1" w:styleId="ft2">
    <w:name w:val="ft2"/>
    <w:rsid w:val="00173478"/>
  </w:style>
  <w:style w:type="character" w:customStyle="1" w:styleId="ft0">
    <w:name w:val="ft0"/>
    <w:rsid w:val="00173478"/>
  </w:style>
  <w:style w:type="character" w:customStyle="1" w:styleId="Caractresdenotedebasdepage">
    <w:name w:val="Caractères de note de bas de page"/>
    <w:rsid w:val="00173478"/>
    <w:rPr>
      <w:rFonts w:ascii="Times New Roman" w:hAnsi="Times New Roman"/>
      <w:sz w:val="18"/>
      <w:vertAlign w:val="superscript"/>
    </w:rPr>
  </w:style>
  <w:style w:type="paragraph" w:customStyle="1" w:styleId="AnnoHead1">
    <w:name w:val="AnnoHead1"/>
    <w:basedOn w:val="Normal"/>
    <w:next w:val="AnnoHead2"/>
    <w:rsid w:val="00173478"/>
    <w:pPr>
      <w:suppressAutoHyphens w:val="0"/>
      <w:spacing w:before="180" w:line="240" w:lineRule="auto"/>
      <w:ind w:firstLine="244"/>
      <w:jc w:val="center"/>
    </w:pPr>
    <w:rPr>
      <w:rFonts w:eastAsia="Times New Roman"/>
      <w:b/>
      <w:sz w:val="28"/>
      <w:lang w:eastAsia="de-DE"/>
    </w:rPr>
  </w:style>
  <w:style w:type="paragraph" w:customStyle="1" w:styleId="AnnoHead2">
    <w:name w:val="AnnoHead2"/>
    <w:basedOn w:val="Normal"/>
    <w:next w:val="AnnoHead3"/>
    <w:rsid w:val="00173478"/>
    <w:pPr>
      <w:numPr>
        <w:ilvl w:val="4"/>
        <w:numId w:val="31"/>
      </w:numPr>
      <w:tabs>
        <w:tab w:val="clear" w:pos="360"/>
      </w:tabs>
      <w:suppressAutoHyphens w:val="0"/>
      <w:spacing w:before="180" w:line="240" w:lineRule="auto"/>
      <w:jc w:val="center"/>
    </w:pPr>
    <w:rPr>
      <w:rFonts w:eastAsia="Times New Roman"/>
      <w:b/>
      <w:sz w:val="22"/>
      <w:lang w:eastAsia="de-DE"/>
    </w:rPr>
  </w:style>
  <w:style w:type="paragraph" w:customStyle="1" w:styleId="AnnoHead3">
    <w:name w:val="AnnoHead3"/>
    <w:basedOn w:val="Normal"/>
    <w:next w:val="AnnoPara"/>
    <w:rsid w:val="00173478"/>
    <w:pPr>
      <w:tabs>
        <w:tab w:val="num" w:pos="1135"/>
      </w:tabs>
      <w:suppressAutoHyphens w:val="0"/>
      <w:spacing w:before="180" w:line="240" w:lineRule="auto"/>
      <w:ind w:left="1135" w:hanging="284"/>
    </w:pPr>
    <w:rPr>
      <w:rFonts w:eastAsia="Times New Roman"/>
      <w:sz w:val="22"/>
      <w:u w:val="single"/>
      <w:lang w:eastAsia="de-DE"/>
    </w:rPr>
  </w:style>
  <w:style w:type="paragraph" w:customStyle="1" w:styleId="AnnoPara">
    <w:name w:val="AnnoPara"/>
    <w:basedOn w:val="Normal"/>
    <w:rsid w:val="00173478"/>
    <w:pPr>
      <w:tabs>
        <w:tab w:val="num" w:pos="2269"/>
      </w:tabs>
      <w:suppressAutoHyphens w:val="0"/>
      <w:spacing w:before="180" w:line="240" w:lineRule="auto"/>
      <w:ind w:left="1135" w:firstLine="567"/>
    </w:pPr>
    <w:rPr>
      <w:rFonts w:eastAsia="Times New Roman"/>
      <w:sz w:val="22"/>
      <w:lang w:eastAsia="de-DE"/>
    </w:rPr>
  </w:style>
  <w:style w:type="paragraph" w:customStyle="1" w:styleId="AnnexHead1">
    <w:name w:val="AnnexHead1"/>
    <w:basedOn w:val="Normal"/>
    <w:next w:val="Normal"/>
    <w:autoRedefine/>
    <w:rsid w:val="00173478"/>
    <w:pPr>
      <w:suppressAutoHyphens w:val="0"/>
      <w:spacing w:before="180" w:after="180" w:line="240" w:lineRule="auto"/>
      <w:jc w:val="center"/>
    </w:pPr>
    <w:rPr>
      <w:rFonts w:eastAsia="Times New Roman"/>
      <w:sz w:val="22"/>
      <w:u w:val="single"/>
      <w:lang w:val="en-US" w:eastAsia="en-US"/>
    </w:rPr>
  </w:style>
  <w:style w:type="paragraph" w:customStyle="1" w:styleId="StyleTOC5Before136cm">
    <w:name w:val="Style TOC 5 + Before:  1.36 cm"/>
    <w:basedOn w:val="TOC5"/>
    <w:rsid w:val="00173478"/>
    <w:pPr>
      <w:numPr>
        <w:numId w:val="32"/>
      </w:numPr>
      <w:tabs>
        <w:tab w:val="clear" w:pos="1440"/>
        <w:tab w:val="left" w:leader="dot" w:pos="6803"/>
        <w:tab w:val="center" w:pos="7795"/>
        <w:tab w:val="center" w:pos="9071"/>
      </w:tabs>
      <w:suppressAutoHyphens w:val="0"/>
      <w:spacing w:before="180" w:line="240" w:lineRule="auto"/>
      <w:ind w:left="720" w:firstLine="0"/>
    </w:pPr>
    <w:rPr>
      <w:rFonts w:eastAsia="Times New Roman"/>
      <w:sz w:val="22"/>
      <w:lang w:eastAsia="de-DE"/>
    </w:rPr>
  </w:style>
  <w:style w:type="paragraph" w:customStyle="1" w:styleId="DecPara">
    <w:name w:val="DecPara"/>
    <w:basedOn w:val="Normal"/>
    <w:rsid w:val="00173478"/>
    <w:pPr>
      <w:tabs>
        <w:tab w:val="num" w:pos="1440"/>
      </w:tabs>
      <w:suppressAutoHyphens w:val="0"/>
      <w:spacing w:before="180" w:line="240" w:lineRule="auto"/>
      <w:ind w:firstLine="720"/>
    </w:pPr>
    <w:rPr>
      <w:rFonts w:eastAsia="Times New Roman"/>
      <w:sz w:val="22"/>
      <w:lang w:eastAsia="de-DE"/>
    </w:rPr>
  </w:style>
  <w:style w:type="paragraph" w:customStyle="1" w:styleId="ProvHead1">
    <w:name w:val="ProvHead1"/>
    <w:basedOn w:val="Normal"/>
    <w:next w:val="ProvHead2"/>
    <w:rsid w:val="00173478"/>
    <w:pPr>
      <w:suppressAutoHyphens w:val="0"/>
      <w:spacing w:before="180" w:line="240" w:lineRule="auto"/>
      <w:jc w:val="center"/>
    </w:pPr>
    <w:rPr>
      <w:rFonts w:eastAsia="Times New Roman"/>
      <w:b/>
      <w:caps/>
      <w:sz w:val="22"/>
      <w:lang w:eastAsia="de-DE"/>
    </w:rPr>
  </w:style>
  <w:style w:type="paragraph" w:customStyle="1" w:styleId="ProvHead2">
    <w:name w:val="ProvHead2"/>
    <w:basedOn w:val="Normal"/>
    <w:next w:val="ProvHead3"/>
    <w:rsid w:val="00173478"/>
    <w:pPr>
      <w:suppressAutoHyphens w:val="0"/>
      <w:spacing w:before="180" w:line="240" w:lineRule="auto"/>
      <w:jc w:val="center"/>
    </w:pPr>
    <w:rPr>
      <w:rFonts w:eastAsia="Times New Roman"/>
      <w:b/>
      <w:sz w:val="22"/>
      <w:u w:val="single"/>
      <w:lang w:eastAsia="de-DE"/>
    </w:rPr>
  </w:style>
  <w:style w:type="paragraph" w:customStyle="1" w:styleId="ProvHead3">
    <w:name w:val="ProvHead3"/>
    <w:basedOn w:val="Normal"/>
    <w:next w:val="ProvPara"/>
    <w:rsid w:val="00173478"/>
    <w:pPr>
      <w:tabs>
        <w:tab w:val="num" w:pos="1135"/>
      </w:tabs>
      <w:suppressAutoHyphens w:val="0"/>
      <w:spacing w:before="180" w:line="240" w:lineRule="auto"/>
      <w:ind w:left="1135" w:hanging="284"/>
    </w:pPr>
    <w:rPr>
      <w:rFonts w:eastAsia="Times New Roman"/>
      <w:b/>
      <w:sz w:val="22"/>
      <w:u w:val="single"/>
      <w:lang w:eastAsia="de-DE"/>
    </w:rPr>
  </w:style>
  <w:style w:type="paragraph" w:customStyle="1" w:styleId="ProvPara">
    <w:name w:val="ProvPara"/>
    <w:basedOn w:val="Normal"/>
    <w:rsid w:val="00173478"/>
    <w:pPr>
      <w:tabs>
        <w:tab w:val="num" w:pos="568"/>
      </w:tabs>
      <w:suppressAutoHyphens w:val="0"/>
      <w:spacing w:before="180" w:line="240" w:lineRule="auto"/>
      <w:ind w:left="1135"/>
    </w:pPr>
    <w:rPr>
      <w:rFonts w:eastAsia="Times New Roman"/>
      <w:sz w:val="22"/>
      <w:lang w:eastAsia="de-DE"/>
    </w:rPr>
  </w:style>
  <w:style w:type="paragraph" w:customStyle="1" w:styleId="CUB">
    <w:name w:val="CUB"/>
    <w:basedOn w:val="Normal"/>
    <w:rsid w:val="00173478"/>
    <w:pPr>
      <w:suppressAutoHyphens w:val="0"/>
      <w:spacing w:line="240" w:lineRule="auto"/>
      <w:jc w:val="center"/>
    </w:pPr>
    <w:rPr>
      <w:rFonts w:eastAsia="Times New Roman"/>
      <w:b/>
      <w:sz w:val="22"/>
      <w:u w:val="single"/>
      <w:lang w:eastAsia="de-DE"/>
    </w:rPr>
  </w:style>
  <w:style w:type="paragraph" w:customStyle="1" w:styleId="NoteSecretariat">
    <w:name w:val="NoteSecretariat"/>
    <w:basedOn w:val="Normal"/>
    <w:rsid w:val="00173478"/>
    <w:pPr>
      <w:suppressAutoHyphens w:val="0"/>
      <w:spacing w:line="240" w:lineRule="auto"/>
      <w:jc w:val="center"/>
    </w:pPr>
    <w:rPr>
      <w:rFonts w:eastAsia="Times New Roman"/>
      <w:b/>
      <w:sz w:val="22"/>
      <w:lang w:eastAsia="de-DE"/>
    </w:rPr>
  </w:style>
  <w:style w:type="paragraph" w:customStyle="1" w:styleId="FootnoteTable0">
    <w:name w:val="FootnoteTable"/>
    <w:locked/>
    <w:rsid w:val="00173478"/>
    <w:rPr>
      <w:sz w:val="16"/>
      <w:lang w:val="en-GB"/>
    </w:rPr>
  </w:style>
  <w:style w:type="paragraph" w:customStyle="1" w:styleId="TableandFigure">
    <w:name w:val="Table and Figure"/>
    <w:basedOn w:val="Normal"/>
    <w:rsid w:val="00173478"/>
    <w:pPr>
      <w:suppressAutoHyphens w:val="0"/>
      <w:spacing w:before="180" w:after="120" w:line="240" w:lineRule="auto"/>
      <w:jc w:val="center"/>
    </w:pPr>
    <w:rPr>
      <w:rFonts w:eastAsia="Times New Roman"/>
      <w:b/>
      <w:sz w:val="22"/>
      <w:lang w:eastAsia="de-DE"/>
    </w:rPr>
  </w:style>
  <w:style w:type="paragraph" w:customStyle="1" w:styleId="AtxtChemicals">
    <w:name w:val="Atxt_Chemicals"/>
    <w:basedOn w:val="Normal"/>
    <w:rsid w:val="00173478"/>
    <w:pPr>
      <w:suppressAutoHyphens w:val="0"/>
      <w:spacing w:line="240" w:lineRule="auto"/>
    </w:pPr>
    <w:rPr>
      <w:rFonts w:eastAsia="Times New Roman"/>
      <w:sz w:val="24"/>
      <w:lang w:eastAsia="de-DE"/>
    </w:rPr>
  </w:style>
  <w:style w:type="paragraph" w:styleId="BodyText">
    <w:name w:val="Body Text"/>
    <w:basedOn w:val="Normal"/>
    <w:link w:val="BodyTextChar"/>
    <w:rsid w:val="00173478"/>
    <w:pPr>
      <w:suppressAutoHyphens w:val="0"/>
      <w:spacing w:line="240" w:lineRule="auto"/>
      <w:jc w:val="center"/>
    </w:pPr>
    <w:rPr>
      <w:rFonts w:eastAsia="Times New Roman"/>
      <w:b/>
      <w:bCs/>
      <w:color w:val="C0C0C0"/>
      <w:spacing w:val="22"/>
      <w:sz w:val="40"/>
      <w:lang w:eastAsia="en-US"/>
    </w:rPr>
  </w:style>
  <w:style w:type="character" w:customStyle="1" w:styleId="BodyTextChar">
    <w:name w:val="Body Text Char"/>
    <w:link w:val="BodyText"/>
    <w:rsid w:val="00173478"/>
    <w:rPr>
      <w:b/>
      <w:bCs/>
      <w:color w:val="C0C0C0"/>
      <w:spacing w:val="22"/>
      <w:sz w:val="40"/>
      <w:lang w:val="en-GB"/>
    </w:rPr>
  </w:style>
  <w:style w:type="paragraph" w:customStyle="1" w:styleId="TableHead">
    <w:name w:val="Table Head"/>
    <w:basedOn w:val="Footer"/>
    <w:rsid w:val="00173478"/>
    <w:pPr>
      <w:suppressAutoHyphens w:val="0"/>
      <w:spacing w:before="40" w:after="40" w:line="240" w:lineRule="auto"/>
      <w:jc w:val="center"/>
    </w:pPr>
    <w:rPr>
      <w:rFonts w:eastAsia="Times New Roman"/>
      <w:b/>
      <w:sz w:val="24"/>
      <w:szCs w:val="24"/>
      <w:lang w:val="en-US" w:eastAsia="en-US"/>
    </w:rPr>
  </w:style>
  <w:style w:type="paragraph" w:styleId="Title">
    <w:name w:val="Title"/>
    <w:basedOn w:val="Normal"/>
    <w:link w:val="TitleChar"/>
    <w:qFormat/>
    <w:rsid w:val="00173478"/>
    <w:pPr>
      <w:suppressAutoHyphens w:val="0"/>
      <w:spacing w:line="240" w:lineRule="auto"/>
      <w:jc w:val="center"/>
    </w:pPr>
    <w:rPr>
      <w:rFonts w:eastAsia="Times New Roman"/>
      <w:b/>
      <w:sz w:val="22"/>
      <w:lang w:eastAsia="en-US"/>
    </w:rPr>
  </w:style>
  <w:style w:type="character" w:customStyle="1" w:styleId="TitleChar">
    <w:name w:val="Title Char"/>
    <w:link w:val="Title"/>
    <w:rsid w:val="00173478"/>
    <w:rPr>
      <w:b/>
      <w:sz w:val="22"/>
      <w:lang w:val="en-GB"/>
    </w:rPr>
  </w:style>
  <w:style w:type="paragraph" w:customStyle="1" w:styleId="singleTxtG0">
    <w:name w:val="_single Txt_G"/>
    <w:basedOn w:val="Heading1"/>
    <w:rsid w:val="00173478"/>
    <w:pPr>
      <w:spacing w:after="120"/>
      <w:ind w:left="1100"/>
    </w:pPr>
    <w:rPr>
      <w:b/>
    </w:rPr>
  </w:style>
  <w:style w:type="paragraph" w:customStyle="1" w:styleId="HeadLevel3">
    <w:name w:val="HeadLevel3"/>
    <w:basedOn w:val="Normal"/>
    <w:autoRedefine/>
    <w:rsid w:val="00173478"/>
    <w:pPr>
      <w:suppressAutoHyphens w:val="0"/>
      <w:spacing w:line="240" w:lineRule="auto"/>
    </w:pPr>
    <w:rPr>
      <w:rFonts w:eastAsia="Times New Roman"/>
      <w:sz w:val="22"/>
      <w:lang w:eastAsia="de-DE"/>
    </w:rPr>
  </w:style>
  <w:style w:type="paragraph" w:customStyle="1" w:styleId="AgendaItem">
    <w:name w:val="AgendaItem"/>
    <w:basedOn w:val="Normal"/>
    <w:autoRedefine/>
    <w:rsid w:val="00173478"/>
    <w:pPr>
      <w:suppressAutoHyphens w:val="0"/>
      <w:spacing w:line="240" w:lineRule="auto"/>
    </w:pPr>
    <w:rPr>
      <w:rFonts w:eastAsia="Times New Roman"/>
      <w:b/>
      <w:lang w:eastAsia="de-DE"/>
    </w:rPr>
  </w:style>
  <w:style w:type="paragraph" w:styleId="BodyText2">
    <w:name w:val="Body Text 2"/>
    <w:basedOn w:val="Normal"/>
    <w:link w:val="BodyText2Char"/>
    <w:rsid w:val="00173478"/>
    <w:pPr>
      <w:suppressAutoHyphens w:val="0"/>
      <w:spacing w:line="240" w:lineRule="auto"/>
    </w:pPr>
    <w:rPr>
      <w:rFonts w:eastAsia="Times New Roman"/>
      <w:b/>
      <w:bCs/>
      <w:i/>
      <w:iCs/>
      <w:sz w:val="22"/>
      <w:szCs w:val="24"/>
      <w:lang w:val="en-US" w:eastAsia="en-US"/>
    </w:rPr>
  </w:style>
  <w:style w:type="character" w:customStyle="1" w:styleId="BodyText2Char">
    <w:name w:val="Body Text 2 Char"/>
    <w:link w:val="BodyText2"/>
    <w:rsid w:val="00173478"/>
    <w:rPr>
      <w:b/>
      <w:bCs/>
      <w:i/>
      <w:iCs/>
      <w:sz w:val="22"/>
      <w:szCs w:val="24"/>
    </w:rPr>
  </w:style>
  <w:style w:type="paragraph" w:customStyle="1" w:styleId="xl27">
    <w:name w:val="xl27"/>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28">
    <w:name w:val="xl28"/>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29">
    <w:name w:val="xl29"/>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30">
    <w:name w:val="xl30"/>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1">
    <w:name w:val="xl31"/>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2">
    <w:name w:val="xl32"/>
    <w:basedOn w:val="Normal"/>
    <w:rsid w:val="00173478"/>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3">
    <w:name w:val="xl33"/>
    <w:basedOn w:val="Normal"/>
    <w:rsid w:val="00173478"/>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4">
    <w:name w:val="xl34"/>
    <w:basedOn w:val="Normal"/>
    <w:rsid w:val="001734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5">
    <w:name w:val="xl35"/>
    <w:basedOn w:val="Normal"/>
    <w:rsid w:val="001734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6">
    <w:name w:val="xl36"/>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7">
    <w:name w:val="xl37"/>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8">
    <w:name w:val="xl38"/>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39">
    <w:name w:val="xl39"/>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color w:val="800080"/>
      <w:sz w:val="24"/>
      <w:szCs w:val="24"/>
      <w:lang w:eastAsia="en-US"/>
    </w:rPr>
  </w:style>
  <w:style w:type="paragraph" w:customStyle="1" w:styleId="xl40">
    <w:name w:val="xl40"/>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color w:val="800080"/>
      <w:sz w:val="24"/>
      <w:szCs w:val="24"/>
      <w:lang w:eastAsia="en-US"/>
    </w:rPr>
  </w:style>
  <w:style w:type="paragraph" w:customStyle="1" w:styleId="xl41">
    <w:name w:val="xl41"/>
    <w:basedOn w:val="Normal"/>
    <w:rsid w:val="001734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42">
    <w:name w:val="xl42"/>
    <w:basedOn w:val="Normal"/>
    <w:rsid w:val="00173478"/>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3">
    <w:name w:val="xl43"/>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right"/>
      <w:textAlignment w:val="center"/>
    </w:pPr>
    <w:rPr>
      <w:rFonts w:eastAsia="Arial Unicode MS"/>
      <w:color w:val="800080"/>
      <w:sz w:val="24"/>
      <w:szCs w:val="24"/>
      <w:lang w:eastAsia="en-US"/>
    </w:rPr>
  </w:style>
  <w:style w:type="paragraph" w:customStyle="1" w:styleId="xl44">
    <w:name w:val="xl44"/>
    <w:basedOn w:val="Normal"/>
    <w:rsid w:val="00173478"/>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5">
    <w:name w:val="xl45"/>
    <w:basedOn w:val="Normal"/>
    <w:rsid w:val="00173478"/>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46">
    <w:name w:val="xl46"/>
    <w:basedOn w:val="Normal"/>
    <w:rsid w:val="001734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7">
    <w:name w:val="xl47"/>
    <w:basedOn w:val="Normal"/>
    <w:rsid w:val="00173478"/>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8">
    <w:name w:val="xl48"/>
    <w:basedOn w:val="Normal"/>
    <w:rsid w:val="001734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9">
    <w:name w:val="xl49"/>
    <w:basedOn w:val="Normal"/>
    <w:rsid w:val="00173478"/>
    <w:pPr>
      <w:pBdr>
        <w:top w:val="single" w:sz="4" w:space="0" w:color="auto"/>
        <w:left w:val="single" w:sz="4" w:space="0" w:color="auto"/>
      </w:pBdr>
      <w:suppressAutoHyphens w:val="0"/>
      <w:spacing w:before="100" w:beforeAutospacing="1" w:after="100" w:afterAutospacing="1" w:line="240" w:lineRule="auto"/>
      <w:jc w:val="center"/>
      <w:textAlignment w:val="top"/>
    </w:pPr>
    <w:rPr>
      <w:rFonts w:eastAsia="Arial Unicode MS"/>
      <w:b/>
      <w:bCs/>
      <w:sz w:val="24"/>
      <w:szCs w:val="24"/>
      <w:lang w:eastAsia="en-US"/>
    </w:rPr>
  </w:style>
  <w:style w:type="paragraph" w:customStyle="1" w:styleId="xl50">
    <w:name w:val="xl50"/>
    <w:basedOn w:val="Normal"/>
    <w:rsid w:val="00173478"/>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51">
    <w:name w:val="xl51"/>
    <w:basedOn w:val="Normal"/>
    <w:rsid w:val="00173478"/>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52">
    <w:name w:val="xl52"/>
    <w:basedOn w:val="Normal"/>
    <w:rsid w:val="00173478"/>
    <w:pPr>
      <w:pBdr>
        <w:top w:val="single" w:sz="4" w:space="0" w:color="auto"/>
        <w:left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53">
    <w:name w:val="xl53"/>
    <w:basedOn w:val="Normal"/>
    <w:rsid w:val="001734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character" w:styleId="Strong">
    <w:name w:val="Strong"/>
    <w:qFormat/>
    <w:rsid w:val="00173478"/>
    <w:rPr>
      <w:b/>
      <w:bCs/>
    </w:rPr>
  </w:style>
  <w:style w:type="paragraph" w:styleId="BodyText3">
    <w:name w:val="Body Text 3"/>
    <w:basedOn w:val="Normal"/>
    <w:link w:val="BodyText3Char"/>
    <w:rsid w:val="00173478"/>
    <w:pPr>
      <w:suppressAutoHyphens w:val="0"/>
      <w:spacing w:line="240" w:lineRule="auto"/>
    </w:pPr>
    <w:rPr>
      <w:rFonts w:eastAsia="Times New Roman"/>
      <w:i/>
      <w:iCs/>
      <w:sz w:val="22"/>
      <w:lang w:val="en-US" w:eastAsia="de-DE"/>
    </w:rPr>
  </w:style>
  <w:style w:type="character" w:customStyle="1" w:styleId="BodyText3Char">
    <w:name w:val="Body Text 3 Char"/>
    <w:link w:val="BodyText3"/>
    <w:rsid w:val="00173478"/>
    <w:rPr>
      <w:i/>
      <w:iCs/>
      <w:sz w:val="22"/>
      <w:lang w:eastAsia="de-DE"/>
    </w:rPr>
  </w:style>
  <w:style w:type="paragraph" w:customStyle="1" w:styleId="xl24">
    <w:name w:val="xl24"/>
    <w:basedOn w:val="Normal"/>
    <w:rsid w:val="00173478"/>
    <w:pPr>
      <w:pBdr>
        <w:top w:val="double" w:sz="6" w:space="0" w:color="auto"/>
        <w:bottom w:val="single" w:sz="4" w:space="0" w:color="auto"/>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5">
    <w:name w:val="xl25"/>
    <w:basedOn w:val="Normal"/>
    <w:rsid w:val="00173478"/>
    <w:pPr>
      <w:pBdr>
        <w:top w:val="double" w:sz="6" w:space="0" w:color="auto"/>
        <w:bottom w:val="single" w:sz="4" w:space="0" w:color="auto"/>
        <w:right w:val="single" w:sz="4" w:space="0" w:color="000000"/>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6">
    <w:name w:val="xl26"/>
    <w:basedOn w:val="Normal"/>
    <w:rsid w:val="00173478"/>
    <w:pPr>
      <w:suppressAutoHyphens w:val="0"/>
      <w:spacing w:before="100" w:beforeAutospacing="1" w:after="100" w:afterAutospacing="1" w:line="240" w:lineRule="auto"/>
      <w:jc w:val="center"/>
    </w:pPr>
    <w:rPr>
      <w:rFonts w:eastAsia="Arial Unicode MS"/>
      <w:sz w:val="24"/>
      <w:szCs w:val="24"/>
      <w:lang w:eastAsia="en-US"/>
    </w:rPr>
  </w:style>
  <w:style w:type="paragraph" w:customStyle="1" w:styleId="xl54">
    <w:name w:val="xl54"/>
    <w:basedOn w:val="Normal"/>
    <w:rsid w:val="00173478"/>
    <w:pPr>
      <w:pBdr>
        <w:left w:val="double" w:sz="6" w:space="0" w:color="auto"/>
        <w:bottom w:val="single" w:sz="4" w:space="0" w:color="000000"/>
      </w:pBdr>
      <w:suppressAutoHyphens w:val="0"/>
      <w:spacing w:before="100" w:beforeAutospacing="1" w:after="100" w:afterAutospacing="1" w:line="240" w:lineRule="auto"/>
    </w:pPr>
    <w:rPr>
      <w:rFonts w:eastAsia="Arial Unicode MS"/>
      <w:b/>
      <w:bCs/>
      <w:color w:val="000000"/>
      <w:sz w:val="24"/>
      <w:szCs w:val="24"/>
      <w:lang w:eastAsia="en-US"/>
    </w:rPr>
  </w:style>
  <w:style w:type="paragraph" w:customStyle="1" w:styleId="xl55">
    <w:name w:val="xl55"/>
    <w:basedOn w:val="Normal"/>
    <w:rsid w:val="00173478"/>
    <w:pPr>
      <w:pBdr>
        <w:left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6">
    <w:name w:val="xl56"/>
    <w:basedOn w:val="Normal"/>
    <w:rsid w:val="00173478"/>
    <w:pPr>
      <w:pBdr>
        <w:left w:val="double" w:sz="6" w:space="0" w:color="auto"/>
        <w:bottom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7">
    <w:name w:val="xl57"/>
    <w:basedOn w:val="Normal"/>
    <w:rsid w:val="00173478"/>
    <w:pPr>
      <w:pBdr>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8">
    <w:name w:val="xl58"/>
    <w:basedOn w:val="Normal"/>
    <w:rsid w:val="00173478"/>
    <w:pPr>
      <w:pBdr>
        <w:left w:val="single" w:sz="4" w:space="0" w:color="000000"/>
        <w:bottom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9">
    <w:name w:val="xl59"/>
    <w:basedOn w:val="Normal"/>
    <w:rsid w:val="00173478"/>
    <w:pPr>
      <w:pBdr>
        <w:right w:val="single" w:sz="4"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0">
    <w:name w:val="xl60"/>
    <w:basedOn w:val="Normal"/>
    <w:rsid w:val="00173478"/>
    <w:pPr>
      <w:pBdr>
        <w:left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1">
    <w:name w:val="xl61"/>
    <w:basedOn w:val="Normal"/>
    <w:rsid w:val="00173478"/>
    <w:pPr>
      <w:pBdr>
        <w:top w:val="single" w:sz="4" w:space="0" w:color="000000"/>
        <w:left w:val="single" w:sz="4" w:space="0" w:color="000000"/>
        <w:bottom w:val="single" w:sz="4" w:space="0" w:color="000000"/>
        <w:right w:val="double" w:sz="6" w:space="0" w:color="000000"/>
      </w:pBdr>
      <w:suppressAutoHyphens w:val="0"/>
      <w:spacing w:before="100" w:beforeAutospacing="1" w:after="100" w:afterAutospacing="1" w:line="240" w:lineRule="auto"/>
      <w:jc w:val="right"/>
    </w:pPr>
    <w:rPr>
      <w:rFonts w:eastAsia="Arial Unicode MS"/>
      <w:b/>
      <w:bCs/>
      <w:sz w:val="24"/>
      <w:szCs w:val="24"/>
      <w:lang w:eastAsia="en-US"/>
    </w:rPr>
  </w:style>
  <w:style w:type="paragraph" w:customStyle="1" w:styleId="MMTopic1">
    <w:name w:val="MM Topic 1"/>
    <w:basedOn w:val="Normal"/>
    <w:rsid w:val="00173478"/>
    <w:pPr>
      <w:suppressAutoHyphens w:val="0"/>
      <w:spacing w:line="240" w:lineRule="auto"/>
    </w:pPr>
    <w:rPr>
      <w:rFonts w:eastAsia="Times New Roman"/>
      <w:sz w:val="24"/>
      <w:szCs w:val="24"/>
      <w:lang w:eastAsia="en-US"/>
    </w:rPr>
  </w:style>
  <w:style w:type="paragraph" w:customStyle="1" w:styleId="MMTopic2">
    <w:name w:val="MM Topic 2"/>
    <w:basedOn w:val="Normal"/>
    <w:rsid w:val="00173478"/>
    <w:pPr>
      <w:suppressAutoHyphens w:val="0"/>
      <w:spacing w:line="240" w:lineRule="auto"/>
    </w:pPr>
    <w:rPr>
      <w:rFonts w:eastAsia="Times New Roman"/>
      <w:sz w:val="24"/>
      <w:szCs w:val="24"/>
      <w:lang w:eastAsia="en-US"/>
    </w:rPr>
  </w:style>
  <w:style w:type="paragraph" w:customStyle="1" w:styleId="MMTopic3">
    <w:name w:val="MM Topic 3"/>
    <w:basedOn w:val="Normal"/>
    <w:rsid w:val="00173478"/>
    <w:pPr>
      <w:suppressAutoHyphens w:val="0"/>
      <w:spacing w:line="240" w:lineRule="auto"/>
    </w:pPr>
    <w:rPr>
      <w:rFonts w:eastAsia="Times New Roman"/>
      <w:sz w:val="24"/>
      <w:szCs w:val="24"/>
      <w:lang w:eastAsia="en-US"/>
    </w:rPr>
  </w:style>
  <w:style w:type="paragraph" w:customStyle="1" w:styleId="MMTopic4">
    <w:name w:val="MM Topic 4"/>
    <w:basedOn w:val="Normal"/>
    <w:rsid w:val="00173478"/>
    <w:pPr>
      <w:suppressAutoHyphens w:val="0"/>
      <w:spacing w:line="240" w:lineRule="auto"/>
      <w:ind w:left="1440" w:hanging="533"/>
    </w:pPr>
    <w:rPr>
      <w:rFonts w:eastAsia="Times New Roman"/>
      <w:sz w:val="24"/>
      <w:szCs w:val="24"/>
      <w:lang w:eastAsia="en-US"/>
    </w:rPr>
  </w:style>
  <w:style w:type="paragraph" w:customStyle="1" w:styleId="MMTopic5">
    <w:name w:val="MM Topic 5"/>
    <w:basedOn w:val="Normal"/>
    <w:rsid w:val="00173478"/>
    <w:pPr>
      <w:suppressAutoHyphens w:val="0"/>
      <w:spacing w:line="240" w:lineRule="auto"/>
    </w:pPr>
    <w:rPr>
      <w:rFonts w:eastAsia="Times New Roman"/>
      <w:sz w:val="24"/>
      <w:szCs w:val="24"/>
      <w:lang w:eastAsia="en-US"/>
    </w:rPr>
  </w:style>
  <w:style w:type="character" w:styleId="FollowedHyperlink">
    <w:name w:val="FollowedHyperlink"/>
    <w:rsid w:val="00173478"/>
    <w:rPr>
      <w:color w:val="800080"/>
      <w:u w:val="single"/>
    </w:rPr>
  </w:style>
  <w:style w:type="paragraph" w:styleId="Revision">
    <w:name w:val="Revision"/>
    <w:hidden/>
    <w:uiPriority w:val="99"/>
    <w:semiHidden/>
    <w:rsid w:val="00173478"/>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footer" Target="footer13.xml"/><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9.xml"/><Relationship Id="rId41" Type="http://schemas.openxmlformats.org/officeDocument/2006/relationships/header" Target="header15.xml"/><Relationship Id="rId54" Type="http://schemas.openxmlformats.org/officeDocument/2006/relationships/header" Target="header22.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footer" Target="footer20.xml"/><Relationship Id="rId58" Type="http://schemas.openxmlformats.org/officeDocument/2006/relationships/header" Target="header2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18.xml"/><Relationship Id="rId57" Type="http://schemas.openxmlformats.org/officeDocument/2006/relationships/footer" Target="footer22.xml"/><Relationship Id="rId61" Type="http://schemas.openxmlformats.org/officeDocument/2006/relationships/footer" Target="footer2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footer" Target="footer19.xml"/><Relationship Id="rId60" Type="http://schemas.openxmlformats.org/officeDocument/2006/relationships/footer" Target="footer2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footer" Target="footer11.xml"/><Relationship Id="rId43" Type="http://schemas.openxmlformats.org/officeDocument/2006/relationships/header" Target="header17.xml"/><Relationship Id="rId48" Type="http://schemas.openxmlformats.org/officeDocument/2006/relationships/footer" Target="footer17.xml"/><Relationship Id="rId56" Type="http://schemas.openxmlformats.org/officeDocument/2006/relationships/footer" Target="footer21.xml"/><Relationship Id="rId8" Type="http://schemas.openxmlformats.org/officeDocument/2006/relationships/webSettings" Target="webSettings.xml"/><Relationship Id="rId51" Type="http://schemas.openxmlformats.org/officeDocument/2006/relationships/header" Target="header2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s>
</file>

<file path=word/_rels/footnotes.xml.rels><?xml version="1.0" encoding="UTF-8" standalone="yes"?>
<Relationships xmlns="http://schemas.openxmlformats.org/package/2006/relationships"><Relationship Id="rId1" Type="http://schemas.openxmlformats.org/officeDocument/2006/relationships/hyperlink" Target="https://goo.gl/nybgm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EFC8-4386-4114-90F9-8C5DA0EE238F}"/>
</file>

<file path=customXml/itemProps2.xml><?xml version="1.0" encoding="utf-8"?>
<ds:datastoreItem xmlns:ds="http://schemas.openxmlformats.org/officeDocument/2006/customXml" ds:itemID="{72CE064C-5D05-4A70-B6B4-DDF3F4D1DD6C}">
  <ds:schemaRefs>
    <ds:schemaRef ds:uri="http://schemas.microsoft.com/office/2006/metadata/properties"/>
    <ds:schemaRef ds:uri="http://schemas.microsoft.com/office/infopath/2007/PartnerControls"/>
    <ds:schemaRef ds:uri="http://purl.org/dc/dcmitype/"/>
    <ds:schemaRef ds:uri="67dad47e-2fca-4711-b9e4-b0642648f99b"/>
    <ds:schemaRef ds:uri="http://schemas.microsoft.com/sharepoint/v3"/>
    <ds:schemaRef ds:uri="http://schemas.microsoft.com/office/2006/documentManagement/types"/>
    <ds:schemaRef ds:uri="95878e15-3eca-40ea-8e2a-b8ac110e97d5"/>
    <ds:schemaRef ds:uri="http://purl.org/dc/elements/1.1/"/>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BA72C390-4DBF-48FF-AD01-1F4E6F947544}">
  <ds:schemaRefs>
    <ds:schemaRef ds:uri="http://schemas.microsoft.com/sharepoint/v3/contenttype/forms"/>
  </ds:schemaRefs>
</ds:datastoreItem>
</file>

<file path=customXml/itemProps4.xml><?xml version="1.0" encoding="utf-8"?>
<ds:datastoreItem xmlns:ds="http://schemas.openxmlformats.org/officeDocument/2006/customXml" ds:itemID="{051F1CF8-C130-49D4-8F7A-C04CC226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28</Pages>
  <Words>9099</Words>
  <Characters>51865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Report of the Conference of the Parties on its twenty-third session, held in Bonn from 6 to 17 November 2017. Addendum. Part two: Action taken by the Conference of the Parties at its twenty-third session</vt:lpstr>
    </vt:vector>
  </TitlesOfParts>
  <Company>UNFCCC</Company>
  <LinksUpToDate>false</LinksUpToDate>
  <CharactersWithSpaces>60843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twenty-third session, held in Bonn from 6 to 17 November 2017. Addendum. Part two: Action taken by the Conference of the Parties at its twenty-third session</dc:title>
  <dc:subject/>
  <dc:creator>Esmeralda Fratta di Rickli</dc:creator>
  <cp:keywords/>
  <dc:description/>
  <cp:lastModifiedBy>Corinne Loeschner</cp:lastModifiedBy>
  <cp:revision>4</cp:revision>
  <cp:lastPrinted>2018-01-18T10:05:00Z</cp:lastPrinted>
  <dcterms:created xsi:type="dcterms:W3CDTF">2018-01-31T13:33:00Z</dcterms:created>
  <dcterms:modified xsi:type="dcterms:W3CDTF">2018-03-28T09:38:00Z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0x0101002BEBFA4AD3D067488A4F8AE22F38BF68</vt:lpwstr>
  </property>
  <property fmtid="{D5CDD505-2E9C-101B-9397-08002B2CF9AE}" pid="3" name="Order">
    <vt:r8>12900</vt:r8>
  </property>
  <property fmtid="{D5CDD505-2E9C-101B-9397-08002B2CF9AE}" pid="4" name="UNFC3CoreFunction">
    <vt:lpwstr/>
  </property>
  <property fmtid="{D5CDD505-2E9C-101B-9397-08002B2CF9AE}" pid="5" name="UNFC3CoreCountry">
    <vt:lpwstr/>
  </property>
  <property fmtid="{D5CDD505-2E9C-101B-9397-08002B2CF9AE}" pid="6" name="UNFC3CoreSensitivity">
    <vt:lpwstr/>
  </property>
  <property fmtid="{D5CDD505-2E9C-101B-9397-08002B2CF9AE}" pid="7" name="docSymbol1">
    <vt:lpwstr>FCCC/CP/2017/11/Add.2</vt:lpwstr>
  </property>
  <property fmtid="{D5CDD505-2E9C-101B-9397-08002B2CF9AE}" pid="8" name="docSymbol2">
    <vt:lpwstr/>
  </property>
  <property fmtid="{D5CDD505-2E9C-101B-9397-08002B2CF9AE}" pid="9" name="templateVersion">
    <vt:lpwstr>v.July2017</vt:lpwstr>
  </property>
</Properties>
</file>